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xml" ContentType="application/vnd.openxmlformats-officedocument.wordprocessingml.header+xml"/>
  <Override PartName="/word/header160.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AFA266" w14:textId="1D3E13C2" w:rsidR="00E42B18" w:rsidRDefault="008664B6" w:rsidP="008664B6">
      <w:pPr>
        <w:pStyle w:val="Pagedecouverture"/>
        <w:rPr>
          <w:noProof/>
        </w:rPr>
      </w:pPr>
      <w:bookmarkStart w:id="0" w:name="LW_BM_COVERPAGE"/>
      <w:r>
        <w:rPr>
          <w:noProof/>
        </w:rPr>
        <w:pict w14:anchorId="5B0F7E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9017AD14-74A7-4AA1-9F4C-29D306799437" style="width:455.25pt;height:438.75pt">
            <v:imagedata r:id="rId11" o:title=""/>
          </v:shape>
        </w:pict>
      </w:r>
    </w:p>
    <w:bookmarkEnd w:id="0"/>
    <w:p w14:paraId="6EF61DDC" w14:textId="77777777" w:rsidR="00E42B18" w:rsidRDefault="00E42B18">
      <w:pPr>
        <w:rPr>
          <w:noProof/>
        </w:rPr>
        <w:sectPr w:rsidR="00E42B18" w:rsidSect="008664B6">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72E475F5" w14:textId="77777777" w:rsidR="00E42B18" w:rsidRDefault="009629C4">
      <w:pPr>
        <w:pStyle w:val="P68B1DB1-Heading11"/>
        <w:jc w:val="center"/>
        <w:rPr>
          <w:bCs/>
          <w:noProof/>
        </w:rPr>
      </w:pPr>
      <w:bookmarkStart w:id="1" w:name="_GoBack"/>
      <w:bookmarkEnd w:id="1"/>
      <w:r>
        <w:rPr>
          <w:noProof/>
        </w:rPr>
        <w:lastRenderedPageBreak/>
        <w:t>LIITE</w:t>
      </w:r>
    </w:p>
    <w:p w14:paraId="418E2DB7" w14:textId="77777777" w:rsidR="00E42B18" w:rsidRDefault="009629C4">
      <w:pPr>
        <w:pStyle w:val="P68B1DB1-Heading12"/>
        <w:keepLines w:val="0"/>
        <w:numPr>
          <w:ilvl w:val="3"/>
          <w:numId w:val="57"/>
        </w:numPr>
        <w:spacing w:after="120" w:line="240" w:lineRule="auto"/>
        <w:ind w:left="851" w:hanging="851"/>
        <w:jc w:val="both"/>
        <w:rPr>
          <w:bCs/>
          <w:noProof/>
        </w:rPr>
      </w:pPr>
      <w:r>
        <w:rPr>
          <w:noProof/>
        </w:rPr>
        <w:t>UUDISTUSTEN JA INVESTOINTIEN KUVAUS</w:t>
      </w:r>
    </w:p>
    <w:p w14:paraId="067CAD1C" w14:textId="77777777" w:rsidR="00E42B18" w:rsidRDefault="009629C4">
      <w:pPr>
        <w:pStyle w:val="P68B1DB1-Heading23"/>
        <w:numPr>
          <w:ilvl w:val="0"/>
          <w:numId w:val="68"/>
        </w:numPr>
        <w:spacing w:line="279" w:lineRule="auto"/>
        <w:rPr>
          <w:bCs/>
          <w:noProof/>
        </w:rPr>
      </w:pPr>
      <w:r>
        <w:rPr>
          <w:noProof/>
        </w:rPr>
        <w:t>MISSION 1 OSA 1</w:t>
      </w:r>
    </w:p>
    <w:p w14:paraId="7809C6A9" w14:textId="77777777" w:rsidR="00E42B18" w:rsidRDefault="009629C4">
      <w:pPr>
        <w:pStyle w:val="Descriptiontitle"/>
        <w:ind w:left="0"/>
        <w:rPr>
          <w:rFonts w:eastAsiaTheme="minorEastAsia"/>
          <w:noProof/>
        </w:rPr>
      </w:pPr>
      <w:r>
        <w:rPr>
          <w:b/>
          <w:noProof/>
        </w:rPr>
        <w:t>Toimintalinja 1 – Julkishallinnon digitalisointi</w:t>
      </w:r>
      <w:r>
        <w:rPr>
          <w:noProof/>
        </w:rPr>
        <w:t>: Italian elpymis- ja palautumissuunnitelman komponentin M1C1 toimintalinja 1 sisältää toimenpiteitä, joilla pyritään edistämään Italian julkishallinnon digitalisointia, ja siihen sisältyy seitsemän investointia ja kolme uudistusta. Investoinneilla pyritään erityisesti I) järkeistämällä ja lujittamalla julkishallinnon nykyisiä digitaalisia infrastruktuureja; II) pilvipalvelujen käyttöönoton edistäminen, iii) kiinnittäen erityistä huomiota alustojen ja datapalvelujen yhdenmukaistamiseen ja yhteentoimivuuteen, yhden kerran periaatteen täytäntöönpanoon ja datan saatavuuteen sovellusrajapintojen luettelon avulla; IV) kaikkien digitaalisten julkisten palvelujen saatavuuden, tehokkuuden ja saavutettavuuden parantaminen, jotta voidaan lisätä adoptioastetta ja käyttäjien tyytyväisyyttä, v) vahvistaa Italian puolustusta kyberrikollisuuden aiheuttamilta riskeiltä, vi) edistää suurten keskushallintojen digitalisaatiota; VII) digitaalisen kuilun kaventaminen vahvistamalla kansalaisten digitaalisia taitoja. Tämän toimintalinjan uudistuksilla pyritään erityisesti i) virtaviivaistamaan ja nopeuttamaan julkishallinnon tieto- ja viestintätekniikkaratkaisujen hankintaprosessia; II) julkishallinnon digitalisaation tukeminen ja iii) esteiden poistaminen julkishallinnon pilvipalvelujen käyttöönotolle ja julkishallintojen välisten tiedonvaihtoprosessien virtaviivaistaminen.</w:t>
      </w:r>
    </w:p>
    <w:p w14:paraId="2A174A24" w14:textId="77777777" w:rsidR="00E42B18" w:rsidRDefault="009629C4">
      <w:pPr>
        <w:pStyle w:val="Descriptiontitle"/>
        <w:ind w:left="0"/>
        <w:rPr>
          <w:rFonts w:eastAsiaTheme="minorEastAsia"/>
          <w:noProof/>
        </w:rPr>
      </w:pPr>
      <w:r>
        <w:rPr>
          <w:noProof/>
        </w:rPr>
        <w:t>Tähän komponenttiin kuuluvilla investoinneilla ja uudistuksilla edistetään Italialle vuosina 2020 ja 2019 osoitettujen maakohtaisten suositusten noudattamista tarpeesta parantaa julkishallinnon tuloksellisuutta muun muassa investoimalla julkisen sektorin työntekijöiden osaamiseen, nopeuttamalla digitalisaatiota ja parantamalla paikallisten julkisten palvelujen tehokkuutta ja laatua (maakohtainen suositus 3, 2019) ja ”keskitetään investoinnit vihreään siirtymään ja digitaaliseen siirtymään, erityisesti vahvistettuun digitaaliseen infrastruktuuriin keskeisten palvelujen tarjonnan varmistamiseksi” (maakohtainen suositus 3, 2020).</w:t>
      </w:r>
    </w:p>
    <w:p w14:paraId="5A840D96" w14:textId="77777777" w:rsidR="00E42B18" w:rsidRDefault="009629C4">
      <w:pPr>
        <w:pStyle w:val="Descriptiontitle"/>
        <w:ind w:left="0"/>
        <w:rPr>
          <w:rFonts w:eastAsiaTheme="minorEastAsia"/>
          <w:noProof/>
        </w:rPr>
      </w:pPr>
      <w:r>
        <w:rPr>
          <w:b/>
          <w:noProof/>
        </w:rPr>
        <w:t>Toimintalinja 2 – Oikeusasiat</w:t>
      </w:r>
      <w:r>
        <w:rPr>
          <w:noProof/>
        </w:rPr>
        <w:t>: Italian oikeusjärjestelmän suorituskyky on oikeudenkäyntien keston osalta kaukana muiden jäsenvaltioiden oikeusjärjestelmästä, kuten Euroopan komission viimeisimmässä kertomuksessa oikeuslaitoksen tehokkuudesta (CEPEJ) todetaan. Elpymis- ja palautumissuunnitelman komponentin M1C1 toimintalinja 2 sisältää toimenpiteitä, joilla pyritään tehostamaan oikeusjärjestelmää lyhentämällä oikeudenkäyntien kestoa ja lähentämällä Italiaa EU:n mediaaniin. Tällä osa-alueella käsitellään Italialle vuosina 2020 ja 2019 annettuja maakohtaisia suosituksia siviilioikeudellisten oikeudenkäyntien keston lyhentämisestä ja korruption torjunnan tuloksellisuuden parantamisesta (maakohtaiset suositukset 4, 2019 ja 4, 2020). Lisäksi oikeuslaitoksen digitalisointi on merkityksellistä myös digitaalisen siirtymän kannalta.</w:t>
      </w:r>
    </w:p>
    <w:p w14:paraId="170A0A69" w14:textId="77777777" w:rsidR="00E42B18" w:rsidRDefault="009629C4">
      <w:pPr>
        <w:pStyle w:val="Descriptiontitle"/>
        <w:ind w:left="0"/>
        <w:rPr>
          <w:noProof/>
        </w:rPr>
      </w:pPr>
      <w:r>
        <w:rPr>
          <w:b/>
          <w:noProof/>
        </w:rPr>
        <w:t>Toimintalinja 3 – Julkishallinto</w:t>
      </w:r>
      <w:r>
        <w:rPr>
          <w:noProof/>
        </w:rPr>
        <w:t>: Elpymis- ja palautumissuunnitelman komponentin M1C1 toimintalinja 3 sisältää toimenpiteitä, joilla pyritään uudistamaan Italian julkishallintoa ja parantamaan hallinnollisia valmiuksia. Italia on EU-27:n keskiarvon alapuolella sekä hallituksen tehokkuuden että hallitukseen kohdistuvan luottamuksen osalta. Italian julkishallinnon uudistuksiin vaikuttivat vakava ylhäältä alaspäin suuntautuvien uudistusten täytäntöönpanovaje ja arvokkaiden alhaalta ylöspäin suuntautuvien innovaatioiden vähäinen tunnustaminen ja levittäminen. Hallinnolliset valmiudet ovat hyvin heikot. Toimia strategisen suunnittelun valmiuksien, seuranta- ja arviointimekanismien ja näyttöön perustuvien päätöksenteon välineiden vahvistamiseksi olisi jatkettava. Tämän osa-alueen päätavoitteena on parantaa Italian julkishallinnon hallinnollisia valmiuksia keskus- ja paikallistasolla sekä inhimillisen pääoman (valinta, pätevyys ja urakehitys) että hallinnollisten menettelyjen yksinkertaistamisen osalta. Tässä osiossa esitellään yleinen rakenteellinen henkilöstöstrategia, joka ulottuu valintaprosesseista urapolkuihin. Uudistukseen sisältyy myös toimia menettelyjen yksinkertaistamiseksi. Investoinnit uusiin digitaalisiin välinepaketteihin ja elinikäistä oppimista koskeviin tehostettuihin toimiin sisältyvät mission 1 komponenttiin 1. Tällä osa-alueella käsitellään Italialle vuosina 2020 ja 2019 osoitettuja julkishallinnon tehokkuuden parantamista koskevia maakohtaisia suosituksia (maakohtainen suositus 3, 2019 ja maakohtainen suositus 4, 2020).</w:t>
      </w:r>
    </w:p>
    <w:p w14:paraId="773E2C97" w14:textId="77777777" w:rsidR="00E42B18" w:rsidRDefault="009629C4">
      <w:pPr>
        <w:pStyle w:val="Descriptiontitle"/>
        <w:ind w:left="0"/>
        <w:rPr>
          <w:noProof/>
        </w:rPr>
      </w:pPr>
      <w:r>
        <w:rPr>
          <w:b/>
          <w:noProof/>
        </w:rPr>
        <w:t>Toimintalinja 4 – Julkiset hankinnat ja hallinnon suorittamat maksut</w:t>
      </w:r>
      <w:r>
        <w:rPr>
          <w:noProof/>
        </w:rPr>
        <w:t>: Elpymis- ja palautumissuunnitelman komponentin M1C1 toimintalinja 4 sisältää toimenpiteitä, joilla pyritään uudistamaan tiettyjä Italian julkisia hankintoja koskevan lainsäädäntökehyksen keskeisiä näkökohtia ja vähentämään keskus-, alue- ja paikallisviranomaisten sekä alueellisten terveysviranomaisten maksuviivästyksiä. Uudistuksen päätavoitteena on yksinkertaistaa julkisia hankintoja koskevia sääntöjä, lisätä yritysten oikeusvarmuutta ja nopeuttaa julkisia hankintoja koskevien sopimusten tekemistä säilyttäen samalla avoimuutta ja yhdenvertaista kohtelua koskevat menettelytakeet. Näillä uudistuksilla tuetaan näin ollen suunnitelmasta rahoitettujen infrastruktuurien ja hankkeiden oikea-aikaista toteuttamista.</w:t>
      </w:r>
    </w:p>
    <w:p w14:paraId="2741A3E1" w14:textId="77777777" w:rsidR="00E42B18" w:rsidRDefault="009629C4">
      <w:pPr>
        <w:pStyle w:val="Descriptiontitle"/>
        <w:ind w:left="0"/>
        <w:rPr>
          <w:noProof/>
        </w:rPr>
      </w:pPr>
      <w:r>
        <w:rPr>
          <w:b/>
          <w:noProof/>
        </w:rPr>
        <w:t>Toimintalinja 5 – Julkis- ja finanssipoliittiset uudistukset (verotus ja julkiset menot)</w:t>
      </w:r>
      <w:r>
        <w:rPr>
          <w:noProof/>
        </w:rPr>
        <w:t>: Elpymisen ja palautumisen komponentin M1C1 toimintalinja 5 sisältää useita uudistuksia, joilla pyritään tukemaan Italian julkisen talouden kestävyyttä (maakohtainen suositus 1, 2019). Tulopuolella uudistuksilla pyritään parantamaan veronkantoprosessia, edistämään verosäännösten noudattamista ja torjumaan verovilppiä, jotta voidaan vähentää sääntöjen noudattamisesta veronmaksajille aiheutuvia kustannuksia ja lisätä julkisen talouden tuloja ja siten parantaa julkisen talouden kestävyyttä. Menopuolella uudistuksilla pyritään parantamaan julkisten menojen tehokkuutta sekä keskustasolla vahvistamalla menojen vuotuisia uudelleentarkasteluja koskevaa nykyistä kehystä että valtiotasoa alemmalla tasolla saattamalla päätökseen julkisen talouden suhteiden uudistus hallinnon eri tasoilla.</w:t>
      </w:r>
    </w:p>
    <w:p w14:paraId="1C38AE81" w14:textId="77777777" w:rsidR="00E42B18" w:rsidRDefault="009629C4">
      <w:pPr>
        <w:pStyle w:val="P68B1DB1-Heading34"/>
        <w:ind w:left="850" w:hanging="850"/>
        <w:rPr>
          <w:b/>
          <w:bCs/>
          <w:i/>
          <w:iCs/>
          <w:noProof/>
          <w:u w:val="single"/>
        </w:rPr>
      </w:pPr>
      <w:r>
        <w:rPr>
          <w:b/>
          <w:noProof/>
          <w:u w:val="single"/>
        </w:rPr>
        <w:t xml:space="preserve">A.1 </w:t>
      </w:r>
      <w:r>
        <w:rPr>
          <w:noProof/>
        </w:rPr>
        <w:t xml:space="preserve"> </w:t>
      </w:r>
      <w:r>
        <w:rPr>
          <w:b/>
          <w:noProof/>
          <w:u w:val="single"/>
        </w:rPr>
        <w:t>Kuvaus uudistuksista ja investoinneista, joita rahoitetaan rahoitustuella, jota ei makseta takaisin</w:t>
      </w:r>
    </w:p>
    <w:p w14:paraId="458B5471" w14:textId="77777777" w:rsidR="00E42B18" w:rsidRDefault="009629C4">
      <w:pPr>
        <w:pStyle w:val="Axistitle"/>
        <w:ind w:left="0"/>
        <w:rPr>
          <w:noProof/>
        </w:rPr>
      </w:pPr>
      <w:r>
        <w:rPr>
          <w:noProof/>
        </w:rPr>
        <w:t>Toimintalinja 1 – Julkishallinnon digitalisointi</w:t>
      </w:r>
    </w:p>
    <w:p w14:paraId="0D335B21" w14:textId="77777777" w:rsidR="00E42B18" w:rsidRDefault="009629C4">
      <w:pPr>
        <w:pStyle w:val="P68B1DB1-Normal5"/>
        <w:spacing w:before="240" w:after="120"/>
        <w:jc w:val="both"/>
        <w:rPr>
          <w:noProof/>
        </w:rPr>
      </w:pPr>
      <w:r>
        <w:rPr>
          <w:noProof/>
        </w:rPr>
        <w:t>Investointi 1.1 – Digitaalinen infrastruktuuri</w:t>
      </w:r>
    </w:p>
    <w:p w14:paraId="063BBFEF" w14:textId="77777777" w:rsidR="00E42B18" w:rsidRDefault="009629C4">
      <w:pPr>
        <w:pStyle w:val="Descriptiontitle"/>
        <w:ind w:left="0"/>
        <w:rPr>
          <w:noProof/>
        </w:rPr>
      </w:pPr>
      <w:r>
        <w:rPr>
          <w:noProof/>
        </w:rPr>
        <w:t>Tämän investoinnin tavoitteena on varmistaa, että julkishallinnon järjestelmiä, tietoaineistoja ja sovelluksia säilytetään datakeskuksissa, joissa on korkeat turvallisuutta, suorituskykyä, skaalattavuutta, eurooppalaista yhteentoimivuutta ja energiatehokkuutta koskevat vaatimukset. Investointi koostuu julkishallinnon tietoaineistojen ja sovellusten siirtämisestä PSN:ään tai turvallisiin sertifioituihin julkisiin pilvipalvelujen tarjoajiin.</w:t>
      </w:r>
    </w:p>
    <w:p w14:paraId="2F8ACD25" w14:textId="77777777" w:rsidR="00E42B18" w:rsidRDefault="009629C4">
      <w:pPr>
        <w:pStyle w:val="P68B1DB1-Normal5"/>
        <w:spacing w:before="120" w:after="120"/>
        <w:jc w:val="both"/>
        <w:rPr>
          <w:noProof/>
        </w:rPr>
      </w:pPr>
      <w:r>
        <w:rPr>
          <w:noProof/>
        </w:rPr>
        <w:t>Investointi 1.2 – Pilvipalvelut paikalliselle palestiinalaishallinnolle</w:t>
      </w:r>
    </w:p>
    <w:p w14:paraId="7AECDB21" w14:textId="77777777" w:rsidR="00E42B18" w:rsidRDefault="009629C4">
      <w:pPr>
        <w:pStyle w:val="Descriptiontitle"/>
        <w:ind w:left="0"/>
        <w:rPr>
          <w:noProof/>
        </w:rPr>
      </w:pPr>
      <w:r>
        <w:rPr>
          <w:noProof/>
        </w:rPr>
        <w:t xml:space="preserve">Investoinnin tavoitteena on siirtää paikallishallinnon merkittävän osan tietoaineistot ja sovellukset turvalliseen pilvi-infrastruktuuriin, joka antaa kullekin hallinnolle vapauden valita sertifioiduissa julkisissa pilviympäristöissä. </w:t>
      </w:r>
    </w:p>
    <w:p w14:paraId="6B9F8742" w14:textId="4861EC7F" w:rsidR="00E42B18" w:rsidRDefault="009629C4">
      <w:pPr>
        <w:pStyle w:val="Descriptiontitle"/>
        <w:ind w:left="0"/>
        <w:rPr>
          <w:noProof/>
        </w:rPr>
      </w:pPr>
      <w:r>
        <w:rPr>
          <w:noProof/>
        </w:rPr>
        <w:t>Toimenpiteeseen sisältyy myös hallintoviranomaisille tarkoitettu ”muuttoliike palveluna” -tukipaketti, joka kattaa seuraavat: I) alustava arviointi, ii) toimien käynnistämiseksi tarvittava menettelyllinen/hallinnollinen tuki, iii) neuvottelut tarvittavasta ulkoisesta tuesta ja iv) hankkeen yleinen hallinnointi toteutuksen aikana. Teknologisesta innovoinnista ja digitaalisesta siirtymästä vastaavan ministeriön (MITD) valvoman ryhmän odotetaan kartoittavan ja sertifioivan laajan luettelon pätevistä palveluntarjoajista ja neuvottelevan joukon vakiomuotoisia tukipaketteja, jotka on räätälöity hallinnon koon ja muuttoliikkeeseen osallistuvien palvelujen koon mukaan.</w:t>
      </w:r>
    </w:p>
    <w:p w14:paraId="3D3ED71E" w14:textId="77777777" w:rsidR="00E42B18" w:rsidRDefault="009629C4">
      <w:pPr>
        <w:pStyle w:val="P68B1DB1-Normal5"/>
        <w:spacing w:before="240" w:after="120"/>
        <w:jc w:val="both"/>
        <w:rPr>
          <w:noProof/>
        </w:rPr>
      </w:pPr>
      <w:r>
        <w:rPr>
          <w:noProof/>
        </w:rPr>
        <w:t>Investointi 1.3 – Tietojen yhteentoimivuus</w:t>
      </w:r>
    </w:p>
    <w:p w14:paraId="2ECF6295" w14:textId="77777777" w:rsidR="00E42B18" w:rsidRDefault="009629C4">
      <w:pPr>
        <w:pStyle w:val="Descriptiontitle"/>
        <w:ind w:left="0"/>
        <w:rPr>
          <w:noProof/>
        </w:rPr>
      </w:pPr>
      <w:r>
        <w:rPr>
          <w:noProof/>
        </w:rPr>
        <w:t>Investoinnin tavoitteena on varmistaa keskeisten tietoaineistojen ja -palvelujen täysi yhteentoimivuus keskus- ja paikallishallintojen välillä. Toimenpide koostuu kansallisen digitaalidata-alustan perustamisesta (”Piattaforma Digitale Nazionale Dati”), joka mahdollistaa tietoaineistojen yhteentoimivuuden keskus- ja paikallishallintojen jakamien sovellusrajapintojen luettelon avulla.</w:t>
      </w:r>
    </w:p>
    <w:p w14:paraId="65C6D9AA" w14:textId="77777777" w:rsidR="00E42B18" w:rsidRDefault="009629C4">
      <w:pPr>
        <w:rPr>
          <w:rFonts w:ascii="Times New Roman" w:eastAsia="Times New Roman" w:hAnsi="Times New Roman" w:cs="Times New Roman"/>
          <w:b/>
          <w:noProof/>
        </w:rPr>
      </w:pPr>
      <w:r>
        <w:rPr>
          <w:noProof/>
        </w:rPr>
        <w:br w:type="page"/>
      </w:r>
    </w:p>
    <w:p w14:paraId="6FD7811A" w14:textId="4A3170F2" w:rsidR="00E42B18" w:rsidRDefault="009629C4">
      <w:pPr>
        <w:pStyle w:val="P68B1DB1-Descriptiontitle6"/>
        <w:ind w:left="0"/>
        <w:rPr>
          <w:noProof/>
        </w:rPr>
      </w:pPr>
      <w:r>
        <w:rPr>
          <w:noProof/>
        </w:rPr>
        <w:t>Investointi 1.4 – Digitaaliset palvelut ja kansalaisten kokemus</w:t>
      </w:r>
    </w:p>
    <w:p w14:paraId="3980AE1E" w14:textId="77777777" w:rsidR="00E42B18" w:rsidRDefault="009629C4">
      <w:pPr>
        <w:pStyle w:val="Descriptiontitle"/>
        <w:ind w:left="0"/>
        <w:rPr>
          <w:noProof/>
        </w:rPr>
      </w:pPr>
      <w:r>
        <w:rPr>
          <w:noProof/>
        </w:rPr>
        <w:t xml:space="preserve">Investoinnin tavoitteena on kehittää yhdennetty ja kansalaiskeskeinen digitaalisten julkisten palvelujen ekosysteemi, varmistaa niiden laajamittainen käyttöönotto keskus- ja paikallishallinnossa ja parantaa yleistä käyttäjäkokemusta. </w:t>
      </w:r>
    </w:p>
    <w:p w14:paraId="18A48F7D" w14:textId="77777777" w:rsidR="00E42B18" w:rsidRDefault="009629C4">
      <w:pPr>
        <w:pStyle w:val="Descriptiontitle"/>
        <w:ind w:left="0"/>
        <w:rPr>
          <w:noProof/>
        </w:rPr>
      </w:pPr>
      <w:r>
        <w:rPr>
          <w:noProof/>
        </w:rPr>
        <w:t xml:space="preserve">Toimenpiteellä </w:t>
      </w:r>
    </w:p>
    <w:p w14:paraId="7C217909" w14:textId="77777777" w:rsidR="00E42B18" w:rsidRDefault="009629C4">
      <w:pPr>
        <w:pStyle w:val="Descriptiontitle"/>
        <w:numPr>
          <w:ilvl w:val="0"/>
          <w:numId w:val="56"/>
        </w:numPr>
        <w:ind w:left="578" w:hanging="578"/>
        <w:rPr>
          <w:noProof/>
        </w:rPr>
      </w:pPr>
      <w:r>
        <w:rPr>
          <w:noProof/>
        </w:rPr>
        <w:t>määritellään uudelleenkäytettävät palveluntarjontamallit, joilla varmistetaan täydet esteettömyysvaatimukset (investointi 1.4.1 – Kansalaiskokemus – digitaalisten julkisten palvelujen laadun ja käytettävyyden parantaminen);</w:t>
      </w:r>
    </w:p>
    <w:p w14:paraId="2B2D4B2D" w14:textId="77777777" w:rsidR="00E42B18" w:rsidRDefault="009629C4">
      <w:pPr>
        <w:pStyle w:val="Descriptiontitle"/>
        <w:numPr>
          <w:ilvl w:val="0"/>
          <w:numId w:val="56"/>
        </w:numPr>
        <w:ind w:left="578" w:hanging="578"/>
        <w:rPr>
          <w:noProof/>
        </w:rPr>
      </w:pPr>
      <w:r>
        <w:rPr>
          <w:noProof/>
        </w:rPr>
        <w:t>parannetaan digitaalisten julkisten palvelujen saavutettavuutta (investointi 1.4.2 – Kansalaisten osallistaminen: Digitaalisten julkisten palvelujen saavutettavuuden parantaminen);</w:t>
      </w:r>
    </w:p>
    <w:p w14:paraId="03A9CF66" w14:textId="77777777" w:rsidR="00E42B18" w:rsidRDefault="009629C4">
      <w:pPr>
        <w:pStyle w:val="Descriptiontitle"/>
        <w:numPr>
          <w:ilvl w:val="0"/>
          <w:numId w:val="56"/>
        </w:numPr>
        <w:ind w:left="578" w:hanging="578"/>
        <w:rPr>
          <w:noProof/>
        </w:rPr>
      </w:pPr>
      <w:r>
        <w:rPr>
          <w:noProof/>
        </w:rPr>
        <w:t>sisältää kansalaisten ja julkishallintojen välisten maksujen digitaalisen sovelluksen (PagoPa) ja ”IO”-sovelluksen hyväksymisen (investointi 1.4.3 – PagoPA-alustapalvelujen ja IO-sovelluksen käyttöönotto);</w:t>
      </w:r>
    </w:p>
    <w:p w14:paraId="24862B90" w14:textId="77777777" w:rsidR="00E42B18" w:rsidRDefault="009629C4">
      <w:pPr>
        <w:pStyle w:val="Descriptiontitle"/>
        <w:numPr>
          <w:ilvl w:val="0"/>
          <w:numId w:val="56"/>
        </w:numPr>
        <w:ind w:left="578" w:hanging="578"/>
        <w:rPr>
          <w:noProof/>
        </w:rPr>
      </w:pPr>
      <w:r>
        <w:rPr>
          <w:noProof/>
        </w:rPr>
        <w:t>edistää kansallisten digitaalisen identiteetin alustojen (Sistema Pubblico di Identità Digitale, SPID ja Carta d’Identità Elettronica, CIE) ja kansallisen rekisterin (Anagrafe nazionale della popolazione residente, ANPR) käyttöönottoa (investointi 1.4.4 – Kansallisten digitaalisen identiteetin alustojen (SPID, CIE) ja kansallisen rekisterin (ANPR) käyttöönotto);</w:t>
      </w:r>
    </w:p>
    <w:p w14:paraId="4A41ECEF" w14:textId="77777777" w:rsidR="00E42B18" w:rsidRDefault="009629C4">
      <w:pPr>
        <w:pStyle w:val="Descriptiontitle"/>
        <w:numPr>
          <w:ilvl w:val="0"/>
          <w:numId w:val="56"/>
        </w:numPr>
        <w:ind w:left="578" w:hanging="578"/>
        <w:rPr>
          <w:noProof/>
        </w:rPr>
      </w:pPr>
      <w:r>
        <w:rPr>
          <w:noProof/>
        </w:rPr>
        <w:t>perustetaan keskitetty ilmoitusalusta (investointi 1.4.5 – Julkisten ilmoitusten digitalisointi);</w:t>
      </w:r>
    </w:p>
    <w:p w14:paraId="5E2B5A73" w14:textId="6FBAB085" w:rsidR="00E42B18" w:rsidRDefault="009629C4">
      <w:pPr>
        <w:pStyle w:val="Descriptiontitle"/>
        <w:numPr>
          <w:ilvl w:val="0"/>
          <w:numId w:val="56"/>
        </w:numPr>
        <w:ind w:left="578" w:hanging="578"/>
        <w:rPr>
          <w:noProof/>
        </w:rPr>
      </w:pPr>
      <w:r>
        <w:rPr>
          <w:noProof/>
        </w:rPr>
        <w:t>liikkuvuus palveluna (MaaS) (investointi 1.4.6 – Liikkuvuus palveluna Italialle; viimeinen toimenpide rahoitetaan rahoitustuella, jota ei makseta takaisin).</w:t>
      </w:r>
    </w:p>
    <w:p w14:paraId="6505A8F2" w14:textId="77777777" w:rsidR="00E42B18" w:rsidRDefault="009629C4">
      <w:pPr>
        <w:pStyle w:val="P68B1DB1-Normal5"/>
        <w:spacing w:before="240" w:after="120"/>
        <w:jc w:val="both"/>
        <w:rPr>
          <w:noProof/>
        </w:rPr>
      </w:pPr>
      <w:r>
        <w:rPr>
          <w:noProof/>
        </w:rPr>
        <w:t>Investointi 1.5 – Kyberturvallisuus</w:t>
      </w:r>
    </w:p>
    <w:p w14:paraId="252F3C4F" w14:textId="77777777" w:rsidR="00E42B18" w:rsidRDefault="009629C4">
      <w:pPr>
        <w:pStyle w:val="Descriptiontitle"/>
        <w:ind w:left="0"/>
        <w:rPr>
          <w:noProof/>
        </w:rPr>
      </w:pPr>
      <w:r>
        <w:rPr>
          <w:noProof/>
        </w:rPr>
        <w:t>Investoinnin tavoitteena on vahvistaa Italian puolustusta kyberrikollisuuden aiheuttamilta riskeiltä erityisesti ottamalla käyttöön kyberturvallisuuden kansallinen mittari verkko- ja tietojärjestelmien turvallisuudesta annetussa direktiivissä (EU) 2016/1148 (verkko- ja tietoturvadirektiivi) vahvistettujen turvallisuusvaatimusten mukaisesti ja vahvistamalla kansallisia kyberpuolustusvalmiuksia teknisissä tarkastuksissa ja riskien seurannassa.</w:t>
      </w:r>
    </w:p>
    <w:p w14:paraId="202967DC" w14:textId="77777777" w:rsidR="00E42B18" w:rsidRDefault="009629C4">
      <w:pPr>
        <w:pStyle w:val="Descriptiontitle"/>
        <w:ind w:left="0"/>
        <w:rPr>
          <w:noProof/>
        </w:rPr>
      </w:pPr>
      <w:r>
        <w:rPr>
          <w:noProof/>
        </w:rPr>
        <w:t>Toimenpiteen tarkoituksena on kehittää viimeisintä kehitystä edustava integroitu järjestelmä, joka yhdistää tiiviisti eri tahot eri puolilla maata ja muodostaa kansainvälisen yhteyden kumppaneihin ja luotettaviin teknologian tarjoajiin. Tämä jakautuu neljään pilariin: I) vahvistetaan yleisöön ja yrityksiin/yhteisöihin kohdistuvia etulinjan valmiuksia hallita varoituksia ja toteutuneita julkisesti tunnustettuja tapahtumia; II) rakentamaan/vahvistamaan maan tarkastus- ja tarkastusvalmiuksia sellaisten laitteistojen ja ohjelmistojen osalta, joita keskeisiä toimintoja suorittavat henkilöt käyttävät varmentaakseen luotettavuuden/ennaltaehkäisevien uhkien; III) tehostaa poliisivoimien lainvalvonta- ja kyberyksikköjä, jotka vastaavat rikollisen toiminnan tutkinnasta; IV) vahvistetaan merkittävästi kyberresursseja ja -henkilöstöä, jotka vastaavat kansallisesta turvallisuudesta ja kyberuhkiin reagoimisesta.</w:t>
      </w:r>
    </w:p>
    <w:p w14:paraId="27D750DD" w14:textId="77777777" w:rsidR="00E42B18" w:rsidRDefault="009629C4">
      <w:pPr>
        <w:pStyle w:val="P68B1DB1-Normal5"/>
        <w:spacing w:before="120" w:after="120"/>
        <w:jc w:val="both"/>
        <w:rPr>
          <w:noProof/>
        </w:rPr>
      </w:pPr>
      <w:r>
        <w:rPr>
          <w:noProof/>
        </w:rPr>
        <w:t>Investointi 1.6 – Suurten keskushallintojen digitalisaatio</w:t>
      </w:r>
    </w:p>
    <w:p w14:paraId="0A45E656" w14:textId="17750E41" w:rsidR="00E42B18" w:rsidRDefault="009629C4">
      <w:pPr>
        <w:pStyle w:val="P68B1DB1-Normal7"/>
        <w:jc w:val="both"/>
        <w:rPr>
          <w:noProof/>
        </w:rPr>
      </w:pPr>
      <w:r>
        <w:rPr>
          <w:noProof/>
        </w:rPr>
        <w:t>Investoinnin tavoitteena on tehostaa ja yksinkertaistaa tärkeimpien keskushallintojen menettelyjä. Näitä ovat i) sisäministeriö, ii) oikeusministeriö, iii) kansallinen sosiaaliturvalaitos (INPS) ja kansallinen työtapaturmavakuutuslaitos (INAIL), iv) puolustusministeriö, v) korkein hallinto-oikeus ja vi) valtiovarainpoliisi. Investointi koostuu niiden toimialaan kuuluvien ensisijaisten prosessien, toimintojen ja palvelujen uudelleensuunnittelusta ja digitalisoinnista.</w:t>
      </w:r>
    </w:p>
    <w:p w14:paraId="6F822F7F" w14:textId="77777777" w:rsidR="00E42B18" w:rsidRDefault="009629C4">
      <w:pPr>
        <w:pStyle w:val="P68B1DB1-Normal5"/>
        <w:spacing w:before="240" w:after="120"/>
        <w:jc w:val="both"/>
        <w:rPr>
          <w:noProof/>
        </w:rPr>
      </w:pPr>
      <w:r>
        <w:rPr>
          <w:noProof/>
        </w:rPr>
        <w:t>Investointi 1.7 – Digitaaliset perustaidot</w:t>
      </w:r>
    </w:p>
    <w:p w14:paraId="70650D66" w14:textId="77777777" w:rsidR="00E42B18" w:rsidRDefault="009629C4">
      <w:pPr>
        <w:pStyle w:val="Descriptiontitle"/>
        <w:ind w:left="0"/>
        <w:rPr>
          <w:noProof/>
        </w:rPr>
      </w:pPr>
      <w:r>
        <w:rPr>
          <w:rFonts w:eastAsiaTheme="minorEastAsia"/>
          <w:noProof/>
        </w:rPr>
        <w:t>Tämän investoinnin tavoitteena on vähentää digitaalisen syrjäytymisen vaarassa olevan väestön osuutta</w:t>
      </w:r>
      <w:r>
        <w:rPr>
          <w:noProof/>
        </w:rPr>
        <w:t xml:space="preserve"> </w:t>
      </w:r>
      <w:r>
        <w:rPr>
          <w:rFonts w:eastAsiaTheme="minorEastAsia"/>
          <w:noProof/>
        </w:rPr>
        <w:t xml:space="preserve"> tarjoamalla digitaalista koulutusta</w:t>
      </w:r>
      <w:r>
        <w:rPr>
          <w:noProof/>
        </w:rPr>
        <w:t xml:space="preserve">. </w:t>
      </w:r>
      <w:r>
        <w:rPr>
          <w:rFonts w:eastAsiaTheme="minorEastAsia"/>
          <w:noProof/>
        </w:rPr>
        <w:t>Sekoostuudigitaalisen syrjäytymisen vaarassa olevien henkilöidenkouluttamisesta n</w:t>
      </w:r>
      <w:r>
        <w:rPr>
          <w:noProof/>
        </w:rPr>
        <w:t>-tekijöiden kouluttamiseksi ja digitaalisten tukikeskusten verkoston vahvistamisesta.</w:t>
      </w:r>
    </w:p>
    <w:p w14:paraId="34292F77" w14:textId="70C0E751" w:rsidR="00E42B18" w:rsidRDefault="009629C4">
      <w:pPr>
        <w:pStyle w:val="P68B1DB1-Normal5"/>
        <w:rPr>
          <w:noProof/>
        </w:rPr>
      </w:pPr>
      <w:r>
        <w:rPr>
          <w:noProof/>
        </w:rPr>
        <w:t>Uudistus 1.1 – Tieto- ja viestintätekniikan hankinnat</w:t>
      </w:r>
    </w:p>
    <w:p w14:paraId="2B0EC06C" w14:textId="77777777" w:rsidR="00E42B18" w:rsidRDefault="009629C4">
      <w:pPr>
        <w:pStyle w:val="P68B1DB1-Normal8"/>
        <w:spacing w:before="120" w:after="120"/>
        <w:jc w:val="both"/>
        <w:rPr>
          <w:noProof/>
        </w:rPr>
      </w:pPr>
      <w:r>
        <w:rPr>
          <w:noProof/>
        </w:rPr>
        <w:t>Uudistuksen tavoitteena on varmistaa, että julkishallinto voi hankkia tieto- ja viestintätekniikkaratkaisuja oikea-aikaisemmin ja tehokkaammin virtaviivaistamalla ja nopeuttamalla TVT-palvelujen ja -omaisuuden hankintaprosessia.</w:t>
      </w:r>
    </w:p>
    <w:p w14:paraId="6FF8C10E" w14:textId="77777777" w:rsidR="00E42B18" w:rsidRDefault="009629C4">
      <w:pPr>
        <w:spacing w:before="120" w:after="120"/>
        <w:jc w:val="both"/>
        <w:rPr>
          <w:rFonts w:ascii="Times New Roman" w:eastAsia="Times New Roman" w:hAnsi="Times New Roman" w:cs="Times New Roman"/>
          <w:noProof/>
        </w:rPr>
      </w:pPr>
      <w:r>
        <w:rPr>
          <w:rFonts w:ascii="Times New Roman" w:eastAsia="Times New Roman" w:hAnsi="Times New Roman" w:cs="Times New Roman"/>
          <w:noProof/>
        </w:rPr>
        <w:t xml:space="preserve">Uudistuksen täytäntöönpano koostuu kolmesta toimintalinjasta. Ensinnäkin perustetaan yksi tietokanta, joka sisältää valkoisen luettelon talouden toimijoista, joilla on lupa tarjota tavaroita ja palveluja julkishallinnolle, ja otetaan käyttöön erityinen tekninen infrastruktuuri, joka mahdollistaa toimittajien sertifioinnin. Toiseksi on otettava käyttöön yksinkertaistettu lähestymistapa (”nopeutettu menettely”) PNRR-hankkeiden tieto- ja viestintätekniikan hankintojen virtaviivaistamiseksi. Kolmanneksi on perustettava digitaalinen hankintapalvelu, jonka tavoitteena on i) kattaa ainoastaan sertifioidut toimittajat (talouden toimijat voivat milloin tahansa pyytää sertifiointia direktiivin 2014/24/EU 64 artiklan mukaisesti); II) mahdollistaa tietyn tarpeen tyydyttävien toimittajien nopea tunnistaminen (esim. konfiguraattorin avulla); III) tarjottava viranomaisille intuitiivista käyttäjäkokemusta (esim. selkeä kuvaus tarjotuista palveluista, toimittajien vertaileva arviointi). Tämä yleinen rakenne perustuu Italian valtion hankintayksikön (CONSIP) olemassa oleviin valmiuksiin. </w:t>
      </w:r>
    </w:p>
    <w:p w14:paraId="35131D6A" w14:textId="77777777" w:rsidR="00E42B18" w:rsidRDefault="009629C4">
      <w:pPr>
        <w:spacing w:before="120" w:after="120"/>
        <w:jc w:val="both"/>
        <w:rPr>
          <w:noProof/>
        </w:rPr>
      </w:pPr>
      <w:r>
        <w:rPr>
          <w:rFonts w:ascii="Times New Roman" w:hAnsi="Times New Roman" w:cs="Times New Roman"/>
          <w:b/>
          <w:noProof/>
        </w:rPr>
        <w:t>Uudistus 1.2 – Muutostuki</w:t>
      </w:r>
      <w:r>
        <w:rPr>
          <w:noProof/>
        </w:rPr>
        <w:t xml:space="preserve"> </w:t>
      </w:r>
    </w:p>
    <w:p w14:paraId="20E65B26" w14:textId="5246D89C" w:rsidR="00E42B18" w:rsidRDefault="009629C4">
      <w:pPr>
        <w:pStyle w:val="P68B1DB1-Normal8"/>
        <w:spacing w:before="120" w:after="120"/>
        <w:jc w:val="both"/>
        <w:rPr>
          <w:noProof/>
        </w:rPr>
      </w:pPr>
      <w:r>
        <w:rPr>
          <w:noProof/>
        </w:rPr>
        <w:t xml:space="preserve">Uudistuksen tavoitteena on tukea kaikkien keskus- ja paikallishallintojen digitalisaatiota perustamalla erityinen ”digitaalisen valmistelutoimen muutostoimisto”. Muunnostoimisto koostuu tilapäisestä teknologia-alan pätevästä resurssireservistä, joka organisoi ja tukee siirtymispyrkimyksiä ja sertifioidun ulkoisen tuen ”pakettien” keskitettyä neuvottelua. </w:t>
      </w:r>
    </w:p>
    <w:p w14:paraId="4043819E" w14:textId="77777777" w:rsidR="00E42B18" w:rsidRDefault="009629C4">
      <w:pPr>
        <w:pStyle w:val="P68B1DB1-Normal7"/>
        <w:spacing w:before="120" w:after="120"/>
        <w:jc w:val="both"/>
        <w:rPr>
          <w:noProof/>
        </w:rPr>
      </w:pPr>
      <w:r>
        <w:rPr>
          <w:noProof/>
        </w:rPr>
        <w:t>Lisäksi toimenpiteen tarkoituksena on perustaa yritys, joka keskittyy ohjelmistojen kehittämiseen ja toiminnan hallinnointiin, jotta voidaan tukea keskushallintojen digitaalista tehostamista. Muutostoimisto tukee erityisesti julkishallintoa tähän komponenttiin sisältyvien investointien 1.1–1.7 täytäntöönpanossa ja tukee myös missioon 6 sisältyvien terveydenhuollon digitalisointiin liittyvien investointien ja uudistusten toteuttamista.</w:t>
      </w:r>
    </w:p>
    <w:p w14:paraId="78D068CE" w14:textId="77777777" w:rsidR="00E42B18" w:rsidRDefault="009629C4">
      <w:pPr>
        <w:pStyle w:val="P68B1DB1-Normal5"/>
        <w:spacing w:before="240" w:after="120"/>
        <w:jc w:val="both"/>
        <w:rPr>
          <w:noProof/>
        </w:rPr>
      </w:pPr>
      <w:r>
        <w:rPr>
          <w:noProof/>
        </w:rPr>
        <w:t>Uudistus 1.3 – Pilvipalvelut ensin ja yhteentoimivuus</w:t>
      </w:r>
    </w:p>
    <w:p w14:paraId="6E51A1F1" w14:textId="77777777" w:rsidR="00E42B18" w:rsidRDefault="009629C4">
      <w:pPr>
        <w:pStyle w:val="P68B1DB1-Normal8"/>
        <w:spacing w:before="120" w:after="120"/>
        <w:jc w:val="both"/>
        <w:rPr>
          <w:noProof/>
        </w:rPr>
      </w:pPr>
      <w:r>
        <w:rPr>
          <w:noProof/>
        </w:rPr>
        <w:t>Uudistuksen tavoitteena on poistaa pilvipalvelujen käyttöönoton esteet ja virtaviivaistaa byrokratiaa, joka hidastaa julkishallintojen välisiä tiedonvaihtoprosesseja ottamalla käyttöön kannustimia ja velvoitteita, joilla pyritään helpottamaan siirtymistä pilvipalveluihin ja poistamaan digitaalisten palvelujen laajaa käyttöönottoa haittaavat menettelylliset rajoitteet.</w:t>
      </w:r>
    </w:p>
    <w:p w14:paraId="4CBE852C" w14:textId="77777777" w:rsidR="00E42B18" w:rsidRDefault="009629C4">
      <w:pPr>
        <w:pStyle w:val="P68B1DB1-Normal8"/>
        <w:spacing w:before="120" w:after="120"/>
        <w:jc w:val="both"/>
        <w:rPr>
          <w:noProof/>
        </w:rPr>
      </w:pPr>
      <w:r>
        <w:rPr>
          <w:noProof/>
        </w:rPr>
        <w:t xml:space="preserve">Uudistuksessa on kolme toimintalinjaa. Ensinnäkin, koska pilvipalveluratkaisut edistävät kustannustehokkuutta tieto- ja viestintätekniikan (TVT) varainkäytössä ennalta määritellyn ”kestoajan” (esim. kolmen vuoden kuluttua muutoksen käynnistämisestä) jälkeen, hallintojen, jotka eivät ole noudattaneet pilvipalvelujen muutosta, on asetettava rajoituksia tieto- ja viestintätekniikan menoilleen. </w:t>
      </w:r>
    </w:p>
    <w:p w14:paraId="4407D51B" w14:textId="77777777" w:rsidR="00E42B18" w:rsidRDefault="009629C4">
      <w:pPr>
        <w:pStyle w:val="P68B1DB1-Normal8"/>
        <w:spacing w:before="120" w:after="120"/>
        <w:jc w:val="both"/>
        <w:rPr>
          <w:noProof/>
        </w:rPr>
      </w:pPr>
      <w:r>
        <w:rPr>
          <w:noProof/>
        </w:rPr>
        <w:t>Toiseksi pilvipalveluihin liittyviä menoja koskevia nykyisiä julkisen tilinpidon sääntöjä on tarkistettava osana pilvipalveluihin siirtymistä koskevia kannustimia. Koska siirtyminen pilvipalveluihin edellyttää tällä hetkellä määrärahojen siirtämistä pääomamenoista toimintamenoihin, pilvipalveluihin liittyvien menojen julkista kirjanpitoa koskevia sääntöjä on tarkistettava, jotta ei estetä julkishallintojen siirtymistä pilvipalveluihin.</w:t>
      </w:r>
    </w:p>
    <w:p w14:paraId="7B874AC4" w14:textId="77777777" w:rsidR="00E42B18" w:rsidRDefault="009629C4">
      <w:pPr>
        <w:spacing w:before="120" w:after="120"/>
        <w:jc w:val="both"/>
        <w:rPr>
          <w:rFonts w:ascii="Times New Roman" w:eastAsia="Times New Roman" w:hAnsi="Times New Roman" w:cs="Times New Roman"/>
          <w:noProof/>
        </w:rPr>
      </w:pPr>
      <w:r>
        <w:rPr>
          <w:rFonts w:ascii="Times New Roman" w:eastAsia="Times New Roman" w:hAnsi="Times New Roman" w:cs="Times New Roman"/>
          <w:noProof/>
        </w:rPr>
        <w:t>Kolmanneksi datan yhteentoimivuutta koskeviin sääntöihin liittyviä normeja on tarkistettava avointa dataa ja henkilötietojen käsittelyä koskevien säännösten mukaisesti, ja nykyisiä julkishallintojen välistä tiedonvaihtoa koskevia menettelyjä on yksinkertaistettava menettelynäkökohtien virtaviivaistamiseksi ja julkishallinnon tietokantojen välisen yhteentoimivuuden täytäntöönpanon nopeuttamiseksi. Lisäksi digitaalista kotipaikkaa on tarkasteltava uudelleen ja se on integroitava kansalliseen asuinpaikkarekisteriin (ANPR), jottakansalaiset ja julkishallinnot voivatreagoida digitaalisesti varmalla ja turvallisella tavalla.</w:t>
      </w:r>
    </w:p>
    <w:p w14:paraId="104C38DE" w14:textId="77777777" w:rsidR="00E42B18" w:rsidRDefault="009629C4">
      <w:pPr>
        <w:pStyle w:val="Axistitle"/>
        <w:ind w:left="0"/>
        <w:rPr>
          <w:noProof/>
        </w:rPr>
      </w:pPr>
      <w:r>
        <w:rPr>
          <w:noProof/>
        </w:rPr>
        <w:t>Toimintalinja 2 – Oikeusasiat</w:t>
      </w:r>
    </w:p>
    <w:p w14:paraId="572E5345" w14:textId="77777777" w:rsidR="00E42B18" w:rsidRDefault="009629C4">
      <w:pPr>
        <w:pStyle w:val="P68B1DB1-Normal5"/>
        <w:spacing w:before="240" w:after="120"/>
        <w:jc w:val="both"/>
        <w:rPr>
          <w:noProof/>
        </w:rPr>
      </w:pPr>
      <w:r>
        <w:rPr>
          <w:noProof/>
        </w:rPr>
        <w:t>Uudistus 1.4 – Siviilioikeus</w:t>
      </w:r>
    </w:p>
    <w:p w14:paraId="273D67DE" w14:textId="77777777" w:rsidR="00E42B18" w:rsidRDefault="009629C4">
      <w:pPr>
        <w:pStyle w:val="P68B1DB1-Normal8"/>
        <w:spacing w:before="120" w:after="120"/>
        <w:jc w:val="both"/>
        <w:rPr>
          <w:noProof/>
        </w:rPr>
      </w:pPr>
      <w:r>
        <w:rPr>
          <w:noProof/>
        </w:rPr>
        <w:t>Uudistuksen tavoitteena on lyhentää siviilioikeudellisten menettelyjen kestoa ja puuttua siviilituomioistuinten käsittelyruuhkaan. Uudistuksessa hyväksytään lainsäädäntötoimenpiteitä, joilla vähennetään tuomioistuinten käsiteltäväksi tulevien asioiden määrää, yksinkertaistetaan nykyisiä menettelyjä ja lisätään tuomioistuinten tuottavuutta.</w:t>
      </w:r>
    </w:p>
    <w:p w14:paraId="79C67567" w14:textId="77777777" w:rsidR="00E42B18" w:rsidRDefault="009629C4">
      <w:pPr>
        <w:pStyle w:val="P68B1DB1-Normal5"/>
        <w:spacing w:before="120" w:after="120"/>
        <w:jc w:val="both"/>
        <w:rPr>
          <w:noProof/>
        </w:rPr>
      </w:pPr>
      <w:r>
        <w:rPr>
          <w:noProof/>
        </w:rPr>
        <w:t>Uudistus 1.5 – Rikosoikeus</w:t>
      </w:r>
    </w:p>
    <w:p w14:paraId="4D92F4BE" w14:textId="69478345" w:rsidR="00E42B18" w:rsidRDefault="009629C4">
      <w:pPr>
        <w:pStyle w:val="P68B1DB1-Normal8"/>
        <w:spacing w:before="120" w:after="120"/>
        <w:jc w:val="both"/>
        <w:rPr>
          <w:noProof/>
        </w:rPr>
      </w:pPr>
      <w:r>
        <w:rPr>
          <w:noProof/>
        </w:rPr>
        <w:t>Uudistuksen tavoitteena on lyhentää rikosoikeudellisten menettelyjen kestoa. Uudistuksessa hyväksytään toimia, joilla yksinkertaistetaan nykyisiä menettelyjä ja lisätään tuomioistuinten tuottavuutta.</w:t>
      </w:r>
    </w:p>
    <w:p w14:paraId="19C3EE79" w14:textId="77777777" w:rsidR="00E42B18" w:rsidRDefault="009629C4">
      <w:pPr>
        <w:pStyle w:val="P68B1DB1-Normal5"/>
        <w:spacing w:before="240" w:after="120"/>
        <w:jc w:val="both"/>
        <w:rPr>
          <w:noProof/>
        </w:rPr>
      </w:pPr>
      <w:r>
        <w:rPr>
          <w:noProof/>
        </w:rPr>
        <w:t>Uudistus 1.6 – Maksukyvyttömyys</w:t>
      </w:r>
    </w:p>
    <w:p w14:paraId="0CA05C72" w14:textId="77777777" w:rsidR="00E42B18" w:rsidRDefault="009629C4">
      <w:pPr>
        <w:pStyle w:val="P68B1DB1-Normal8"/>
        <w:spacing w:before="120" w:after="120"/>
        <w:jc w:val="both"/>
        <w:rPr>
          <w:noProof/>
        </w:rPr>
      </w:pPr>
      <w:r>
        <w:rPr>
          <w:noProof/>
        </w:rPr>
        <w:t xml:space="preserve">Uudistuksella pyritään digitalisoimaan ja tehostamaan maksukyvyttömyysmenettelyjä ottamalla käyttöön ennakkovaroitusmekanismeja ennen maksukyvyttömyyttä sekä tuomioistuinten ja niitä valmistelevien laitosten erikoistumista maksukyvyttömyysmenettelyjen kaikkien vaiheiden tehokkaampaan hallinnointiin, myös oikeus- ja hallintoviranomaisten jäsenten koulutuksen ja erikoistumisen avulla. </w:t>
      </w:r>
    </w:p>
    <w:p w14:paraId="7F0735A3" w14:textId="77777777" w:rsidR="00E42B18" w:rsidRDefault="009629C4">
      <w:pPr>
        <w:pStyle w:val="P68B1DB1-Normal5"/>
        <w:spacing w:before="240" w:after="120"/>
        <w:jc w:val="both"/>
        <w:rPr>
          <w:noProof/>
        </w:rPr>
      </w:pPr>
      <w:r>
        <w:rPr>
          <w:noProof/>
        </w:rPr>
        <w:t>Uudistus 1.7 – Verotuomioistuimet</w:t>
      </w:r>
    </w:p>
    <w:p w14:paraId="52A19F35" w14:textId="77777777" w:rsidR="00E42B18" w:rsidRDefault="009629C4">
      <w:pPr>
        <w:pStyle w:val="P68B1DB1-Normal8"/>
        <w:spacing w:before="120" w:after="120"/>
        <w:jc w:val="both"/>
        <w:rPr>
          <w:noProof/>
        </w:rPr>
      </w:pPr>
      <w:r>
        <w:rPr>
          <w:noProof/>
        </w:rPr>
        <w:t>Uudistuksen tavoitteena on tehostaa verolainsäädännön täytäntöönpanoa ja vähentää kassaatiotuomioistuimeen tehtyjen valitusten suurta määrää.</w:t>
      </w:r>
    </w:p>
    <w:p w14:paraId="1D658ACC" w14:textId="77777777" w:rsidR="00E42B18" w:rsidRDefault="009629C4">
      <w:pPr>
        <w:pStyle w:val="P68B1DB1-Normal5"/>
        <w:spacing w:before="240" w:after="120"/>
        <w:jc w:val="both"/>
        <w:rPr>
          <w:noProof/>
        </w:rPr>
      </w:pPr>
      <w:r>
        <w:rPr>
          <w:noProof/>
        </w:rPr>
        <w:t>Uudistus 1.8 – Oikeusjärjestelmän digitalisointi</w:t>
      </w:r>
    </w:p>
    <w:p w14:paraId="5B8A8614" w14:textId="77777777" w:rsidR="00E42B18" w:rsidRDefault="009629C4">
      <w:pPr>
        <w:pStyle w:val="P68B1DB1-Normal7"/>
        <w:spacing w:before="120" w:after="120"/>
        <w:jc w:val="both"/>
        <w:rPr>
          <w:noProof/>
        </w:rPr>
      </w:pPr>
      <w:r>
        <w:rPr>
          <w:noProof/>
        </w:rPr>
        <w:t>Uudistuksen tavoitteena on digitalisoida siviili- ja rikosoikeudelliset menettelyt. Uudistuksessa otetaan käyttöön pakollinen sähköinen asiakirjojen arkistointi, perustetaan sähköinen työnkulku siviilioikeudellisia menettelyjä varten, digitalisoidaan ensimmäisessä oikeusasteessa käytäviä rikosoikeudellisia menettelyjä ja luodaan tietokanta siviilioikeudellisista päätöksistä.</w:t>
      </w:r>
    </w:p>
    <w:p w14:paraId="6C46A287" w14:textId="77777777" w:rsidR="00E42B18" w:rsidRDefault="009629C4">
      <w:pPr>
        <w:pStyle w:val="P68B1DB1-Normal5"/>
        <w:spacing w:before="240" w:after="120"/>
        <w:jc w:val="both"/>
        <w:rPr>
          <w:noProof/>
        </w:rPr>
      </w:pPr>
      <w:r>
        <w:rPr>
          <w:noProof/>
        </w:rPr>
        <w:t>Investointi 1.8 – Siviili-, rikos- ja hallintotuomioistuinten työhönottomenettelyt</w:t>
      </w:r>
    </w:p>
    <w:p w14:paraId="6CD5F925" w14:textId="77777777" w:rsidR="00E42B18" w:rsidRDefault="009629C4">
      <w:pPr>
        <w:pStyle w:val="P68B1DB1-Normal7"/>
        <w:spacing w:before="120" w:after="120"/>
        <w:jc w:val="both"/>
        <w:rPr>
          <w:noProof/>
        </w:rPr>
      </w:pPr>
      <w:r>
        <w:rPr>
          <w:noProof/>
        </w:rPr>
        <w:t>Tämän toimenpiteen tavoitteena on parantaa oikeudenkäytön laatua tukemalla hallinto-, siviili- ja rikostuomioistuinten sekä elpymis- ja palautumissuunnitelman täytäntöönpanosta ja oikeusjärjestelmän digitaalisesta siirtymästä vastaavien oikeusministeriön alueellisten ja keskusyksiköiden toimintaa. Investointi koostuu henkilöstön tilapäisestä palkkaamisesta koetoimistoon sekä elpymis- ja palautumissuunnitelman tavoitteiden toteuttamista tukevan teknisen ja hallinnollisen henkilöstön tilapäisestä palkkaamisesta.</w:t>
      </w:r>
    </w:p>
    <w:p w14:paraId="67C3F40E" w14:textId="77777777" w:rsidR="00E42B18" w:rsidRDefault="009629C4">
      <w:pPr>
        <w:pStyle w:val="Axistitle"/>
        <w:ind w:left="0"/>
        <w:rPr>
          <w:noProof/>
        </w:rPr>
      </w:pPr>
      <w:r>
        <w:rPr>
          <w:noProof/>
        </w:rPr>
        <w:t>Toimintalinja 3 – Julkishallinto</w:t>
      </w:r>
    </w:p>
    <w:p w14:paraId="6376A16A" w14:textId="77777777" w:rsidR="00E42B18" w:rsidRDefault="009629C4">
      <w:pPr>
        <w:pStyle w:val="P68B1DB1-Normal5"/>
        <w:spacing w:before="240" w:after="120"/>
        <w:jc w:val="both"/>
        <w:rPr>
          <w:noProof/>
        </w:rPr>
      </w:pPr>
      <w:r>
        <w:rPr>
          <w:noProof/>
        </w:rPr>
        <w:t>Uudistus 1.9 – Julkisen työllisyyden uudistus ja yksinkertaistaminen</w:t>
      </w:r>
    </w:p>
    <w:p w14:paraId="591B41AA" w14:textId="77777777" w:rsidR="00E42B18" w:rsidRDefault="009629C4">
      <w:pPr>
        <w:pStyle w:val="P68B1DB1-Normal7"/>
        <w:spacing w:before="120" w:after="120"/>
        <w:jc w:val="both"/>
        <w:rPr>
          <w:noProof/>
        </w:rPr>
      </w:pPr>
      <w:r>
        <w:rPr>
          <w:noProof/>
        </w:rPr>
        <w:t>Uudistuksen tavoitteena on vahvistaa julkisen työllisyyden kehystä ja yksinkertaistaa hallinnollisia menettelyjä yritysten ja kansalaisten hyödyksi. Uudistukseen sisältyy useita toimenpiteitä, joilla poistetaan tarpeettomia velvoitteita, otetaan käyttöön hiljaisen hyväksynnän mekanismeja, yksinkertaistetaan viestintää, yhdenmukaistetaan alueiden ja kuntien kanssa yhteisiä järjestelmiä, varmistetaan liiketoiminta- ja rakennusmenettelyjen yhteentoimivuus (SUAP &amp; SUE) ja määritellään keskeiset tulosindikaattorit hallinnon organisaatiomuutoksen ohjaamiseksi.</w:t>
      </w:r>
    </w:p>
    <w:p w14:paraId="05B2EEA7" w14:textId="77777777" w:rsidR="00E42B18" w:rsidRDefault="009629C4">
      <w:pPr>
        <w:pStyle w:val="P68B1DB1-Normal5"/>
        <w:spacing w:before="120" w:after="120"/>
        <w:jc w:val="both"/>
        <w:rPr>
          <w:noProof/>
        </w:rPr>
      </w:pPr>
      <w:r>
        <w:rPr>
          <w:noProof/>
        </w:rPr>
        <w:t>Uudistus 1.9 a – Uudistus koheesiopolitiikan täytäntöönpanon nopeuttamiseksi</w:t>
      </w:r>
    </w:p>
    <w:p w14:paraId="3C7A329E" w14:textId="77777777" w:rsidR="00E42B18" w:rsidRDefault="009629C4">
      <w:pPr>
        <w:spacing w:before="120" w:after="120"/>
        <w:jc w:val="both"/>
        <w:rPr>
          <w:rFonts w:ascii="Times New Roman" w:hAnsi="Times New Roman" w:cs="Times New Roman"/>
          <w:b/>
          <w:noProof/>
        </w:rPr>
      </w:pPr>
      <w:r>
        <w:rPr>
          <w:rFonts w:ascii="Times New Roman" w:hAnsi="Times New Roman" w:cs="Times New Roman"/>
          <w:noProof/>
        </w:rPr>
        <w:t xml:space="preserve">Uudistuksella pyritään nopeuttamaan koheesiopolitiikan täytäntöönpanoa ja tehokkuutta täydentämään kansallista elpymis- ja palautumissuunnitelmaa. Siinä on määrättävä päivämäärä, jona yksittäistä erityistalousaluetta koskeva strategiasuunnitelma hyväksytään. </w:t>
      </w:r>
      <w:r>
        <w:rPr>
          <w:rStyle w:val="s10"/>
          <w:rFonts w:ascii="Times New Roman" w:hAnsi="Times New Roman" w:cs="Times New Roman"/>
          <w:noProof/>
          <w:color w:val="000000" w:themeColor="text1"/>
        </w:rPr>
        <w:t xml:space="preserve">Kansallisessa </w:t>
      </w:r>
      <w:r>
        <w:rPr>
          <w:rFonts w:ascii="Times New Roman" w:hAnsi="Times New Roman" w:cs="Times New Roman"/>
          <w:noProof/>
        </w:rPr>
        <w:t xml:space="preserve"> </w:t>
      </w:r>
      <w:r>
        <w:rPr>
          <w:rStyle w:val="s10"/>
          <w:rFonts w:ascii="Times New Roman" w:hAnsi="Times New Roman" w:cs="Times New Roman"/>
          <w:noProof/>
          <w:color w:val="000000" w:themeColor="text1"/>
        </w:rPr>
        <w:t xml:space="preserve">lainsäädännössä edellytetään yhdistetyn konferenssin lausuntoa ennen sen muuttamista laiksi asetuksen nro 281/1997 mukaisesti. </w:t>
      </w:r>
      <w:r>
        <w:rPr>
          <w:rFonts w:ascii="Times New Roman" w:hAnsi="Times New Roman" w:cs="Times New Roman"/>
          <w:noProof/>
        </w:rPr>
        <w:t>Asetuksen (EU) 2021/241 9 artiklan mukaisesti uudistus voi saada tukea muista unionin ohjelmista ja välineistä edellyttäen, että tällaisella tuella ei kateta samoja kustannuksia. Elpymis- ja palautumistukiväline ei kata uudistuksen kustannuksia.</w:t>
      </w:r>
    </w:p>
    <w:p w14:paraId="36F4A8D9" w14:textId="77777777" w:rsidR="00E42B18" w:rsidRDefault="009629C4">
      <w:pPr>
        <w:pStyle w:val="P68B1DB1-Normal5"/>
        <w:spacing w:before="240" w:after="120"/>
        <w:jc w:val="both"/>
        <w:rPr>
          <w:noProof/>
        </w:rPr>
      </w:pPr>
      <w:r>
        <w:rPr>
          <w:noProof/>
        </w:rPr>
        <w:t>Investointi 1.9 – Teknisen avun antaminen ja valmiuksien kehittämisen vahvistaminen Italian elpymis- ja palautumissuunnitelman täytäntöönpanoa varten</w:t>
      </w:r>
    </w:p>
    <w:p w14:paraId="62FE5151" w14:textId="77777777" w:rsidR="00E42B18" w:rsidRDefault="009629C4">
      <w:pPr>
        <w:pStyle w:val="P68B1DB1-Normal7"/>
        <w:spacing w:before="120" w:after="120"/>
        <w:jc w:val="both"/>
        <w:rPr>
          <w:noProof/>
        </w:rPr>
      </w:pPr>
      <w:r>
        <w:rPr>
          <w:noProof/>
        </w:rPr>
        <w:t xml:space="preserve">Investoinnin tavoitteena on vahvistaa hallinnollisia valmiuksia Italian elpymis- ja palautumissuunnitelman täytäntöönpanoa varten. Investointi koostuu asiantuntijapoolin tilapäisestä rekrytoinnista, joka antaa teknistä apua hallinnoille ja vahvistaa niiden valmiuksia panna täytäntöön elpymis- ja palautumissuunnitelmassa kaavailtuja erityisiä aloitteita, ja siihen sisältyy julkisen sektorin työntekijöiden koulutusohjelmia valmiuksien kehittämisen vahvistamiseksi. </w:t>
      </w:r>
    </w:p>
    <w:p w14:paraId="51826B03" w14:textId="77777777" w:rsidR="00E42B18" w:rsidRDefault="009629C4">
      <w:pPr>
        <w:pStyle w:val="Axistitle"/>
        <w:ind w:left="0"/>
        <w:rPr>
          <w:noProof/>
        </w:rPr>
      </w:pPr>
      <w:r>
        <w:rPr>
          <w:noProof/>
        </w:rPr>
        <w:t>Toimintalinja 4 – Julkiset hankinnat ja julkishallinnon maksut</w:t>
      </w:r>
    </w:p>
    <w:p w14:paraId="13504316" w14:textId="77777777" w:rsidR="00E42B18" w:rsidRDefault="009629C4">
      <w:pPr>
        <w:pStyle w:val="P68B1DB1-Normal5"/>
        <w:spacing w:before="240" w:after="120"/>
        <w:jc w:val="both"/>
        <w:rPr>
          <w:bCs/>
          <w:noProof/>
        </w:rPr>
      </w:pPr>
      <w:r>
        <w:rPr>
          <w:noProof/>
        </w:rPr>
        <w:t>Uudistus 1.10 – Julkisia hankintoja koskevan lainsäädäntökehyksen uudistaminen</w:t>
      </w:r>
    </w:p>
    <w:p w14:paraId="092A532D" w14:textId="6812C185" w:rsidR="00E42B18" w:rsidRDefault="009629C4">
      <w:pPr>
        <w:pStyle w:val="P68B1DB1-Normal7"/>
        <w:jc w:val="both"/>
        <w:rPr>
          <w:b/>
          <w:noProof/>
        </w:rPr>
      </w:pPr>
      <w:r>
        <w:rPr>
          <w:noProof/>
        </w:rPr>
        <w:t>Uudistuksen tavoitteena on parantaa hankintaviranomaisten pätevyyttä ja ammatillistamista, lisätä kilpailua, yksinkertaistaa ja digitalisoida yhteishankintayksiköiden menettelyjä ja ottaa käyttöön kansallinen sähköinen hankintajärjestelmä. Tätä varten uudistukseen sisältyy säädösten hyväksyminen, mukaan lukien muutokset julkisia hankintoja koskevaan säännöstöön.</w:t>
      </w:r>
    </w:p>
    <w:p w14:paraId="37C590F5" w14:textId="77777777" w:rsidR="00E42B18" w:rsidRDefault="009629C4">
      <w:pPr>
        <w:pStyle w:val="P68B1DB1-Normal5"/>
        <w:spacing w:before="240" w:after="120"/>
        <w:jc w:val="both"/>
        <w:rPr>
          <w:noProof/>
        </w:rPr>
      </w:pPr>
      <w:r>
        <w:rPr>
          <w:noProof/>
        </w:rPr>
        <w:t>Uudistus 1.11 – Viranomaisten ja terveysviranomaisten maksuviivästysten vähentäminen</w:t>
      </w:r>
    </w:p>
    <w:p w14:paraId="3156D5E8" w14:textId="77777777" w:rsidR="00E42B18" w:rsidRDefault="009629C4">
      <w:pPr>
        <w:pStyle w:val="P68B1DB1-Normal7"/>
        <w:spacing w:before="240" w:after="120"/>
        <w:jc w:val="both"/>
        <w:rPr>
          <w:noProof/>
        </w:rPr>
      </w:pPr>
      <w:r>
        <w:rPr>
          <w:noProof/>
        </w:rPr>
        <w:t>Uudistuksen tavoitteena on puuttua pullonkauloihin, jotka aiheuttavat viivästyksiä maksujen suorittamisessa Italian keskus-, alue-, paikallis- ja terveysalan julkishallinnoilta ja viranomaisilta yrityksille, erityisesti toteuttamalla rakennetoimia ja kohdennettuja lainsäädäntötoimia.</w:t>
      </w:r>
    </w:p>
    <w:p w14:paraId="6B58E305" w14:textId="77777777" w:rsidR="00E42B18" w:rsidRDefault="009629C4">
      <w:pPr>
        <w:pStyle w:val="Axistitle"/>
        <w:ind w:left="0"/>
        <w:rPr>
          <w:noProof/>
        </w:rPr>
      </w:pPr>
      <w:r>
        <w:rPr>
          <w:noProof/>
        </w:rPr>
        <w:t>Toimintalinja 5 – Julkis- ja finanssipoliittiset uudistukset (verotus ja julkiset menot)</w:t>
      </w:r>
    </w:p>
    <w:p w14:paraId="4C0A2A6E" w14:textId="77777777" w:rsidR="00E42B18" w:rsidRDefault="009629C4">
      <w:pPr>
        <w:pStyle w:val="P68B1DB1-Normal5"/>
        <w:spacing w:before="240" w:after="120"/>
        <w:jc w:val="both"/>
        <w:rPr>
          <w:noProof/>
        </w:rPr>
      </w:pPr>
      <w:r>
        <w:rPr>
          <w:noProof/>
        </w:rPr>
        <w:t>Uudistus 1.12 – Verohallinnon uudistaminen</w:t>
      </w:r>
    </w:p>
    <w:p w14:paraId="3D0AA24A" w14:textId="77777777" w:rsidR="00E42B18" w:rsidRDefault="009629C4">
      <w:pPr>
        <w:pStyle w:val="P68B1DB1-Normal7"/>
        <w:jc w:val="both"/>
        <w:rPr>
          <w:noProof/>
        </w:rPr>
      </w:pPr>
      <w:r>
        <w:rPr>
          <w:noProof/>
        </w:rPr>
        <w:t>Verohallinnon uudistuksen tavoitteena on edistää verosäännösten noudattamista, tehostaa tarkastuksia ja valvontaa ja vähentää säännösten noudattamisesta veronmaksajille aiheutuvia kustannuksia hyväksymällä ja panemalla täytäntöön kohdennettuja lainsäädäntö- ja sääntelytoimenpiteitä.</w:t>
      </w:r>
    </w:p>
    <w:p w14:paraId="5C00D30A" w14:textId="77777777" w:rsidR="00E42B18" w:rsidRDefault="009629C4">
      <w:pPr>
        <w:pStyle w:val="P68B1DB1-Normal5"/>
        <w:spacing w:before="240" w:after="120"/>
        <w:jc w:val="both"/>
        <w:rPr>
          <w:noProof/>
        </w:rPr>
      </w:pPr>
      <w:r>
        <w:rPr>
          <w:noProof/>
        </w:rPr>
        <w:t>Uudistus 1.13 – Menojen uudelleentarkastelukehyksen uudistaminen</w:t>
      </w:r>
    </w:p>
    <w:p w14:paraId="26ACFE87" w14:textId="77777777" w:rsidR="00E42B18" w:rsidRDefault="009629C4">
      <w:pPr>
        <w:pStyle w:val="P68B1DB1-Normal7"/>
        <w:jc w:val="both"/>
        <w:rPr>
          <w:noProof/>
        </w:rPr>
      </w:pPr>
      <w:r>
        <w:rPr>
          <w:noProof/>
        </w:rPr>
        <w:t>Uudistuksen tavoitteena on lisätä kansallisen menojen uudelleentarkastelukehyksen tehokkuutta. Uudistus koostuu sitoumuksesta tehdä vuotuisia menoarviointeja vuosina 2023–2025 ja parantaa vihreän ja sukupuolitietoisen budjetoinnin käytäntöä.</w:t>
      </w:r>
    </w:p>
    <w:p w14:paraId="55AD36FE" w14:textId="77777777" w:rsidR="00E42B18" w:rsidRDefault="009629C4">
      <w:pPr>
        <w:pStyle w:val="P68B1DB1-Normal5"/>
        <w:rPr>
          <w:noProof/>
        </w:rPr>
      </w:pPr>
      <w:r>
        <w:rPr>
          <w:noProof/>
        </w:rPr>
        <w:t>Uudistus 1.14 – Valtiotasoa alemman tason finanssipoliittisen kehyksen uudistus</w:t>
      </w:r>
    </w:p>
    <w:p w14:paraId="71237FB8" w14:textId="77777777" w:rsidR="00E42B18" w:rsidRDefault="009629C4">
      <w:pPr>
        <w:pStyle w:val="P68B1DB1-Normal7"/>
        <w:jc w:val="both"/>
        <w:rPr>
          <w:noProof/>
        </w:rPr>
      </w:pPr>
      <w:r>
        <w:rPr>
          <w:noProof/>
        </w:rPr>
        <w:t>Uudistuksen tavoitteena on lisätä julkisen talouden suhteiden avoimuutta hallinnon eri tasoilla. Uudistuksessa määritellään ”verotuksen federalismin” parametrit niille alueille, joilla on tavanomainen asema, ja hyväksytään lakeja, jotka koskevat provinsseja ja suurkaupunkien finanssipoliittista federalismia.</w:t>
      </w:r>
    </w:p>
    <w:p w14:paraId="79E7A0B0" w14:textId="02F0B3F0" w:rsidR="00E42B18" w:rsidRDefault="009629C4">
      <w:pPr>
        <w:pStyle w:val="P68B1DB1-Normal5"/>
        <w:spacing w:before="240" w:after="120"/>
        <w:jc w:val="both"/>
        <w:rPr>
          <w:noProof/>
        </w:rPr>
      </w:pPr>
      <w:r>
        <w:rPr>
          <w:noProof/>
        </w:rPr>
        <w:t>Uudistus 1.15 – Julkisen tilinpidon sääntöjen uudistus</w:t>
      </w:r>
    </w:p>
    <w:p w14:paraId="460C810A" w14:textId="77777777" w:rsidR="00E42B18" w:rsidRDefault="009629C4">
      <w:pPr>
        <w:pStyle w:val="P68B1DB1-Normal7"/>
        <w:jc w:val="both"/>
        <w:rPr>
          <w:noProof/>
        </w:rPr>
      </w:pPr>
      <w:r>
        <w:rPr>
          <w:noProof/>
        </w:rPr>
        <w:t>Uudistuksen tavoitteena on ottaa käyttöön yksi ainoa julkisen sektorin suoriteperusteinen kirjanpitojärjestelmä, jossa ei oteta huomioon valtion omistamia yrityksiä. Uudistus koostuu käsitteellisen kehyksen, suoriteperusteisen kirjanpidon standardien ja moniulotteisen kirjanpitokaavion hyväksymisestä sekä koulutukseen siirtymisestä uuteen suoriteperusteiseen kirjanpitojärjestelmään.</w:t>
      </w:r>
    </w:p>
    <w:p w14:paraId="68BF3545" w14:textId="77777777" w:rsidR="00E42B18" w:rsidRDefault="009629C4">
      <w:pPr>
        <w:pStyle w:val="P68B1DB1-Normal5"/>
        <w:spacing w:before="120" w:after="120"/>
        <w:jc w:val="both"/>
        <w:rPr>
          <w:bCs/>
          <w:noProof/>
        </w:rPr>
      </w:pPr>
      <w:r>
        <w:rPr>
          <w:noProof/>
        </w:rPr>
        <w:t xml:space="preserve">Investointi 1.10 – Tuki pätevöitymiselle ja sähköisille hankinnoille </w:t>
      </w:r>
    </w:p>
    <w:p w14:paraId="0A6B93B4" w14:textId="77777777" w:rsidR="00E42B18" w:rsidRDefault="009629C4">
      <w:pPr>
        <w:pStyle w:val="P68B1DB1-Normal7"/>
        <w:spacing w:before="120" w:after="120"/>
        <w:jc w:val="both"/>
        <w:rPr>
          <w:noProof/>
        </w:rPr>
      </w:pPr>
      <w:r>
        <w:rPr>
          <w:noProof/>
        </w:rPr>
        <w:t>Tällä investoinnilla perustetaan julkisten ostajien ammatillistamista koskevan strategian puitteissa hankintaviranomaisille tarkoitettu hankintatukitoiminto, joka täyttää julkisia hankintoja koskevan koodeksin liitteen II.4 vaatimukset ja tukee niitä sähköisissä hankintamenettelyissä, tukee digitaalisten taitojen hankkimista ja antaa teknistä tukea julkisten hankintojen digitalisoinnin hyväksymisessä, mukaan lukien dynaamisten hankintajärjestelmien käyttö.</w:t>
      </w:r>
    </w:p>
    <w:p w14:paraId="5C0E08A0" w14:textId="77777777" w:rsidR="00E42B18" w:rsidRDefault="00E42B18">
      <w:pPr>
        <w:spacing w:before="120" w:after="120"/>
        <w:jc w:val="both"/>
        <w:rPr>
          <w:noProof/>
        </w:rPr>
        <w:sectPr w:rsidR="00E42B18" w:rsidSect="005F11B9">
          <w:headerReference w:type="even" r:id="rId18"/>
          <w:headerReference w:type="default" r:id="rId19"/>
          <w:footerReference w:type="even" r:id="rId20"/>
          <w:footerReference w:type="default" r:id="rId21"/>
          <w:headerReference w:type="first" r:id="rId22"/>
          <w:footerReference w:type="first" r:id="rId23"/>
          <w:pgSz w:w="11907" w:h="16839"/>
          <w:pgMar w:top="1440" w:right="1440" w:bottom="1440" w:left="1440" w:header="567" w:footer="567" w:gutter="0"/>
          <w:cols w:space="720"/>
          <w:docGrid w:linePitch="360"/>
        </w:sectPr>
      </w:pPr>
    </w:p>
    <w:p w14:paraId="216DD0B9" w14:textId="77777777" w:rsidR="00E42B18" w:rsidRDefault="009629C4">
      <w:pPr>
        <w:pStyle w:val="P68B1DB1-Heading39"/>
        <w:ind w:left="850" w:hanging="850"/>
        <w:rPr>
          <w:b/>
          <w:bCs/>
          <w:i/>
          <w:iCs/>
          <w:noProof/>
          <w:u w:val="single"/>
        </w:rPr>
      </w:pPr>
      <w:r>
        <w:rPr>
          <w:b/>
          <w:noProof/>
          <w:u w:val="single"/>
        </w:rPr>
        <w:t xml:space="preserve">A.2 </w:t>
      </w:r>
      <w:r>
        <w:rPr>
          <w:noProof/>
        </w:rPr>
        <w:t xml:space="preserve"> </w:t>
      </w:r>
      <w:r>
        <w:rPr>
          <w:b/>
          <w:noProof/>
          <w:u w:val="single"/>
        </w:rPr>
        <w:t>Seurantaa ja täytäntöönpanoa koskevat välitavoitteet, tavoitteet, indikaattorit ja aikataulu – rahoitustuki, jota ei makseta takaisin</w:t>
      </w:r>
    </w:p>
    <w:tbl>
      <w:tblPr>
        <w:tblW w:w="15735"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135"/>
        <w:gridCol w:w="1417"/>
        <w:gridCol w:w="992"/>
        <w:gridCol w:w="1418"/>
        <w:gridCol w:w="1559"/>
        <w:gridCol w:w="1276"/>
        <w:gridCol w:w="1417"/>
        <w:gridCol w:w="1418"/>
        <w:gridCol w:w="992"/>
        <w:gridCol w:w="852"/>
        <w:gridCol w:w="3259"/>
      </w:tblGrid>
      <w:tr w:rsidR="00E42B18" w14:paraId="4D5CE700" w14:textId="77777777">
        <w:trPr>
          <w:trHeight w:val="765"/>
          <w:tblHeader/>
        </w:trPr>
        <w:tc>
          <w:tcPr>
            <w:tcW w:w="1135" w:type="dxa"/>
            <w:vMerge w:val="restart"/>
            <w:shd w:val="clear" w:color="auto" w:fill="BDD7EE"/>
            <w:vAlign w:val="center"/>
            <w:hideMark/>
          </w:tcPr>
          <w:p w14:paraId="0CED0095" w14:textId="77777777" w:rsidR="00E42B18" w:rsidRDefault="009629C4">
            <w:pPr>
              <w:pStyle w:val="P68B1DB1-Normal10"/>
              <w:jc w:val="center"/>
              <w:rPr>
                <w:rFonts w:cs="Arial"/>
                <w:bCs/>
                <w:noProof/>
                <w:szCs w:val="20"/>
              </w:rPr>
            </w:pPr>
            <w:r>
              <w:rPr>
                <w:noProof/>
              </w:rPr>
              <w:t>Juokseva numero</w:t>
            </w:r>
          </w:p>
        </w:tc>
        <w:tc>
          <w:tcPr>
            <w:tcW w:w="1417" w:type="dxa"/>
            <w:vMerge w:val="restart"/>
            <w:shd w:val="clear" w:color="auto" w:fill="BDD7EE"/>
            <w:vAlign w:val="center"/>
            <w:hideMark/>
          </w:tcPr>
          <w:p w14:paraId="7B3C1085" w14:textId="77777777" w:rsidR="00E42B18" w:rsidRDefault="009629C4">
            <w:pPr>
              <w:pStyle w:val="P68B1DB1-Normal10"/>
              <w:jc w:val="center"/>
              <w:rPr>
                <w:rFonts w:cs="Arial"/>
                <w:bCs/>
                <w:noProof/>
                <w:szCs w:val="20"/>
              </w:rPr>
            </w:pPr>
            <w:r>
              <w:rPr>
                <w:noProof/>
              </w:rPr>
              <w:t>Toimenpide (uudistus tai investointi)</w:t>
            </w:r>
          </w:p>
        </w:tc>
        <w:tc>
          <w:tcPr>
            <w:tcW w:w="992" w:type="dxa"/>
            <w:vMerge w:val="restart"/>
            <w:shd w:val="clear" w:color="auto" w:fill="BDD7EE"/>
            <w:vAlign w:val="center"/>
            <w:hideMark/>
          </w:tcPr>
          <w:p w14:paraId="5FF42DA3" w14:textId="7C89005B" w:rsidR="00E42B18" w:rsidRDefault="009629C4">
            <w:pPr>
              <w:pStyle w:val="P68B1DB1-Normal10"/>
              <w:jc w:val="center"/>
              <w:rPr>
                <w:rFonts w:cs="Arial"/>
                <w:bCs/>
                <w:noProof/>
                <w:szCs w:val="20"/>
              </w:rPr>
            </w:pPr>
            <w:r>
              <w:rPr>
                <w:noProof/>
              </w:rPr>
              <w:t>Välitavoite/tavoite</w:t>
            </w:r>
          </w:p>
        </w:tc>
        <w:tc>
          <w:tcPr>
            <w:tcW w:w="1418" w:type="dxa"/>
            <w:vMerge w:val="restart"/>
            <w:shd w:val="clear" w:color="auto" w:fill="BDD7EE"/>
            <w:vAlign w:val="center"/>
            <w:hideMark/>
          </w:tcPr>
          <w:p w14:paraId="3587A1A1" w14:textId="77777777" w:rsidR="00E42B18" w:rsidRDefault="009629C4">
            <w:pPr>
              <w:pStyle w:val="P68B1DB1-Normal10"/>
              <w:jc w:val="center"/>
              <w:rPr>
                <w:rFonts w:cs="Arial"/>
                <w:bCs/>
                <w:noProof/>
                <w:szCs w:val="20"/>
              </w:rPr>
            </w:pPr>
            <w:r>
              <w:rPr>
                <w:noProof/>
              </w:rPr>
              <w:t>Nimi</w:t>
            </w:r>
          </w:p>
        </w:tc>
        <w:tc>
          <w:tcPr>
            <w:tcW w:w="1559" w:type="dxa"/>
            <w:vMerge w:val="restart"/>
            <w:shd w:val="clear" w:color="auto" w:fill="BDD7EE"/>
            <w:vAlign w:val="center"/>
            <w:hideMark/>
          </w:tcPr>
          <w:p w14:paraId="2F50680B" w14:textId="77777777" w:rsidR="00E42B18" w:rsidRDefault="009629C4">
            <w:pPr>
              <w:jc w:val="center"/>
              <w:rPr>
                <w:rFonts w:ascii="Arial Narrow" w:hAnsi="Arial Narrow" w:cs="Arial"/>
                <w:b/>
                <w:bCs/>
                <w:noProof/>
                <w:sz w:val="20"/>
                <w:szCs w:val="20"/>
              </w:rPr>
            </w:pPr>
            <w:r>
              <w:rPr>
                <w:rFonts w:ascii="Arial Narrow" w:hAnsi="Arial Narrow"/>
                <w:b/>
                <w:noProof/>
                <w:sz w:val="20"/>
              </w:rPr>
              <w:t>Laadulliset indikaattorit</w:t>
            </w:r>
            <w:r>
              <w:rPr>
                <w:rFonts w:ascii="Arial Narrow" w:hAnsi="Arial Narrow"/>
                <w:noProof/>
                <w:sz w:val="20"/>
              </w:rPr>
              <w:t xml:space="preserve"> </w:t>
            </w:r>
            <w:r>
              <w:rPr>
                <w:noProof/>
              </w:rPr>
              <w:br/>
            </w:r>
            <w:r>
              <w:rPr>
                <w:rFonts w:ascii="Arial Narrow" w:hAnsi="Arial Narrow"/>
                <w:b/>
                <w:noProof/>
                <w:sz w:val="20"/>
              </w:rPr>
              <w:t>(välitavoitteiden osalta)</w:t>
            </w:r>
          </w:p>
        </w:tc>
        <w:tc>
          <w:tcPr>
            <w:tcW w:w="4111" w:type="dxa"/>
            <w:gridSpan w:val="3"/>
            <w:shd w:val="clear" w:color="auto" w:fill="BDD7EE"/>
            <w:vAlign w:val="center"/>
            <w:hideMark/>
          </w:tcPr>
          <w:p w14:paraId="3AB43D92" w14:textId="77777777" w:rsidR="00E42B18" w:rsidRDefault="009629C4">
            <w:pPr>
              <w:jc w:val="center"/>
              <w:rPr>
                <w:rFonts w:ascii="Arial Narrow" w:hAnsi="Arial Narrow" w:cs="Arial"/>
                <w:b/>
                <w:bCs/>
                <w:noProof/>
                <w:sz w:val="20"/>
                <w:szCs w:val="20"/>
              </w:rPr>
            </w:pPr>
            <w:r>
              <w:rPr>
                <w:rFonts w:ascii="Arial Narrow" w:hAnsi="Arial Narrow"/>
                <w:b/>
                <w:noProof/>
                <w:sz w:val="20"/>
              </w:rPr>
              <w:t>Määrälliset indikaattorit</w:t>
            </w:r>
            <w:r>
              <w:rPr>
                <w:rFonts w:ascii="Arial Narrow" w:hAnsi="Arial Narrow"/>
                <w:noProof/>
                <w:sz w:val="20"/>
              </w:rPr>
              <w:t xml:space="preserve"> </w:t>
            </w:r>
            <w:r>
              <w:rPr>
                <w:noProof/>
              </w:rPr>
              <w:br/>
            </w:r>
            <w:r>
              <w:rPr>
                <w:rFonts w:ascii="Arial Narrow" w:hAnsi="Arial Narrow"/>
                <w:b/>
                <w:noProof/>
                <w:sz w:val="20"/>
              </w:rPr>
              <w:t>(tavoitteiden osalta)</w:t>
            </w:r>
          </w:p>
        </w:tc>
        <w:tc>
          <w:tcPr>
            <w:tcW w:w="1844" w:type="dxa"/>
            <w:gridSpan w:val="2"/>
            <w:shd w:val="clear" w:color="auto" w:fill="BDD7EE"/>
            <w:vAlign w:val="center"/>
            <w:hideMark/>
          </w:tcPr>
          <w:p w14:paraId="2FAAE022" w14:textId="77777777" w:rsidR="00E42B18" w:rsidRDefault="009629C4">
            <w:pPr>
              <w:pStyle w:val="P68B1DB1-Normal10"/>
              <w:jc w:val="center"/>
              <w:rPr>
                <w:rFonts w:cs="Arial"/>
                <w:bCs/>
                <w:noProof/>
                <w:szCs w:val="20"/>
              </w:rPr>
            </w:pPr>
            <w:r>
              <w:rPr>
                <w:noProof/>
              </w:rPr>
              <w:t>Alustava toteutusaikataulu</w:t>
            </w:r>
          </w:p>
        </w:tc>
        <w:tc>
          <w:tcPr>
            <w:tcW w:w="3259" w:type="dxa"/>
            <w:vMerge w:val="restart"/>
            <w:shd w:val="clear" w:color="auto" w:fill="BDD7EE"/>
            <w:vAlign w:val="center"/>
            <w:hideMark/>
          </w:tcPr>
          <w:p w14:paraId="496546E0" w14:textId="77777777" w:rsidR="00E42B18" w:rsidRDefault="009629C4">
            <w:pPr>
              <w:pStyle w:val="P68B1DB1-Normal10"/>
              <w:jc w:val="center"/>
              <w:rPr>
                <w:rFonts w:cs="Arial"/>
                <w:bCs/>
                <w:noProof/>
                <w:szCs w:val="20"/>
              </w:rPr>
            </w:pPr>
            <w:r>
              <w:rPr>
                <w:noProof/>
              </w:rPr>
              <w:t>Kunkin välitavoitteen ja tavoitteen kuvaus</w:t>
            </w:r>
          </w:p>
        </w:tc>
      </w:tr>
      <w:tr w:rsidR="00E42B18" w14:paraId="32D29FD6" w14:textId="77777777">
        <w:trPr>
          <w:trHeight w:val="561"/>
          <w:tblHeader/>
        </w:trPr>
        <w:tc>
          <w:tcPr>
            <w:tcW w:w="1135" w:type="dxa"/>
            <w:vMerge/>
            <w:vAlign w:val="center"/>
            <w:hideMark/>
          </w:tcPr>
          <w:p w14:paraId="0016CCDC" w14:textId="77777777" w:rsidR="00E42B18" w:rsidRDefault="00E42B18">
            <w:pPr>
              <w:jc w:val="center"/>
              <w:rPr>
                <w:rFonts w:ascii="Arial Narrow" w:hAnsi="Arial Narrow" w:cs="Arial"/>
                <w:b/>
                <w:bCs/>
                <w:noProof/>
                <w:sz w:val="20"/>
                <w:szCs w:val="20"/>
              </w:rPr>
            </w:pPr>
          </w:p>
        </w:tc>
        <w:tc>
          <w:tcPr>
            <w:tcW w:w="1417" w:type="dxa"/>
            <w:vMerge/>
            <w:vAlign w:val="center"/>
            <w:hideMark/>
          </w:tcPr>
          <w:p w14:paraId="05BDCFF1" w14:textId="77777777" w:rsidR="00E42B18" w:rsidRDefault="00E42B18">
            <w:pPr>
              <w:jc w:val="center"/>
              <w:rPr>
                <w:rFonts w:ascii="Arial Narrow" w:hAnsi="Arial Narrow" w:cs="Arial"/>
                <w:b/>
                <w:bCs/>
                <w:noProof/>
                <w:sz w:val="20"/>
                <w:szCs w:val="20"/>
              </w:rPr>
            </w:pPr>
          </w:p>
        </w:tc>
        <w:tc>
          <w:tcPr>
            <w:tcW w:w="992" w:type="dxa"/>
            <w:vMerge/>
            <w:vAlign w:val="center"/>
            <w:hideMark/>
          </w:tcPr>
          <w:p w14:paraId="5DDF16FC" w14:textId="77777777" w:rsidR="00E42B18" w:rsidRDefault="00E42B18">
            <w:pPr>
              <w:jc w:val="center"/>
              <w:rPr>
                <w:rFonts w:ascii="Arial Narrow" w:hAnsi="Arial Narrow" w:cs="Arial"/>
                <w:b/>
                <w:bCs/>
                <w:noProof/>
                <w:sz w:val="20"/>
                <w:szCs w:val="20"/>
              </w:rPr>
            </w:pPr>
          </w:p>
        </w:tc>
        <w:tc>
          <w:tcPr>
            <w:tcW w:w="1418" w:type="dxa"/>
            <w:vMerge/>
            <w:vAlign w:val="center"/>
            <w:hideMark/>
          </w:tcPr>
          <w:p w14:paraId="52819F26" w14:textId="77777777" w:rsidR="00E42B18" w:rsidRDefault="00E42B18">
            <w:pPr>
              <w:jc w:val="center"/>
              <w:rPr>
                <w:rFonts w:ascii="Arial Narrow" w:hAnsi="Arial Narrow" w:cs="Arial"/>
                <w:b/>
                <w:bCs/>
                <w:noProof/>
                <w:sz w:val="20"/>
                <w:szCs w:val="20"/>
              </w:rPr>
            </w:pPr>
          </w:p>
        </w:tc>
        <w:tc>
          <w:tcPr>
            <w:tcW w:w="1559" w:type="dxa"/>
            <w:vMerge/>
            <w:vAlign w:val="center"/>
            <w:hideMark/>
          </w:tcPr>
          <w:p w14:paraId="51C3681E" w14:textId="77777777" w:rsidR="00E42B18" w:rsidRDefault="00E42B18">
            <w:pPr>
              <w:jc w:val="center"/>
              <w:rPr>
                <w:rFonts w:ascii="Arial Narrow" w:hAnsi="Arial Narrow" w:cs="Arial"/>
                <w:b/>
                <w:bCs/>
                <w:noProof/>
                <w:sz w:val="20"/>
                <w:szCs w:val="20"/>
              </w:rPr>
            </w:pPr>
          </w:p>
        </w:tc>
        <w:tc>
          <w:tcPr>
            <w:tcW w:w="1276" w:type="dxa"/>
            <w:shd w:val="clear" w:color="auto" w:fill="BDD7EE"/>
            <w:vAlign w:val="center"/>
            <w:hideMark/>
          </w:tcPr>
          <w:p w14:paraId="507E35A4" w14:textId="77777777" w:rsidR="00E42B18" w:rsidRDefault="009629C4">
            <w:pPr>
              <w:pStyle w:val="P68B1DB1-Normal10"/>
              <w:jc w:val="center"/>
              <w:rPr>
                <w:rFonts w:cs="Arial"/>
                <w:bCs/>
                <w:noProof/>
                <w:szCs w:val="20"/>
              </w:rPr>
            </w:pPr>
            <w:r>
              <w:rPr>
                <w:noProof/>
              </w:rPr>
              <w:t>Mitta-yksikkö</w:t>
            </w:r>
          </w:p>
        </w:tc>
        <w:tc>
          <w:tcPr>
            <w:tcW w:w="1417" w:type="dxa"/>
            <w:shd w:val="clear" w:color="auto" w:fill="BDD7EE"/>
            <w:vAlign w:val="center"/>
            <w:hideMark/>
          </w:tcPr>
          <w:p w14:paraId="14DCC041" w14:textId="77777777" w:rsidR="00E42B18" w:rsidRDefault="009629C4">
            <w:pPr>
              <w:pStyle w:val="P68B1DB1-Normal10"/>
              <w:jc w:val="center"/>
              <w:rPr>
                <w:rFonts w:cs="Arial"/>
                <w:bCs/>
                <w:noProof/>
                <w:szCs w:val="20"/>
              </w:rPr>
            </w:pPr>
            <w:r>
              <w:rPr>
                <w:noProof/>
              </w:rPr>
              <w:t>Lähtötilanne</w:t>
            </w:r>
          </w:p>
        </w:tc>
        <w:tc>
          <w:tcPr>
            <w:tcW w:w="1418" w:type="dxa"/>
            <w:shd w:val="clear" w:color="auto" w:fill="BDD7EE"/>
            <w:vAlign w:val="center"/>
            <w:hideMark/>
          </w:tcPr>
          <w:p w14:paraId="73C831C3" w14:textId="77777777" w:rsidR="00E42B18" w:rsidRDefault="009629C4">
            <w:pPr>
              <w:pStyle w:val="P68B1DB1-Normal10"/>
              <w:jc w:val="center"/>
              <w:rPr>
                <w:rFonts w:cs="Arial"/>
                <w:bCs/>
                <w:noProof/>
                <w:szCs w:val="20"/>
              </w:rPr>
            </w:pPr>
            <w:r>
              <w:rPr>
                <w:noProof/>
              </w:rPr>
              <w:t>Päämäärä</w:t>
            </w:r>
          </w:p>
        </w:tc>
        <w:tc>
          <w:tcPr>
            <w:tcW w:w="992" w:type="dxa"/>
            <w:shd w:val="clear" w:color="auto" w:fill="BDD7EE"/>
            <w:vAlign w:val="center"/>
            <w:hideMark/>
          </w:tcPr>
          <w:p w14:paraId="6229EFDD" w14:textId="77777777" w:rsidR="00E42B18" w:rsidRDefault="009629C4">
            <w:pPr>
              <w:pStyle w:val="P68B1DB1-Normal10"/>
              <w:jc w:val="center"/>
              <w:rPr>
                <w:rFonts w:cs="Arial"/>
                <w:bCs/>
                <w:noProof/>
                <w:szCs w:val="20"/>
              </w:rPr>
            </w:pPr>
            <w:r>
              <w:rPr>
                <w:noProof/>
              </w:rPr>
              <w:t>Neljännes</w:t>
            </w:r>
          </w:p>
        </w:tc>
        <w:tc>
          <w:tcPr>
            <w:tcW w:w="852" w:type="dxa"/>
            <w:shd w:val="clear" w:color="auto" w:fill="BDD7EE"/>
            <w:vAlign w:val="center"/>
            <w:hideMark/>
          </w:tcPr>
          <w:p w14:paraId="7DE3CC05" w14:textId="77777777" w:rsidR="00E42B18" w:rsidRDefault="009629C4">
            <w:pPr>
              <w:pStyle w:val="P68B1DB1-Normal10"/>
              <w:jc w:val="center"/>
              <w:rPr>
                <w:rFonts w:cs="Arial"/>
                <w:bCs/>
                <w:noProof/>
                <w:szCs w:val="20"/>
              </w:rPr>
            </w:pPr>
            <w:r>
              <w:rPr>
                <w:noProof/>
              </w:rPr>
              <w:t>Vuosi</w:t>
            </w:r>
          </w:p>
        </w:tc>
        <w:tc>
          <w:tcPr>
            <w:tcW w:w="3259" w:type="dxa"/>
            <w:vMerge/>
            <w:vAlign w:val="center"/>
            <w:hideMark/>
          </w:tcPr>
          <w:p w14:paraId="2716DABF" w14:textId="77777777" w:rsidR="00E42B18" w:rsidRDefault="00E42B18">
            <w:pPr>
              <w:jc w:val="center"/>
              <w:rPr>
                <w:rFonts w:ascii="Arial Narrow" w:hAnsi="Arial Narrow" w:cs="Arial"/>
                <w:b/>
                <w:bCs/>
                <w:noProof/>
                <w:sz w:val="20"/>
                <w:szCs w:val="20"/>
              </w:rPr>
            </w:pPr>
          </w:p>
        </w:tc>
      </w:tr>
      <w:tr w:rsidR="00E42B18" w14:paraId="2805B3B2" w14:textId="77777777">
        <w:trPr>
          <w:trHeight w:val="309"/>
        </w:trPr>
        <w:tc>
          <w:tcPr>
            <w:tcW w:w="1135" w:type="dxa"/>
            <w:shd w:val="clear" w:color="auto" w:fill="C6EFCE"/>
            <w:noWrap/>
            <w:vAlign w:val="center"/>
          </w:tcPr>
          <w:p w14:paraId="554AB566" w14:textId="77777777" w:rsidR="00E42B18" w:rsidRDefault="009629C4">
            <w:pPr>
              <w:pStyle w:val="P68B1DB1-Normal11"/>
              <w:jc w:val="both"/>
              <w:rPr>
                <w:rFonts w:cs="Arial"/>
                <w:noProof/>
                <w:szCs w:val="20"/>
              </w:rPr>
            </w:pPr>
            <w:r>
              <w:rPr>
                <w:noProof/>
              </w:rPr>
              <w:t>M1C1–1</w:t>
            </w:r>
          </w:p>
        </w:tc>
        <w:tc>
          <w:tcPr>
            <w:tcW w:w="1417" w:type="dxa"/>
            <w:shd w:val="clear" w:color="auto" w:fill="C6EFCE"/>
            <w:noWrap/>
            <w:vAlign w:val="center"/>
          </w:tcPr>
          <w:p w14:paraId="2E1DF009" w14:textId="77777777" w:rsidR="00E42B18" w:rsidRDefault="009629C4">
            <w:pPr>
              <w:pStyle w:val="P68B1DB1-Normal11"/>
              <w:jc w:val="center"/>
              <w:rPr>
                <w:rFonts w:cs="Arial"/>
                <w:noProof/>
                <w:szCs w:val="20"/>
              </w:rPr>
            </w:pPr>
            <w:r>
              <w:rPr>
                <w:noProof/>
              </w:rPr>
              <w:t>Uudistus 1.1: Tieto- ja viestintätekniikan hankinnat</w:t>
            </w:r>
          </w:p>
        </w:tc>
        <w:tc>
          <w:tcPr>
            <w:tcW w:w="992" w:type="dxa"/>
            <w:shd w:val="clear" w:color="auto" w:fill="C6EFCE"/>
            <w:noWrap/>
            <w:vAlign w:val="center"/>
          </w:tcPr>
          <w:p w14:paraId="4D8E44E9"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65F68EF6" w14:textId="77777777" w:rsidR="00E42B18" w:rsidRDefault="009629C4">
            <w:pPr>
              <w:pStyle w:val="P68B1DB1-Normal11"/>
              <w:jc w:val="center"/>
              <w:rPr>
                <w:rFonts w:cs="Arial"/>
                <w:noProof/>
                <w:szCs w:val="20"/>
              </w:rPr>
            </w:pPr>
            <w:r>
              <w:rPr>
                <w:noProof/>
              </w:rPr>
              <w:t>Lakiasetusten voimaantulo uudistuksessa 1.1 ”Tieto- ja viestintätekniikan hankinnat”</w:t>
            </w:r>
          </w:p>
        </w:tc>
        <w:tc>
          <w:tcPr>
            <w:tcW w:w="1559" w:type="dxa"/>
            <w:shd w:val="clear" w:color="auto" w:fill="C6EFCE"/>
            <w:noWrap/>
            <w:vAlign w:val="center"/>
          </w:tcPr>
          <w:p w14:paraId="3ED757EC" w14:textId="77777777" w:rsidR="00E42B18" w:rsidRDefault="009629C4">
            <w:pPr>
              <w:pStyle w:val="P68B1DB1-Normal12"/>
              <w:jc w:val="center"/>
              <w:rPr>
                <w:rFonts w:cs="Arial"/>
                <w:noProof/>
              </w:rPr>
            </w:pPr>
            <w:r>
              <w:rPr>
                <w:noProof/>
              </w:rPr>
              <w:t>Lakiin sisältyvä tieto- ja viestintätekniikan hankintauudistusta koskevan asetuksen voimaantuloa koskeva säännös</w:t>
            </w:r>
          </w:p>
        </w:tc>
        <w:tc>
          <w:tcPr>
            <w:tcW w:w="1276" w:type="dxa"/>
            <w:shd w:val="clear" w:color="auto" w:fill="C6EFCE"/>
            <w:noWrap/>
            <w:vAlign w:val="center"/>
          </w:tcPr>
          <w:p w14:paraId="6654C96E"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5DC072DA"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3B02F2A2"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7B22F7BB"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0786BAB2" w14:textId="77777777" w:rsidR="00E42B18" w:rsidRDefault="009629C4">
            <w:pPr>
              <w:pStyle w:val="P68B1DB1-Normal11"/>
              <w:jc w:val="center"/>
              <w:rPr>
                <w:rFonts w:cs="Arial"/>
                <w:noProof/>
                <w:szCs w:val="20"/>
              </w:rPr>
            </w:pPr>
            <w:r>
              <w:rPr>
                <w:noProof/>
              </w:rPr>
              <w:t>2021</w:t>
            </w:r>
          </w:p>
        </w:tc>
        <w:tc>
          <w:tcPr>
            <w:tcW w:w="3259" w:type="dxa"/>
            <w:shd w:val="clear" w:color="auto" w:fill="C6EFCE"/>
            <w:noWrap/>
            <w:vAlign w:val="center"/>
          </w:tcPr>
          <w:p w14:paraId="56B4F895" w14:textId="77777777" w:rsidR="00E42B18" w:rsidRDefault="009629C4">
            <w:pPr>
              <w:pStyle w:val="P68B1DB1-Normal12"/>
              <w:spacing w:after="120"/>
              <w:rPr>
                <w:noProof/>
              </w:rPr>
            </w:pPr>
            <w:r>
              <w:rPr>
                <w:noProof/>
              </w:rPr>
              <w:t>Tarvittavien säädösten on sisällettävä lainsäädäntötoimet yksinkertaistamista koskevassa asetuksessa (Decreto Legge Semplificazioni). Niissä on määrättävä:</w:t>
            </w:r>
          </w:p>
          <w:p w14:paraId="77B155A0" w14:textId="77777777" w:rsidR="00E42B18" w:rsidRDefault="009629C4">
            <w:pPr>
              <w:pStyle w:val="P68B1DB1-ListParagraph13"/>
              <w:ind w:left="0"/>
              <w:rPr>
                <w:rFonts w:cs="Arial"/>
                <w:noProof/>
              </w:rPr>
            </w:pPr>
            <w:r>
              <w:rPr>
                <w:noProof/>
              </w:rPr>
              <w:t>I) Mahdollisuus käyttää julkisia hankintoja koskevan koodeksin 48 artiklan 3 kohdassa tarkoitettua menettelyä myös hankintasopimuksissa, jotka ylittävät julkisia hankintoja koskevan koodeksin 35 §:ssä tarkoitetut kynnysarvot, kun on kyse erityisesti pilviteknologiaan perustuvien tietokonetuotteiden ja -palvelujen ostoista sekä yhteyspalveluista, jotka rahoitetaan kokonaan tai osittain PNRR-hankkeiden toteuttamiseen varatuilla resursseilla;</w:t>
            </w:r>
          </w:p>
          <w:p w14:paraId="692ED1BC" w14:textId="77777777" w:rsidR="00E42B18" w:rsidRDefault="009629C4">
            <w:pPr>
              <w:pStyle w:val="P68B1DB1-ListParagraph13"/>
              <w:ind w:left="0"/>
              <w:rPr>
                <w:rFonts w:cs="Arial"/>
                <w:noProof/>
              </w:rPr>
            </w:pPr>
            <w:r>
              <w:rPr>
                <w:noProof/>
              </w:rPr>
              <w:t>II) Julkisia hankintoja koskevan koodeksin 80 §:ssä tarkoitettujen vaatimusten tarkastamiseen osallistuvien sertifiointielinten hallinnoimien eri tietokantojen yhteentoimivuus;</w:t>
            </w:r>
          </w:p>
          <w:p w14:paraId="443107D1" w14:textId="77777777" w:rsidR="00E42B18" w:rsidRDefault="009629C4">
            <w:pPr>
              <w:pStyle w:val="P68B1DB1-ListParagraph13"/>
              <w:ind w:left="0"/>
              <w:rPr>
                <w:rFonts w:cs="Arial"/>
                <w:noProof/>
              </w:rPr>
            </w:pPr>
            <w:r>
              <w:rPr>
                <w:noProof/>
              </w:rPr>
              <w:t>III) Sellaisen talouden toimijoita koskevan virtuaalisen tiedoston laatiminen, jossa esitetään tiedot 80 artiklassa tarkoitettujen poissulkemisperusteiden puuttumisen todentamiseksi, jotta voidaan määritellä valkoinen luettelo talouden toimijoista, joiden osalta todentaminen on jo suoritettu.</w:t>
            </w:r>
          </w:p>
        </w:tc>
      </w:tr>
      <w:tr w:rsidR="00E42B18" w14:paraId="0BE7AD67" w14:textId="77777777">
        <w:trPr>
          <w:trHeight w:val="789"/>
        </w:trPr>
        <w:tc>
          <w:tcPr>
            <w:tcW w:w="1135" w:type="dxa"/>
            <w:shd w:val="clear" w:color="auto" w:fill="C6EFCE"/>
            <w:noWrap/>
            <w:vAlign w:val="center"/>
          </w:tcPr>
          <w:p w14:paraId="7DCB742D" w14:textId="77777777" w:rsidR="00E42B18" w:rsidRDefault="009629C4">
            <w:pPr>
              <w:pStyle w:val="P68B1DB1-Normal11"/>
              <w:jc w:val="center"/>
              <w:rPr>
                <w:rFonts w:cs="Arial"/>
                <w:noProof/>
                <w:szCs w:val="20"/>
              </w:rPr>
            </w:pPr>
            <w:r>
              <w:rPr>
                <w:noProof/>
              </w:rPr>
              <w:t>M1C1–2</w:t>
            </w:r>
          </w:p>
        </w:tc>
        <w:tc>
          <w:tcPr>
            <w:tcW w:w="1417" w:type="dxa"/>
            <w:shd w:val="clear" w:color="auto" w:fill="C6EFCE"/>
            <w:noWrap/>
            <w:vAlign w:val="center"/>
          </w:tcPr>
          <w:p w14:paraId="0134CB40" w14:textId="77777777" w:rsidR="00E42B18" w:rsidRDefault="009629C4">
            <w:pPr>
              <w:pStyle w:val="P68B1DB1-Normal11"/>
              <w:jc w:val="center"/>
              <w:rPr>
                <w:rFonts w:cs="Arial"/>
                <w:noProof/>
                <w:szCs w:val="20"/>
              </w:rPr>
            </w:pPr>
            <w:r>
              <w:rPr>
                <w:noProof/>
              </w:rPr>
              <w:t>Uudistus 1.3: Pilvipalvelut etusijalle ja yhteentoimivuus</w:t>
            </w:r>
          </w:p>
        </w:tc>
        <w:tc>
          <w:tcPr>
            <w:tcW w:w="992" w:type="dxa"/>
            <w:shd w:val="clear" w:color="auto" w:fill="C6EFCE"/>
            <w:noWrap/>
            <w:vAlign w:val="center"/>
          </w:tcPr>
          <w:p w14:paraId="6166151D"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2444E296" w14:textId="77777777" w:rsidR="00E42B18" w:rsidRDefault="009629C4">
            <w:pPr>
              <w:pStyle w:val="P68B1DB1-Normal11"/>
              <w:jc w:val="center"/>
              <w:rPr>
                <w:rFonts w:cs="Arial"/>
                <w:noProof/>
                <w:szCs w:val="20"/>
              </w:rPr>
            </w:pPr>
            <w:r>
              <w:rPr>
                <w:noProof/>
              </w:rPr>
              <w:t>Uudistusta 1.3 ”Pilvi ensin ja yhteentoimivuus” koskevien lakien voimaantulo</w:t>
            </w:r>
          </w:p>
        </w:tc>
        <w:tc>
          <w:tcPr>
            <w:tcW w:w="1559" w:type="dxa"/>
            <w:shd w:val="clear" w:color="auto" w:fill="C6EFCE"/>
            <w:noWrap/>
            <w:vAlign w:val="center"/>
          </w:tcPr>
          <w:p w14:paraId="01B56CC3" w14:textId="77777777" w:rsidR="00E42B18" w:rsidRDefault="009629C4">
            <w:pPr>
              <w:pStyle w:val="P68B1DB1-Normal12"/>
              <w:jc w:val="center"/>
              <w:rPr>
                <w:rFonts w:cs="Arial"/>
                <w:noProof/>
              </w:rPr>
            </w:pPr>
            <w:r>
              <w:rPr>
                <w:noProof/>
              </w:rPr>
              <w:t>Lain säännös, joka koskee pilvipalvelujen ensimmäistä kertaa ja yhteentoimivuuden uudistamista koskevan asetuksen voimaantuloa</w:t>
            </w:r>
          </w:p>
        </w:tc>
        <w:tc>
          <w:tcPr>
            <w:tcW w:w="1276" w:type="dxa"/>
            <w:shd w:val="clear" w:color="auto" w:fill="C6EFCE"/>
            <w:noWrap/>
            <w:vAlign w:val="center"/>
          </w:tcPr>
          <w:p w14:paraId="281A2745"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0E613EEA"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43B74E01"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6A3862A3"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102D0519" w14:textId="77777777" w:rsidR="00E42B18" w:rsidRDefault="009629C4">
            <w:pPr>
              <w:pStyle w:val="P68B1DB1-Normal11"/>
              <w:jc w:val="center"/>
              <w:rPr>
                <w:rFonts w:cs="Arial"/>
                <w:noProof/>
                <w:szCs w:val="20"/>
              </w:rPr>
            </w:pPr>
            <w:r>
              <w:rPr>
                <w:noProof/>
              </w:rPr>
              <w:t>2021</w:t>
            </w:r>
          </w:p>
        </w:tc>
        <w:tc>
          <w:tcPr>
            <w:tcW w:w="3259" w:type="dxa"/>
            <w:shd w:val="clear" w:color="auto" w:fill="C6EFCE"/>
            <w:noWrap/>
            <w:vAlign w:val="center"/>
          </w:tcPr>
          <w:p w14:paraId="2A29498E" w14:textId="77777777" w:rsidR="00E42B18" w:rsidRDefault="009629C4">
            <w:pPr>
              <w:pStyle w:val="P68B1DB1-Normal11"/>
              <w:spacing w:after="120"/>
              <w:rPr>
                <w:rFonts w:cs="Arial"/>
                <w:noProof/>
                <w:szCs w:val="20"/>
              </w:rPr>
            </w:pPr>
            <w:r>
              <w:rPr>
                <w:noProof/>
              </w:rPr>
              <w:t>Tarvittaviin säädöksiin on sisällyttävä seuraavat:</w:t>
            </w:r>
          </w:p>
          <w:p w14:paraId="0CF78C47" w14:textId="77777777" w:rsidR="00E42B18" w:rsidRDefault="009629C4">
            <w:pPr>
              <w:pStyle w:val="P68B1DB1-Normal12"/>
              <w:spacing w:after="120"/>
              <w:rPr>
                <w:rFonts w:cs="Arial"/>
                <w:noProof/>
              </w:rPr>
            </w:pPr>
            <w:r>
              <w:rPr>
                <w:noProof/>
              </w:rPr>
              <w:t>Täytäntöönpanosäädökset, jotka koskevat erityisesti i) Agenzia per l’Italia digitale (AgID) -asetusta (Polio Strategico Nazionale (PSN)) (josta säädetään asetuksen 179/212 33 §:ssä) ja ii) yhteentoimivuutta koskevia AgID:n suuntaviivoja (joista säädetään Codice dell’Amministrazione Digitalen (CAD) 50 ja 50 ter §:ssä).</w:t>
            </w:r>
          </w:p>
          <w:p w14:paraId="0FCD4268" w14:textId="77777777" w:rsidR="00E42B18" w:rsidRDefault="009629C4">
            <w:pPr>
              <w:pStyle w:val="P68B1DB1-Normal11"/>
              <w:spacing w:after="120"/>
              <w:rPr>
                <w:rFonts w:cs="Arial"/>
                <w:noProof/>
                <w:szCs w:val="20"/>
              </w:rPr>
            </w:pPr>
            <w:r>
              <w:rPr>
                <w:noProof/>
              </w:rPr>
              <w:t>Muutokset vakavaraisuusdirektiivin 50 artiklaan:</w:t>
            </w:r>
          </w:p>
          <w:p w14:paraId="5079559D" w14:textId="77777777" w:rsidR="00E42B18" w:rsidRDefault="009629C4">
            <w:pPr>
              <w:pStyle w:val="P68B1DB1-Normal12"/>
              <w:spacing w:after="120"/>
              <w:rPr>
                <w:rFonts w:cs="Arial"/>
                <w:noProof/>
              </w:rPr>
            </w:pPr>
            <w:r>
              <w:rPr>
                <w:noProof/>
              </w:rPr>
              <w:t>I) poistetaan velvoite tehdä puitesopimuksia hallinnoilta, joilla on pääsy kansalliseen digitaaliseen data-alustaan;</w:t>
            </w:r>
          </w:p>
          <w:p w14:paraId="59D64CF6" w14:textId="77777777" w:rsidR="00E42B18" w:rsidRDefault="009629C4">
            <w:pPr>
              <w:pStyle w:val="P68B1DB1-Normal11"/>
              <w:spacing w:after="120"/>
              <w:rPr>
                <w:rFonts w:cs="Arial"/>
                <w:noProof/>
                <w:szCs w:val="20"/>
              </w:rPr>
            </w:pPr>
            <w:r>
              <w:rPr>
                <w:noProof/>
              </w:rPr>
              <w:t>II) yksityisyyttä koskevat selvennykset: tietojen siirtäminen tietojärjestelmästä toiseen ei muuta tietojen omistajuutta ja käsittelyä, sanotun kuitenkaan rajoittamatta tietoja vastaanottavien ja niitä käsittelevien julkishallintojen vastuuta itsenäisinä rekisterinpitäjinä.</w:t>
            </w:r>
          </w:p>
          <w:p w14:paraId="0D536CE9" w14:textId="77777777" w:rsidR="00E42B18" w:rsidRDefault="009629C4">
            <w:pPr>
              <w:pStyle w:val="P68B1DB1-Normal12"/>
              <w:spacing w:after="120"/>
              <w:rPr>
                <w:rFonts w:cs="Arial"/>
                <w:noProof/>
              </w:rPr>
            </w:pPr>
            <w:r>
              <w:rPr>
                <w:noProof/>
              </w:rPr>
              <w:t>Muutokset asetukseen Decreto del Presidente della Repubblica (DPR) 445/2000 tietojen saatavuuden osalta:</w:t>
            </w:r>
          </w:p>
          <w:p w14:paraId="5485DD91" w14:textId="77777777" w:rsidR="00E42B18" w:rsidRDefault="009629C4">
            <w:pPr>
              <w:pStyle w:val="P68B1DB1-Normal12"/>
              <w:spacing w:after="120"/>
              <w:rPr>
                <w:rFonts w:cs="Arial"/>
                <w:noProof/>
              </w:rPr>
            </w:pPr>
            <w:r>
              <w:rPr>
                <w:noProof/>
              </w:rPr>
              <w:t>I) suoraa pääsyä tietoihin koskevan luvan kumoaminen;</w:t>
            </w:r>
          </w:p>
          <w:p w14:paraId="2E91E2FC" w14:textId="77777777" w:rsidR="00E42B18" w:rsidRDefault="009629C4">
            <w:pPr>
              <w:pStyle w:val="P68B1DB1-Normal11"/>
              <w:spacing w:after="120"/>
              <w:rPr>
                <w:rFonts w:cs="Arial"/>
                <w:noProof/>
                <w:szCs w:val="20"/>
              </w:rPr>
            </w:pPr>
            <w:r>
              <w:rPr>
                <w:noProof/>
              </w:rPr>
              <w:t>poistetaan viittaus puitejärjestelyihin 72 artiklasta.</w:t>
            </w:r>
          </w:p>
          <w:p w14:paraId="2DBDB930" w14:textId="77777777" w:rsidR="00E42B18" w:rsidRDefault="009629C4">
            <w:pPr>
              <w:pStyle w:val="P68B1DB1-Normal11"/>
              <w:spacing w:after="120"/>
              <w:rPr>
                <w:rFonts w:cs="Arial"/>
                <w:noProof/>
                <w:szCs w:val="20"/>
              </w:rPr>
            </w:pPr>
            <w:r>
              <w:rPr>
                <w:noProof/>
              </w:rPr>
              <w:t>Muutokset asetuksen 179/2012 33-septies §:ään:</w:t>
            </w:r>
          </w:p>
          <w:p w14:paraId="62761F88" w14:textId="77777777" w:rsidR="00E42B18" w:rsidRDefault="009629C4">
            <w:pPr>
              <w:pStyle w:val="P68B1DB1-Normal12"/>
              <w:spacing w:after="120"/>
              <w:rPr>
                <w:rFonts w:cs="Arial"/>
                <w:noProof/>
              </w:rPr>
            </w:pPr>
            <w:r>
              <w:rPr>
                <w:noProof/>
              </w:rPr>
              <w:t>I) annetaan AgID:lle mahdollisuus säännellä Centri Elaborazione Dati (CED) ja Cloud Regulations -säännöksillä ehtoja ja menetelmiä, joilla julkishallintojen on toteutettava CED-järjestelmään siirtyminen;</w:t>
            </w:r>
          </w:p>
          <w:p w14:paraId="68A48DFA" w14:textId="77777777" w:rsidR="00E42B18" w:rsidRDefault="009629C4">
            <w:pPr>
              <w:pStyle w:val="P68B1DB1-Normal12"/>
              <w:spacing w:after="120"/>
              <w:rPr>
                <w:rFonts w:cs="Arial"/>
                <w:noProof/>
              </w:rPr>
            </w:pPr>
            <w:r>
              <w:rPr>
                <w:noProof/>
              </w:rPr>
              <w:t>II) otetaan käyttöön seuraamuksia pilvipalveluihin siirtymistä koskevien velvoitteiden noudattamatta jättämisestä.</w:t>
            </w:r>
          </w:p>
        </w:tc>
      </w:tr>
      <w:tr w:rsidR="00E42B18" w14:paraId="6BF5A39D" w14:textId="77777777">
        <w:trPr>
          <w:trHeight w:val="309"/>
        </w:trPr>
        <w:tc>
          <w:tcPr>
            <w:tcW w:w="1135" w:type="dxa"/>
            <w:shd w:val="clear" w:color="auto" w:fill="C6EFCE"/>
            <w:noWrap/>
            <w:vAlign w:val="center"/>
            <w:hideMark/>
          </w:tcPr>
          <w:p w14:paraId="51F40C61" w14:textId="77777777" w:rsidR="00E42B18" w:rsidRDefault="009629C4">
            <w:pPr>
              <w:pStyle w:val="P68B1DB1-Normal11"/>
              <w:jc w:val="center"/>
              <w:rPr>
                <w:rFonts w:cs="Arial"/>
                <w:noProof/>
                <w:szCs w:val="20"/>
              </w:rPr>
            </w:pPr>
            <w:r>
              <w:rPr>
                <w:noProof/>
              </w:rPr>
              <w:t>M1C1–3</w:t>
            </w:r>
          </w:p>
        </w:tc>
        <w:tc>
          <w:tcPr>
            <w:tcW w:w="1417" w:type="dxa"/>
            <w:shd w:val="clear" w:color="auto" w:fill="C6EFCE"/>
            <w:noWrap/>
            <w:vAlign w:val="center"/>
            <w:hideMark/>
          </w:tcPr>
          <w:p w14:paraId="1A8BB56A" w14:textId="77777777" w:rsidR="00E42B18" w:rsidRDefault="009629C4">
            <w:pPr>
              <w:pStyle w:val="P68B1DB1-Normal11"/>
              <w:jc w:val="center"/>
              <w:rPr>
                <w:rFonts w:cs="Arial"/>
                <w:noProof/>
                <w:szCs w:val="20"/>
              </w:rPr>
            </w:pPr>
            <w:r>
              <w:rPr>
                <w:noProof/>
              </w:rPr>
              <w:t>Investointi 1.1: Digitaalinen infrastruktuuri</w:t>
            </w:r>
          </w:p>
        </w:tc>
        <w:tc>
          <w:tcPr>
            <w:tcW w:w="992" w:type="dxa"/>
            <w:shd w:val="clear" w:color="auto" w:fill="C6EFCE"/>
            <w:noWrap/>
            <w:vAlign w:val="center"/>
            <w:hideMark/>
          </w:tcPr>
          <w:p w14:paraId="7CBB649E"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hideMark/>
          </w:tcPr>
          <w:p w14:paraId="3C0FFBAF" w14:textId="77777777" w:rsidR="00E42B18" w:rsidRDefault="009629C4">
            <w:pPr>
              <w:pStyle w:val="P68B1DB1-Normal12"/>
              <w:jc w:val="center"/>
              <w:rPr>
                <w:rFonts w:cs="Arial"/>
                <w:noProof/>
              </w:rPr>
            </w:pPr>
            <w:r>
              <w:rPr>
                <w:noProof/>
              </w:rPr>
              <w:t>Polo Strategico Nazionalen (PSN) loppuun saattaminen</w:t>
            </w:r>
          </w:p>
        </w:tc>
        <w:tc>
          <w:tcPr>
            <w:tcW w:w="1559" w:type="dxa"/>
            <w:shd w:val="clear" w:color="auto" w:fill="C6EFCE"/>
            <w:noWrap/>
            <w:vAlign w:val="center"/>
            <w:hideMark/>
          </w:tcPr>
          <w:p w14:paraId="4C372CD5" w14:textId="77777777" w:rsidR="00E42B18" w:rsidRDefault="009629C4">
            <w:pPr>
              <w:pStyle w:val="P68B1DB1-Normal11"/>
              <w:jc w:val="center"/>
              <w:rPr>
                <w:rFonts w:cs="Arial"/>
                <w:noProof/>
                <w:szCs w:val="20"/>
              </w:rPr>
            </w:pPr>
            <w:r>
              <w:rPr>
                <w:noProof/>
              </w:rPr>
              <w:t>Raportti pilvipalvelujen käyttöönotosta, teknologisesta innovoinnista ja digitaalisesta siirtymästä vastaava ministeriö (MITD)</w:t>
            </w:r>
          </w:p>
        </w:tc>
        <w:tc>
          <w:tcPr>
            <w:tcW w:w="1276" w:type="dxa"/>
            <w:shd w:val="clear" w:color="auto" w:fill="C6EFCE"/>
            <w:noWrap/>
            <w:vAlign w:val="center"/>
          </w:tcPr>
          <w:p w14:paraId="7BBFD36C"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091ED398"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7EA81D58"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hideMark/>
          </w:tcPr>
          <w:p w14:paraId="127AC2D7"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hideMark/>
          </w:tcPr>
          <w:p w14:paraId="0A916DFA" w14:textId="77777777" w:rsidR="00E42B18" w:rsidRDefault="009629C4">
            <w:pPr>
              <w:pStyle w:val="P68B1DB1-Normal11"/>
              <w:jc w:val="center"/>
              <w:rPr>
                <w:rFonts w:cs="Arial"/>
                <w:noProof/>
                <w:szCs w:val="20"/>
              </w:rPr>
            </w:pPr>
            <w:r>
              <w:rPr>
                <w:noProof/>
              </w:rPr>
              <w:t>2022</w:t>
            </w:r>
          </w:p>
        </w:tc>
        <w:tc>
          <w:tcPr>
            <w:tcW w:w="3259" w:type="dxa"/>
            <w:shd w:val="clear" w:color="auto" w:fill="C6EFCE"/>
            <w:noWrap/>
            <w:vAlign w:val="center"/>
            <w:hideMark/>
          </w:tcPr>
          <w:p w14:paraId="0834C852" w14:textId="77777777" w:rsidR="00E42B18" w:rsidRDefault="009629C4">
            <w:pPr>
              <w:pStyle w:val="P68B1DB1-Normal12"/>
              <w:spacing w:after="120"/>
              <w:rPr>
                <w:rFonts w:cs="Arial"/>
                <w:noProof/>
              </w:rPr>
            </w:pPr>
            <w:r>
              <w:rPr>
                <w:noProof/>
              </w:rPr>
              <w:t>Koko hanke on saatettava kokonaisuudessaan päätökseen, kun kaikki kohteena olevat julkishallinnot ovat saattaneet päätökseen yksilöityjen telineiden siirtämisen kohti Polo Strategico Nazionale -verkkoa ja neljän tietokeskuksen testaus on saatu onnistuneesti päätökseen, mikä mahdollistaa kohdennettujen julkishallintojen tietoaineistojen ja sovellusten siirtymisprosessin kohti PSN:ää.</w:t>
            </w:r>
          </w:p>
        </w:tc>
      </w:tr>
      <w:tr w:rsidR="00E42B18" w14:paraId="2EB45B54" w14:textId="77777777">
        <w:trPr>
          <w:trHeight w:val="309"/>
        </w:trPr>
        <w:tc>
          <w:tcPr>
            <w:tcW w:w="1135" w:type="dxa"/>
            <w:shd w:val="clear" w:color="auto" w:fill="C6EFCE"/>
            <w:noWrap/>
            <w:vAlign w:val="center"/>
          </w:tcPr>
          <w:p w14:paraId="4992B638" w14:textId="77777777" w:rsidR="00E42B18" w:rsidRDefault="009629C4">
            <w:pPr>
              <w:pStyle w:val="P68B1DB1-Normal11"/>
              <w:jc w:val="center"/>
              <w:rPr>
                <w:rFonts w:cs="Arial"/>
                <w:noProof/>
                <w:szCs w:val="20"/>
              </w:rPr>
            </w:pPr>
            <w:r>
              <w:rPr>
                <w:noProof/>
              </w:rPr>
              <w:t>M1C1–4</w:t>
            </w:r>
          </w:p>
        </w:tc>
        <w:tc>
          <w:tcPr>
            <w:tcW w:w="1417" w:type="dxa"/>
            <w:shd w:val="clear" w:color="auto" w:fill="C6EFCE"/>
            <w:noWrap/>
            <w:vAlign w:val="center"/>
          </w:tcPr>
          <w:p w14:paraId="1C6569AC" w14:textId="77777777" w:rsidR="00E42B18" w:rsidRDefault="009629C4">
            <w:pPr>
              <w:pStyle w:val="P68B1DB1-Normal11"/>
              <w:jc w:val="center"/>
              <w:rPr>
                <w:rFonts w:cs="Arial"/>
                <w:noProof/>
                <w:szCs w:val="20"/>
              </w:rPr>
            </w:pPr>
            <w:r>
              <w:rPr>
                <w:noProof/>
              </w:rPr>
              <w:t>Investointi 1.3.1: Kansallinen digitaalidata-alusta</w:t>
            </w:r>
          </w:p>
        </w:tc>
        <w:tc>
          <w:tcPr>
            <w:tcW w:w="992" w:type="dxa"/>
            <w:shd w:val="clear" w:color="auto" w:fill="C6EFCE"/>
            <w:noWrap/>
            <w:vAlign w:val="center"/>
          </w:tcPr>
          <w:p w14:paraId="7993B177"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320C1519" w14:textId="77777777" w:rsidR="00E42B18" w:rsidRDefault="009629C4">
            <w:pPr>
              <w:pStyle w:val="P68B1DB1-Normal11"/>
              <w:jc w:val="center"/>
              <w:rPr>
                <w:rFonts w:cs="Arial"/>
                <w:noProof/>
                <w:szCs w:val="20"/>
              </w:rPr>
            </w:pPr>
            <w:r>
              <w:rPr>
                <w:noProof/>
              </w:rPr>
              <w:t>Kansallinen digitaalisten tietojen alusta toiminnassa</w:t>
            </w:r>
          </w:p>
        </w:tc>
        <w:tc>
          <w:tcPr>
            <w:tcW w:w="1559" w:type="dxa"/>
            <w:shd w:val="clear" w:color="auto" w:fill="C6EFCE"/>
            <w:noWrap/>
            <w:vAlign w:val="center"/>
          </w:tcPr>
          <w:p w14:paraId="14922518" w14:textId="77777777" w:rsidR="00E42B18" w:rsidRDefault="009629C4">
            <w:pPr>
              <w:pStyle w:val="P68B1DB1-Normal12"/>
              <w:jc w:val="center"/>
              <w:rPr>
                <w:rFonts w:cs="Arial"/>
                <w:noProof/>
              </w:rPr>
            </w:pPr>
            <w:r>
              <w:rPr>
                <w:noProof/>
              </w:rPr>
              <w:t>Teknologisesta innovoinnista ja digitaalisesta siirtymästä vastaavan ministeriön (MITD) raportti kansallisen digitaalisen data-alustan käyttöönotosta</w:t>
            </w:r>
          </w:p>
        </w:tc>
        <w:tc>
          <w:tcPr>
            <w:tcW w:w="1276" w:type="dxa"/>
            <w:shd w:val="clear" w:color="auto" w:fill="C6EFCE"/>
            <w:noWrap/>
            <w:vAlign w:val="center"/>
          </w:tcPr>
          <w:p w14:paraId="45A5C85C"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04044592"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32EDA4D7"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61D9ABCA"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76A03C7F" w14:textId="77777777" w:rsidR="00E42B18" w:rsidRDefault="009629C4">
            <w:pPr>
              <w:pStyle w:val="P68B1DB1-Normal11"/>
              <w:jc w:val="center"/>
              <w:rPr>
                <w:rFonts w:cs="Arial"/>
                <w:noProof/>
                <w:szCs w:val="20"/>
              </w:rPr>
            </w:pPr>
            <w:r>
              <w:rPr>
                <w:noProof/>
              </w:rPr>
              <w:t>2022</w:t>
            </w:r>
          </w:p>
        </w:tc>
        <w:tc>
          <w:tcPr>
            <w:tcW w:w="3259" w:type="dxa"/>
            <w:shd w:val="clear" w:color="auto" w:fill="C6EFCE"/>
            <w:noWrap/>
            <w:vAlign w:val="center"/>
          </w:tcPr>
          <w:p w14:paraId="7C3DC55A" w14:textId="77777777" w:rsidR="00E42B18" w:rsidRDefault="009629C4">
            <w:pPr>
              <w:pStyle w:val="P68B1DB1-Normal11"/>
              <w:spacing w:after="120"/>
              <w:rPr>
                <w:rFonts w:cs="Arial"/>
                <w:noProof/>
                <w:szCs w:val="20"/>
              </w:rPr>
            </w:pPr>
            <w:r>
              <w:rPr>
                <w:noProof/>
              </w:rPr>
              <w:t>Foorumin avulla virastot voivat</w:t>
            </w:r>
          </w:p>
          <w:p w14:paraId="68C8F937" w14:textId="77777777" w:rsidR="00E42B18" w:rsidRDefault="009629C4">
            <w:pPr>
              <w:pStyle w:val="P68B1DB1-Normal11"/>
              <w:spacing w:after="120"/>
              <w:rPr>
                <w:rFonts w:cs="Arial"/>
                <w:noProof/>
                <w:szCs w:val="20"/>
              </w:rPr>
            </w:pPr>
            <w:r>
              <w:rPr>
                <w:noProof/>
              </w:rPr>
              <w:t>— julkaistava sovellusrajapinnat (API) alustan API-luettelossa;</w:t>
            </w:r>
          </w:p>
          <w:p w14:paraId="010DA600" w14:textId="77777777" w:rsidR="00E42B18" w:rsidRDefault="009629C4">
            <w:pPr>
              <w:pStyle w:val="P68B1DB1-Normal12"/>
              <w:spacing w:after="120"/>
              <w:rPr>
                <w:rFonts w:cs="Arial"/>
                <w:noProof/>
              </w:rPr>
            </w:pPr>
            <w:r>
              <w:rPr>
                <w:noProof/>
              </w:rPr>
              <w:t>— tehdä ja allekirjoittaa digitaalista yhteentoimivuutta koskevia sopimuksia foorumin kautta;</w:t>
            </w:r>
          </w:p>
          <w:p w14:paraId="03A5FA83" w14:textId="77777777" w:rsidR="00E42B18" w:rsidRDefault="009629C4">
            <w:pPr>
              <w:pStyle w:val="P68B1DB1-Normal11"/>
              <w:spacing w:after="120"/>
              <w:rPr>
                <w:rFonts w:cs="Arial"/>
                <w:noProof/>
                <w:szCs w:val="20"/>
              </w:rPr>
            </w:pPr>
            <w:r>
              <w:rPr>
                <w:noProof/>
              </w:rPr>
              <w:t>— todentaa ja valtuuttaa API-liittymien käyttöoikeudet alustan toimintoja käyttäen;</w:t>
            </w:r>
          </w:p>
          <w:p w14:paraId="11882306" w14:textId="77777777" w:rsidR="00E42B18" w:rsidRDefault="009629C4">
            <w:pPr>
              <w:pStyle w:val="P68B1DB1-Normal12"/>
              <w:spacing w:after="120"/>
              <w:rPr>
                <w:rFonts w:cs="Arial"/>
                <w:noProof/>
              </w:rPr>
            </w:pPr>
            <w:r>
              <w:rPr>
                <w:noProof/>
              </w:rPr>
              <w:t>— validoi ja arvioi kansallisen yhteentoimivuuskehyksen noudattamista.</w:t>
            </w:r>
          </w:p>
        </w:tc>
      </w:tr>
      <w:tr w:rsidR="00E42B18" w14:paraId="6ED6DAE6" w14:textId="77777777">
        <w:trPr>
          <w:trHeight w:val="309"/>
        </w:trPr>
        <w:tc>
          <w:tcPr>
            <w:tcW w:w="1135" w:type="dxa"/>
            <w:shd w:val="clear" w:color="auto" w:fill="C6EFCE"/>
            <w:noWrap/>
            <w:vAlign w:val="center"/>
          </w:tcPr>
          <w:p w14:paraId="58207E49" w14:textId="77777777" w:rsidR="00E42B18" w:rsidRDefault="009629C4">
            <w:pPr>
              <w:pStyle w:val="P68B1DB1-Normal11"/>
              <w:jc w:val="center"/>
              <w:rPr>
                <w:rFonts w:cs="Arial"/>
                <w:noProof/>
                <w:szCs w:val="20"/>
              </w:rPr>
            </w:pPr>
            <w:r>
              <w:rPr>
                <w:noProof/>
              </w:rPr>
              <w:t>M1C1–5</w:t>
            </w:r>
          </w:p>
        </w:tc>
        <w:tc>
          <w:tcPr>
            <w:tcW w:w="1417" w:type="dxa"/>
            <w:shd w:val="clear" w:color="auto" w:fill="C6EFCE"/>
            <w:noWrap/>
            <w:vAlign w:val="center"/>
          </w:tcPr>
          <w:p w14:paraId="7199A197" w14:textId="77777777" w:rsidR="00E42B18" w:rsidRDefault="009629C4">
            <w:pPr>
              <w:pStyle w:val="P68B1DB1-Normal11"/>
              <w:jc w:val="center"/>
              <w:rPr>
                <w:rFonts w:cs="Arial"/>
                <w:noProof/>
                <w:szCs w:val="20"/>
              </w:rPr>
            </w:pPr>
            <w:r>
              <w:rPr>
                <w:noProof/>
              </w:rPr>
              <w:t>Investointi 1.5: Kyberturvallisuus</w:t>
            </w:r>
          </w:p>
        </w:tc>
        <w:tc>
          <w:tcPr>
            <w:tcW w:w="992" w:type="dxa"/>
            <w:shd w:val="clear" w:color="auto" w:fill="C6EFCE"/>
            <w:noWrap/>
            <w:vAlign w:val="center"/>
          </w:tcPr>
          <w:p w14:paraId="2DD90D5A"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7AE1F3F5" w14:textId="77777777" w:rsidR="00E42B18" w:rsidRDefault="009629C4">
            <w:pPr>
              <w:pStyle w:val="P68B1DB1-Normal11"/>
              <w:jc w:val="center"/>
              <w:rPr>
                <w:rFonts w:cs="Arial"/>
                <w:noProof/>
                <w:szCs w:val="20"/>
              </w:rPr>
            </w:pPr>
            <w:r>
              <w:rPr>
                <w:noProof/>
              </w:rPr>
              <w:t>Uuden kansallisen kyberturvallisuusviraston perustaminen</w:t>
            </w:r>
          </w:p>
        </w:tc>
        <w:tc>
          <w:tcPr>
            <w:tcW w:w="1559" w:type="dxa"/>
            <w:shd w:val="clear" w:color="auto" w:fill="C6EFCE"/>
            <w:noWrap/>
            <w:vAlign w:val="center"/>
          </w:tcPr>
          <w:p w14:paraId="4958FC08" w14:textId="77777777" w:rsidR="00E42B18" w:rsidRDefault="009629C4">
            <w:pPr>
              <w:pStyle w:val="P68B1DB1-Normal11"/>
              <w:jc w:val="center"/>
              <w:rPr>
                <w:rFonts w:cs="Arial"/>
                <w:noProof/>
                <w:szCs w:val="20"/>
              </w:rPr>
            </w:pPr>
            <w:r>
              <w:rPr>
                <w:noProof/>
              </w:rPr>
              <w:t>Hallintolaki</w:t>
            </w:r>
          </w:p>
        </w:tc>
        <w:tc>
          <w:tcPr>
            <w:tcW w:w="1276" w:type="dxa"/>
            <w:shd w:val="clear" w:color="auto" w:fill="C6EFCE"/>
            <w:noWrap/>
            <w:vAlign w:val="center"/>
          </w:tcPr>
          <w:p w14:paraId="75C9ACD3"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54F80666"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4A1A58B0"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6FC92569"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12AD264F" w14:textId="77777777" w:rsidR="00E42B18" w:rsidRDefault="009629C4">
            <w:pPr>
              <w:pStyle w:val="P68B1DB1-Normal11"/>
              <w:jc w:val="center"/>
              <w:rPr>
                <w:rFonts w:cs="Arial"/>
                <w:noProof/>
                <w:szCs w:val="20"/>
              </w:rPr>
            </w:pPr>
            <w:r>
              <w:rPr>
                <w:noProof/>
              </w:rPr>
              <w:t>2022</w:t>
            </w:r>
          </w:p>
        </w:tc>
        <w:tc>
          <w:tcPr>
            <w:tcW w:w="3259" w:type="dxa"/>
            <w:shd w:val="clear" w:color="auto" w:fill="C6EFCE"/>
            <w:noWrap/>
            <w:vAlign w:val="center"/>
          </w:tcPr>
          <w:p w14:paraId="17A34D3D" w14:textId="77777777" w:rsidR="00E42B18" w:rsidRDefault="009629C4">
            <w:pPr>
              <w:pStyle w:val="P68B1DB1-Normal12"/>
              <w:spacing w:after="120"/>
              <w:rPr>
                <w:rFonts w:cs="Arial"/>
                <w:noProof/>
              </w:rPr>
            </w:pPr>
            <w:r>
              <w:rPr>
                <w:noProof/>
              </w:rPr>
              <w:t>Välitavoite saavutetaan 1) muuttamalla kansallisen kyberturvallisuusviraston muodostava lakiasetus, jota ollaan parhaillaan viimeistelemässä, 2) kansallisen kyberturvallisuusviraston sisäiset säännöt sisältävän pääministerin asetuksen (Decreto del Presidente del Consiglio dei Ministri, DPCM) julkaiseminen virallisessa lehdessä.</w:t>
            </w:r>
          </w:p>
        </w:tc>
      </w:tr>
      <w:tr w:rsidR="00E42B18" w14:paraId="19389E19" w14:textId="77777777">
        <w:trPr>
          <w:trHeight w:val="309"/>
        </w:trPr>
        <w:tc>
          <w:tcPr>
            <w:tcW w:w="1135" w:type="dxa"/>
            <w:shd w:val="clear" w:color="auto" w:fill="C6EFCE"/>
            <w:noWrap/>
            <w:vAlign w:val="center"/>
          </w:tcPr>
          <w:p w14:paraId="43989D2B" w14:textId="77777777" w:rsidR="00E42B18" w:rsidRDefault="009629C4">
            <w:pPr>
              <w:pStyle w:val="P68B1DB1-Normal11"/>
              <w:jc w:val="center"/>
              <w:rPr>
                <w:rFonts w:cs="Arial"/>
                <w:noProof/>
                <w:szCs w:val="20"/>
              </w:rPr>
            </w:pPr>
            <w:r>
              <w:rPr>
                <w:noProof/>
              </w:rPr>
              <w:t>M1C1–6</w:t>
            </w:r>
          </w:p>
        </w:tc>
        <w:tc>
          <w:tcPr>
            <w:tcW w:w="1417" w:type="dxa"/>
            <w:shd w:val="clear" w:color="auto" w:fill="C6EFCE"/>
            <w:noWrap/>
            <w:vAlign w:val="center"/>
          </w:tcPr>
          <w:p w14:paraId="50D25EF3" w14:textId="77777777" w:rsidR="00E42B18" w:rsidRDefault="009629C4">
            <w:pPr>
              <w:pStyle w:val="P68B1DB1-Normal11"/>
              <w:jc w:val="center"/>
              <w:rPr>
                <w:rFonts w:cs="Arial"/>
                <w:noProof/>
                <w:szCs w:val="20"/>
              </w:rPr>
            </w:pPr>
            <w:r>
              <w:rPr>
                <w:noProof/>
              </w:rPr>
              <w:t>Investointi 1.5: Kyberturvallisuus</w:t>
            </w:r>
          </w:p>
        </w:tc>
        <w:tc>
          <w:tcPr>
            <w:tcW w:w="992" w:type="dxa"/>
            <w:shd w:val="clear" w:color="auto" w:fill="C6EFCE"/>
            <w:noWrap/>
            <w:vAlign w:val="center"/>
          </w:tcPr>
          <w:p w14:paraId="3191726F"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33DFE437" w14:textId="77777777" w:rsidR="00E42B18" w:rsidRDefault="009629C4">
            <w:pPr>
              <w:pStyle w:val="P68B1DB1-Normal11"/>
              <w:jc w:val="center"/>
              <w:rPr>
                <w:rFonts w:cs="Arial"/>
                <w:noProof/>
                <w:szCs w:val="20"/>
              </w:rPr>
            </w:pPr>
            <w:r>
              <w:rPr>
                <w:noProof/>
              </w:rPr>
              <w:t>Kansallisten kyberturvallisuuspalvelujen alustava käyttöönotto</w:t>
            </w:r>
          </w:p>
        </w:tc>
        <w:tc>
          <w:tcPr>
            <w:tcW w:w="1559" w:type="dxa"/>
            <w:shd w:val="clear" w:color="auto" w:fill="C6EFCE"/>
            <w:noWrap/>
            <w:vAlign w:val="center"/>
          </w:tcPr>
          <w:p w14:paraId="2F42EE4B" w14:textId="77777777" w:rsidR="00E42B18" w:rsidRDefault="009629C4">
            <w:pPr>
              <w:pStyle w:val="P68B1DB1-Normal12"/>
              <w:jc w:val="center"/>
              <w:rPr>
                <w:rFonts w:cs="Arial"/>
                <w:noProof/>
              </w:rPr>
            </w:pPr>
            <w:r>
              <w:rPr>
                <w:noProof/>
              </w:rPr>
              <w:t>Raportti, jossa osoitetaan kansallisten kyberturvallisuuspalvelujen koko arkkitehtuuri</w:t>
            </w:r>
          </w:p>
        </w:tc>
        <w:tc>
          <w:tcPr>
            <w:tcW w:w="1276" w:type="dxa"/>
            <w:shd w:val="clear" w:color="auto" w:fill="C6EFCE"/>
            <w:noWrap/>
            <w:vAlign w:val="center"/>
          </w:tcPr>
          <w:p w14:paraId="35BC84B2"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1C3B6527"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2DA43D65"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10D41653"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33691E55" w14:textId="77777777" w:rsidR="00E42B18" w:rsidRDefault="009629C4">
            <w:pPr>
              <w:pStyle w:val="P68B1DB1-Normal11"/>
              <w:jc w:val="center"/>
              <w:rPr>
                <w:rFonts w:cs="Arial"/>
                <w:noProof/>
                <w:szCs w:val="20"/>
              </w:rPr>
            </w:pPr>
            <w:r>
              <w:rPr>
                <w:noProof/>
              </w:rPr>
              <w:t>2022</w:t>
            </w:r>
          </w:p>
        </w:tc>
        <w:tc>
          <w:tcPr>
            <w:tcW w:w="3259" w:type="dxa"/>
            <w:shd w:val="clear" w:color="auto" w:fill="C6EFCE"/>
            <w:noWrap/>
            <w:vAlign w:val="center"/>
          </w:tcPr>
          <w:p w14:paraId="62BD74D9" w14:textId="77777777" w:rsidR="00E42B18" w:rsidRDefault="009629C4">
            <w:pPr>
              <w:pStyle w:val="P68B1DB1-Normal12"/>
              <w:spacing w:after="120"/>
              <w:rPr>
                <w:rFonts w:cs="Arial"/>
                <w:noProof/>
              </w:rPr>
            </w:pPr>
            <w:r>
              <w:rPr>
                <w:noProof/>
              </w:rPr>
              <w:t>Välitavoite on saavutettava määrittelemällä kansallisen kyberturvallisuusarkkitehtuurin koko ekosysteemin yksityiskohtainen arkkitehtuuri (eli kansallinen tiedonjako- ja analysointikeskus (ISAC), tietotekniikan kriisiryhmien verkosto (CERT), kansallinen HyperSOC, tekoäly- ja koneoppimisvälineisiin (AI/ML) integroitu suurteholaskenta kansallisen tason kyberturvallisuuspoikkeamien analysoimiseksi).</w:t>
            </w:r>
          </w:p>
        </w:tc>
      </w:tr>
      <w:tr w:rsidR="00E42B18" w14:paraId="12A0E0A5" w14:textId="77777777">
        <w:trPr>
          <w:trHeight w:val="309"/>
        </w:trPr>
        <w:tc>
          <w:tcPr>
            <w:tcW w:w="1135" w:type="dxa"/>
            <w:shd w:val="clear" w:color="auto" w:fill="C6EFCE"/>
            <w:noWrap/>
            <w:vAlign w:val="center"/>
          </w:tcPr>
          <w:p w14:paraId="2C15E2D3" w14:textId="77777777" w:rsidR="00E42B18" w:rsidRDefault="009629C4">
            <w:pPr>
              <w:pStyle w:val="P68B1DB1-Normal11"/>
              <w:jc w:val="center"/>
              <w:rPr>
                <w:rFonts w:cs="Arial"/>
                <w:noProof/>
                <w:szCs w:val="20"/>
              </w:rPr>
            </w:pPr>
            <w:r>
              <w:rPr>
                <w:noProof/>
              </w:rPr>
              <w:t>M1C1–7</w:t>
            </w:r>
          </w:p>
        </w:tc>
        <w:tc>
          <w:tcPr>
            <w:tcW w:w="1417" w:type="dxa"/>
            <w:shd w:val="clear" w:color="auto" w:fill="C6EFCE"/>
            <w:noWrap/>
            <w:vAlign w:val="center"/>
          </w:tcPr>
          <w:p w14:paraId="5EAB85E7" w14:textId="77777777" w:rsidR="00E42B18" w:rsidRDefault="009629C4">
            <w:pPr>
              <w:pStyle w:val="P68B1DB1-Normal11"/>
              <w:jc w:val="center"/>
              <w:rPr>
                <w:rFonts w:cs="Arial"/>
                <w:noProof/>
                <w:szCs w:val="20"/>
              </w:rPr>
            </w:pPr>
            <w:r>
              <w:rPr>
                <w:noProof/>
              </w:rPr>
              <w:t>Investointi 1.5: Kyberturvallisuus</w:t>
            </w:r>
          </w:p>
        </w:tc>
        <w:tc>
          <w:tcPr>
            <w:tcW w:w="992" w:type="dxa"/>
            <w:shd w:val="clear" w:color="auto" w:fill="C6EFCE"/>
            <w:noWrap/>
            <w:vAlign w:val="center"/>
          </w:tcPr>
          <w:p w14:paraId="753CD32B"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397E1A2C" w14:textId="77777777" w:rsidR="00E42B18" w:rsidRDefault="009629C4">
            <w:pPr>
              <w:pStyle w:val="P68B1DB1-Normal11"/>
              <w:jc w:val="center"/>
              <w:rPr>
                <w:rFonts w:cs="Arial"/>
                <w:noProof/>
                <w:szCs w:val="20"/>
              </w:rPr>
            </w:pPr>
            <w:r>
              <w:rPr>
                <w:noProof/>
              </w:rPr>
              <w:t>Kyberturvallisuuden seulonta- ja sertifiointilaboratorioiden verkoston perustaminen</w:t>
            </w:r>
          </w:p>
        </w:tc>
        <w:tc>
          <w:tcPr>
            <w:tcW w:w="1559" w:type="dxa"/>
            <w:shd w:val="clear" w:color="auto" w:fill="C6EFCE"/>
            <w:noWrap/>
            <w:vAlign w:val="center"/>
          </w:tcPr>
          <w:p w14:paraId="35BEE612" w14:textId="77777777" w:rsidR="00E42B18" w:rsidRDefault="009629C4">
            <w:pPr>
              <w:pStyle w:val="P68B1DB1-Normal12"/>
              <w:jc w:val="center"/>
              <w:rPr>
                <w:rFonts w:cs="Arial"/>
                <w:noProof/>
              </w:rPr>
            </w:pPr>
            <w:r>
              <w:rPr>
                <w:noProof/>
              </w:rPr>
              <w:t>Asiakirjat, joista käy ilmi laboratorioiden kesken jaettavat yksilöidyt prosessit ja menettelyt, ja raportointi, joka osoittaa vähintään yhden laboratorion aktivoinnin</w:t>
            </w:r>
          </w:p>
        </w:tc>
        <w:tc>
          <w:tcPr>
            <w:tcW w:w="1276" w:type="dxa"/>
            <w:shd w:val="clear" w:color="auto" w:fill="C6EFCE"/>
            <w:noWrap/>
            <w:vAlign w:val="center"/>
          </w:tcPr>
          <w:p w14:paraId="778D2371"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7C959D42"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12BEECE2"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41924FFA"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2512F44D" w14:textId="77777777" w:rsidR="00E42B18" w:rsidRDefault="009629C4">
            <w:pPr>
              <w:pStyle w:val="P68B1DB1-Normal11"/>
              <w:jc w:val="center"/>
              <w:rPr>
                <w:rFonts w:cs="Arial"/>
                <w:noProof/>
                <w:szCs w:val="20"/>
              </w:rPr>
            </w:pPr>
            <w:r>
              <w:rPr>
                <w:noProof/>
              </w:rPr>
              <w:t>2022</w:t>
            </w:r>
          </w:p>
        </w:tc>
        <w:tc>
          <w:tcPr>
            <w:tcW w:w="3259" w:type="dxa"/>
            <w:shd w:val="clear" w:color="auto" w:fill="C6EFCE"/>
            <w:noWrap/>
            <w:vAlign w:val="center"/>
          </w:tcPr>
          <w:p w14:paraId="6332F694" w14:textId="77777777" w:rsidR="00E42B18" w:rsidRDefault="009629C4">
            <w:pPr>
              <w:pStyle w:val="P68B1DB1-Normal11"/>
              <w:spacing w:after="120"/>
              <w:rPr>
                <w:rFonts w:cs="Arial"/>
                <w:noProof/>
                <w:szCs w:val="20"/>
              </w:rPr>
            </w:pPr>
            <w:r>
              <w:rPr>
                <w:noProof/>
              </w:rPr>
              <w:t>Välitavoite saavutetaan seuraavin keinoin:</w:t>
            </w:r>
          </w:p>
          <w:p w14:paraId="352A65FB" w14:textId="77777777" w:rsidR="00E42B18" w:rsidRDefault="009629C4">
            <w:pPr>
              <w:pStyle w:val="P68B1DB1-Normal12"/>
              <w:rPr>
                <w:rFonts w:cs="Arial"/>
                <w:noProof/>
              </w:rPr>
            </w:pPr>
            <w:r>
              <w:rPr>
                <w:noProof/>
              </w:rPr>
              <w:t>I) Kansallinen kyberturvallisuusvirasto määrittää, mihin seulonta- ja sertifiointilaboratoriot ja -keskukset perustetaan, rekrytoidaan asiantuntijoiden profiileja ja määritellään perusteellisesti laboratorioiden kesken jaettavat prosessit ja menettelyt.</w:t>
            </w:r>
          </w:p>
          <w:p w14:paraId="36971C56" w14:textId="77777777" w:rsidR="00E42B18" w:rsidRDefault="009629C4">
            <w:pPr>
              <w:pStyle w:val="P68B1DB1-Normal11"/>
              <w:spacing w:before="120" w:after="120"/>
              <w:rPr>
                <w:rFonts w:cs="Arial"/>
                <w:noProof/>
                <w:szCs w:val="20"/>
              </w:rPr>
            </w:pPr>
            <w:r>
              <w:rPr>
                <w:noProof/>
              </w:rPr>
              <w:t>II) Yhden laboratorion aktivointi.</w:t>
            </w:r>
          </w:p>
          <w:p w14:paraId="5E26D406" w14:textId="77777777" w:rsidR="00E42B18" w:rsidRDefault="009629C4">
            <w:pPr>
              <w:pStyle w:val="P68B1DB1-Normal12"/>
              <w:spacing w:after="120"/>
              <w:rPr>
                <w:rFonts w:cs="Arial"/>
                <w:noProof/>
                <w:color w:val="FF0000"/>
              </w:rPr>
            </w:pPr>
            <w:r>
              <w:rPr>
                <w:noProof/>
              </w:rPr>
              <w:t>Tarkastuslaboratorioiden perustamiseksi ja aktivoimiseksi luotuja toimia valvoo Ministero dello Sviluppo Economico (MISE) yhdessä kansallisen kyberturvallisuuden seulonta- ja sertifiointilaboratorion kanssa, ja sisäministeriö ja puolustusministeriö integroivat ne arviointikeskukseen.</w:t>
            </w:r>
          </w:p>
        </w:tc>
      </w:tr>
      <w:tr w:rsidR="00E42B18" w14:paraId="63637089" w14:textId="77777777">
        <w:trPr>
          <w:trHeight w:val="309"/>
        </w:trPr>
        <w:tc>
          <w:tcPr>
            <w:tcW w:w="1135" w:type="dxa"/>
            <w:shd w:val="clear" w:color="auto" w:fill="C6EFCE"/>
            <w:noWrap/>
            <w:vAlign w:val="center"/>
          </w:tcPr>
          <w:p w14:paraId="40D6D416" w14:textId="77777777" w:rsidR="00E42B18" w:rsidRDefault="009629C4">
            <w:pPr>
              <w:pStyle w:val="P68B1DB1-Normal11"/>
              <w:jc w:val="center"/>
              <w:rPr>
                <w:rFonts w:cs="Arial"/>
                <w:noProof/>
                <w:szCs w:val="20"/>
              </w:rPr>
            </w:pPr>
            <w:r>
              <w:rPr>
                <w:noProof/>
              </w:rPr>
              <w:t>M1C1–8</w:t>
            </w:r>
          </w:p>
        </w:tc>
        <w:tc>
          <w:tcPr>
            <w:tcW w:w="1417" w:type="dxa"/>
            <w:shd w:val="clear" w:color="auto" w:fill="C6EFCE"/>
            <w:noWrap/>
            <w:vAlign w:val="center"/>
          </w:tcPr>
          <w:p w14:paraId="0C932809" w14:textId="77777777" w:rsidR="00E42B18" w:rsidRDefault="009629C4">
            <w:pPr>
              <w:pStyle w:val="P68B1DB1-Normal11"/>
              <w:jc w:val="center"/>
              <w:rPr>
                <w:rFonts w:cs="Arial"/>
                <w:noProof/>
                <w:szCs w:val="20"/>
              </w:rPr>
            </w:pPr>
            <w:r>
              <w:rPr>
                <w:noProof/>
              </w:rPr>
              <w:t>Investointi 1.5: Kyberturvallisuus</w:t>
            </w:r>
          </w:p>
        </w:tc>
        <w:tc>
          <w:tcPr>
            <w:tcW w:w="992" w:type="dxa"/>
            <w:shd w:val="clear" w:color="auto" w:fill="C6EFCE"/>
            <w:noWrap/>
            <w:vAlign w:val="center"/>
          </w:tcPr>
          <w:p w14:paraId="0473A529"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6393B8BC" w14:textId="77777777" w:rsidR="00E42B18" w:rsidRDefault="009629C4">
            <w:pPr>
              <w:pStyle w:val="P68B1DB1-Normal11"/>
              <w:jc w:val="center"/>
              <w:rPr>
                <w:rFonts w:cs="Arial"/>
                <w:noProof/>
                <w:szCs w:val="20"/>
              </w:rPr>
            </w:pPr>
            <w:r>
              <w:rPr>
                <w:noProof/>
              </w:rPr>
              <w:t>Keskitetyn tarkastusyksikön aktivointi PSNC- ja NIS-turvatoimenpiteitä varten</w:t>
            </w:r>
          </w:p>
        </w:tc>
        <w:tc>
          <w:tcPr>
            <w:tcW w:w="1559" w:type="dxa"/>
            <w:shd w:val="clear" w:color="auto" w:fill="C6EFCE"/>
            <w:noWrap/>
            <w:vAlign w:val="center"/>
          </w:tcPr>
          <w:p w14:paraId="3522EFE5" w14:textId="77777777" w:rsidR="00E42B18" w:rsidRDefault="009629C4">
            <w:pPr>
              <w:pStyle w:val="P68B1DB1-Normal12"/>
              <w:jc w:val="center"/>
              <w:rPr>
                <w:rFonts w:cs="Arial"/>
                <w:noProof/>
              </w:rPr>
            </w:pPr>
            <w:r>
              <w:rPr>
                <w:noProof/>
              </w:rPr>
              <w:t>Toimitettu raportointi, joka osoittaa keskustarkastusyksikön toiminnan käynnistämisen</w:t>
            </w:r>
          </w:p>
        </w:tc>
        <w:tc>
          <w:tcPr>
            <w:tcW w:w="1276" w:type="dxa"/>
            <w:shd w:val="clear" w:color="auto" w:fill="C6EFCE"/>
            <w:noWrap/>
            <w:vAlign w:val="center"/>
          </w:tcPr>
          <w:p w14:paraId="1859F7BD"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4E81D571"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65E62A56"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49F320B9"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0F3B403D" w14:textId="77777777" w:rsidR="00E42B18" w:rsidRDefault="009629C4">
            <w:pPr>
              <w:pStyle w:val="P68B1DB1-Normal11"/>
              <w:jc w:val="center"/>
              <w:rPr>
                <w:rFonts w:cs="Arial"/>
                <w:noProof/>
                <w:szCs w:val="20"/>
              </w:rPr>
            </w:pPr>
            <w:r>
              <w:rPr>
                <w:noProof/>
              </w:rPr>
              <w:t>2022</w:t>
            </w:r>
          </w:p>
        </w:tc>
        <w:tc>
          <w:tcPr>
            <w:tcW w:w="3259" w:type="dxa"/>
            <w:shd w:val="clear" w:color="auto" w:fill="C6EFCE"/>
            <w:noWrap/>
            <w:vAlign w:val="center"/>
          </w:tcPr>
          <w:p w14:paraId="6F1C0E44" w14:textId="77777777" w:rsidR="00E42B18" w:rsidRDefault="009629C4">
            <w:pPr>
              <w:pStyle w:val="P68B1DB1-Normal11"/>
              <w:spacing w:after="120"/>
              <w:rPr>
                <w:rFonts w:cs="Arial"/>
                <w:noProof/>
                <w:szCs w:val="20"/>
              </w:rPr>
            </w:pPr>
            <w:r>
              <w:rPr>
                <w:noProof/>
              </w:rPr>
              <w:t>Kansalliseen kyberturvallisuusvirastoon on nimitettävä sisäinen yksikkö, jonka tehtävänä on hoitaa keskitetty tarkastusyksikkö, joka vastaa PSNC- ja verkko- ja tietoturvatoimenpiteistä.</w:t>
            </w:r>
          </w:p>
          <w:p w14:paraId="225C4A0E" w14:textId="77777777" w:rsidR="00E42B18" w:rsidRDefault="009629C4">
            <w:pPr>
              <w:pStyle w:val="P68B1DB1-Normal12"/>
              <w:spacing w:after="120"/>
              <w:rPr>
                <w:rFonts w:cs="Arial"/>
                <w:noProof/>
              </w:rPr>
            </w:pPr>
            <w:r>
              <w:rPr>
                <w:noProof/>
              </w:rPr>
              <w:t>Prosessit, logistiikka ja toimintajärjestelyt on virallistettava riittäviksi asiakirjoiksi, joissa keskitytään erityisesti toimintaprosesseihin eli toimeksiantoa koskeviin sääntöihin, tilintarkastukseen ja raportointimenettelyihin.</w:t>
            </w:r>
          </w:p>
          <w:p w14:paraId="4991BE99" w14:textId="77777777" w:rsidR="00E42B18" w:rsidRDefault="009629C4">
            <w:pPr>
              <w:pStyle w:val="P68B1DB1-Normal12"/>
              <w:spacing w:after="120"/>
              <w:rPr>
                <w:rFonts w:cs="Arial"/>
                <w:noProof/>
              </w:rPr>
            </w:pPr>
            <w:r>
              <w:rPr>
                <w:noProof/>
              </w:rPr>
              <w:t>Tietotekniset välineet keräävät, hallinnoivat ja analysoivat tarkastustietoja, ja tarkastusyksikön on kehitettävä ja käytettävä niitä.</w:t>
            </w:r>
          </w:p>
          <w:p w14:paraId="7749C04E" w14:textId="77777777" w:rsidR="00E42B18" w:rsidRDefault="009629C4">
            <w:pPr>
              <w:pStyle w:val="P68B1DB1-Normal11"/>
              <w:spacing w:after="120"/>
              <w:rPr>
                <w:rFonts w:cs="Arial"/>
                <w:noProof/>
                <w:szCs w:val="20"/>
              </w:rPr>
            </w:pPr>
            <w:r>
              <w:rPr>
                <w:noProof/>
              </w:rPr>
              <w:t>Välineiden kehittämisen päätökseen saattamisesta on toimitettava asiakirjat.</w:t>
            </w:r>
          </w:p>
        </w:tc>
      </w:tr>
      <w:tr w:rsidR="00E42B18" w14:paraId="448539D5" w14:textId="77777777">
        <w:trPr>
          <w:trHeight w:val="309"/>
        </w:trPr>
        <w:tc>
          <w:tcPr>
            <w:tcW w:w="1135" w:type="dxa"/>
            <w:shd w:val="clear" w:color="auto" w:fill="C6EFCE"/>
            <w:noWrap/>
            <w:vAlign w:val="center"/>
          </w:tcPr>
          <w:p w14:paraId="78E12FE0" w14:textId="77777777" w:rsidR="00E42B18" w:rsidRDefault="009629C4">
            <w:pPr>
              <w:pStyle w:val="P68B1DB1-Normal11"/>
              <w:jc w:val="center"/>
              <w:rPr>
                <w:rFonts w:cs="Arial"/>
                <w:noProof/>
                <w:szCs w:val="20"/>
              </w:rPr>
            </w:pPr>
            <w:r>
              <w:rPr>
                <w:noProof/>
              </w:rPr>
              <w:t>M1C1–9</w:t>
            </w:r>
          </w:p>
        </w:tc>
        <w:tc>
          <w:tcPr>
            <w:tcW w:w="1417" w:type="dxa"/>
            <w:shd w:val="clear" w:color="auto" w:fill="C6EFCE"/>
            <w:noWrap/>
            <w:vAlign w:val="center"/>
          </w:tcPr>
          <w:p w14:paraId="71F6AB18" w14:textId="77777777" w:rsidR="00E42B18" w:rsidRDefault="009629C4">
            <w:pPr>
              <w:pStyle w:val="P68B1DB1-Normal11"/>
              <w:jc w:val="center"/>
              <w:rPr>
                <w:rFonts w:cs="Arial"/>
                <w:noProof/>
                <w:szCs w:val="20"/>
              </w:rPr>
            </w:pPr>
            <w:r>
              <w:rPr>
                <w:noProof/>
              </w:rPr>
              <w:t>Investointi 1.5: Kyberturvallisuus</w:t>
            </w:r>
          </w:p>
        </w:tc>
        <w:tc>
          <w:tcPr>
            <w:tcW w:w="992" w:type="dxa"/>
            <w:shd w:val="clear" w:color="auto" w:fill="C6EFCE"/>
            <w:noWrap/>
            <w:vAlign w:val="center"/>
          </w:tcPr>
          <w:p w14:paraId="1F0EA857"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tcPr>
          <w:p w14:paraId="105CC562" w14:textId="77777777" w:rsidR="00E42B18" w:rsidRDefault="009629C4">
            <w:pPr>
              <w:pStyle w:val="P68B1DB1-Normal11"/>
              <w:jc w:val="center"/>
              <w:rPr>
                <w:rFonts w:cs="Arial"/>
                <w:noProof/>
                <w:szCs w:val="20"/>
              </w:rPr>
            </w:pPr>
            <w:r>
              <w:rPr>
                <w:noProof/>
              </w:rPr>
              <w:t>Tuki turvallisuusrakenteiden parantamiseen T1</w:t>
            </w:r>
          </w:p>
        </w:tc>
        <w:tc>
          <w:tcPr>
            <w:tcW w:w="1559" w:type="dxa"/>
            <w:shd w:val="clear" w:color="auto" w:fill="C6EFCE"/>
            <w:noWrap/>
            <w:vAlign w:val="center"/>
          </w:tcPr>
          <w:p w14:paraId="520D07C8"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tcPr>
          <w:p w14:paraId="58F072EC"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tcPr>
          <w:p w14:paraId="1B75BDD3" w14:textId="77777777" w:rsidR="00E42B18" w:rsidRDefault="009629C4">
            <w:pPr>
              <w:pStyle w:val="P68B1DB1-Normal11"/>
              <w:jc w:val="center"/>
              <w:rPr>
                <w:rFonts w:cs="Arial"/>
                <w:noProof/>
                <w:szCs w:val="20"/>
              </w:rPr>
            </w:pPr>
            <w:r>
              <w:rPr>
                <w:noProof/>
              </w:rPr>
              <w:t>0</w:t>
            </w:r>
          </w:p>
        </w:tc>
        <w:tc>
          <w:tcPr>
            <w:tcW w:w="1418" w:type="dxa"/>
            <w:shd w:val="clear" w:color="auto" w:fill="C6EFCE"/>
            <w:noWrap/>
            <w:vAlign w:val="center"/>
          </w:tcPr>
          <w:p w14:paraId="0F000552" w14:textId="77777777" w:rsidR="00E42B18" w:rsidRDefault="009629C4">
            <w:pPr>
              <w:pStyle w:val="P68B1DB1-Normal11"/>
              <w:jc w:val="center"/>
              <w:rPr>
                <w:rFonts w:cs="Arial"/>
                <w:noProof/>
                <w:szCs w:val="20"/>
              </w:rPr>
            </w:pPr>
            <w:r>
              <w:rPr>
                <w:noProof/>
              </w:rPr>
              <w:t>5</w:t>
            </w:r>
          </w:p>
        </w:tc>
        <w:tc>
          <w:tcPr>
            <w:tcW w:w="992" w:type="dxa"/>
            <w:shd w:val="clear" w:color="auto" w:fill="C6EFCE"/>
            <w:noWrap/>
            <w:vAlign w:val="center"/>
          </w:tcPr>
          <w:p w14:paraId="0ED8E113"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313F57EA" w14:textId="77777777" w:rsidR="00E42B18" w:rsidRDefault="009629C4">
            <w:pPr>
              <w:pStyle w:val="P68B1DB1-Normal11"/>
              <w:jc w:val="center"/>
              <w:rPr>
                <w:rFonts w:cs="Arial"/>
                <w:noProof/>
                <w:szCs w:val="20"/>
              </w:rPr>
            </w:pPr>
            <w:r>
              <w:rPr>
                <w:noProof/>
              </w:rPr>
              <w:t>2022</w:t>
            </w:r>
          </w:p>
        </w:tc>
        <w:tc>
          <w:tcPr>
            <w:tcW w:w="3259" w:type="dxa"/>
            <w:shd w:val="clear" w:color="auto" w:fill="C6EFCE"/>
            <w:noWrap/>
            <w:vAlign w:val="center"/>
          </w:tcPr>
          <w:p w14:paraId="661C86D2" w14:textId="77777777" w:rsidR="00E42B18" w:rsidRDefault="009629C4">
            <w:pPr>
              <w:pStyle w:val="P68B1DB1-Normal11"/>
              <w:spacing w:after="120"/>
              <w:rPr>
                <w:rFonts w:cs="Arial"/>
                <w:noProof/>
                <w:szCs w:val="20"/>
              </w:rPr>
            </w:pPr>
            <w:r>
              <w:rPr>
                <w:noProof/>
              </w:rPr>
              <w:t>Vähintään viisi interventiota, joilla parannetaan kyberturvallisuuden kansallisen käyrän (PSNC) ja verkko- ja tietojärjestelmien (NIS) aloilla loppuun saatettuja turvallisuusrakenteita.</w:t>
            </w:r>
          </w:p>
          <w:p w14:paraId="6F6D05D2" w14:textId="77777777" w:rsidR="00E42B18" w:rsidRDefault="009629C4">
            <w:pPr>
              <w:pStyle w:val="P68B1DB1-Normal12"/>
              <w:spacing w:after="120"/>
              <w:rPr>
                <w:rFonts w:cs="Arial"/>
                <w:noProof/>
              </w:rPr>
            </w:pPr>
            <w:r>
              <w:rPr>
                <w:noProof/>
              </w:rPr>
              <w:t>Interventiotyyppejä ovat muun muassa turvallisuustoimintakeskusten (SOC) päivittäminen, kyberrajojen puolustusta koskevat parannukset sekä sisäiset seuranta- ja valvontavalmiudet. Toimissa keskitytään terveydenhuollon, energian ja ympäristön (juomavesihuolto) aloihin.</w:t>
            </w:r>
          </w:p>
        </w:tc>
      </w:tr>
      <w:tr w:rsidR="00E42B18" w14:paraId="7B3E28DB" w14:textId="77777777">
        <w:trPr>
          <w:trHeight w:val="309"/>
        </w:trPr>
        <w:tc>
          <w:tcPr>
            <w:tcW w:w="1135" w:type="dxa"/>
            <w:shd w:val="clear" w:color="auto" w:fill="C6EFCE"/>
            <w:noWrap/>
            <w:vAlign w:val="center"/>
          </w:tcPr>
          <w:p w14:paraId="460873A0" w14:textId="77777777" w:rsidR="00E42B18" w:rsidRDefault="009629C4">
            <w:pPr>
              <w:pStyle w:val="P68B1DB1-Normal11"/>
              <w:jc w:val="center"/>
              <w:rPr>
                <w:rFonts w:cs="Arial"/>
                <w:noProof/>
                <w:szCs w:val="20"/>
              </w:rPr>
            </w:pPr>
            <w:r>
              <w:rPr>
                <w:noProof/>
              </w:rPr>
              <w:t>M1C1–10</w:t>
            </w:r>
          </w:p>
        </w:tc>
        <w:tc>
          <w:tcPr>
            <w:tcW w:w="1417" w:type="dxa"/>
            <w:shd w:val="clear" w:color="auto" w:fill="C6EFCE"/>
            <w:noWrap/>
            <w:vAlign w:val="center"/>
          </w:tcPr>
          <w:p w14:paraId="4D489365" w14:textId="77777777" w:rsidR="00E42B18" w:rsidRDefault="009629C4">
            <w:pPr>
              <w:pStyle w:val="P68B1DB1-Normal11"/>
              <w:jc w:val="center"/>
              <w:rPr>
                <w:rFonts w:cs="Arial"/>
                <w:noProof/>
                <w:szCs w:val="20"/>
              </w:rPr>
            </w:pPr>
            <w:r>
              <w:rPr>
                <w:noProof/>
              </w:rPr>
              <w:t>Uudistus 1.2: Muutostuki</w:t>
            </w:r>
          </w:p>
        </w:tc>
        <w:tc>
          <w:tcPr>
            <w:tcW w:w="992" w:type="dxa"/>
            <w:shd w:val="clear" w:color="auto" w:fill="C6EFCE"/>
            <w:noWrap/>
            <w:vAlign w:val="center"/>
          </w:tcPr>
          <w:p w14:paraId="744B7476"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0DBFCCDB" w14:textId="77777777" w:rsidR="00E42B18" w:rsidRDefault="009629C4">
            <w:pPr>
              <w:pStyle w:val="P68B1DB1-Normal12"/>
              <w:jc w:val="center"/>
              <w:rPr>
                <w:rFonts w:cs="Arial"/>
                <w:noProof/>
              </w:rPr>
            </w:pPr>
            <w:r>
              <w:rPr>
                <w:noProof/>
              </w:rPr>
              <w:t>Muutosryhmän ja uuden koordinointiryhmän perustaminen tulee voimaan</w:t>
            </w:r>
          </w:p>
        </w:tc>
        <w:tc>
          <w:tcPr>
            <w:tcW w:w="1559" w:type="dxa"/>
            <w:shd w:val="clear" w:color="auto" w:fill="C6EFCE"/>
            <w:noWrap/>
            <w:vAlign w:val="center"/>
          </w:tcPr>
          <w:p w14:paraId="122295F3" w14:textId="77777777" w:rsidR="00E42B18" w:rsidRDefault="009629C4">
            <w:pPr>
              <w:pStyle w:val="P68B1DB1-Normal12"/>
              <w:jc w:val="center"/>
              <w:rPr>
                <w:rFonts w:cs="Arial"/>
                <w:noProof/>
              </w:rPr>
            </w:pPr>
            <w:r>
              <w:rPr>
                <w:noProof/>
              </w:rPr>
              <w:t>Säädöksen säännös, jossa ilmoitetaan muutosviraston perustamista koskevan säädöksen voimaantulosta ja uuden koordinointitoimiston perustamista koskevan säädöksen voimaantulosta</w:t>
            </w:r>
          </w:p>
        </w:tc>
        <w:tc>
          <w:tcPr>
            <w:tcW w:w="1276" w:type="dxa"/>
            <w:shd w:val="clear" w:color="auto" w:fill="C6EFCE"/>
            <w:noWrap/>
            <w:vAlign w:val="center"/>
          </w:tcPr>
          <w:p w14:paraId="53DF3B15"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35EA6A1F"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7CF60AC3"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0607E370"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77ACF841" w14:textId="77777777" w:rsidR="00E42B18" w:rsidRDefault="009629C4">
            <w:pPr>
              <w:pStyle w:val="P68B1DB1-Normal11"/>
              <w:jc w:val="center"/>
              <w:rPr>
                <w:rFonts w:cs="Arial"/>
                <w:noProof/>
                <w:szCs w:val="20"/>
              </w:rPr>
            </w:pPr>
            <w:r>
              <w:rPr>
                <w:noProof/>
              </w:rPr>
              <w:t>2022</w:t>
            </w:r>
          </w:p>
        </w:tc>
        <w:tc>
          <w:tcPr>
            <w:tcW w:w="3259" w:type="dxa"/>
            <w:shd w:val="clear" w:color="auto" w:fill="C6EFCE"/>
            <w:noWrap/>
            <w:vAlign w:val="center"/>
          </w:tcPr>
          <w:p w14:paraId="41BCDB23" w14:textId="77777777" w:rsidR="00E42B18" w:rsidRDefault="009629C4">
            <w:pPr>
              <w:pStyle w:val="P68B1DB1-Normal14"/>
              <w:spacing w:after="120"/>
              <w:rPr>
                <w:rFonts w:cs="Arial"/>
                <w:noProof/>
                <w:color w:val="006100"/>
                <w:szCs w:val="20"/>
              </w:rPr>
            </w:pPr>
            <w:r>
              <w:rPr>
                <w:noProof/>
                <w:color w:val="006100"/>
              </w:rPr>
              <w:t>Muutosviraston perustamista varten tarvittaviin</w:t>
            </w:r>
            <w:r>
              <w:rPr>
                <w:noProof/>
              </w:rPr>
              <w:t xml:space="preserve"> </w:t>
            </w:r>
            <w:r>
              <w:rPr>
                <w:noProof/>
                <w:color w:val="006100"/>
              </w:rPr>
              <w:t>säädöksiin on sisällyttävä seuraavat:</w:t>
            </w:r>
          </w:p>
          <w:p w14:paraId="052F9B92" w14:textId="77777777" w:rsidR="00E42B18" w:rsidRDefault="009629C4">
            <w:pPr>
              <w:pStyle w:val="P68B1DB1-ListParagraph13"/>
              <w:numPr>
                <w:ilvl w:val="0"/>
                <w:numId w:val="19"/>
              </w:numPr>
              <w:spacing w:before="120" w:after="120" w:line="240" w:lineRule="auto"/>
              <w:ind w:left="314" w:hanging="232"/>
              <w:rPr>
                <w:rFonts w:cs="Arial"/>
                <w:noProof/>
              </w:rPr>
            </w:pPr>
            <w:r>
              <w:rPr>
                <w:noProof/>
              </w:rPr>
              <w:t>Lakiasetus relutamento (jonka ministerineuvosto hyväksyi jo 22. kesäkuuta</w:t>
            </w:r>
            <w:r>
              <w:rPr>
                <w:noProof/>
                <w:vertAlign w:val="superscript"/>
              </w:rPr>
              <w:t>2021</w:t>
            </w:r>
            <w:r>
              <w:rPr>
                <w:noProof/>
              </w:rPr>
              <w:t xml:space="preserve"> ja joka julkaistiin virallisessa lehdessä (Gazzetta Ufficiale) 10.</w:t>
            </w:r>
            <w:r>
              <w:rPr>
                <w:noProof/>
                <w:vertAlign w:val="superscript"/>
              </w:rPr>
              <w:t>kesäkuuta</w:t>
            </w:r>
            <w:r>
              <w:rPr>
                <w:noProof/>
              </w:rPr>
              <w:t xml:space="preserve"> 2021)</w:t>
            </w:r>
          </w:p>
          <w:p w14:paraId="0E6FD8F4" w14:textId="77777777" w:rsidR="00E42B18" w:rsidRDefault="009629C4">
            <w:pPr>
              <w:pStyle w:val="P68B1DB1-ListParagraph15"/>
              <w:numPr>
                <w:ilvl w:val="0"/>
                <w:numId w:val="19"/>
              </w:numPr>
              <w:spacing w:before="120" w:after="120" w:line="240" w:lineRule="auto"/>
              <w:ind w:left="314" w:hanging="232"/>
              <w:rPr>
                <w:rFonts w:cs="Arial"/>
                <w:noProof/>
                <w:szCs w:val="20"/>
              </w:rPr>
            </w:pPr>
            <w:r>
              <w:rPr>
                <w:noProof/>
              </w:rPr>
              <w:t>Kiinnostuksenilmaisupyynnön julkaiseminen;</w:t>
            </w:r>
          </w:p>
          <w:p w14:paraId="73E2C2DB" w14:textId="77777777" w:rsidR="00E42B18" w:rsidRDefault="009629C4">
            <w:pPr>
              <w:pStyle w:val="P68B1DB1-ListParagraph13"/>
              <w:numPr>
                <w:ilvl w:val="0"/>
                <w:numId w:val="19"/>
              </w:numPr>
              <w:spacing w:before="120" w:after="120" w:line="240" w:lineRule="auto"/>
              <w:ind w:left="314" w:hanging="232"/>
              <w:rPr>
                <w:rFonts w:cs="Arial"/>
                <w:noProof/>
              </w:rPr>
            </w:pPr>
            <w:r>
              <w:rPr>
                <w:noProof/>
              </w:rPr>
              <w:t>Toimeksiannon valinta ja antaminen asiantuntijoille (väliaikaisesti elpymis- ja palautumistukivälineen keston ajaksi).</w:t>
            </w:r>
          </w:p>
          <w:p w14:paraId="5D5A50EE" w14:textId="77777777" w:rsidR="00E42B18" w:rsidRDefault="009629C4">
            <w:pPr>
              <w:pStyle w:val="P68B1DB1-Normal12"/>
              <w:spacing w:after="120"/>
              <w:rPr>
                <w:rFonts w:cs="Arial"/>
                <w:noProof/>
              </w:rPr>
            </w:pPr>
            <w:r>
              <w:rPr>
                <w:noProof/>
              </w:rPr>
              <w:t>Uuden koordinointiryhmän osalta tarvitaan seuraavia avainvaiheita:</w:t>
            </w:r>
          </w:p>
          <w:p w14:paraId="6CDFA096" w14:textId="77777777" w:rsidR="00E42B18" w:rsidRDefault="009629C4">
            <w:pPr>
              <w:pStyle w:val="P68B1DB1-ListParagraph15"/>
              <w:numPr>
                <w:ilvl w:val="0"/>
                <w:numId w:val="19"/>
              </w:numPr>
              <w:spacing w:before="120" w:after="120" w:line="240" w:lineRule="auto"/>
              <w:ind w:left="314" w:hanging="232"/>
              <w:rPr>
                <w:rFonts w:cs="Arial"/>
                <w:noProof/>
                <w:szCs w:val="20"/>
              </w:rPr>
            </w:pPr>
            <w:r>
              <w:rPr>
                <w:noProof/>
              </w:rPr>
              <w:t>Lainsäädäntövaltuutus;</w:t>
            </w:r>
          </w:p>
          <w:p w14:paraId="5A208A6F" w14:textId="77777777" w:rsidR="00E42B18" w:rsidRDefault="009629C4">
            <w:pPr>
              <w:pStyle w:val="P68B1DB1-ListParagraph13"/>
              <w:numPr>
                <w:ilvl w:val="0"/>
                <w:numId w:val="19"/>
              </w:numPr>
              <w:spacing w:before="120" w:after="120" w:line="240" w:lineRule="auto"/>
              <w:ind w:left="314" w:hanging="232"/>
              <w:rPr>
                <w:rFonts w:cs="Arial"/>
                <w:noProof/>
              </w:rPr>
            </w:pPr>
            <w:r>
              <w:rPr>
                <w:noProof/>
              </w:rPr>
              <w:t>Decreto del Presidente del Consiglio dei Ministri (DPCM) antaa luvan yhtiön perustamiseen ja vahvistaa yhtiön tavoitteet, osakepääoman, keston ja johtajat;</w:t>
            </w:r>
          </w:p>
          <w:p w14:paraId="2D6BAC8D" w14:textId="77777777" w:rsidR="00E42B18" w:rsidRDefault="009629C4">
            <w:pPr>
              <w:pStyle w:val="P68B1DB1-ListParagraph15"/>
              <w:numPr>
                <w:ilvl w:val="0"/>
                <w:numId w:val="19"/>
              </w:numPr>
              <w:spacing w:before="120" w:after="120" w:line="240" w:lineRule="auto"/>
              <w:ind w:left="314" w:hanging="232"/>
              <w:rPr>
                <w:rFonts w:cs="Arial"/>
                <w:noProof/>
                <w:szCs w:val="20"/>
              </w:rPr>
            </w:pPr>
            <w:r>
              <w:rPr>
                <w:noProof/>
              </w:rPr>
              <w:t>Yhtiön laitos, jolla on notaarin vahvistama asiakirja;</w:t>
            </w:r>
          </w:p>
          <w:p w14:paraId="16C76A1A" w14:textId="77777777" w:rsidR="00E42B18" w:rsidRDefault="009629C4">
            <w:pPr>
              <w:pStyle w:val="P68B1DB1-ListParagraph15"/>
              <w:numPr>
                <w:ilvl w:val="0"/>
                <w:numId w:val="19"/>
              </w:numPr>
              <w:spacing w:before="120" w:after="120" w:line="240" w:lineRule="auto"/>
              <w:ind w:left="314" w:hanging="232"/>
              <w:rPr>
                <w:rFonts w:cs="Arial"/>
                <w:noProof/>
                <w:szCs w:val="20"/>
              </w:rPr>
            </w:pPr>
            <w:r>
              <w:rPr>
                <w:noProof/>
              </w:rPr>
              <w:t>Yhtiön toiminnan edellyttämät toimet – yhtiöjärjestys ja erilaiset määräykset.</w:t>
            </w:r>
          </w:p>
        </w:tc>
      </w:tr>
      <w:tr w:rsidR="00E42B18" w14:paraId="0DEC7F26" w14:textId="77777777">
        <w:trPr>
          <w:trHeight w:val="309"/>
        </w:trPr>
        <w:tc>
          <w:tcPr>
            <w:tcW w:w="1135" w:type="dxa"/>
            <w:shd w:val="clear" w:color="auto" w:fill="C6EFCE"/>
            <w:noWrap/>
            <w:vAlign w:val="center"/>
          </w:tcPr>
          <w:p w14:paraId="1AB2495B" w14:textId="77777777" w:rsidR="00E42B18" w:rsidRDefault="009629C4">
            <w:pPr>
              <w:pStyle w:val="P68B1DB1-Normal11"/>
              <w:jc w:val="center"/>
              <w:rPr>
                <w:rFonts w:cs="Arial"/>
                <w:noProof/>
                <w:szCs w:val="20"/>
              </w:rPr>
            </w:pPr>
            <w:r>
              <w:rPr>
                <w:noProof/>
              </w:rPr>
              <w:t>M1C1–11</w:t>
            </w:r>
          </w:p>
        </w:tc>
        <w:tc>
          <w:tcPr>
            <w:tcW w:w="1417" w:type="dxa"/>
            <w:shd w:val="clear" w:color="auto" w:fill="C6EFCE"/>
            <w:noWrap/>
            <w:vAlign w:val="center"/>
          </w:tcPr>
          <w:p w14:paraId="44B4DBD6" w14:textId="77777777" w:rsidR="00E42B18" w:rsidRDefault="009629C4">
            <w:pPr>
              <w:pStyle w:val="P68B1DB1-Normal11"/>
              <w:jc w:val="center"/>
              <w:rPr>
                <w:rFonts w:cs="Arial"/>
                <w:noProof/>
                <w:szCs w:val="20"/>
              </w:rPr>
            </w:pPr>
            <w:r>
              <w:rPr>
                <w:noProof/>
              </w:rPr>
              <w:t>Investointi 1.6.6: Valtiovarainpoliisin digitalisointi</w:t>
            </w:r>
          </w:p>
        </w:tc>
        <w:tc>
          <w:tcPr>
            <w:tcW w:w="992" w:type="dxa"/>
            <w:shd w:val="clear" w:color="auto" w:fill="C6EFCE"/>
            <w:noWrap/>
            <w:vAlign w:val="center"/>
          </w:tcPr>
          <w:p w14:paraId="696267EC"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tcPr>
          <w:p w14:paraId="7F39B800" w14:textId="77777777" w:rsidR="00E42B18" w:rsidRDefault="009629C4">
            <w:pPr>
              <w:pStyle w:val="P68B1DB1-Normal11"/>
              <w:jc w:val="center"/>
              <w:rPr>
                <w:rFonts w:cs="Arial"/>
                <w:noProof/>
                <w:szCs w:val="20"/>
              </w:rPr>
            </w:pPr>
            <w:r>
              <w:rPr>
                <w:noProof/>
              </w:rPr>
              <w:t>Finanssipoliisi – T1-ammattimaisten datatieteen palvelujen hankinta</w:t>
            </w:r>
          </w:p>
        </w:tc>
        <w:tc>
          <w:tcPr>
            <w:tcW w:w="1559" w:type="dxa"/>
            <w:shd w:val="clear" w:color="auto" w:fill="C6EFCE"/>
            <w:noWrap/>
            <w:vAlign w:val="center"/>
          </w:tcPr>
          <w:p w14:paraId="6454CE16"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tcPr>
          <w:p w14:paraId="24730606"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tcPr>
          <w:p w14:paraId="6BBADA76" w14:textId="77777777" w:rsidR="00E42B18" w:rsidRDefault="009629C4">
            <w:pPr>
              <w:pStyle w:val="P68B1DB1-Normal11"/>
              <w:jc w:val="center"/>
              <w:rPr>
                <w:rFonts w:cs="Arial"/>
                <w:noProof/>
                <w:szCs w:val="20"/>
              </w:rPr>
            </w:pPr>
            <w:r>
              <w:rPr>
                <w:noProof/>
              </w:rPr>
              <w:t>0</w:t>
            </w:r>
          </w:p>
        </w:tc>
        <w:tc>
          <w:tcPr>
            <w:tcW w:w="1418" w:type="dxa"/>
            <w:shd w:val="clear" w:color="auto" w:fill="C6EFCE"/>
            <w:noWrap/>
            <w:vAlign w:val="center"/>
          </w:tcPr>
          <w:p w14:paraId="7A5BC93D" w14:textId="77777777" w:rsidR="00E42B18" w:rsidRDefault="009629C4">
            <w:pPr>
              <w:pStyle w:val="P68B1DB1-Normal11"/>
              <w:jc w:val="center"/>
              <w:rPr>
                <w:rFonts w:cs="Arial"/>
                <w:noProof/>
                <w:szCs w:val="20"/>
              </w:rPr>
            </w:pPr>
            <w:r>
              <w:rPr>
                <w:noProof/>
              </w:rPr>
              <w:t>5</w:t>
            </w:r>
          </w:p>
        </w:tc>
        <w:tc>
          <w:tcPr>
            <w:tcW w:w="992" w:type="dxa"/>
            <w:shd w:val="clear" w:color="auto" w:fill="C6EFCE"/>
            <w:noWrap/>
            <w:vAlign w:val="center"/>
          </w:tcPr>
          <w:p w14:paraId="2E442A6A" w14:textId="77777777" w:rsidR="00E42B18" w:rsidRDefault="009629C4">
            <w:pPr>
              <w:pStyle w:val="P68B1DB1-Normal11"/>
              <w:jc w:val="center"/>
              <w:rPr>
                <w:rFonts w:cs="Arial"/>
                <w:noProof/>
                <w:szCs w:val="20"/>
              </w:rPr>
            </w:pPr>
            <w:r>
              <w:rPr>
                <w:noProof/>
              </w:rPr>
              <w:t>Q1</w:t>
            </w:r>
          </w:p>
        </w:tc>
        <w:tc>
          <w:tcPr>
            <w:tcW w:w="852" w:type="dxa"/>
            <w:shd w:val="clear" w:color="auto" w:fill="C6EFCE"/>
            <w:noWrap/>
            <w:vAlign w:val="center"/>
          </w:tcPr>
          <w:p w14:paraId="081BE4BA" w14:textId="77777777" w:rsidR="00E42B18" w:rsidRDefault="009629C4">
            <w:pPr>
              <w:pStyle w:val="P68B1DB1-Normal11"/>
              <w:jc w:val="center"/>
              <w:rPr>
                <w:rFonts w:cs="Arial"/>
                <w:noProof/>
                <w:szCs w:val="20"/>
              </w:rPr>
            </w:pPr>
            <w:r>
              <w:rPr>
                <w:noProof/>
              </w:rPr>
              <w:t>2023</w:t>
            </w:r>
          </w:p>
        </w:tc>
        <w:tc>
          <w:tcPr>
            <w:tcW w:w="3259" w:type="dxa"/>
            <w:shd w:val="clear" w:color="auto" w:fill="C6EFCE"/>
            <w:noWrap/>
            <w:vAlign w:val="center"/>
          </w:tcPr>
          <w:p w14:paraId="31225A3C" w14:textId="77777777" w:rsidR="00E42B18" w:rsidRDefault="009629C4">
            <w:pPr>
              <w:pStyle w:val="P68B1DB1-Normal11"/>
              <w:spacing w:after="120"/>
              <w:rPr>
                <w:rFonts w:cs="Arial"/>
                <w:noProof/>
                <w:szCs w:val="20"/>
              </w:rPr>
            </w:pPr>
            <w:r>
              <w:rPr>
                <w:noProof/>
              </w:rPr>
              <w:t>Ammattimaisten datatieteen palvelujen hankinta tekemällä sopimus sellaisen konsulttipalvelun tarjoajan kanssa, jossa on yhteensä viisi työntekijää ja joka vastaa sekä data-arkkitehtuurin suunnittelusta että massadata-analyysiyksikön algoritmien kirjoittamisesta. Datatieteen palvelujen ostamisesta tehdyn sopimuksen julkaiseminen ”ei merkittävää haittaa” -periaatteen (2021/C58/01) mukaisesti käyttämällä poissulkemisluetteloa ja vaatimusta asiaa koskevan EU:n ja kansallisen ympäristölainsäädännön noudattamisesta ja julkaisemalla maanlaajuisesti uusia välineitä ensimmäisessä analyysimoduulissa (tietotekninen runko).</w:t>
            </w:r>
          </w:p>
        </w:tc>
      </w:tr>
      <w:tr w:rsidR="00E42B18" w14:paraId="4A883ED1" w14:textId="77777777">
        <w:trPr>
          <w:trHeight w:val="309"/>
        </w:trPr>
        <w:tc>
          <w:tcPr>
            <w:tcW w:w="1135" w:type="dxa"/>
            <w:shd w:val="clear" w:color="auto" w:fill="C6EFCE"/>
            <w:noWrap/>
            <w:vAlign w:val="center"/>
          </w:tcPr>
          <w:p w14:paraId="44D695FE" w14:textId="77777777" w:rsidR="00E42B18" w:rsidRDefault="009629C4">
            <w:pPr>
              <w:pStyle w:val="P68B1DB1-Normal11"/>
              <w:jc w:val="center"/>
              <w:rPr>
                <w:rFonts w:cs="Arial"/>
                <w:noProof/>
                <w:szCs w:val="20"/>
              </w:rPr>
            </w:pPr>
            <w:r>
              <w:rPr>
                <w:noProof/>
              </w:rPr>
              <w:t>M1C1–12</w:t>
            </w:r>
          </w:p>
        </w:tc>
        <w:tc>
          <w:tcPr>
            <w:tcW w:w="1417" w:type="dxa"/>
            <w:shd w:val="clear" w:color="auto" w:fill="C6EFCE"/>
            <w:noWrap/>
            <w:vAlign w:val="center"/>
          </w:tcPr>
          <w:p w14:paraId="77450C29" w14:textId="77777777" w:rsidR="00E42B18" w:rsidRDefault="009629C4">
            <w:pPr>
              <w:pStyle w:val="P68B1DB1-Normal12"/>
              <w:jc w:val="center"/>
              <w:rPr>
                <w:rFonts w:cs="Arial"/>
                <w:noProof/>
              </w:rPr>
            </w:pPr>
            <w:r>
              <w:rPr>
                <w:noProof/>
              </w:rPr>
              <w:t>Investointi 1.3.2: Yhtenäinen digitaalinen palveluväylä</w:t>
            </w:r>
          </w:p>
        </w:tc>
        <w:tc>
          <w:tcPr>
            <w:tcW w:w="992" w:type="dxa"/>
            <w:shd w:val="clear" w:color="auto" w:fill="C6EFCE"/>
            <w:noWrap/>
            <w:vAlign w:val="center"/>
          </w:tcPr>
          <w:p w14:paraId="2EF06766"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tcPr>
          <w:p w14:paraId="57BB7A1D" w14:textId="77777777" w:rsidR="00E42B18" w:rsidRDefault="009629C4">
            <w:pPr>
              <w:pStyle w:val="P68B1DB1-Normal11"/>
              <w:jc w:val="center"/>
              <w:rPr>
                <w:rFonts w:cs="Arial"/>
                <w:noProof/>
                <w:szCs w:val="20"/>
              </w:rPr>
            </w:pPr>
            <w:r>
              <w:rPr>
                <w:noProof/>
              </w:rPr>
              <w:t>Yhteinen digitaalinen palveluväylä</w:t>
            </w:r>
          </w:p>
        </w:tc>
        <w:tc>
          <w:tcPr>
            <w:tcW w:w="1559" w:type="dxa"/>
            <w:shd w:val="clear" w:color="auto" w:fill="C6EFCE"/>
            <w:noWrap/>
            <w:vAlign w:val="center"/>
          </w:tcPr>
          <w:p w14:paraId="4E487E01"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tcPr>
          <w:p w14:paraId="4E16D38A"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tcPr>
          <w:p w14:paraId="5CBE338B" w14:textId="77777777" w:rsidR="00E42B18" w:rsidRDefault="009629C4">
            <w:pPr>
              <w:pStyle w:val="P68B1DB1-Normal11"/>
              <w:jc w:val="center"/>
              <w:rPr>
                <w:rFonts w:cs="Arial"/>
                <w:noProof/>
                <w:szCs w:val="20"/>
              </w:rPr>
            </w:pPr>
            <w:r>
              <w:rPr>
                <w:noProof/>
              </w:rPr>
              <w:t>0</w:t>
            </w:r>
          </w:p>
        </w:tc>
        <w:tc>
          <w:tcPr>
            <w:tcW w:w="1418" w:type="dxa"/>
            <w:shd w:val="clear" w:color="auto" w:fill="C6EFCE"/>
            <w:noWrap/>
            <w:vAlign w:val="center"/>
          </w:tcPr>
          <w:p w14:paraId="07CC303E" w14:textId="77777777" w:rsidR="00E42B18" w:rsidRDefault="009629C4">
            <w:pPr>
              <w:pStyle w:val="P68B1DB1-Normal11"/>
              <w:jc w:val="center"/>
              <w:rPr>
                <w:rFonts w:cs="Arial"/>
                <w:noProof/>
                <w:szCs w:val="20"/>
              </w:rPr>
            </w:pPr>
            <w:r>
              <w:rPr>
                <w:noProof/>
              </w:rPr>
              <w:t>19</w:t>
            </w:r>
          </w:p>
        </w:tc>
        <w:tc>
          <w:tcPr>
            <w:tcW w:w="992" w:type="dxa"/>
            <w:shd w:val="clear" w:color="auto" w:fill="C6EFCE"/>
            <w:noWrap/>
            <w:vAlign w:val="center"/>
          </w:tcPr>
          <w:p w14:paraId="3F637EB5"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6700CAD5" w14:textId="77777777" w:rsidR="00E42B18" w:rsidRDefault="009629C4">
            <w:pPr>
              <w:pStyle w:val="P68B1DB1-Normal11"/>
              <w:jc w:val="center"/>
              <w:rPr>
                <w:rFonts w:cs="Arial"/>
                <w:noProof/>
                <w:szCs w:val="20"/>
              </w:rPr>
            </w:pPr>
            <w:r>
              <w:rPr>
                <w:noProof/>
              </w:rPr>
              <w:t>2023</w:t>
            </w:r>
          </w:p>
        </w:tc>
        <w:tc>
          <w:tcPr>
            <w:tcW w:w="3259" w:type="dxa"/>
            <w:shd w:val="clear" w:color="auto" w:fill="C6EFCE"/>
            <w:noWrap/>
            <w:vAlign w:val="center"/>
          </w:tcPr>
          <w:p w14:paraId="2472287E" w14:textId="77777777" w:rsidR="00E42B18" w:rsidRDefault="009629C4">
            <w:pPr>
              <w:pStyle w:val="P68B1DB1-Normal11"/>
              <w:spacing w:after="120"/>
              <w:rPr>
                <w:rFonts w:cs="Arial"/>
                <w:noProof/>
                <w:szCs w:val="20"/>
              </w:rPr>
            </w:pPr>
            <w:r>
              <w:rPr>
                <w:noProof/>
              </w:rPr>
              <w:t>Asetuksessa 2018/1724 määritellyistä 21:stä Italiassa sovellettavat 19 ensisijaista hallinnollista menettelyä ovat täysin asetuksen 2018/1724 6 artiklassa määriteltyjen vaatimusten mukaisia. Erityisesti: a) käyttäjien tunnistaminen, tietojen ja niitä tukevien todisteiden toimittaminen, allekirjoitus ja lopullinen toimittaminen on tehtävä sähköisesti etäpalveluna sellaisen palvelukanavan kautta, jonka avulla käyttäjät voivat täyttää menettelyyn liittyvät vaatimukset käyttäjäystävällisellä ja jäsennellyllä tavalla; b) käyttäjille on annettava automaattinen vastaanottoilmoitus, paitsi jos menettelyn tulos toimitetaan välittömästi; C) menettelyn tulokset on toimitettava sähköisesti tai, jos se on tarpeen sovellettavan unionin tai kansallisen lainsäädännön noudattamiseksi, fyysisesti; d) käyttäjille on annettava sähköinen ilmoitus menettelyn päättymisestä.</w:t>
            </w:r>
          </w:p>
        </w:tc>
      </w:tr>
      <w:tr w:rsidR="00E42B18" w14:paraId="32DD049A" w14:textId="77777777">
        <w:trPr>
          <w:trHeight w:val="309"/>
        </w:trPr>
        <w:tc>
          <w:tcPr>
            <w:tcW w:w="1135" w:type="dxa"/>
            <w:shd w:val="clear" w:color="auto" w:fill="C6EFCE"/>
            <w:noWrap/>
            <w:vAlign w:val="center"/>
          </w:tcPr>
          <w:p w14:paraId="67DEB7FB" w14:textId="77777777" w:rsidR="00E42B18" w:rsidRDefault="009629C4">
            <w:pPr>
              <w:pStyle w:val="P68B1DB1-Normal11"/>
              <w:jc w:val="center"/>
              <w:rPr>
                <w:rFonts w:cs="Arial"/>
                <w:noProof/>
                <w:szCs w:val="20"/>
              </w:rPr>
            </w:pPr>
            <w:r>
              <w:rPr>
                <w:noProof/>
              </w:rPr>
              <w:t>M1C1–13</w:t>
            </w:r>
          </w:p>
        </w:tc>
        <w:tc>
          <w:tcPr>
            <w:tcW w:w="1417" w:type="dxa"/>
            <w:shd w:val="clear" w:color="auto" w:fill="C6EFCE"/>
            <w:noWrap/>
            <w:vAlign w:val="center"/>
          </w:tcPr>
          <w:p w14:paraId="66451324" w14:textId="77777777" w:rsidR="00E42B18" w:rsidRDefault="009629C4">
            <w:pPr>
              <w:pStyle w:val="P68B1DB1-Normal11"/>
              <w:jc w:val="center"/>
              <w:rPr>
                <w:rFonts w:cs="Arial"/>
                <w:noProof/>
                <w:szCs w:val="20"/>
              </w:rPr>
            </w:pPr>
            <w:r>
              <w:rPr>
                <w:noProof/>
              </w:rPr>
              <w:t>Investointi 1.4.6:</w:t>
            </w:r>
          </w:p>
          <w:p w14:paraId="02FC28B2" w14:textId="77777777" w:rsidR="00E42B18" w:rsidRDefault="009629C4">
            <w:pPr>
              <w:pStyle w:val="P68B1DB1-Normal11"/>
              <w:jc w:val="center"/>
              <w:rPr>
                <w:rFonts w:cs="Arial"/>
                <w:noProof/>
                <w:szCs w:val="20"/>
              </w:rPr>
            </w:pPr>
            <w:r>
              <w:rPr>
                <w:noProof/>
              </w:rPr>
              <w:t>Liikkuvuus palveluna Italialle</w:t>
            </w:r>
          </w:p>
        </w:tc>
        <w:tc>
          <w:tcPr>
            <w:tcW w:w="992" w:type="dxa"/>
            <w:shd w:val="clear" w:color="auto" w:fill="C6EFCE"/>
            <w:noWrap/>
            <w:vAlign w:val="center"/>
          </w:tcPr>
          <w:p w14:paraId="1EB1D543"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274F1F58" w14:textId="77777777" w:rsidR="00E42B18" w:rsidRDefault="009629C4">
            <w:pPr>
              <w:pStyle w:val="P68B1DB1-Normal11"/>
              <w:jc w:val="center"/>
              <w:rPr>
                <w:rFonts w:cs="Arial"/>
                <w:noProof/>
                <w:szCs w:val="20"/>
              </w:rPr>
            </w:pPr>
            <w:r>
              <w:rPr>
                <w:noProof/>
              </w:rPr>
              <w:t>Liikkuvuus palveluratkaisuina M1</w:t>
            </w:r>
          </w:p>
        </w:tc>
        <w:tc>
          <w:tcPr>
            <w:tcW w:w="1559" w:type="dxa"/>
            <w:shd w:val="clear" w:color="auto" w:fill="C6EFCE"/>
            <w:noWrap/>
            <w:vAlign w:val="center"/>
          </w:tcPr>
          <w:p w14:paraId="21723FB3" w14:textId="77777777" w:rsidR="00E42B18" w:rsidRDefault="009629C4">
            <w:pPr>
              <w:pStyle w:val="P68B1DB1-Normal12"/>
              <w:jc w:val="center"/>
              <w:rPr>
                <w:rFonts w:cs="Arial"/>
                <w:noProof/>
              </w:rPr>
            </w:pPr>
            <w:r>
              <w:rPr>
                <w:noProof/>
              </w:rPr>
              <w:t>Ministero delle Infrastrutture e della Mobilità Sostenibiilin (MIMS) yhteistyössä yliopistojen kanssa laatima raportti kolmen pilottihankkeen täytäntöönpanosta ja tulosten arvioinnista</w:t>
            </w:r>
          </w:p>
        </w:tc>
        <w:tc>
          <w:tcPr>
            <w:tcW w:w="1276" w:type="dxa"/>
            <w:shd w:val="clear" w:color="auto" w:fill="C6EFCE"/>
            <w:noWrap/>
            <w:vAlign w:val="center"/>
          </w:tcPr>
          <w:p w14:paraId="37026981"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72964B88"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0ADCA02A"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4CF91332"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0A6237E3" w14:textId="77777777" w:rsidR="00E42B18" w:rsidRDefault="009629C4">
            <w:pPr>
              <w:pStyle w:val="P68B1DB1-Normal11"/>
              <w:jc w:val="center"/>
              <w:rPr>
                <w:rFonts w:cs="Arial"/>
                <w:noProof/>
                <w:szCs w:val="20"/>
              </w:rPr>
            </w:pPr>
            <w:r>
              <w:rPr>
                <w:noProof/>
              </w:rPr>
              <w:t>2023</w:t>
            </w:r>
          </w:p>
        </w:tc>
        <w:tc>
          <w:tcPr>
            <w:tcW w:w="3259" w:type="dxa"/>
            <w:shd w:val="clear" w:color="auto" w:fill="C6EFCE"/>
            <w:noWrap/>
            <w:vAlign w:val="center"/>
          </w:tcPr>
          <w:p w14:paraId="7506C751" w14:textId="77777777" w:rsidR="00E42B18" w:rsidRDefault="009629C4">
            <w:pPr>
              <w:pStyle w:val="P68B1DB1-Normal12"/>
              <w:spacing w:after="120"/>
              <w:rPr>
                <w:rFonts w:cs="Arial"/>
                <w:noProof/>
              </w:rPr>
            </w:pPr>
            <w:r>
              <w:rPr>
                <w:noProof/>
              </w:rPr>
              <w:t>On toteutettu kolme pilottihanketta, joiden tarkoituksena on testata liikkuvuutta palveluratkaisuina teknisesti kehittyneissä suurkaupunkikaupungeissa.</w:t>
            </w:r>
          </w:p>
          <w:p w14:paraId="2019760C" w14:textId="77777777" w:rsidR="00E42B18" w:rsidRDefault="009629C4">
            <w:pPr>
              <w:pStyle w:val="P68B1DB1-Normal11"/>
              <w:spacing w:after="120"/>
              <w:rPr>
                <w:rFonts w:cs="Arial"/>
                <w:noProof/>
                <w:szCs w:val="20"/>
              </w:rPr>
            </w:pPr>
            <w:r>
              <w:rPr>
                <w:noProof/>
              </w:rPr>
              <w:t>Kutakin ratkaisua on käyttänyt vähintään 1000 käyttäjää pilottijakson aikana.</w:t>
            </w:r>
          </w:p>
          <w:p w14:paraId="0BD27B83" w14:textId="15EFCB07" w:rsidR="00E42B18" w:rsidRDefault="009629C4">
            <w:pPr>
              <w:pStyle w:val="P68B1DB1-Normal12"/>
              <w:spacing w:after="120"/>
              <w:rPr>
                <w:rFonts w:cs="Arial"/>
                <w:noProof/>
              </w:rPr>
            </w:pPr>
            <w:r>
              <w:rPr>
                <w:noProof/>
              </w:rPr>
              <w:t>Kunkin pilottihankkeen on oltava avoin vähintään 1000 käyttäjälle, joilla on oltava mahdollisuus käyttää sitä vapaaehtoisesti ja omalla kustannuksellaan ja antaa yksilöllinen arviointi sekä mahdollisuus valita ja ostaa liikkuvuuspalveluja alustalla saatavilla olevien palvelujen joukosta.</w:t>
            </w:r>
          </w:p>
          <w:p w14:paraId="24D8F934" w14:textId="77777777" w:rsidR="00E42B18" w:rsidRDefault="009629C4">
            <w:pPr>
              <w:pStyle w:val="P68B1DB1-Normal12"/>
              <w:spacing w:after="120"/>
              <w:rPr>
                <w:rFonts w:cs="Arial"/>
                <w:noProof/>
              </w:rPr>
            </w:pPr>
            <w:r>
              <w:rPr>
                <w:noProof/>
              </w:rPr>
              <w:t>MaaS-palvelun on yhden teknisen alustan kautta ehdotettava kansalaisille ja käyttäjille hänen tarpeisiinsa perustuvaa parasta matkustusratkaisua, jossa hyödynnetään eri liikkumisvaihtoehtojen (paikallinen julkinen liikenne, yhteiskäyttö, ohjaamo, autonvuokraus) integrointia matkustuskokemuksen optimoimiseksi sekä suunnittelun (intermodaalinen reittisuunnittelu ja reaaliaikaiset tiedot ajoista ja etäisyyksistä) että käytön (palvelujen varaaminen ja maksaminen) osalta.</w:t>
            </w:r>
          </w:p>
        </w:tc>
      </w:tr>
      <w:tr w:rsidR="00E42B18" w14:paraId="559E5AA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065113" w14:textId="77777777" w:rsidR="00E42B18" w:rsidRDefault="009629C4">
            <w:pPr>
              <w:pStyle w:val="P68B1DB1-Normal11"/>
              <w:jc w:val="center"/>
              <w:rPr>
                <w:rFonts w:cs="Arial"/>
                <w:noProof/>
              </w:rPr>
            </w:pPr>
            <w:r>
              <w:rPr>
                <w:noProof/>
              </w:rPr>
              <w:t>M1C1–14a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12A88" w14:textId="77777777" w:rsidR="00E42B18" w:rsidRDefault="009629C4">
            <w:pPr>
              <w:pStyle w:val="P68B1DB1-Normal11"/>
              <w:jc w:val="center"/>
              <w:rPr>
                <w:rFonts w:cs="Arial"/>
                <w:noProof/>
              </w:rPr>
            </w:pPr>
            <w:r>
              <w:rPr>
                <w:noProof/>
              </w:rPr>
              <w:t>Uudistus 1.9 a: Uudistus koheesiopolitiikan täytäntöönpanon nopeuttamiseksi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A97B12" w14:textId="77777777" w:rsidR="00E42B18" w:rsidRDefault="009629C4">
            <w:pPr>
              <w:pStyle w:val="P68B1DB1-Normal11"/>
              <w:jc w:val="center"/>
              <w:rPr>
                <w:rFonts w:cs="Arial"/>
                <w:noProof/>
              </w:rPr>
            </w:pPr>
            <w:r>
              <w:rPr>
                <w:noProof/>
              </w:rPr>
              <w:t xml:space="preserve">Virstanpylväs </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34F4F" w14:textId="77777777" w:rsidR="00E42B18" w:rsidRDefault="009629C4">
            <w:pPr>
              <w:pStyle w:val="P68B1DB1-Normal11"/>
              <w:jc w:val="center"/>
              <w:rPr>
                <w:rFonts w:cs="Arial"/>
                <w:noProof/>
              </w:rPr>
            </w:pPr>
            <w:r>
              <w:rPr>
                <w:noProof/>
              </w:rPr>
              <w:t>Koheesiopolitiikan täytäntöönpanon nopeuttamista koskevan kansallisen lainsäädännön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666783" w14:textId="77777777" w:rsidR="00E42B18" w:rsidRDefault="009629C4">
            <w:pPr>
              <w:pStyle w:val="P68B1DB1-Normal12"/>
              <w:jc w:val="center"/>
              <w:rPr>
                <w:rFonts w:cs="Arial"/>
                <w:noProof/>
              </w:rPr>
            </w:pPr>
            <w:r>
              <w:rPr>
                <w:noProof/>
              </w:rPr>
              <w:t xml:space="preserve">Lakiin sisältyvä säännös, jossa ilmoitetaan koheesiopolitiikan täytäntöönpanon nopeuttamista koskevan kansallisen lainsäädännön voimaantulosta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9DCFF4" w14:textId="77777777" w:rsidR="00E42B18" w:rsidRDefault="009629C4">
            <w:pPr>
              <w:pStyle w:val="P68B1DB1-Normal11"/>
              <w:jc w:val="center"/>
              <w:rPr>
                <w:rFonts w:cs="Arial"/>
                <w:noProof/>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3F826E" w14:textId="77777777" w:rsidR="00E42B18" w:rsidRDefault="009629C4">
            <w:pPr>
              <w:pStyle w:val="P68B1DB1-Normal11"/>
              <w:jc w:val="center"/>
              <w:rPr>
                <w:rFonts w:cs="Arial"/>
                <w:noProof/>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7B980B" w14:textId="77777777" w:rsidR="00E42B18" w:rsidRDefault="009629C4">
            <w:pPr>
              <w:pStyle w:val="P68B1DB1-Normal11"/>
              <w:jc w:val="center"/>
              <w:rPr>
                <w:rFonts w:cs="Arial"/>
                <w:noProof/>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84AEEB" w14:textId="77777777" w:rsidR="00E42B18" w:rsidRDefault="009629C4">
            <w:pPr>
              <w:pStyle w:val="P68B1DB1-Normal11"/>
              <w:jc w:val="center"/>
              <w:rPr>
                <w:rFonts w:cs="Arial"/>
                <w:noProof/>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74DCD" w14:textId="77777777" w:rsidR="00E42B18" w:rsidRDefault="009629C4">
            <w:pPr>
              <w:pStyle w:val="P68B1DB1-Normal11"/>
              <w:jc w:val="center"/>
              <w:rPr>
                <w:rFonts w:cs="Arial"/>
                <w:noProof/>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B0A8E9" w14:textId="77777777" w:rsidR="00E42B18" w:rsidRDefault="009629C4">
            <w:pPr>
              <w:pStyle w:val="P68B1DB1-Normal12"/>
              <w:spacing w:after="120"/>
              <w:rPr>
                <w:rFonts w:cs="Arial"/>
                <w:noProof/>
              </w:rPr>
            </w:pPr>
            <w:r>
              <w:rPr>
                <w:noProof/>
              </w:rPr>
              <w:t xml:space="preserve">Sellaisen kansallisen lainsäädännön voimaantulo, jossa määritellään kumppanuussopimuksen ja kaikkien nykyisten ohjelmien puitteissa tarvittavat järjestelyt koheesiopolitiikan täytäntöönpanon nopeuttamiseksi ja parantamiseksi. </w:t>
            </w:r>
          </w:p>
          <w:p w14:paraId="364CBAA7" w14:textId="77777777" w:rsidR="00E42B18" w:rsidRDefault="009629C4">
            <w:pPr>
              <w:pStyle w:val="P68B1DB1-Normal12"/>
              <w:spacing w:after="120"/>
              <w:rPr>
                <w:rFonts w:cs="Arial"/>
                <w:noProof/>
              </w:rPr>
            </w:pPr>
            <w:r>
              <w:rPr>
                <w:noProof/>
              </w:rPr>
              <w:t>Jotta voidaan varmistaa institutionaalinen vuoropuhelu ja yhteistyö sekä yhteisymmärrys tarvittavista toimista, hallitus perustaa 31 päivään joulukuuta 2023 mennessä teknisen työryhmän kaikkien Cabina di regia PNRR:n alueellisten ja kansallisten ohjelmien hallintoviranomaisten kanssa, sanotun kuitenkaan rajoittamatta yhdistettyä konferenssia koskevan kansallisen lainsäädännön soveltamista.</w:t>
            </w:r>
          </w:p>
          <w:p w14:paraId="38A16180" w14:textId="77777777" w:rsidR="00E42B18" w:rsidRDefault="009629C4">
            <w:pPr>
              <w:pStyle w:val="P68B1DB1-Normal12"/>
              <w:spacing w:after="0" w:line="240" w:lineRule="auto"/>
              <w:rPr>
                <w:rFonts w:cs="Arial"/>
                <w:noProof/>
              </w:rPr>
            </w:pPr>
            <w:r>
              <w:rPr>
                <w:noProof/>
              </w:rPr>
              <w:t>Lainsäädännössä on vahvistettava tarvittavat järjestelyt tukitoimien priorisoimiseksi seuraavilla strategisilla aloilla noudattaen tiukasti asiaankuuluvia mahdollistavia edellytyksiä varten määriteltyjä suunnitteluasiakirjoja ja niiden konkreettista täytäntöönpanoa, mukaan lukien puuttuminen erityisesti hallinnollisten valmiuksien vahvistamiseen näillä aloilla:</w:t>
            </w:r>
          </w:p>
          <w:p w14:paraId="22263442" w14:textId="77777777" w:rsidR="00E42B18" w:rsidRDefault="009629C4">
            <w:pPr>
              <w:pStyle w:val="P68B1DB1-Normal11"/>
              <w:tabs>
                <w:tab w:val="left" w:pos="195"/>
              </w:tabs>
              <w:spacing w:after="0" w:line="240" w:lineRule="auto"/>
              <w:rPr>
                <w:rFonts w:cs="Arial"/>
                <w:noProof/>
              </w:rPr>
            </w:pPr>
            <w:r>
              <w:rPr>
                <w:noProof/>
              </w:rPr>
              <w:t>—</w:t>
            </w:r>
            <w:r>
              <w:rPr>
                <w:noProof/>
              </w:rPr>
              <w:tab/>
              <w:t>Vettä;</w:t>
            </w:r>
          </w:p>
          <w:p w14:paraId="2EAF89C4" w14:textId="77777777" w:rsidR="00E42B18" w:rsidRDefault="009629C4">
            <w:pPr>
              <w:pStyle w:val="P68B1DB1-Normal11"/>
              <w:tabs>
                <w:tab w:val="left" w:pos="195"/>
              </w:tabs>
              <w:spacing w:after="0" w:line="240" w:lineRule="auto"/>
              <w:rPr>
                <w:rFonts w:cs="Arial"/>
                <w:noProof/>
              </w:rPr>
            </w:pPr>
            <w:r>
              <w:rPr>
                <w:noProof/>
              </w:rPr>
              <w:t>—</w:t>
            </w:r>
            <w:r>
              <w:rPr>
                <w:noProof/>
              </w:rPr>
              <w:tab/>
              <w:t>hydrogeologisten riskien ja ympäristönsuojelun infrastruktuurit;</w:t>
            </w:r>
          </w:p>
          <w:p w14:paraId="1F44EA1D" w14:textId="77777777" w:rsidR="00E42B18" w:rsidRDefault="009629C4">
            <w:pPr>
              <w:pStyle w:val="P68B1DB1-Normal11"/>
              <w:tabs>
                <w:tab w:val="left" w:pos="195"/>
              </w:tabs>
              <w:spacing w:after="0" w:line="240" w:lineRule="auto"/>
              <w:rPr>
                <w:rFonts w:cs="Arial"/>
                <w:noProof/>
              </w:rPr>
            </w:pPr>
            <w:r>
              <w:rPr>
                <w:noProof/>
              </w:rPr>
              <w:t>—</w:t>
            </w:r>
            <w:r>
              <w:rPr>
                <w:noProof/>
              </w:rPr>
              <w:tab/>
              <w:t>Jätteet;</w:t>
            </w:r>
          </w:p>
          <w:p w14:paraId="31D62012" w14:textId="77777777" w:rsidR="00E42B18" w:rsidRDefault="009629C4">
            <w:pPr>
              <w:pStyle w:val="P68B1DB1-Normal11"/>
              <w:tabs>
                <w:tab w:val="left" w:pos="195"/>
              </w:tabs>
              <w:spacing w:after="0" w:line="240" w:lineRule="auto"/>
              <w:rPr>
                <w:rFonts w:cs="Arial"/>
                <w:noProof/>
              </w:rPr>
            </w:pPr>
            <w:r>
              <w:rPr>
                <w:noProof/>
              </w:rPr>
              <w:t>—</w:t>
            </w:r>
            <w:r>
              <w:rPr>
                <w:noProof/>
              </w:rPr>
              <w:tab/>
              <w:t>Liikenne ja kestävä liikkuvuus;</w:t>
            </w:r>
          </w:p>
          <w:p w14:paraId="7E991B97" w14:textId="77777777" w:rsidR="00E42B18" w:rsidRDefault="009629C4">
            <w:pPr>
              <w:pStyle w:val="P68B1DB1-Normal11"/>
              <w:tabs>
                <w:tab w:val="left" w:pos="195"/>
              </w:tabs>
              <w:spacing w:after="0" w:line="240" w:lineRule="auto"/>
              <w:rPr>
                <w:rFonts w:cs="Arial"/>
                <w:noProof/>
              </w:rPr>
            </w:pPr>
            <w:r>
              <w:rPr>
                <w:noProof/>
              </w:rPr>
              <w:t>—</w:t>
            </w:r>
            <w:r>
              <w:rPr>
                <w:noProof/>
              </w:rPr>
              <w:tab/>
              <w:t>Energiakustannukset</w:t>
            </w:r>
          </w:p>
          <w:p w14:paraId="52C473E1" w14:textId="77777777" w:rsidR="00E42B18" w:rsidRDefault="009629C4">
            <w:pPr>
              <w:pStyle w:val="P68B1DB1-Normal11"/>
              <w:tabs>
                <w:tab w:val="left" w:pos="195"/>
              </w:tabs>
              <w:spacing w:after="0" w:line="240" w:lineRule="auto"/>
              <w:rPr>
                <w:rFonts w:cs="Arial"/>
                <w:noProof/>
              </w:rPr>
            </w:pPr>
            <w:r>
              <w:rPr>
                <w:noProof/>
              </w:rPr>
              <w:t>—</w:t>
            </w:r>
            <w:r>
              <w:rPr>
                <w:noProof/>
              </w:rPr>
              <w:tab/>
              <w:t>Yritysten kehittämisen ja houkuttelevuuden tukeminen, myös digitaalisen ja vihreän siirtymän kannalta.</w:t>
            </w:r>
          </w:p>
        </w:tc>
      </w:tr>
      <w:tr w:rsidR="00E42B18" w14:paraId="16AAA73C" w14:textId="77777777">
        <w:trPr>
          <w:trHeight w:val="309"/>
        </w:trPr>
        <w:tc>
          <w:tcPr>
            <w:tcW w:w="1135" w:type="dxa"/>
            <w:shd w:val="clear" w:color="auto" w:fill="C6EFCE"/>
            <w:noWrap/>
            <w:vAlign w:val="center"/>
          </w:tcPr>
          <w:p w14:paraId="370973D1" w14:textId="77777777" w:rsidR="00E42B18" w:rsidRDefault="009629C4">
            <w:pPr>
              <w:pStyle w:val="P68B1DB1-Normal11"/>
              <w:jc w:val="center"/>
              <w:rPr>
                <w:rFonts w:cs="Arial"/>
                <w:noProof/>
                <w:szCs w:val="20"/>
              </w:rPr>
            </w:pPr>
            <w:r>
              <w:rPr>
                <w:noProof/>
              </w:rPr>
              <w:t>M1C1–15</w:t>
            </w:r>
          </w:p>
        </w:tc>
        <w:tc>
          <w:tcPr>
            <w:tcW w:w="1417" w:type="dxa"/>
            <w:shd w:val="clear" w:color="auto" w:fill="C6EFCE"/>
            <w:noWrap/>
            <w:vAlign w:val="center"/>
          </w:tcPr>
          <w:p w14:paraId="00ACF205" w14:textId="77777777" w:rsidR="00E42B18" w:rsidRDefault="009629C4">
            <w:pPr>
              <w:pStyle w:val="P68B1DB1-Normal11"/>
              <w:jc w:val="center"/>
              <w:rPr>
                <w:rFonts w:cs="Arial"/>
                <w:noProof/>
                <w:szCs w:val="20"/>
              </w:rPr>
            </w:pPr>
            <w:r>
              <w:rPr>
                <w:noProof/>
              </w:rPr>
              <w:t>Investointi 1.6.6: Valtiovarainpoliisin digitalisointi</w:t>
            </w:r>
          </w:p>
        </w:tc>
        <w:tc>
          <w:tcPr>
            <w:tcW w:w="992" w:type="dxa"/>
            <w:shd w:val="clear" w:color="auto" w:fill="C6EFCE"/>
            <w:noWrap/>
            <w:vAlign w:val="center"/>
          </w:tcPr>
          <w:p w14:paraId="05CD5C2C"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tcPr>
          <w:p w14:paraId="3255B9DC" w14:textId="77777777" w:rsidR="00E42B18" w:rsidRDefault="009629C4">
            <w:pPr>
              <w:pStyle w:val="P68B1DB1-Normal11"/>
              <w:jc w:val="center"/>
              <w:rPr>
                <w:rFonts w:cs="Arial"/>
                <w:noProof/>
                <w:szCs w:val="20"/>
              </w:rPr>
            </w:pPr>
            <w:r>
              <w:rPr>
                <w:noProof/>
              </w:rPr>
              <w:t>Valtiovarainpoliisi – tietotieteen ammattimaisten palvelujen hankinta T2</w:t>
            </w:r>
          </w:p>
        </w:tc>
        <w:tc>
          <w:tcPr>
            <w:tcW w:w="1559" w:type="dxa"/>
            <w:shd w:val="clear" w:color="auto" w:fill="C6EFCE"/>
            <w:noWrap/>
            <w:vAlign w:val="center"/>
          </w:tcPr>
          <w:p w14:paraId="1DC802E6"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tcPr>
          <w:p w14:paraId="1D24012B"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tcPr>
          <w:p w14:paraId="094D9505" w14:textId="77777777" w:rsidR="00E42B18" w:rsidRDefault="009629C4">
            <w:pPr>
              <w:pStyle w:val="P68B1DB1-Normal11"/>
              <w:jc w:val="center"/>
              <w:rPr>
                <w:rFonts w:cs="Arial"/>
                <w:noProof/>
                <w:szCs w:val="20"/>
              </w:rPr>
            </w:pPr>
            <w:r>
              <w:rPr>
                <w:noProof/>
              </w:rPr>
              <w:t>5</w:t>
            </w:r>
          </w:p>
        </w:tc>
        <w:tc>
          <w:tcPr>
            <w:tcW w:w="1418" w:type="dxa"/>
            <w:shd w:val="clear" w:color="auto" w:fill="C6EFCE"/>
            <w:noWrap/>
            <w:vAlign w:val="center"/>
          </w:tcPr>
          <w:p w14:paraId="005A9A1A" w14:textId="77777777" w:rsidR="00E42B18" w:rsidRDefault="009629C4">
            <w:pPr>
              <w:pStyle w:val="P68B1DB1-Normal11"/>
              <w:jc w:val="center"/>
              <w:rPr>
                <w:rFonts w:cs="Arial"/>
                <w:noProof/>
                <w:szCs w:val="20"/>
              </w:rPr>
            </w:pPr>
            <w:r>
              <w:rPr>
                <w:noProof/>
              </w:rPr>
              <w:t>10</w:t>
            </w:r>
          </w:p>
        </w:tc>
        <w:tc>
          <w:tcPr>
            <w:tcW w:w="992" w:type="dxa"/>
            <w:shd w:val="clear" w:color="auto" w:fill="C6EFCE"/>
            <w:noWrap/>
            <w:vAlign w:val="center"/>
          </w:tcPr>
          <w:p w14:paraId="2ED698E6" w14:textId="77777777" w:rsidR="00E42B18" w:rsidRDefault="009629C4">
            <w:pPr>
              <w:pStyle w:val="P68B1DB1-Normal11"/>
              <w:jc w:val="center"/>
              <w:rPr>
                <w:rFonts w:cs="Arial"/>
                <w:noProof/>
                <w:szCs w:val="20"/>
              </w:rPr>
            </w:pPr>
            <w:r>
              <w:rPr>
                <w:noProof/>
              </w:rPr>
              <w:t>Q1</w:t>
            </w:r>
          </w:p>
        </w:tc>
        <w:tc>
          <w:tcPr>
            <w:tcW w:w="852" w:type="dxa"/>
            <w:shd w:val="clear" w:color="auto" w:fill="C6EFCE"/>
            <w:noWrap/>
            <w:vAlign w:val="center"/>
          </w:tcPr>
          <w:p w14:paraId="79B46949" w14:textId="77777777" w:rsidR="00E42B18" w:rsidRDefault="009629C4">
            <w:pPr>
              <w:pStyle w:val="P68B1DB1-Normal11"/>
              <w:jc w:val="center"/>
              <w:rPr>
                <w:rFonts w:cs="Arial"/>
                <w:noProof/>
                <w:szCs w:val="20"/>
              </w:rPr>
            </w:pPr>
            <w:r>
              <w:rPr>
                <w:noProof/>
              </w:rPr>
              <w:t>2024</w:t>
            </w:r>
          </w:p>
        </w:tc>
        <w:tc>
          <w:tcPr>
            <w:tcW w:w="3259" w:type="dxa"/>
            <w:shd w:val="clear" w:color="auto" w:fill="C6EFCE"/>
            <w:noWrap/>
            <w:vAlign w:val="center"/>
          </w:tcPr>
          <w:p w14:paraId="19380F2B" w14:textId="77777777" w:rsidR="00E42B18" w:rsidRDefault="009629C4">
            <w:pPr>
              <w:pStyle w:val="P68B1DB1-Normal12"/>
              <w:spacing w:after="120"/>
              <w:rPr>
                <w:rFonts w:cs="Arial"/>
                <w:noProof/>
              </w:rPr>
            </w:pPr>
            <w:r>
              <w:rPr>
                <w:noProof/>
              </w:rPr>
              <w:t>Ammattimaisten datatieteen palvelujen hankinta tekemällä sopimus sellaisen konsulttipalvelun tarjoajan kanssa, johon kuuluu viisi (yhteensä kymmenen) lisähenkilöä, jotka vastaavat sekä data-arkkitehtuurin suunnittelusta että massadata-analyysiyksikön algoritmien kirjoittamisesta. Datatieteen palvelujen ostamisesta tehdyn sopimuksen julkaiseminen ”ei merkittävää haittaa” -periaatteen (2021/C58/01) mukaisesti käyttämällä poissulkemisluetteloa ja vaatimusta asiaa koskevan EU:n ja kansallisen ympäristölainsäädännön noudattamisesta ja julkaisemalla maanlaajuisesti uusia välineitä ensimmäisessä analyysimoduulissa (tietotekninen runko).</w:t>
            </w:r>
          </w:p>
        </w:tc>
      </w:tr>
      <w:tr w:rsidR="00E42B18" w14:paraId="771E9DE4" w14:textId="77777777">
        <w:trPr>
          <w:trHeight w:val="309"/>
        </w:trPr>
        <w:tc>
          <w:tcPr>
            <w:tcW w:w="1135" w:type="dxa"/>
            <w:shd w:val="clear" w:color="auto" w:fill="C6EFCE"/>
            <w:noWrap/>
            <w:vAlign w:val="center"/>
            <w:hideMark/>
          </w:tcPr>
          <w:p w14:paraId="2BDE6EA2" w14:textId="77777777" w:rsidR="00E42B18" w:rsidRDefault="009629C4">
            <w:pPr>
              <w:pStyle w:val="P68B1DB1-Normal11"/>
              <w:jc w:val="center"/>
              <w:rPr>
                <w:rFonts w:cs="Arial"/>
                <w:noProof/>
                <w:szCs w:val="20"/>
              </w:rPr>
            </w:pPr>
            <w:r>
              <w:rPr>
                <w:noProof/>
              </w:rPr>
              <w:t>M1C1–17</w:t>
            </w:r>
          </w:p>
        </w:tc>
        <w:tc>
          <w:tcPr>
            <w:tcW w:w="1417" w:type="dxa"/>
            <w:shd w:val="clear" w:color="auto" w:fill="C6EFCE"/>
            <w:noWrap/>
            <w:vAlign w:val="center"/>
            <w:hideMark/>
          </w:tcPr>
          <w:p w14:paraId="0F46FB6C" w14:textId="77777777" w:rsidR="00E42B18" w:rsidRDefault="009629C4">
            <w:pPr>
              <w:pStyle w:val="P68B1DB1-Normal11"/>
              <w:jc w:val="center"/>
              <w:rPr>
                <w:rFonts w:cs="Arial"/>
                <w:noProof/>
                <w:szCs w:val="20"/>
              </w:rPr>
            </w:pPr>
            <w:r>
              <w:rPr>
                <w:noProof/>
              </w:rPr>
              <w:t>Investointi 1.1: Digitaalinen infrastruktuuri</w:t>
            </w:r>
          </w:p>
        </w:tc>
        <w:tc>
          <w:tcPr>
            <w:tcW w:w="992" w:type="dxa"/>
            <w:shd w:val="clear" w:color="auto" w:fill="C6EFCE"/>
            <w:noWrap/>
            <w:vAlign w:val="center"/>
            <w:hideMark/>
          </w:tcPr>
          <w:p w14:paraId="3128050C"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hideMark/>
          </w:tcPr>
          <w:p w14:paraId="67567AA5" w14:textId="77777777" w:rsidR="00E42B18" w:rsidRPr="007F4B94" w:rsidRDefault="009629C4">
            <w:pPr>
              <w:pStyle w:val="P68B1DB1-Normal12"/>
              <w:jc w:val="center"/>
              <w:rPr>
                <w:rFonts w:cs="Arial"/>
                <w:noProof/>
                <w:lang w:val="fr-FR"/>
              </w:rPr>
            </w:pPr>
            <w:r w:rsidRPr="007F4B94">
              <w:rPr>
                <w:noProof/>
                <w:lang w:val="fr-FR"/>
              </w:rPr>
              <w:t>Muuttoliike Polo Strategico Nazionale T1:een</w:t>
            </w:r>
          </w:p>
        </w:tc>
        <w:tc>
          <w:tcPr>
            <w:tcW w:w="1559" w:type="dxa"/>
            <w:shd w:val="clear" w:color="auto" w:fill="C6EFCE"/>
            <w:noWrap/>
            <w:vAlign w:val="center"/>
          </w:tcPr>
          <w:p w14:paraId="7BABEB3F"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hideMark/>
          </w:tcPr>
          <w:p w14:paraId="0D6CD1E4"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hideMark/>
          </w:tcPr>
          <w:p w14:paraId="22BCD100" w14:textId="77777777" w:rsidR="00E42B18" w:rsidRDefault="009629C4">
            <w:pPr>
              <w:pStyle w:val="P68B1DB1-Normal11"/>
              <w:jc w:val="center"/>
              <w:rPr>
                <w:rFonts w:cs="Arial"/>
                <w:noProof/>
                <w:szCs w:val="20"/>
              </w:rPr>
            </w:pPr>
            <w:r>
              <w:rPr>
                <w:noProof/>
              </w:rPr>
              <w:t>0</w:t>
            </w:r>
          </w:p>
        </w:tc>
        <w:tc>
          <w:tcPr>
            <w:tcW w:w="1418" w:type="dxa"/>
            <w:shd w:val="clear" w:color="auto" w:fill="C6EFCE"/>
            <w:noWrap/>
            <w:vAlign w:val="center"/>
            <w:hideMark/>
          </w:tcPr>
          <w:p w14:paraId="40AAB72E" w14:textId="77777777" w:rsidR="00E42B18" w:rsidRDefault="009629C4">
            <w:pPr>
              <w:pStyle w:val="P68B1DB1-Normal11"/>
              <w:jc w:val="center"/>
              <w:rPr>
                <w:rFonts w:cs="Arial"/>
                <w:noProof/>
                <w:szCs w:val="20"/>
              </w:rPr>
            </w:pPr>
            <w:r>
              <w:rPr>
                <w:noProof/>
              </w:rPr>
              <w:t>100</w:t>
            </w:r>
          </w:p>
        </w:tc>
        <w:tc>
          <w:tcPr>
            <w:tcW w:w="992" w:type="dxa"/>
            <w:shd w:val="clear" w:color="auto" w:fill="C6EFCE"/>
            <w:noWrap/>
            <w:vAlign w:val="center"/>
            <w:hideMark/>
          </w:tcPr>
          <w:p w14:paraId="704232CE" w14:textId="77777777" w:rsidR="00E42B18" w:rsidRDefault="009629C4">
            <w:pPr>
              <w:pStyle w:val="P68B1DB1-Normal11"/>
              <w:jc w:val="center"/>
              <w:rPr>
                <w:rFonts w:cs="Arial"/>
                <w:noProof/>
                <w:szCs w:val="20"/>
              </w:rPr>
            </w:pPr>
            <w:r>
              <w:rPr>
                <w:noProof/>
              </w:rPr>
              <w:t>Q3</w:t>
            </w:r>
          </w:p>
        </w:tc>
        <w:tc>
          <w:tcPr>
            <w:tcW w:w="852" w:type="dxa"/>
            <w:shd w:val="clear" w:color="auto" w:fill="C6EFCE"/>
            <w:noWrap/>
            <w:vAlign w:val="center"/>
            <w:hideMark/>
          </w:tcPr>
          <w:p w14:paraId="36A3F389" w14:textId="77777777" w:rsidR="00E42B18" w:rsidRDefault="009629C4">
            <w:pPr>
              <w:pStyle w:val="P68B1DB1-Normal11"/>
              <w:jc w:val="center"/>
              <w:rPr>
                <w:rFonts w:cs="Arial"/>
                <w:noProof/>
                <w:szCs w:val="20"/>
              </w:rPr>
            </w:pPr>
            <w:r>
              <w:rPr>
                <w:noProof/>
              </w:rPr>
              <w:t>2024</w:t>
            </w:r>
          </w:p>
        </w:tc>
        <w:tc>
          <w:tcPr>
            <w:tcW w:w="3259" w:type="dxa"/>
            <w:shd w:val="clear" w:color="auto" w:fill="C6EFCE"/>
            <w:noWrap/>
            <w:vAlign w:val="center"/>
            <w:hideMark/>
          </w:tcPr>
          <w:p w14:paraId="4AC29B6C" w14:textId="77777777" w:rsidR="00E42B18" w:rsidRDefault="009629C4">
            <w:pPr>
              <w:pStyle w:val="P68B1DB1-Normal12"/>
              <w:spacing w:after="120"/>
              <w:rPr>
                <w:rFonts w:cs="Arial"/>
                <w:noProof/>
              </w:rPr>
            </w:pPr>
            <w:r>
              <w:rPr>
                <w:noProof/>
              </w:rPr>
              <w:t>Vähintään 100 keskushallinnon ja paikallisen terveydenhuoltoviranomaisen (Aziende Sanitarie Locali/Aziende ospedaliere) on siirrettävä täysimääräisesti vähintään yksi hallinnon palvelu (mukaan lukien järjestelmät, tietokokonaisuudet ja sovellukset) infrastruktuuriin (Polo Strategico Nazionale). Täysin siirretyt laitokset voivat edellyttää, että kukin toimielin koostuu seuraavista: ei-pilvivalmis pelkässä isännöinnissä, hissien ja vuorojen siirtymät, päivittäminen infrastruktuurina palveluna (IaaS), alusta palveluna (Paas) tai ohjelmistopalveluna (SaaS). Siirtyminen Polo Strategico Nazionaleen voidaan toteuttaa eri tavoin kunkin siirtyvän julkishallinnon omistaman toimitiloissa sijaitsevan ohjelmiston tietoteknisen arkkitehtuurin mukaan. Nämä strategiat voivat vaihdella pelkästä isännöinti- ja hissimuutoksesta sellaisten ohjelmistojen osalta, jotka eivät ole pilvivalmiita, aina siirtymiseen IaaS-, PaaS- tai SaaS-järjestelmään pilvivalmiiden ohjelmistojen osalta. PSN:n on tarjottava jokaiselle muuttavalle julkishallinnolle kaikki muuttoliikestrategiat, joiden avulla voidaan ottaa huomioon saavutettu tavoite ”muuttoliike Polo Strategico Nazionaleen”.</w:t>
            </w:r>
          </w:p>
          <w:p w14:paraId="26D1511B" w14:textId="77777777" w:rsidR="00E42B18" w:rsidRDefault="009629C4">
            <w:pPr>
              <w:pStyle w:val="P68B1DB1-Normal11"/>
              <w:rPr>
                <w:rFonts w:cs="Arial"/>
                <w:noProof/>
                <w:szCs w:val="20"/>
              </w:rPr>
            </w:pPr>
            <w:r>
              <w:rPr>
                <w:noProof/>
              </w:rPr>
              <w:t>”Soveltamisalaan” kuuluvat seuraavat julkishallinnot yhteensä:</w:t>
            </w:r>
          </w:p>
          <w:p w14:paraId="47214E9A" w14:textId="77777777" w:rsidR="00E42B18" w:rsidRDefault="009629C4">
            <w:pPr>
              <w:pStyle w:val="P68B1DB1-Normal12"/>
              <w:rPr>
                <w:rFonts w:cs="Arial"/>
                <w:noProof/>
              </w:rPr>
            </w:pPr>
            <w:r>
              <w:rPr>
                <w:noProof/>
              </w:rPr>
              <w:t>• Julkishallinnon keskushallinto, jonka osuus tieto- ja viestintätekniikan menoista on suurin (kuten kansallinen sosiaaliturvalaitos ja oikeusministeriö)</w:t>
            </w:r>
          </w:p>
          <w:p w14:paraId="63D142F5" w14:textId="77777777" w:rsidR="00E42B18" w:rsidRDefault="009629C4">
            <w:pPr>
              <w:pStyle w:val="P68B1DB1-Normal12"/>
              <w:rPr>
                <w:rFonts w:cs="Arial"/>
                <w:noProof/>
              </w:rPr>
            </w:pPr>
            <w:r>
              <w:rPr>
                <w:noProof/>
              </w:rPr>
              <w:t>• Julkishallinnon keskushallinnot, jotka isännöivät tietoja vanhentuneissa tietokeskuksissa äskettäin toteutetun ”pilvivalmiutta” koskevan tutkimuksen mukaisesti;</w:t>
            </w:r>
          </w:p>
          <w:p w14:paraId="6E02A91D" w14:textId="77777777" w:rsidR="00E42B18" w:rsidRDefault="009629C4">
            <w:pPr>
              <w:pStyle w:val="P68B1DB1-Normal12"/>
              <w:rPr>
                <w:rFonts w:cs="Arial"/>
                <w:noProof/>
              </w:rPr>
            </w:pPr>
            <w:r>
              <w:rPr>
                <w:noProof/>
              </w:rPr>
              <w:t>• Paikallisilla terveydenhuoltoviranomaisilla (Aziende Sanitarie Locali/Aziende Ospedaliere), jotka sijaitsevat pääasiassa Keski- ja Etelä-Italiassa, ei ole riittävää infrastruktuuria tietoturvan varmistamiseksi.</w:t>
            </w:r>
          </w:p>
        </w:tc>
      </w:tr>
      <w:tr w:rsidR="00E42B18" w14:paraId="56078194" w14:textId="77777777">
        <w:trPr>
          <w:trHeight w:val="309"/>
        </w:trPr>
        <w:tc>
          <w:tcPr>
            <w:tcW w:w="1135" w:type="dxa"/>
            <w:shd w:val="clear" w:color="auto" w:fill="C6EFCE"/>
            <w:noWrap/>
            <w:vAlign w:val="center"/>
          </w:tcPr>
          <w:p w14:paraId="6C9C2471" w14:textId="77777777" w:rsidR="00E42B18" w:rsidRDefault="009629C4">
            <w:pPr>
              <w:pStyle w:val="P68B1DB1-Normal11"/>
              <w:jc w:val="center"/>
              <w:rPr>
                <w:rFonts w:cs="Arial"/>
                <w:noProof/>
                <w:szCs w:val="20"/>
              </w:rPr>
            </w:pPr>
            <w:r>
              <w:rPr>
                <w:noProof/>
              </w:rPr>
              <w:t>M1C1–18</w:t>
            </w:r>
          </w:p>
        </w:tc>
        <w:tc>
          <w:tcPr>
            <w:tcW w:w="1417" w:type="dxa"/>
            <w:shd w:val="clear" w:color="auto" w:fill="C6EFCE"/>
            <w:noWrap/>
            <w:vAlign w:val="center"/>
          </w:tcPr>
          <w:p w14:paraId="3D2F038E" w14:textId="77777777" w:rsidR="00E42B18" w:rsidRDefault="009629C4">
            <w:pPr>
              <w:pStyle w:val="P68B1DB1-Normal11"/>
              <w:jc w:val="center"/>
              <w:rPr>
                <w:rFonts w:cs="Arial"/>
                <w:noProof/>
                <w:szCs w:val="20"/>
              </w:rPr>
            </w:pPr>
            <w:r>
              <w:rPr>
                <w:noProof/>
              </w:rPr>
              <w:t>Investointi 1.3.1: Kansallinen digitaalidata-alusta</w:t>
            </w:r>
          </w:p>
        </w:tc>
        <w:tc>
          <w:tcPr>
            <w:tcW w:w="992" w:type="dxa"/>
            <w:shd w:val="clear" w:color="auto" w:fill="C6EFCE"/>
            <w:noWrap/>
            <w:vAlign w:val="center"/>
          </w:tcPr>
          <w:p w14:paraId="4FA825D8"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tcPr>
          <w:p w14:paraId="00C09F59" w14:textId="77777777" w:rsidR="00E42B18" w:rsidRDefault="009629C4">
            <w:pPr>
              <w:pStyle w:val="P68B1DB1-Normal11"/>
              <w:jc w:val="center"/>
              <w:rPr>
                <w:rFonts w:cs="Arial"/>
                <w:noProof/>
                <w:szCs w:val="20"/>
              </w:rPr>
            </w:pPr>
            <w:r>
              <w:rPr>
                <w:noProof/>
              </w:rPr>
              <w:t>Sovellusrajapinnat kansallisessa digitaalisten tietojen alustassa T1</w:t>
            </w:r>
          </w:p>
        </w:tc>
        <w:tc>
          <w:tcPr>
            <w:tcW w:w="1559" w:type="dxa"/>
            <w:shd w:val="clear" w:color="auto" w:fill="C6EFCE"/>
            <w:noWrap/>
            <w:vAlign w:val="center"/>
          </w:tcPr>
          <w:p w14:paraId="78ADBE91"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tcPr>
          <w:p w14:paraId="3C74CB72"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tcPr>
          <w:p w14:paraId="67ADA2B6" w14:textId="77777777" w:rsidR="00E42B18" w:rsidRDefault="009629C4">
            <w:pPr>
              <w:pStyle w:val="P68B1DB1-Normal11"/>
              <w:jc w:val="center"/>
              <w:rPr>
                <w:rFonts w:cs="Arial"/>
                <w:noProof/>
                <w:szCs w:val="20"/>
              </w:rPr>
            </w:pPr>
            <w:r>
              <w:rPr>
                <w:noProof/>
              </w:rPr>
              <w:t>0</w:t>
            </w:r>
          </w:p>
        </w:tc>
        <w:tc>
          <w:tcPr>
            <w:tcW w:w="1418" w:type="dxa"/>
            <w:shd w:val="clear" w:color="auto" w:fill="C6EFCE"/>
            <w:noWrap/>
            <w:vAlign w:val="center"/>
          </w:tcPr>
          <w:p w14:paraId="0B481934" w14:textId="77777777" w:rsidR="00E42B18" w:rsidRDefault="009629C4">
            <w:pPr>
              <w:pStyle w:val="P68B1DB1-Normal11"/>
              <w:jc w:val="center"/>
              <w:rPr>
                <w:rFonts w:cs="Arial"/>
                <w:noProof/>
                <w:szCs w:val="20"/>
              </w:rPr>
            </w:pPr>
            <w:r>
              <w:rPr>
                <w:noProof/>
              </w:rPr>
              <w:t>3 000</w:t>
            </w:r>
          </w:p>
        </w:tc>
        <w:tc>
          <w:tcPr>
            <w:tcW w:w="992" w:type="dxa"/>
            <w:shd w:val="clear" w:color="auto" w:fill="C6EFCE"/>
            <w:noWrap/>
            <w:vAlign w:val="center"/>
          </w:tcPr>
          <w:p w14:paraId="67FBA7BF"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3C5F2BA5" w14:textId="77777777" w:rsidR="00E42B18" w:rsidRDefault="009629C4">
            <w:pPr>
              <w:pStyle w:val="P68B1DB1-Normal11"/>
              <w:jc w:val="center"/>
              <w:rPr>
                <w:rFonts w:cs="Arial"/>
                <w:noProof/>
                <w:szCs w:val="20"/>
              </w:rPr>
            </w:pPr>
            <w:r>
              <w:rPr>
                <w:noProof/>
              </w:rPr>
              <w:t>2024</w:t>
            </w:r>
          </w:p>
        </w:tc>
        <w:tc>
          <w:tcPr>
            <w:tcW w:w="3259" w:type="dxa"/>
            <w:shd w:val="clear" w:color="auto" w:fill="C6EFCE"/>
            <w:noWrap/>
            <w:vAlign w:val="center"/>
          </w:tcPr>
          <w:p w14:paraId="2A1A29F1" w14:textId="77777777" w:rsidR="00E42B18" w:rsidRDefault="009629C4">
            <w:pPr>
              <w:pStyle w:val="P68B1DB1-Normal12"/>
              <w:spacing w:after="120"/>
              <w:rPr>
                <w:rFonts w:cs="Arial"/>
                <w:noProof/>
              </w:rPr>
            </w:pPr>
            <w:r>
              <w:rPr>
                <w:noProof/>
              </w:rPr>
              <w:t>Tavoitteena on saavuttaa vähintään 3000 julkishallinnon luomaa sovellusrajapintaa (API), jotka julkaistaan API-luettelossa ja integroidaan kansalliseen digitaalidata-alustaan. Julkaistut API-tiedot vaikuttavat useisiin aloihin, joita voivat olla muun muassa seuraavat:</w:t>
            </w:r>
          </w:p>
          <w:p w14:paraId="48C7C397" w14:textId="77777777" w:rsidR="00E42B18" w:rsidRDefault="009629C4">
            <w:pPr>
              <w:spacing w:after="120"/>
              <w:rPr>
                <w:rFonts w:ascii="Arial Narrow" w:hAnsi="Arial Narrow" w:cs="Arial"/>
                <w:noProof/>
                <w:color w:val="006100"/>
                <w:sz w:val="20"/>
                <w:szCs w:val="20"/>
              </w:rPr>
            </w:pPr>
            <w:r>
              <w:rPr>
                <w:rFonts w:ascii="Arial Narrow" w:hAnsi="Arial Narrow"/>
                <w:noProof/>
                <w:color w:val="006100"/>
                <w:sz w:val="20"/>
                <w:szCs w:val="20"/>
              </w:rPr>
              <w:t>I) Sosiaaliturva- ja sosiaalipalvelut,</w:t>
            </w:r>
            <w:r>
              <w:rPr>
                <w:noProof/>
              </w:rPr>
              <w:t xml:space="preserve"> </w:t>
            </w:r>
            <w:r>
              <w:rPr>
                <w:rFonts w:ascii="Arial Narrow" w:hAnsi="Arial Narrow"/>
                <w:noProof/>
                <w:color w:val="006100"/>
                <w:sz w:val="20"/>
                <w:szCs w:val="20"/>
              </w:rPr>
              <w:t>hankintapalvelujen hallinnointi tai keskeiset kansalliset rekisterit (esim. väestörekisteri ja autoluparekisteri);</w:t>
            </w:r>
          </w:p>
          <w:p w14:paraId="32A744CF" w14:textId="77777777" w:rsidR="00E42B18" w:rsidRDefault="009629C4">
            <w:pPr>
              <w:pStyle w:val="P68B1DB1-Normal12"/>
              <w:spacing w:after="120"/>
              <w:rPr>
                <w:rFonts w:cs="Arial"/>
                <w:noProof/>
              </w:rPr>
            </w:pPr>
            <w:r>
              <w:rPr>
                <w:noProof/>
              </w:rPr>
              <w:t>Kunkin sovellusrajapinnan toteutuksen ja dokumentaation on oltava kansallisten yhteentoimivuusstandardien mukaisia. Kansallisen digitaalisen data-alustan kehyksen on sisällettävä toiminnot vaatimustenmukaisuuden arvioimiseksi.</w:t>
            </w:r>
          </w:p>
        </w:tc>
      </w:tr>
      <w:tr w:rsidR="00E42B18" w14:paraId="00BAEB66" w14:textId="77777777">
        <w:trPr>
          <w:trHeight w:val="309"/>
        </w:trPr>
        <w:tc>
          <w:tcPr>
            <w:tcW w:w="1135" w:type="dxa"/>
            <w:shd w:val="clear" w:color="auto" w:fill="C6EFCE"/>
            <w:noWrap/>
            <w:vAlign w:val="center"/>
          </w:tcPr>
          <w:p w14:paraId="7902F66F" w14:textId="77777777" w:rsidR="00E42B18" w:rsidRDefault="009629C4">
            <w:pPr>
              <w:pStyle w:val="P68B1DB1-Normal11"/>
              <w:jc w:val="center"/>
              <w:rPr>
                <w:rFonts w:cs="Arial"/>
                <w:noProof/>
                <w:szCs w:val="20"/>
              </w:rPr>
            </w:pPr>
            <w:r>
              <w:rPr>
                <w:noProof/>
              </w:rPr>
              <w:t>M1C1–19</w:t>
            </w:r>
          </w:p>
        </w:tc>
        <w:tc>
          <w:tcPr>
            <w:tcW w:w="1417" w:type="dxa"/>
            <w:shd w:val="clear" w:color="auto" w:fill="C6EFCE"/>
            <w:noWrap/>
            <w:vAlign w:val="center"/>
          </w:tcPr>
          <w:p w14:paraId="01B50134" w14:textId="77777777" w:rsidR="00E42B18" w:rsidRDefault="009629C4">
            <w:pPr>
              <w:pStyle w:val="P68B1DB1-Normal11"/>
              <w:jc w:val="center"/>
              <w:rPr>
                <w:rFonts w:cs="Arial"/>
                <w:noProof/>
                <w:szCs w:val="20"/>
              </w:rPr>
            </w:pPr>
            <w:r>
              <w:rPr>
                <w:noProof/>
              </w:rPr>
              <w:t>Investointi 1.5: Kyberturvallisuus</w:t>
            </w:r>
          </w:p>
        </w:tc>
        <w:tc>
          <w:tcPr>
            <w:tcW w:w="992" w:type="dxa"/>
            <w:shd w:val="clear" w:color="auto" w:fill="C6EFCE"/>
            <w:noWrap/>
            <w:vAlign w:val="center"/>
          </w:tcPr>
          <w:p w14:paraId="17FBEB8E"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tcPr>
          <w:p w14:paraId="36885AE4" w14:textId="77777777" w:rsidR="00E42B18" w:rsidRDefault="009629C4">
            <w:pPr>
              <w:pStyle w:val="P68B1DB1-Normal11"/>
              <w:jc w:val="center"/>
              <w:rPr>
                <w:rFonts w:cs="Arial"/>
                <w:noProof/>
                <w:szCs w:val="20"/>
              </w:rPr>
            </w:pPr>
            <w:r>
              <w:rPr>
                <w:noProof/>
              </w:rPr>
              <w:t>Tuki turvallisuusrakenteiden parantamiseen T2</w:t>
            </w:r>
          </w:p>
        </w:tc>
        <w:tc>
          <w:tcPr>
            <w:tcW w:w="1559" w:type="dxa"/>
            <w:shd w:val="clear" w:color="auto" w:fill="C6EFCE"/>
            <w:noWrap/>
            <w:vAlign w:val="center"/>
          </w:tcPr>
          <w:p w14:paraId="28139F11"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tcPr>
          <w:p w14:paraId="13CA1889"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tcPr>
          <w:p w14:paraId="4B1BEC94" w14:textId="77777777" w:rsidR="00E42B18" w:rsidRDefault="009629C4">
            <w:pPr>
              <w:pStyle w:val="P68B1DB1-Normal11"/>
              <w:jc w:val="center"/>
              <w:rPr>
                <w:rFonts w:cs="Arial"/>
                <w:noProof/>
                <w:szCs w:val="20"/>
              </w:rPr>
            </w:pPr>
            <w:r>
              <w:rPr>
                <w:noProof/>
              </w:rPr>
              <w:t>5</w:t>
            </w:r>
          </w:p>
        </w:tc>
        <w:tc>
          <w:tcPr>
            <w:tcW w:w="1418" w:type="dxa"/>
            <w:shd w:val="clear" w:color="auto" w:fill="C6EFCE"/>
            <w:noWrap/>
            <w:vAlign w:val="center"/>
          </w:tcPr>
          <w:p w14:paraId="094FB512" w14:textId="77777777" w:rsidR="00E42B18" w:rsidRDefault="009629C4">
            <w:pPr>
              <w:pStyle w:val="P68B1DB1-Normal11"/>
              <w:jc w:val="center"/>
              <w:rPr>
                <w:rFonts w:cs="Arial"/>
                <w:noProof/>
                <w:szCs w:val="20"/>
              </w:rPr>
            </w:pPr>
            <w:r>
              <w:rPr>
                <w:noProof/>
              </w:rPr>
              <w:t>50</w:t>
            </w:r>
          </w:p>
        </w:tc>
        <w:tc>
          <w:tcPr>
            <w:tcW w:w="992" w:type="dxa"/>
            <w:shd w:val="clear" w:color="auto" w:fill="C6EFCE"/>
            <w:noWrap/>
            <w:vAlign w:val="center"/>
          </w:tcPr>
          <w:p w14:paraId="51E23C12"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6F2751C8" w14:textId="77777777" w:rsidR="00E42B18" w:rsidRDefault="009629C4">
            <w:pPr>
              <w:pStyle w:val="P68B1DB1-Normal11"/>
              <w:jc w:val="center"/>
              <w:rPr>
                <w:rFonts w:cs="Arial"/>
                <w:noProof/>
                <w:szCs w:val="20"/>
              </w:rPr>
            </w:pPr>
            <w:r>
              <w:rPr>
                <w:noProof/>
              </w:rPr>
              <w:t>2024</w:t>
            </w:r>
          </w:p>
        </w:tc>
        <w:tc>
          <w:tcPr>
            <w:tcW w:w="3259" w:type="dxa"/>
            <w:shd w:val="clear" w:color="auto" w:fill="C6EFCE"/>
            <w:noWrap/>
            <w:vAlign w:val="center"/>
          </w:tcPr>
          <w:p w14:paraId="52795E4A" w14:textId="77777777" w:rsidR="00E42B18" w:rsidRDefault="009629C4">
            <w:pPr>
              <w:pStyle w:val="P68B1DB1-Normal12"/>
              <w:spacing w:after="120"/>
              <w:rPr>
                <w:rFonts w:cs="Arial"/>
                <w:noProof/>
              </w:rPr>
            </w:pPr>
            <w:r>
              <w:rPr>
                <w:noProof/>
              </w:rPr>
              <w:t>Vähintään 50 kansallisen kyberturvallisuuskäyrän (PSNC) ja verkko- ja tietojärjestelmien (NIS) alalla toteutettua interventiota.</w:t>
            </w:r>
          </w:p>
          <w:p w14:paraId="152327CF" w14:textId="77777777" w:rsidR="00E42B18" w:rsidRDefault="009629C4">
            <w:pPr>
              <w:pStyle w:val="P68B1DB1-Normal12"/>
              <w:spacing w:after="120"/>
              <w:rPr>
                <w:rFonts w:cs="Arial"/>
                <w:noProof/>
              </w:rPr>
            </w:pPr>
            <w:r>
              <w:rPr>
                <w:noProof/>
              </w:rPr>
              <w:t>Interventiotyyppejä ovat esimerkiksi turvallisuustoimintakeskukset (SOC), kyberrajapuolustuksen parannukset sekä sisäiset seuranta- ja valvontavalmiudet verkko- ja tietoturvaa ja PSNC:tä koskevien vaatimusten mukaisesti. Verkko- ja tietoturva-alojen toimissa keskitytään erityisesti terveydenhuoltoon, energiaan ja ympäristöön (juomavesihuolto ja jätehuolto).</w:t>
            </w:r>
          </w:p>
        </w:tc>
      </w:tr>
      <w:tr w:rsidR="00E42B18" w14:paraId="3A22A535" w14:textId="77777777">
        <w:trPr>
          <w:trHeight w:val="309"/>
        </w:trPr>
        <w:tc>
          <w:tcPr>
            <w:tcW w:w="1135" w:type="dxa"/>
            <w:shd w:val="clear" w:color="auto" w:fill="C6EFCE"/>
            <w:noWrap/>
            <w:vAlign w:val="center"/>
          </w:tcPr>
          <w:p w14:paraId="1DE54834" w14:textId="77777777" w:rsidR="00E42B18" w:rsidRDefault="009629C4">
            <w:pPr>
              <w:pStyle w:val="P68B1DB1-Normal11"/>
              <w:jc w:val="center"/>
              <w:rPr>
                <w:rFonts w:cs="Arial"/>
                <w:noProof/>
                <w:szCs w:val="20"/>
              </w:rPr>
            </w:pPr>
            <w:r>
              <w:rPr>
                <w:noProof/>
              </w:rPr>
              <w:t>M1C1–20</w:t>
            </w:r>
          </w:p>
        </w:tc>
        <w:tc>
          <w:tcPr>
            <w:tcW w:w="1417" w:type="dxa"/>
            <w:shd w:val="clear" w:color="auto" w:fill="C6EFCE"/>
            <w:noWrap/>
            <w:vAlign w:val="center"/>
          </w:tcPr>
          <w:p w14:paraId="000FA373" w14:textId="77777777" w:rsidR="00E42B18" w:rsidRDefault="009629C4">
            <w:pPr>
              <w:pStyle w:val="P68B1DB1-Normal11"/>
              <w:jc w:val="center"/>
              <w:rPr>
                <w:rFonts w:cs="Arial"/>
                <w:noProof/>
                <w:szCs w:val="20"/>
              </w:rPr>
            </w:pPr>
            <w:r>
              <w:rPr>
                <w:noProof/>
              </w:rPr>
              <w:t>Investointi 1.5: Kyberturvallisuus</w:t>
            </w:r>
          </w:p>
        </w:tc>
        <w:tc>
          <w:tcPr>
            <w:tcW w:w="992" w:type="dxa"/>
            <w:shd w:val="clear" w:color="auto" w:fill="C6EFCE"/>
            <w:noWrap/>
            <w:vAlign w:val="center"/>
          </w:tcPr>
          <w:p w14:paraId="72FE265D"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1B12AD18" w14:textId="77777777" w:rsidR="00E42B18" w:rsidRDefault="009629C4">
            <w:pPr>
              <w:pStyle w:val="P68B1DB1-Normal11"/>
              <w:jc w:val="center"/>
              <w:rPr>
                <w:rFonts w:cs="Arial"/>
                <w:noProof/>
                <w:szCs w:val="20"/>
              </w:rPr>
            </w:pPr>
            <w:r>
              <w:rPr>
                <w:noProof/>
              </w:rPr>
              <w:t>Kansallisten kyberturvallisuuspalvelujen täysimääräinen käyttöönotto</w:t>
            </w:r>
          </w:p>
        </w:tc>
        <w:tc>
          <w:tcPr>
            <w:tcW w:w="1559" w:type="dxa"/>
            <w:shd w:val="clear" w:color="auto" w:fill="C6EFCE"/>
            <w:noWrap/>
            <w:vAlign w:val="center"/>
          </w:tcPr>
          <w:p w14:paraId="36873F6C" w14:textId="77777777" w:rsidR="00E42B18" w:rsidRDefault="009629C4">
            <w:pPr>
              <w:pStyle w:val="P68B1DB1-Normal12"/>
              <w:jc w:val="center"/>
              <w:rPr>
                <w:rFonts w:cs="Arial"/>
                <w:noProof/>
              </w:rPr>
            </w:pPr>
            <w:r>
              <w:rPr>
                <w:noProof/>
              </w:rPr>
              <w:t>Raportti, jossa osoitetaan kansallisten kyberturvallisuuspalvelujen täydellinen aktivointi</w:t>
            </w:r>
          </w:p>
        </w:tc>
        <w:tc>
          <w:tcPr>
            <w:tcW w:w="1276" w:type="dxa"/>
            <w:shd w:val="clear" w:color="auto" w:fill="C6EFCE"/>
            <w:noWrap/>
            <w:vAlign w:val="center"/>
          </w:tcPr>
          <w:p w14:paraId="7D98D392"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6AF970DD"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7E6BAC9E"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03CA1D9E"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7BDEDF62" w14:textId="77777777" w:rsidR="00E42B18" w:rsidRDefault="009629C4">
            <w:pPr>
              <w:pStyle w:val="P68B1DB1-Normal11"/>
              <w:jc w:val="center"/>
              <w:rPr>
                <w:rFonts w:cs="Arial"/>
                <w:noProof/>
                <w:szCs w:val="20"/>
              </w:rPr>
            </w:pPr>
            <w:r>
              <w:rPr>
                <w:noProof/>
              </w:rPr>
              <w:t>2024</w:t>
            </w:r>
          </w:p>
        </w:tc>
        <w:tc>
          <w:tcPr>
            <w:tcW w:w="3259" w:type="dxa"/>
            <w:shd w:val="clear" w:color="auto" w:fill="C6EFCE"/>
            <w:noWrap/>
            <w:vAlign w:val="center"/>
          </w:tcPr>
          <w:p w14:paraId="302C9A27" w14:textId="77777777" w:rsidR="00E42B18" w:rsidRDefault="009629C4">
            <w:pPr>
              <w:pStyle w:val="P68B1DB1-Normal12"/>
              <w:spacing w:after="120"/>
              <w:rPr>
                <w:rFonts w:cs="Arial"/>
                <w:noProof/>
              </w:rPr>
            </w:pPr>
            <w:r>
              <w:rPr>
                <w:noProof/>
              </w:rPr>
              <w:t>Tätä välitavoitetta täydennetään aktivoimalla alueelliset tietotekniikan kriisiryhmät (CERT), jotka on liitettävä yhteen Italian tietoturvaloukkauksiin reagoivan yksikön (CSIRT) kanssa, aktivoimalla tiedonjako- ja analysointikeskus (ISAC), integroimalla vähintään viisi turvallisuustoimintakeskusta kansalliseen HyperSOCiin, varmistamalla kyberturvallisuusriskien hallintapalvelujen täysimääräinen toiminta, mukaan lukien toimitusketjun analysointiin ja kyberriskien vakuutuspalveluihin liittyvät palvelut.</w:t>
            </w:r>
          </w:p>
        </w:tc>
      </w:tr>
      <w:tr w:rsidR="00E42B18" w14:paraId="7C17F838" w14:textId="77777777">
        <w:trPr>
          <w:trHeight w:val="309"/>
        </w:trPr>
        <w:tc>
          <w:tcPr>
            <w:tcW w:w="1135" w:type="dxa"/>
            <w:shd w:val="clear" w:color="auto" w:fill="C6EFCE"/>
            <w:noWrap/>
            <w:vAlign w:val="center"/>
          </w:tcPr>
          <w:p w14:paraId="5E28B054" w14:textId="77777777" w:rsidR="00E42B18" w:rsidRDefault="009629C4">
            <w:pPr>
              <w:pStyle w:val="P68B1DB1-Normal11"/>
              <w:jc w:val="center"/>
              <w:rPr>
                <w:rFonts w:cs="Arial"/>
                <w:noProof/>
                <w:szCs w:val="20"/>
              </w:rPr>
            </w:pPr>
            <w:r>
              <w:rPr>
                <w:noProof/>
              </w:rPr>
              <w:t>M1C1–21</w:t>
            </w:r>
          </w:p>
        </w:tc>
        <w:tc>
          <w:tcPr>
            <w:tcW w:w="1417" w:type="dxa"/>
            <w:shd w:val="clear" w:color="auto" w:fill="C6EFCE"/>
            <w:noWrap/>
            <w:vAlign w:val="center"/>
          </w:tcPr>
          <w:p w14:paraId="5A016AB2" w14:textId="77777777" w:rsidR="00E42B18" w:rsidRDefault="009629C4">
            <w:pPr>
              <w:pStyle w:val="P68B1DB1-Normal11"/>
              <w:jc w:val="center"/>
              <w:rPr>
                <w:rFonts w:cs="Arial"/>
                <w:noProof/>
                <w:szCs w:val="20"/>
              </w:rPr>
            </w:pPr>
            <w:r>
              <w:rPr>
                <w:noProof/>
              </w:rPr>
              <w:t>Investointi 1.5: Kyberturvallisuus</w:t>
            </w:r>
          </w:p>
        </w:tc>
        <w:tc>
          <w:tcPr>
            <w:tcW w:w="992" w:type="dxa"/>
            <w:shd w:val="clear" w:color="auto" w:fill="C6EFCE"/>
            <w:noWrap/>
            <w:vAlign w:val="center"/>
          </w:tcPr>
          <w:p w14:paraId="036702E3"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21E6783D" w14:textId="77777777" w:rsidR="00E42B18" w:rsidRDefault="009629C4">
            <w:pPr>
              <w:pStyle w:val="P68B1DB1-Normal11"/>
              <w:jc w:val="center"/>
              <w:rPr>
                <w:rFonts w:cs="Arial"/>
                <w:noProof/>
                <w:szCs w:val="20"/>
              </w:rPr>
            </w:pPr>
            <w:r>
              <w:rPr>
                <w:noProof/>
              </w:rPr>
              <w:t>Kyberturvallisuuden seulonta- ja sertifiointilaboratorioiden verkoston ja arviointikeskusten loppuun saattaminen</w:t>
            </w:r>
          </w:p>
        </w:tc>
        <w:tc>
          <w:tcPr>
            <w:tcW w:w="1559" w:type="dxa"/>
            <w:shd w:val="clear" w:color="auto" w:fill="C6EFCE"/>
            <w:noWrap/>
            <w:vAlign w:val="center"/>
          </w:tcPr>
          <w:p w14:paraId="219F715D" w14:textId="77777777" w:rsidR="00E42B18" w:rsidRDefault="009629C4">
            <w:pPr>
              <w:pStyle w:val="P68B1DB1-Normal12"/>
              <w:jc w:val="center"/>
              <w:rPr>
                <w:rFonts w:cs="Arial"/>
                <w:noProof/>
              </w:rPr>
            </w:pPr>
            <w:r>
              <w:rPr>
                <w:noProof/>
              </w:rPr>
              <w:t>Raportointi, josta käy ilmi vähintään 10 laboratorion ja kahden arviointikeskuksen täysimittainen aktivointi</w:t>
            </w:r>
          </w:p>
        </w:tc>
        <w:tc>
          <w:tcPr>
            <w:tcW w:w="1276" w:type="dxa"/>
            <w:shd w:val="clear" w:color="auto" w:fill="C6EFCE"/>
            <w:noWrap/>
            <w:vAlign w:val="center"/>
          </w:tcPr>
          <w:p w14:paraId="7CCCAEE9"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535F0E57"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00B5F674"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5FBC6142"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58EC05C1" w14:textId="77777777" w:rsidR="00E42B18" w:rsidRDefault="009629C4">
            <w:pPr>
              <w:pStyle w:val="P68B1DB1-Normal11"/>
              <w:jc w:val="center"/>
              <w:rPr>
                <w:rFonts w:cs="Arial"/>
                <w:noProof/>
                <w:szCs w:val="20"/>
              </w:rPr>
            </w:pPr>
            <w:r>
              <w:rPr>
                <w:noProof/>
              </w:rPr>
              <w:t>2024</w:t>
            </w:r>
          </w:p>
        </w:tc>
        <w:tc>
          <w:tcPr>
            <w:tcW w:w="3259" w:type="dxa"/>
            <w:shd w:val="clear" w:color="auto" w:fill="C6EFCE"/>
            <w:noWrap/>
            <w:vAlign w:val="center"/>
          </w:tcPr>
          <w:p w14:paraId="71A5AE2D" w14:textId="77777777" w:rsidR="00E42B18" w:rsidRDefault="009629C4">
            <w:pPr>
              <w:pStyle w:val="P68B1DB1-Normal11"/>
              <w:spacing w:after="120"/>
              <w:rPr>
                <w:rFonts w:cs="Arial"/>
                <w:noProof/>
                <w:szCs w:val="20"/>
              </w:rPr>
            </w:pPr>
            <w:r>
              <w:rPr>
                <w:noProof/>
              </w:rPr>
              <w:t>Aktivoidaan vähintään 10 seulonta- ja sertifiointilaboratoriota ja 2 arviointikeskusta.</w:t>
            </w:r>
          </w:p>
        </w:tc>
      </w:tr>
      <w:tr w:rsidR="00E42B18" w14:paraId="4AEA97CB" w14:textId="77777777">
        <w:trPr>
          <w:trHeight w:val="309"/>
        </w:trPr>
        <w:tc>
          <w:tcPr>
            <w:tcW w:w="1135" w:type="dxa"/>
            <w:shd w:val="clear" w:color="auto" w:fill="C6EFCE"/>
            <w:noWrap/>
            <w:vAlign w:val="center"/>
          </w:tcPr>
          <w:p w14:paraId="3E9A708F" w14:textId="77777777" w:rsidR="00E42B18" w:rsidRDefault="009629C4">
            <w:pPr>
              <w:pStyle w:val="P68B1DB1-Normal11"/>
              <w:jc w:val="center"/>
              <w:rPr>
                <w:rFonts w:cs="Arial"/>
                <w:noProof/>
                <w:szCs w:val="20"/>
              </w:rPr>
            </w:pPr>
            <w:r>
              <w:rPr>
                <w:noProof/>
              </w:rPr>
              <w:t>M1C1–22</w:t>
            </w:r>
          </w:p>
        </w:tc>
        <w:tc>
          <w:tcPr>
            <w:tcW w:w="1417" w:type="dxa"/>
            <w:shd w:val="clear" w:color="auto" w:fill="C6EFCE"/>
            <w:noWrap/>
            <w:vAlign w:val="center"/>
          </w:tcPr>
          <w:p w14:paraId="45DCED4C" w14:textId="77777777" w:rsidR="00E42B18" w:rsidRDefault="009629C4">
            <w:pPr>
              <w:pStyle w:val="P68B1DB1-Normal11"/>
              <w:jc w:val="center"/>
              <w:rPr>
                <w:rFonts w:cs="Arial"/>
                <w:noProof/>
                <w:szCs w:val="20"/>
              </w:rPr>
            </w:pPr>
            <w:r>
              <w:rPr>
                <w:noProof/>
              </w:rPr>
              <w:t>Investointi 1.5: Kyberturvallisuus</w:t>
            </w:r>
          </w:p>
        </w:tc>
        <w:tc>
          <w:tcPr>
            <w:tcW w:w="992" w:type="dxa"/>
            <w:shd w:val="clear" w:color="auto" w:fill="C6EFCE"/>
            <w:noWrap/>
            <w:vAlign w:val="center"/>
          </w:tcPr>
          <w:p w14:paraId="47886429"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567753C8" w14:textId="77777777" w:rsidR="00E42B18" w:rsidRDefault="009629C4">
            <w:pPr>
              <w:pStyle w:val="P68B1DB1-Normal11"/>
              <w:jc w:val="center"/>
              <w:rPr>
                <w:rFonts w:cs="Arial"/>
                <w:noProof/>
                <w:szCs w:val="20"/>
              </w:rPr>
            </w:pPr>
            <w:r>
              <w:rPr>
                <w:noProof/>
              </w:rPr>
              <w:t>PSNC- ja NIS-turvatoimien tarkastuksen keskusyksikön täysi toiminta siten, että vähintään 30 tarkastusta on saatettu päätökseen</w:t>
            </w:r>
          </w:p>
        </w:tc>
        <w:tc>
          <w:tcPr>
            <w:tcW w:w="1559" w:type="dxa"/>
            <w:shd w:val="clear" w:color="auto" w:fill="C6EFCE"/>
            <w:noWrap/>
            <w:vAlign w:val="center"/>
          </w:tcPr>
          <w:p w14:paraId="3AD60629" w14:textId="77777777" w:rsidR="00E42B18" w:rsidRDefault="009629C4">
            <w:pPr>
              <w:pStyle w:val="P68B1DB1-Normal11"/>
              <w:jc w:val="center"/>
              <w:rPr>
                <w:rFonts w:cs="Arial"/>
                <w:noProof/>
                <w:szCs w:val="20"/>
              </w:rPr>
            </w:pPr>
            <w:r>
              <w:rPr>
                <w:noProof/>
              </w:rPr>
              <w:t>Raportointi, tarkastusraportit</w:t>
            </w:r>
          </w:p>
        </w:tc>
        <w:tc>
          <w:tcPr>
            <w:tcW w:w="1276" w:type="dxa"/>
            <w:shd w:val="clear" w:color="auto" w:fill="C6EFCE"/>
            <w:noWrap/>
            <w:vAlign w:val="center"/>
          </w:tcPr>
          <w:p w14:paraId="3FB718F4"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6E451C1C"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6C544559"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77F545D0"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17843EB7" w14:textId="77777777" w:rsidR="00E42B18" w:rsidRDefault="009629C4">
            <w:pPr>
              <w:pStyle w:val="P68B1DB1-Normal11"/>
              <w:jc w:val="center"/>
              <w:rPr>
                <w:rFonts w:cs="Arial"/>
                <w:noProof/>
                <w:szCs w:val="20"/>
              </w:rPr>
            </w:pPr>
            <w:r>
              <w:rPr>
                <w:noProof/>
              </w:rPr>
              <w:t>2024</w:t>
            </w:r>
          </w:p>
        </w:tc>
        <w:tc>
          <w:tcPr>
            <w:tcW w:w="3259" w:type="dxa"/>
            <w:shd w:val="clear" w:color="auto" w:fill="C6EFCE"/>
            <w:noWrap/>
            <w:vAlign w:val="center"/>
          </w:tcPr>
          <w:p w14:paraId="4766B996" w14:textId="77777777" w:rsidR="00E42B18" w:rsidRDefault="009629C4">
            <w:pPr>
              <w:pStyle w:val="P68B1DB1-Normal11"/>
              <w:spacing w:after="120"/>
              <w:rPr>
                <w:rFonts w:cs="Arial"/>
                <w:noProof/>
                <w:szCs w:val="20"/>
              </w:rPr>
            </w:pPr>
            <w:r>
              <w:rPr>
                <w:noProof/>
              </w:rPr>
              <w:t>Keskustarkastusyksikkö toimii täysimääräisesti siten, että vähintään 30 tarkastusta on saatettu päätökseen.</w:t>
            </w:r>
          </w:p>
        </w:tc>
      </w:tr>
      <w:tr w:rsidR="00E42B18" w14:paraId="45292BA0" w14:textId="77777777">
        <w:trPr>
          <w:trHeight w:val="309"/>
        </w:trPr>
        <w:tc>
          <w:tcPr>
            <w:tcW w:w="1135" w:type="dxa"/>
            <w:shd w:val="clear" w:color="auto" w:fill="C6EFCE"/>
            <w:noWrap/>
            <w:vAlign w:val="center"/>
          </w:tcPr>
          <w:p w14:paraId="24CE1A98" w14:textId="77777777" w:rsidR="00E42B18" w:rsidRDefault="009629C4">
            <w:pPr>
              <w:pStyle w:val="P68B1DB1-Normal12"/>
              <w:jc w:val="center"/>
              <w:rPr>
                <w:rFonts w:cs="Arial"/>
                <w:noProof/>
                <w:highlight w:val="yellow"/>
              </w:rPr>
            </w:pPr>
            <w:r>
              <w:rPr>
                <w:noProof/>
              </w:rPr>
              <w:t>M1C1–23</w:t>
            </w:r>
          </w:p>
        </w:tc>
        <w:tc>
          <w:tcPr>
            <w:tcW w:w="1417" w:type="dxa"/>
            <w:shd w:val="clear" w:color="auto" w:fill="C6EFCE"/>
            <w:noWrap/>
            <w:vAlign w:val="center"/>
          </w:tcPr>
          <w:p w14:paraId="11DEF683" w14:textId="77777777" w:rsidR="00E42B18" w:rsidRDefault="009629C4">
            <w:pPr>
              <w:pStyle w:val="P68B1DB1-Normal11"/>
              <w:jc w:val="center"/>
              <w:rPr>
                <w:rFonts w:cs="Arial"/>
                <w:noProof/>
                <w:szCs w:val="20"/>
              </w:rPr>
            </w:pPr>
            <w:r>
              <w:rPr>
                <w:noProof/>
              </w:rPr>
              <w:t>Investointi 1.4.6: Liikkuvuus palveluna Italialle</w:t>
            </w:r>
          </w:p>
        </w:tc>
        <w:tc>
          <w:tcPr>
            <w:tcW w:w="992" w:type="dxa"/>
            <w:shd w:val="clear" w:color="auto" w:fill="C6EFCE"/>
            <w:noWrap/>
            <w:vAlign w:val="center"/>
          </w:tcPr>
          <w:p w14:paraId="31A3C965"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7371FE4E" w14:textId="77777777" w:rsidR="00E42B18" w:rsidRDefault="009629C4">
            <w:pPr>
              <w:pStyle w:val="P68B1DB1-Normal11"/>
              <w:jc w:val="center"/>
              <w:rPr>
                <w:rFonts w:cs="Arial"/>
                <w:noProof/>
                <w:szCs w:val="20"/>
              </w:rPr>
            </w:pPr>
            <w:r>
              <w:rPr>
                <w:noProof/>
              </w:rPr>
              <w:t>Liikkuvuus palveluratkaisuna M2</w:t>
            </w:r>
          </w:p>
        </w:tc>
        <w:tc>
          <w:tcPr>
            <w:tcW w:w="1559" w:type="dxa"/>
            <w:shd w:val="clear" w:color="auto" w:fill="C6EFCE"/>
            <w:noWrap/>
            <w:vAlign w:val="center"/>
          </w:tcPr>
          <w:p w14:paraId="7735F5A3" w14:textId="353DE87B" w:rsidR="00E42B18" w:rsidRDefault="009629C4">
            <w:pPr>
              <w:pStyle w:val="P68B1DB1-Normal12"/>
              <w:jc w:val="center"/>
              <w:rPr>
                <w:rFonts w:cs="Arial"/>
                <w:noProof/>
              </w:rPr>
            </w:pPr>
            <w:r>
              <w:rPr>
                <w:noProof/>
              </w:rPr>
              <w:t xml:space="preserve">Liikkuvuus palveluna -pilottihankkeet </w:t>
            </w:r>
          </w:p>
        </w:tc>
        <w:tc>
          <w:tcPr>
            <w:tcW w:w="1276" w:type="dxa"/>
            <w:shd w:val="clear" w:color="auto" w:fill="C6EFCE"/>
            <w:noWrap/>
            <w:vAlign w:val="center"/>
          </w:tcPr>
          <w:p w14:paraId="6C1D5F6E"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3DE2EA7C"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454A63B3"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51DF9CE6" w14:textId="77777777" w:rsidR="00E42B18" w:rsidRDefault="009629C4">
            <w:pPr>
              <w:pStyle w:val="P68B1DB1-Normal12"/>
              <w:jc w:val="center"/>
              <w:rPr>
                <w:rFonts w:cs="Arial"/>
                <w:noProof/>
              </w:rPr>
            </w:pPr>
            <w:r>
              <w:rPr>
                <w:noProof/>
              </w:rPr>
              <w:t>Q2</w:t>
            </w:r>
          </w:p>
        </w:tc>
        <w:tc>
          <w:tcPr>
            <w:tcW w:w="852" w:type="dxa"/>
            <w:shd w:val="clear" w:color="auto" w:fill="C6EFCE"/>
            <w:noWrap/>
            <w:vAlign w:val="center"/>
          </w:tcPr>
          <w:p w14:paraId="0A92F95A" w14:textId="77777777" w:rsidR="00E42B18" w:rsidRDefault="009629C4">
            <w:pPr>
              <w:pStyle w:val="P68B1DB1-Normal11"/>
              <w:jc w:val="center"/>
              <w:rPr>
                <w:rFonts w:cs="Arial"/>
                <w:noProof/>
                <w:szCs w:val="20"/>
              </w:rPr>
            </w:pPr>
            <w:r>
              <w:rPr>
                <w:noProof/>
              </w:rPr>
              <w:t>2025</w:t>
            </w:r>
          </w:p>
        </w:tc>
        <w:tc>
          <w:tcPr>
            <w:tcW w:w="3259" w:type="dxa"/>
            <w:shd w:val="clear" w:color="auto" w:fill="C6EFCE"/>
            <w:noWrap/>
            <w:vAlign w:val="center"/>
          </w:tcPr>
          <w:p w14:paraId="4374A459" w14:textId="77777777" w:rsidR="00E42B18" w:rsidRDefault="009629C4">
            <w:pPr>
              <w:pStyle w:val="P68B1DB1-Normal12"/>
              <w:spacing w:after="120"/>
              <w:rPr>
                <w:rFonts w:cs="Arial"/>
                <w:noProof/>
              </w:rPr>
            </w:pPr>
            <w:r>
              <w:rPr>
                <w:noProof/>
              </w:rPr>
              <w:t>Seitsemän pilottihanketta, joista vähintään kolme etelässä, testataan liikkuvuutta palveluna (MaaS) koskevia ratkaisuja.</w:t>
            </w:r>
          </w:p>
          <w:p w14:paraId="6CD1BC14" w14:textId="77777777" w:rsidR="00E42B18" w:rsidRDefault="009629C4">
            <w:pPr>
              <w:pStyle w:val="P68B1DB1-Normal12"/>
              <w:spacing w:after="120"/>
              <w:rPr>
                <w:rFonts w:cs="Arial"/>
                <w:noProof/>
              </w:rPr>
            </w:pPr>
            <w:r>
              <w:rPr>
                <w:noProof/>
              </w:rPr>
              <w:t>Liikkuminen palveluna tarjoaa käyttäjille yhden teknologisen alustan kautta parhaat matkustusvaihtoehdot, jotka perustuvat heidän tarpeisiinsa, integroimalla erilaisia liikkumisvaihtoehtoja (esimerkiksi julkinen liikenne, yhteiskäyttöpalvelut, taksit, autonvuokraus) ja optimoimalla matkasuunnittelu ja yleinen käyttäjäkokemus.</w:t>
            </w:r>
          </w:p>
        </w:tc>
      </w:tr>
      <w:tr w:rsidR="00E42B18" w14:paraId="7C63440E" w14:textId="77777777">
        <w:trPr>
          <w:trHeight w:val="309"/>
        </w:trPr>
        <w:tc>
          <w:tcPr>
            <w:tcW w:w="1135" w:type="dxa"/>
            <w:shd w:val="clear" w:color="auto" w:fill="C6EFCE"/>
            <w:noWrap/>
            <w:vAlign w:val="center"/>
          </w:tcPr>
          <w:p w14:paraId="577B6361" w14:textId="77777777" w:rsidR="00E42B18" w:rsidRDefault="009629C4">
            <w:pPr>
              <w:pStyle w:val="P68B1DB1-Normal11"/>
              <w:jc w:val="center"/>
              <w:rPr>
                <w:rFonts w:cs="Arial"/>
                <w:noProof/>
                <w:szCs w:val="20"/>
              </w:rPr>
            </w:pPr>
            <w:r>
              <w:rPr>
                <w:noProof/>
              </w:rPr>
              <w:t>M1C1–24</w:t>
            </w:r>
          </w:p>
        </w:tc>
        <w:tc>
          <w:tcPr>
            <w:tcW w:w="1417" w:type="dxa"/>
            <w:shd w:val="clear" w:color="auto" w:fill="C6EFCE"/>
            <w:noWrap/>
            <w:vAlign w:val="center"/>
          </w:tcPr>
          <w:p w14:paraId="33A05A4E" w14:textId="77777777" w:rsidR="00E42B18" w:rsidRDefault="009629C4">
            <w:pPr>
              <w:pStyle w:val="P68B1DB1-Normal11"/>
              <w:jc w:val="center"/>
              <w:rPr>
                <w:rFonts w:cs="Arial"/>
                <w:noProof/>
                <w:szCs w:val="20"/>
              </w:rPr>
            </w:pPr>
            <w:r>
              <w:rPr>
                <w:noProof/>
              </w:rPr>
              <w:t>Investointi 1.7.1: Digitaalinen julkishallinto</w:t>
            </w:r>
          </w:p>
        </w:tc>
        <w:tc>
          <w:tcPr>
            <w:tcW w:w="992" w:type="dxa"/>
            <w:shd w:val="clear" w:color="auto" w:fill="C6EFCE"/>
            <w:noWrap/>
            <w:vAlign w:val="center"/>
          </w:tcPr>
          <w:p w14:paraId="29B5228D"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tcPr>
          <w:p w14:paraId="24FB4840" w14:textId="77777777" w:rsidR="00E42B18" w:rsidRDefault="009629C4">
            <w:pPr>
              <w:pStyle w:val="P68B1DB1-Normal12"/>
              <w:jc w:val="center"/>
              <w:rPr>
                <w:rFonts w:cs="Arial"/>
                <w:noProof/>
              </w:rPr>
            </w:pPr>
            <w:r>
              <w:rPr>
                <w:noProof/>
              </w:rPr>
              <w:t>Vapaaehtoiset koulutetaan</w:t>
            </w:r>
          </w:p>
        </w:tc>
        <w:tc>
          <w:tcPr>
            <w:tcW w:w="1559" w:type="dxa"/>
            <w:shd w:val="clear" w:color="auto" w:fill="C6EFCE"/>
            <w:noWrap/>
            <w:vAlign w:val="center"/>
          </w:tcPr>
          <w:p w14:paraId="570F8E99"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tcPr>
          <w:p w14:paraId="0ADE6B23"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tcPr>
          <w:p w14:paraId="11C0D23E" w14:textId="77777777" w:rsidR="00E42B18" w:rsidRDefault="009629C4">
            <w:pPr>
              <w:pStyle w:val="P68B1DB1-Normal11"/>
              <w:jc w:val="center"/>
              <w:rPr>
                <w:rFonts w:cs="Arial"/>
                <w:noProof/>
                <w:szCs w:val="20"/>
              </w:rPr>
            </w:pPr>
            <w:r>
              <w:rPr>
                <w:noProof/>
              </w:rPr>
              <w:t>0</w:t>
            </w:r>
          </w:p>
        </w:tc>
        <w:tc>
          <w:tcPr>
            <w:tcW w:w="1418" w:type="dxa"/>
            <w:shd w:val="clear" w:color="auto" w:fill="C6EFCE"/>
            <w:noWrap/>
            <w:vAlign w:val="center"/>
          </w:tcPr>
          <w:p w14:paraId="2D4E54AA" w14:textId="77777777" w:rsidR="00E42B18" w:rsidRDefault="009629C4">
            <w:pPr>
              <w:pStyle w:val="P68B1DB1-Normal12"/>
              <w:jc w:val="center"/>
              <w:rPr>
                <w:rFonts w:cs="Arial"/>
                <w:noProof/>
              </w:rPr>
            </w:pPr>
            <w:r>
              <w:rPr>
                <w:noProof/>
              </w:rPr>
              <w:t>8 300</w:t>
            </w:r>
          </w:p>
        </w:tc>
        <w:tc>
          <w:tcPr>
            <w:tcW w:w="992" w:type="dxa"/>
            <w:shd w:val="clear" w:color="auto" w:fill="C6EFCE"/>
            <w:noWrap/>
            <w:vAlign w:val="center"/>
          </w:tcPr>
          <w:p w14:paraId="3112C3D1" w14:textId="77777777" w:rsidR="00E42B18" w:rsidRDefault="009629C4">
            <w:pPr>
              <w:pStyle w:val="P68B1DB1-Normal11"/>
              <w:jc w:val="center"/>
              <w:rPr>
                <w:rFonts w:cs="Arial"/>
                <w:noProof/>
                <w:szCs w:val="20"/>
              </w:rPr>
            </w:pPr>
            <w:r>
              <w:rPr>
                <w:noProof/>
              </w:rPr>
              <w:t>Q4</w:t>
            </w:r>
          </w:p>
        </w:tc>
        <w:tc>
          <w:tcPr>
            <w:tcW w:w="852" w:type="dxa"/>
            <w:shd w:val="clear" w:color="auto" w:fill="C6EFCE"/>
            <w:noWrap/>
            <w:vAlign w:val="center"/>
          </w:tcPr>
          <w:p w14:paraId="37EEFC66" w14:textId="77777777" w:rsidR="00E42B18" w:rsidRDefault="009629C4">
            <w:pPr>
              <w:pStyle w:val="P68B1DB1-Normal11"/>
              <w:jc w:val="center"/>
              <w:rPr>
                <w:rFonts w:cs="Arial"/>
                <w:noProof/>
                <w:szCs w:val="20"/>
              </w:rPr>
            </w:pPr>
            <w:r>
              <w:rPr>
                <w:noProof/>
              </w:rPr>
              <w:t>2025</w:t>
            </w:r>
          </w:p>
        </w:tc>
        <w:tc>
          <w:tcPr>
            <w:tcW w:w="3259" w:type="dxa"/>
            <w:shd w:val="clear" w:color="auto" w:fill="C6EFCE"/>
            <w:noWrap/>
            <w:vAlign w:val="center"/>
          </w:tcPr>
          <w:p w14:paraId="665595DE" w14:textId="48600C6A" w:rsidR="00E42B18" w:rsidRDefault="009629C4">
            <w:pPr>
              <w:pStyle w:val="P68B1DB1-Normal12"/>
              <w:rPr>
                <w:rFonts w:cs="Arial"/>
                <w:noProof/>
              </w:rPr>
            </w:pPr>
            <w:r>
              <w:rPr>
                <w:noProof/>
              </w:rPr>
              <w:t xml:space="preserve">Digitaalisesta muutoksesta vastaava ministeriö on kouluttanut vähintään 8300 vapaaehtoista digitaalisia taitoja varten tarjotakseen digitaalista koulutusta henkilöille, jotka ovat vaarassa joutua digitaaliseksi syrjäytymisvaarassa oleviin organisaatioihin, jotka on rekisteröity julkishallinnon yleispalvelun organisaatioiden kansalliseen rekisteriin. </w:t>
            </w:r>
          </w:p>
        </w:tc>
      </w:tr>
      <w:tr w:rsidR="00E42B18" w14:paraId="649B1C7A" w14:textId="77777777">
        <w:trPr>
          <w:trHeight w:val="309"/>
        </w:trPr>
        <w:tc>
          <w:tcPr>
            <w:tcW w:w="1135" w:type="dxa"/>
            <w:shd w:val="clear" w:color="auto" w:fill="C6EFCE"/>
            <w:noWrap/>
            <w:vAlign w:val="center"/>
          </w:tcPr>
          <w:p w14:paraId="0736C832" w14:textId="77777777" w:rsidR="00E42B18" w:rsidRDefault="009629C4">
            <w:pPr>
              <w:pStyle w:val="P68B1DB1-Normal11"/>
              <w:jc w:val="center"/>
              <w:rPr>
                <w:rFonts w:cs="Arial"/>
                <w:noProof/>
                <w:szCs w:val="20"/>
              </w:rPr>
            </w:pPr>
            <w:r>
              <w:rPr>
                <w:noProof/>
              </w:rPr>
              <w:t>M1C1–25</w:t>
            </w:r>
          </w:p>
        </w:tc>
        <w:tc>
          <w:tcPr>
            <w:tcW w:w="1417" w:type="dxa"/>
            <w:shd w:val="clear" w:color="auto" w:fill="C6EFCE"/>
            <w:noWrap/>
            <w:vAlign w:val="center"/>
          </w:tcPr>
          <w:p w14:paraId="5BAAEA6C" w14:textId="77777777" w:rsidR="00E42B18" w:rsidRDefault="009629C4">
            <w:pPr>
              <w:pStyle w:val="P68B1DB1-Normal11"/>
              <w:jc w:val="center"/>
              <w:rPr>
                <w:rFonts w:cs="Arial"/>
                <w:noProof/>
                <w:szCs w:val="20"/>
              </w:rPr>
            </w:pPr>
            <w:r>
              <w:rPr>
                <w:noProof/>
              </w:rPr>
              <w:t>Investointi 1.6.6: Valtiovarainpoliisin digitalisointi</w:t>
            </w:r>
          </w:p>
        </w:tc>
        <w:tc>
          <w:tcPr>
            <w:tcW w:w="992" w:type="dxa"/>
            <w:shd w:val="clear" w:color="auto" w:fill="C6EFCE"/>
            <w:noWrap/>
            <w:vAlign w:val="center"/>
          </w:tcPr>
          <w:p w14:paraId="46F01D48" w14:textId="77777777" w:rsidR="00E42B18" w:rsidRDefault="009629C4">
            <w:pPr>
              <w:pStyle w:val="P68B1DB1-Normal11"/>
              <w:jc w:val="center"/>
              <w:rPr>
                <w:rFonts w:cs="Arial"/>
                <w:noProof/>
                <w:szCs w:val="20"/>
              </w:rPr>
            </w:pPr>
            <w:r>
              <w:rPr>
                <w:noProof/>
              </w:rPr>
              <w:t>Virstanpylväs</w:t>
            </w:r>
          </w:p>
        </w:tc>
        <w:tc>
          <w:tcPr>
            <w:tcW w:w="1418" w:type="dxa"/>
            <w:shd w:val="clear" w:color="auto" w:fill="C6EFCE"/>
            <w:noWrap/>
            <w:vAlign w:val="center"/>
          </w:tcPr>
          <w:p w14:paraId="04A02A27" w14:textId="77777777" w:rsidR="00E42B18" w:rsidRDefault="009629C4">
            <w:pPr>
              <w:pStyle w:val="P68B1DB1-Normal12"/>
              <w:jc w:val="center"/>
              <w:rPr>
                <w:rFonts w:cs="Arial"/>
                <w:noProof/>
              </w:rPr>
            </w:pPr>
            <w:r>
              <w:rPr>
                <w:noProof/>
              </w:rPr>
              <w:t>Talousrikollisuuden torjunnassa käytettävien tietojärjestelmien kehittäminen</w:t>
            </w:r>
          </w:p>
        </w:tc>
        <w:tc>
          <w:tcPr>
            <w:tcW w:w="1559" w:type="dxa"/>
            <w:shd w:val="clear" w:color="auto" w:fill="C6EFCE"/>
            <w:noWrap/>
            <w:vAlign w:val="center"/>
          </w:tcPr>
          <w:p w14:paraId="0F7DC93A" w14:textId="230C7D58" w:rsidR="00E42B18" w:rsidRDefault="009629C4">
            <w:pPr>
              <w:pStyle w:val="P68B1DB1-Normal12"/>
              <w:jc w:val="center"/>
              <w:rPr>
                <w:rFonts w:cs="Arial"/>
                <w:noProof/>
              </w:rPr>
            </w:pPr>
            <w:r>
              <w:rPr>
                <w:noProof/>
              </w:rPr>
              <w:t>Tietotekniikkajärjestelmät, joissa on uusia toimintoja</w:t>
            </w:r>
          </w:p>
        </w:tc>
        <w:tc>
          <w:tcPr>
            <w:tcW w:w="1276" w:type="dxa"/>
            <w:shd w:val="clear" w:color="auto" w:fill="C6EFCE"/>
            <w:noWrap/>
            <w:vAlign w:val="center"/>
          </w:tcPr>
          <w:p w14:paraId="679D6C3E" w14:textId="77777777" w:rsidR="00E42B18" w:rsidRDefault="009629C4">
            <w:pPr>
              <w:pStyle w:val="P68B1DB1-Normal11"/>
              <w:jc w:val="center"/>
              <w:rPr>
                <w:rFonts w:cs="Arial"/>
                <w:noProof/>
                <w:szCs w:val="20"/>
              </w:rPr>
            </w:pPr>
            <w:r>
              <w:rPr>
                <w:noProof/>
              </w:rPr>
              <w:t>EI OLE</w:t>
            </w:r>
          </w:p>
        </w:tc>
        <w:tc>
          <w:tcPr>
            <w:tcW w:w="1417" w:type="dxa"/>
            <w:shd w:val="clear" w:color="auto" w:fill="C6EFCE"/>
            <w:noWrap/>
            <w:vAlign w:val="center"/>
          </w:tcPr>
          <w:p w14:paraId="1D4E6CE1" w14:textId="77777777" w:rsidR="00E42B18" w:rsidRDefault="009629C4">
            <w:pPr>
              <w:pStyle w:val="P68B1DB1-Normal11"/>
              <w:jc w:val="center"/>
              <w:rPr>
                <w:rFonts w:cs="Arial"/>
                <w:noProof/>
                <w:szCs w:val="20"/>
              </w:rPr>
            </w:pPr>
            <w:r>
              <w:rPr>
                <w:noProof/>
              </w:rPr>
              <w:t>EI OLE</w:t>
            </w:r>
          </w:p>
        </w:tc>
        <w:tc>
          <w:tcPr>
            <w:tcW w:w="1418" w:type="dxa"/>
            <w:shd w:val="clear" w:color="auto" w:fill="C6EFCE"/>
            <w:noWrap/>
            <w:vAlign w:val="center"/>
          </w:tcPr>
          <w:p w14:paraId="64B3ABDC" w14:textId="77777777" w:rsidR="00E42B18" w:rsidRDefault="009629C4">
            <w:pPr>
              <w:pStyle w:val="P68B1DB1-Normal11"/>
              <w:jc w:val="center"/>
              <w:rPr>
                <w:rFonts w:cs="Arial"/>
                <w:noProof/>
                <w:szCs w:val="20"/>
              </w:rPr>
            </w:pPr>
            <w:r>
              <w:rPr>
                <w:noProof/>
              </w:rPr>
              <w:t>EI OLE</w:t>
            </w:r>
          </w:p>
        </w:tc>
        <w:tc>
          <w:tcPr>
            <w:tcW w:w="992" w:type="dxa"/>
            <w:shd w:val="clear" w:color="auto" w:fill="C6EFCE"/>
            <w:noWrap/>
            <w:vAlign w:val="center"/>
          </w:tcPr>
          <w:p w14:paraId="5BD4F2A2" w14:textId="77777777" w:rsidR="00E42B18" w:rsidRDefault="009629C4">
            <w:pPr>
              <w:pStyle w:val="P68B1DB1-Normal11"/>
              <w:jc w:val="center"/>
              <w:rPr>
                <w:rFonts w:cs="Arial"/>
                <w:noProof/>
                <w:szCs w:val="20"/>
              </w:rPr>
            </w:pPr>
            <w:r>
              <w:rPr>
                <w:noProof/>
              </w:rPr>
              <w:t>Q2</w:t>
            </w:r>
          </w:p>
        </w:tc>
        <w:tc>
          <w:tcPr>
            <w:tcW w:w="852" w:type="dxa"/>
            <w:shd w:val="clear" w:color="auto" w:fill="C6EFCE"/>
            <w:noWrap/>
            <w:vAlign w:val="center"/>
          </w:tcPr>
          <w:p w14:paraId="136D1748" w14:textId="77777777" w:rsidR="00E42B18" w:rsidRDefault="009629C4">
            <w:pPr>
              <w:pStyle w:val="P68B1DB1-Normal11"/>
              <w:jc w:val="center"/>
              <w:rPr>
                <w:rFonts w:cs="Arial"/>
                <w:noProof/>
                <w:szCs w:val="20"/>
              </w:rPr>
            </w:pPr>
            <w:r>
              <w:rPr>
                <w:noProof/>
              </w:rPr>
              <w:t>2025</w:t>
            </w:r>
          </w:p>
        </w:tc>
        <w:tc>
          <w:tcPr>
            <w:tcW w:w="3259" w:type="dxa"/>
            <w:shd w:val="clear" w:color="auto" w:fill="C6EFCE"/>
            <w:noWrap/>
            <w:vAlign w:val="center"/>
          </w:tcPr>
          <w:p w14:paraId="5B22E43F" w14:textId="77777777" w:rsidR="00E42B18" w:rsidRDefault="009629C4">
            <w:pPr>
              <w:pStyle w:val="P68B1DB1-Normal12"/>
              <w:rPr>
                <w:rFonts w:cs="Arial"/>
                <w:noProof/>
              </w:rPr>
            </w:pPr>
            <w:r>
              <w:rPr>
                <w:noProof/>
              </w:rPr>
              <w:t>Talousrikollisuuden torjunnassa käytettävien tietojärjestelmien uusien toimintojen käyttöönotto.</w:t>
            </w:r>
          </w:p>
        </w:tc>
      </w:tr>
      <w:tr w:rsidR="00E42B18" w14:paraId="04472B31" w14:textId="77777777">
        <w:trPr>
          <w:trHeight w:val="309"/>
        </w:trPr>
        <w:tc>
          <w:tcPr>
            <w:tcW w:w="1135" w:type="dxa"/>
            <w:shd w:val="clear" w:color="auto" w:fill="C6EFCE"/>
            <w:noWrap/>
            <w:vAlign w:val="center"/>
            <w:hideMark/>
          </w:tcPr>
          <w:p w14:paraId="2DA05B20" w14:textId="77777777" w:rsidR="00E42B18" w:rsidRDefault="009629C4">
            <w:pPr>
              <w:pStyle w:val="P68B1DB1-Normal11"/>
              <w:jc w:val="center"/>
              <w:rPr>
                <w:rFonts w:cs="Arial"/>
                <w:noProof/>
                <w:szCs w:val="20"/>
              </w:rPr>
            </w:pPr>
            <w:r>
              <w:rPr>
                <w:noProof/>
              </w:rPr>
              <w:t>M1C1–26</w:t>
            </w:r>
          </w:p>
        </w:tc>
        <w:tc>
          <w:tcPr>
            <w:tcW w:w="1417" w:type="dxa"/>
            <w:shd w:val="clear" w:color="auto" w:fill="C6EFCE"/>
            <w:noWrap/>
            <w:vAlign w:val="center"/>
            <w:hideMark/>
          </w:tcPr>
          <w:p w14:paraId="7BD49631" w14:textId="77777777" w:rsidR="00E42B18" w:rsidRDefault="009629C4">
            <w:pPr>
              <w:pStyle w:val="P68B1DB1-Normal11"/>
              <w:jc w:val="center"/>
              <w:rPr>
                <w:rFonts w:cs="Arial"/>
                <w:noProof/>
                <w:szCs w:val="20"/>
              </w:rPr>
            </w:pPr>
            <w:r>
              <w:rPr>
                <w:noProof/>
              </w:rPr>
              <w:t>Investointi 1.1: Digitaalinen infrastruktuuri</w:t>
            </w:r>
          </w:p>
        </w:tc>
        <w:tc>
          <w:tcPr>
            <w:tcW w:w="992" w:type="dxa"/>
            <w:shd w:val="clear" w:color="auto" w:fill="C6EFCE"/>
            <w:noWrap/>
            <w:vAlign w:val="center"/>
            <w:hideMark/>
          </w:tcPr>
          <w:p w14:paraId="2592BF27"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hideMark/>
          </w:tcPr>
          <w:p w14:paraId="09BBFDA2" w14:textId="77777777" w:rsidR="00E42B18" w:rsidRDefault="009629C4">
            <w:pPr>
              <w:pStyle w:val="P68B1DB1-Normal12"/>
              <w:jc w:val="center"/>
              <w:rPr>
                <w:rFonts w:cs="Arial"/>
                <w:noProof/>
              </w:rPr>
            </w:pPr>
            <w:r>
              <w:rPr>
                <w:noProof/>
              </w:rPr>
              <w:t>Siirtyminen Polo Strategico Nazionaleen tai turvalliseen, sertifioituun julkiseen pilviympäristöön</w:t>
            </w:r>
          </w:p>
        </w:tc>
        <w:tc>
          <w:tcPr>
            <w:tcW w:w="1559" w:type="dxa"/>
            <w:shd w:val="clear" w:color="auto" w:fill="C6EFCE"/>
            <w:noWrap/>
            <w:vAlign w:val="center"/>
            <w:hideMark/>
          </w:tcPr>
          <w:p w14:paraId="0BFDE7C0"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hideMark/>
          </w:tcPr>
          <w:p w14:paraId="26B0778F"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hideMark/>
          </w:tcPr>
          <w:p w14:paraId="5AE77560" w14:textId="77777777" w:rsidR="00E42B18" w:rsidRDefault="009629C4">
            <w:pPr>
              <w:pStyle w:val="P68B1DB1-Normal11"/>
              <w:jc w:val="center"/>
              <w:rPr>
                <w:rFonts w:cs="Arial"/>
                <w:noProof/>
                <w:szCs w:val="20"/>
              </w:rPr>
            </w:pPr>
            <w:r>
              <w:rPr>
                <w:noProof/>
              </w:rPr>
              <w:t>100</w:t>
            </w:r>
          </w:p>
        </w:tc>
        <w:tc>
          <w:tcPr>
            <w:tcW w:w="1418" w:type="dxa"/>
            <w:shd w:val="clear" w:color="auto" w:fill="C6EFCE"/>
            <w:noWrap/>
            <w:vAlign w:val="center"/>
            <w:hideMark/>
          </w:tcPr>
          <w:p w14:paraId="7C8EC833" w14:textId="77777777" w:rsidR="00E42B18" w:rsidRDefault="009629C4">
            <w:pPr>
              <w:pStyle w:val="P68B1DB1-Normal11"/>
              <w:jc w:val="center"/>
              <w:rPr>
                <w:rFonts w:cs="Arial"/>
                <w:noProof/>
                <w:szCs w:val="20"/>
              </w:rPr>
            </w:pPr>
            <w:r>
              <w:rPr>
                <w:noProof/>
              </w:rPr>
              <w:t>280</w:t>
            </w:r>
          </w:p>
        </w:tc>
        <w:tc>
          <w:tcPr>
            <w:tcW w:w="992" w:type="dxa"/>
            <w:shd w:val="clear" w:color="auto" w:fill="C6EFCE"/>
            <w:noWrap/>
            <w:vAlign w:val="center"/>
            <w:hideMark/>
          </w:tcPr>
          <w:p w14:paraId="0CA3550D" w14:textId="77777777" w:rsidR="00E42B18" w:rsidRDefault="009629C4">
            <w:pPr>
              <w:pStyle w:val="P68B1DB1-Normal12"/>
              <w:jc w:val="center"/>
              <w:rPr>
                <w:rFonts w:cs="Arial"/>
                <w:noProof/>
              </w:rPr>
            </w:pPr>
            <w:r>
              <w:rPr>
                <w:noProof/>
              </w:rPr>
              <w:t>Q2</w:t>
            </w:r>
          </w:p>
        </w:tc>
        <w:tc>
          <w:tcPr>
            <w:tcW w:w="852" w:type="dxa"/>
            <w:shd w:val="clear" w:color="auto" w:fill="C6EFCE"/>
            <w:noWrap/>
            <w:vAlign w:val="center"/>
            <w:hideMark/>
          </w:tcPr>
          <w:p w14:paraId="71028566" w14:textId="77777777" w:rsidR="00E42B18" w:rsidRDefault="009629C4">
            <w:pPr>
              <w:pStyle w:val="P68B1DB1-Normal12"/>
              <w:jc w:val="center"/>
              <w:rPr>
                <w:rFonts w:cs="Arial"/>
                <w:noProof/>
              </w:rPr>
            </w:pPr>
            <w:r>
              <w:rPr>
                <w:noProof/>
              </w:rPr>
              <w:t>2026</w:t>
            </w:r>
          </w:p>
        </w:tc>
        <w:tc>
          <w:tcPr>
            <w:tcW w:w="3259" w:type="dxa"/>
            <w:shd w:val="clear" w:color="auto" w:fill="C6EFCE"/>
            <w:noWrap/>
            <w:vAlign w:val="center"/>
            <w:hideMark/>
          </w:tcPr>
          <w:p w14:paraId="08C4844F" w14:textId="77777777" w:rsidR="00E42B18" w:rsidRDefault="009629C4">
            <w:pPr>
              <w:pStyle w:val="P68B1DB1-Normal16"/>
              <w:spacing w:after="120"/>
              <w:rPr>
                <w:rFonts w:cs="Arial"/>
                <w:noProof/>
                <w:color w:val="006100"/>
              </w:rPr>
            </w:pPr>
            <w:r>
              <w:rPr>
                <w:noProof/>
                <w:color w:val="006100"/>
              </w:rPr>
              <w:t>Vähintään 280 keskushallintoa ja paikallista terveydenhuoltoviranomaista (Aziende Sanitarie Locali/Aziende Ospedaliere) siirtyi Polo Strategico Nazionaleen (PSN) tai turvalliseen ja sertifioituun julkiseen pilviympäristöön</w:t>
            </w:r>
            <w:r>
              <w:rPr>
                <w:noProof/>
              </w:rPr>
              <w:t xml:space="preserve"> </w:t>
            </w:r>
            <w:r>
              <w:rPr>
                <w:noProof/>
                <w:color w:val="006100"/>
              </w:rPr>
              <w:t xml:space="preserve">digitaalisen muutoksen ministeriön hyväksymän siirtymäsuunnitelman mukaisesti. </w:t>
            </w:r>
          </w:p>
          <w:p w14:paraId="76146DB0" w14:textId="77777777" w:rsidR="00E42B18" w:rsidRDefault="009629C4">
            <w:pPr>
              <w:pStyle w:val="P68B1DB1-Normal12"/>
              <w:spacing w:after="120"/>
              <w:rPr>
                <w:rFonts w:cs="Arial"/>
                <w:noProof/>
              </w:rPr>
            </w:pPr>
            <w:r>
              <w:rPr>
                <w:noProof/>
              </w:rPr>
              <w:t>Siirtyminen voidaan toteuttaa eri tavoin kunkin vaihtuvan julkishallinnon omistaman toimitiloissa sijaitsevan ohjelmiston tietotekniikka-arkkitehtuurin mukaan.</w:t>
            </w:r>
          </w:p>
          <w:p w14:paraId="08C0F27A" w14:textId="77777777" w:rsidR="00E42B18" w:rsidRDefault="009629C4">
            <w:pPr>
              <w:pStyle w:val="P68B1DB1-Normal12"/>
              <w:spacing w:after="120"/>
              <w:rPr>
                <w:rFonts w:cs="Arial"/>
                <w:noProof/>
              </w:rPr>
            </w:pPr>
            <w:r>
              <w:rPr>
                <w:noProof/>
              </w:rPr>
              <w:t>Nämä strategiat voivat vaihdella pelkästä isännöinnistä ja hissi- ja vaihtomuutoksesta sellaisten ohjelmistojen osalta, joissa ei ole pilvivalmiita ohjelmistoja, siirtymiseen IaaS-palveluun (IaaS), alustaan (PaaS) tai pilvivalmiisiin ohjelmistoihin (SaaS).</w:t>
            </w:r>
          </w:p>
          <w:p w14:paraId="6D22D768" w14:textId="77777777" w:rsidR="00E42B18" w:rsidRDefault="009629C4">
            <w:pPr>
              <w:pStyle w:val="P68B1DB1-Normal12"/>
              <w:spacing w:after="120"/>
              <w:rPr>
                <w:rFonts w:cs="Arial"/>
                <w:noProof/>
              </w:rPr>
            </w:pPr>
            <w:r>
              <w:rPr>
                <w:noProof/>
              </w:rPr>
              <w:t>Vähintään 40 prosenttia siirrettävistä palveluista on toteutettava joko IaaS-, PaaS- tai SaaS-ratkaisujen avulla.</w:t>
            </w:r>
          </w:p>
          <w:p w14:paraId="6CAEAD9C" w14:textId="77777777" w:rsidR="00E42B18" w:rsidRDefault="009629C4">
            <w:pPr>
              <w:pStyle w:val="P68B1DB1-Normal12"/>
              <w:spacing w:after="120"/>
              <w:rPr>
                <w:rFonts w:cs="Arial"/>
                <w:noProof/>
              </w:rPr>
            </w:pPr>
            <w:r>
              <w:rPr>
                <w:noProof/>
              </w:rPr>
              <w:t>PSN:n tai vaihtoehtoisen turvallisen ja sertifioidun julkisen pilvipalvelujen tarjoajan on tarjottava kullekin siirtymävaiheen julkishallinnolle kaikki siirtymästrategiat, joiden avulla saavutettu tavoite voidaan ottaa huomioon.</w:t>
            </w:r>
          </w:p>
        </w:tc>
      </w:tr>
      <w:tr w:rsidR="00E42B18" w14:paraId="4731F318" w14:textId="77777777">
        <w:trPr>
          <w:trHeight w:val="309"/>
        </w:trPr>
        <w:tc>
          <w:tcPr>
            <w:tcW w:w="1135" w:type="dxa"/>
            <w:shd w:val="clear" w:color="auto" w:fill="C6EFCE"/>
            <w:noWrap/>
            <w:vAlign w:val="center"/>
          </w:tcPr>
          <w:p w14:paraId="3950B178" w14:textId="77777777" w:rsidR="00E42B18" w:rsidRDefault="009629C4">
            <w:pPr>
              <w:pStyle w:val="P68B1DB1-Normal11"/>
              <w:jc w:val="center"/>
              <w:rPr>
                <w:rFonts w:cs="Arial"/>
                <w:noProof/>
                <w:szCs w:val="20"/>
              </w:rPr>
            </w:pPr>
            <w:r>
              <w:rPr>
                <w:noProof/>
              </w:rPr>
              <w:t>M1C1–27</w:t>
            </w:r>
          </w:p>
        </w:tc>
        <w:tc>
          <w:tcPr>
            <w:tcW w:w="1417" w:type="dxa"/>
            <w:shd w:val="clear" w:color="auto" w:fill="C6EFCE"/>
            <w:noWrap/>
            <w:vAlign w:val="center"/>
          </w:tcPr>
          <w:p w14:paraId="67B52B0C" w14:textId="77777777" w:rsidR="00E42B18" w:rsidRDefault="009629C4">
            <w:pPr>
              <w:pStyle w:val="P68B1DB1-Normal11"/>
              <w:jc w:val="center"/>
              <w:rPr>
                <w:rFonts w:cs="Arial"/>
                <w:noProof/>
                <w:szCs w:val="20"/>
              </w:rPr>
            </w:pPr>
            <w:r>
              <w:rPr>
                <w:noProof/>
              </w:rPr>
              <w:t>Investointi 1.3.1: Kansallinen digitaalidata-alusta</w:t>
            </w:r>
          </w:p>
        </w:tc>
        <w:tc>
          <w:tcPr>
            <w:tcW w:w="992" w:type="dxa"/>
            <w:shd w:val="clear" w:color="auto" w:fill="C6EFCE"/>
            <w:noWrap/>
            <w:vAlign w:val="center"/>
          </w:tcPr>
          <w:p w14:paraId="2C415F20"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tcPr>
          <w:p w14:paraId="62EB1A73" w14:textId="77777777" w:rsidR="00E42B18" w:rsidRDefault="009629C4">
            <w:pPr>
              <w:pStyle w:val="P68B1DB1-Normal11"/>
              <w:jc w:val="center"/>
              <w:rPr>
                <w:rFonts w:cs="Arial"/>
                <w:noProof/>
                <w:szCs w:val="20"/>
              </w:rPr>
            </w:pPr>
            <w:r>
              <w:rPr>
                <w:noProof/>
              </w:rPr>
              <w:t>Sovellusrajapinnat kansallisessa digitaalisten tietojen alustassa T2</w:t>
            </w:r>
          </w:p>
        </w:tc>
        <w:tc>
          <w:tcPr>
            <w:tcW w:w="1559" w:type="dxa"/>
            <w:shd w:val="clear" w:color="auto" w:fill="C6EFCE"/>
            <w:noWrap/>
            <w:vAlign w:val="center"/>
          </w:tcPr>
          <w:p w14:paraId="7062A715"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tcPr>
          <w:p w14:paraId="13B0D3C2"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tcPr>
          <w:p w14:paraId="01B86829" w14:textId="77777777" w:rsidR="00E42B18" w:rsidRDefault="009629C4">
            <w:pPr>
              <w:pStyle w:val="P68B1DB1-Normal11"/>
              <w:jc w:val="center"/>
              <w:rPr>
                <w:rFonts w:cs="Arial"/>
                <w:noProof/>
                <w:szCs w:val="20"/>
              </w:rPr>
            </w:pPr>
            <w:r>
              <w:rPr>
                <w:noProof/>
              </w:rPr>
              <w:t>3 000</w:t>
            </w:r>
          </w:p>
        </w:tc>
        <w:tc>
          <w:tcPr>
            <w:tcW w:w="1418" w:type="dxa"/>
            <w:shd w:val="clear" w:color="auto" w:fill="C6EFCE"/>
            <w:noWrap/>
            <w:vAlign w:val="center"/>
          </w:tcPr>
          <w:p w14:paraId="1A80A698" w14:textId="77777777" w:rsidR="00E42B18" w:rsidRDefault="009629C4">
            <w:pPr>
              <w:pStyle w:val="P68B1DB1-Normal11"/>
              <w:jc w:val="center"/>
              <w:rPr>
                <w:rFonts w:cs="Arial"/>
                <w:noProof/>
                <w:szCs w:val="20"/>
              </w:rPr>
            </w:pPr>
            <w:r>
              <w:rPr>
                <w:noProof/>
              </w:rPr>
              <w:t>7 000</w:t>
            </w:r>
          </w:p>
        </w:tc>
        <w:tc>
          <w:tcPr>
            <w:tcW w:w="992" w:type="dxa"/>
            <w:shd w:val="clear" w:color="auto" w:fill="C6EFCE"/>
            <w:noWrap/>
            <w:vAlign w:val="center"/>
          </w:tcPr>
          <w:p w14:paraId="5483C373" w14:textId="77777777" w:rsidR="00E42B18" w:rsidRDefault="009629C4">
            <w:pPr>
              <w:pStyle w:val="P68B1DB1-Normal12"/>
              <w:jc w:val="center"/>
              <w:rPr>
                <w:rFonts w:cs="Arial"/>
                <w:noProof/>
              </w:rPr>
            </w:pPr>
            <w:r>
              <w:rPr>
                <w:noProof/>
              </w:rPr>
              <w:t>Q4</w:t>
            </w:r>
          </w:p>
        </w:tc>
        <w:tc>
          <w:tcPr>
            <w:tcW w:w="852" w:type="dxa"/>
            <w:shd w:val="clear" w:color="auto" w:fill="C6EFCE"/>
            <w:noWrap/>
            <w:vAlign w:val="center"/>
          </w:tcPr>
          <w:p w14:paraId="5DEE0664" w14:textId="77777777" w:rsidR="00E42B18" w:rsidRDefault="009629C4">
            <w:pPr>
              <w:pStyle w:val="P68B1DB1-Normal12"/>
              <w:jc w:val="center"/>
              <w:rPr>
                <w:rFonts w:cs="Arial"/>
                <w:noProof/>
              </w:rPr>
            </w:pPr>
            <w:r>
              <w:rPr>
                <w:noProof/>
              </w:rPr>
              <w:t>2025</w:t>
            </w:r>
          </w:p>
        </w:tc>
        <w:tc>
          <w:tcPr>
            <w:tcW w:w="3259" w:type="dxa"/>
            <w:shd w:val="clear" w:color="auto" w:fill="C6EFCE"/>
            <w:noWrap/>
            <w:vAlign w:val="center"/>
          </w:tcPr>
          <w:p w14:paraId="0F780E96" w14:textId="77777777" w:rsidR="00E42B18" w:rsidRDefault="009629C4">
            <w:pPr>
              <w:pStyle w:val="P68B1DB1-Normal12"/>
              <w:spacing w:after="120"/>
              <w:rPr>
                <w:rFonts w:cs="Arial"/>
                <w:noProof/>
              </w:rPr>
            </w:pPr>
            <w:r>
              <w:rPr>
                <w:noProof/>
              </w:rPr>
              <w:t>Tavoitteena on saavuttaa vähintään 4000 sovellusrajapintaa (API), jotka julkaistaan API-luettelossa (yhteensä 7000).</w:t>
            </w:r>
          </w:p>
          <w:p w14:paraId="0BD44552" w14:textId="77777777" w:rsidR="00E42B18" w:rsidRDefault="009629C4">
            <w:pPr>
              <w:pStyle w:val="P68B1DB1-Normal12"/>
              <w:spacing w:after="120"/>
              <w:rPr>
                <w:rFonts w:cs="Arial"/>
                <w:noProof/>
              </w:rPr>
            </w:pPr>
            <w:r>
              <w:rPr>
                <w:noProof/>
              </w:rPr>
              <w:t>Julkaistut API-tiedot vaikuttavat useisiin aloihin, joita voivat olla muun muassa seuraavat:</w:t>
            </w:r>
          </w:p>
          <w:p w14:paraId="6974106F" w14:textId="77777777" w:rsidR="00E42B18" w:rsidRDefault="009629C4">
            <w:pPr>
              <w:pStyle w:val="P68B1DB1-Normal12"/>
              <w:spacing w:after="120"/>
              <w:ind w:right="-62"/>
              <w:rPr>
                <w:rFonts w:cs="Arial"/>
                <w:noProof/>
              </w:rPr>
            </w:pPr>
            <w:r>
              <w:rPr>
                <w:noProof/>
              </w:rPr>
              <w:t>I) kansalliset tiedot, jotka liittyvät työhönottoon, eläkkeelle siirtymiseen, koulun ja yliopiston ilmoittautumiseen (esimerkiksi kansallinen opiskelijarekisteri ja julkishallinnon rekisteri), verosäännösten noudattamiseen tai lääketieteellisiä tietoja ja terveysuhkia koskevaan kansalliseen tietojärjestelmään.</w:t>
            </w:r>
          </w:p>
          <w:p w14:paraId="24A774A0" w14:textId="77777777" w:rsidR="00E42B18" w:rsidRDefault="009629C4">
            <w:pPr>
              <w:pStyle w:val="P68B1DB1-Normal12"/>
              <w:spacing w:after="120"/>
              <w:ind w:right="-62"/>
              <w:rPr>
                <w:rFonts w:cs="Arial"/>
                <w:noProof/>
              </w:rPr>
            </w:pPr>
            <w:r>
              <w:rPr>
                <w:noProof/>
              </w:rPr>
              <w:t>Kunkin sovellusrajapinnan toteutuksen ja dokumentaation on oltava kansallisten yhteentoimivuusstandardien mukaisia. Kansallisen digitaalisen data-alustan kehyksen on sisällettävä toiminnot vaatimustenmukaisuuden arvioimiseksi.</w:t>
            </w:r>
          </w:p>
        </w:tc>
      </w:tr>
      <w:tr w:rsidR="00E42B18" w14:paraId="02288AA6" w14:textId="77777777">
        <w:trPr>
          <w:trHeight w:val="309"/>
        </w:trPr>
        <w:tc>
          <w:tcPr>
            <w:tcW w:w="1135" w:type="dxa"/>
            <w:shd w:val="clear" w:color="auto" w:fill="C6EFCE"/>
            <w:noWrap/>
            <w:vAlign w:val="center"/>
          </w:tcPr>
          <w:p w14:paraId="6247B8CF" w14:textId="77777777" w:rsidR="00E42B18" w:rsidRDefault="009629C4">
            <w:pPr>
              <w:pStyle w:val="P68B1DB1-Normal11"/>
              <w:jc w:val="center"/>
              <w:rPr>
                <w:rFonts w:cs="Arial"/>
                <w:noProof/>
                <w:szCs w:val="20"/>
              </w:rPr>
            </w:pPr>
            <w:r>
              <w:rPr>
                <w:noProof/>
              </w:rPr>
              <w:t>M1C1–28</w:t>
            </w:r>
          </w:p>
        </w:tc>
        <w:tc>
          <w:tcPr>
            <w:tcW w:w="1417" w:type="dxa"/>
            <w:shd w:val="clear" w:color="auto" w:fill="C6EFCE"/>
            <w:noWrap/>
            <w:vAlign w:val="center"/>
          </w:tcPr>
          <w:p w14:paraId="7489B5E9" w14:textId="77777777" w:rsidR="00E42B18" w:rsidRDefault="009629C4">
            <w:pPr>
              <w:pStyle w:val="P68B1DB1-Normal11"/>
              <w:jc w:val="center"/>
              <w:rPr>
                <w:rFonts w:cs="Arial"/>
                <w:noProof/>
                <w:szCs w:val="20"/>
              </w:rPr>
            </w:pPr>
            <w:r>
              <w:rPr>
                <w:noProof/>
              </w:rPr>
              <w:t>Investointi 1.7.2: Digitaalisten neuvontapalvelujen verkosto</w:t>
            </w:r>
          </w:p>
        </w:tc>
        <w:tc>
          <w:tcPr>
            <w:tcW w:w="992" w:type="dxa"/>
            <w:shd w:val="clear" w:color="auto" w:fill="C6EFCE"/>
            <w:noWrap/>
            <w:vAlign w:val="center"/>
          </w:tcPr>
          <w:p w14:paraId="6214AE3E" w14:textId="77777777" w:rsidR="00E42B18" w:rsidRDefault="009629C4">
            <w:pPr>
              <w:pStyle w:val="P68B1DB1-Normal11"/>
              <w:jc w:val="center"/>
              <w:rPr>
                <w:rFonts w:cs="Arial"/>
                <w:noProof/>
                <w:szCs w:val="20"/>
              </w:rPr>
            </w:pPr>
            <w:r>
              <w:rPr>
                <w:noProof/>
              </w:rPr>
              <w:t>Kohde</w:t>
            </w:r>
          </w:p>
        </w:tc>
        <w:tc>
          <w:tcPr>
            <w:tcW w:w="1418" w:type="dxa"/>
            <w:shd w:val="clear" w:color="auto" w:fill="C6EFCE"/>
            <w:noWrap/>
            <w:vAlign w:val="center"/>
          </w:tcPr>
          <w:p w14:paraId="4E6D7171" w14:textId="77777777" w:rsidR="00E42B18" w:rsidRDefault="009629C4">
            <w:pPr>
              <w:pStyle w:val="P68B1DB1-Normal12"/>
              <w:jc w:val="center"/>
              <w:rPr>
                <w:rFonts w:cs="Arial"/>
                <w:noProof/>
              </w:rPr>
            </w:pPr>
            <w:r>
              <w:rPr>
                <w:noProof/>
              </w:rPr>
              <w:t>Niiden kansalaisten lukumäärä, jotka osallistuvat digitaalisten tukikeskusten tarjoamiin digitaaliseen koulutukseen ja/tai helpottamisaloitteisiin</w:t>
            </w:r>
          </w:p>
        </w:tc>
        <w:tc>
          <w:tcPr>
            <w:tcW w:w="1559" w:type="dxa"/>
            <w:shd w:val="clear" w:color="auto" w:fill="C6EFCE"/>
            <w:noWrap/>
            <w:vAlign w:val="center"/>
          </w:tcPr>
          <w:p w14:paraId="57A5CBA0" w14:textId="77777777" w:rsidR="00E42B18" w:rsidRDefault="009629C4">
            <w:pPr>
              <w:pStyle w:val="P68B1DB1-Normal11"/>
              <w:jc w:val="center"/>
              <w:rPr>
                <w:rFonts w:cs="Arial"/>
                <w:noProof/>
                <w:szCs w:val="20"/>
              </w:rPr>
            </w:pPr>
            <w:r>
              <w:rPr>
                <w:noProof/>
              </w:rPr>
              <w:t>EI OLE</w:t>
            </w:r>
          </w:p>
        </w:tc>
        <w:tc>
          <w:tcPr>
            <w:tcW w:w="1276" w:type="dxa"/>
            <w:shd w:val="clear" w:color="auto" w:fill="C6EFCE"/>
            <w:noWrap/>
            <w:vAlign w:val="center"/>
          </w:tcPr>
          <w:p w14:paraId="0E818F39" w14:textId="77777777" w:rsidR="00E42B18" w:rsidRDefault="009629C4">
            <w:pPr>
              <w:pStyle w:val="P68B1DB1-Normal11"/>
              <w:jc w:val="center"/>
              <w:rPr>
                <w:rFonts w:cs="Arial"/>
                <w:noProof/>
                <w:szCs w:val="20"/>
              </w:rPr>
            </w:pPr>
            <w:r>
              <w:rPr>
                <w:noProof/>
              </w:rPr>
              <w:t>Numero</w:t>
            </w:r>
          </w:p>
        </w:tc>
        <w:tc>
          <w:tcPr>
            <w:tcW w:w="1417" w:type="dxa"/>
            <w:shd w:val="clear" w:color="auto" w:fill="C6EFCE"/>
            <w:noWrap/>
            <w:vAlign w:val="center"/>
          </w:tcPr>
          <w:p w14:paraId="1B6025DF" w14:textId="77777777" w:rsidR="00E42B18" w:rsidRDefault="009629C4">
            <w:pPr>
              <w:pStyle w:val="P68B1DB1-Normal11"/>
              <w:jc w:val="center"/>
              <w:rPr>
                <w:rFonts w:cs="Arial"/>
                <w:noProof/>
                <w:szCs w:val="20"/>
              </w:rPr>
            </w:pPr>
            <w:r>
              <w:rPr>
                <w:noProof/>
              </w:rPr>
              <w:t>0</w:t>
            </w:r>
          </w:p>
        </w:tc>
        <w:tc>
          <w:tcPr>
            <w:tcW w:w="1418" w:type="dxa"/>
            <w:shd w:val="clear" w:color="auto" w:fill="C6EFCE"/>
            <w:noWrap/>
            <w:vAlign w:val="center"/>
          </w:tcPr>
          <w:p w14:paraId="52999D46" w14:textId="77777777" w:rsidR="00E42B18" w:rsidRDefault="009629C4">
            <w:pPr>
              <w:pStyle w:val="P68B1DB1-Normal11"/>
              <w:jc w:val="center"/>
              <w:rPr>
                <w:rFonts w:cs="Arial"/>
                <w:noProof/>
                <w:szCs w:val="20"/>
              </w:rPr>
            </w:pPr>
            <w:r>
              <w:rPr>
                <w:noProof/>
              </w:rPr>
              <w:t>2 000 000</w:t>
            </w:r>
          </w:p>
        </w:tc>
        <w:tc>
          <w:tcPr>
            <w:tcW w:w="992" w:type="dxa"/>
            <w:shd w:val="clear" w:color="auto" w:fill="C6EFCE"/>
            <w:noWrap/>
            <w:vAlign w:val="center"/>
          </w:tcPr>
          <w:p w14:paraId="6A336849" w14:textId="77777777" w:rsidR="00E42B18" w:rsidRDefault="009629C4">
            <w:pPr>
              <w:pStyle w:val="P68B1DB1-Normal11"/>
              <w:jc w:val="center"/>
              <w:rPr>
                <w:rFonts w:cs="Arial"/>
                <w:noProof/>
                <w:szCs w:val="20"/>
              </w:rPr>
            </w:pPr>
            <w:r>
              <w:rPr>
                <w:noProof/>
              </w:rPr>
              <w:t>Q2</w:t>
            </w:r>
          </w:p>
        </w:tc>
        <w:tc>
          <w:tcPr>
            <w:tcW w:w="852" w:type="dxa"/>
            <w:shd w:val="clear" w:color="auto" w:fill="C6EFCE"/>
            <w:noWrap/>
            <w:vAlign w:val="center"/>
          </w:tcPr>
          <w:p w14:paraId="51349AE6" w14:textId="77777777" w:rsidR="00E42B18" w:rsidRDefault="009629C4">
            <w:pPr>
              <w:pStyle w:val="P68B1DB1-Normal11"/>
              <w:jc w:val="center"/>
              <w:rPr>
                <w:rFonts w:cs="Arial"/>
                <w:noProof/>
                <w:szCs w:val="20"/>
              </w:rPr>
            </w:pPr>
            <w:r>
              <w:rPr>
                <w:noProof/>
              </w:rPr>
              <w:t>2026</w:t>
            </w:r>
          </w:p>
        </w:tc>
        <w:tc>
          <w:tcPr>
            <w:tcW w:w="3259" w:type="dxa"/>
            <w:shd w:val="clear" w:color="auto" w:fill="C6EFCE"/>
            <w:noWrap/>
            <w:vAlign w:val="center"/>
          </w:tcPr>
          <w:p w14:paraId="6A275659" w14:textId="4CF51013" w:rsidR="00E42B18" w:rsidRDefault="009629C4">
            <w:pPr>
              <w:pStyle w:val="P68B1DB1-Normal12"/>
              <w:spacing w:after="120"/>
              <w:rPr>
                <w:rFonts w:cs="Arial"/>
                <w:noProof/>
              </w:rPr>
            </w:pPr>
            <w:r>
              <w:rPr>
                <w:noProof/>
              </w:rPr>
              <w:t>Vähintään 2000000 kansalaista, joista 30 prosenttia oli Etelä-Italiassa, osallistui digitaaliseen koulutukseen ja/tai helpottamiseen liittyviin aloitteisiin, jotka liittyivät digitaalisen muutoksen ministeriön Facilita-alustalle rekisteröitymiseen.</w:t>
            </w:r>
          </w:p>
        </w:tc>
      </w:tr>
      <w:tr w:rsidR="00E42B18" w14:paraId="5F000AB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5BAE83" w14:textId="77777777" w:rsidR="00E42B18" w:rsidRDefault="009629C4">
            <w:pPr>
              <w:pStyle w:val="P68B1DB1-Normal11"/>
              <w:jc w:val="center"/>
              <w:rPr>
                <w:rFonts w:cs="Arial"/>
                <w:noProof/>
                <w:szCs w:val="20"/>
              </w:rPr>
            </w:pPr>
            <w:r>
              <w:rPr>
                <w:noProof/>
              </w:rPr>
              <w:t>M1C1–29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2B7E1" w14:textId="77777777" w:rsidR="00E42B18" w:rsidRDefault="009629C4">
            <w:pPr>
              <w:pStyle w:val="P68B1DB1-Normal11"/>
              <w:jc w:val="center"/>
              <w:rPr>
                <w:rFonts w:cs="Arial"/>
                <w:noProof/>
                <w:szCs w:val="20"/>
              </w:rPr>
            </w:pPr>
            <w:r>
              <w:rPr>
                <w:noProof/>
              </w:rPr>
              <w:t>Uudistus 1.4: Siviilioikeuden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94E684"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C1D22" w14:textId="77777777" w:rsidR="00E42B18" w:rsidRDefault="009629C4">
            <w:pPr>
              <w:pStyle w:val="P68B1DB1-Normal11"/>
              <w:jc w:val="center"/>
              <w:rPr>
                <w:rFonts w:cs="Arial"/>
                <w:noProof/>
                <w:szCs w:val="20"/>
              </w:rPr>
            </w:pPr>
            <w:r>
              <w:rPr>
                <w:noProof/>
              </w:rPr>
              <w:t>Siviilioikeuden uudistusta koskevan mahdollistavan lainsäädännön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D6909F" w14:textId="77777777" w:rsidR="00E42B18" w:rsidRDefault="009629C4">
            <w:pPr>
              <w:pStyle w:val="P68B1DB1-Normal12"/>
              <w:jc w:val="center"/>
              <w:rPr>
                <w:rFonts w:cs="Arial"/>
                <w:noProof/>
              </w:rPr>
            </w:pPr>
            <w:r>
              <w:rPr>
                <w:noProof/>
              </w:rPr>
              <w:t>Lain säännös, jossa ilmoitetaan mahdollistavan lainsäädännön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76F390"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6A9FF3"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6EF70"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9C8470"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919F85"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17B32" w14:textId="77777777" w:rsidR="00E42B18" w:rsidRDefault="009629C4">
            <w:pPr>
              <w:pStyle w:val="P68B1DB1-Normal12"/>
              <w:rPr>
                <w:rFonts w:cs="Arial"/>
                <w:noProof/>
              </w:rPr>
            </w:pPr>
            <w:r>
              <w:rPr>
                <w:noProof/>
              </w:rPr>
              <w:t>Mahdollistavaan lainsäädäntöön on sisällyttävä ainakin seuraavat toimenpiteet: yksinkertaistetun menettelyn käyttöönotto ensimmäisessä oikeusasteessa/oikeudenkäynnissä ja suodatusmenettelyjen soveltamisen vahvistaminen muutoksenhakutasolla, mukaan lukien yksinkertaistettujen menettelyjen käytön laajentaminen ja sellaisten tapausten kirjo, joissa yhden tuomarin kokoonpanossa on toimivalta; II) varmistaa, että sitovat määräajat menettelyille ja aikataulu todisteiden keräämiselle ja kaikkien asiaankuuluvien säädösten ja asiakirjojen toimittamiselle sähköisesti pannaan tosiasiallisesti täytäntöön; III) uudistetaan sovittelun ja vaihtoehtoisen riidanratkaisun käyttöä yhdessä avustetun sovittelun, välimiesmenettelyn ja muiden mahdollisten vaihtoehtojen kanssa, jotta nämä laitokset voisivat vähentää tehokkaammin siviilioikeusjärjestelmään kohdistuvaa painetta, myös kannustimien avulla; uudistaa pakkotäytäntöönpanomenettelyä siten, että lyhennetään nykyistä keskimääräistä aikaa, muun muassa tekemällä ilmoitettujen määrien täytäntöönpanosta nopeampaa ja edullisempaa; uudistetaan nykyinen järjestelmä, joka koskee oikeudenkäyntimaksujen kvantifiointia ja perittävyyttä, jotta voidaan vähentää perusteettomia riita-asioita; v) otetaan käyttöön tuomioistuintason seurantajärjestelmä ja lisätään siviilituomioistuinten tuottavuutta kannustimilla, joilla varmistetaan oikeudenkäynnin kohtuullinen kesto ja yhdenmukaiset tulokset kaikissa tuomioistuimissa.</w:t>
            </w:r>
          </w:p>
        </w:tc>
      </w:tr>
      <w:tr w:rsidR="00E42B18" w14:paraId="580A756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93C92" w14:textId="77777777" w:rsidR="00E42B18" w:rsidRDefault="009629C4">
            <w:pPr>
              <w:pStyle w:val="P68B1DB1-Normal11"/>
              <w:jc w:val="center"/>
              <w:rPr>
                <w:rFonts w:cs="Arial"/>
                <w:noProof/>
                <w:szCs w:val="20"/>
              </w:rPr>
            </w:pPr>
            <w:r>
              <w:rPr>
                <w:noProof/>
              </w:rPr>
              <w:t>M1C1–30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857831" w14:textId="77777777" w:rsidR="00E42B18" w:rsidRDefault="009629C4">
            <w:pPr>
              <w:pStyle w:val="P68B1DB1-Normal11"/>
              <w:jc w:val="center"/>
              <w:rPr>
                <w:rFonts w:cs="Arial"/>
                <w:noProof/>
                <w:szCs w:val="20"/>
              </w:rPr>
            </w:pPr>
            <w:r>
              <w:rPr>
                <w:noProof/>
              </w:rPr>
              <w:t>Uudistus 1.5: Rikosoikeuden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60D0C2"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57DF6" w14:textId="77777777" w:rsidR="00E42B18" w:rsidRDefault="009629C4">
            <w:pPr>
              <w:pStyle w:val="P68B1DB1-Normal11"/>
              <w:jc w:val="center"/>
              <w:rPr>
                <w:rFonts w:cs="Arial"/>
                <w:noProof/>
                <w:szCs w:val="20"/>
              </w:rPr>
            </w:pPr>
            <w:r>
              <w:rPr>
                <w:noProof/>
              </w:rPr>
              <w:t>Rikosoikeusuudistusta koskevan mahdollistavan lainsäädännön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E3E40" w14:textId="77777777" w:rsidR="00E42B18" w:rsidRDefault="009629C4">
            <w:pPr>
              <w:pStyle w:val="P68B1DB1-Normal12"/>
              <w:jc w:val="center"/>
              <w:rPr>
                <w:rFonts w:cs="Arial"/>
                <w:noProof/>
              </w:rPr>
            </w:pPr>
            <w:r>
              <w:rPr>
                <w:noProof/>
              </w:rPr>
              <w:t>Lain säännös, jossa ilmoitetaan mahdollistavan lainsäädännön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170F10"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9D5B7"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78C5E5"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4C91C5"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11984"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CCCD3" w14:textId="77777777" w:rsidR="00E42B18" w:rsidRDefault="009629C4">
            <w:pPr>
              <w:pStyle w:val="P68B1DB1-Normal12"/>
              <w:spacing w:after="120"/>
              <w:rPr>
                <w:rFonts w:cs="Arial"/>
                <w:noProof/>
              </w:rPr>
            </w:pPr>
            <w:r>
              <w:rPr>
                <w:noProof/>
              </w:rPr>
              <w:t>Mahdollistava lainsäädäntö, johon on sisällyttävä vähintään seuraavat toimenpiteet: I) tarkistettu ilmoitusjärjestelmä, ii) yksinkertaistettujen menettelyjen laajempi käyttö, iii) asiakirjojen sähköisen arkistoinnin laajempi käyttö, iv) todistelua koskevien sääntöjen yksinkertaistaminen, v) alustavan tutkinnan kestoa koskevien määräaikojen määrittely ja toimenpiteet tutkintavaiheen pysähtymisen välttämiseksi, vi) mahdollisuuden lakkauttaa rikos, jos vahingonkorvaukset on maksettu takaisin, vii) seurantajärjestelmän käyttöönotto tuomioistuimen tasolla ja rikostuomioistuinten tuottavuuden lisääminen kannustimilla, joilla varmistetaan oikeudenkäynnin kohtuullinen kesto ja yhdenmukaiset suoritukset kaikissa tuomioistuimissa.</w:t>
            </w:r>
          </w:p>
        </w:tc>
      </w:tr>
      <w:tr w:rsidR="00E42B18" w14:paraId="7DB9A1F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468D1E" w14:textId="77777777" w:rsidR="00E42B18" w:rsidRDefault="009629C4">
            <w:pPr>
              <w:pStyle w:val="P68B1DB1-Normal11"/>
              <w:jc w:val="center"/>
              <w:rPr>
                <w:rFonts w:cs="Arial"/>
                <w:noProof/>
                <w:szCs w:val="20"/>
              </w:rPr>
            </w:pPr>
            <w:r>
              <w:rPr>
                <w:noProof/>
              </w:rPr>
              <w:t>M1C1–31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0812E" w14:textId="77777777" w:rsidR="00E42B18" w:rsidRDefault="009629C4">
            <w:pPr>
              <w:pStyle w:val="P68B1DB1-Normal11"/>
              <w:jc w:val="center"/>
              <w:rPr>
                <w:rFonts w:cs="Arial"/>
                <w:noProof/>
                <w:szCs w:val="20"/>
              </w:rPr>
            </w:pPr>
            <w:r>
              <w:rPr>
                <w:noProof/>
              </w:rPr>
              <w:t>Uudistus 1.6: Maksukyvyttömyyskehyksen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888DEA"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B9196F" w14:textId="77777777" w:rsidR="00E42B18" w:rsidRDefault="009629C4">
            <w:pPr>
              <w:pStyle w:val="P68B1DB1-Normal11"/>
              <w:jc w:val="center"/>
              <w:rPr>
                <w:rFonts w:cs="Arial"/>
                <w:noProof/>
                <w:szCs w:val="20"/>
              </w:rPr>
            </w:pPr>
            <w:r>
              <w:rPr>
                <w:noProof/>
              </w:rPr>
              <w:t>Maksukyvyttömyyttä koskevan uudistuskehyksen mahdollistavan lainsäädännön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117F7B" w14:textId="77777777" w:rsidR="00E42B18" w:rsidRDefault="009629C4">
            <w:pPr>
              <w:pStyle w:val="P68B1DB1-Normal12"/>
              <w:jc w:val="center"/>
              <w:rPr>
                <w:rFonts w:cs="Arial"/>
                <w:noProof/>
              </w:rPr>
            </w:pPr>
            <w:r>
              <w:rPr>
                <w:noProof/>
              </w:rPr>
              <w:t>Lain säännös, jossa ilmoitetaan mahdollistavan lainsäädännön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546873"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37EAA8"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1F192"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D2CE8"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8082F8"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2D30E5" w14:textId="77777777" w:rsidR="00E42B18" w:rsidRDefault="009629C4">
            <w:pPr>
              <w:pStyle w:val="P68B1DB1-Normal12"/>
              <w:spacing w:after="120"/>
              <w:rPr>
                <w:rFonts w:cs="Arial"/>
                <w:noProof/>
              </w:rPr>
            </w:pPr>
            <w:r>
              <w:rPr>
                <w:noProof/>
              </w:rPr>
              <w:t>Maksukyvyttömyysuudistuksen on sisällettävä ainakin seuraavat toimenpiteet: I) tarkastellaan uudelleen tuomioistuinten ulkopuolisia sovittelujärjestelyjä sellaisten alojen määrittämiseksi, joilla lisäparannukset voivat olla tarpeen, jotta asianomaisia osapuolia kannustettaisiin käyttämään tällaisia menettelyjä tehokkaammin; ottaa käyttöön varhaisvaroitusmekanismeja ja tiedonsaantia ennen maksukyvyttömyysvaihetta; III) siirtyminen erikoistumaan tuomioistuimiin (kauppaoikeus, maksukyvyttömyysasioita käsittelevät jaostot) ja oikeudenkäyntiä edeltäviin laitoksiin maksukyvyttömyysmenettelyjen hallinnoimiseksi; IV) mahdollistetaan vakuudellisten velkojien maksaminen ensin (ennen verosaatavia ja työntekijöiden saatavia) v) annetaan yrityksille mahdollisuus myöntää vakuusoikeus, joka ei ole omistusoikeus. Maksukyvyttömyysuudistuksen lisäksi on varmistettava uudelleenjärjestelymenettelyjä käsittelevien oikeus- ja hallintoviranomaisten jäsenten koulutus ja erikoistuminen sekä uudelleenjärjestely- ja maksukyvyttömyysmenettelyjen yleinen digitalisointi ja tuomioistuinten ulkopuolisen riidanratkaisufoorumin perustaminen erityisesti maksukyvyttömyyttä edeltävässä vaiheessa, jonka käyttöä on kannustettava vähentämään oikeuslaitoksen taakkaa (maksukyvyttömyyttä edeltävät uudelleenjärjestelyhakemukset, monenvälisten uudelleenjärjestelyjen edistäminen ja ennalta hyväksyttyjen automatisoitujen uudelleenjärjestelymenettelyjen ja ratkaisujen mahdollistaminen arvoltaan vähäisissä tapauksissa). Tällaisella verkkoalustalla on myös varmistettava yhteentoimivuus pankkien tietoteknisten järjestelmien sekä muiden viranomaisten ja tietokantojen kanssa, jotta voidaan varmistaa nopea sähköinen asiakirjojen ja tietojen vaihto velallisten ja velkojien välillä. Tätä varten hakija (velallinen) antaisi suostumuksensa henkilötietojensa vaihtoon yleisen tietosuoja-asetuksen mukaisesti, ja tämä säännös olisi sisällytettävä lainsäädäntöön. Uudistuksella perustetaan vakuusrekisteri.</w:t>
            </w:r>
          </w:p>
        </w:tc>
      </w:tr>
      <w:tr w:rsidR="00E42B18" w14:paraId="7BFBE34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88A78D" w14:textId="77777777" w:rsidR="00E42B18" w:rsidRDefault="009629C4">
            <w:pPr>
              <w:pStyle w:val="P68B1DB1-Normal11"/>
              <w:jc w:val="center"/>
              <w:rPr>
                <w:rFonts w:cs="Arial"/>
                <w:noProof/>
                <w:szCs w:val="20"/>
              </w:rPr>
            </w:pPr>
            <w:r>
              <w:rPr>
                <w:noProof/>
              </w:rPr>
              <w:t>M1C1–32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90A60F" w14:textId="77777777" w:rsidR="00E42B18" w:rsidRDefault="009629C4">
            <w:pPr>
              <w:pStyle w:val="P68B1DB1-Normal12"/>
              <w:jc w:val="center"/>
              <w:rPr>
                <w:rFonts w:cs="Arial"/>
                <w:noProof/>
              </w:rPr>
            </w:pPr>
            <w:r>
              <w:rPr>
                <w:noProof/>
              </w:rPr>
              <w:t>Investointi 1.8: Palvelukseenottomenettelyt siviili-, rikos- ja hallintotuomioistuimissa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3F857C"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0BF95" w14:textId="77777777" w:rsidR="00E42B18" w:rsidRDefault="009629C4">
            <w:pPr>
              <w:pStyle w:val="P68B1DB1-Normal11"/>
              <w:jc w:val="center"/>
              <w:rPr>
                <w:rFonts w:cs="Arial"/>
                <w:noProof/>
                <w:szCs w:val="20"/>
              </w:rPr>
            </w:pPr>
            <w:r>
              <w:rPr>
                <w:noProof/>
              </w:rPr>
              <w:t>Kansallisen elpymis- ja palautumissuunnitelman palvelukseen ottamista koskevan erityislainsäädännön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F2B9A7" w14:textId="77777777" w:rsidR="00E42B18" w:rsidRDefault="009629C4">
            <w:pPr>
              <w:pStyle w:val="P68B1DB1-Normal12"/>
              <w:jc w:val="center"/>
              <w:rPr>
                <w:rFonts w:cs="Arial"/>
                <w:noProof/>
              </w:rPr>
            </w:pPr>
            <w:r>
              <w:rPr>
                <w:noProof/>
              </w:rPr>
              <w:t>Lain säännös, joka koskee kansallisen elpymis- ja palautumissuunnitelman palvelukseen ottamista koskevan erityislainsäädännön voimaantuloa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C925B1"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7D1F7"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FEC254"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71E2EF"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1BE389"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F4CA25" w14:textId="77777777" w:rsidR="00E42B18" w:rsidRDefault="009629C4">
            <w:pPr>
              <w:pStyle w:val="P68B1DB1-Normal12"/>
              <w:spacing w:after="120"/>
              <w:rPr>
                <w:rFonts w:cs="Arial"/>
                <w:noProof/>
              </w:rPr>
            </w:pPr>
            <w:r>
              <w:rPr>
                <w:noProof/>
              </w:rPr>
              <w:t>Hyväksyy erityislainsäädännön, joka koskee kansallisen elpymis- ja palautumissuunnitelman rekrytointia ja jolla on lupa mainostaa ja ottaa palvelukseensa.</w:t>
            </w:r>
          </w:p>
        </w:tc>
      </w:tr>
      <w:tr w:rsidR="00E42B18" w14:paraId="1B00597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BF677" w14:textId="77777777" w:rsidR="00E42B18" w:rsidRDefault="009629C4">
            <w:pPr>
              <w:pStyle w:val="P68B1DB1-Normal11"/>
              <w:jc w:val="center"/>
              <w:rPr>
                <w:rFonts w:cs="Arial"/>
                <w:noProof/>
                <w:szCs w:val="20"/>
              </w:rPr>
            </w:pPr>
            <w:r>
              <w:rPr>
                <w:noProof/>
              </w:rPr>
              <w:t>M1C1–33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ADF83" w14:textId="77777777" w:rsidR="00E42B18" w:rsidRDefault="009629C4">
            <w:pPr>
              <w:pStyle w:val="P68B1DB1-Normal11"/>
              <w:jc w:val="center"/>
              <w:rPr>
                <w:rFonts w:cs="Arial"/>
                <w:noProof/>
                <w:szCs w:val="20"/>
              </w:rPr>
            </w:pPr>
            <w:r>
              <w:rPr>
                <w:noProof/>
              </w:rPr>
              <w:t>Investointi 1.8: Hallintotuomioistuinten palvelukseenottomenettelyt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9D8BD7"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0A9C7C" w14:textId="77777777" w:rsidR="00E42B18" w:rsidRDefault="009629C4">
            <w:pPr>
              <w:pStyle w:val="P68B1DB1-Normal11"/>
              <w:jc w:val="center"/>
              <w:rPr>
                <w:rFonts w:cs="Arial"/>
                <w:noProof/>
                <w:szCs w:val="20"/>
              </w:rPr>
            </w:pPr>
            <w:r>
              <w:rPr>
                <w:noProof/>
              </w:rPr>
              <w:t>Hallintotuomioistuinten palvelukseenottomenettelyjen aloittaminen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211AC" w14:textId="77777777" w:rsidR="00E42B18" w:rsidRDefault="009629C4">
            <w:pPr>
              <w:pStyle w:val="P68B1DB1-Normal11"/>
              <w:jc w:val="center"/>
              <w:rPr>
                <w:noProof/>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0CB80C"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D5F8E"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479117" w14:textId="77777777" w:rsidR="00E42B18" w:rsidRDefault="009629C4">
            <w:pPr>
              <w:pStyle w:val="P68B1DB1-Normal11"/>
              <w:jc w:val="center"/>
              <w:rPr>
                <w:rFonts w:cs="Arial"/>
                <w:noProof/>
                <w:szCs w:val="20"/>
              </w:rPr>
            </w:pPr>
            <w:r>
              <w:rPr>
                <w:noProof/>
              </w:rPr>
              <w:t>168</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961CA3"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567AA"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F6C56A" w14:textId="77777777" w:rsidR="00E42B18" w:rsidRDefault="009629C4">
            <w:pPr>
              <w:pStyle w:val="P68B1DB1-Normal11"/>
              <w:spacing w:after="120"/>
              <w:rPr>
                <w:rFonts w:cs="Arial"/>
                <w:noProof/>
                <w:szCs w:val="20"/>
              </w:rPr>
            </w:pPr>
            <w:r>
              <w:rPr>
                <w:noProof/>
              </w:rPr>
              <w:t>Aloitetaan vähintään 168 henkilöstön jäsenen palvelukseenottomenettely oikeudenkäyntitoimistoa ja hallintotuomioistuimia varten ja otetaan palvelukseen yksikköjä. Perustasona on 31 päivänä joulukuuta 2021 palveluksessa olleen henkilöstön määrä.</w:t>
            </w:r>
          </w:p>
        </w:tc>
      </w:tr>
      <w:tr w:rsidR="00E42B18" w14:paraId="6038784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5CC0D" w14:textId="77777777" w:rsidR="00E42B18" w:rsidRDefault="009629C4">
            <w:pPr>
              <w:pStyle w:val="P68B1DB1-Normal11"/>
              <w:jc w:val="center"/>
              <w:rPr>
                <w:rFonts w:cs="Arial"/>
                <w:noProof/>
                <w:szCs w:val="20"/>
              </w:rPr>
            </w:pPr>
            <w:r>
              <w:rPr>
                <w:noProof/>
              </w:rPr>
              <w:t>M1C1–34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1FF09" w14:textId="77777777" w:rsidR="00E42B18" w:rsidRDefault="009629C4">
            <w:pPr>
              <w:pStyle w:val="P68B1DB1-Normal11"/>
              <w:jc w:val="center"/>
              <w:rPr>
                <w:rFonts w:cs="Arial"/>
                <w:noProof/>
                <w:szCs w:val="20"/>
              </w:rPr>
            </w:pPr>
            <w:r>
              <w:rPr>
                <w:noProof/>
              </w:rPr>
              <w:t>Investointi 1.8: Palvelukseenottomenettelyt siviili- ja rikostuomioistuinten oikeudenkäyntivirastoa varten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0744"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1D6D15" w14:textId="77777777" w:rsidR="00E42B18" w:rsidRDefault="009629C4">
            <w:pPr>
              <w:pStyle w:val="P68B1DB1-Normal11"/>
              <w:jc w:val="center"/>
              <w:rPr>
                <w:rFonts w:cs="Arial"/>
                <w:noProof/>
                <w:szCs w:val="20"/>
              </w:rPr>
            </w:pPr>
            <w:r>
              <w:rPr>
                <w:noProof/>
              </w:rPr>
              <w:t>Palvelukseenottomenettelyjen aloittaminen siviili- ja rikostuomioistuimissa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EE8D00"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4390D"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2D91E6"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2E6DF" w14:textId="77777777" w:rsidR="00E42B18" w:rsidRDefault="009629C4">
            <w:pPr>
              <w:pStyle w:val="P68B1DB1-Normal11"/>
              <w:jc w:val="center"/>
              <w:rPr>
                <w:rFonts w:cs="Arial"/>
                <w:noProof/>
                <w:szCs w:val="20"/>
              </w:rPr>
            </w:pPr>
            <w:r>
              <w:rPr>
                <w:noProof/>
              </w:rPr>
              <w:t>8 764</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9FA2F9"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3BF982"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FBBE7" w14:textId="77777777" w:rsidR="00E42B18" w:rsidRDefault="009629C4">
            <w:pPr>
              <w:pStyle w:val="P68B1DB1-Normal11"/>
              <w:spacing w:after="120"/>
              <w:rPr>
                <w:rFonts w:cs="Arial"/>
                <w:noProof/>
                <w:szCs w:val="20"/>
              </w:rPr>
            </w:pPr>
            <w:r>
              <w:rPr>
                <w:noProof/>
              </w:rPr>
              <w:t>On aloitettava vähintään 8764 henkilöstön jäsenen palvelukseenottomenettely siviili- ja rikostuomioistuinten oikeudenkäyntitoimistoon ja otettava yksiköt palvelukseen. Perustasona on henkilöstön määrä vuoden 2021 lopussa.</w:t>
            </w:r>
          </w:p>
        </w:tc>
      </w:tr>
      <w:tr w:rsidR="00E42B18" w14:paraId="1E1321D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6B93E2" w14:textId="77777777" w:rsidR="00E42B18" w:rsidRDefault="009629C4">
            <w:pPr>
              <w:pStyle w:val="P68B1DB1-Normal11"/>
              <w:jc w:val="center"/>
              <w:rPr>
                <w:rFonts w:cs="Arial"/>
                <w:noProof/>
                <w:szCs w:val="20"/>
              </w:rPr>
            </w:pPr>
            <w:r>
              <w:rPr>
                <w:noProof/>
              </w:rPr>
              <w:t>M1C1–35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153F9C" w14:textId="77777777" w:rsidR="00E42B18" w:rsidRDefault="009629C4">
            <w:pPr>
              <w:pStyle w:val="P68B1DB1-Normal11"/>
              <w:jc w:val="center"/>
              <w:rPr>
                <w:rFonts w:cs="Arial"/>
                <w:noProof/>
                <w:szCs w:val="20"/>
              </w:rPr>
            </w:pPr>
            <w:r>
              <w:rPr>
                <w:noProof/>
              </w:rPr>
              <w:t>Uudistus 1.7: Verotuomioistuinten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361CEA"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FFFD4C" w14:textId="77777777" w:rsidR="00E42B18" w:rsidRDefault="009629C4">
            <w:pPr>
              <w:pStyle w:val="P68B1DB1-Normal11"/>
              <w:jc w:val="center"/>
              <w:rPr>
                <w:rFonts w:cs="Arial"/>
                <w:noProof/>
                <w:szCs w:val="20"/>
              </w:rPr>
            </w:pPr>
            <w:r>
              <w:rPr>
                <w:noProof/>
              </w:rPr>
              <w:t>Ensimmäisen ja toisen oikeusasteen verotuomioistuinten kattava uudistus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5209B" w14:textId="77777777" w:rsidR="00E42B18" w:rsidRDefault="009629C4">
            <w:pPr>
              <w:pStyle w:val="P68B1DB1-Normal12"/>
              <w:jc w:val="center"/>
              <w:rPr>
                <w:rFonts w:cs="Arial"/>
                <w:noProof/>
              </w:rPr>
            </w:pPr>
            <w:r>
              <w:rPr>
                <w:noProof/>
              </w:rPr>
              <w:t>Lain säännös, jossa ilmoitetaan tarkistetun oikeudellisen kehyksen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E0A589"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3B60B2"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F96408"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7F58CE"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7E9EC5"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9DAD6E" w14:textId="77777777" w:rsidR="00E42B18" w:rsidRDefault="009629C4">
            <w:pPr>
              <w:pStyle w:val="P68B1DB1-Normal11"/>
              <w:spacing w:after="120"/>
              <w:rPr>
                <w:rFonts w:cs="Arial"/>
                <w:noProof/>
                <w:szCs w:val="20"/>
              </w:rPr>
            </w:pPr>
            <w:r>
              <w:rPr>
                <w:noProof/>
              </w:rPr>
              <w:t>Tarkistetulla oikeudellisella kehyksellä tehostetaan verolainsäädännön täytäntöönpanoa ja vähennetään kassaatiotuomioistuimeen tehtävien valitusten suurta määrää.</w:t>
            </w:r>
          </w:p>
        </w:tc>
      </w:tr>
      <w:tr w:rsidR="00E42B18" w14:paraId="62BD747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5F684" w14:textId="77777777" w:rsidR="00E42B18" w:rsidRDefault="009629C4">
            <w:pPr>
              <w:pStyle w:val="P68B1DB1-Normal11"/>
              <w:jc w:val="center"/>
              <w:rPr>
                <w:rFonts w:cs="Arial"/>
                <w:noProof/>
                <w:szCs w:val="20"/>
              </w:rPr>
            </w:pPr>
            <w:r>
              <w:rPr>
                <w:noProof/>
              </w:rPr>
              <w:t>M1C1–36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CF15C0" w14:textId="77777777" w:rsidR="00E42B18" w:rsidRDefault="009629C4">
            <w:pPr>
              <w:pStyle w:val="P68B1DB1-Normal11"/>
              <w:jc w:val="center"/>
              <w:rPr>
                <w:rFonts w:cs="Arial"/>
                <w:noProof/>
                <w:szCs w:val="20"/>
              </w:rPr>
            </w:pPr>
            <w:r>
              <w:rPr>
                <w:noProof/>
              </w:rPr>
              <w:t>Uudistukset 1.4, 1.5 ja 1.6: Siviili- ja rikosoikeuden uudistus ja maksukyvyttömyysuudistus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821A86"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40743A" w14:textId="77777777" w:rsidR="00E42B18" w:rsidRDefault="009629C4">
            <w:pPr>
              <w:pStyle w:val="P68B1DB1-Normal11"/>
              <w:jc w:val="center"/>
              <w:rPr>
                <w:rFonts w:cs="Arial"/>
                <w:noProof/>
                <w:szCs w:val="20"/>
              </w:rPr>
            </w:pPr>
            <w:r>
              <w:rPr>
                <w:noProof/>
              </w:rPr>
              <w:t>Siviili- ja rikosoikeudellisia uudistuksia ja maksukyvyttömyysuudistusta koskevien delegoitujen säädösten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B7B4FB" w14:textId="77777777" w:rsidR="00E42B18" w:rsidRDefault="009629C4">
            <w:pPr>
              <w:pStyle w:val="P68B1DB1-Normal12"/>
              <w:jc w:val="center"/>
              <w:rPr>
                <w:rFonts w:cs="Arial"/>
                <w:noProof/>
              </w:rPr>
            </w:pPr>
            <w:r>
              <w:rPr>
                <w:noProof/>
              </w:rPr>
              <w:t>Delegoitujen säädösten säännös, jossa ilmoitetaan delegoitujen säädösten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A6C7D8"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4D67F5"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9A0E94"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DFEE2"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980A02"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C4A368" w14:textId="77777777" w:rsidR="00E42B18" w:rsidRDefault="009629C4">
            <w:pPr>
              <w:pStyle w:val="P68B1DB1-Normal12"/>
              <w:spacing w:after="120"/>
              <w:rPr>
                <w:rFonts w:cs="Arial"/>
                <w:noProof/>
              </w:rPr>
            </w:pPr>
            <w:r>
              <w:rPr>
                <w:noProof/>
              </w:rPr>
              <w:t>Kaikkien sellaisten delegoitujen säädösten voimaantulo, joiden sisältö mainitaan siviili- ja rikosoikeusuudistuksia ja maksukyvyttömyysmenettelyjä koskevassa lainsäädännössä.</w:t>
            </w:r>
          </w:p>
        </w:tc>
      </w:tr>
      <w:tr w:rsidR="00E42B18" w14:paraId="3BE651D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2AE9F5" w14:textId="77777777" w:rsidR="00E42B18" w:rsidRDefault="009629C4">
            <w:pPr>
              <w:pStyle w:val="P68B1DB1-Normal11"/>
              <w:jc w:val="center"/>
              <w:rPr>
                <w:rFonts w:cs="Arial"/>
                <w:noProof/>
                <w:szCs w:val="20"/>
              </w:rPr>
            </w:pPr>
            <w:r>
              <w:rPr>
                <w:noProof/>
              </w:rPr>
              <w:t>M1C1–37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5E09DD" w14:textId="77777777" w:rsidR="00E42B18" w:rsidRDefault="009629C4">
            <w:pPr>
              <w:pStyle w:val="P68B1DB1-Normal11"/>
              <w:jc w:val="center"/>
              <w:rPr>
                <w:rFonts w:cs="Arial"/>
                <w:noProof/>
                <w:szCs w:val="20"/>
              </w:rPr>
            </w:pPr>
            <w:r>
              <w:rPr>
                <w:noProof/>
              </w:rPr>
              <w:t>Uudistukset 1.4 ja 1.5: Siviili- ja rikosoikeuden uudistus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AD1D0F"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407DA6" w14:textId="77777777" w:rsidR="00E42B18" w:rsidRDefault="009629C4">
            <w:pPr>
              <w:pStyle w:val="P68B1DB1-Normal11"/>
              <w:jc w:val="center"/>
              <w:rPr>
                <w:rFonts w:cs="Arial"/>
                <w:noProof/>
                <w:szCs w:val="20"/>
              </w:rPr>
            </w:pPr>
            <w:r>
              <w:rPr>
                <w:noProof/>
              </w:rPr>
              <w:t>Siviili- ja rikosoikeuden uudistuksen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2121CB" w14:textId="77777777" w:rsidR="00E42B18" w:rsidRDefault="009629C4">
            <w:pPr>
              <w:pStyle w:val="P68B1DB1-Normal12"/>
              <w:jc w:val="center"/>
              <w:rPr>
                <w:rFonts w:cs="Arial"/>
                <w:noProof/>
              </w:rPr>
            </w:pPr>
            <w:r>
              <w:rPr>
                <w:noProof/>
              </w:rPr>
              <w:t>Sekundaarisäädösten säännös, josta käy ilmi johdettujen säädösten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1A5672"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303E5"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92FAD"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56BE43"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CDF5F2"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610415" w14:textId="77777777" w:rsidR="00E42B18" w:rsidRDefault="009629C4">
            <w:pPr>
              <w:pStyle w:val="P68B1DB1-Normal11"/>
              <w:spacing w:after="120"/>
              <w:rPr>
                <w:rFonts w:cs="Arial"/>
                <w:noProof/>
                <w:szCs w:val="20"/>
              </w:rPr>
            </w:pPr>
            <w:r>
              <w:rPr>
                <w:noProof/>
              </w:rPr>
              <w:t>Saatetaan päätökseen kaikkien sellaisten asetusten ja johdetun oikeuden lähteiden hyväksyminen, jotka ovat tarpeen oikeuslaitoksen uudistamista koskevien mahdollistavien lakien tehokkaan soveltamisen kannalta.</w:t>
            </w:r>
          </w:p>
        </w:tc>
      </w:tr>
      <w:tr w:rsidR="00E42B18" w14:paraId="0DA629F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DDEE56" w14:textId="77777777" w:rsidR="00E42B18" w:rsidRDefault="009629C4">
            <w:pPr>
              <w:pStyle w:val="P68B1DB1-Normal11"/>
              <w:jc w:val="center"/>
              <w:rPr>
                <w:rFonts w:cs="Arial"/>
                <w:noProof/>
                <w:szCs w:val="20"/>
              </w:rPr>
            </w:pPr>
            <w:r>
              <w:rPr>
                <w:noProof/>
              </w:rPr>
              <w:t>M1C1–38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D1530" w14:textId="77777777" w:rsidR="00E42B18" w:rsidRDefault="009629C4">
            <w:pPr>
              <w:pStyle w:val="P68B1DB1-Normal12"/>
              <w:jc w:val="center"/>
              <w:rPr>
                <w:rFonts w:cs="Arial"/>
                <w:noProof/>
              </w:rPr>
            </w:pPr>
            <w:r>
              <w:rPr>
                <w:noProof/>
              </w:rPr>
              <w:t>Uudistus 1.8: Oikeudenkäytön digitalisointi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F291E8"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D41EFE" w14:textId="77777777" w:rsidR="00E42B18" w:rsidRDefault="009629C4">
            <w:pPr>
              <w:pStyle w:val="P68B1DB1-Normal12"/>
              <w:jc w:val="center"/>
              <w:rPr>
                <w:rFonts w:cs="Arial"/>
                <w:noProof/>
              </w:rPr>
            </w:pPr>
            <w:r>
              <w:rPr>
                <w:noProof/>
              </w:rPr>
              <w:t>Oikeuslaitoksen digitalisointi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A21C" w14:textId="77777777" w:rsidR="00E42B18" w:rsidRDefault="009629C4">
            <w:pPr>
              <w:pStyle w:val="P68B1DB1-Normal12"/>
              <w:jc w:val="center"/>
              <w:rPr>
                <w:rFonts w:cs="Arial"/>
                <w:noProof/>
              </w:rPr>
            </w:pPr>
            <w:r>
              <w:rPr>
                <w:noProof/>
              </w:rPr>
              <w:t>Primaari- ja sekundaarisäädösten säännös, josta käy ilmi vastaavien säädösten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18C99E"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FB63C7"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F97AA"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A6050"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DAF8F"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34DA44" w14:textId="77777777" w:rsidR="00E42B18" w:rsidRDefault="009629C4">
            <w:pPr>
              <w:pStyle w:val="P68B1DB1-Normal12"/>
              <w:spacing w:after="120"/>
              <w:rPr>
                <w:rFonts w:cs="Arial"/>
                <w:noProof/>
              </w:rPr>
            </w:pPr>
            <w:r>
              <w:rPr>
                <w:noProof/>
              </w:rPr>
              <w:t>On vahvistettava kaikkien asiakirjojen pakollinen sähköinen arkistointi ja täydellinen sähköinen työnkulku siviilioikeudellisia menettelyjä varten. Ensimmäisen oikeusasteen rikosoikeudellinen menettely digitalisoitu (lukuun ottamatta esitutkintavirastoa). Luodaan lainsäädännön mukaisesti maksuton, täysin käytettävissä oleva ja haettavissa oleva tietokanta siviilioikeudellisista päätöksistä.</w:t>
            </w:r>
          </w:p>
        </w:tc>
      </w:tr>
      <w:tr w:rsidR="00E42B18" w14:paraId="62D786D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4923E" w14:textId="77777777" w:rsidR="00E42B18" w:rsidRDefault="009629C4">
            <w:pPr>
              <w:pStyle w:val="P68B1DB1-Normal11"/>
              <w:jc w:val="center"/>
              <w:rPr>
                <w:rFonts w:cs="Arial"/>
                <w:noProof/>
              </w:rPr>
            </w:pPr>
            <w:r>
              <w:rPr>
                <w:noProof/>
              </w:rPr>
              <w:t>M1C1–38a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B2020" w14:textId="77777777" w:rsidR="00E42B18" w:rsidRDefault="009629C4">
            <w:pPr>
              <w:pStyle w:val="P68B1DB1-Normal12"/>
              <w:jc w:val="center"/>
              <w:rPr>
                <w:rFonts w:cs="Arial"/>
                <w:noProof/>
              </w:rPr>
            </w:pPr>
            <w:r>
              <w:rPr>
                <w:noProof/>
              </w:rPr>
              <w:t>Uudistus 1.8: Oikeudenkäytön digitalisointi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5C5008" w14:textId="77777777" w:rsidR="00E42B18" w:rsidRDefault="009629C4">
            <w:pPr>
              <w:pStyle w:val="P68B1DB1-Normal11"/>
              <w:jc w:val="center"/>
              <w:rPr>
                <w:rFonts w:cs="Arial"/>
                <w:noProof/>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705AC" w14:textId="77777777" w:rsidR="00E42B18" w:rsidRDefault="009629C4">
            <w:pPr>
              <w:pStyle w:val="P68B1DB1-Normal12"/>
              <w:jc w:val="center"/>
              <w:rPr>
                <w:rFonts w:cs="Arial"/>
                <w:noProof/>
              </w:rPr>
            </w:pPr>
            <w:r>
              <w:rPr>
                <w:noProof/>
              </w:rPr>
              <w:t>Oikeuslaitoksen digitalisointi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2144E4" w14:textId="77777777" w:rsidR="00E42B18" w:rsidRDefault="009629C4">
            <w:pPr>
              <w:pStyle w:val="P68B1DB1-Normal12"/>
              <w:jc w:val="center"/>
              <w:rPr>
                <w:rFonts w:cs="Arial"/>
                <w:noProof/>
              </w:rPr>
            </w:pPr>
            <w:r>
              <w:rPr>
                <w:noProof/>
              </w:rPr>
              <w:t>Ensimmäisen oikeusasteen rikosoikeudelliset menettelyt digitalisoidaan ja PNR-, PDP- ja APP-järjestelmät ovat yhteentoimivia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CBB85" w14:textId="77777777" w:rsidR="00E42B18" w:rsidRDefault="009629C4">
            <w:pPr>
              <w:pStyle w:val="P68B1DB1-Normal11"/>
              <w:jc w:val="center"/>
              <w:rPr>
                <w:rFonts w:cs="Arial"/>
                <w:noProof/>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284E2" w14:textId="77777777" w:rsidR="00E42B18" w:rsidRDefault="009629C4">
            <w:pPr>
              <w:pStyle w:val="P68B1DB1-Normal11"/>
              <w:jc w:val="center"/>
              <w:rPr>
                <w:rFonts w:cs="Arial"/>
                <w:noProof/>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0081FC" w14:textId="77777777" w:rsidR="00E42B18" w:rsidRDefault="009629C4">
            <w:pPr>
              <w:pStyle w:val="P68B1DB1-Normal11"/>
              <w:jc w:val="center"/>
              <w:rPr>
                <w:rFonts w:cs="Arial"/>
                <w:noProof/>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8756A5" w14:textId="77777777" w:rsidR="00E42B18" w:rsidRDefault="009629C4">
            <w:pPr>
              <w:pStyle w:val="P68B1DB1-Normal11"/>
              <w:jc w:val="center"/>
              <w:rPr>
                <w:rFonts w:cs="Arial"/>
                <w:noProof/>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13D754" w14:textId="77777777" w:rsidR="00E42B18" w:rsidRDefault="009629C4">
            <w:pPr>
              <w:pStyle w:val="P68B1DB1-Normal11"/>
              <w:jc w:val="center"/>
              <w:rPr>
                <w:rFonts w:cs="Arial"/>
                <w:noProof/>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386DC1" w14:textId="77777777" w:rsidR="00E42B18" w:rsidRDefault="009629C4">
            <w:pPr>
              <w:pStyle w:val="P68B1DB1-Normal12"/>
              <w:spacing w:after="120"/>
              <w:rPr>
                <w:rFonts w:cs="Arial"/>
                <w:noProof/>
              </w:rPr>
            </w:pPr>
            <w:r>
              <w:rPr>
                <w:noProof/>
              </w:rPr>
              <w:t>Ensimmäisen oikeusasteen rikosoikeudellisten menettelyjen digitalisointi siihen saakka, kunnes päätös on tehty ”portale delle notizie di reato” (PNR), ”portale dei depositi penali” (PDP) ja ”applicativo processo penale” (APP). Alustojen on oltava yhteentoimivia.</w:t>
            </w:r>
          </w:p>
        </w:tc>
      </w:tr>
      <w:tr w:rsidR="00E42B18" w14:paraId="39F9B75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5BC397" w14:textId="77777777" w:rsidR="00E42B18" w:rsidRDefault="009629C4">
            <w:pPr>
              <w:pStyle w:val="P68B1DB1-Normal11"/>
              <w:jc w:val="center"/>
              <w:rPr>
                <w:rFonts w:cs="Arial"/>
                <w:noProof/>
                <w:szCs w:val="20"/>
              </w:rPr>
            </w:pPr>
            <w:r>
              <w:rPr>
                <w:noProof/>
              </w:rPr>
              <w:t>M1C1–39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6B2C28" w14:textId="77777777" w:rsidR="00E42B18" w:rsidRDefault="009629C4">
            <w:pPr>
              <w:pStyle w:val="P68B1DB1-Normal11"/>
              <w:jc w:val="center"/>
              <w:rPr>
                <w:rFonts w:cs="Arial"/>
                <w:noProof/>
                <w:szCs w:val="20"/>
              </w:rPr>
            </w:pPr>
            <w:r>
              <w:rPr>
                <w:noProof/>
              </w:rPr>
              <w:t>Investointi 1.8: Palvelukseenottomenettelyt siviili- ja rikostuomioistuimissa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89CC22"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68EBDF" w14:textId="77777777" w:rsidR="00E42B18" w:rsidRDefault="009629C4">
            <w:pPr>
              <w:pStyle w:val="P68B1DB1-Normal11"/>
              <w:jc w:val="center"/>
              <w:rPr>
                <w:rFonts w:cs="Arial"/>
                <w:noProof/>
                <w:szCs w:val="20"/>
              </w:rPr>
            </w:pPr>
            <w:r>
              <w:rPr>
                <w:noProof/>
              </w:rPr>
              <w:t>Elpymis- ja palautumissuunnitelman täytäntöönpanosta vastaavien siviili- ja rikostuomioistuinten sekä oikeusministeriön alue- ja keskusyksiköiden rekrytointi- tai laajentamismenettelyt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2DBAB6"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608381"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A1A5DC"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64CA04" w14:textId="77777777" w:rsidR="00E42B18" w:rsidRDefault="009629C4">
            <w:pPr>
              <w:pStyle w:val="P68B1DB1-Normal11"/>
              <w:jc w:val="center"/>
              <w:rPr>
                <w:rFonts w:cs="Arial"/>
                <w:noProof/>
                <w:szCs w:val="20"/>
              </w:rPr>
            </w:pPr>
            <w:r>
              <w:rPr>
                <w:noProof/>
              </w:rPr>
              <w:t>10 000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A6FC1B"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226D00"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C86FE" w14:textId="77777777" w:rsidR="00E42B18" w:rsidRDefault="009629C4">
            <w:pPr>
              <w:pStyle w:val="P68B1DB1-Normal11"/>
              <w:spacing w:after="120"/>
              <w:rPr>
                <w:rFonts w:cs="Arial"/>
                <w:noProof/>
                <w:szCs w:val="20"/>
              </w:rPr>
            </w:pPr>
            <w:r>
              <w:rPr>
                <w:noProof/>
              </w:rPr>
              <w:t>Saatettava päätökseen vähintään 10000 henkilön ja teknisen hallintohenkilöstön palvelukseen ottamista tai laajentamista koskevat menettelyt ja otettava heidät palvelukseen.</w:t>
            </w:r>
          </w:p>
          <w:p w14:paraId="2193B0FE" w14:textId="77777777" w:rsidR="00E42B18" w:rsidRDefault="009629C4">
            <w:pPr>
              <w:pStyle w:val="P68B1DB1-Normal12"/>
              <w:spacing w:after="120"/>
              <w:rPr>
                <w:rFonts w:cs="Arial"/>
                <w:noProof/>
              </w:rPr>
            </w:pPr>
            <w:r>
              <w:rPr>
                <w:noProof/>
              </w:rPr>
              <w:t>Ainoastaan 1 päivän tammikuuta 2022 jälkeen päätökseen tulleet rekrytointi- tai laajentamismenettelyt otetaan huomioon tämän tavoitteen saavuttamisessa.</w:t>
            </w:r>
          </w:p>
        </w:tc>
      </w:tr>
      <w:tr w:rsidR="00E42B18" w14:paraId="361DBF5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B9837" w14:textId="77777777" w:rsidR="00E42B18" w:rsidRDefault="009629C4">
            <w:pPr>
              <w:pStyle w:val="P68B1DB1-Normal11"/>
              <w:jc w:val="center"/>
              <w:rPr>
                <w:rFonts w:cs="Arial"/>
                <w:noProof/>
                <w:szCs w:val="20"/>
              </w:rPr>
            </w:pPr>
            <w:r>
              <w:rPr>
                <w:noProof/>
              </w:rPr>
              <w:t>M1C1–40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0B4960" w14:textId="77777777" w:rsidR="00E42B18" w:rsidRDefault="009629C4">
            <w:pPr>
              <w:pStyle w:val="P68B1DB1-Normal11"/>
              <w:jc w:val="center"/>
              <w:rPr>
                <w:rFonts w:cs="Arial"/>
                <w:noProof/>
                <w:szCs w:val="20"/>
              </w:rPr>
            </w:pPr>
            <w:bookmarkStart w:id="2" w:name="_Hlk160473086"/>
            <w:r>
              <w:rPr>
                <w:noProof/>
              </w:rPr>
              <w:t>Investointi 1.8: Hallintotuomioistuinten palvelukseenottomenettelyt</w:t>
            </w:r>
            <w:bookmarkEnd w:id="2"/>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0AC815"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AAB02A" w14:textId="77777777" w:rsidR="00E42B18" w:rsidRDefault="009629C4">
            <w:pPr>
              <w:pStyle w:val="P68B1DB1-Normal11"/>
              <w:jc w:val="center"/>
              <w:rPr>
                <w:rFonts w:cs="Arial"/>
                <w:noProof/>
                <w:szCs w:val="20"/>
              </w:rPr>
            </w:pPr>
            <w:r>
              <w:rPr>
                <w:noProof/>
              </w:rPr>
              <w:t>Palvelukseenotto- tai laajentamismenettelyt hallintotuomioistuimissa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34E943"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E59D6A"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D4AF77"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5C5EC4" w14:textId="77777777" w:rsidR="00E42B18" w:rsidRDefault="009629C4">
            <w:pPr>
              <w:pStyle w:val="P68B1DB1-Normal11"/>
              <w:jc w:val="center"/>
              <w:rPr>
                <w:rFonts w:cs="Arial"/>
                <w:noProof/>
                <w:szCs w:val="20"/>
              </w:rPr>
            </w:pPr>
            <w:r>
              <w:rPr>
                <w:noProof/>
              </w:rPr>
              <w:t>158</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AC6CAF"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D22321"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9A939D" w14:textId="77777777" w:rsidR="00E42B18" w:rsidRDefault="009629C4">
            <w:pPr>
              <w:pStyle w:val="P68B1DB1-Normal12"/>
              <w:spacing w:after="120"/>
              <w:rPr>
                <w:rFonts w:cs="Arial"/>
                <w:noProof/>
              </w:rPr>
            </w:pPr>
            <w:r>
              <w:rPr>
                <w:noProof/>
              </w:rPr>
              <w:t>Saatettava päätökseen vähintään 158 henkilöstön jäsenen palvelukseenotto- tai laajentamismenettelyt oikeudenkäyntitoimistoon ja hallintotuomioistuimiin ja asetettava yksiköt palvelukseen. Ainoastaan 1 päivän tammikuuta 2022 jälkeen päätökseen tulleet rekrytointi- tai laajentamismenettelyt otetaan huomioon tämän tavoitteen saavuttamisessa.</w:t>
            </w:r>
          </w:p>
        </w:tc>
      </w:tr>
      <w:tr w:rsidR="00E42B18" w14:paraId="116D05F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41FCCB" w14:textId="77777777" w:rsidR="00E42B18" w:rsidRDefault="009629C4">
            <w:pPr>
              <w:pStyle w:val="P68B1DB1-Normal11"/>
              <w:jc w:val="center"/>
              <w:rPr>
                <w:rFonts w:cs="Arial"/>
                <w:noProof/>
                <w:szCs w:val="20"/>
              </w:rPr>
            </w:pPr>
            <w:r>
              <w:rPr>
                <w:noProof/>
              </w:rPr>
              <w:t>M1C1–41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8BB437" w14:textId="77777777" w:rsidR="00E42B18" w:rsidRDefault="009629C4">
            <w:pPr>
              <w:pStyle w:val="P68B1DB1-Normal11"/>
              <w:jc w:val="center"/>
              <w:rPr>
                <w:rFonts w:cs="Arial"/>
                <w:noProof/>
                <w:szCs w:val="20"/>
              </w:rPr>
            </w:pPr>
            <w:r>
              <w:rPr>
                <w:noProof/>
              </w:rPr>
              <w:t>Investointi 1.8: Hallintotuomioistuinten palvelukseenottomenettelyt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D6BDB"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FB482" w14:textId="77777777" w:rsidR="00E42B18" w:rsidRDefault="009629C4">
            <w:pPr>
              <w:pStyle w:val="P68B1DB1-Normal11"/>
              <w:jc w:val="center"/>
              <w:rPr>
                <w:rFonts w:cs="Arial"/>
                <w:noProof/>
                <w:szCs w:val="20"/>
              </w:rPr>
            </w:pPr>
            <w:r>
              <w:rPr>
                <w:noProof/>
              </w:rPr>
              <w:t>Hallinnollisten aluetuomioistuinten käsittelyruuhkan vähentäminen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6CB41F"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6DB62"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B1B70"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8738C" w14:textId="77777777" w:rsidR="00E42B18" w:rsidRDefault="009629C4">
            <w:pPr>
              <w:pStyle w:val="P68B1DB1-Normal11"/>
              <w:jc w:val="center"/>
              <w:rPr>
                <w:rFonts w:cs="Arial"/>
                <w:noProof/>
                <w:szCs w:val="20"/>
              </w:rPr>
            </w:pPr>
            <w:r>
              <w:rPr>
                <w:noProof/>
              </w:rPr>
              <w:t>75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B5B639"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1C85EA"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A60B7" w14:textId="77777777" w:rsidR="00E42B18" w:rsidRDefault="009629C4">
            <w:pPr>
              <w:pStyle w:val="P68B1DB1-Normal11"/>
              <w:spacing w:after="120"/>
              <w:rPr>
                <w:rFonts w:cs="Arial"/>
                <w:noProof/>
                <w:szCs w:val="20"/>
              </w:rPr>
            </w:pPr>
            <w:r>
              <w:rPr>
                <w:noProof/>
              </w:rPr>
              <w:t>Vuonna 2019 vireillä olevien asioiden määrä väheni 25 prosenttia (109029) hallinto-oikeuksissa (ensimmäisen oikeusasteen hallintotuomioistuimet).</w:t>
            </w:r>
          </w:p>
        </w:tc>
      </w:tr>
      <w:tr w:rsidR="00E42B18" w14:paraId="4B9EC16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8A2155" w14:textId="77777777" w:rsidR="00E42B18" w:rsidRDefault="009629C4">
            <w:pPr>
              <w:pStyle w:val="P68B1DB1-Normal11"/>
              <w:jc w:val="center"/>
              <w:rPr>
                <w:rFonts w:cs="Arial"/>
                <w:noProof/>
                <w:szCs w:val="20"/>
              </w:rPr>
            </w:pPr>
            <w:r>
              <w:rPr>
                <w:noProof/>
              </w:rPr>
              <w:t>M1C1–42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2D7C7E" w14:textId="77777777" w:rsidR="00E42B18" w:rsidRDefault="009629C4">
            <w:pPr>
              <w:pStyle w:val="P68B1DB1-Normal11"/>
              <w:jc w:val="center"/>
              <w:rPr>
                <w:rFonts w:cs="Arial"/>
                <w:noProof/>
                <w:szCs w:val="20"/>
              </w:rPr>
            </w:pPr>
            <w:r>
              <w:rPr>
                <w:noProof/>
              </w:rPr>
              <w:t>Investointi 1.8: Hallintotuomioistuinten palvelukseenottomenettelyt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0DB39B"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0263D" w14:textId="77777777" w:rsidR="00E42B18" w:rsidRDefault="009629C4">
            <w:pPr>
              <w:pStyle w:val="P68B1DB1-Normal11"/>
              <w:jc w:val="center"/>
              <w:rPr>
                <w:rFonts w:cs="Arial"/>
                <w:noProof/>
                <w:szCs w:val="20"/>
              </w:rPr>
            </w:pPr>
            <w:r>
              <w:rPr>
                <w:noProof/>
              </w:rPr>
              <w:t>Kasaantuneiden asioiden suman vähentäminen korkeimman hallinto-oikeuden osalta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B7BF56"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42388"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3D15B"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C34556" w14:textId="77777777" w:rsidR="00E42B18" w:rsidRDefault="009629C4">
            <w:pPr>
              <w:pStyle w:val="P68B1DB1-Normal11"/>
              <w:jc w:val="center"/>
              <w:rPr>
                <w:rFonts w:cs="Arial"/>
                <w:noProof/>
                <w:szCs w:val="20"/>
              </w:rPr>
            </w:pPr>
            <w:r>
              <w:rPr>
                <w:noProof/>
              </w:rPr>
              <w:t>65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47AD57"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D1A5D1"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D31A24" w14:textId="77777777" w:rsidR="00E42B18" w:rsidRDefault="009629C4">
            <w:pPr>
              <w:pStyle w:val="P68B1DB1-Normal11"/>
              <w:spacing w:after="120"/>
              <w:rPr>
                <w:rFonts w:cs="Arial"/>
                <w:noProof/>
                <w:szCs w:val="20"/>
              </w:rPr>
            </w:pPr>
            <w:r>
              <w:rPr>
                <w:noProof/>
              </w:rPr>
              <w:t>Vähentää korkeimman hallinto-oikeuden (toisessa oikeusasteessa) vireillä olevien asioiden määrää 35 prosenttia vuonna 2019 (24010).</w:t>
            </w:r>
          </w:p>
        </w:tc>
      </w:tr>
      <w:tr w:rsidR="00E42B18" w14:paraId="084D85A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E5C98" w14:textId="77777777" w:rsidR="00E42B18" w:rsidRDefault="009629C4">
            <w:pPr>
              <w:pStyle w:val="P68B1DB1-Normal11"/>
              <w:jc w:val="center"/>
              <w:rPr>
                <w:rFonts w:cs="Arial"/>
                <w:noProof/>
                <w:szCs w:val="20"/>
              </w:rPr>
            </w:pPr>
            <w:r>
              <w:rPr>
                <w:noProof/>
              </w:rPr>
              <w:t>M1C1–43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2F455" w14:textId="77777777" w:rsidR="00E42B18" w:rsidRDefault="009629C4">
            <w:pPr>
              <w:pStyle w:val="P68B1DB1-Normal11"/>
              <w:jc w:val="center"/>
              <w:rPr>
                <w:rFonts w:cs="Arial"/>
                <w:noProof/>
                <w:szCs w:val="20"/>
              </w:rPr>
            </w:pPr>
            <w:r>
              <w:rPr>
                <w:noProof/>
              </w:rPr>
              <w:t>Uudistus 1.4: Siviilioikeuden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434CC"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2A60BD" w14:textId="77777777" w:rsidR="00E42B18" w:rsidRDefault="009629C4">
            <w:pPr>
              <w:pStyle w:val="P68B1DB1-Normal11"/>
              <w:jc w:val="center"/>
              <w:rPr>
                <w:rFonts w:cs="Arial"/>
                <w:noProof/>
                <w:szCs w:val="20"/>
              </w:rPr>
            </w:pPr>
            <w:r>
              <w:rPr>
                <w:noProof/>
              </w:rPr>
              <w:t>Yleisten siviilituomioistuinten (ensimmäisen oikeusasteen) käsittelyruuhkan vähentäminen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CDD20F"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00410C"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CC51A7"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653860" w14:textId="77777777" w:rsidR="00E42B18" w:rsidRDefault="009629C4">
            <w:pPr>
              <w:pStyle w:val="P68B1DB1-Normal11"/>
              <w:jc w:val="center"/>
              <w:rPr>
                <w:rFonts w:cs="Arial"/>
                <w:noProof/>
                <w:szCs w:val="20"/>
              </w:rPr>
            </w:pPr>
            <w:r>
              <w:rPr>
                <w:noProof/>
              </w:rPr>
              <w:t>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30AA5D"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4BCC7"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AF608" w14:textId="70768A4E" w:rsidR="00E42B18" w:rsidRDefault="009629C4">
            <w:pPr>
              <w:pStyle w:val="P68B1DB1-Normal12"/>
              <w:spacing w:after="120"/>
              <w:rPr>
                <w:rFonts w:cs="Arial"/>
                <w:noProof/>
              </w:rPr>
            </w:pPr>
            <w:r>
              <w:rPr>
                <w:noProof/>
              </w:rPr>
              <w:t>Vähennetään 31. tammikuuta 2020 vireillä olevien asioiden määrää (ensimmäisessä oikeusasteessa) 95 prosenttia (333218). Perustasona on niiden asioiden määrä, jotka ovat olleet vireillä yli kolme vuotta yleisessä siviilituomioistuimessa (31. tammikuuta 2020).</w:t>
            </w:r>
          </w:p>
        </w:tc>
      </w:tr>
      <w:tr w:rsidR="00E42B18" w14:paraId="66173C6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0CE4A2" w14:textId="77777777" w:rsidR="00E42B18" w:rsidRDefault="009629C4">
            <w:pPr>
              <w:pStyle w:val="P68B1DB1-Normal11"/>
              <w:jc w:val="center"/>
              <w:rPr>
                <w:rFonts w:cs="Arial"/>
                <w:noProof/>
                <w:szCs w:val="20"/>
              </w:rPr>
            </w:pPr>
            <w:r>
              <w:rPr>
                <w:noProof/>
              </w:rPr>
              <w:t>M1C1–44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BDE97" w14:textId="77777777" w:rsidR="00E42B18" w:rsidRDefault="009629C4">
            <w:pPr>
              <w:pStyle w:val="P68B1DB1-Normal11"/>
              <w:jc w:val="center"/>
              <w:rPr>
                <w:rFonts w:cs="Arial"/>
                <w:noProof/>
                <w:szCs w:val="20"/>
              </w:rPr>
            </w:pPr>
            <w:r>
              <w:rPr>
                <w:noProof/>
              </w:rPr>
              <w:t>Uudistus 1.4: Siviilioikeuden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870221"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95319" w14:textId="77777777" w:rsidR="00E42B18" w:rsidRDefault="009629C4">
            <w:pPr>
              <w:pStyle w:val="P68B1DB1-Normal11"/>
              <w:jc w:val="center"/>
              <w:rPr>
                <w:rFonts w:cs="Arial"/>
                <w:noProof/>
                <w:szCs w:val="20"/>
              </w:rPr>
            </w:pPr>
            <w:r>
              <w:rPr>
                <w:noProof/>
              </w:rPr>
              <w:t>Siviiliasioita käsittelevän muutoksenhakutuomioistuimen (toinen oikeusaste) käsittelyruuhkan vähentäminen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A5DF3D"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21C6D"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B93F6A"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C299BA" w14:textId="77777777" w:rsidR="00E42B18" w:rsidRDefault="009629C4">
            <w:pPr>
              <w:pStyle w:val="P68B1DB1-Normal11"/>
              <w:jc w:val="center"/>
              <w:rPr>
                <w:rFonts w:cs="Arial"/>
                <w:noProof/>
                <w:szCs w:val="20"/>
              </w:rPr>
            </w:pPr>
            <w:r>
              <w:rPr>
                <w:noProof/>
              </w:rPr>
              <w:t>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9054B5"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0E58F4"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76121" w14:textId="0EA4D7A3" w:rsidR="00E42B18" w:rsidRDefault="009629C4">
            <w:pPr>
              <w:pStyle w:val="P68B1DB1-Normal12"/>
              <w:spacing w:after="120"/>
              <w:rPr>
                <w:rFonts w:cs="Arial"/>
                <w:noProof/>
              </w:rPr>
            </w:pPr>
            <w:r>
              <w:rPr>
                <w:noProof/>
              </w:rPr>
              <w:t xml:space="preserve">Vähennetään riita-asioiden muutoksenhakutuomioistuimissa (toinen oikeusaste) vireillä olevien asioiden määrää 95 prosentilla 31. tammikuuta 2020 (97251). </w:t>
            </w:r>
          </w:p>
          <w:p w14:paraId="39D61CAF" w14:textId="77777777" w:rsidR="00E42B18" w:rsidRDefault="009629C4">
            <w:pPr>
              <w:pStyle w:val="P68B1DB1-Normal11"/>
              <w:spacing w:after="120"/>
              <w:rPr>
                <w:rFonts w:cs="Arial"/>
                <w:noProof/>
                <w:szCs w:val="20"/>
              </w:rPr>
            </w:pPr>
            <w:r>
              <w:rPr>
                <w:noProof/>
              </w:rPr>
              <w:t>Perustasona on niiden riita-asioiden määrä, jotka ovat olleet vireillä yli kaksi vuotta siviilituomioistuimissa (</w:t>
            </w:r>
            <w:r>
              <w:rPr>
                <w:noProof/>
                <w:szCs w:val="20"/>
              </w:rPr>
              <w:t>31 päivänä tammikuuta 2020</w:t>
            </w:r>
            <w:r>
              <w:rPr>
                <w:noProof/>
              </w:rPr>
              <w:t>).</w:t>
            </w:r>
          </w:p>
        </w:tc>
      </w:tr>
      <w:tr w:rsidR="00E42B18" w14:paraId="2F1E77A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759C5B" w14:textId="77777777" w:rsidR="00E42B18" w:rsidRDefault="009629C4">
            <w:pPr>
              <w:pStyle w:val="P68B1DB1-Normal11"/>
              <w:jc w:val="center"/>
              <w:rPr>
                <w:rFonts w:cs="Arial"/>
                <w:noProof/>
                <w:szCs w:val="20"/>
              </w:rPr>
            </w:pPr>
            <w:r>
              <w:rPr>
                <w:noProof/>
              </w:rPr>
              <w:t>M1C1–37a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FC0D79" w14:textId="77777777" w:rsidR="00E42B18" w:rsidRDefault="009629C4">
            <w:pPr>
              <w:pStyle w:val="P68B1DB1-Normal11"/>
              <w:jc w:val="center"/>
              <w:rPr>
                <w:rFonts w:cs="Arial"/>
                <w:noProof/>
                <w:szCs w:val="20"/>
              </w:rPr>
            </w:pPr>
            <w:r>
              <w:rPr>
                <w:noProof/>
              </w:rPr>
              <w:t>Uudistus 1.4: Siviilioikeuden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9DC090"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1137A" w14:textId="77777777" w:rsidR="00E42B18" w:rsidRDefault="009629C4">
            <w:pPr>
              <w:pStyle w:val="P68B1DB1-Normal11"/>
              <w:jc w:val="center"/>
              <w:rPr>
                <w:rFonts w:cs="Arial"/>
                <w:noProof/>
                <w:szCs w:val="20"/>
              </w:rPr>
            </w:pPr>
            <w:r>
              <w:rPr>
                <w:noProof/>
              </w:rPr>
              <w:t>Ruuhkan vähentämiseen tähtäävien toimenpiteiden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850DE2" w14:textId="77777777" w:rsidR="00E42B18" w:rsidRDefault="009629C4">
            <w:pPr>
              <w:pStyle w:val="P68B1DB1-Normal12"/>
              <w:jc w:val="center"/>
              <w:rPr>
                <w:rFonts w:cs="Arial"/>
                <w:noProof/>
              </w:rPr>
            </w:pPr>
            <w:r>
              <w:rPr>
                <w:noProof/>
              </w:rPr>
              <w:t>Lakiin sisältyvä säännös, joka koskee primaarioikeuden ja johdetun oikeuden voimaantuloa ruuhkan vähentämiseksi</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2536B" w14:textId="77777777" w:rsidR="00E42B18" w:rsidRDefault="00E42B18">
            <w:pPr>
              <w:jc w:val="center"/>
              <w:rPr>
                <w:rFonts w:ascii="Arial Narrow" w:hAnsi="Arial Narrow" w:cs="Arial"/>
                <w:noProof/>
                <w:color w:val="0061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F7122D" w14:textId="77777777" w:rsidR="00E42B18" w:rsidRDefault="00E42B18">
            <w:pPr>
              <w:jc w:val="center"/>
              <w:rPr>
                <w:rFonts w:ascii="Arial Narrow" w:hAnsi="Arial Narrow" w:cs="Arial"/>
                <w:noProof/>
                <w:color w:val="0061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12E2D" w14:textId="77777777" w:rsidR="00E42B18" w:rsidRDefault="00E42B18">
            <w:pPr>
              <w:jc w:val="center"/>
              <w:rPr>
                <w:rFonts w:ascii="Arial Narrow" w:hAnsi="Arial Narrow" w:cs="Arial"/>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D5486B"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80312"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A86FB" w14:textId="77777777" w:rsidR="00E42B18" w:rsidRDefault="009629C4">
            <w:pPr>
              <w:pStyle w:val="P68B1DB1-Normal11"/>
              <w:rPr>
                <w:rFonts w:cs="Arial"/>
                <w:noProof/>
                <w:szCs w:val="20"/>
              </w:rPr>
            </w:pPr>
            <w:r>
              <w:rPr>
                <w:noProof/>
              </w:rPr>
              <w:t>Primaarioikeuden ja johdetun oikeuden lähteiden voimaantulo, jotta voidaan</w:t>
            </w:r>
          </w:p>
          <w:p w14:paraId="440922ED" w14:textId="77777777" w:rsidR="00E42B18" w:rsidRDefault="009629C4">
            <w:pPr>
              <w:pStyle w:val="P68B1DB1-ListParagraph13"/>
              <w:numPr>
                <w:ilvl w:val="0"/>
                <w:numId w:val="59"/>
              </w:numPr>
              <w:spacing w:before="120" w:after="120" w:line="240" w:lineRule="auto"/>
              <w:ind w:left="304" w:hanging="142"/>
              <w:rPr>
                <w:rFonts w:cs="Arial"/>
                <w:noProof/>
              </w:rPr>
            </w:pPr>
            <w:r>
              <w:rPr>
                <w:noProof/>
              </w:rPr>
              <w:t>Tutkimusvirastojen vahvistaminen, myös kannustimien avulla, kansallisen elpymis- ja palautumissuunnitelman palvelukseenottojärjestelmän perusteella palkattujen henkilöstöyksiköiden houkuttelemiseksi ja pitämiseksi palveluksessa;</w:t>
            </w:r>
          </w:p>
          <w:p w14:paraId="2D8DAC79" w14:textId="77777777" w:rsidR="00E42B18" w:rsidRDefault="009629C4">
            <w:pPr>
              <w:pStyle w:val="P68B1DB1-ListParagraph13"/>
              <w:numPr>
                <w:ilvl w:val="0"/>
                <w:numId w:val="59"/>
              </w:numPr>
              <w:spacing w:before="120" w:after="120" w:line="240" w:lineRule="auto"/>
              <w:ind w:left="304" w:hanging="142"/>
              <w:rPr>
                <w:rFonts w:cs="Arial"/>
                <w:noProof/>
              </w:rPr>
            </w:pPr>
            <w:r>
              <w:rPr>
                <w:noProof/>
              </w:rPr>
              <w:t>Kannustimien luominen, jotta voidaan 1) tukea vähemmän tehokkaita tuomioistuimia siviilioikeuden käsittelyruuhkan vähentämisessä; 2) palkitse tuomioistuinten virastoja, jotka saavuttavat erityiset vuotuiset erityistavoitteet siviilioikeusjärjestelmässä vireillä olevien asioiden määrän vähentämisestä.</w:t>
            </w:r>
          </w:p>
        </w:tc>
      </w:tr>
      <w:tr w:rsidR="00E42B18" w14:paraId="67453C1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E0DF0A" w14:textId="77777777" w:rsidR="00E42B18" w:rsidRDefault="009629C4">
            <w:pPr>
              <w:pStyle w:val="P68B1DB1-Normal11"/>
              <w:jc w:val="center"/>
              <w:rPr>
                <w:rFonts w:cs="Arial"/>
                <w:noProof/>
                <w:szCs w:val="20"/>
              </w:rPr>
            </w:pPr>
            <w:r>
              <w:rPr>
                <w:noProof/>
              </w:rPr>
              <w:t>M1C1–45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96443" w14:textId="77777777" w:rsidR="00E42B18" w:rsidRDefault="009629C4">
            <w:pPr>
              <w:pStyle w:val="P68B1DB1-Normal11"/>
              <w:jc w:val="center"/>
              <w:rPr>
                <w:rFonts w:cs="Arial"/>
                <w:noProof/>
                <w:szCs w:val="20"/>
              </w:rPr>
            </w:pPr>
            <w:r>
              <w:rPr>
                <w:noProof/>
              </w:rPr>
              <w:t>Uudistukset 1.4: Siviilioikeuden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8522E"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58182" w14:textId="77777777" w:rsidR="00E42B18" w:rsidRDefault="009629C4">
            <w:pPr>
              <w:pStyle w:val="P68B1DB1-Normal11"/>
              <w:jc w:val="center"/>
              <w:rPr>
                <w:rFonts w:cs="Arial"/>
                <w:noProof/>
                <w:szCs w:val="20"/>
              </w:rPr>
            </w:pPr>
            <w:r>
              <w:rPr>
                <w:noProof/>
              </w:rPr>
              <w:t>Siviilioikeudellisten menettelyjen keston lyhentäminen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6270E"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F4FADB"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89B4C"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7A701F" w14:textId="77777777" w:rsidR="00E42B18" w:rsidRDefault="009629C4">
            <w:pPr>
              <w:pStyle w:val="P68B1DB1-Normal11"/>
              <w:jc w:val="center"/>
              <w:rPr>
                <w:rFonts w:cs="Arial"/>
                <w:noProof/>
                <w:szCs w:val="20"/>
              </w:rPr>
            </w:pPr>
            <w:r>
              <w:rPr>
                <w:noProof/>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2C5A55"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925F7F"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66534" w14:textId="67FFE847" w:rsidR="00E42B18" w:rsidRDefault="009629C4">
            <w:pPr>
              <w:pStyle w:val="P68B1DB1-Normal12"/>
              <w:spacing w:after="120"/>
              <w:rPr>
                <w:rFonts w:cs="Arial"/>
                <w:noProof/>
              </w:rPr>
            </w:pPr>
            <w:r>
              <w:rPr>
                <w:noProof/>
              </w:rPr>
              <w:t>Lyhentää käsittelyaikaa 40 prosentilla kaikista siviili- ja kauppaoikeudellisissa riita-asioissa verrattuna tilanteeseen 31. joulukuuta 2019 (2512 päivää).</w:t>
            </w:r>
          </w:p>
        </w:tc>
      </w:tr>
      <w:tr w:rsidR="00E42B18" w14:paraId="0AF6A40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FA4D5" w14:textId="77777777" w:rsidR="00E42B18" w:rsidRDefault="009629C4">
            <w:pPr>
              <w:pStyle w:val="P68B1DB1-Normal11"/>
              <w:jc w:val="center"/>
              <w:rPr>
                <w:rFonts w:cs="Arial"/>
                <w:noProof/>
                <w:szCs w:val="20"/>
              </w:rPr>
            </w:pPr>
            <w:r>
              <w:rPr>
                <w:noProof/>
              </w:rPr>
              <w:t>M1C1–46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037517" w14:textId="77777777" w:rsidR="00E42B18" w:rsidRDefault="009629C4">
            <w:pPr>
              <w:pStyle w:val="P68B1DB1-Normal11"/>
              <w:jc w:val="center"/>
              <w:rPr>
                <w:rFonts w:cs="Arial"/>
                <w:noProof/>
                <w:szCs w:val="20"/>
              </w:rPr>
            </w:pPr>
            <w:r>
              <w:rPr>
                <w:noProof/>
              </w:rPr>
              <w:t>Uudistus 1.5: Rikosoikeuden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AFDAE9"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6DD12C" w14:textId="77777777" w:rsidR="00E42B18" w:rsidRDefault="009629C4">
            <w:pPr>
              <w:pStyle w:val="P68B1DB1-Normal11"/>
              <w:jc w:val="center"/>
              <w:rPr>
                <w:rFonts w:cs="Arial"/>
                <w:noProof/>
                <w:szCs w:val="20"/>
              </w:rPr>
            </w:pPr>
            <w:r>
              <w:rPr>
                <w:noProof/>
              </w:rPr>
              <w:t>Rikosoikeudellisten menettelyjen keston lyhentäminen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FE451F"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EA2AF"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3E71F"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E6580B" w14:textId="77777777" w:rsidR="00E42B18" w:rsidRDefault="009629C4">
            <w:pPr>
              <w:pStyle w:val="P68B1DB1-Normal11"/>
              <w:jc w:val="center"/>
              <w:rPr>
                <w:rFonts w:cs="Arial"/>
                <w:noProof/>
                <w:szCs w:val="20"/>
              </w:rPr>
            </w:pPr>
            <w:r>
              <w:rPr>
                <w:noProof/>
              </w:rPr>
              <w:t>75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C7848"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2F5DA3"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81D3E" w14:textId="2267305D" w:rsidR="00E42B18" w:rsidRDefault="009629C4">
            <w:pPr>
              <w:pStyle w:val="P68B1DB1-Normal11"/>
              <w:spacing w:after="120"/>
              <w:rPr>
                <w:rFonts w:cs="Arial"/>
                <w:noProof/>
                <w:szCs w:val="20"/>
              </w:rPr>
            </w:pPr>
            <w:r>
              <w:rPr>
                <w:noProof/>
              </w:rPr>
              <w:t>Lyhentää käsittelyaikaa 25 prosentilla kaikista rikostapauksista verrattuna 31. joulukuuta 2019 (1392</w:t>
            </w:r>
            <w:r>
              <w:rPr>
                <w:noProof/>
                <w:szCs w:val="20"/>
              </w:rPr>
              <w:t xml:space="preserve"> </w:t>
            </w:r>
            <w:r>
              <w:rPr>
                <w:noProof/>
              </w:rPr>
              <w:t>päivää).</w:t>
            </w:r>
          </w:p>
        </w:tc>
      </w:tr>
      <w:tr w:rsidR="00E42B18" w14:paraId="643F6D4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FE4AA0" w14:textId="77777777" w:rsidR="00E42B18" w:rsidRDefault="009629C4">
            <w:pPr>
              <w:pStyle w:val="P68B1DB1-Normal11"/>
              <w:jc w:val="center"/>
              <w:rPr>
                <w:rFonts w:cs="Arial"/>
                <w:noProof/>
                <w:szCs w:val="20"/>
              </w:rPr>
            </w:pPr>
            <w:r>
              <w:rPr>
                <w:noProof/>
              </w:rPr>
              <w:t>M1C1–47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819F8F" w14:textId="77777777" w:rsidR="00E42B18" w:rsidRDefault="009629C4">
            <w:pPr>
              <w:pStyle w:val="P68B1DB1-Normal11"/>
              <w:jc w:val="center"/>
              <w:rPr>
                <w:rFonts w:cs="Arial"/>
                <w:noProof/>
                <w:szCs w:val="20"/>
              </w:rPr>
            </w:pPr>
            <w:r>
              <w:rPr>
                <w:noProof/>
              </w:rPr>
              <w:t>Uudistus 1.4: Siviilioikeuden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D31D12"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F1980" w14:textId="77777777" w:rsidR="00E42B18" w:rsidRDefault="009629C4">
            <w:pPr>
              <w:pStyle w:val="P68B1DB1-Normal11"/>
              <w:jc w:val="center"/>
              <w:rPr>
                <w:rFonts w:cs="Arial"/>
                <w:noProof/>
                <w:szCs w:val="20"/>
              </w:rPr>
            </w:pPr>
            <w:r>
              <w:rPr>
                <w:noProof/>
              </w:rPr>
              <w:t>Yleisten siviilituomioistuinten (ensimmäisen oikeusasteen) käsittelyruuhkan vähentäminen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214CC"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F4B305"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4A9A5"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6D0F30" w14:textId="77777777" w:rsidR="00E42B18" w:rsidRDefault="009629C4">
            <w:pPr>
              <w:pStyle w:val="P68B1DB1-Normal11"/>
              <w:jc w:val="center"/>
              <w:rPr>
                <w:rFonts w:cs="Arial"/>
                <w:noProof/>
                <w:szCs w:val="20"/>
              </w:rPr>
            </w:pPr>
            <w:r>
              <w:rPr>
                <w:noProof/>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EC5BA9"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53737"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A40422" w14:textId="77777777" w:rsidR="00E42B18" w:rsidRDefault="009629C4">
            <w:pPr>
              <w:pStyle w:val="P68B1DB1-Normal11"/>
              <w:spacing w:after="120"/>
              <w:rPr>
                <w:rFonts w:cs="Arial"/>
                <w:noProof/>
                <w:szCs w:val="20"/>
              </w:rPr>
            </w:pPr>
            <w:r>
              <w:rPr>
                <w:noProof/>
              </w:rPr>
              <w:t xml:space="preserve">Vähennetään 90 prosenttia niiden vireillä olevien asioiden määrää, jotka oli aloitettu 1. helmikuuta 2017 ja 31. joulukuuta 2022 välisenä aikana ja jotka olivat edelleen vireillä 31. joulukuuta 2022 alkaen yleisessä siviilituomioistuimessa (ensimmäinen oikeusaste). </w:t>
            </w:r>
          </w:p>
        </w:tc>
      </w:tr>
      <w:tr w:rsidR="00E42B18" w14:paraId="171F21E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514B2F" w14:textId="77777777" w:rsidR="00E42B18" w:rsidRDefault="009629C4">
            <w:pPr>
              <w:pStyle w:val="P68B1DB1-Normal11"/>
              <w:jc w:val="center"/>
              <w:rPr>
                <w:rFonts w:cs="Arial"/>
                <w:noProof/>
                <w:szCs w:val="20"/>
              </w:rPr>
            </w:pPr>
            <w:r>
              <w:rPr>
                <w:noProof/>
              </w:rPr>
              <w:t>M1C1–48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BE41F5" w14:textId="77777777" w:rsidR="00E42B18" w:rsidRDefault="009629C4">
            <w:pPr>
              <w:pStyle w:val="P68B1DB1-Normal11"/>
              <w:jc w:val="center"/>
              <w:rPr>
                <w:rFonts w:cs="Arial"/>
                <w:noProof/>
                <w:szCs w:val="20"/>
              </w:rPr>
            </w:pPr>
            <w:r>
              <w:rPr>
                <w:noProof/>
              </w:rPr>
              <w:t>Uudistus 1.4: Siviilioikeuden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F545D3"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845FD4" w14:textId="77777777" w:rsidR="00E42B18" w:rsidRDefault="009629C4">
            <w:pPr>
              <w:pStyle w:val="P68B1DB1-Normal11"/>
              <w:jc w:val="center"/>
              <w:rPr>
                <w:rFonts w:cs="Arial"/>
                <w:noProof/>
                <w:szCs w:val="20"/>
              </w:rPr>
            </w:pPr>
            <w:r>
              <w:rPr>
                <w:noProof/>
              </w:rPr>
              <w:t>Siviiliasioita käsittelevän muutoksenhakutuomioistuimen (toinen oikeusaste) käsittelyruuhkan vähentäminen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5D4059"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A8B98"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4A2A65"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495F45" w14:textId="77777777" w:rsidR="00E42B18" w:rsidRDefault="009629C4">
            <w:pPr>
              <w:pStyle w:val="P68B1DB1-Normal11"/>
              <w:jc w:val="center"/>
              <w:rPr>
                <w:rFonts w:cs="Arial"/>
                <w:noProof/>
                <w:szCs w:val="20"/>
              </w:rPr>
            </w:pPr>
            <w:r>
              <w:rPr>
                <w:noProof/>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D8E090"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2BCFF3"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57CBD" w14:textId="2985CB0A" w:rsidR="00E42B18" w:rsidRDefault="009629C4">
            <w:pPr>
              <w:pStyle w:val="P68B1DB1-Normal11"/>
              <w:spacing w:after="120"/>
              <w:rPr>
                <w:rFonts w:cs="Arial"/>
                <w:noProof/>
                <w:szCs w:val="20"/>
              </w:rPr>
            </w:pPr>
            <w:r>
              <w:rPr>
                <w:noProof/>
              </w:rPr>
              <w:t xml:space="preserve">Vähennetään 90 prosenttia niiden vireillä olevien asioiden määrää, jotka oli aloitettu 1. helmikuuta 2018 ja 31. joulukuuta 2022 välisenä aikana ja jotka olivat edelleen vireillä 31. joulukuuta 2022 siviilituomioistuimissa (toinen oikeusaste). </w:t>
            </w:r>
          </w:p>
        </w:tc>
      </w:tr>
      <w:tr w:rsidR="00E42B18" w14:paraId="5823CD7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33F3B" w14:textId="77777777" w:rsidR="00E42B18" w:rsidRDefault="009629C4">
            <w:pPr>
              <w:pStyle w:val="P68B1DB1-Normal11"/>
              <w:jc w:val="center"/>
              <w:rPr>
                <w:rFonts w:cs="Arial"/>
                <w:noProof/>
                <w:szCs w:val="20"/>
              </w:rPr>
            </w:pPr>
            <w:r>
              <w:rPr>
                <w:noProof/>
              </w:rPr>
              <w:t>M1C1–49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D7E65" w14:textId="77777777" w:rsidR="00E42B18" w:rsidRDefault="009629C4">
            <w:pPr>
              <w:pStyle w:val="P68B1DB1-Normal11"/>
              <w:jc w:val="center"/>
              <w:rPr>
                <w:rFonts w:cs="Arial"/>
                <w:noProof/>
                <w:szCs w:val="20"/>
              </w:rPr>
            </w:pPr>
            <w:r>
              <w:rPr>
                <w:noProof/>
              </w:rPr>
              <w:t>Investointi 1.8: Hallintotuomioistuinten palvelukseenottomenettelyt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66B8DD"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CEDDC4" w14:textId="77777777" w:rsidR="00E42B18" w:rsidRDefault="009629C4">
            <w:pPr>
              <w:pStyle w:val="P68B1DB1-Normal11"/>
              <w:jc w:val="center"/>
              <w:rPr>
                <w:rFonts w:cs="Arial"/>
                <w:noProof/>
                <w:szCs w:val="20"/>
              </w:rPr>
            </w:pPr>
            <w:r>
              <w:rPr>
                <w:noProof/>
              </w:rPr>
              <w:t>Hallinnollisten aluetuomioistuinten (ensimmäisen oikeusasteen) käsittelyruuhkan vähentäminen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1E55C3"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CCDE19"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715122"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423621" w14:textId="77777777" w:rsidR="00E42B18" w:rsidRDefault="009629C4">
            <w:pPr>
              <w:pStyle w:val="P68B1DB1-Normal11"/>
              <w:jc w:val="center"/>
              <w:rPr>
                <w:rFonts w:cs="Arial"/>
                <w:noProof/>
                <w:szCs w:val="20"/>
              </w:rPr>
            </w:pPr>
            <w:r>
              <w:rPr>
                <w:noProof/>
              </w:rPr>
              <w:t>20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237359"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CCB44"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DEB071" w14:textId="0EAE50A6" w:rsidR="00E42B18" w:rsidRDefault="009629C4">
            <w:pPr>
              <w:pStyle w:val="P68B1DB1-Normal12"/>
              <w:spacing w:after="120"/>
              <w:rPr>
                <w:rFonts w:cs="Arial"/>
                <w:noProof/>
              </w:rPr>
            </w:pPr>
            <w:r>
              <w:rPr>
                <w:noProof/>
              </w:rPr>
              <w:t>Vähennetään 80 prosenttia niiden vireillä olevien asioiden kokonaismäärää, jotka ovat edelleen vireillä 30. kesäkuuta 2023 alkaen kaikissa alueellisissa hallintotuomioistuimissa (ensimmäisen oikeusasteen hallintotuomioistuin) (102144).</w:t>
            </w:r>
          </w:p>
        </w:tc>
      </w:tr>
      <w:tr w:rsidR="00E42B18" w14:paraId="5C7C723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F5115" w14:textId="77777777" w:rsidR="00E42B18" w:rsidRDefault="009629C4">
            <w:pPr>
              <w:pStyle w:val="P68B1DB1-Normal11"/>
              <w:jc w:val="center"/>
              <w:rPr>
                <w:rFonts w:cs="Arial"/>
                <w:noProof/>
                <w:szCs w:val="20"/>
              </w:rPr>
            </w:pPr>
            <w:r>
              <w:rPr>
                <w:noProof/>
              </w:rPr>
              <w:t>M1C1–50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268B90" w14:textId="77777777" w:rsidR="00E42B18" w:rsidRDefault="009629C4">
            <w:pPr>
              <w:pStyle w:val="P68B1DB1-Normal11"/>
              <w:jc w:val="center"/>
              <w:rPr>
                <w:rFonts w:cs="Arial"/>
                <w:noProof/>
                <w:szCs w:val="20"/>
              </w:rPr>
            </w:pPr>
            <w:r>
              <w:rPr>
                <w:noProof/>
              </w:rPr>
              <w:t>Investointi 1.8: Hallintotuomioistuinten palvelukseenottomenettelyt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C4F3BE"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C7B776" w14:textId="77777777" w:rsidR="00E42B18" w:rsidRDefault="009629C4">
            <w:pPr>
              <w:pStyle w:val="P68B1DB1-Normal11"/>
              <w:jc w:val="center"/>
              <w:rPr>
                <w:rFonts w:cs="Arial"/>
                <w:noProof/>
                <w:szCs w:val="20"/>
              </w:rPr>
            </w:pPr>
            <w:r>
              <w:rPr>
                <w:noProof/>
              </w:rPr>
              <w:t>Kasaantuneiden asioiden suman vähentäminen korkeimman hallinto-oikeuden osalta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5F205"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2A6F2"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BB78F2"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1B8606" w14:textId="77777777" w:rsidR="00E42B18" w:rsidRDefault="009629C4">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F1712A"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8F420F"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E5FF35" w14:textId="746D575E" w:rsidR="00E42B18" w:rsidRDefault="009629C4">
            <w:pPr>
              <w:pStyle w:val="P68B1DB1-Normal12"/>
              <w:spacing w:after="120"/>
              <w:rPr>
                <w:rFonts w:cs="Arial"/>
                <w:noProof/>
              </w:rPr>
            </w:pPr>
            <w:r>
              <w:rPr>
                <w:noProof/>
              </w:rPr>
              <w:t>Vähennetään ylimpään hallinto-oikeuteen (toinen oikeusaste) 30. kesäkuuta 2024 mennessä edelleen vireillä olevien asioiden määrää 70 prosenttia (12287).</w:t>
            </w:r>
          </w:p>
        </w:tc>
      </w:tr>
      <w:tr w:rsidR="00E42B18" w14:paraId="04A1B22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367947" w14:textId="77777777" w:rsidR="00E42B18" w:rsidRDefault="009629C4">
            <w:pPr>
              <w:pStyle w:val="P68B1DB1-Normal11"/>
              <w:jc w:val="center"/>
              <w:rPr>
                <w:rFonts w:cs="Arial"/>
                <w:noProof/>
                <w:szCs w:val="20"/>
              </w:rPr>
            </w:pPr>
            <w:r>
              <w:rPr>
                <w:noProof/>
              </w:rPr>
              <w:t>M1C1–51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D775B5" w14:textId="77777777" w:rsidR="00E42B18" w:rsidRDefault="009629C4">
            <w:pPr>
              <w:pStyle w:val="P68B1DB1-Normal11"/>
              <w:jc w:val="center"/>
              <w:rPr>
                <w:rFonts w:cs="Arial"/>
                <w:noProof/>
                <w:szCs w:val="20"/>
              </w:rPr>
            </w:pPr>
            <w:r>
              <w:rPr>
                <w:noProof/>
              </w:rPr>
              <w:t>Uudistus 1.9: Julkishallinnon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CB5D38"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C41D96" w14:textId="77777777" w:rsidR="00E42B18" w:rsidRDefault="009629C4">
            <w:pPr>
              <w:pStyle w:val="P68B1DB1-Normal11"/>
              <w:jc w:val="center"/>
              <w:rPr>
                <w:rFonts w:cs="Arial"/>
                <w:noProof/>
                <w:szCs w:val="20"/>
              </w:rPr>
            </w:pPr>
            <w:r>
              <w:rPr>
                <w:noProof/>
              </w:rPr>
              <w:t>Italian elpymis- ja palautumissuunnitelman hallinnointia koskevan primaarilainsäädännön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FE13A" w14:textId="77777777" w:rsidR="00E42B18" w:rsidRDefault="009629C4">
            <w:pPr>
              <w:pStyle w:val="P68B1DB1-Normal12"/>
              <w:jc w:val="center"/>
              <w:rPr>
                <w:rFonts w:cs="Arial"/>
                <w:noProof/>
              </w:rPr>
            </w:pPr>
            <w:r>
              <w:rPr>
                <w:noProof/>
              </w:rPr>
              <w:t>Lain voimaantuloa koskeva säännös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6050D4"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0997ED"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640CF"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C0F348"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41DFD4"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4BD94" w14:textId="77777777" w:rsidR="00E42B18" w:rsidRDefault="009629C4">
            <w:pPr>
              <w:pStyle w:val="P68B1DB1-Normal11"/>
              <w:spacing w:after="120"/>
              <w:rPr>
                <w:rFonts w:cs="Arial"/>
                <w:noProof/>
                <w:szCs w:val="20"/>
              </w:rPr>
            </w:pPr>
            <w:r>
              <w:rPr>
                <w:noProof/>
              </w:rPr>
              <w:t>Primaarilainsäädäntö koskee vähintään seuraavia:</w:t>
            </w:r>
          </w:p>
          <w:p w14:paraId="5759B074" w14:textId="77777777" w:rsidR="00E42B18" w:rsidRDefault="009629C4">
            <w:pPr>
              <w:pStyle w:val="P68B1DB1-Normal11"/>
              <w:spacing w:after="120"/>
              <w:rPr>
                <w:rFonts w:cs="Arial"/>
                <w:noProof/>
                <w:szCs w:val="20"/>
              </w:rPr>
            </w:pPr>
            <w:r>
              <w:rPr>
                <w:noProof/>
              </w:rPr>
              <w:t>Italian elpymis- ja palautumissuunnitelman hankkeiden koordinointi ja seuranta keskustasolla;</w:t>
            </w:r>
          </w:p>
          <w:p w14:paraId="26D33C3E" w14:textId="77777777" w:rsidR="00E42B18" w:rsidRDefault="009629C4">
            <w:pPr>
              <w:pStyle w:val="P68B1DB1-Normal11"/>
              <w:spacing w:after="120"/>
              <w:rPr>
                <w:rFonts w:cs="Arial"/>
                <w:noProof/>
                <w:szCs w:val="20"/>
              </w:rPr>
            </w:pPr>
            <w:r>
              <w:rPr>
                <w:noProof/>
              </w:rPr>
              <w:t>2) Italian elpymis- ja palautumissuunnitelman koordinointiin, seurantaan ja täytäntöönpanoon osallistuvien eri elinten ja hallintojen toimivallan määrittely ja erottaminen sekä asiaankuuluvien toimeksiantojen hyväksyminen;</w:t>
            </w:r>
          </w:p>
          <w:p w14:paraId="10BAD1CC" w14:textId="77777777" w:rsidR="00E42B18" w:rsidRDefault="009629C4">
            <w:pPr>
              <w:pStyle w:val="P68B1DB1-Normal11"/>
              <w:spacing w:after="120"/>
              <w:rPr>
                <w:rFonts w:cs="Arial"/>
                <w:noProof/>
                <w:szCs w:val="20"/>
              </w:rPr>
            </w:pPr>
            <w:r>
              <w:rPr>
                <w:noProof/>
              </w:rPr>
              <w:t>3) Järjestelmän määrittely täytäntöönpanoon liittyvien ongelmien varhaista havaitsemista varten;</w:t>
            </w:r>
          </w:p>
          <w:p w14:paraId="6A0F2638" w14:textId="77777777" w:rsidR="00E42B18" w:rsidRDefault="009629C4">
            <w:pPr>
              <w:pStyle w:val="P68B1DB1-Normal12"/>
              <w:spacing w:after="120"/>
              <w:rPr>
                <w:rFonts w:cs="Arial"/>
                <w:noProof/>
              </w:rPr>
            </w:pPr>
            <w:r>
              <w:rPr>
                <w:noProof/>
              </w:rPr>
              <w:t>4) täytäntöönpanomekanismin ennakkomäärittely täytäntöönpanoon liittyvien ongelmien ratkaisemiseksi ja viivästysten välttämiseksi erityisesti eri hallintotasojen osalta;</w:t>
            </w:r>
          </w:p>
          <w:p w14:paraId="623A2B80" w14:textId="77777777" w:rsidR="00E42B18" w:rsidRDefault="009629C4">
            <w:pPr>
              <w:pStyle w:val="P68B1DB1-Normal12"/>
              <w:spacing w:after="120"/>
              <w:rPr>
                <w:rFonts w:cs="Arial"/>
                <w:noProof/>
              </w:rPr>
            </w:pPr>
            <w:r>
              <w:rPr>
                <w:noProof/>
              </w:rPr>
              <w:t>5) Italian elpymis- ja palautumissuunnitelman koordinointiin, seurantaan ja täytäntöönpanoon osallistuvan henkilöstön (lukumäärä ja asiantuntemus) määrittely</w:t>
            </w:r>
          </w:p>
          <w:p w14:paraId="6CA3C2AF" w14:textId="77777777" w:rsidR="00E42B18" w:rsidRDefault="009629C4">
            <w:pPr>
              <w:pStyle w:val="P68B1DB1-Normal12"/>
              <w:spacing w:after="120"/>
              <w:rPr>
                <w:rFonts w:cs="Arial"/>
                <w:noProof/>
              </w:rPr>
            </w:pPr>
            <w:r>
              <w:rPr>
                <w:noProof/>
              </w:rPr>
              <w:t>6) Italian elpymis- ja palautumissuunnitelman täytäntöönpanoon osallistuville viranomaisille erityisesti paikallistasolla annettavan teknisen avun määritelmä, jolla varmistetaan hallinnollisten valmiuksien kehittäminen julkishallinnossa;</w:t>
            </w:r>
          </w:p>
          <w:p w14:paraId="6170B712" w14:textId="77777777" w:rsidR="00E42B18" w:rsidRDefault="009629C4">
            <w:pPr>
              <w:pStyle w:val="P68B1DB1-Normal12"/>
              <w:spacing w:after="120"/>
              <w:rPr>
                <w:rFonts w:cs="Arial"/>
                <w:noProof/>
              </w:rPr>
            </w:pPr>
            <w:r>
              <w:rPr>
                <w:noProof/>
              </w:rPr>
              <w:t>7) ”nopeutettujen” menettelyjen rajaaminen Italian elpymis- ja palautumissuunnitelman täytäntöönpanoa ja varojen oikea-aikaista käyttöä varten;</w:t>
            </w:r>
          </w:p>
          <w:p w14:paraId="3C2C255A" w14:textId="77777777" w:rsidR="00E42B18" w:rsidRDefault="009629C4">
            <w:pPr>
              <w:pStyle w:val="P68B1DB1-Normal11"/>
              <w:spacing w:after="120"/>
              <w:rPr>
                <w:rFonts w:cs="Arial"/>
                <w:noProof/>
                <w:szCs w:val="20"/>
              </w:rPr>
            </w:pPr>
            <w:r>
              <w:rPr>
                <w:noProof/>
              </w:rPr>
              <w:t>8) Italian elpymis- ja palautumissuunnitelman tarkastus- ja valvontaorganisaatio ja -menettelyt.</w:t>
            </w:r>
          </w:p>
        </w:tc>
      </w:tr>
      <w:tr w:rsidR="00E42B18" w14:paraId="69A7CE0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D694D" w14:textId="77777777" w:rsidR="00E42B18" w:rsidRDefault="009629C4">
            <w:pPr>
              <w:pStyle w:val="P68B1DB1-Normal11"/>
              <w:jc w:val="center"/>
              <w:rPr>
                <w:rFonts w:cs="Arial"/>
                <w:noProof/>
                <w:szCs w:val="20"/>
              </w:rPr>
            </w:pPr>
            <w:r>
              <w:rPr>
                <w:noProof/>
              </w:rPr>
              <w:t>M1C1–52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D799A" w14:textId="77777777" w:rsidR="00E42B18" w:rsidRDefault="009629C4">
            <w:pPr>
              <w:pStyle w:val="P68B1DB1-Normal11"/>
              <w:jc w:val="center"/>
              <w:rPr>
                <w:rFonts w:cs="Arial"/>
                <w:noProof/>
                <w:szCs w:val="20"/>
              </w:rPr>
            </w:pPr>
            <w:r>
              <w:rPr>
                <w:noProof/>
              </w:rPr>
              <w:t>Uudistus 1.9: Julkishallinnon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2EDF7E"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409062" w14:textId="77777777" w:rsidR="00E42B18" w:rsidRDefault="009629C4">
            <w:pPr>
              <w:pStyle w:val="P68B1DB1-Normal11"/>
              <w:jc w:val="center"/>
              <w:rPr>
                <w:rFonts w:cs="Arial"/>
                <w:noProof/>
                <w:szCs w:val="20"/>
              </w:rPr>
            </w:pPr>
            <w:r>
              <w:rPr>
                <w:noProof/>
              </w:rPr>
              <w:t>Italian elpymis- ja palautumissuunnitelman täytäntöönpanoa koskevien hallinnollisten menettelyjen yksinkertaistamista koskevan primaarilainsäädännön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EFCE80" w14:textId="77777777" w:rsidR="00E42B18" w:rsidRDefault="009629C4">
            <w:pPr>
              <w:pStyle w:val="P68B1DB1-Normal12"/>
              <w:jc w:val="center"/>
              <w:rPr>
                <w:rFonts w:cs="Arial"/>
                <w:noProof/>
              </w:rPr>
            </w:pPr>
            <w:r>
              <w:rPr>
                <w:noProof/>
              </w:rPr>
              <w:t>Lain voimaantuloa koskeva säännös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1E89A"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54F8F"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5A0534"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867714"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931648"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A7DBC" w14:textId="77777777" w:rsidR="00E42B18" w:rsidRDefault="009629C4">
            <w:pPr>
              <w:pStyle w:val="P68B1DB1-Normal11"/>
              <w:spacing w:after="120"/>
              <w:rPr>
                <w:rFonts w:cs="Arial"/>
                <w:noProof/>
                <w:szCs w:val="20"/>
              </w:rPr>
            </w:pPr>
            <w:r>
              <w:rPr>
                <w:noProof/>
              </w:rPr>
              <w:t>Toimenpiteiden on sisällettävä seuraavaa:</w:t>
            </w:r>
          </w:p>
          <w:p w14:paraId="734643E6" w14:textId="77777777" w:rsidR="00E42B18" w:rsidRDefault="009629C4">
            <w:pPr>
              <w:pStyle w:val="P68B1DB1-Normal12"/>
              <w:spacing w:after="120"/>
              <w:rPr>
                <w:rFonts w:cs="Arial"/>
                <w:noProof/>
              </w:rPr>
            </w:pPr>
            <w:r>
              <w:rPr>
                <w:noProof/>
              </w:rPr>
              <w:t>1) sellaisten kriittisten pullonkaulojen poistaminen, jotka liittyvät erityisesti valtiollisten ja alueellisten ympäristövaikutusten arviointiin, uusien jätteenkierrätyslaitosten hyväksymiseen, uusiutuvan energian lupamenettelyihin ja rakennusten energiatehokkuuden (Super Bonus) ja kaupunkialueiden uudistamisen edellyttämiin menettelyihin. Erityistoimilla yksinkertaistetaan menettelyjä ”Conferenza di servizi” -konferenssissa (kahden tai useamman julkishallinnon välinen virallinen sopimus).</w:t>
            </w:r>
          </w:p>
        </w:tc>
      </w:tr>
      <w:tr w:rsidR="00E42B18" w14:paraId="1214E88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97070E" w14:textId="77777777" w:rsidR="00E42B18" w:rsidRDefault="009629C4">
            <w:pPr>
              <w:pStyle w:val="P68B1DB1-Normal11"/>
              <w:jc w:val="center"/>
              <w:rPr>
                <w:rFonts w:cs="Arial"/>
                <w:noProof/>
                <w:szCs w:val="20"/>
              </w:rPr>
            </w:pPr>
            <w:r>
              <w:rPr>
                <w:noProof/>
              </w:rPr>
              <w:t>M1C1–53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6863D" w14:textId="77777777" w:rsidR="00E42B18" w:rsidRDefault="009629C4">
            <w:pPr>
              <w:pStyle w:val="P68B1DB1-Normal12"/>
              <w:jc w:val="center"/>
              <w:rPr>
                <w:rFonts w:cs="Arial"/>
                <w:noProof/>
              </w:rPr>
            </w:pPr>
            <w:r>
              <w:rPr>
                <w:noProof/>
              </w:rPr>
              <w:t>Investointi 1.9: Antaa teknistä apua ja vahvistaa valmiuksien kehittämistä Italian elpymis- ja palautumissuunnitelman täytäntöönpanoa varten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88D06B"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B04EE6" w14:textId="77777777" w:rsidR="00E42B18" w:rsidRDefault="009629C4">
            <w:pPr>
              <w:pStyle w:val="P68B1DB1-Normal12"/>
              <w:jc w:val="center"/>
              <w:rPr>
                <w:rFonts w:cs="Arial"/>
                <w:noProof/>
              </w:rPr>
            </w:pPr>
            <w:r>
              <w:rPr>
                <w:noProof/>
              </w:rPr>
              <w:t>Primaarilainsäädännön voimaantulo teknisen avun antamiseksi ja valmiuksien kehittämisen vahvistamiseksi Italian elpymis- ja palautumissuunnitelman täytäntöönpanoa varten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F7F9B" w14:textId="77777777" w:rsidR="00E42B18" w:rsidRDefault="009629C4">
            <w:pPr>
              <w:pStyle w:val="P68B1DB1-Normal12"/>
              <w:jc w:val="center"/>
              <w:rPr>
                <w:rFonts w:cs="Arial"/>
                <w:noProof/>
              </w:rPr>
            </w:pPr>
            <w:r>
              <w:rPr>
                <w:noProof/>
              </w:rPr>
              <w:t>Lain voimaantuloa koskeva säännös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F4409"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1E83B"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70CE7"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B6E238"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115231"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8ADF18" w14:textId="77777777" w:rsidR="00E42B18" w:rsidRDefault="009629C4">
            <w:pPr>
              <w:pStyle w:val="P68B1DB1-Normal11"/>
              <w:spacing w:after="120"/>
              <w:rPr>
                <w:rFonts w:cs="Arial"/>
                <w:noProof/>
                <w:szCs w:val="20"/>
              </w:rPr>
            </w:pPr>
            <w:r>
              <w:rPr>
                <w:noProof/>
              </w:rPr>
              <w:t>Toimenpiteisiin on sisällyttävä säännös, joka mahdollistaa seuraavien henkilöiden tilapäisen palvelukseen ottamisen:</w:t>
            </w:r>
          </w:p>
          <w:p w14:paraId="379D6586" w14:textId="77777777" w:rsidR="00E42B18" w:rsidRDefault="009629C4">
            <w:pPr>
              <w:pStyle w:val="P68B1DB1-Normal12"/>
              <w:spacing w:after="120"/>
              <w:rPr>
                <w:rFonts w:cs="Arial"/>
                <w:noProof/>
              </w:rPr>
            </w:pPr>
            <w:r>
              <w:rPr>
                <w:noProof/>
              </w:rPr>
              <w:t>kansallisesta talousarviosta maksettavat 2800 teknistä lukua etelän julkishallintojen vahvistamiseksi;</w:t>
            </w:r>
          </w:p>
          <w:p w14:paraId="2C4C9C4C" w14:textId="77777777" w:rsidR="00E42B18" w:rsidRDefault="009629C4">
            <w:pPr>
              <w:pStyle w:val="P68B1DB1-Normal12"/>
              <w:spacing w:after="120"/>
              <w:rPr>
                <w:rFonts w:cs="Arial"/>
                <w:noProof/>
              </w:rPr>
            </w:pPr>
            <w:r>
              <w:rPr>
                <w:noProof/>
              </w:rPr>
              <w:t>1000 asiantuntijan reservi, joka lähetetään kolmeksi vuodeksi tukemaan hallintoja teknistä apua koskevien uusien menettelyjen hallinnoinnissa.</w:t>
            </w:r>
          </w:p>
        </w:tc>
      </w:tr>
      <w:tr w:rsidR="00E42B18" w14:paraId="26EEDEC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A3400" w14:textId="77777777" w:rsidR="00E42B18" w:rsidRDefault="009629C4">
            <w:pPr>
              <w:pStyle w:val="P68B1DB1-Normal11"/>
              <w:jc w:val="center"/>
              <w:rPr>
                <w:rFonts w:cs="Arial"/>
                <w:noProof/>
                <w:szCs w:val="20"/>
              </w:rPr>
            </w:pPr>
            <w:r>
              <w:rPr>
                <w:noProof/>
              </w:rPr>
              <w:t>M1C1–54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19C87B" w14:textId="77777777" w:rsidR="00E42B18" w:rsidRDefault="009629C4">
            <w:pPr>
              <w:pStyle w:val="P68B1DB1-Normal12"/>
              <w:jc w:val="center"/>
              <w:rPr>
                <w:rFonts w:cs="Arial"/>
                <w:noProof/>
              </w:rPr>
            </w:pPr>
            <w:r>
              <w:rPr>
                <w:noProof/>
              </w:rPr>
              <w:t>Investointi 1.9: Antaa teknistä apua ja vahvistaa valmiuksien kehittämistä Italian elpymis- ja palautumissuunnitelman täytäntöönpanoa varten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2CE06A"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AA1228" w14:textId="77777777" w:rsidR="00E42B18" w:rsidRDefault="009629C4">
            <w:pPr>
              <w:pStyle w:val="P68B1DB1-Normal11"/>
              <w:jc w:val="center"/>
              <w:rPr>
                <w:rFonts w:cs="Arial"/>
                <w:noProof/>
                <w:szCs w:val="20"/>
              </w:rPr>
            </w:pPr>
            <w:r>
              <w:rPr>
                <w:noProof/>
              </w:rPr>
              <w:t>Saatettu päätökseen asiantuntijoiden rekrytointi Italian elpymis- ja palautumissuunnitelman täytäntöönpanoa varten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76597"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142A0"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75B5D6"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CDB80B" w14:textId="77777777" w:rsidR="00E42B18" w:rsidRDefault="009629C4">
            <w:pPr>
              <w:pStyle w:val="P68B1DB1-Normal11"/>
              <w:jc w:val="center"/>
              <w:rPr>
                <w:rFonts w:cs="Arial"/>
                <w:noProof/>
                <w:szCs w:val="20"/>
              </w:rPr>
            </w:pPr>
            <w:r>
              <w:rPr>
                <w:noProof/>
              </w:rPr>
              <w:t>1 000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A6E03"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FB5823"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70F189" w14:textId="77777777" w:rsidR="00E42B18" w:rsidRDefault="009629C4">
            <w:pPr>
              <w:pStyle w:val="P68B1DB1-Normal12"/>
              <w:spacing w:after="120"/>
              <w:rPr>
                <w:rFonts w:cs="Arial"/>
                <w:noProof/>
              </w:rPr>
            </w:pPr>
            <w:r>
              <w:rPr>
                <w:noProof/>
              </w:rPr>
              <w:t>Saattaa päätökseen 1000 asiantuntijan palvelukseenottomenettelyt, jotka lähetetään kolmeksi vuodeksi hallintojen tueksi teknistä apua koskevien uusien menettelyjen hallinnoinnissa.</w:t>
            </w:r>
          </w:p>
        </w:tc>
      </w:tr>
      <w:tr w:rsidR="00E42B18" w14:paraId="20EC640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623A2" w14:textId="77777777" w:rsidR="00E42B18" w:rsidRDefault="009629C4">
            <w:pPr>
              <w:pStyle w:val="P68B1DB1-Normal11"/>
              <w:jc w:val="center"/>
              <w:rPr>
                <w:rFonts w:cs="Arial"/>
                <w:noProof/>
                <w:szCs w:val="20"/>
              </w:rPr>
            </w:pPr>
            <w:r>
              <w:rPr>
                <w:noProof/>
              </w:rPr>
              <w:t>M1C1–55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F1CA6D" w14:textId="77777777" w:rsidR="00E42B18" w:rsidRDefault="009629C4">
            <w:pPr>
              <w:pStyle w:val="P68B1DB1-Normal11"/>
              <w:jc w:val="center"/>
              <w:rPr>
                <w:rFonts w:cs="Arial"/>
                <w:noProof/>
                <w:szCs w:val="20"/>
              </w:rPr>
            </w:pPr>
            <w:r>
              <w:rPr>
                <w:noProof/>
              </w:rPr>
              <w:t>Uudistus 1.9: Julkishallinnon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EFA9DE"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5D46" w14:textId="77777777" w:rsidR="00E42B18" w:rsidRDefault="009629C4">
            <w:pPr>
              <w:pStyle w:val="P68B1DB1-Normal12"/>
              <w:jc w:val="center"/>
              <w:rPr>
                <w:rFonts w:cs="Arial"/>
                <w:noProof/>
              </w:rPr>
            </w:pPr>
            <w:r>
              <w:rPr>
                <w:noProof/>
              </w:rPr>
              <w:t>Italian elpymis- ja palautumissuunnitelmaan sovellettavan menetelmän laajentaminen kansalliseen talousarvioon investointien käyttöasteen lisäämiseksi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B2609" w14:textId="77777777" w:rsidR="00E42B18" w:rsidRDefault="009629C4">
            <w:pPr>
              <w:pStyle w:val="P68B1DB1-Normal12"/>
              <w:jc w:val="center"/>
              <w:rPr>
                <w:rFonts w:cs="Arial"/>
                <w:noProof/>
              </w:rPr>
            </w:pPr>
            <w:r>
              <w:rPr>
                <w:noProof/>
              </w:rPr>
              <w:t>Lain säännös, joka koskee menetelmän laajentamisen voimaantuloa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F1EC7"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8CADB5"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0C46E"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AC9B56"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FF0E3"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58E23F" w14:textId="77777777" w:rsidR="00E42B18" w:rsidRDefault="009629C4">
            <w:pPr>
              <w:pStyle w:val="P68B1DB1-Normal12"/>
              <w:spacing w:after="120"/>
              <w:rPr>
                <w:rFonts w:cs="Arial"/>
                <w:noProof/>
              </w:rPr>
            </w:pPr>
            <w:r>
              <w:rPr>
                <w:noProof/>
              </w:rPr>
              <w:t>Otetaan käyttöön elpymis- ja palautumistukivälineen kaltainen yksinkertaistettu välitavoitteiden ja tavoitteiden järjestelmä täydentävän investointirahaston hankkeiden suunnittelua, toteutusta ja rahoitusta varten (30,5 miljardia euroa).</w:t>
            </w:r>
          </w:p>
        </w:tc>
      </w:tr>
      <w:tr w:rsidR="00E42B18" w14:paraId="2FE6088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C731DF" w14:textId="77777777" w:rsidR="00E42B18" w:rsidRDefault="009629C4">
            <w:pPr>
              <w:pStyle w:val="P68B1DB1-Normal11"/>
              <w:jc w:val="center"/>
              <w:rPr>
                <w:rFonts w:cs="Arial"/>
                <w:noProof/>
                <w:szCs w:val="20"/>
              </w:rPr>
            </w:pPr>
            <w:r>
              <w:rPr>
                <w:noProof/>
              </w:rPr>
              <w:t>M1C1–56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D1081D" w14:textId="77777777" w:rsidR="00E42B18" w:rsidRDefault="009629C4">
            <w:pPr>
              <w:pStyle w:val="P68B1DB1-Normal11"/>
              <w:jc w:val="center"/>
              <w:rPr>
                <w:rFonts w:cs="Arial"/>
                <w:noProof/>
                <w:szCs w:val="20"/>
              </w:rPr>
            </w:pPr>
            <w:r>
              <w:rPr>
                <w:noProof/>
              </w:rPr>
              <w:t>Uudistus 1.9: Julkishallinnon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30FAAE"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0DBD41" w14:textId="77777777" w:rsidR="00E42B18" w:rsidRDefault="009629C4">
            <w:pPr>
              <w:pStyle w:val="P68B1DB1-Normal11"/>
              <w:jc w:val="center"/>
              <w:rPr>
                <w:rFonts w:cs="Arial"/>
                <w:noProof/>
                <w:szCs w:val="20"/>
              </w:rPr>
            </w:pPr>
            <w:r>
              <w:rPr>
                <w:noProof/>
              </w:rPr>
              <w:t>Julkisen sektorin työllisyyden uudistamista koskevan mahdollistavan lainsäädännön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222A80" w14:textId="77777777" w:rsidR="00E42B18" w:rsidRDefault="009629C4">
            <w:pPr>
              <w:pStyle w:val="P68B1DB1-Normal12"/>
              <w:jc w:val="center"/>
              <w:rPr>
                <w:rFonts w:cs="Arial"/>
                <w:noProof/>
              </w:rPr>
            </w:pPr>
            <w:r>
              <w:rPr>
                <w:noProof/>
              </w:rPr>
              <w:t>Lain voimaantuloa koskeva säännös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C539B4"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399FE"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775275"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A31A49"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343CD0"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DA651" w14:textId="77777777" w:rsidR="00E42B18" w:rsidRDefault="009629C4">
            <w:pPr>
              <w:pStyle w:val="P68B1DB1-Normal11"/>
              <w:spacing w:after="120"/>
              <w:rPr>
                <w:rFonts w:cs="Arial"/>
                <w:noProof/>
                <w:szCs w:val="20"/>
              </w:rPr>
            </w:pPr>
            <w:r>
              <w:rPr>
                <w:noProof/>
              </w:rPr>
              <w:t>Mahdollistavaan lainsäädäntöön on sisällyttävä seuraavat toimenpiteet:</w:t>
            </w:r>
          </w:p>
          <w:p w14:paraId="64B25873" w14:textId="77777777" w:rsidR="00E42B18" w:rsidRDefault="009629C4">
            <w:pPr>
              <w:pStyle w:val="P68B1DB1-Normal11"/>
              <w:spacing w:after="120"/>
              <w:rPr>
                <w:rFonts w:cs="Arial"/>
                <w:noProof/>
                <w:szCs w:val="20"/>
              </w:rPr>
            </w:pPr>
            <w:r>
              <w:rPr>
                <w:noProof/>
              </w:rPr>
              <w:t>— määrittelemään erityisesti julkisen sektorin toimenkuvat tarvittavien taitojen ja taitojen houkuttelemiseksi</w:t>
            </w:r>
          </w:p>
          <w:p w14:paraId="28F82A9E" w14:textId="77777777" w:rsidR="00E42B18" w:rsidRDefault="009629C4">
            <w:pPr>
              <w:pStyle w:val="P68B1DB1-Normal12"/>
              <w:spacing w:after="120"/>
              <w:rPr>
                <w:rFonts w:cs="Arial"/>
                <w:noProof/>
              </w:rPr>
            </w:pPr>
            <w:r>
              <w:rPr>
                <w:noProof/>
              </w:rPr>
              <w:t>— yhden ainoan rekrytointifoorumin perustaminen julkisten palvelukseenottomenettelyjen keskittämiseksi kaikille julkishallinnon keskushallinnoille ja sitoutuminen laajentamaan alustan käyttöä myös paikallishallintoihin;</w:t>
            </w:r>
          </w:p>
          <w:p w14:paraId="5387A605" w14:textId="77777777" w:rsidR="00E42B18" w:rsidRDefault="009629C4">
            <w:pPr>
              <w:pStyle w:val="P68B1DB1-Normal12"/>
              <w:spacing w:after="120"/>
              <w:rPr>
                <w:rFonts w:cs="Arial"/>
                <w:noProof/>
              </w:rPr>
            </w:pPr>
            <w:r>
              <w:rPr>
                <w:noProof/>
              </w:rPr>
              <w:t>— palvelukseenottoprosessin uudistaminen, jonka tavoitteena on siirrytään puhtaasti tietämykseen perustuvasta järjestelmästä järjestelmään, joka perustuu ensisijaisesti osaamiseen ja asianmukaisiin kykyihin; II) arvioidaan virkatehtävissä toimiviksi virkamiehiksi vaadittavaa pätevyyttä; III) erotellaan rekrytointiprosessit alkutason palvelukseenoton, jonka on perustuttava pelkästään osaamiseen, ja erikoisprofiilien rekrytoinnin välillä, jossa olisi yhdistettävä pätevyys ja asiaankuuluva työkokemus ja joka johtaisi uralle pääsyyn korkeammalle tasolle. Julkishallinnosta vastaava ministeriö huolehtii uuden prosessin johdonmukaisesta täytäntöönpanosta kaikissa hallintoelimissä.</w:t>
            </w:r>
          </w:p>
          <w:p w14:paraId="15F8F79E" w14:textId="77777777" w:rsidR="00E42B18" w:rsidRDefault="009629C4">
            <w:pPr>
              <w:pStyle w:val="P68B1DB1-Normal12"/>
              <w:spacing w:after="120"/>
              <w:rPr>
                <w:rFonts w:cs="Arial"/>
                <w:noProof/>
              </w:rPr>
            </w:pPr>
            <w:r>
              <w:rPr>
                <w:noProof/>
              </w:rPr>
              <w:t>— ylempien virkamiesten uudistaminen koko julkishallinnon nimitysmenettelyjen yhdenmukaistamiseksi siten, että määritellään toimenkuvat ja arvioidaan niiden tuloksellisuutta;</w:t>
            </w:r>
          </w:p>
          <w:p w14:paraId="0B402E29" w14:textId="77777777" w:rsidR="00E42B18" w:rsidRDefault="009629C4">
            <w:pPr>
              <w:pStyle w:val="P68B1DB1-Normal11"/>
              <w:spacing w:after="120"/>
              <w:rPr>
                <w:rFonts w:cs="Arial"/>
                <w:noProof/>
                <w:szCs w:val="20"/>
              </w:rPr>
            </w:pPr>
            <w:r>
              <w:rPr>
                <w:noProof/>
              </w:rPr>
              <w:t>— vahvistetaan työntekijöiden elinikäisen oppimisen ja koulutusmahdollisuuksien sekä osallistumiskannustimien välistä yhteyttä esimerkiksi suunnittelemalla palkitsemismekanismeja tai erityisiä urapolkuja kiinnittäen erityistä huomiota vihreään ja digitaaliseen siirtymään;</w:t>
            </w:r>
          </w:p>
          <w:p w14:paraId="3837927E" w14:textId="77777777" w:rsidR="00E42B18" w:rsidRDefault="009629C4">
            <w:pPr>
              <w:pStyle w:val="P68B1DB1-Normal11"/>
              <w:spacing w:after="120"/>
              <w:rPr>
                <w:rFonts w:cs="Arial"/>
                <w:noProof/>
                <w:szCs w:val="20"/>
              </w:rPr>
            </w:pPr>
            <w:r>
              <w:rPr>
                <w:noProof/>
              </w:rPr>
              <w:t>— määrittelemään tai päivittämään julkishallinnon eettiset periaatteet selkeiden sääntöjen, käytännesääntöjen ja aihetta koskevien koulutusmoduulien avulla;</w:t>
            </w:r>
          </w:p>
          <w:p w14:paraId="46FBBD12" w14:textId="77777777" w:rsidR="00E42B18" w:rsidRDefault="009629C4">
            <w:pPr>
              <w:pStyle w:val="P68B1DB1-Normal11"/>
              <w:spacing w:after="120"/>
              <w:rPr>
                <w:rFonts w:cs="Arial"/>
                <w:noProof/>
                <w:szCs w:val="20"/>
              </w:rPr>
            </w:pPr>
            <w:r>
              <w:rPr>
                <w:noProof/>
              </w:rPr>
              <w:t>— vahvistetaan sitoutumista sukupuolten tasapuoliseen edustukseen;</w:t>
            </w:r>
          </w:p>
          <w:p w14:paraId="42913873" w14:textId="77777777" w:rsidR="00E42B18" w:rsidRDefault="009629C4">
            <w:pPr>
              <w:pStyle w:val="P68B1DB1-Normal12"/>
              <w:spacing w:after="120"/>
              <w:rPr>
                <w:rFonts w:cs="Arial"/>
                <w:noProof/>
              </w:rPr>
            </w:pPr>
            <w:r>
              <w:rPr>
                <w:noProof/>
              </w:rPr>
              <w:t>— uudistetaan vertikaalista liikkuvuutta koskevaa sääntelykehystä uudistamalla urapolkuja keskijohdon (quadri) luomiseksi ja saamiseksi sekä johtotehtäviin pääsemiseksi (dirigenti di prima e seconda fascia) hallinnossa. Tähän sisältyy suorituskyvyn arviointijärjestelmän uudistaminen sekä urakehityksen ja suorituskyvyn arvioinnin välisen yhteyden vahvistaminen;</w:t>
            </w:r>
          </w:p>
          <w:p w14:paraId="582F769B" w14:textId="77777777" w:rsidR="00E42B18" w:rsidRDefault="009629C4">
            <w:pPr>
              <w:pStyle w:val="P68B1DB1-Normal12"/>
              <w:rPr>
                <w:rFonts w:cs="Arial"/>
                <w:noProof/>
              </w:rPr>
            </w:pPr>
            <w:r>
              <w:rPr>
                <w:noProof/>
              </w:rPr>
              <w:t>— uudistetaan horisontaalista liikkuvuutta koskevaa sääntelykehystä tehokkaiden työmarkkinoiden luomiseksi julkishallinnossa, mukaan lukien a) avoimen yhden ilmoitusjärjestelmän luominen kaikkia keskus- ja paikallishallinnon avoimia työpaikkoja varten, b) mahdollisuus hakea mihin tahansa paikkaan missä tahansa, c) liikkuvuusluvan poistaminen alkuperähallinnolta ja d) merkittävien rajoitusten käyttöönotto sellaisten vaihtoehtoisten liikkumistapojen käytölle, jotka eivät johda siirtoihin (eli ”comandi” ja ”etäyhteys”), jotta niistä tulisi poikkeuksellisia ja tiukasti rajattuja.</w:t>
            </w:r>
          </w:p>
        </w:tc>
      </w:tr>
      <w:tr w:rsidR="00E42B18" w14:paraId="2B55368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2E6CF" w14:textId="77777777" w:rsidR="00E42B18" w:rsidRDefault="009629C4">
            <w:pPr>
              <w:pStyle w:val="P68B1DB1-Normal11"/>
              <w:jc w:val="center"/>
              <w:rPr>
                <w:rFonts w:cs="Arial"/>
                <w:noProof/>
                <w:szCs w:val="20"/>
              </w:rPr>
            </w:pPr>
            <w:r>
              <w:rPr>
                <w:noProof/>
              </w:rPr>
              <w:t>M1C1–57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BD6804" w14:textId="77777777" w:rsidR="00E42B18" w:rsidRDefault="009629C4">
            <w:pPr>
              <w:pStyle w:val="P68B1DB1-Normal11"/>
              <w:jc w:val="center"/>
              <w:rPr>
                <w:rFonts w:cs="Arial"/>
                <w:noProof/>
                <w:szCs w:val="20"/>
              </w:rPr>
            </w:pPr>
            <w:r>
              <w:rPr>
                <w:noProof/>
              </w:rPr>
              <w:t>Uudistus 1.9: Julkishallinnon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4C52F9"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17D50D" w14:textId="77777777" w:rsidR="00E42B18" w:rsidRDefault="009629C4">
            <w:pPr>
              <w:pStyle w:val="P68B1DB1-Normal11"/>
              <w:jc w:val="center"/>
              <w:rPr>
                <w:rFonts w:cs="Arial"/>
                <w:noProof/>
                <w:szCs w:val="20"/>
              </w:rPr>
            </w:pPr>
            <w:r>
              <w:rPr>
                <w:noProof/>
              </w:rPr>
              <w:t>Elpymis- ja palautumistukivälineen täytäntöönpanoon tähtäävää yksinkertaistamisuudistusta koskevien hallinnollisten menettelyjen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552F35" w14:textId="77777777" w:rsidR="00E42B18" w:rsidRDefault="009629C4">
            <w:pPr>
              <w:pStyle w:val="P68B1DB1-Normal12"/>
              <w:jc w:val="center"/>
              <w:rPr>
                <w:rFonts w:cs="Arial"/>
                <w:noProof/>
              </w:rPr>
            </w:pPr>
            <w:r>
              <w:rPr>
                <w:noProof/>
              </w:rPr>
              <w:t>Johdetun oikeuden voimaantuloa koskeva lain säännös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00FC25"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D5BC89"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AE83DF"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05F360"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56A343"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1FEB5" w14:textId="77777777" w:rsidR="00E42B18" w:rsidRDefault="009629C4">
            <w:pPr>
              <w:pStyle w:val="P68B1DB1-Normal12"/>
              <w:spacing w:after="120"/>
              <w:rPr>
                <w:rFonts w:cs="Arial"/>
                <w:noProof/>
              </w:rPr>
            </w:pPr>
            <w:r>
              <w:rPr>
                <w:noProof/>
              </w:rPr>
              <w:t>Kaikkien asiaan liittyvien delegoitujen säädösten, ministerien asetusten, johdetun oikeuden ja kaikkien muiden yksinkertaistamisen tehokkaan täytäntöönpanon edellyttämien asetusten voimaantulo, mukaan lukien sopimukset alueiden kanssa silloin, kun niillä on yksinomainen ja rinnakkainen alueellinen toimivalta.</w:t>
            </w:r>
          </w:p>
        </w:tc>
      </w:tr>
      <w:tr w:rsidR="00E42B18" w14:paraId="7907740C"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19B9E7" w14:textId="77777777" w:rsidR="00E42B18" w:rsidRDefault="009629C4">
            <w:pPr>
              <w:pStyle w:val="P68B1DB1-Normal11"/>
              <w:jc w:val="center"/>
              <w:rPr>
                <w:rFonts w:cs="Arial"/>
                <w:noProof/>
                <w:szCs w:val="20"/>
              </w:rPr>
            </w:pPr>
            <w:r>
              <w:rPr>
                <w:noProof/>
              </w:rPr>
              <w:t>M1C1–58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DD5AC" w14:textId="77777777" w:rsidR="00E42B18" w:rsidRDefault="009629C4">
            <w:pPr>
              <w:pStyle w:val="P68B1DB1-Normal11"/>
              <w:jc w:val="center"/>
              <w:rPr>
                <w:rFonts w:cs="Arial"/>
                <w:noProof/>
                <w:szCs w:val="20"/>
              </w:rPr>
            </w:pPr>
            <w:r>
              <w:rPr>
                <w:noProof/>
              </w:rPr>
              <w:t>Uudistus 1.9: Julkishallinnon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AD99C"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7B235F" w14:textId="77777777" w:rsidR="00E42B18" w:rsidRDefault="009629C4">
            <w:pPr>
              <w:pStyle w:val="P68B1DB1-Normal11"/>
              <w:jc w:val="center"/>
              <w:rPr>
                <w:rFonts w:cs="Arial"/>
                <w:noProof/>
                <w:szCs w:val="20"/>
              </w:rPr>
            </w:pPr>
            <w:r>
              <w:rPr>
                <w:noProof/>
              </w:rPr>
              <w:t>Julkisen sektorin työllisyyden uudistamista koskevien säädösten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08A3FD" w14:textId="77777777" w:rsidR="00E42B18" w:rsidRDefault="009629C4">
            <w:pPr>
              <w:pStyle w:val="P68B1DB1-Normal12"/>
              <w:jc w:val="center"/>
              <w:rPr>
                <w:rFonts w:cs="Arial"/>
                <w:noProof/>
              </w:rPr>
            </w:pPr>
            <w:r>
              <w:rPr>
                <w:noProof/>
              </w:rPr>
              <w:t>Säännös, joka koskee julkisen sektorin työllisyyden uudistamista koskevien säädösten voimaantuloa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880EC1"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AAE70A"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6E5E2C"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1F9B46"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948561"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CD8F83" w14:textId="77777777" w:rsidR="00E42B18" w:rsidRDefault="009629C4">
            <w:pPr>
              <w:pStyle w:val="P68B1DB1-Normal12"/>
              <w:spacing w:after="120"/>
              <w:rPr>
                <w:rFonts w:cs="Arial"/>
                <w:noProof/>
              </w:rPr>
            </w:pPr>
            <w:r>
              <w:rPr>
                <w:noProof/>
              </w:rPr>
              <w:t>Kaikki asiaan liittyvät delegoidut säädökset, ministeriön asetukset, sekundaarilainsäädäntö ja kaikki muut uudistuksen tehokkaan täytäntöönpanon edellyttämät asetukset tulevat voimaan.</w:t>
            </w:r>
          </w:p>
        </w:tc>
      </w:tr>
      <w:tr w:rsidR="00E42B18" w14:paraId="0DC6F82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FBD9EF" w14:textId="77777777" w:rsidR="00E42B18" w:rsidRDefault="009629C4">
            <w:pPr>
              <w:pStyle w:val="P68B1DB1-Normal11"/>
              <w:jc w:val="center"/>
              <w:rPr>
                <w:rFonts w:cs="Arial"/>
                <w:noProof/>
                <w:szCs w:val="20"/>
              </w:rPr>
            </w:pPr>
            <w:r>
              <w:rPr>
                <w:noProof/>
              </w:rPr>
              <w:t>M1C1–59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E47D1E" w14:textId="77777777" w:rsidR="00E42B18" w:rsidRDefault="009629C4">
            <w:pPr>
              <w:pStyle w:val="P68B1DB1-Normal11"/>
              <w:jc w:val="center"/>
              <w:rPr>
                <w:rFonts w:cs="Arial"/>
                <w:noProof/>
                <w:szCs w:val="20"/>
              </w:rPr>
            </w:pPr>
            <w:r>
              <w:rPr>
                <w:noProof/>
              </w:rPr>
              <w:t>Uudistus 1.9: Julkishallinnon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0B2D4"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F93B12" w14:textId="77777777" w:rsidR="00E42B18" w:rsidRDefault="009629C4">
            <w:pPr>
              <w:pStyle w:val="P68B1DB1-Normal11"/>
              <w:jc w:val="center"/>
              <w:rPr>
                <w:rFonts w:cs="Arial"/>
                <w:noProof/>
                <w:szCs w:val="20"/>
              </w:rPr>
            </w:pPr>
            <w:r>
              <w:rPr>
                <w:noProof/>
              </w:rPr>
              <w:t>Julkishallinnon strategisen henkilöstöhallinnon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5BE308" w14:textId="77777777" w:rsidR="00E42B18" w:rsidRDefault="009629C4">
            <w:pPr>
              <w:pStyle w:val="P68B1DB1-Normal12"/>
              <w:jc w:val="center"/>
              <w:rPr>
                <w:rFonts w:cs="Arial"/>
                <w:noProof/>
              </w:rPr>
            </w:pPr>
            <w:r>
              <w:rPr>
                <w:noProof/>
              </w:rPr>
              <w:t>Säännös, joka koskee julkishallinnon strategisen henkilöstöhallinnon käyttöönottoa koskevan lainsäädännön voimaantuloa</w:t>
            </w:r>
          </w:p>
          <w:p w14:paraId="242153F1" w14:textId="77777777" w:rsidR="00E42B18" w:rsidRDefault="00E42B18">
            <w:pPr>
              <w:jc w:val="center"/>
              <w:rPr>
                <w:rFonts w:ascii="Arial Narrow" w:hAnsi="Arial Narrow" w:cs="Arial"/>
                <w:noProof/>
                <w:color w:val="0061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E1A92"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E1A99"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FF24F8"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39F936"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1A7286"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8335A" w14:textId="77777777" w:rsidR="00E42B18" w:rsidRDefault="009629C4">
            <w:pPr>
              <w:pStyle w:val="P68B1DB1-Normal12"/>
              <w:spacing w:after="120"/>
              <w:rPr>
                <w:rFonts w:cs="Arial"/>
                <w:noProof/>
              </w:rPr>
            </w:pPr>
            <w:r>
              <w:rPr>
                <w:noProof/>
              </w:rPr>
              <w:t>Julkishallinnon strategisen henkilöstöhallinnon käyttöönottoa koskevaan lainsäädäntöön ja delegoituihin säädöksiin on sisällyttävä seuraavat: henkilöstöhallinnon strategiasuunnitelmien määrittely yhdennetyn toiminta- ja organisaatiosuunnitelman (PIAO) yhteydessä kaikkien keskus- ja aluehallintojen rekrytointia, urakehitystä ja koulutusta varten, jota tuetaan osaamista ja profiileja sisältävällä integroidulla tietokannalla; perustetaan keskitetty täytäntöönpanoyksikkö, joka koordinoi ja tukee henkilöstöresurssien suunnittelujärjestelmää. Toisessa vaiheessa henkilöstöhallintoa koskevat strategiasuunnitelmat ulotetaan suuriin kuntiin, kun taas pienet ja keskisuuret kunnat ovat erityisten valmiuksien kehittämiseen tehtävien investointien kohteena.</w:t>
            </w:r>
          </w:p>
        </w:tc>
      </w:tr>
      <w:tr w:rsidR="00E42B18" w14:paraId="161961A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A1488" w14:textId="77777777" w:rsidR="00E42B18" w:rsidRDefault="009629C4">
            <w:pPr>
              <w:pStyle w:val="P68B1DB1-Normal11"/>
              <w:jc w:val="center"/>
              <w:rPr>
                <w:rFonts w:cs="Arial"/>
                <w:noProof/>
                <w:szCs w:val="20"/>
              </w:rPr>
            </w:pPr>
            <w:r>
              <w:rPr>
                <w:noProof/>
              </w:rPr>
              <w:t>M1C1–59BIS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6279A0" w14:textId="77777777" w:rsidR="00E42B18" w:rsidRDefault="009629C4">
            <w:pPr>
              <w:pStyle w:val="P68B1DB1-Normal11"/>
              <w:jc w:val="center"/>
              <w:rPr>
                <w:rFonts w:cs="Arial"/>
                <w:noProof/>
                <w:szCs w:val="20"/>
              </w:rPr>
            </w:pPr>
            <w:r>
              <w:rPr>
                <w:noProof/>
              </w:rPr>
              <w:t>Uudistus 1.9: Julkishallinnon uudistaminen</w:t>
            </w:r>
          </w:p>
          <w:p w14:paraId="0EE0CF43" w14:textId="77777777" w:rsidR="00E42B18" w:rsidRDefault="00E42B18">
            <w:pPr>
              <w:jc w:val="center"/>
              <w:rPr>
                <w:rFonts w:ascii="Arial Narrow" w:hAnsi="Arial Narrow" w:cs="Arial"/>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7BF28A"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14709F" w14:textId="77777777" w:rsidR="00E42B18" w:rsidRDefault="009629C4">
            <w:pPr>
              <w:pStyle w:val="P68B1DB1-Normal11"/>
              <w:jc w:val="center"/>
              <w:rPr>
                <w:rFonts w:cs="Arial"/>
                <w:noProof/>
                <w:szCs w:val="20"/>
              </w:rPr>
            </w:pPr>
            <w:r>
              <w:rPr>
                <w:noProof/>
              </w:rPr>
              <w:t>Strategisen henkilöstöhallinnon täytäntöönpano julkishallinnossa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17176" w14:textId="77777777" w:rsidR="00E42B18" w:rsidRDefault="009629C4">
            <w:pPr>
              <w:pStyle w:val="P68B1DB1-Normal11"/>
              <w:jc w:val="center"/>
              <w:rPr>
                <w:rFonts w:cs="Arial"/>
                <w:noProof/>
                <w:szCs w:val="20"/>
              </w:rPr>
            </w:pPr>
            <w:r>
              <w:rPr>
                <w:noProof/>
              </w:rPr>
              <w:t>Keskeisiä tulosindikaattoreita koskevan ensimmäisen puolivuotiskertomuksen julkaiseminen.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A6C59"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7B59D0"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316557"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09A036"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3F6C8"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2F3538" w14:textId="77777777" w:rsidR="00E42B18" w:rsidRDefault="009629C4">
            <w:pPr>
              <w:pStyle w:val="P68B1DB1-Normal11"/>
              <w:rPr>
                <w:rFonts w:cs="Arial"/>
                <w:noProof/>
                <w:szCs w:val="20"/>
              </w:rPr>
            </w:pPr>
            <w:r>
              <w:rPr>
                <w:noProof/>
              </w:rPr>
              <w:t>Ensimmäinen puolivuosittainen kertomus keskeisistä tulosindikaattoreista julkaistaan.</w:t>
            </w:r>
          </w:p>
        </w:tc>
      </w:tr>
      <w:tr w:rsidR="00E42B18" w14:paraId="688BDC2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472B3" w14:textId="77777777" w:rsidR="00E42B18" w:rsidRDefault="009629C4">
            <w:pPr>
              <w:pStyle w:val="P68B1DB1-Normal11"/>
              <w:jc w:val="center"/>
              <w:rPr>
                <w:noProof/>
              </w:rPr>
            </w:pPr>
            <w:r>
              <w:rPr>
                <w:noProof/>
              </w:rPr>
              <w:t>M1C1–59ter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7122DC" w14:textId="77777777" w:rsidR="00E42B18" w:rsidRDefault="009629C4">
            <w:pPr>
              <w:pStyle w:val="P68B1DB1-Normal11"/>
              <w:jc w:val="center"/>
              <w:rPr>
                <w:noProof/>
              </w:rPr>
            </w:pPr>
            <w:r>
              <w:rPr>
                <w:noProof/>
              </w:rPr>
              <w:t>Uudistus 1.9: Julkishallinnon uudistaminen</w:t>
            </w:r>
          </w:p>
          <w:p w14:paraId="2452FFA1" w14:textId="77777777" w:rsidR="00E42B18" w:rsidRDefault="00E42B18">
            <w:pPr>
              <w:jc w:val="center"/>
              <w:rPr>
                <w:rFonts w:ascii="Arial Narrow" w:hAnsi="Arial Narrow"/>
                <w:noProof/>
                <w:color w:val="0061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2595B0" w14:textId="77777777" w:rsidR="00E42B18" w:rsidRDefault="009629C4">
            <w:pPr>
              <w:pStyle w:val="P68B1DB1-Normal11"/>
              <w:jc w:val="center"/>
              <w:rPr>
                <w:noProof/>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EC3E60" w14:textId="77777777" w:rsidR="00E42B18" w:rsidRDefault="009629C4">
            <w:pPr>
              <w:pStyle w:val="P68B1DB1-Normal12"/>
              <w:jc w:val="center"/>
              <w:rPr>
                <w:noProof/>
              </w:rPr>
            </w:pPr>
            <w:r>
              <w:rPr>
                <w:noProof/>
              </w:rPr>
              <w:t>Strategisen henkilöstöhallinnon täytäntöönpano julkishallinnossa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1E6FB" w14:textId="77777777" w:rsidR="00E42B18" w:rsidRDefault="009629C4">
            <w:pPr>
              <w:pStyle w:val="P68B1DB1-Normal12"/>
              <w:jc w:val="center"/>
              <w:rPr>
                <w:noProof/>
              </w:rPr>
            </w:pPr>
            <w:r>
              <w:rPr>
                <w:noProof/>
              </w:rPr>
              <w:t xml:space="preserve">Toimintavalmis ”Toolkit HRM-Minerva”, joka on yhteentoimiva PA:n, Syllabusin ja PIAO:n digitaalisen alustan kanssa, sekä henkilöstöhallinnon strategisten suunnitelmien tarkistaminen.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A6F9A3" w14:textId="77777777" w:rsidR="00E42B18" w:rsidRDefault="009629C4">
            <w:pPr>
              <w:pStyle w:val="P68B1DB1-Normal11"/>
              <w:jc w:val="center"/>
              <w:rPr>
                <w:noProof/>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C39C82" w14:textId="77777777" w:rsidR="00E42B18" w:rsidRDefault="009629C4">
            <w:pPr>
              <w:pStyle w:val="P68B1DB1-Normal11"/>
              <w:jc w:val="center"/>
              <w:rPr>
                <w:noProof/>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80D35" w14:textId="77777777" w:rsidR="00E42B18" w:rsidRDefault="009629C4">
            <w:pPr>
              <w:pStyle w:val="P68B1DB1-Normal11"/>
              <w:jc w:val="center"/>
              <w:rPr>
                <w:noProof/>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FF65E5" w14:textId="77777777" w:rsidR="00E42B18" w:rsidRDefault="009629C4">
            <w:pPr>
              <w:pStyle w:val="P68B1DB1-Normal11"/>
              <w:jc w:val="center"/>
              <w:rPr>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F4F282" w14:textId="77777777" w:rsidR="00E42B18" w:rsidRDefault="009629C4">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0849DB" w14:textId="165ABDAA" w:rsidR="00E42B18" w:rsidRDefault="009629C4">
            <w:pPr>
              <w:pStyle w:val="P68B1DB1-Normal12"/>
              <w:spacing w:before="120"/>
              <w:contextualSpacing/>
              <w:rPr>
                <w:noProof/>
              </w:rPr>
            </w:pPr>
            <w:r>
              <w:rPr>
                <w:i/>
                <w:noProof/>
              </w:rPr>
              <w:t>”Verbale di collaudo e verifica di conformità”</w:t>
            </w:r>
            <w:r>
              <w:rPr>
                <w:noProof/>
              </w:rPr>
              <w:t xml:space="preserve"> osoittaa, että i) ”Toolkit HRM-Minerva” on toiminnassa ja ii) se on yhteentoimiva rekrytointialustan (inPA), Syllabus-alustan ja digitaalisen PIAO-alustan kanssa, </w:t>
            </w:r>
          </w:p>
          <w:p w14:paraId="60062E39" w14:textId="77777777" w:rsidR="00E42B18" w:rsidRDefault="00E42B18">
            <w:pPr>
              <w:spacing w:before="120"/>
              <w:contextualSpacing/>
              <w:rPr>
                <w:rFonts w:ascii="Arial Narrow" w:hAnsi="Arial Narrow"/>
                <w:noProof/>
                <w:color w:val="006100"/>
                <w:sz w:val="20"/>
                <w:szCs w:val="20"/>
              </w:rPr>
            </w:pPr>
          </w:p>
          <w:p w14:paraId="68282E7A" w14:textId="5C26D3C5" w:rsidR="00E42B18" w:rsidRDefault="009629C4">
            <w:pPr>
              <w:pStyle w:val="P68B1DB1-Normal12"/>
              <w:rPr>
                <w:noProof/>
              </w:rPr>
            </w:pPr>
            <w:r>
              <w:rPr>
                <w:noProof/>
              </w:rPr>
              <w:t>Julkisen toiminnan osaston raportissa tarkistetaan ”Toolkit HRM – Minerva” -pilottihankkeeseen osallistuvien kansallisten ja valtiotasoa alempien hallintojen osalta PIAO:han sisältyvien henkilöstöhallinnon strategiasuunnitelmien (Programma Triennale dei fabbisogni del Personale) sisältö. Kertomuksessa on mainittava DFP:n suosittelemat jatkotoimet ja se, miten puolivuosittaisten kertomusten tulokset on otettu huomioon.</w:t>
            </w:r>
          </w:p>
        </w:tc>
      </w:tr>
      <w:tr w:rsidR="00E42B18" w14:paraId="2572413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8C7B6" w14:textId="77777777" w:rsidR="00E42B18" w:rsidRDefault="009629C4">
            <w:pPr>
              <w:pStyle w:val="P68B1DB1-Normal11"/>
              <w:jc w:val="center"/>
              <w:rPr>
                <w:rFonts w:cs="Arial"/>
                <w:noProof/>
                <w:szCs w:val="20"/>
              </w:rPr>
            </w:pPr>
            <w:r>
              <w:rPr>
                <w:noProof/>
              </w:rPr>
              <w:t>M1C1–60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627646" w14:textId="77777777" w:rsidR="00E42B18" w:rsidRDefault="009629C4">
            <w:pPr>
              <w:pStyle w:val="P68B1DB1-Normal11"/>
              <w:jc w:val="center"/>
              <w:rPr>
                <w:rFonts w:cs="Arial"/>
                <w:noProof/>
                <w:szCs w:val="20"/>
              </w:rPr>
            </w:pPr>
            <w:r>
              <w:rPr>
                <w:noProof/>
              </w:rPr>
              <w:t>Uudistus 1.9: Julkishallinnon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601725"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4DDBB" w14:textId="77777777" w:rsidR="00E42B18" w:rsidRDefault="009629C4">
            <w:pPr>
              <w:pStyle w:val="P68B1DB1-Normal11"/>
              <w:jc w:val="center"/>
              <w:rPr>
                <w:rFonts w:cs="Arial"/>
                <w:noProof/>
                <w:szCs w:val="20"/>
              </w:rPr>
            </w:pPr>
            <w:r>
              <w:rPr>
                <w:noProof/>
              </w:rPr>
              <w:t>Kansalaisiin ja yrityksiin vaikuttavien 200 kriittisen menettelyn yksinkertaistaminen ja/tai digitalisointi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B0901"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B53C6F"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C5CB2"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CE191" w14:textId="77777777" w:rsidR="00E42B18" w:rsidRDefault="009629C4">
            <w:pPr>
              <w:pStyle w:val="P68B1DB1-Normal11"/>
              <w:jc w:val="center"/>
              <w:rPr>
                <w:rFonts w:cs="Arial"/>
                <w:noProof/>
                <w:szCs w:val="20"/>
              </w:rPr>
            </w:pPr>
            <w:r>
              <w:rPr>
                <w:noProof/>
              </w:rPr>
              <w:t>200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C66DC3"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6DB5DF"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E6F24C" w14:textId="77777777" w:rsidR="00E42B18" w:rsidRDefault="009629C4">
            <w:pPr>
              <w:pStyle w:val="P68B1DB1-Normal12"/>
              <w:spacing w:before="120"/>
              <w:contextualSpacing/>
              <w:rPr>
                <w:noProof/>
              </w:rPr>
            </w:pPr>
            <w:r>
              <w:rPr>
                <w:noProof/>
              </w:rPr>
              <w:t>Menettelyjen yksinkertaistamisen ja/tai digitalisoinnin on koskettava ainakin seuraavaa alaa:</w:t>
            </w:r>
          </w:p>
          <w:p w14:paraId="1CEA0FA0" w14:textId="77777777" w:rsidR="00E42B18" w:rsidRDefault="009629C4">
            <w:pPr>
              <w:pStyle w:val="P68B1DB1-Normal12"/>
              <w:rPr>
                <w:noProof/>
              </w:rPr>
            </w:pPr>
            <w:r>
              <w:rPr>
                <w:noProof/>
              </w:rPr>
              <w:t>Ympäristö ja energia, uusiutuvat energialähteet ja vihreä talous;</w:t>
            </w:r>
          </w:p>
          <w:p w14:paraId="5A662193" w14:textId="77777777" w:rsidR="00E42B18" w:rsidRDefault="009629C4">
            <w:pPr>
              <w:pStyle w:val="P68B1DB1-Normal12"/>
              <w:rPr>
                <w:noProof/>
              </w:rPr>
            </w:pPr>
            <w:r>
              <w:rPr>
                <w:noProof/>
              </w:rPr>
              <w:t xml:space="preserve">2) rakentaminen ja kaupunkien uudelleenkoulutus; </w:t>
            </w:r>
          </w:p>
          <w:p w14:paraId="1B22E3F0" w14:textId="77777777" w:rsidR="00E42B18" w:rsidRDefault="009629C4">
            <w:pPr>
              <w:pStyle w:val="P68B1DB1-Normal12"/>
              <w:rPr>
                <w:noProof/>
              </w:rPr>
            </w:pPr>
            <w:r>
              <w:rPr>
                <w:noProof/>
              </w:rPr>
              <w:t>3) sähköisen viestinnän infrastruktuuri;</w:t>
            </w:r>
          </w:p>
          <w:p w14:paraId="248F385E" w14:textId="77777777" w:rsidR="00E42B18" w:rsidRDefault="009629C4">
            <w:pPr>
              <w:pStyle w:val="P68B1DB1-Normal12"/>
              <w:rPr>
                <w:rFonts w:cs="Arial"/>
                <w:noProof/>
              </w:rPr>
            </w:pPr>
            <w:r>
              <w:rPr>
                <w:noProof/>
              </w:rPr>
              <w:t>4) taloudellisen toiminnan perustaminen ja toiminta.</w:t>
            </w:r>
          </w:p>
        </w:tc>
      </w:tr>
      <w:tr w:rsidR="00E42B18" w14:paraId="48CC60C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3DD239" w14:textId="77777777" w:rsidR="00E42B18" w:rsidRDefault="009629C4">
            <w:pPr>
              <w:pStyle w:val="P68B1DB1-Normal12"/>
              <w:jc w:val="center"/>
              <w:rPr>
                <w:rFonts w:cs="Arial"/>
                <w:noProof/>
              </w:rPr>
            </w:pPr>
            <w:r>
              <w:rPr>
                <w:noProof/>
              </w:rPr>
              <w:t>M1C1–62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B6A15B" w14:textId="77777777" w:rsidR="00E42B18" w:rsidRDefault="009629C4">
            <w:pPr>
              <w:pStyle w:val="P68B1DB1-Normal11"/>
              <w:jc w:val="center"/>
              <w:rPr>
                <w:rFonts w:cs="Arial"/>
                <w:noProof/>
                <w:szCs w:val="20"/>
              </w:rPr>
            </w:pPr>
            <w:bookmarkStart w:id="3" w:name="_Hlk160472673"/>
            <w:r>
              <w:rPr>
                <w:noProof/>
              </w:rPr>
              <w:t>Uudistus 1.9: Julkishallinnon uudistaminen</w:t>
            </w:r>
            <w:bookmarkEnd w:id="3"/>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59194A"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2C2831" w14:textId="77777777" w:rsidR="00E42B18" w:rsidRDefault="009629C4">
            <w:pPr>
              <w:pStyle w:val="P68B1DB1-Normal11"/>
              <w:jc w:val="center"/>
              <w:rPr>
                <w:rFonts w:cs="Arial"/>
                <w:noProof/>
                <w:szCs w:val="20"/>
              </w:rPr>
            </w:pPr>
            <w:r>
              <w:rPr>
                <w:noProof/>
              </w:rPr>
              <w:t>Lisätään investointien hyödyntämistä</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0EA064" w14:textId="77777777" w:rsidR="00E42B18" w:rsidRDefault="009629C4">
            <w:pPr>
              <w:pStyle w:val="P68B1DB1-Normal11"/>
              <w:jc w:val="center"/>
              <w:rPr>
                <w:rFonts w:cs="Arial"/>
                <w:noProof/>
                <w:szCs w:val="20"/>
              </w:rPr>
            </w:pPr>
            <w:r>
              <w:rPr>
                <w:noProof/>
              </w:rPr>
              <w:t>Valtiovarainministeriön raportin julkaiseminen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2BE5D5"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CFD7C"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356779"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CF563D"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2C2E5C" w14:textId="77777777" w:rsidR="00E42B18" w:rsidRDefault="009629C4">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FB7536" w14:textId="610E5463" w:rsidR="00E42B18" w:rsidRDefault="009629C4">
            <w:pPr>
              <w:pStyle w:val="P68B1DB1-Normal12"/>
              <w:spacing w:after="120"/>
              <w:rPr>
                <w:rFonts w:cs="Arial"/>
                <w:noProof/>
              </w:rPr>
            </w:pPr>
            <w:r>
              <w:rPr>
                <w:noProof/>
              </w:rPr>
              <w:t>Julkaistaan kertomus, jossa mitataan vuoteen 2024 asti kohdennettujen täydentävän rahaston varojen käyttöä.</w:t>
            </w:r>
          </w:p>
        </w:tc>
      </w:tr>
      <w:tr w:rsidR="00E42B18" w14:paraId="44A591D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A962B2" w14:textId="77777777" w:rsidR="00E42B18" w:rsidRDefault="009629C4">
            <w:pPr>
              <w:pStyle w:val="P68B1DB1-Normal11"/>
              <w:jc w:val="center"/>
              <w:rPr>
                <w:rFonts w:cs="Arial"/>
                <w:noProof/>
                <w:szCs w:val="20"/>
              </w:rPr>
            </w:pPr>
            <w:r>
              <w:rPr>
                <w:noProof/>
              </w:rPr>
              <w:t>M1C1–63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3C2D8A" w14:textId="77777777" w:rsidR="00E42B18" w:rsidRDefault="009629C4">
            <w:pPr>
              <w:pStyle w:val="P68B1DB1-Normal11"/>
              <w:jc w:val="center"/>
              <w:rPr>
                <w:rFonts w:cs="Arial"/>
                <w:noProof/>
                <w:szCs w:val="20"/>
              </w:rPr>
            </w:pPr>
            <w:r>
              <w:rPr>
                <w:noProof/>
              </w:rPr>
              <w:t>Uudistus 1.9: Julkishallinnon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ABF008"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44823" w14:textId="77777777" w:rsidR="00E42B18" w:rsidRDefault="009629C4">
            <w:pPr>
              <w:pStyle w:val="P68B1DB1-Normal12"/>
              <w:jc w:val="center"/>
              <w:rPr>
                <w:rFonts w:cs="Arial"/>
                <w:noProof/>
              </w:rPr>
            </w:pPr>
            <w:r>
              <w:rPr>
                <w:noProof/>
              </w:rPr>
              <w:t xml:space="preserve">Kaikkien yksinkertaistettujen ja/tai digitalisoitujen menettelyjen rekisterin julkaiseminen </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F02967" w14:textId="77777777" w:rsidR="00E42B18" w:rsidRDefault="009629C4">
            <w:pPr>
              <w:pStyle w:val="P68B1DB1-Normal11"/>
              <w:jc w:val="center"/>
              <w:rPr>
                <w:rFonts w:cs="Arial"/>
                <w:noProof/>
                <w:szCs w:val="20"/>
              </w:rPr>
            </w:pPr>
            <w:r>
              <w:rPr>
                <w:noProof/>
              </w:rPr>
              <w:t>Rekisterin julkaiseminen julkisen toiminnan osaston verkkosivustolla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712139"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44227"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3A9FB8"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E2F9B"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53E60"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76C664" w14:textId="07861456" w:rsidR="00E42B18" w:rsidRDefault="009629C4">
            <w:pPr>
              <w:pStyle w:val="P68B1DB1-Normal11"/>
              <w:rPr>
                <w:rFonts w:cs="Arial"/>
                <w:noProof/>
                <w:szCs w:val="20"/>
              </w:rPr>
            </w:pPr>
            <w:r>
              <w:rPr>
                <w:noProof/>
              </w:rPr>
              <w:t xml:space="preserve">Yksinkertaistettujen ja/tai digitalisoitujen menettelyjen </w:t>
            </w:r>
            <w:r>
              <w:rPr>
                <w:noProof/>
                <w:szCs w:val="20"/>
              </w:rPr>
              <w:t>rekisterin on oltava saatavilla julkisen toiminnon osaston ylläpitämällä verkkosivustolla (www.italiasemplice.gov.it). Tiedot Sportello Unico Attività Produttiven (SUAP) ja Sportello Unico Edilizian (SUE) saatavuudesta koko jäsenvaltion alueella ovat saatavilla verkkosivustolla www.impresainungiorno.gov.it</w:t>
            </w:r>
            <w:r>
              <w:rPr>
                <w:noProof/>
              </w:rPr>
              <w:t>.</w:t>
            </w:r>
          </w:p>
        </w:tc>
      </w:tr>
      <w:tr w:rsidR="00E42B18" w14:paraId="4355ABF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D7CE34" w14:textId="77777777" w:rsidR="00E42B18" w:rsidRDefault="009629C4">
            <w:pPr>
              <w:pStyle w:val="P68B1DB1-Normal12"/>
              <w:jc w:val="center"/>
              <w:rPr>
                <w:rFonts w:cs="Arial"/>
                <w:noProof/>
              </w:rPr>
            </w:pPr>
            <w:r>
              <w:rPr>
                <w:noProof/>
              </w:rPr>
              <w:t>M1C1–66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0E6693" w14:textId="77777777" w:rsidR="00E42B18" w:rsidRDefault="009629C4">
            <w:pPr>
              <w:pStyle w:val="P68B1DB1-Normal12"/>
              <w:jc w:val="center"/>
              <w:rPr>
                <w:rFonts w:cs="Arial"/>
                <w:noProof/>
              </w:rPr>
            </w:pPr>
            <w:r>
              <w:rPr>
                <w:noProof/>
              </w:rPr>
              <w:t>Investointi 1.9: Antaa teknistä apua ja vahvistaa valmiuksien kehittämistä Italian elpymis- ja palautumissuunnitelman täytäntöönpanoa varten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1EC65"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56B41D" w14:textId="77777777" w:rsidR="00E42B18" w:rsidRDefault="009629C4">
            <w:pPr>
              <w:pStyle w:val="P68B1DB1-Normal11"/>
              <w:jc w:val="center"/>
              <w:rPr>
                <w:rFonts w:cs="Arial"/>
                <w:noProof/>
                <w:szCs w:val="20"/>
              </w:rPr>
            </w:pPr>
            <w:r>
              <w:rPr>
                <w:noProof/>
              </w:rPr>
              <w:t>Yleissivistävä ja ammatillinen koulutus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4872B5"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5701C"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8AB14C"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C08340" w14:textId="6BC559C6" w:rsidR="00E42B18" w:rsidRDefault="009629C4">
            <w:pPr>
              <w:pStyle w:val="P68B1DB1-Normal12"/>
              <w:jc w:val="center"/>
              <w:rPr>
                <w:rFonts w:cs="Arial"/>
                <w:noProof/>
              </w:rPr>
            </w:pPr>
            <w:r>
              <w:rPr>
                <w:noProof/>
              </w:rPr>
              <w:t>441 750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783BDD"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D72D0"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4A7420" w14:textId="50E0E100" w:rsidR="00E42B18" w:rsidRDefault="009629C4">
            <w:pPr>
              <w:pStyle w:val="P68B1DB1-Normal12"/>
              <w:spacing w:after="120"/>
              <w:rPr>
                <w:rFonts w:cs="Arial"/>
                <w:noProof/>
              </w:rPr>
            </w:pPr>
            <w:r>
              <w:rPr>
                <w:noProof/>
              </w:rPr>
              <w:t xml:space="preserve">Syllabus-alustalla on saatavilla vähintään 441750 julkisen sektorin työntekijöiden koulutustodistusta ja Syllabus-alustalla saatavilla vähintään 1500000 koulutustodistusta koulutustoimintaa varten. </w:t>
            </w:r>
          </w:p>
        </w:tc>
      </w:tr>
      <w:tr w:rsidR="00E42B18" w14:paraId="651E05D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3E30F" w14:textId="77777777" w:rsidR="00E42B18" w:rsidRDefault="009629C4">
            <w:pPr>
              <w:pStyle w:val="P68B1DB1-Normal11"/>
              <w:jc w:val="center"/>
              <w:rPr>
                <w:rFonts w:cs="Arial"/>
                <w:noProof/>
                <w:szCs w:val="20"/>
              </w:rPr>
            </w:pPr>
            <w:r>
              <w:rPr>
                <w:noProof/>
              </w:rPr>
              <w:t>M1C1–68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9A6F78" w14:textId="77777777" w:rsidR="00E42B18" w:rsidRDefault="009629C4">
            <w:pPr>
              <w:pStyle w:val="P68B1DB1-Normal11"/>
              <w:jc w:val="center"/>
              <w:rPr>
                <w:rFonts w:cs="Arial"/>
                <w:noProof/>
                <w:szCs w:val="20"/>
              </w:rPr>
            </w:pPr>
            <w:r>
              <w:rPr>
                <w:noProof/>
              </w:rPr>
              <w:t>Uudistus 1.9: Julkishallinnon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B33133"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35855" w14:textId="77777777" w:rsidR="00E42B18" w:rsidRDefault="009629C4">
            <w:pPr>
              <w:pStyle w:val="P68B1DB1-Normal11"/>
              <w:jc w:val="center"/>
              <w:rPr>
                <w:rFonts w:cs="Arial"/>
                <w:noProof/>
                <w:szCs w:val="20"/>
              </w:rPr>
            </w:pPr>
            <w:r>
              <w:rPr>
                <w:noProof/>
              </w:rPr>
              <w:t>Tarkastus- ja valvontatietojärjestelmä: elpymis- ja palautumistukivälineen täytäntöönpanon seurantaa koskevat tiedot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07073" w14:textId="77777777" w:rsidR="00E42B18" w:rsidRDefault="009629C4">
            <w:pPr>
              <w:pStyle w:val="P68B1DB1-Normal11"/>
              <w:jc w:val="center"/>
              <w:rPr>
                <w:rFonts w:cs="Arial"/>
                <w:noProof/>
                <w:szCs w:val="20"/>
              </w:rPr>
            </w:pPr>
            <w:r>
              <w:rPr>
                <w:noProof/>
              </w:rPr>
              <w:t>Tarkastuskertomus, jossa vahvistetaan rekisterijärjestelmän toiminnot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6AEC4"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5B5784"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393347"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0F9D9"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D9F26"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F39D0" w14:textId="77777777" w:rsidR="00E42B18" w:rsidRDefault="009629C4">
            <w:pPr>
              <w:pStyle w:val="P68B1DB1-Normal12"/>
              <w:spacing w:after="120"/>
              <w:rPr>
                <w:rFonts w:cs="Arial"/>
                <w:noProof/>
              </w:rPr>
            </w:pPr>
            <w:r>
              <w:rPr>
                <w:noProof/>
              </w:rPr>
              <w:t>Elpymis- ja palautumistukivälineen täytäntöönpanon seurantaa varten on oltava käytössä toimiva tallennusjärjestelmä.</w:t>
            </w:r>
          </w:p>
          <w:p w14:paraId="5099C591" w14:textId="77777777" w:rsidR="00E42B18" w:rsidRDefault="009629C4">
            <w:pPr>
              <w:pStyle w:val="P68B1DB1-Normal11"/>
              <w:spacing w:after="120"/>
              <w:rPr>
                <w:rFonts w:cs="Arial"/>
                <w:noProof/>
                <w:szCs w:val="20"/>
              </w:rPr>
            </w:pPr>
            <w:r>
              <w:rPr>
                <w:noProof/>
              </w:rPr>
              <w:t>Järjestelmässä on oltava vähintään seuraavat toiminnot:</w:t>
            </w:r>
          </w:p>
          <w:p w14:paraId="363D1FD2" w14:textId="77777777" w:rsidR="00E42B18" w:rsidRDefault="009629C4">
            <w:pPr>
              <w:pStyle w:val="P68B1DB1-Normal12"/>
              <w:spacing w:after="120"/>
              <w:rPr>
                <w:rFonts w:cs="Arial"/>
                <w:noProof/>
              </w:rPr>
            </w:pPr>
            <w:r>
              <w:rPr>
                <w:noProof/>
              </w:rPr>
              <w:t>a) kerätä tietoja ja seurata välitavoitteiden ja tavoitteiden saavuttamista;</w:t>
            </w:r>
          </w:p>
          <w:p w14:paraId="61FA9474" w14:textId="77777777" w:rsidR="00E42B18" w:rsidRDefault="009629C4">
            <w:pPr>
              <w:pStyle w:val="P68B1DB1-Normal12"/>
              <w:spacing w:after="120"/>
              <w:rPr>
                <w:rFonts w:cs="Arial"/>
                <w:noProof/>
              </w:rPr>
            </w:pPr>
            <w:r>
              <w:rPr>
                <w:noProof/>
              </w:rPr>
              <w:t>b) kerätä, tallentaa ja varmistaa pääsy elpymis- ja palautumistukivälinettä koskevan asetuksen 22 artiklan 2 kohdan d alakohdan i-iii alakohdassa vaadittuihin tietoihin.</w:t>
            </w:r>
          </w:p>
        </w:tc>
      </w:tr>
      <w:tr w:rsidR="00E42B18" w14:paraId="11B518A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D247C5" w14:textId="77777777" w:rsidR="00E42B18" w:rsidRDefault="009629C4">
            <w:pPr>
              <w:pStyle w:val="P68B1DB1-Normal11"/>
              <w:jc w:val="center"/>
              <w:rPr>
                <w:rFonts w:cs="Arial"/>
                <w:noProof/>
                <w:szCs w:val="20"/>
              </w:rPr>
            </w:pPr>
            <w:r>
              <w:rPr>
                <w:noProof/>
              </w:rPr>
              <w:t>M1C1–69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181B6B"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E0C353"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B1E666" w14:textId="77777777" w:rsidR="00E42B18" w:rsidRDefault="009629C4">
            <w:pPr>
              <w:pStyle w:val="P68B1DB1-Normal11"/>
              <w:jc w:val="center"/>
              <w:rPr>
                <w:rFonts w:cs="Arial"/>
                <w:noProof/>
                <w:szCs w:val="20"/>
              </w:rPr>
            </w:pPr>
            <w:r>
              <w:rPr>
                <w:noProof/>
              </w:rPr>
              <w:t>Julkisia hankintoja koskevan järjestelmän yksinkertaistamisesta annetun asetuksen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E0A714" w14:textId="77777777" w:rsidR="00E42B18" w:rsidRDefault="009629C4">
            <w:pPr>
              <w:pStyle w:val="P68B1DB1-Normal12"/>
              <w:jc w:val="center"/>
              <w:rPr>
                <w:rFonts w:cs="Arial"/>
                <w:noProof/>
              </w:rPr>
            </w:pPr>
            <w:r>
              <w:rPr>
                <w:noProof/>
              </w:rPr>
              <w:t>Lain säännös, joka koskee julkisia hankintoja koskevan järjestelmän yksinkertaistamista koskevan lain voimaantuloa.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68F44"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31E35"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8AD6DC"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1764A"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3A97C"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89C127" w14:textId="77777777" w:rsidR="00E42B18" w:rsidRDefault="009629C4">
            <w:pPr>
              <w:pStyle w:val="P68B1DB1-Normal11"/>
              <w:spacing w:after="120"/>
              <w:rPr>
                <w:rFonts w:cs="Arial"/>
                <w:noProof/>
                <w:szCs w:val="20"/>
              </w:rPr>
            </w:pPr>
            <w:r>
              <w:rPr>
                <w:noProof/>
              </w:rPr>
              <w:t>Lailla yksinkertaistetaan julkisia hankintoja koskevaa järjestelmää ainakin seuraavin kiireellisin toimenpitein:</w:t>
            </w:r>
          </w:p>
          <w:p w14:paraId="7AC3DD77" w14:textId="77777777" w:rsidR="00E42B18" w:rsidRDefault="009629C4">
            <w:pPr>
              <w:pStyle w:val="P68B1DB1-Normal12"/>
              <w:spacing w:after="120"/>
              <w:rPr>
                <w:rFonts w:cs="Arial"/>
                <w:noProof/>
              </w:rPr>
            </w:pPr>
            <w:r>
              <w:rPr>
                <w:noProof/>
              </w:rPr>
              <w:t>I. Pyrkimyksenä on lyhentää julkaisun ja sopimuksen tekemisen välistä aikaa.</w:t>
            </w:r>
          </w:p>
          <w:p w14:paraId="47141870" w14:textId="77777777" w:rsidR="00E42B18" w:rsidRDefault="009629C4">
            <w:pPr>
              <w:pStyle w:val="P68B1DB1-Normal12"/>
              <w:spacing w:after="120"/>
              <w:rPr>
                <w:rFonts w:cs="Arial"/>
                <w:noProof/>
              </w:rPr>
            </w:pPr>
            <w:r>
              <w:rPr>
                <w:noProof/>
              </w:rPr>
              <w:t>II. Vahvistetaan tavoitteet ja seurantajärjestelmä, joilla lyhennetään sopimuksen tekemisen ja infrastruktuurin valmistumisen välistä aikaa (”fase esecutiva”).</w:t>
            </w:r>
          </w:p>
          <w:p w14:paraId="68FA646A" w14:textId="77777777" w:rsidR="00E42B18" w:rsidRDefault="009629C4">
            <w:pPr>
              <w:pStyle w:val="P68B1DB1-Normal12"/>
              <w:spacing w:after="120"/>
              <w:rPr>
                <w:rFonts w:cs="Arial"/>
                <w:noProof/>
              </w:rPr>
            </w:pPr>
            <w:r>
              <w:rPr>
                <w:noProof/>
              </w:rPr>
              <w:t>III. Edellyttää, että tiedot kaikista sopimuksista kirjataan kansallisen korruptiontorjuntaviranomaisen (ANAC) korruptiontorjuntatietokantaan.</w:t>
            </w:r>
          </w:p>
          <w:p w14:paraId="68EB2DA4" w14:textId="77777777" w:rsidR="00E42B18" w:rsidRDefault="009629C4">
            <w:pPr>
              <w:pStyle w:val="P68B1DB1-Normal12"/>
              <w:spacing w:after="120"/>
              <w:rPr>
                <w:rFonts w:cs="Arial"/>
                <w:noProof/>
              </w:rPr>
            </w:pPr>
            <w:r>
              <w:rPr>
                <w:noProof/>
              </w:rPr>
              <w:t>IV. Pannaan täytäntöön vaihtoehtoiset riitojenratkaisumekanismit ja kannustetaan niitä julkisten hankintasopimusten täytäntöönpanovaiheessa.</w:t>
            </w:r>
          </w:p>
          <w:p w14:paraId="2142E571" w14:textId="77777777" w:rsidR="00E42B18" w:rsidRDefault="009629C4">
            <w:pPr>
              <w:pStyle w:val="P68B1DB1-Normal12"/>
              <w:spacing w:after="120"/>
              <w:rPr>
                <w:rFonts w:cs="Arial"/>
                <w:noProof/>
              </w:rPr>
            </w:pPr>
            <w:r>
              <w:rPr>
                <w:noProof/>
              </w:rPr>
              <w:t>v. perustaa ministeriöiden, alueiden ja suurkaupunkien julkisista hankintamenettelyistä vastaavia toimistoja.</w:t>
            </w:r>
          </w:p>
          <w:p w14:paraId="1E68D301" w14:textId="77777777" w:rsidR="00E42B18" w:rsidRDefault="009629C4">
            <w:pPr>
              <w:pStyle w:val="P68B1DB1-Normal11"/>
              <w:spacing w:after="120"/>
              <w:rPr>
                <w:rFonts w:cs="Arial"/>
                <w:noProof/>
                <w:szCs w:val="20"/>
              </w:rPr>
            </w:pPr>
            <w:r>
              <w:rPr>
                <w:noProof/>
              </w:rPr>
              <w:t>Muut täsmennykset:</w:t>
            </w:r>
          </w:p>
          <w:p w14:paraId="3673949F" w14:textId="77777777" w:rsidR="00E42B18" w:rsidRDefault="009629C4">
            <w:pPr>
              <w:pStyle w:val="P68B1DB1-Normal12"/>
              <w:spacing w:after="120"/>
              <w:rPr>
                <w:rFonts w:cs="Arial"/>
                <w:noProof/>
              </w:rPr>
            </w:pPr>
            <w:r>
              <w:rPr>
                <w:noProof/>
              </w:rPr>
              <w:t>— Yhteishankintayksiköiden menettelyjen yksinkertaistaminen ja digitalisointi (Centrali di commitmentstenza)</w:t>
            </w:r>
          </w:p>
          <w:p w14:paraId="0B1967A4" w14:textId="77777777" w:rsidR="00E42B18" w:rsidRDefault="009629C4">
            <w:pPr>
              <w:pStyle w:val="P68B1DB1-Normal11"/>
              <w:spacing w:after="120"/>
              <w:rPr>
                <w:rFonts w:cs="Arial"/>
                <w:noProof/>
                <w:szCs w:val="20"/>
              </w:rPr>
            </w:pPr>
            <w:r>
              <w:rPr>
                <w:noProof/>
              </w:rPr>
              <w:t>— Pannaan täytäntöön nykyisen julkisia hankintoja koskevan koodeksin 41 ja 44 artikla;</w:t>
            </w:r>
          </w:p>
          <w:p w14:paraId="68A9A3D1" w14:textId="77777777" w:rsidR="00E42B18" w:rsidRDefault="009629C4">
            <w:pPr>
              <w:pStyle w:val="P68B1DB1-Normal11"/>
              <w:spacing w:after="120"/>
              <w:rPr>
                <w:rFonts w:cs="Arial"/>
                <w:noProof/>
                <w:szCs w:val="20"/>
              </w:rPr>
            </w:pPr>
            <w:r>
              <w:rPr>
                <w:noProof/>
              </w:rPr>
              <w:t>— Määriteltävä, miten menettelyt olisi digitalisoitava kaikkia julkisia hankintoja ja käyttöoikeussopimuksia varten, ja määriteltävä yhteentoimivuutta ja yhteenliitettävyyttä koskevat vaatimukset;</w:t>
            </w:r>
          </w:p>
          <w:p w14:paraId="4EFE6D54" w14:textId="77777777" w:rsidR="00E42B18" w:rsidRDefault="009629C4">
            <w:pPr>
              <w:pStyle w:val="P68B1DB1-Normal11"/>
              <w:spacing w:after="120"/>
              <w:rPr>
                <w:rFonts w:cs="Arial"/>
                <w:noProof/>
                <w:szCs w:val="20"/>
              </w:rPr>
            </w:pPr>
            <w:r>
              <w:rPr>
                <w:noProof/>
              </w:rPr>
              <w:t>— Pannaan täytäntöön nykyisen julkisia hankintoja koskevan koodeksin 44 §.0</w:t>
            </w:r>
          </w:p>
        </w:tc>
      </w:tr>
      <w:tr w:rsidR="00E42B18" w14:paraId="2EA8A20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7F1F58" w14:textId="77777777" w:rsidR="00E42B18" w:rsidRDefault="009629C4">
            <w:pPr>
              <w:pStyle w:val="P68B1DB1-Normal11"/>
              <w:jc w:val="center"/>
              <w:rPr>
                <w:rFonts w:cs="Arial"/>
                <w:noProof/>
                <w:szCs w:val="20"/>
              </w:rPr>
            </w:pPr>
            <w:r>
              <w:rPr>
                <w:noProof/>
              </w:rPr>
              <w:t>M1C1–70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E27606"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D66BD1"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F30E24" w14:textId="77777777" w:rsidR="00E42B18" w:rsidRDefault="009629C4">
            <w:pPr>
              <w:pStyle w:val="P68B1DB1-Normal12"/>
              <w:jc w:val="center"/>
              <w:rPr>
                <w:rFonts w:cs="Arial"/>
                <w:noProof/>
              </w:rPr>
            </w:pPr>
            <w:r>
              <w:rPr>
                <w:noProof/>
              </w:rPr>
              <w:t>Julkisia hankintoja koskevan lain tarkistuksen voimaantulo (D.Lgs. n. 50/2016)</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722D0E" w14:textId="77777777" w:rsidR="00E42B18" w:rsidRDefault="009629C4">
            <w:pPr>
              <w:pStyle w:val="P68B1DB1-Normal12"/>
              <w:jc w:val="center"/>
              <w:rPr>
                <w:rFonts w:cs="Arial"/>
                <w:noProof/>
              </w:rPr>
            </w:pPr>
            <w:r>
              <w:rPr>
                <w:noProof/>
              </w:rPr>
              <w:t>Lakiin sisältyvä säännös, joka koskee nykyisen julkisia hankintoja koskevan lain (D.Lgs. n. 50/2016) voimaantuloa.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751D7"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4BAA8E"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AD065"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797F1F"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0E863B"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0413B" w14:textId="77777777" w:rsidR="00E42B18" w:rsidRDefault="009629C4">
            <w:pPr>
              <w:pStyle w:val="P68B1DB1-Normal12"/>
              <w:spacing w:after="120"/>
              <w:rPr>
                <w:rFonts w:cs="Arial"/>
                <w:noProof/>
              </w:rPr>
            </w:pPr>
            <w:r>
              <w:rPr>
                <w:noProof/>
              </w:rPr>
              <w:t>Tässä laissa vahvistetaan kaikki julkisia hankintoja koskevan lain järjestelmällistä uudistamista koskevat täsmälliset perusteet ja periaatteet.</w:t>
            </w:r>
          </w:p>
          <w:p w14:paraId="751325F5" w14:textId="77777777" w:rsidR="00E42B18" w:rsidRDefault="009629C4">
            <w:pPr>
              <w:pStyle w:val="P68B1DB1-Normal11"/>
              <w:spacing w:after="120"/>
              <w:rPr>
                <w:rFonts w:cs="Arial"/>
                <w:noProof/>
                <w:szCs w:val="20"/>
              </w:rPr>
            </w:pPr>
            <w:r>
              <w:rPr>
                <w:noProof/>
              </w:rPr>
              <w:t>Valtuutuslaissa määrätään ainakin seuraavista periaatteista ja perusteista:</w:t>
            </w:r>
          </w:p>
          <w:p w14:paraId="7AA42AAD" w14:textId="77777777" w:rsidR="00E42B18" w:rsidRDefault="009629C4">
            <w:pPr>
              <w:pStyle w:val="P68B1DB1-Normal12"/>
              <w:spacing w:after="120"/>
              <w:rPr>
                <w:rFonts w:cs="Arial"/>
                <w:noProof/>
              </w:rPr>
            </w:pPr>
            <w:r>
              <w:rPr>
                <w:noProof/>
              </w:rPr>
              <w:t>I. vähentää hankintaviranomaisten hajanaisuutta 1) vahvistamalla kelpuuttamisjärjestelmän peruselementit, 2) edellyttämällä sähköisen alustan asettamista perusvaatimukseksi osallistumisesta koko maan laajuiseen hankintavalmiuksien arviointiin 3) antamalla kansalliselle korruptiontorjuntaviranomaiselle (ANAC) valtuudet tarkistaa hankintaviranomaisten kelpoisuutta hankintakapasiteetin (ostotyyppien ja -määrien) osalta, 4) tarjoamalla kannustimia käyttää olemassa olevia ammattimaisia yhteishankintayksiköitä.</w:t>
            </w:r>
          </w:p>
          <w:p w14:paraId="070626A9" w14:textId="77777777" w:rsidR="00E42B18" w:rsidRDefault="009629C4">
            <w:pPr>
              <w:pStyle w:val="P68B1DB1-Normal12"/>
              <w:spacing w:after="120"/>
              <w:rPr>
                <w:rFonts w:cs="Arial"/>
                <w:noProof/>
              </w:rPr>
            </w:pPr>
            <w:r>
              <w:rPr>
                <w:noProof/>
              </w:rPr>
              <w:t>II. Yksinkertaistetaan ja digitalisoidaan yhteishankintayksiköiden menettelyjä (”Centrali di commitmenttenza”)</w:t>
            </w:r>
          </w:p>
          <w:p w14:paraId="1205E5F5" w14:textId="77777777" w:rsidR="00E42B18" w:rsidRDefault="009629C4">
            <w:pPr>
              <w:pStyle w:val="P68B1DB1-Normal11"/>
              <w:spacing w:after="120"/>
              <w:rPr>
                <w:rFonts w:cs="Arial"/>
                <w:noProof/>
                <w:szCs w:val="20"/>
              </w:rPr>
            </w:pPr>
            <w:r>
              <w:rPr>
                <w:noProof/>
              </w:rPr>
              <w:t>III. Määriteltävä, miten menettelyt digitalisoidaan kaikkia julkisia hankintoja ja käyttöoikeussopimuksia varten, ja määriteltävä yhteentoimivuutta ja yhteenliitettävyyttä koskevat vaatimukset.</w:t>
            </w:r>
          </w:p>
          <w:p w14:paraId="0753A333" w14:textId="77777777" w:rsidR="00E42B18" w:rsidRDefault="009629C4">
            <w:pPr>
              <w:pStyle w:val="P68B1DB1-Normal11"/>
              <w:spacing w:after="120"/>
              <w:rPr>
                <w:rFonts w:cs="Arial"/>
                <w:noProof/>
                <w:szCs w:val="20"/>
              </w:rPr>
            </w:pPr>
            <w:r>
              <w:rPr>
                <w:noProof/>
              </w:rPr>
              <w:t>IV. Vähennetään alihankinnan rajoituksia asteittain.</w:t>
            </w:r>
          </w:p>
        </w:tc>
      </w:tr>
      <w:tr w:rsidR="00E42B18" w14:paraId="333E1CA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5D0A30" w14:textId="77777777" w:rsidR="00E42B18" w:rsidRDefault="009629C4">
            <w:pPr>
              <w:pStyle w:val="P68B1DB1-Normal11"/>
              <w:jc w:val="center"/>
              <w:rPr>
                <w:rFonts w:cs="Arial"/>
                <w:noProof/>
                <w:szCs w:val="20"/>
              </w:rPr>
            </w:pPr>
            <w:r>
              <w:rPr>
                <w:noProof/>
              </w:rPr>
              <w:t>M1C1–71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5CA1E4"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BB6220"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B0253E" w14:textId="77777777" w:rsidR="00E42B18" w:rsidRDefault="009629C4">
            <w:pPr>
              <w:pStyle w:val="P68B1DB1-Normal11"/>
              <w:jc w:val="center"/>
              <w:rPr>
                <w:rFonts w:cs="Arial"/>
                <w:noProof/>
                <w:szCs w:val="20"/>
              </w:rPr>
            </w:pPr>
            <w:r>
              <w:rPr>
                <w:noProof/>
              </w:rPr>
              <w:t>Julkisia hankintoja koskevan järjestelmän kannalta tarpeellisten lakien, asetusten ja täytäntöönpanosäädösten (myös johdetun oikeuden)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1772B" w14:textId="77777777" w:rsidR="00E42B18" w:rsidRDefault="009629C4">
            <w:pPr>
              <w:pStyle w:val="P68B1DB1-Normal11"/>
              <w:jc w:val="center"/>
              <w:rPr>
                <w:rFonts w:cs="Arial"/>
                <w:noProof/>
                <w:szCs w:val="20"/>
              </w:rPr>
            </w:pPr>
            <w:r>
              <w:rPr>
                <w:noProof/>
              </w:rPr>
              <w:t>Kaikkien tarvittavien säädösten voimaantulo, asetukset ja täytäntöönpanosäädökset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957693"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F2C9F5"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A8CB5"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34A0EB"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0E34D0"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CBB8C" w14:textId="77777777" w:rsidR="00E42B18" w:rsidRDefault="009629C4">
            <w:pPr>
              <w:pStyle w:val="P68B1DB1-Normal11"/>
              <w:spacing w:after="120"/>
              <w:rPr>
                <w:rFonts w:cs="Arial"/>
                <w:noProof/>
                <w:szCs w:val="20"/>
              </w:rPr>
            </w:pPr>
            <w:r>
              <w:rPr>
                <w:noProof/>
              </w:rPr>
              <w:t>Kaikkien tarvittavien lakien, asetusten ja täytäntöönpanosäädösten (tarvittaessa myös johdetun oikeuden) on saavutettava seuraavat tulokset:</w:t>
            </w:r>
          </w:p>
          <w:p w14:paraId="7383B53C" w14:textId="77777777" w:rsidR="00E42B18" w:rsidRDefault="009629C4">
            <w:pPr>
              <w:pStyle w:val="P68B1DB1-Normal12"/>
              <w:spacing w:after="120"/>
              <w:rPr>
                <w:rFonts w:cs="Arial"/>
                <w:noProof/>
              </w:rPr>
            </w:pPr>
            <w:r>
              <w:rPr>
                <w:noProof/>
              </w:rPr>
              <w:t>I. Julkisia hankintoja koskevan politiikan yhteisellä koordinointielimellä on oltava riittävä (toimintajärjestelyssä määriteltävä) henkilöstö- ja rahoitusresurssit, jotta se on täysin toimintakykyinen, myös ANAC:n erityisen rakenteen antaman tuen ansiosta.</w:t>
            </w:r>
          </w:p>
          <w:p w14:paraId="1ECCB4A9" w14:textId="77777777" w:rsidR="00E42B18" w:rsidRDefault="009629C4">
            <w:pPr>
              <w:pStyle w:val="P68B1DB1-Normal12"/>
              <w:spacing w:after="120"/>
              <w:rPr>
                <w:rFonts w:cs="Arial"/>
                <w:noProof/>
              </w:rPr>
            </w:pPr>
            <w:r>
              <w:rPr>
                <w:noProof/>
              </w:rPr>
              <w:t>II. Julkisia hankintoja koskevan politiikan yhteinen koordinointielin hyväksyy ammatillistamisstrategian (ks. Italian ehdotettuun NRPP:hen liittyvä uudistus 2.1.6), joka sisältää ANACin ja kansallisen hallintokoulun tuella eri tasoilla tarjottavan koulutuksen, erityisohjauksen ja toimintaohjeiden laatimisen.</w:t>
            </w:r>
          </w:p>
          <w:p w14:paraId="2E3B8698" w14:textId="77777777" w:rsidR="00E42B18" w:rsidRDefault="009629C4">
            <w:pPr>
              <w:pStyle w:val="P68B1DB1-Normal12"/>
              <w:spacing w:after="120"/>
              <w:rPr>
                <w:rFonts w:cs="Arial"/>
                <w:noProof/>
              </w:rPr>
            </w:pPr>
            <w:r>
              <w:rPr>
                <w:noProof/>
              </w:rPr>
              <w:t>III. Consip asettaa saataville dynaamiset hankintajärjestelmät, ja ne ovat julkisia hankintoja koskevien direktiivien mukaisia.</w:t>
            </w:r>
          </w:p>
          <w:p w14:paraId="3CA74ED5" w14:textId="77777777" w:rsidR="00E42B18" w:rsidRDefault="009629C4">
            <w:pPr>
              <w:pStyle w:val="P68B1DB1-Normal11"/>
              <w:spacing w:after="120"/>
              <w:rPr>
                <w:rFonts w:cs="Arial"/>
                <w:noProof/>
                <w:szCs w:val="20"/>
              </w:rPr>
            </w:pPr>
            <w:r>
              <w:rPr>
                <w:noProof/>
              </w:rPr>
              <w:t>IV. ANAC saattaa päätökseen hankintaviranomaisten kelpuuttamisen hankintakapasiteetin osalta julkisia hankintoja koskevan koodeksin 38 §:n täytäntöönpanon jälkeen.</w:t>
            </w:r>
          </w:p>
          <w:p w14:paraId="79882481" w14:textId="77777777" w:rsidR="00E42B18" w:rsidRDefault="009629C4">
            <w:pPr>
              <w:pStyle w:val="P68B1DB1-Normal11"/>
              <w:spacing w:after="120"/>
              <w:rPr>
                <w:rFonts w:cs="Arial"/>
                <w:noProof/>
                <w:szCs w:val="20"/>
              </w:rPr>
            </w:pPr>
            <w:r>
              <w:rPr>
                <w:noProof/>
              </w:rPr>
              <w:t>v. Seurantajärjestelmä, joka koskee sopimuksen tekemisen ja infrastruktuuritöiden valmistumisen välistä aikaa, on toiminnassa.</w:t>
            </w:r>
          </w:p>
          <w:p w14:paraId="76ED74FA" w14:textId="77777777" w:rsidR="00E42B18" w:rsidRDefault="009629C4">
            <w:pPr>
              <w:pStyle w:val="P68B1DB1-Normal11"/>
              <w:spacing w:after="120"/>
              <w:rPr>
                <w:rFonts w:cs="Arial"/>
                <w:noProof/>
                <w:szCs w:val="20"/>
              </w:rPr>
            </w:pPr>
            <w:r>
              <w:rPr>
                <w:noProof/>
              </w:rPr>
              <w:t>VI. Tiedot kaikista sopimuksista kirjataan kansallisen korruptiontorjuntaviranomaisen (ANAC) korruptiontorjuntatietokantaan.</w:t>
            </w:r>
          </w:p>
          <w:p w14:paraId="0EAD8E70" w14:textId="77777777" w:rsidR="00E42B18" w:rsidRDefault="009629C4">
            <w:pPr>
              <w:pStyle w:val="P68B1DB1-Normal12"/>
              <w:spacing w:after="120"/>
              <w:rPr>
                <w:rFonts w:cs="Arial"/>
                <w:noProof/>
              </w:rPr>
            </w:pPr>
            <w:r>
              <w:rPr>
                <w:noProof/>
              </w:rPr>
              <w:t>VII. Kaikki ministeriöiden, alueiden ja suurkaupunkien julkisista hankintamenettelyistä vastaavat virastot.</w:t>
            </w:r>
          </w:p>
        </w:tc>
      </w:tr>
      <w:tr w:rsidR="00E42B18" w14:paraId="5025E30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E14D2" w14:textId="77777777" w:rsidR="00E42B18" w:rsidRDefault="009629C4">
            <w:pPr>
              <w:pStyle w:val="P68B1DB1-Normal11"/>
              <w:jc w:val="center"/>
              <w:rPr>
                <w:rFonts w:cs="Arial"/>
                <w:noProof/>
                <w:szCs w:val="20"/>
              </w:rPr>
            </w:pPr>
            <w:r>
              <w:rPr>
                <w:noProof/>
              </w:rPr>
              <w:t>M1C1–72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D1BA8C" w14:textId="77777777" w:rsidR="00E42B18" w:rsidRDefault="009629C4">
            <w:pPr>
              <w:pStyle w:val="P68B1DB1-Normal12"/>
              <w:jc w:val="center"/>
              <w:rPr>
                <w:rFonts w:cs="Arial"/>
                <w:noProof/>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EE42E3"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88B084" w14:textId="77777777" w:rsidR="00E42B18" w:rsidRDefault="009629C4">
            <w:pPr>
              <w:pStyle w:val="P68B1DB1-Normal12"/>
              <w:jc w:val="center"/>
              <w:rPr>
                <w:rFonts w:cs="Arial"/>
                <w:noProof/>
              </w:rPr>
            </w:pPr>
            <w:r>
              <w:rPr>
                <w:noProof/>
              </w:rPr>
              <w:t>Hyväksytään toimenpiteitä, joilla vähennetään julkishallinnon yrityksille suorittamia maksuviivästyksiä</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89EAD" w14:textId="77777777" w:rsidR="00E42B18" w:rsidRDefault="009629C4">
            <w:pPr>
              <w:pStyle w:val="P68B1DB1-Normal12"/>
              <w:jc w:val="center"/>
              <w:rPr>
                <w:rFonts w:cs="Arial"/>
                <w:noProof/>
              </w:rPr>
            </w:pPr>
            <w:r>
              <w:rPr>
                <w:noProof/>
              </w:rPr>
              <w:t>Lain säännös, joka koskee maksajaviraston yrityksille suorittamien maksuviivästysten vähentämistä koskevien sääntöjen voimaantuloa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1C542C"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D6099B"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3B4F30"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989AD"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039640"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A7FE5F" w14:textId="77777777" w:rsidR="00E42B18" w:rsidRDefault="009629C4">
            <w:pPr>
              <w:pStyle w:val="P68B1DB1-Normal12"/>
              <w:spacing w:after="120"/>
              <w:rPr>
                <w:rFonts w:cs="Arial"/>
                <w:noProof/>
              </w:rPr>
            </w:pPr>
            <w:r>
              <w:rPr>
                <w:noProof/>
              </w:rPr>
              <w:t>Uusien sääntöjen voimaantulo julkishallinnon yrityksille suorittamien maksuviivästysten vähentämiseksi.</w:t>
            </w:r>
          </w:p>
          <w:p w14:paraId="60D67CA5" w14:textId="77777777" w:rsidR="00E42B18" w:rsidRDefault="009629C4">
            <w:pPr>
              <w:pStyle w:val="P68B1DB1-Normal11"/>
              <w:spacing w:after="120"/>
              <w:rPr>
                <w:rFonts w:cs="Arial"/>
                <w:noProof/>
                <w:szCs w:val="20"/>
              </w:rPr>
            </w:pPr>
            <w:r>
              <w:rPr>
                <w:noProof/>
              </w:rPr>
              <w:t>Toimenpiteisiin on sisällyttävä ainakin seuraavat keskeiset osatekijät:</w:t>
            </w:r>
          </w:p>
          <w:p w14:paraId="1F78A2C8" w14:textId="77777777" w:rsidR="00E42B18" w:rsidRDefault="009629C4">
            <w:pPr>
              <w:pStyle w:val="P68B1DB1-Normal16"/>
              <w:spacing w:after="120"/>
              <w:rPr>
                <w:rFonts w:cs="Arial"/>
                <w:noProof/>
                <w:color w:val="006100"/>
              </w:rPr>
            </w:pPr>
            <w:r>
              <w:rPr>
                <w:noProof/>
                <w:color w:val="006100"/>
              </w:rPr>
              <w:t>I.</w:t>
            </w:r>
            <w:r>
              <w:rPr>
                <w:noProof/>
              </w:rPr>
              <w:t xml:space="preserve"> </w:t>
            </w:r>
            <w:r>
              <w:rPr>
                <w:noProof/>
                <w:color w:val="006100"/>
              </w:rPr>
              <w:t>Järjestelmän InIT-järjestelmä otetaan käyttöön keskushallinnossa talous- ja rahoituskirjanpidon ja julkisten menojen toteuttamisen tukemiseksi.</w:t>
            </w:r>
          </w:p>
          <w:p w14:paraId="72098827" w14:textId="75D02406" w:rsidR="00E42B18" w:rsidRDefault="009629C4">
            <w:pPr>
              <w:pStyle w:val="P68B1DB1-Normal16"/>
              <w:spacing w:after="120"/>
              <w:rPr>
                <w:rFonts w:cs="Arial"/>
                <w:noProof/>
                <w:color w:val="006100"/>
              </w:rPr>
            </w:pPr>
            <w:r>
              <w:rPr>
                <w:noProof/>
                <w:color w:val="006100"/>
              </w:rPr>
              <w:t>II.</w:t>
            </w:r>
            <w:r>
              <w:rPr>
                <w:noProof/>
              </w:rPr>
              <w:t xml:space="preserve"> </w:t>
            </w:r>
            <w:r>
              <w:rPr>
                <w:noProof/>
                <w:color w:val="006100"/>
              </w:rPr>
              <w:t>Maksuviivästykset: MoF-tietojärjestelmän (Commercial Credit Platform – PCC) tietokantaan perustuvat indikaattorit ovat viranomaisten yrityksille maksamien maksujen painotettu keskiarvo ja viranomaisten yrityksille maksamien maksujen painotettu keskiarvo kullakin seuraavista julkishallinnon tasoista:</w:t>
            </w:r>
          </w:p>
          <w:p w14:paraId="72B93487" w14:textId="77777777" w:rsidR="00E42B18" w:rsidRDefault="009629C4">
            <w:pPr>
              <w:pStyle w:val="P68B1DB1-Normal12"/>
              <w:numPr>
                <w:ilvl w:val="0"/>
                <w:numId w:val="20"/>
              </w:numPr>
              <w:spacing w:after="120" w:line="240" w:lineRule="auto"/>
              <w:ind w:left="341" w:hanging="283"/>
              <w:rPr>
                <w:rFonts w:cs="Arial"/>
                <w:noProof/>
              </w:rPr>
            </w:pPr>
            <w:r>
              <w:rPr>
                <w:noProof/>
              </w:rPr>
              <w:t>keskusviranomaiset (Amministrazioni dello Stato, enti pubblici nazionali e altri enti)</w:t>
            </w:r>
          </w:p>
          <w:p w14:paraId="462122B1" w14:textId="77777777" w:rsidR="00E42B18" w:rsidRDefault="009629C4">
            <w:pPr>
              <w:pStyle w:val="P68B1DB1-Normal12"/>
              <w:numPr>
                <w:ilvl w:val="0"/>
                <w:numId w:val="20"/>
              </w:numPr>
              <w:spacing w:after="120" w:line="240" w:lineRule="auto"/>
              <w:ind w:left="341" w:hanging="283"/>
              <w:rPr>
                <w:rFonts w:cs="Arial"/>
                <w:noProof/>
              </w:rPr>
            </w:pPr>
            <w:r>
              <w:rPr>
                <w:noProof/>
              </w:rPr>
              <w:t>alueviranomaiset (Regioni ja Autonome)</w:t>
            </w:r>
          </w:p>
          <w:p w14:paraId="003CBFB0" w14:textId="77777777" w:rsidR="00E42B18" w:rsidRDefault="009629C4">
            <w:pPr>
              <w:pStyle w:val="P68B1DB1-Normal12"/>
              <w:numPr>
                <w:ilvl w:val="0"/>
                <w:numId w:val="20"/>
              </w:numPr>
              <w:spacing w:after="120" w:line="240" w:lineRule="auto"/>
              <w:ind w:left="341" w:hanging="283"/>
              <w:rPr>
                <w:rFonts w:cs="Arial"/>
                <w:noProof/>
              </w:rPr>
            </w:pPr>
            <w:r>
              <w:rPr>
                <w:noProof/>
              </w:rPr>
              <w:t>paikallisviranomaiset (enti locali)</w:t>
            </w:r>
          </w:p>
          <w:p w14:paraId="35927F2E" w14:textId="77777777" w:rsidR="00E42B18" w:rsidRDefault="009629C4">
            <w:pPr>
              <w:pStyle w:val="P68B1DB1-Normal12"/>
              <w:numPr>
                <w:ilvl w:val="0"/>
                <w:numId w:val="20"/>
              </w:numPr>
              <w:spacing w:after="120" w:line="240" w:lineRule="auto"/>
              <w:ind w:left="341" w:hanging="283"/>
              <w:rPr>
                <w:rFonts w:cs="Arial"/>
                <w:noProof/>
              </w:rPr>
            </w:pPr>
            <w:r>
              <w:rPr>
                <w:noProof/>
              </w:rPr>
              <w:t>kansanterveysviranomaiset (enti del Servizio sanitario nazionale).</w:t>
            </w:r>
          </w:p>
        </w:tc>
      </w:tr>
      <w:tr w:rsidR="00E42B18" w14:paraId="644BA14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43BB1" w14:textId="77777777" w:rsidR="00E42B18" w:rsidRDefault="009629C4">
            <w:pPr>
              <w:pStyle w:val="P68B1DB1-Normal11"/>
              <w:jc w:val="center"/>
              <w:rPr>
                <w:rFonts w:cs="Arial"/>
                <w:noProof/>
                <w:szCs w:val="20"/>
              </w:rPr>
            </w:pPr>
            <w:r>
              <w:rPr>
                <w:noProof/>
              </w:rPr>
              <w:t>M1C1–72a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F2EA90" w14:textId="77777777" w:rsidR="00E42B18" w:rsidRDefault="009629C4">
            <w:pPr>
              <w:pStyle w:val="P68B1DB1-Normal12"/>
              <w:jc w:val="center"/>
              <w:rPr>
                <w:rFonts w:cs="Arial"/>
                <w:noProof/>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1D7A6A"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EE281E" w14:textId="77777777" w:rsidR="00E42B18" w:rsidRDefault="009629C4">
            <w:pPr>
              <w:pStyle w:val="P68B1DB1-Normal12"/>
              <w:jc w:val="center"/>
              <w:rPr>
                <w:rFonts w:cs="Arial"/>
                <w:noProof/>
              </w:rPr>
            </w:pPr>
            <w:r>
              <w:rPr>
                <w:noProof/>
              </w:rPr>
              <w:t>Lainsäädäntö- ja erityistoimet maksuviivästysten vähentämiseksi keskus- ja paikallistasolla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861198" w14:textId="77777777" w:rsidR="00E42B18" w:rsidRDefault="009629C4">
            <w:pPr>
              <w:pStyle w:val="P68B1DB1-Normal12"/>
              <w:jc w:val="center"/>
              <w:rPr>
                <w:rFonts w:cs="Arial"/>
                <w:noProof/>
              </w:rPr>
            </w:pPr>
            <w:r>
              <w:rPr>
                <w:noProof/>
              </w:rPr>
              <w:t>Lainsäädännön säännös, jossa ilmoitetaan voimaantulo, hyväksytyt kiertokirjeet ja toteutetut toimenpiteet julkishallinnon yrityksille suorittamien maksuviivästysten vähentämiseksi</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5DB016"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391ADB"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C7F562"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1DA8CA"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E10E59"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F03250" w14:textId="77777777" w:rsidR="00E42B18" w:rsidRDefault="009629C4">
            <w:pPr>
              <w:pStyle w:val="P68B1DB1-Normal11"/>
              <w:spacing w:after="120"/>
              <w:rPr>
                <w:rFonts w:cs="Arial"/>
                <w:noProof/>
              </w:rPr>
            </w:pPr>
            <w:r>
              <w:rPr>
                <w:noProof/>
              </w:rPr>
              <w:t>Seuraavat säädökset tulevat voimaan:</w:t>
            </w:r>
          </w:p>
          <w:p w14:paraId="60C719ED" w14:textId="77777777" w:rsidR="00E42B18" w:rsidRDefault="009629C4">
            <w:pPr>
              <w:pStyle w:val="P68B1DB1-Normal11"/>
              <w:spacing w:after="120"/>
              <w:rPr>
                <w:rFonts w:cs="Arial"/>
                <w:noProof/>
                <w:szCs w:val="20"/>
              </w:rPr>
            </w:pPr>
            <w:r>
              <w:rPr>
                <w:noProof/>
              </w:rPr>
              <w:t xml:space="preserve">— yleiskirje, jossa selvennetään kaupallisten ja ei-kaupallisten toimien soveltamisalaa maksuviivästysdirektiivin mukaisesti; </w:t>
            </w:r>
          </w:p>
          <w:p w14:paraId="513A8478" w14:textId="77777777" w:rsidR="00E42B18" w:rsidRDefault="009629C4">
            <w:pPr>
              <w:pStyle w:val="P68B1DB1-Normal11"/>
              <w:spacing w:after="120"/>
              <w:rPr>
                <w:rFonts w:cs="Arial"/>
                <w:noProof/>
                <w:szCs w:val="20"/>
              </w:rPr>
            </w:pPr>
            <w:r>
              <w:rPr>
                <w:noProof/>
              </w:rPr>
              <w:t>— kiertokirje, jossa selvennetään maksuviivästysdirektiivin 4 artiklan 6 kohdan soveltamisalaa viimeksi mainitun mukaisesti;</w:t>
            </w:r>
          </w:p>
          <w:p w14:paraId="4CF8D499" w14:textId="77777777" w:rsidR="00E42B18" w:rsidRDefault="009629C4">
            <w:pPr>
              <w:pStyle w:val="P68B1DB1-Normal11"/>
              <w:spacing w:after="120"/>
              <w:rPr>
                <w:rFonts w:cs="Arial"/>
                <w:noProof/>
                <w:szCs w:val="20"/>
              </w:rPr>
            </w:pPr>
            <w:r>
              <w:rPr>
                <w:noProof/>
              </w:rPr>
              <w:t>— lainsäädäntö, jolla varmistetaan, että yleiset alueet ja paikallisviranomaiset saavat varoja, jotta ne voivat ottaa laskunsa vastaan ajoissa keskustasolta;</w:t>
            </w:r>
          </w:p>
          <w:p w14:paraId="0100C5BB" w14:textId="77777777" w:rsidR="00E42B18" w:rsidRDefault="009629C4">
            <w:pPr>
              <w:pStyle w:val="P68B1DB1-Normal11"/>
              <w:spacing w:after="120"/>
              <w:rPr>
                <w:rFonts w:cs="Arial"/>
                <w:noProof/>
                <w:szCs w:val="20"/>
              </w:rPr>
            </w:pPr>
            <w:r>
              <w:rPr>
                <w:noProof/>
              </w:rPr>
              <w:t>— lainsäädäntö, jossa edellytetään, että viranomaiset hyväksyvät vuotuiset kassavirtasuunnitelmat, joilla varmistetaan laillisten maksuaikojen noudattaminen;</w:t>
            </w:r>
          </w:p>
          <w:p w14:paraId="15AE49BD" w14:textId="77777777" w:rsidR="00E42B18" w:rsidRDefault="009629C4">
            <w:pPr>
              <w:pStyle w:val="P68B1DB1-Normal12"/>
              <w:rPr>
                <w:noProof/>
              </w:rPr>
            </w:pPr>
            <w:r>
              <w:rPr>
                <w:noProof/>
              </w:rPr>
              <w:t>— lainsäädäntö, jolla otetaan käyttöön säännöksiä, joilla sallitaan luotonanto kolmansille sen jälkeen, kun julkishallinto on 30 päivän hiljaisuuden tai toimimatta jättämisen jälkeen jättänyt toimimatta.</w:t>
            </w:r>
          </w:p>
          <w:p w14:paraId="3979D0CD" w14:textId="03CB501E" w:rsidR="00E42B18" w:rsidRDefault="009629C4">
            <w:pPr>
              <w:pStyle w:val="P68B1DB1-Normal11"/>
              <w:rPr>
                <w:b/>
                <w:bCs/>
                <w:noProof/>
                <w:szCs w:val="20"/>
              </w:rPr>
            </w:pPr>
            <w:r>
              <w:rPr>
                <w:b/>
                <w:noProof/>
              </w:rPr>
              <w:t>Keskustasolla toteutetaan seuraavat toimet:</w:t>
            </w:r>
            <w:r>
              <w:rPr>
                <w:noProof/>
              </w:rPr>
              <w:t xml:space="preserve"> </w:t>
            </w:r>
          </w:p>
          <w:p w14:paraId="114C21F1" w14:textId="77777777" w:rsidR="00E42B18" w:rsidRDefault="009629C4">
            <w:pPr>
              <w:pStyle w:val="P68B1DB1-Normal12"/>
              <w:spacing w:after="120"/>
              <w:rPr>
                <w:rFonts w:cs="Arial"/>
                <w:noProof/>
              </w:rPr>
            </w:pPr>
            <w:r>
              <w:rPr>
                <w:noProof/>
              </w:rPr>
              <w:t xml:space="preserve">— Sellaisen lainsäädännön voimaantulo, jossa yksilöidään myöhässä olevat maksajat keskustasolla ja edellytetään sellaisten toimenpiteiden toteuttamista, joilla varmistetaan, että maksajat maksavat 30 päivän kuluessa; </w:t>
            </w:r>
          </w:p>
          <w:p w14:paraId="30BEC962" w14:textId="77777777" w:rsidR="00E42B18" w:rsidRDefault="009629C4">
            <w:pPr>
              <w:pStyle w:val="P68B1DB1-Normal11"/>
              <w:spacing w:after="120"/>
              <w:rPr>
                <w:rFonts w:cs="Arial"/>
                <w:noProof/>
                <w:szCs w:val="20"/>
              </w:rPr>
            </w:pPr>
            <w:r>
              <w:rPr>
                <w:noProof/>
              </w:rPr>
              <w:t>— Neljännesvuosittain päivitettyjen ministeriöiden maksurästien julkistaminen;</w:t>
            </w:r>
          </w:p>
          <w:p w14:paraId="22407C3C" w14:textId="77777777" w:rsidR="00E42B18" w:rsidRDefault="009629C4">
            <w:pPr>
              <w:pStyle w:val="P68B1DB1-Normal12"/>
              <w:spacing w:after="120"/>
              <w:rPr>
                <w:rFonts w:cs="Arial"/>
                <w:noProof/>
              </w:rPr>
            </w:pPr>
            <w:r>
              <w:rPr>
                <w:noProof/>
              </w:rPr>
              <w:t xml:space="preserve">— Erityisryhmien perustaminen, jos lainsäädäntö sitä edellyttää. </w:t>
            </w:r>
          </w:p>
          <w:p w14:paraId="1EEAD627" w14:textId="77777777" w:rsidR="00E42B18" w:rsidRDefault="009629C4">
            <w:pPr>
              <w:pStyle w:val="P68B1DB1-Normal11"/>
              <w:spacing w:after="120"/>
              <w:rPr>
                <w:rFonts w:cs="Arial"/>
                <w:b/>
                <w:bCs/>
                <w:noProof/>
                <w:szCs w:val="20"/>
              </w:rPr>
            </w:pPr>
            <w:r>
              <w:rPr>
                <w:b/>
                <w:noProof/>
              </w:rPr>
              <w:t>Paikallistasolla</w:t>
            </w:r>
            <w:r>
              <w:rPr>
                <w:noProof/>
              </w:rPr>
              <w:t>on toteutettava seuraavat toimet:</w:t>
            </w:r>
            <w:r>
              <w:rPr>
                <w:b/>
                <w:noProof/>
              </w:rPr>
              <w:t xml:space="preserve"> </w:t>
            </w:r>
          </w:p>
          <w:p w14:paraId="32264D2B" w14:textId="29CD4034" w:rsidR="00E42B18" w:rsidRDefault="009629C4">
            <w:pPr>
              <w:pStyle w:val="P68B1DB1-Normal12"/>
              <w:spacing w:after="120"/>
              <w:rPr>
                <w:rFonts w:cs="Arial"/>
                <w:noProof/>
              </w:rPr>
            </w:pPr>
            <w:r>
              <w:rPr>
                <w:noProof/>
              </w:rPr>
              <w:t xml:space="preserve">— Sellaisen lainsäädännön voimaantulo, jossa yksilöidään maksuviivästykset paikallisella tasolla ja edellytetään sellaisten toimenpiteiden toteuttamista, joilla varmistetaan, että maksajat maksavat 30 päivän kuluessa; </w:t>
            </w:r>
          </w:p>
          <w:p w14:paraId="026B2A8A" w14:textId="77777777" w:rsidR="00E42B18" w:rsidRDefault="009629C4">
            <w:pPr>
              <w:pStyle w:val="P68B1DB1-Normal11"/>
              <w:spacing w:after="120"/>
              <w:rPr>
                <w:rFonts w:cs="Arial"/>
                <w:noProof/>
                <w:szCs w:val="20"/>
              </w:rPr>
            </w:pPr>
            <w:r>
              <w:rPr>
                <w:noProof/>
              </w:rPr>
              <w:t>— Näiden viranomaisten maksurästit julkaistaan neljännesvuosittain.</w:t>
            </w:r>
          </w:p>
        </w:tc>
      </w:tr>
      <w:tr w:rsidR="00E42B18" w14:paraId="4EEB828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774D5B" w14:textId="77777777" w:rsidR="00E42B18" w:rsidRDefault="009629C4">
            <w:pPr>
              <w:pStyle w:val="P68B1DB1-Normal12"/>
              <w:jc w:val="center"/>
              <w:rPr>
                <w:rFonts w:cs="Arial"/>
                <w:noProof/>
              </w:rPr>
            </w:pPr>
            <w:r>
              <w:rPr>
                <w:noProof/>
              </w:rPr>
              <w:t>M1C1–72ter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DF72C0" w14:textId="77777777" w:rsidR="00E42B18" w:rsidRDefault="009629C4">
            <w:pPr>
              <w:pStyle w:val="P68B1DB1-Normal12"/>
              <w:jc w:val="center"/>
              <w:rPr>
                <w:rFonts w:cs="Arial"/>
                <w:noProof/>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20FA9"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F8D0D" w14:textId="77777777" w:rsidR="00E42B18" w:rsidRDefault="009629C4">
            <w:pPr>
              <w:pStyle w:val="P68B1DB1-Normal11"/>
              <w:jc w:val="center"/>
              <w:rPr>
                <w:rFonts w:cs="Arial"/>
                <w:noProof/>
                <w:szCs w:val="20"/>
              </w:rPr>
            </w:pPr>
            <w:r>
              <w:rPr>
                <w:noProof/>
              </w:rPr>
              <w:t>Lisätään maksumäärärahoja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B31094" w14:textId="4224D24C" w:rsidR="00E42B18" w:rsidRDefault="009629C4">
            <w:pPr>
              <w:pStyle w:val="P68B1DB1-Normal12"/>
              <w:jc w:val="center"/>
              <w:rPr>
                <w:rFonts w:cs="Arial"/>
                <w:noProof/>
              </w:rPr>
            </w:pPr>
            <w:r>
              <w:rPr>
                <w:noProof/>
              </w:rPr>
              <w:t>Säännös, joka koskee sellaisen lainsäädännön voimaantuloa, jossa säädetään mahdollisuudesta lisätä maksumäärärahoja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8FC3F9"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5E08DC"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86E538"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47494"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C9266F"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D453E7" w14:textId="77777777" w:rsidR="00E42B18" w:rsidRDefault="009629C4">
            <w:pPr>
              <w:pStyle w:val="P68B1DB1-Normal12"/>
              <w:spacing w:after="120"/>
              <w:rPr>
                <w:rFonts w:cs="Arial"/>
                <w:noProof/>
              </w:rPr>
            </w:pPr>
            <w:r>
              <w:rPr>
                <w:noProof/>
              </w:rPr>
              <w:t>Sellaisten säädösten voimaantulo, joissa säädetään mahdollisuudesta lisätä maksumäärärahoja seuraavilla aloilla:</w:t>
            </w:r>
          </w:p>
          <w:p w14:paraId="1BA3AE32" w14:textId="77777777" w:rsidR="00E42B18" w:rsidRDefault="009629C4">
            <w:pPr>
              <w:pStyle w:val="P68B1DB1-Normal12"/>
              <w:spacing w:after="120"/>
              <w:rPr>
                <w:rFonts w:cs="Arial"/>
                <w:noProof/>
              </w:rPr>
            </w:pPr>
            <w:r>
              <w:rPr>
                <w:noProof/>
              </w:rPr>
              <w:t>— Ministeriöt, jotka yksilöivät myöhästyneiksi maksajiksi, jotka toimittivat interventiosuunnitelman 2.3.2024 annetun asetuksen nro 19, sellaisena kuin se on muutettuna 29.4.2024 annetulla lailla nro 56, mukaisesti</w:t>
            </w:r>
          </w:p>
          <w:p w14:paraId="715E6F94" w14:textId="31862F88" w:rsidR="00E42B18" w:rsidRDefault="009629C4">
            <w:pPr>
              <w:pStyle w:val="P68B1DB1-Normal12"/>
              <w:spacing w:after="120"/>
              <w:rPr>
                <w:rFonts w:cs="Arial"/>
                <w:noProof/>
              </w:rPr>
            </w:pPr>
            <w:r>
              <w:rPr>
                <w:noProof/>
              </w:rPr>
              <w:t>— yli 60000 asukkaan kunnat, maakunnat ja suurkaupunkialueet, jotka ovat määritelleet myöhässä maksajiksi ja toimittivat toimenpidesuunnitelman 2.3.2024 annetun asetuksen nro 19, sellaisena kuin se on muutettuna 29.4.2024 annetulla lailla nro 56, mukaisesti.</w:t>
            </w:r>
          </w:p>
        </w:tc>
      </w:tr>
      <w:tr w:rsidR="00E42B18" w14:paraId="0B0A6D1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BD90D" w14:textId="77777777" w:rsidR="00E42B18" w:rsidRDefault="009629C4">
            <w:pPr>
              <w:pStyle w:val="P68B1DB1-Normal11"/>
              <w:jc w:val="center"/>
              <w:rPr>
                <w:rFonts w:cs="Arial"/>
                <w:noProof/>
                <w:szCs w:val="20"/>
              </w:rPr>
            </w:pPr>
            <w:r>
              <w:rPr>
                <w:noProof/>
              </w:rPr>
              <w:t>M1C1–72quater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C2974C" w14:textId="77777777" w:rsidR="00E42B18" w:rsidRDefault="009629C4">
            <w:pPr>
              <w:pStyle w:val="P68B1DB1-Normal12"/>
              <w:jc w:val="center"/>
              <w:rPr>
                <w:rFonts w:cs="Arial"/>
                <w:noProof/>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3314B5"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AE0BEB" w14:textId="77777777" w:rsidR="00E42B18" w:rsidRDefault="009629C4">
            <w:pPr>
              <w:pStyle w:val="P68B1DB1-Normal12"/>
              <w:jc w:val="center"/>
              <w:rPr>
                <w:noProof/>
              </w:rPr>
            </w:pPr>
            <w:r>
              <w:rPr>
                <w:noProof/>
              </w:rPr>
              <w:t>Tarkastussuunnitelman hyväksyminen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0BF7A2" w14:textId="77777777" w:rsidR="00E42B18" w:rsidRDefault="00E42B18">
            <w:pPr>
              <w:jc w:val="center"/>
              <w:rPr>
                <w:rFonts w:ascii="Arial Narrow" w:hAnsi="Arial Narrow"/>
                <w:noProof/>
                <w:color w:val="006100"/>
                <w:sz w:val="20"/>
                <w:szCs w:val="20"/>
              </w:rPr>
            </w:pPr>
          </w:p>
          <w:p w14:paraId="7327E3B5" w14:textId="77777777" w:rsidR="00E42B18" w:rsidRDefault="009629C4">
            <w:pPr>
              <w:pStyle w:val="P68B1DB1-Normal12"/>
              <w:jc w:val="center"/>
              <w:rPr>
                <w:noProof/>
              </w:rPr>
            </w:pPr>
            <w:r>
              <w:rPr>
                <w:noProof/>
              </w:rPr>
              <w:t>Tarkastussuunnitelman hyväksyminen</w:t>
            </w:r>
          </w:p>
          <w:p w14:paraId="5C577949" w14:textId="77777777" w:rsidR="00E42B18" w:rsidRDefault="00E42B18">
            <w:pPr>
              <w:spacing w:line="276" w:lineRule="auto"/>
              <w:jc w:val="center"/>
              <w:rPr>
                <w:rFonts w:ascii="Arial Narrow" w:hAnsi="Arial Narrow"/>
                <w:noProof/>
                <w:color w:val="0061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D4B9F7"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F0767"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BEFFB"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3249CC"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5FA3E"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DDBE9" w14:textId="77777777" w:rsidR="00E42B18" w:rsidRDefault="009629C4">
            <w:pPr>
              <w:pStyle w:val="P68B1DB1-Normal12"/>
              <w:spacing w:after="120"/>
              <w:rPr>
                <w:noProof/>
              </w:rPr>
            </w:pPr>
            <w:r>
              <w:rPr>
                <w:noProof/>
              </w:rPr>
              <w:t>Hyväksytään tarkastussuunnitelma, johon sisältyy etenemissuunnitelma sen täytäntöönpanemiseksi. Suunnitelma koskee nykyisten maksuprosessien riittävyyttä ja oikea-aikaisuutta vähintään 130:ssä myöhässä maksajaksi määritellyssä julkishallinnossa: I) keskustaso (mukaan lukien ministeriöiden alueelliset osastot); II) kunnat; ja iii) kansanterveysviranomaiset.</w:t>
            </w:r>
          </w:p>
        </w:tc>
      </w:tr>
      <w:tr w:rsidR="00E42B18" w14:paraId="79CEF00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8A17E" w14:textId="77777777" w:rsidR="00E42B18" w:rsidRDefault="009629C4">
            <w:pPr>
              <w:pStyle w:val="P68B1DB1-Normal11"/>
              <w:jc w:val="center"/>
              <w:rPr>
                <w:rFonts w:cs="Arial"/>
                <w:noProof/>
                <w:szCs w:val="20"/>
              </w:rPr>
            </w:pPr>
            <w:bookmarkStart w:id="4" w:name="_Hlk160473292"/>
            <w:r>
              <w:rPr>
                <w:noProof/>
              </w:rPr>
              <w:t>M1C1–72quinquies</w:t>
            </w:r>
            <w:bookmarkEnd w:id="4"/>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281BD7" w14:textId="77777777" w:rsidR="00E42B18" w:rsidRDefault="009629C4">
            <w:pPr>
              <w:pStyle w:val="P68B1DB1-Normal12"/>
              <w:jc w:val="center"/>
              <w:rPr>
                <w:rFonts w:cs="Arial"/>
                <w:noProof/>
              </w:rPr>
            </w:pPr>
            <w:bookmarkStart w:id="5" w:name="_Hlk160473280"/>
            <w:r>
              <w:rPr>
                <w:noProof/>
              </w:rPr>
              <w:t>Uudistus 1.11: Julkishallinnon ja terveysviranomaisten maksuviivästysten vähentäminen</w:t>
            </w:r>
            <w:bookmarkEnd w:id="5"/>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0E25F"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D4E47" w14:textId="1263B960" w:rsidR="00E42B18" w:rsidRDefault="009629C4">
            <w:pPr>
              <w:pStyle w:val="P68B1DB1-Normal11"/>
              <w:jc w:val="center"/>
              <w:rPr>
                <w:noProof/>
                <w:szCs w:val="20"/>
              </w:rPr>
            </w:pPr>
            <w:r>
              <w:rPr>
                <w:noProof/>
              </w:rPr>
              <w:t>Verkkosivusto, jolla on tietoa julkishallinnon suorittamista maksuista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2B7AC7" w14:textId="1152BF25" w:rsidR="00E42B18" w:rsidRDefault="009629C4">
            <w:pPr>
              <w:pStyle w:val="P68B1DB1-Normal11"/>
              <w:jc w:val="center"/>
              <w:rPr>
                <w:rFonts w:cs="Arial"/>
                <w:noProof/>
                <w:szCs w:val="20"/>
              </w:rPr>
            </w:pPr>
            <w:r>
              <w:rPr>
                <w:noProof/>
              </w:rPr>
              <w:t>Verkkosivusto, jolla on tietoa julkishallinnon suorittamista maksuista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1207E0"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C4DF36"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3F55A"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D87C9F"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1D493" w14:textId="77777777" w:rsidR="00E42B18" w:rsidRDefault="009629C4">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B4EC0F" w14:textId="681F0C55" w:rsidR="00E42B18" w:rsidRDefault="009629C4">
            <w:pPr>
              <w:pStyle w:val="P68B1DB1-Normal11"/>
              <w:spacing w:after="120"/>
              <w:rPr>
                <w:rFonts w:cs="Arial"/>
                <w:noProof/>
                <w:szCs w:val="20"/>
              </w:rPr>
            </w:pPr>
            <w:r>
              <w:rPr>
                <w:noProof/>
              </w:rPr>
              <w:t xml:space="preserve"> Seuraavat tiedot on julkaistava asiaa koskevalla verkkosivustolla:</w:t>
            </w:r>
          </w:p>
          <w:p w14:paraId="3664F49B" w14:textId="77777777" w:rsidR="00E42B18" w:rsidRDefault="009629C4">
            <w:pPr>
              <w:pStyle w:val="P68B1DB1-Normal12"/>
              <w:spacing w:after="120"/>
              <w:rPr>
                <w:noProof/>
              </w:rPr>
            </w:pPr>
            <w:r>
              <w:rPr>
                <w:noProof/>
              </w:rPr>
              <w:t>— Selvitys julkishallinnon kauppalaskujen maksuaikoja koskevasta sääntelykehyksestä, mukaan lukien maksumääräajat ja velkojien käytettävissä olevat oikeussuojakeinot maksuviivästysten tapauksessa;</w:t>
            </w:r>
          </w:p>
          <w:p w14:paraId="5A08A843" w14:textId="64E5159C" w:rsidR="00E42B18" w:rsidRDefault="009629C4">
            <w:pPr>
              <w:pStyle w:val="P68B1DB1-Normal12"/>
              <w:spacing w:after="120"/>
              <w:rPr>
                <w:noProof/>
              </w:rPr>
            </w:pPr>
            <w:r>
              <w:rPr>
                <w:noProof/>
              </w:rPr>
              <w:t>— Julkishallinnon maksuaikojen seurantaan perustuvat analyysit;</w:t>
            </w:r>
          </w:p>
          <w:p w14:paraId="192BF6E5" w14:textId="77777777" w:rsidR="00E42B18" w:rsidRDefault="009629C4">
            <w:pPr>
              <w:pStyle w:val="P68B1DB1-Normal12"/>
              <w:spacing w:after="120"/>
              <w:rPr>
                <w:noProof/>
              </w:rPr>
            </w:pPr>
            <w:r>
              <w:rPr>
                <w:noProof/>
              </w:rPr>
              <w:t>— Tiedot painotetusta keskimääräisestä maksuajasta, painotetusta keskimääräisestä maksuviivästyksestä, maksetun kauppasumman ja maksettavan kauppasumman välisestä suhteesta, kauppalaskujen määrästä ja muiden kuin kauppalaskujen määrästä, päivitetyt neljännesvuosittain vähintään kunkin menoministeriön (Ministero con Portafoglio ja Presidenza del Consiglio dei Ministri), kunkin alueen ja autonomisen maakunnan, kunkin kunnan ja kunkin terveysviranomaisen (Azienda Sanitaria Locale) osalta;</w:t>
            </w:r>
          </w:p>
          <w:p w14:paraId="46AB7FE4" w14:textId="77777777" w:rsidR="00E42B18" w:rsidRDefault="009629C4">
            <w:pPr>
              <w:pStyle w:val="P68B1DB1-Normal12"/>
              <w:spacing w:after="120"/>
              <w:rPr>
                <w:noProof/>
              </w:rPr>
            </w:pPr>
            <w:r>
              <w:rPr>
                <w:noProof/>
              </w:rPr>
              <w:t>— Usein kysyttyä julkishallinnon maksuista.</w:t>
            </w:r>
          </w:p>
          <w:p w14:paraId="4E17957E" w14:textId="77777777" w:rsidR="00E42B18" w:rsidRDefault="009629C4">
            <w:pPr>
              <w:pStyle w:val="P68B1DB1-Normal12"/>
              <w:spacing w:after="120"/>
              <w:rPr>
                <w:noProof/>
              </w:rPr>
            </w:pPr>
            <w:r>
              <w:rPr>
                <w:noProof/>
              </w:rPr>
              <w:t>Kaikkien asiasta vastaavien ministeriöiden (Ministeri con Portafoglio ja Presidenza del Consiglio dei Ministri) verkkosivustolla on oltava linkki tälle verkkosivustolle.</w:t>
            </w:r>
          </w:p>
        </w:tc>
      </w:tr>
      <w:tr w:rsidR="00E42B18" w14:paraId="650E583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DAC337" w14:textId="77777777" w:rsidR="00E42B18" w:rsidRDefault="009629C4">
            <w:pPr>
              <w:pStyle w:val="P68B1DB1-Normal11"/>
              <w:jc w:val="center"/>
              <w:rPr>
                <w:rFonts w:cs="Arial"/>
                <w:noProof/>
                <w:szCs w:val="20"/>
              </w:rPr>
            </w:pPr>
            <w:r>
              <w:rPr>
                <w:noProof/>
              </w:rPr>
              <w:t>M1C1–72-kuusi</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FCEE6" w14:textId="77777777" w:rsidR="00E42B18" w:rsidRDefault="009629C4">
            <w:pPr>
              <w:pStyle w:val="P68B1DB1-Normal12"/>
              <w:jc w:val="center"/>
              <w:rPr>
                <w:rFonts w:cs="Arial"/>
                <w:noProof/>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31370D"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19E456" w14:textId="77777777" w:rsidR="00E42B18" w:rsidRDefault="009629C4">
            <w:pPr>
              <w:pStyle w:val="P68B1DB1-Normal11"/>
              <w:jc w:val="center"/>
              <w:rPr>
                <w:rFonts w:cs="Arial"/>
                <w:noProof/>
                <w:szCs w:val="20"/>
              </w:rPr>
            </w:pPr>
            <w:r>
              <w:rPr>
                <w:noProof/>
              </w:rPr>
              <w:t>Tarkastussuunnitelmaa koskevan lopullisen tarkastuskertomuksen hyväksyminen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597F53" w14:textId="77777777" w:rsidR="00E42B18" w:rsidRDefault="009629C4">
            <w:pPr>
              <w:pStyle w:val="P68B1DB1-Normal11"/>
              <w:jc w:val="center"/>
              <w:rPr>
                <w:rFonts w:cs="Arial"/>
                <w:noProof/>
                <w:szCs w:val="20"/>
              </w:rPr>
            </w:pPr>
            <w:r>
              <w:rPr>
                <w:noProof/>
              </w:rPr>
              <w:t>Tarkastussuunnitelmaa koskevan lopullisen tarkastuskertomuksen hyväksyminen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7662F3"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EEF46"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EE38F4"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0BD163"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6CC09F" w14:textId="77777777" w:rsidR="00E42B18" w:rsidRDefault="009629C4">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65EC5" w14:textId="77777777" w:rsidR="00E42B18" w:rsidRDefault="009629C4">
            <w:pPr>
              <w:pStyle w:val="P68B1DB1-Normal11"/>
              <w:spacing w:after="120"/>
              <w:rPr>
                <w:rFonts w:cs="Arial"/>
                <w:noProof/>
                <w:szCs w:val="20"/>
              </w:rPr>
            </w:pPr>
            <w:r>
              <w:rPr>
                <w:noProof/>
              </w:rPr>
              <w:t>Tarkastussuunnitelmaa koskevan lopullisen tarkastuskertomuksen hyväksyminen, mukaan lukien vuoden 2025 neljänteen neljännekseen mennessä toteutetut korjaavat toimenpiteet tarkastustoimien tulosten perusteella.</w:t>
            </w:r>
          </w:p>
        </w:tc>
      </w:tr>
      <w:tr w:rsidR="00E42B18" w14:paraId="278E618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5B666F" w14:textId="77777777" w:rsidR="00E42B18" w:rsidRDefault="009629C4">
            <w:pPr>
              <w:pStyle w:val="P68B1DB1-Normal11"/>
              <w:jc w:val="center"/>
              <w:rPr>
                <w:rFonts w:cs="Arial"/>
                <w:noProof/>
                <w:szCs w:val="20"/>
              </w:rPr>
            </w:pPr>
            <w:r>
              <w:rPr>
                <w:noProof/>
              </w:rPr>
              <w:t>M1C1–73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5A776"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62C84"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684D6" w14:textId="77777777" w:rsidR="00E42B18" w:rsidRDefault="009629C4">
            <w:pPr>
              <w:pStyle w:val="P68B1DB1-Normal11"/>
              <w:jc w:val="center"/>
              <w:rPr>
                <w:rFonts w:cs="Arial"/>
                <w:noProof/>
                <w:szCs w:val="20"/>
              </w:rPr>
            </w:pPr>
            <w:r>
              <w:rPr>
                <w:noProof/>
              </w:rPr>
              <w:t>Julkisia hankintoja koskevan koodeksin uudistuksen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3117B" w14:textId="77777777" w:rsidR="00E42B18" w:rsidRDefault="009629C4">
            <w:pPr>
              <w:pStyle w:val="P68B1DB1-Normal12"/>
              <w:jc w:val="center"/>
              <w:rPr>
                <w:rFonts w:cs="Arial"/>
                <w:noProof/>
              </w:rPr>
            </w:pPr>
            <w:r>
              <w:rPr>
                <w:noProof/>
              </w:rPr>
              <w:t>Lakiin sisältyvä säännös, josta ilmenee, että lakiasetus tulee voimaan julkisia hankintoja koskevan lain kaikkien säännösten täytäntöönpanemiseksi.</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292BF"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474FD"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28F250"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4D031"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39534"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FEEF1" w14:textId="77777777" w:rsidR="00E42B18" w:rsidRDefault="009629C4">
            <w:pPr>
              <w:pStyle w:val="P68B1DB1-Normal11"/>
              <w:spacing w:before="100" w:beforeAutospacing="1" w:after="120"/>
              <w:rPr>
                <w:rFonts w:cs="Arial"/>
                <w:noProof/>
                <w:szCs w:val="20"/>
              </w:rPr>
            </w:pPr>
            <w:r>
              <w:rPr>
                <w:noProof/>
              </w:rPr>
              <w:t>Lakiasetus, jolla pannaan täytäntöön kaikki julkisia hankintoja koskevan koodeksin uudistamista koskevan valtuutuslain säännökset, tulee voimaan.</w:t>
            </w:r>
          </w:p>
        </w:tc>
      </w:tr>
      <w:tr w:rsidR="00E42B18" w14:paraId="09EEF92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13B70" w14:textId="77777777" w:rsidR="00E42B18" w:rsidRDefault="009629C4">
            <w:pPr>
              <w:pStyle w:val="P68B1DB1-Normal11"/>
              <w:jc w:val="center"/>
              <w:rPr>
                <w:rFonts w:cs="Arial"/>
                <w:noProof/>
                <w:szCs w:val="20"/>
              </w:rPr>
            </w:pPr>
            <w:r>
              <w:rPr>
                <w:noProof/>
              </w:rPr>
              <w:t>M1C1–74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91E9AB"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BDFE84"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D9ED09" w14:textId="77777777" w:rsidR="00E42B18" w:rsidRDefault="009629C4">
            <w:pPr>
              <w:pStyle w:val="P68B1DB1-Normal11"/>
              <w:jc w:val="center"/>
              <w:rPr>
                <w:rFonts w:cs="Arial"/>
                <w:noProof/>
                <w:szCs w:val="20"/>
              </w:rPr>
            </w:pPr>
            <w:r>
              <w:rPr>
                <w:noProof/>
              </w:rPr>
              <w:t>Kaikkien tarvittavien täytäntöönpanotoimenpiteiden ja sekundaarilainsäädännön voimaantulo julkisia hankintoja koskevan säännöstön yksinkertaistamiseksi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675F5E" w14:textId="77777777" w:rsidR="00E42B18" w:rsidRDefault="009629C4">
            <w:pPr>
              <w:pStyle w:val="P68B1DB1-Normal11"/>
              <w:jc w:val="center"/>
              <w:rPr>
                <w:rFonts w:cs="Arial"/>
                <w:noProof/>
                <w:szCs w:val="20"/>
              </w:rPr>
            </w:pPr>
            <w:r>
              <w:rPr>
                <w:noProof/>
              </w:rPr>
              <w:t>Kaikkien tarvittavien täytäntöönpanotoimenpiteiden ja johdetun oikeuden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25E9B"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448C2"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81C43"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40EB76"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9605C2"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678890" w14:textId="77777777" w:rsidR="00E42B18" w:rsidRDefault="009629C4">
            <w:pPr>
              <w:pStyle w:val="P68B1DB1-Normal12"/>
              <w:spacing w:before="100" w:beforeAutospacing="1" w:after="120"/>
              <w:rPr>
                <w:rFonts w:cs="Arial"/>
                <w:noProof/>
              </w:rPr>
            </w:pPr>
            <w:r>
              <w:rPr>
                <w:noProof/>
              </w:rPr>
              <w:t>Kaikkien tarvittavien täytäntöönpanotoimenpiteiden ja sekundaarilainsäädännön voimaantulo julkisia hankintoja koskevan järjestelmän uudistamiseksi/yksinkertaistamiseksi (myös julkisia hankintoja koskevan koodeksin tarkistamisen seurauksena).</w:t>
            </w:r>
          </w:p>
        </w:tc>
      </w:tr>
      <w:tr w:rsidR="00E42B18" w14:paraId="7745D03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D8CB72" w14:textId="77777777" w:rsidR="00E42B18" w:rsidRDefault="009629C4">
            <w:pPr>
              <w:pStyle w:val="P68B1DB1-Normal11"/>
              <w:spacing w:line="256" w:lineRule="auto"/>
              <w:jc w:val="center"/>
              <w:rPr>
                <w:rFonts w:eastAsia="Arial Narrow" w:cs="Arial Narrow"/>
                <w:noProof/>
                <w:szCs w:val="20"/>
              </w:rPr>
            </w:pPr>
            <w:r>
              <w:rPr>
                <w:noProof/>
              </w:rPr>
              <w:t>M1C1–73a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01A770" w14:textId="77777777" w:rsidR="00E42B18" w:rsidRDefault="009629C4">
            <w:pPr>
              <w:pStyle w:val="P68B1DB1-Normal11"/>
              <w:spacing w:line="256" w:lineRule="auto"/>
              <w:jc w:val="center"/>
              <w:rPr>
                <w:rFonts w:eastAsia="Arial Narrow" w:cs="Arial Narrow"/>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81310D" w14:textId="77777777" w:rsidR="00E42B18" w:rsidRDefault="009629C4">
            <w:pPr>
              <w:pStyle w:val="P68B1DB1-Normal11"/>
              <w:spacing w:line="256" w:lineRule="auto"/>
              <w:jc w:val="center"/>
              <w:rPr>
                <w:rFonts w:eastAsia="Arial Narrow" w:cs="Arial Narrow"/>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43B6DB" w14:textId="77777777" w:rsidR="00E42B18" w:rsidRDefault="009629C4">
            <w:pPr>
              <w:pStyle w:val="P68B1DB1-Normal11"/>
              <w:spacing w:beforeAutospacing="1" w:after="120" w:line="256" w:lineRule="auto"/>
              <w:jc w:val="center"/>
              <w:rPr>
                <w:rFonts w:eastAsia="Arial Narrow" w:cs="Arial Narrow"/>
                <w:noProof/>
                <w:szCs w:val="20"/>
              </w:rPr>
            </w:pPr>
            <w:r>
              <w:rPr>
                <w:noProof/>
              </w:rPr>
              <w:t>Hankintaviranomaisten kelpuuttamisjärjestelmää koskevan yleiskirjeen hyväksyminen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CAE890" w14:textId="77777777" w:rsidR="00E42B18" w:rsidRDefault="009629C4">
            <w:pPr>
              <w:pStyle w:val="P68B1DB1-Normal11"/>
              <w:spacing w:beforeAutospacing="1" w:after="120" w:line="256" w:lineRule="auto"/>
              <w:jc w:val="center"/>
              <w:rPr>
                <w:rFonts w:eastAsia="Arial Narrow" w:cs="Arial Narrow"/>
                <w:noProof/>
                <w:szCs w:val="20"/>
              </w:rPr>
            </w:pPr>
            <w:r>
              <w:rPr>
                <w:noProof/>
              </w:rPr>
              <w:t>Hankintaviranomaisten kelpuuttamisjärjestelmää koskevan yleiskirjeen hyväksyminen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8EA01" w14:textId="77777777" w:rsidR="00E42B18" w:rsidRDefault="009629C4">
            <w:pPr>
              <w:pStyle w:val="P68B1DB1-Normal11"/>
              <w:spacing w:line="256" w:lineRule="auto"/>
              <w:jc w:val="center"/>
              <w:rPr>
                <w:rFonts w:eastAsia="Arial Narrow" w:cs="Arial Narrow"/>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5EE6B" w14:textId="77777777" w:rsidR="00E42B18" w:rsidRDefault="009629C4">
            <w:pPr>
              <w:pStyle w:val="P68B1DB1-Normal11"/>
              <w:spacing w:line="256" w:lineRule="auto"/>
              <w:jc w:val="center"/>
              <w:rPr>
                <w:rFonts w:eastAsia="Arial Narrow" w:cs="Arial Narrow"/>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878B4" w14:textId="77777777" w:rsidR="00E42B18" w:rsidRDefault="009629C4">
            <w:pPr>
              <w:pStyle w:val="P68B1DB1-Normal11"/>
              <w:spacing w:line="256" w:lineRule="auto"/>
              <w:jc w:val="center"/>
              <w:rPr>
                <w:rFonts w:eastAsia="Arial Narrow" w:cs="Arial Narrow"/>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9B78B8" w14:textId="77777777" w:rsidR="00E42B18" w:rsidRDefault="009629C4">
            <w:pPr>
              <w:pStyle w:val="P68B1DB1-Normal11"/>
              <w:spacing w:line="256" w:lineRule="auto"/>
              <w:jc w:val="center"/>
              <w:rPr>
                <w:rFonts w:eastAsia="Arial Narrow" w:cs="Arial Narrow"/>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2F0D4" w14:textId="77777777" w:rsidR="00E42B18" w:rsidRDefault="009629C4">
            <w:pPr>
              <w:pStyle w:val="P68B1DB1-Normal11"/>
              <w:spacing w:line="256" w:lineRule="auto"/>
              <w:jc w:val="center"/>
              <w:rPr>
                <w:rFonts w:eastAsia="Arial Narrow" w:cs="Arial Narrow"/>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8DC185" w14:textId="77777777" w:rsidR="00E42B18" w:rsidRDefault="009629C4">
            <w:pPr>
              <w:pStyle w:val="P68B1DB1-Normal11"/>
              <w:spacing w:beforeAutospacing="1" w:after="120" w:line="256" w:lineRule="auto"/>
              <w:rPr>
                <w:rFonts w:eastAsia="Arial Narrow" w:cs="Arial Narrow"/>
                <w:noProof/>
                <w:szCs w:val="20"/>
              </w:rPr>
            </w:pPr>
            <w:r>
              <w:rPr>
                <w:noProof/>
              </w:rPr>
              <w:t xml:space="preserve">Hyväksytään ANACia kuultuaan kiertokirje, jossa annetaan ohjeita voimassa olevista kelpuuttamista ja keskittämistä koskevista säännöistä sen selventämiseksi, että yhteishankintayksiköiden hyväksyminen ja/tai käyttö myös kynnysarvojen alittavissa ratkaisuissa on mahdollista ja suositeltavaa </w:t>
            </w:r>
          </w:p>
        </w:tc>
      </w:tr>
      <w:tr w:rsidR="00E42B18" w14:paraId="3982244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30549" w14:textId="77777777" w:rsidR="00E42B18" w:rsidRDefault="009629C4">
            <w:pPr>
              <w:pStyle w:val="P68B1DB1-Normal12"/>
              <w:jc w:val="center"/>
              <w:rPr>
                <w:rFonts w:cs="Arial"/>
                <w:noProof/>
              </w:rPr>
            </w:pPr>
            <w:r>
              <w:rPr>
                <w:noProof/>
              </w:rPr>
              <w:t>M1C1–73ter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E99DD"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616CAE" w14:textId="77777777" w:rsidR="00E42B18" w:rsidRDefault="009629C4">
            <w:pPr>
              <w:pStyle w:val="P68B1DB1-Normal11"/>
              <w:spacing w:before="100" w:beforeAutospacing="1" w:after="120"/>
              <w:jc w:val="center"/>
              <w:rPr>
                <w:rFonts w:cs="Arial"/>
                <w:noProof/>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932E4B" w14:textId="77777777" w:rsidR="00E42B18" w:rsidRDefault="009629C4">
            <w:pPr>
              <w:pStyle w:val="P68B1DB1-Normal12"/>
              <w:spacing w:before="100" w:beforeAutospacing="1" w:after="120"/>
              <w:jc w:val="center"/>
              <w:rPr>
                <w:rFonts w:cs="Arial"/>
                <w:noProof/>
              </w:rPr>
            </w:pPr>
            <w:r>
              <w:rPr>
                <w:noProof/>
              </w:rPr>
              <w:t>Kannustimet hankintaviranomaisten pätevöitymiseen ja ammattimaisuuteen.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3E06B" w14:textId="77777777" w:rsidR="00E42B18" w:rsidRDefault="009629C4">
            <w:pPr>
              <w:pStyle w:val="P68B1DB1-Normal12"/>
              <w:spacing w:before="100" w:beforeAutospacing="1" w:after="120"/>
              <w:jc w:val="center"/>
              <w:rPr>
                <w:rFonts w:cs="Arial"/>
                <w:noProof/>
              </w:rPr>
            </w:pPr>
            <w:r>
              <w:rPr>
                <w:noProof/>
              </w:rPr>
              <w:t>Cabina di Regian analyysi, koulutustoimiin ja itsearviointiin osallistumisen tulosten julkaiseminen sekä aloitteiden ja välineiden hyväksyminen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A5354C"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A88F1"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64416B"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E84BB"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A6D21F"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D7E772" w14:textId="77777777" w:rsidR="00E42B18" w:rsidRDefault="009629C4">
            <w:pPr>
              <w:pStyle w:val="P68B1DB1-Normal12"/>
              <w:spacing w:before="100" w:beforeAutospacing="1" w:after="120"/>
              <w:rPr>
                <w:rFonts w:cs="Arial"/>
                <w:noProof/>
              </w:rPr>
            </w:pPr>
            <w:r>
              <w:rPr>
                <w:noProof/>
              </w:rPr>
              <w:t xml:space="preserve">Cabina di Regian analyysi (julkisia hankintoja koskevan koodeksin 221 artiklan mukaisesti) ANACia kuultuaan julkisia hankintoja koskevan koodeksin soveltamisen vaikutuksista seuraaviin: </w:t>
            </w:r>
          </w:p>
          <w:p w14:paraId="35D6E7BE" w14:textId="77777777" w:rsidR="00E42B18" w:rsidRDefault="009629C4">
            <w:pPr>
              <w:pStyle w:val="P68B1DB1-ListParagraph13"/>
              <w:numPr>
                <w:ilvl w:val="0"/>
                <w:numId w:val="21"/>
              </w:numPr>
              <w:spacing w:before="100" w:beforeAutospacing="1" w:after="120" w:line="240" w:lineRule="auto"/>
              <w:rPr>
                <w:rFonts w:cs="Arial"/>
                <w:noProof/>
              </w:rPr>
            </w:pPr>
            <w:r>
              <w:rPr>
                <w:noProof/>
              </w:rPr>
              <w:t xml:space="preserve">edellytykset täyttävien hankintaviranomaisten ja yhteishankintayksiköiden lukumäärä; </w:t>
            </w:r>
          </w:p>
          <w:p w14:paraId="10852A02" w14:textId="77777777" w:rsidR="00E42B18" w:rsidRDefault="009629C4">
            <w:pPr>
              <w:pStyle w:val="P68B1DB1-ListParagraph13"/>
              <w:numPr>
                <w:ilvl w:val="0"/>
                <w:numId w:val="21"/>
              </w:numPr>
              <w:spacing w:before="100" w:beforeAutospacing="1" w:after="120" w:line="240" w:lineRule="auto"/>
              <w:rPr>
                <w:rFonts w:cs="Arial"/>
                <w:noProof/>
              </w:rPr>
            </w:pPr>
            <w:r>
              <w:rPr>
                <w:noProof/>
              </w:rPr>
              <w:t xml:space="preserve">niiden hankintasopimusten lukumäärä ja arvo, joita pätevät hankintaviranomaiset hallinnoivat omissa nimissään ja ei-pätevien yksiköiden puolesta; </w:t>
            </w:r>
          </w:p>
          <w:p w14:paraId="5FA95B3A" w14:textId="2E7BA883" w:rsidR="00E42B18" w:rsidRDefault="009629C4">
            <w:pPr>
              <w:pStyle w:val="P68B1DB1-ListParagraph13"/>
              <w:numPr>
                <w:ilvl w:val="0"/>
                <w:numId w:val="21"/>
              </w:numPr>
              <w:spacing w:before="100" w:beforeAutospacing="1" w:after="120" w:line="240" w:lineRule="auto"/>
              <w:rPr>
                <w:rFonts w:cs="Arial"/>
                <w:noProof/>
              </w:rPr>
            </w:pPr>
            <w:r>
              <w:rPr>
                <w:noProof/>
              </w:rPr>
              <w:t xml:space="preserve">pätevyysharjoituksen tarkoituksena on nopeuttaa päätöksentekoa julkisia hankintoja koskevien sopimusten tekemisessä. </w:t>
            </w:r>
          </w:p>
          <w:p w14:paraId="7F1DAB5D" w14:textId="77777777" w:rsidR="00E42B18" w:rsidRDefault="009629C4">
            <w:pPr>
              <w:pStyle w:val="P68B1DB1-Normal11"/>
              <w:spacing w:before="100" w:beforeAutospacing="1" w:after="120"/>
              <w:rPr>
                <w:rFonts w:cs="Arial"/>
                <w:noProof/>
                <w:szCs w:val="20"/>
              </w:rPr>
            </w:pPr>
            <w:r>
              <w:rPr>
                <w:noProof/>
              </w:rPr>
              <w:t xml:space="preserve">Ei-pätevien yksiköiden koulutustoimintaan osallistumista koskevan kartoituksen ja itsearviointien </w:t>
            </w:r>
            <w:r>
              <w:rPr>
                <w:noProof/>
                <w:szCs w:val="20"/>
              </w:rPr>
              <w:t xml:space="preserve">tulosten </w:t>
            </w:r>
            <w:r>
              <w:rPr>
                <w:noProof/>
              </w:rPr>
              <w:t xml:space="preserve">julkaiseminen. </w:t>
            </w:r>
          </w:p>
          <w:p w14:paraId="3044132F" w14:textId="77777777" w:rsidR="00E42B18" w:rsidRDefault="009629C4">
            <w:pPr>
              <w:pStyle w:val="P68B1DB1-Normal12"/>
              <w:spacing w:before="100" w:beforeAutospacing="1" w:after="120"/>
              <w:rPr>
                <w:rFonts w:cs="Arial"/>
                <w:noProof/>
              </w:rPr>
            </w:pPr>
            <w:r>
              <w:rPr>
                <w:noProof/>
              </w:rPr>
              <w:t xml:space="preserve">On hyväksyttävä aloitteita, joilla pyritään parantamaan hankintaviranomaisten pätevyyttä, vähentämään hajanaisuutta ja ammattimaistamaan ei-päteviä yksiköitä. </w:t>
            </w:r>
          </w:p>
          <w:p w14:paraId="3EA0CA6A" w14:textId="58FC7AA9" w:rsidR="00E42B18" w:rsidRDefault="009629C4">
            <w:pPr>
              <w:pStyle w:val="P68B1DB1-Normal12"/>
              <w:spacing w:before="100" w:beforeAutospacing="1" w:after="120"/>
              <w:rPr>
                <w:rFonts w:cs="Arial"/>
                <w:noProof/>
              </w:rPr>
            </w:pPr>
            <w:r>
              <w:rPr>
                <w:noProof/>
              </w:rPr>
              <w:t>Hankintaviranomaisille on tarjottava teknistä/hallinnollista tukea.</w:t>
            </w:r>
          </w:p>
        </w:tc>
      </w:tr>
      <w:tr w:rsidR="00E42B18" w14:paraId="67C1807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623C9" w14:textId="77777777" w:rsidR="00E42B18" w:rsidRDefault="009629C4">
            <w:pPr>
              <w:pStyle w:val="P68B1DB1-Normal11"/>
              <w:jc w:val="center"/>
              <w:rPr>
                <w:rFonts w:cs="Arial"/>
                <w:noProof/>
                <w:szCs w:val="20"/>
              </w:rPr>
            </w:pPr>
            <w:r>
              <w:rPr>
                <w:noProof/>
              </w:rPr>
              <w:t>M1C1–73quater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7C31D"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551B5B"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75A95" w14:textId="77777777" w:rsidR="00E42B18" w:rsidRDefault="009629C4">
            <w:pPr>
              <w:pStyle w:val="P68B1DB1-Normal11"/>
              <w:spacing w:before="100" w:beforeAutospacing="1" w:after="120"/>
              <w:jc w:val="center"/>
              <w:rPr>
                <w:rFonts w:cs="Arial"/>
                <w:noProof/>
                <w:szCs w:val="20"/>
              </w:rPr>
            </w:pPr>
            <w:r>
              <w:rPr>
                <w:noProof/>
              </w:rPr>
              <w:t>EU:n kynnysarvon alittavia hankintoja koskevien suuntaviivojen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AEEE1" w14:textId="77777777" w:rsidR="00E42B18" w:rsidRDefault="009629C4">
            <w:pPr>
              <w:pStyle w:val="P68B1DB1-Normal11"/>
              <w:spacing w:before="100" w:beforeAutospacing="1" w:after="120"/>
              <w:jc w:val="center"/>
              <w:rPr>
                <w:rFonts w:cs="Arial"/>
                <w:noProof/>
                <w:szCs w:val="20"/>
              </w:rPr>
            </w:pPr>
            <w:r>
              <w:rPr>
                <w:noProof/>
              </w:rPr>
              <w:t>EU:n kynnysarvon alittavia hankintoja koskevien suuntaviivojen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1B0508"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9CCED5"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7B3CB"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795A99"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56FFB"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F5C633" w14:textId="77777777" w:rsidR="00E42B18" w:rsidRDefault="009629C4">
            <w:pPr>
              <w:pStyle w:val="P68B1DB1-Normal11"/>
              <w:spacing w:before="100" w:beforeAutospacing="1" w:after="120"/>
              <w:rPr>
                <w:rFonts w:cs="Arial"/>
                <w:noProof/>
                <w:szCs w:val="20"/>
              </w:rPr>
            </w:pPr>
            <w:r>
              <w:rPr>
                <w:noProof/>
              </w:rPr>
              <w:t>EU:n kynnysarvon alittavia hankintoja koskeva yleiskirje hyväksyttiin ja julkaistiin Italian virallisessa lehdessä. Kiertokirjeessä on selvennettävä, että hankintaviranomaiset voivat käyttää avoimia ja rajoitettuja menettelyjä EU:n kynnysarvon alittavissa hankinnoissa.</w:t>
            </w:r>
          </w:p>
        </w:tc>
      </w:tr>
      <w:tr w:rsidR="00E42B18" w14:paraId="549F295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69812A" w14:textId="77777777" w:rsidR="00E42B18" w:rsidRDefault="009629C4">
            <w:pPr>
              <w:pStyle w:val="P68B1DB1-Normal11"/>
              <w:jc w:val="center"/>
              <w:rPr>
                <w:rFonts w:cs="Arial"/>
                <w:noProof/>
                <w:szCs w:val="20"/>
              </w:rPr>
            </w:pPr>
            <w:r>
              <w:rPr>
                <w:noProof/>
              </w:rPr>
              <w:t>M1C1–73quinquies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CE360"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BBFC8"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F91055" w14:textId="77777777" w:rsidR="00E42B18" w:rsidRDefault="009629C4">
            <w:pPr>
              <w:pStyle w:val="P68B1DB1-Normal11"/>
              <w:spacing w:before="100" w:beforeAutospacing="1" w:after="120"/>
              <w:jc w:val="center"/>
              <w:rPr>
                <w:rFonts w:cs="Arial"/>
                <w:noProof/>
                <w:szCs w:val="20"/>
              </w:rPr>
            </w:pPr>
            <w:r>
              <w:rPr>
                <w:noProof/>
              </w:rPr>
              <w:t>Hankerahoitusta koskevien uusien säännösten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F45AF4" w14:textId="77777777" w:rsidR="00E42B18" w:rsidRDefault="009629C4">
            <w:pPr>
              <w:pStyle w:val="P68B1DB1-Normal12"/>
              <w:spacing w:before="100" w:beforeAutospacing="1" w:after="120"/>
              <w:jc w:val="center"/>
              <w:rPr>
                <w:rFonts w:cs="Arial"/>
                <w:noProof/>
              </w:rPr>
            </w:pPr>
            <w:r>
              <w:rPr>
                <w:noProof/>
              </w:rPr>
              <w:t>Uusien säännösten voimaantuloa koskeva lain säännös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226D3"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A81A82"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0DCD5B"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8C1DFD"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672531"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A77B5" w14:textId="77777777" w:rsidR="00E42B18" w:rsidRDefault="009629C4">
            <w:pPr>
              <w:pStyle w:val="P68B1DB1-Normal12"/>
              <w:spacing w:before="100" w:beforeAutospacing="1" w:after="120"/>
              <w:rPr>
                <w:rFonts w:cs="Arial"/>
                <w:noProof/>
              </w:rPr>
            </w:pPr>
            <w:r>
              <w:rPr>
                <w:noProof/>
              </w:rPr>
              <w:t>Voimaan tulee hankerahoitusta koskevia uusia säännöksiä, joiden tarkoituksena on lisätä tehokkuutta ja kilpailua ja erityisesti lisätä käyttöoikeussopimusten kilpailullisuutta.</w:t>
            </w:r>
          </w:p>
        </w:tc>
      </w:tr>
      <w:tr w:rsidR="00E42B18" w14:paraId="2BE0521B"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5049" w14:textId="77777777" w:rsidR="00E42B18" w:rsidRDefault="009629C4">
            <w:pPr>
              <w:pStyle w:val="P68B1DB1-Normal11"/>
              <w:jc w:val="center"/>
              <w:rPr>
                <w:rFonts w:cs="Arial"/>
                <w:noProof/>
                <w:szCs w:val="20"/>
              </w:rPr>
            </w:pPr>
            <w:r>
              <w:rPr>
                <w:noProof/>
              </w:rPr>
              <w:t>M1C1–75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CF049E"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1043A"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C1551" w14:textId="77777777" w:rsidR="00E42B18" w:rsidRDefault="009629C4">
            <w:pPr>
              <w:pStyle w:val="P68B1DB1-Normal11"/>
              <w:jc w:val="center"/>
              <w:rPr>
                <w:rFonts w:cs="Arial"/>
                <w:noProof/>
                <w:szCs w:val="20"/>
              </w:rPr>
            </w:pPr>
            <w:r>
              <w:rPr>
                <w:noProof/>
              </w:rPr>
              <w:t>Kansallisen sähköisen hankintajärjestelmän täysi toiminta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A7BA5" w14:textId="77777777" w:rsidR="00E42B18" w:rsidRDefault="009629C4">
            <w:pPr>
              <w:pStyle w:val="P68B1DB1-Normal11"/>
              <w:jc w:val="center"/>
              <w:rPr>
                <w:rFonts w:cs="Arial"/>
                <w:noProof/>
                <w:szCs w:val="20"/>
              </w:rPr>
            </w:pPr>
            <w:r>
              <w:rPr>
                <w:noProof/>
              </w:rPr>
              <w:t>Toteutettavuustutkimuksessa määriteltyjen toimintojen käytettävyys (täsmennetään hankkeen tehtäväksi 1)</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366420"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BF652"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56156"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43E6E6"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FDEA68"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16845A" w14:textId="77777777" w:rsidR="00E42B18" w:rsidRDefault="009629C4">
            <w:pPr>
              <w:pStyle w:val="P68B1DB1-Normal12"/>
              <w:spacing w:before="100" w:beforeAutospacing="1" w:after="120"/>
              <w:rPr>
                <w:rFonts w:cs="Arial"/>
                <w:noProof/>
              </w:rPr>
            </w:pPr>
            <w:r>
              <w:rPr>
                <w:noProof/>
              </w:rPr>
              <w:t>Kansallisen sähköisen hankintajärjestelmän on oltava toiminnassa ja täysin EU:n julkisia hankintoja koskevien direktiivien mukainen, ja sen on sisällettävä menettelyjen täydellinen digitalisointi sopimuksen täytäntöönpanoon asti (älykäs hankinta), yhteentoimiva julkishallinnon hallintojärjestelmien kanssa, sisällettävä tuottajaorganisaation digitaalinen kuntoutus, huutokauppatilaisuudet, koneoppiminen suuntausten havaitsemiseksi, kriittiset raaka-aineet, joissa on chattibotteja, digitaalinen osallistuminen ja statusketju.</w:t>
            </w:r>
          </w:p>
        </w:tc>
      </w:tr>
      <w:tr w:rsidR="00E42B18" w14:paraId="7D295CC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A8E61" w14:textId="77777777" w:rsidR="00E42B18" w:rsidRDefault="009629C4">
            <w:pPr>
              <w:pStyle w:val="P68B1DB1-Normal11"/>
              <w:jc w:val="center"/>
              <w:rPr>
                <w:rFonts w:cs="Arial"/>
                <w:noProof/>
                <w:szCs w:val="20"/>
              </w:rPr>
            </w:pPr>
            <w:r>
              <w:rPr>
                <w:noProof/>
              </w:rPr>
              <w:t>M1C1–75a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F4FE66" w14:textId="77777777" w:rsidR="00E42B18" w:rsidRDefault="009629C4">
            <w:pPr>
              <w:pStyle w:val="P68B1DB1-Normal11"/>
              <w:jc w:val="center"/>
              <w:rPr>
                <w:rFonts w:cs="Arial"/>
                <w:noProof/>
                <w:szCs w:val="20"/>
              </w:rPr>
            </w:pPr>
            <w:r>
              <w:rPr>
                <w:noProof/>
              </w:rPr>
              <w:t>Investointi 1.10: Tuki pätevöitymiselle ja sähköisille hankinnoille</w:t>
            </w:r>
          </w:p>
          <w:p w14:paraId="13D05CC2" w14:textId="77777777" w:rsidR="00E42B18" w:rsidRDefault="00E42B18">
            <w:pPr>
              <w:jc w:val="center"/>
              <w:rPr>
                <w:rFonts w:ascii="Arial Narrow" w:hAnsi="Arial Narrow" w:cs="Arial"/>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33FD1"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33F763" w14:textId="77777777" w:rsidR="00E42B18" w:rsidRDefault="009629C4">
            <w:pPr>
              <w:pStyle w:val="P68B1DB1-Normal11"/>
              <w:jc w:val="center"/>
              <w:rPr>
                <w:rFonts w:cs="Arial"/>
                <w:noProof/>
                <w:szCs w:val="20"/>
              </w:rPr>
            </w:pPr>
            <w:r>
              <w:rPr>
                <w:noProof/>
              </w:rPr>
              <w:t>Tuki pätevöitymiselle ja sähköisille hankinnoille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66F3A" w14:textId="77777777" w:rsidR="00E42B18" w:rsidRDefault="009629C4">
            <w:pPr>
              <w:pStyle w:val="P68B1DB1-Normal11"/>
              <w:jc w:val="center"/>
              <w:rPr>
                <w:rFonts w:cs="Arial"/>
                <w:noProof/>
                <w:szCs w:val="20"/>
              </w:rPr>
            </w:pPr>
            <w:r>
              <w:rPr>
                <w:noProof/>
              </w:rPr>
              <w:t xml:space="preserve">Hankintojen tukitoiminnon käyttöönotto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5CAE0"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44E62A"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3EBD97"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C05A5"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718933"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91F7B" w14:textId="77777777" w:rsidR="00E42B18" w:rsidRDefault="009629C4">
            <w:pPr>
              <w:pStyle w:val="P68B1DB1-Normal12"/>
              <w:spacing w:before="100" w:beforeAutospacing="1" w:after="120"/>
              <w:rPr>
                <w:rFonts w:cs="Arial"/>
                <w:noProof/>
              </w:rPr>
            </w:pPr>
            <w:r>
              <w:rPr>
                <w:noProof/>
              </w:rPr>
              <w:t>Julkisten ostajien ammatillistamista koskevan strategian puitteissa perustetaan hankintojen tukitoiminto. Hankintojen tukitoiminto on osoitettava hankintaviranomaisille julkisia hankintoja koskevan koodeksin liitteen II.4 vaatimusten täyttämiseksi ja niiden tukemiseksi sähköisissä hankintamenettelyissä, digitaalisten taitojen hankkimisen tukemiseksi ja teknisen tuen antamiseksi julkisten hankintojen digitalisoinnin hyväksymisessä, mukaan lukien dynaamisten hankintajärjestelmien käyttö.</w:t>
            </w:r>
          </w:p>
        </w:tc>
      </w:tr>
      <w:tr w:rsidR="00E42B18" w14:paraId="5B566A2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D8B60D" w14:textId="77777777" w:rsidR="00E42B18" w:rsidRDefault="009629C4">
            <w:pPr>
              <w:pStyle w:val="P68B1DB1-Normal11"/>
              <w:jc w:val="center"/>
              <w:rPr>
                <w:rFonts w:cs="Arial"/>
                <w:noProof/>
                <w:szCs w:val="20"/>
              </w:rPr>
            </w:pPr>
            <w:r>
              <w:rPr>
                <w:noProof/>
              </w:rPr>
              <w:t>M1C1–76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CEB76" w14:textId="77777777" w:rsidR="00E42B18" w:rsidRDefault="009629C4">
            <w:pPr>
              <w:pStyle w:val="P68B1DB1-Normal12"/>
              <w:jc w:val="center"/>
              <w:rPr>
                <w:rFonts w:cs="Arial"/>
                <w:noProof/>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1E66E"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A1FE9F" w14:textId="77777777" w:rsidR="00E42B18" w:rsidRDefault="009629C4">
            <w:pPr>
              <w:pStyle w:val="P68B1DB1-Normal12"/>
              <w:jc w:val="center"/>
              <w:rPr>
                <w:rFonts w:cs="Arial"/>
                <w:noProof/>
              </w:rPr>
            </w:pPr>
            <w:r>
              <w:rPr>
                <w:noProof/>
              </w:rPr>
              <w:t>Keskusviranomaisten yrityksille maksamien päivien keskimäärä vähenee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B212EC"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8CB6A2" w14:textId="77777777" w:rsidR="00E42B18" w:rsidRDefault="009629C4">
            <w:pPr>
              <w:pStyle w:val="P68B1DB1-Normal11"/>
              <w:jc w:val="center"/>
              <w:rPr>
                <w:rFonts w:cs="Arial"/>
                <w:noProof/>
                <w:szCs w:val="20"/>
              </w:rPr>
            </w:pPr>
            <w:r>
              <w:rPr>
                <w:noProof/>
              </w:rPr>
              <w:t>Painotettu keskimääräinen maksuaika (päivinä)</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748F5"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C6AC41" w14:textId="77777777" w:rsidR="00E42B18" w:rsidRDefault="009629C4">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CB1DDF"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45A8FD" w14:textId="77777777" w:rsidR="00E42B18" w:rsidRDefault="009629C4">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70B57F" w14:textId="432068DD" w:rsidR="00E42B18" w:rsidRDefault="009629C4">
            <w:pPr>
              <w:pStyle w:val="P68B1DB1-Normal12"/>
              <w:spacing w:before="100" w:beforeAutospacing="1" w:after="0" w:line="240" w:lineRule="auto"/>
              <w:rPr>
                <w:rFonts w:eastAsia="Times New Roman" w:cs="Times New Roman"/>
                <w:noProof/>
              </w:rPr>
            </w:pPr>
            <w:r>
              <w:rPr>
                <w:noProof/>
              </w:rPr>
              <w:t>Kaupalliselta luottoalustalta (Piattaforma Crediti Commerciali) saatujen, vuonna 2024 laadittuihin laskuihin liittyvien tietojen perusteella seuraavat indikaattorit, jotka koskevat maksuja keskusviranomaisilta (</w:t>
            </w:r>
            <w:r>
              <w:rPr>
                <w:i/>
                <w:noProof/>
              </w:rPr>
              <w:t>Amministrazioni centrali</w:t>
            </w:r>
            <w:r>
              <w:rPr>
                <w:noProof/>
              </w:rPr>
              <w:t xml:space="preserve">) yrityksille, ovat seuraavat: </w:t>
            </w:r>
          </w:p>
          <w:p w14:paraId="63EF9CD4" w14:textId="77777777" w:rsidR="00E42B18" w:rsidRDefault="009629C4">
            <w:pPr>
              <w:pStyle w:val="P68B1DB1-Normal12"/>
              <w:spacing w:before="100" w:beforeAutospacing="1" w:after="0" w:line="240" w:lineRule="auto"/>
              <w:rPr>
                <w:rFonts w:eastAsia="Times New Roman" w:cs="Times New Roman"/>
                <w:noProof/>
              </w:rPr>
            </w:pPr>
            <w:r>
              <w:rPr>
                <w:noProof/>
              </w:rPr>
              <w:t xml:space="preserve">— painotettu keskimääräinen maksuaika (”tempo medio di pagamento ponderato”): enintään 30 päivää; </w:t>
            </w:r>
          </w:p>
          <w:p w14:paraId="7A606D18" w14:textId="68FA93C3" w:rsidR="00E42B18" w:rsidRDefault="009629C4">
            <w:pPr>
              <w:pStyle w:val="P68B1DB1-Normal12"/>
              <w:spacing w:before="100" w:beforeAutospacing="1" w:after="0" w:line="240" w:lineRule="auto"/>
              <w:rPr>
                <w:noProof/>
              </w:rPr>
            </w:pPr>
            <w:r>
              <w:rPr>
                <w:noProof/>
              </w:rPr>
              <w:t xml:space="preserve">— painotettu keskimääräinen maksuviivästys (”tempo medio di ritardo ponderato”): enintään 0 päivää. </w:t>
            </w:r>
          </w:p>
          <w:p w14:paraId="4E48D669" w14:textId="3D56874D" w:rsidR="00E42B18" w:rsidRDefault="009629C4">
            <w:pPr>
              <w:pStyle w:val="P68B1DB1-Normal12"/>
              <w:spacing w:before="100" w:beforeAutospacing="1" w:after="0" w:line="240" w:lineRule="auto"/>
              <w:rPr>
                <w:rFonts w:eastAsia="Times New Roman" w:cs="Times New Roman"/>
                <w:b/>
                <w:noProof/>
              </w:rPr>
            </w:pPr>
            <w:r>
              <w:rPr>
                <w:noProof/>
              </w:rPr>
              <w:t>Lisäksi painottamattoman keskimääräisen maksuajan (”tempo medio di pagamento semplice”) ja painotetun keskimääräisen maksuajan välinen ero saa olla enintään 20 päivää, paitsi jos painottamaton keskimääräinen maksuaika on alle 30 päivää.</w:t>
            </w:r>
          </w:p>
        </w:tc>
      </w:tr>
      <w:tr w:rsidR="00E42B18" w14:paraId="6D25A74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395F1" w14:textId="77777777" w:rsidR="00E42B18" w:rsidRDefault="009629C4">
            <w:pPr>
              <w:pStyle w:val="P68B1DB1-Normal11"/>
              <w:jc w:val="center"/>
              <w:rPr>
                <w:rFonts w:cs="Arial"/>
                <w:noProof/>
                <w:szCs w:val="20"/>
              </w:rPr>
            </w:pPr>
            <w:r>
              <w:rPr>
                <w:noProof/>
              </w:rPr>
              <w:t>M1C1–77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BF95E" w14:textId="77777777" w:rsidR="00E42B18" w:rsidRDefault="009629C4">
            <w:pPr>
              <w:pStyle w:val="P68B1DB1-Normal11"/>
              <w:jc w:val="center"/>
              <w:rPr>
                <w:rFonts w:cs="Arial"/>
                <w:noProof/>
                <w:szCs w:val="20"/>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6A7B8A"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248A8" w14:textId="77777777" w:rsidR="00E42B18" w:rsidRDefault="009629C4">
            <w:pPr>
              <w:pStyle w:val="P68B1DB1-Normal11"/>
              <w:jc w:val="center"/>
              <w:rPr>
                <w:rFonts w:cs="Arial"/>
                <w:noProof/>
                <w:szCs w:val="20"/>
              </w:rPr>
            </w:pPr>
            <w:r>
              <w:rPr>
                <w:noProof/>
              </w:rPr>
              <w:t>Alueellisten viranomaisten yrityksille maksamien päivien keskimäärä vähenee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7A219C"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82992" w14:textId="77777777" w:rsidR="00E42B18" w:rsidRDefault="009629C4">
            <w:pPr>
              <w:pStyle w:val="P68B1DB1-Normal11"/>
              <w:jc w:val="center"/>
              <w:rPr>
                <w:rFonts w:cs="Arial"/>
                <w:noProof/>
                <w:szCs w:val="20"/>
              </w:rPr>
            </w:pPr>
            <w:r>
              <w:rPr>
                <w:noProof/>
              </w:rPr>
              <w:t>Painotettu keskimääräinen maksuaika (päivinä)</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FC652"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7EA12" w14:textId="77777777" w:rsidR="00E42B18" w:rsidRDefault="009629C4">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B6372"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C2DB04" w14:textId="77777777" w:rsidR="00E42B18" w:rsidRDefault="009629C4">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58F0AF" w14:textId="574F718F" w:rsidR="00E42B18" w:rsidRDefault="009629C4">
            <w:pPr>
              <w:pStyle w:val="P68B1DB1-Normal12"/>
              <w:spacing w:before="100" w:beforeAutospacing="1" w:after="0" w:line="240" w:lineRule="auto"/>
              <w:rPr>
                <w:noProof/>
              </w:rPr>
            </w:pPr>
            <w:r>
              <w:rPr>
                <w:noProof/>
              </w:rPr>
              <w:t>Yritysluottoalustalta (Piattaforma Crediti Commerciali Commerciali) saatujen, vuonna 2024 laadittuihin laskuihin liittyvien tietojen perusteella seuraavat indikaattorit, jotka koskevat maksuja alueellisilta viranomaisilta (</w:t>
            </w:r>
            <w:r>
              <w:rPr>
                <w:i/>
                <w:noProof/>
              </w:rPr>
              <w:t>Regioni – maakunta Autonome</w:t>
            </w:r>
            <w:r>
              <w:rPr>
                <w:noProof/>
              </w:rPr>
              <w:t>) yrityksille, ovat seuraavat:</w:t>
            </w:r>
          </w:p>
          <w:p w14:paraId="6616474F" w14:textId="77777777" w:rsidR="00E42B18" w:rsidRDefault="009629C4">
            <w:pPr>
              <w:pStyle w:val="ListParagraph"/>
              <w:numPr>
                <w:ilvl w:val="0"/>
                <w:numId w:val="69"/>
              </w:numPr>
              <w:spacing w:before="100" w:beforeAutospacing="1" w:after="0" w:line="240" w:lineRule="auto"/>
              <w:jc w:val="both"/>
              <w:rPr>
                <w:rFonts w:ascii="Arial Narrow" w:hAnsi="Arial Narrow" w:cs="Arial"/>
                <w:noProof/>
                <w:color w:val="006100"/>
                <w:sz w:val="20"/>
                <w:szCs w:val="20"/>
              </w:rPr>
            </w:pPr>
            <w:r>
              <w:rPr>
                <w:rFonts w:ascii="Arial Narrow" w:hAnsi="Arial Narrow"/>
                <w:noProof/>
                <w:color w:val="006100"/>
                <w:sz w:val="20"/>
              </w:rPr>
              <w:t>painotettu keskimääräinen maksuaika</w:t>
            </w:r>
            <w:r>
              <w:rPr>
                <w:noProof/>
              </w:rPr>
              <w:t xml:space="preserve"> </w:t>
            </w:r>
            <w:r>
              <w:rPr>
                <w:rFonts w:ascii="Arial Narrow" w:hAnsi="Arial Narrow"/>
                <w:noProof/>
                <w:color w:val="006100"/>
                <w:sz w:val="20"/>
              </w:rPr>
              <w:t xml:space="preserve">(”tempo medio di pagamento ponderato”): enintään 30 päivää; </w:t>
            </w:r>
          </w:p>
          <w:p w14:paraId="7FBA8473" w14:textId="77777777" w:rsidR="00E42B18" w:rsidRDefault="009629C4">
            <w:pPr>
              <w:pStyle w:val="P68B1DB1-ListParagraph15"/>
              <w:numPr>
                <w:ilvl w:val="0"/>
                <w:numId w:val="69"/>
              </w:numPr>
              <w:spacing w:before="100" w:beforeAutospacing="1" w:after="120" w:line="240" w:lineRule="auto"/>
              <w:jc w:val="both"/>
              <w:rPr>
                <w:rFonts w:cs="Arial"/>
                <w:noProof/>
                <w:szCs w:val="20"/>
              </w:rPr>
            </w:pPr>
            <w:r>
              <w:rPr>
                <w:noProof/>
              </w:rPr>
              <w:t>painotettu keskimääräinen maksuviivästys (”tempo medio di ritardo ponderato”): enintään 0 päivää.</w:t>
            </w:r>
          </w:p>
          <w:p w14:paraId="31783F6B" w14:textId="77777777" w:rsidR="00E42B18" w:rsidRDefault="009629C4">
            <w:pPr>
              <w:pStyle w:val="P68B1DB1-Normal17"/>
              <w:spacing w:before="100" w:beforeAutospacing="1"/>
              <w:rPr>
                <w:noProof/>
              </w:rPr>
            </w:pPr>
            <w:r>
              <w:rPr>
                <w:noProof/>
              </w:rPr>
              <w:t>Lisäksi painottamattoman keskimääräisen maksuajan (”tempo medio di pagamento semplice”) ja painotetun keskimääräisen maksuajan välinen ero saa olla enintään 20 päivää, paitsi jos painottamaton keskimääräinen maksuaika on alle 30 päivää.</w:t>
            </w:r>
          </w:p>
        </w:tc>
      </w:tr>
      <w:tr w:rsidR="00E42B18" w14:paraId="230B4D4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F9D4B" w14:textId="77777777" w:rsidR="00E42B18" w:rsidRDefault="009629C4">
            <w:pPr>
              <w:pStyle w:val="P68B1DB1-Normal11"/>
              <w:jc w:val="center"/>
              <w:rPr>
                <w:rFonts w:cs="Arial"/>
                <w:noProof/>
                <w:szCs w:val="20"/>
              </w:rPr>
            </w:pPr>
            <w:r>
              <w:rPr>
                <w:noProof/>
              </w:rPr>
              <w:t>M1C1–78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92372A" w14:textId="77777777" w:rsidR="00E42B18" w:rsidRDefault="009629C4">
            <w:pPr>
              <w:pStyle w:val="P68B1DB1-Normal11"/>
              <w:jc w:val="center"/>
              <w:rPr>
                <w:rFonts w:cs="Arial"/>
                <w:noProof/>
                <w:szCs w:val="20"/>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B15D5"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61627A" w14:textId="77777777" w:rsidR="00E42B18" w:rsidRDefault="009629C4">
            <w:pPr>
              <w:pStyle w:val="P68B1DB1-Normal11"/>
              <w:jc w:val="center"/>
              <w:rPr>
                <w:rFonts w:cs="Arial"/>
                <w:noProof/>
                <w:szCs w:val="20"/>
              </w:rPr>
            </w:pPr>
            <w:r>
              <w:rPr>
                <w:noProof/>
              </w:rPr>
              <w:t>Paikallisviranomaisten yrityksille maksamien päivien keskimäärä vähenee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0B8A7B"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050A1" w14:textId="520CB974" w:rsidR="00E42B18" w:rsidRDefault="009629C4">
            <w:pPr>
              <w:pStyle w:val="P68B1DB1-Normal11"/>
              <w:jc w:val="center"/>
              <w:rPr>
                <w:rFonts w:cs="Arial"/>
                <w:noProof/>
                <w:szCs w:val="20"/>
              </w:rPr>
            </w:pPr>
            <w:r>
              <w:rPr>
                <w:noProof/>
              </w:rPr>
              <w:t>Painotettu keskimääräinen maksuaika (päivinä)</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9219D7"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F60F91" w14:textId="77777777" w:rsidR="00E42B18" w:rsidRDefault="009629C4">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C00BEF"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96BCFE" w14:textId="77777777" w:rsidR="00E42B18" w:rsidRDefault="009629C4">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DD4F10" w14:textId="01A451C3" w:rsidR="00E42B18" w:rsidRDefault="009629C4">
            <w:pPr>
              <w:pStyle w:val="P68B1DB1-Normal12"/>
              <w:spacing w:before="100" w:beforeAutospacing="1" w:after="120"/>
              <w:rPr>
                <w:noProof/>
              </w:rPr>
            </w:pPr>
            <w:r>
              <w:rPr>
                <w:noProof/>
              </w:rPr>
              <w:t>Yritysluottoalustalta (Piattaforma Crediti Commerciali) saatujen, vuonna 2024 laadittuihin laskuihin liittyvien tietojen perusteella seuraavat indikaattorit paikallisviranomaisten (</w:t>
            </w:r>
            <w:r>
              <w:rPr>
                <w:i/>
                <w:noProof/>
              </w:rPr>
              <w:t>enti locali</w:t>
            </w:r>
            <w:r>
              <w:rPr>
                <w:noProof/>
              </w:rPr>
              <w:t>) yrityksille suorittamille maksuille ovat seuraavat:</w:t>
            </w:r>
          </w:p>
          <w:p w14:paraId="192EFD25" w14:textId="17E15A71" w:rsidR="00E42B18" w:rsidRDefault="009629C4">
            <w:pPr>
              <w:pStyle w:val="P68B1DB1-ListParagraph18"/>
              <w:numPr>
                <w:ilvl w:val="0"/>
                <w:numId w:val="69"/>
              </w:numPr>
              <w:spacing w:before="100" w:beforeAutospacing="1" w:after="120" w:line="240" w:lineRule="auto"/>
              <w:jc w:val="both"/>
              <w:rPr>
                <w:rFonts w:ascii="Arial Narrow" w:hAnsi="Arial Narrow" w:cs="Arial"/>
                <w:noProof/>
                <w:szCs w:val="20"/>
              </w:rPr>
            </w:pPr>
            <w:r>
              <w:rPr>
                <w:rFonts w:ascii="Arial Narrow" w:hAnsi="Arial Narrow" w:cs="Arial"/>
                <w:noProof/>
                <w:szCs w:val="20"/>
              </w:rPr>
              <w:t>Painotettu keskimääräinen maksuaika (”tempo medio di pagamento ponderato”):</w:t>
            </w:r>
            <w:r>
              <w:rPr>
                <w:rFonts w:ascii="Arial Narrow" w:hAnsi="Arial Narrow"/>
                <w:noProof/>
              </w:rPr>
              <w:t xml:space="preserve"> enintään 30 päivää; </w:t>
            </w:r>
          </w:p>
          <w:p w14:paraId="3AB2303C" w14:textId="77777777" w:rsidR="00E42B18" w:rsidRDefault="009629C4">
            <w:pPr>
              <w:pStyle w:val="P68B1DB1-ListParagraph15"/>
              <w:numPr>
                <w:ilvl w:val="0"/>
                <w:numId w:val="69"/>
              </w:numPr>
              <w:spacing w:before="100" w:beforeAutospacing="1" w:after="120" w:line="240" w:lineRule="auto"/>
              <w:jc w:val="both"/>
              <w:rPr>
                <w:rFonts w:cs="Arial"/>
                <w:noProof/>
                <w:szCs w:val="20"/>
              </w:rPr>
            </w:pPr>
            <w:r>
              <w:rPr>
                <w:noProof/>
              </w:rPr>
              <w:t>painotettu keskimääräinen maksuviivästys (”tempo medio di ritardo ponderato”): enintään 0 päivää.</w:t>
            </w:r>
          </w:p>
          <w:p w14:paraId="60F145B0" w14:textId="0BC525DF" w:rsidR="00E42B18" w:rsidRDefault="009629C4">
            <w:pPr>
              <w:pStyle w:val="P68B1DB1-Normal17"/>
              <w:spacing w:before="100" w:beforeAutospacing="1"/>
              <w:rPr>
                <w:noProof/>
              </w:rPr>
            </w:pPr>
            <w:r>
              <w:rPr>
                <w:noProof/>
              </w:rPr>
              <w:t>Lisäksi painottamattoman keskimääräisen maksuajan (”tempo medio di pagamento semplice”) ja painotetun keskimääräisen maksuajan välinen ero saa olla enintään 20 päivää, paitsi jos painottamaton keskimääräinen maksuaika on alle 30 päivää.</w:t>
            </w:r>
          </w:p>
        </w:tc>
      </w:tr>
      <w:tr w:rsidR="00E42B18" w14:paraId="3C0D497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9F61B3" w14:textId="77777777" w:rsidR="00E42B18" w:rsidRDefault="009629C4">
            <w:pPr>
              <w:pStyle w:val="P68B1DB1-Normal11"/>
              <w:jc w:val="center"/>
              <w:rPr>
                <w:rFonts w:cs="Arial"/>
                <w:noProof/>
                <w:szCs w:val="20"/>
              </w:rPr>
            </w:pPr>
            <w:r>
              <w:rPr>
                <w:noProof/>
              </w:rPr>
              <w:t>M1C1–79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73D484" w14:textId="77777777" w:rsidR="00E42B18" w:rsidRDefault="009629C4">
            <w:pPr>
              <w:pStyle w:val="P68B1DB1-Normal12"/>
              <w:jc w:val="center"/>
              <w:rPr>
                <w:rFonts w:cs="Arial"/>
                <w:noProof/>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C802E"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E2F58" w14:textId="77777777" w:rsidR="00E42B18" w:rsidRDefault="009629C4">
            <w:pPr>
              <w:pStyle w:val="P68B1DB1-Normal11"/>
              <w:jc w:val="center"/>
              <w:rPr>
                <w:rFonts w:cs="Arial"/>
                <w:noProof/>
                <w:szCs w:val="20"/>
              </w:rPr>
            </w:pPr>
            <w:r>
              <w:rPr>
                <w:noProof/>
              </w:rPr>
              <w:t>Kansanterveysviranomaisten yrityksille maksamien päivien keskimääräistä määrää vähennetään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2AF326"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BECAC8" w14:textId="77777777" w:rsidR="00E42B18" w:rsidRDefault="009629C4">
            <w:pPr>
              <w:pStyle w:val="P68B1DB1-Normal11"/>
              <w:rPr>
                <w:rFonts w:cs="Arial"/>
                <w:noProof/>
                <w:szCs w:val="20"/>
              </w:rPr>
            </w:pPr>
            <w:r>
              <w:rPr>
                <w:noProof/>
              </w:rPr>
              <w:t>Painotettu keskimääräinen maksuaika (päivinä)</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60332"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552E8" w14:textId="77777777" w:rsidR="00E42B18" w:rsidRDefault="009629C4">
            <w:pPr>
              <w:pStyle w:val="P68B1DB1-Normal11"/>
              <w:jc w:val="center"/>
              <w:rPr>
                <w:rFonts w:cs="Arial"/>
                <w:noProof/>
                <w:szCs w:val="20"/>
              </w:rPr>
            </w:pPr>
            <w:r>
              <w:rPr>
                <w:noProof/>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2A5B88"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654A9" w14:textId="77777777" w:rsidR="00E42B18" w:rsidRDefault="009629C4">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EAB294" w14:textId="77777777" w:rsidR="00E42B18" w:rsidRDefault="009629C4">
            <w:pPr>
              <w:pStyle w:val="P68B1DB1-Normal12"/>
              <w:spacing w:before="100" w:beforeAutospacing="1" w:after="120"/>
              <w:rPr>
                <w:noProof/>
              </w:rPr>
            </w:pPr>
            <w:r>
              <w:rPr>
                <w:noProof/>
              </w:rPr>
              <w:t>Kaupalliselta luottoalustalta (Piattaforma Crediti Commerciali) saatujen, vuonna 2024 laadittuihin laskuihin liittyvien tietojen perusteella seuraavat indikaattorit, jotka koskevat kansanterveysviranomaisten (</w:t>
            </w:r>
            <w:r>
              <w:rPr>
                <w:i/>
                <w:noProof/>
              </w:rPr>
              <w:t>enti del Servizio sanitario nazionale</w:t>
            </w:r>
            <w:r>
              <w:rPr>
                <w:noProof/>
              </w:rPr>
              <w:t>) yrityksille suorittamia maksuja, ovat seuraavat:</w:t>
            </w:r>
          </w:p>
          <w:p w14:paraId="30D1DA24" w14:textId="77777777" w:rsidR="00E42B18" w:rsidRDefault="009629C4">
            <w:pPr>
              <w:pStyle w:val="P68B1DB1-Normal12"/>
              <w:spacing w:beforeAutospacing="1" w:after="120"/>
              <w:rPr>
                <w:noProof/>
              </w:rPr>
            </w:pPr>
            <w:r>
              <w:rPr>
                <w:noProof/>
              </w:rPr>
              <w:t xml:space="preserve">— painotettu keskimääräinen maksuaika (”tempo medio di pagamento ponderato”): enintään 60 päivää; </w:t>
            </w:r>
          </w:p>
          <w:p w14:paraId="7DAA7303" w14:textId="70038F08" w:rsidR="00E42B18" w:rsidRDefault="009629C4">
            <w:pPr>
              <w:pStyle w:val="P68B1DB1-Normal12"/>
              <w:spacing w:beforeAutospacing="1" w:after="120"/>
              <w:rPr>
                <w:noProof/>
              </w:rPr>
            </w:pPr>
            <w:r>
              <w:rPr>
                <w:noProof/>
              </w:rPr>
              <w:t xml:space="preserve">— painotettu keskimääräinen maksuviivästys (”tempo medio di ritardo ponderato”): enintään 0 päivää; </w:t>
            </w:r>
          </w:p>
          <w:p w14:paraId="0F0B356D" w14:textId="77777777" w:rsidR="00E42B18" w:rsidRDefault="009629C4">
            <w:pPr>
              <w:pStyle w:val="P68B1DB1-Normal12"/>
              <w:spacing w:beforeAutospacing="1" w:after="120"/>
              <w:rPr>
                <w:rFonts w:cs="Arial"/>
                <w:noProof/>
              </w:rPr>
            </w:pPr>
            <w:r>
              <w:rPr>
                <w:noProof/>
              </w:rPr>
              <w:t>Lisäksi painottamattoman keskimääräisen maksuajan (”tempo medio di pagamento semplice”) ja painotetun keskimääräisen maksuajan välinen ero saa olla enintään 30 päivää, paitsi jos painottamaton keskimääräinen maksuaika on alle 60 päivää.</w:t>
            </w:r>
          </w:p>
        </w:tc>
      </w:tr>
      <w:tr w:rsidR="00E42B18" w14:paraId="2E25C6F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60CCF8" w14:textId="77777777" w:rsidR="00E42B18" w:rsidRDefault="009629C4">
            <w:pPr>
              <w:pStyle w:val="P68B1DB1-Normal11"/>
              <w:jc w:val="center"/>
              <w:rPr>
                <w:rFonts w:cs="Arial"/>
                <w:noProof/>
                <w:szCs w:val="20"/>
              </w:rPr>
            </w:pPr>
            <w:r>
              <w:rPr>
                <w:noProof/>
              </w:rPr>
              <w:t>M1C1–84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A414B1"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AB8E4"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406ED" w14:textId="77777777" w:rsidR="00E42B18" w:rsidRDefault="009629C4">
            <w:pPr>
              <w:pStyle w:val="P68B1DB1-Normal11"/>
              <w:jc w:val="center"/>
              <w:rPr>
                <w:rFonts w:cs="Arial"/>
                <w:noProof/>
                <w:szCs w:val="20"/>
              </w:rPr>
            </w:pPr>
            <w:r>
              <w:rPr>
                <w:noProof/>
              </w:rPr>
              <w:t>Julkaisun ja sopimuksen tekemisen välinen keskimääräinen aika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9A94EE"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03858"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E3F31" w14:textId="77777777" w:rsidR="00E42B18" w:rsidRDefault="009629C4">
            <w:pPr>
              <w:pStyle w:val="P68B1DB1-Normal11"/>
              <w:jc w:val="center"/>
              <w:rPr>
                <w:rFonts w:cs="Arial"/>
                <w:noProof/>
                <w:szCs w:val="20"/>
              </w:rPr>
            </w:pPr>
            <w:r>
              <w:rPr>
                <w:noProof/>
              </w:rPr>
              <w:t>139</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1B0FA0" w14:textId="77777777" w:rsidR="00E42B18" w:rsidRDefault="009629C4">
            <w:pPr>
              <w:pStyle w:val="P68B1DB1-Normal11"/>
              <w:jc w:val="center"/>
              <w:rPr>
                <w:rFonts w:cs="Arial"/>
                <w:noProof/>
                <w:szCs w:val="20"/>
              </w:rPr>
            </w:pPr>
            <w:r>
              <w:rPr>
                <w:noProof/>
              </w:rPr>
              <w:t>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3311EB"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431EF6"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7C537" w14:textId="77777777" w:rsidR="00E42B18" w:rsidRDefault="009629C4">
            <w:pPr>
              <w:pStyle w:val="P68B1DB1-Normal12"/>
              <w:spacing w:before="100" w:beforeAutospacing="1" w:after="120"/>
              <w:rPr>
                <w:rFonts w:cs="Arial"/>
                <w:noProof/>
              </w:rPr>
            </w:pPr>
            <w:r>
              <w:rPr>
                <w:noProof/>
              </w:rPr>
              <w:t xml:space="preserve">EU:n virallisessa lehdessä (TED-tietokanta) hyväksyttyjen menetelmien ja ANACin hallinnoiman julkisia hankintoja koskevan kansallisen tietotietokannan (BDNCP) tietojen perusteella tarjousten jättämisen määräajan ja sopimuksen tekemisen välinen keskimääräinen aika lyhennetään alle 100 päivään, kun on kyse EU:n julkisia hankintoja koskevissa direktiiveissä säädetyt kynnysarvot ylittävistä sopimuksista. </w:t>
            </w:r>
          </w:p>
        </w:tc>
      </w:tr>
      <w:tr w:rsidR="00E42B18" w14:paraId="366E076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4DDE0B" w14:textId="77777777" w:rsidR="00E42B18" w:rsidRDefault="009629C4">
            <w:pPr>
              <w:pStyle w:val="P68B1DB1-Normal11"/>
              <w:jc w:val="center"/>
              <w:rPr>
                <w:rFonts w:cs="Arial"/>
                <w:noProof/>
                <w:szCs w:val="20"/>
              </w:rPr>
            </w:pPr>
            <w:r>
              <w:rPr>
                <w:noProof/>
              </w:rPr>
              <w:t>M1C1–84a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4C4BAD"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FFF31B"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E22AF" w14:textId="77777777" w:rsidR="00E42B18" w:rsidRDefault="009629C4">
            <w:pPr>
              <w:pStyle w:val="P68B1DB1-Normal11"/>
              <w:jc w:val="center"/>
              <w:rPr>
                <w:rFonts w:cs="Arial"/>
                <w:noProof/>
                <w:szCs w:val="20"/>
              </w:rPr>
            </w:pPr>
            <w:r>
              <w:rPr>
                <w:noProof/>
              </w:rPr>
              <w:t>Toimenpiteet, joilla nopeutetaan hankintaviranomaisten päätöksentekoa hankintasopimusten tekemisessä</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55F2E" w14:textId="77777777" w:rsidR="00E42B18" w:rsidRDefault="009629C4">
            <w:pPr>
              <w:pStyle w:val="P68B1DB1-Normal12"/>
              <w:jc w:val="center"/>
              <w:rPr>
                <w:rFonts w:cs="Arial"/>
                <w:noProof/>
              </w:rPr>
            </w:pPr>
            <w:r>
              <w:rPr>
                <w:noProof/>
              </w:rPr>
              <w:t>Päätöksentekonopeuteen liittyvien toimenpiteiden hyväksyminen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125C0"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D21FE0"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DA825"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C87021"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826FEB"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C3A41" w14:textId="77777777" w:rsidR="00E42B18" w:rsidRDefault="009629C4">
            <w:pPr>
              <w:pStyle w:val="P68B1DB1-Normal12"/>
              <w:spacing w:before="100" w:beforeAutospacing="1" w:after="120"/>
              <w:rPr>
                <w:rFonts w:cs="Arial"/>
                <w:noProof/>
              </w:rPr>
            </w:pPr>
            <w:r>
              <w:rPr>
                <w:noProof/>
              </w:rPr>
              <w:t>Cabina di regia, artiklan nojalla. Julkisia hankintoja koskevan lain 221:n on ANACia kuultuaan hyväksyttävä</w:t>
            </w:r>
          </w:p>
          <w:p w14:paraId="612385B6" w14:textId="77777777" w:rsidR="00E42B18" w:rsidRDefault="009629C4">
            <w:pPr>
              <w:pStyle w:val="P68B1DB1-Normal12"/>
              <w:spacing w:before="100" w:beforeAutospacing="1" w:after="120"/>
              <w:rPr>
                <w:rFonts w:cs="Arial"/>
                <w:noProof/>
              </w:rPr>
            </w:pPr>
            <w:r>
              <w:rPr>
                <w:noProof/>
              </w:rPr>
              <w:t>—analyysi, jossa arvioidaan sähköisen hankinnan vaikutusta sopimuksen tekemisen aikatauluun tarjousten jättämisen määräajasta sopimuksen allekirjoittamiseen;</w:t>
            </w:r>
          </w:p>
          <w:p w14:paraId="2ACD7681" w14:textId="77777777" w:rsidR="00E42B18" w:rsidRDefault="009629C4">
            <w:pPr>
              <w:pStyle w:val="P68B1DB1-Normal12"/>
              <w:spacing w:before="100" w:beforeAutospacing="1" w:after="120"/>
              <w:rPr>
                <w:rFonts w:cs="Arial"/>
                <w:noProof/>
              </w:rPr>
            </w:pPr>
            <w:r>
              <w:rPr>
                <w:noProof/>
              </w:rPr>
              <w:t xml:space="preserve">—raportti vuoden 2024 tiedoista TED-indikaattorin ”Päätöksen nopeus” osalta; ’Päätösnopeudella’ tarjousten jättämisen määräajan ja sopimuksen allekirjoituspäivän välistä aikaa; </w:t>
            </w:r>
          </w:p>
          <w:p w14:paraId="2747EF1C" w14:textId="77777777" w:rsidR="00E42B18" w:rsidRDefault="009629C4">
            <w:pPr>
              <w:pStyle w:val="P68B1DB1-Normal12"/>
              <w:spacing w:before="100" w:beforeAutospacing="1" w:after="120"/>
              <w:rPr>
                <w:noProof/>
              </w:rPr>
            </w:pPr>
            <w:r>
              <w:rPr>
                <w:noProof/>
              </w:rPr>
              <w:t>— raportti hankintaviranomaisten parhaista käytännöistä, joiden tarkoituksena on lyhentää sopimusten tekemisen aikataulua, sekä aloitteista, joilla lyhennetään päätöksenteon nopeutta.</w:t>
            </w:r>
          </w:p>
          <w:p w14:paraId="0DACBA26" w14:textId="77777777" w:rsidR="00E42B18" w:rsidRDefault="009629C4">
            <w:pPr>
              <w:pStyle w:val="P68B1DB1-Normal12"/>
              <w:spacing w:before="100" w:beforeAutospacing="1" w:after="120"/>
              <w:rPr>
                <w:rFonts w:cs="Arial"/>
                <w:noProof/>
              </w:rPr>
            </w:pPr>
            <w:r>
              <w:rPr>
                <w:noProof/>
              </w:rPr>
              <w:t xml:space="preserve">Pätevien hankintaviranomaisten, joiden keskimääräinen päätöksentekonopeus TED-tietokannassa on yli 160 päivää, on toteutettava korjaavia toimenpiteitä. </w:t>
            </w:r>
          </w:p>
        </w:tc>
      </w:tr>
      <w:tr w:rsidR="00E42B18" w14:paraId="268873F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1E5B06" w14:textId="77777777" w:rsidR="00E42B18" w:rsidRDefault="009629C4">
            <w:pPr>
              <w:pStyle w:val="P68B1DB1-Normal11"/>
              <w:jc w:val="center"/>
              <w:rPr>
                <w:rFonts w:cs="Arial"/>
                <w:noProof/>
                <w:szCs w:val="20"/>
              </w:rPr>
            </w:pPr>
            <w:r>
              <w:rPr>
                <w:noProof/>
              </w:rPr>
              <w:t>M1C1–85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96CAE6"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2AB9A"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AE08D1" w14:textId="77777777" w:rsidR="00E42B18" w:rsidRDefault="009629C4">
            <w:pPr>
              <w:pStyle w:val="P68B1DB1-Normal11"/>
              <w:jc w:val="center"/>
              <w:rPr>
                <w:rFonts w:cs="Arial"/>
                <w:noProof/>
                <w:szCs w:val="20"/>
              </w:rPr>
            </w:pPr>
            <w:r>
              <w:rPr>
                <w:noProof/>
              </w:rPr>
              <w:t>Sopimuksen tekemisen ja infrastruktuurin toteuttamisen välinen keskimääräinen aika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4F38C"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00F7D"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6EE8C7" w14:textId="77777777"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5073E" w14:textId="77777777" w:rsidR="00E42B18" w:rsidRDefault="009629C4">
            <w:pPr>
              <w:pStyle w:val="P68B1DB1-Normal11"/>
              <w:jc w:val="center"/>
              <w:rPr>
                <w:rFonts w:cs="Arial"/>
                <w:noProof/>
                <w:szCs w:val="20"/>
              </w:rPr>
            </w:pPr>
            <w:r>
              <w:rPr>
                <w:noProof/>
              </w:rPr>
              <w:t>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38D32"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C8F6E"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F747C1" w14:textId="77777777" w:rsidR="00E42B18" w:rsidRDefault="009629C4">
            <w:pPr>
              <w:pStyle w:val="P68B1DB1-Normal12"/>
              <w:spacing w:before="100" w:beforeAutospacing="1" w:after="120"/>
              <w:rPr>
                <w:rFonts w:cs="Arial"/>
                <w:noProof/>
              </w:rPr>
            </w:pPr>
            <w:r>
              <w:rPr>
                <w:noProof/>
              </w:rPr>
              <w:t>Sopimuksen tekemisen ja infrastruktuurin toteuttamisen, jäljempänä ’täytäntöönpanovaihe’, välistä keskimääräistä aikaa on lyhennettävä vähintään 10 prosenttia vertaamalla i) 1 päivän tammikuuta ja 31 päivän joulukuuta 2019 välisenä aikana tehtyjä ja 30 päivään kesäkuuta 2021 mennessä tehtyjä rakennusurakoita ja ii) 1 päivän heinäkuuta 2021 ja 30 päivän kesäkuuta 2022 välisenä aikana tehtyjä ja 31 päivään joulukuuta 2023 mennessä tehtyjä rakennusurakoita.</w:t>
            </w:r>
          </w:p>
        </w:tc>
      </w:tr>
      <w:tr w:rsidR="00E42B18" w14:paraId="1395373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D5445C" w14:textId="77777777" w:rsidR="00E42B18" w:rsidRDefault="009629C4">
            <w:pPr>
              <w:pStyle w:val="P68B1DB1-Normal11"/>
              <w:jc w:val="center"/>
              <w:rPr>
                <w:noProof/>
              </w:rPr>
            </w:pPr>
            <w:r>
              <w:rPr>
                <w:noProof/>
              </w:rPr>
              <w:t>M1C1–86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C6CC5" w14:textId="77777777" w:rsidR="00E42B18" w:rsidRDefault="009629C4">
            <w:pPr>
              <w:pStyle w:val="P68B1DB1-Normal11"/>
              <w:jc w:val="center"/>
              <w:rPr>
                <w:noProof/>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D571E5" w14:textId="77777777" w:rsidR="00E42B18" w:rsidRDefault="009629C4">
            <w:pPr>
              <w:pStyle w:val="P68B1DB1-Normal11"/>
              <w:jc w:val="center"/>
              <w:rPr>
                <w:noProof/>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7F3E19" w14:textId="77777777" w:rsidR="00E42B18" w:rsidRDefault="009629C4">
            <w:pPr>
              <w:pStyle w:val="P68B1DB1-Normal11"/>
              <w:jc w:val="center"/>
              <w:rPr>
                <w:noProof/>
              </w:rPr>
            </w:pPr>
            <w:r>
              <w:rPr>
                <w:noProof/>
              </w:rPr>
              <w:t>Julkisten ostajien ammatillistamista koskevan strategian kautta koulutetut virkamiehet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7E321A" w14:textId="77777777" w:rsidR="00E42B18" w:rsidRDefault="009629C4">
            <w:pPr>
              <w:pStyle w:val="P68B1DB1-Normal11"/>
              <w:jc w:val="center"/>
              <w:rPr>
                <w:noProof/>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54F460" w14:textId="77777777" w:rsidR="00E42B18" w:rsidRDefault="009629C4">
            <w:pPr>
              <w:pStyle w:val="P68B1DB1-Normal11"/>
              <w:jc w:val="center"/>
              <w:rPr>
                <w:noProof/>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2FD40D" w14:textId="77777777" w:rsidR="00E42B18" w:rsidRDefault="009629C4">
            <w:pPr>
              <w:pStyle w:val="P68B1DB1-Normal11"/>
              <w:jc w:val="center"/>
              <w:rPr>
                <w:noProof/>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E6D401" w14:textId="77777777" w:rsidR="00E42B18" w:rsidRDefault="009629C4">
            <w:pPr>
              <w:pStyle w:val="P68B1DB1-Normal11"/>
              <w:jc w:val="center"/>
              <w:rPr>
                <w:noProof/>
              </w:rPr>
            </w:pPr>
            <w:r>
              <w:rPr>
                <w:noProof/>
              </w:rPr>
              <w:t>20 000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60300A" w14:textId="77777777" w:rsidR="00E42B18" w:rsidRDefault="009629C4">
            <w:pPr>
              <w:pStyle w:val="P68B1DB1-Normal11"/>
              <w:jc w:val="center"/>
              <w:rPr>
                <w:noProof/>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1FA4E9" w14:textId="77777777" w:rsidR="00E42B18" w:rsidRDefault="009629C4">
            <w:pPr>
              <w:pStyle w:val="P68B1DB1-Normal11"/>
              <w:jc w:val="center"/>
              <w:rPr>
                <w:noProof/>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0637BE" w14:textId="77777777" w:rsidR="00E42B18" w:rsidRDefault="009629C4">
            <w:pPr>
              <w:pStyle w:val="P68B1DB1-Normal11"/>
              <w:spacing w:before="100" w:beforeAutospacing="1" w:after="120"/>
              <w:rPr>
                <w:noProof/>
              </w:rPr>
            </w:pPr>
            <w:r>
              <w:rPr>
                <w:noProof/>
              </w:rPr>
              <w:t xml:space="preserve">Julkisten ostajien ammatillistamista koskevassa strategiassa on koulutettu vähintään 20000 virkamiestä. </w:t>
            </w:r>
          </w:p>
        </w:tc>
      </w:tr>
      <w:tr w:rsidR="00E42B18" w14:paraId="53C87EF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74D003" w14:textId="77777777" w:rsidR="00E42B18" w:rsidRDefault="009629C4">
            <w:pPr>
              <w:pStyle w:val="P68B1DB1-Normal11"/>
              <w:jc w:val="center"/>
              <w:rPr>
                <w:rFonts w:cs="Arial"/>
                <w:noProof/>
                <w:szCs w:val="20"/>
              </w:rPr>
            </w:pPr>
            <w:r>
              <w:rPr>
                <w:noProof/>
              </w:rPr>
              <w:t>M1C1–87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5CED6A"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CCBAF"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EEB9B0" w14:textId="77777777" w:rsidR="00E42B18" w:rsidRDefault="009629C4">
            <w:pPr>
              <w:pStyle w:val="P68B1DB1-Normal11"/>
              <w:jc w:val="center"/>
              <w:rPr>
                <w:rFonts w:cs="Arial"/>
                <w:noProof/>
                <w:szCs w:val="20"/>
              </w:rPr>
            </w:pPr>
            <w:r>
              <w:rPr>
                <w:noProof/>
              </w:rPr>
              <w:t>Dynaamisia hankintajärjestelmiä käyttävät hankintaviranomaiset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5668DC"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019B2F"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AB3D0E"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219E8" w14:textId="77777777" w:rsidR="00E42B18" w:rsidRDefault="009629C4">
            <w:pPr>
              <w:pStyle w:val="P68B1DB1-Normal11"/>
              <w:jc w:val="center"/>
              <w:rPr>
                <w:rFonts w:cs="Arial"/>
                <w:noProof/>
                <w:szCs w:val="20"/>
              </w:rPr>
            </w:pPr>
            <w:r>
              <w:rPr>
                <w:noProof/>
              </w:rPr>
              <w:t>15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88842"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5047E9"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E379E8" w14:textId="77777777" w:rsidR="00E42B18" w:rsidRDefault="009629C4">
            <w:pPr>
              <w:pStyle w:val="P68B1DB1-Normal12"/>
              <w:spacing w:before="100" w:beforeAutospacing="1" w:after="120"/>
              <w:rPr>
                <w:rFonts w:cs="Arial"/>
                <w:noProof/>
              </w:rPr>
            </w:pPr>
            <w:r>
              <w:rPr>
                <w:noProof/>
              </w:rPr>
              <w:t>Vähintään 15 prosenttia hankintaviranomaisista käyttää EU:n direktiivin 2014/24 mukaisia dynaamisia hankintajärjestelmiä (kahden vuoden havainnointiaika, kun otetaan huomioon, että Italiassa dynaamisen hankintajärjestelmän käyttö kohdistuu pääasiassa kynnysarvon ylittäviin hankintoihin, koska kynnysarvon alittavat hankinnat tehdään pääasiassa käyttämällä sähköisiä markkinapaikkoja). Tavoite koskee keskushallinnon hankintaviranomaisia (250 maksajavirastoa 30. huhtikuuta 2021 mennessä Consipin MEF:n puolesta hallinnoimaan kansalliseen sähköiseen hankintajärjestelmään).</w:t>
            </w:r>
          </w:p>
        </w:tc>
      </w:tr>
      <w:tr w:rsidR="00E42B18" w14:paraId="64BD8E2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BBA0B9" w14:textId="77777777" w:rsidR="00E42B18" w:rsidRDefault="009629C4">
            <w:pPr>
              <w:pStyle w:val="P68B1DB1-Normal11"/>
              <w:jc w:val="center"/>
              <w:rPr>
                <w:rFonts w:cs="Arial"/>
                <w:noProof/>
                <w:szCs w:val="20"/>
              </w:rPr>
            </w:pPr>
            <w:r>
              <w:rPr>
                <w:noProof/>
              </w:rPr>
              <w:t>M1C1–88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11AEA0" w14:textId="77777777" w:rsidR="00E42B18" w:rsidRDefault="009629C4">
            <w:pPr>
              <w:pStyle w:val="P68B1DB1-Normal12"/>
              <w:jc w:val="center"/>
              <w:rPr>
                <w:rFonts w:cs="Arial"/>
                <w:noProof/>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650CA9"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A395C0" w14:textId="77777777" w:rsidR="00E42B18" w:rsidRDefault="009629C4">
            <w:pPr>
              <w:pStyle w:val="P68B1DB1-Normal12"/>
              <w:jc w:val="center"/>
              <w:rPr>
                <w:rFonts w:cs="Arial"/>
                <w:noProof/>
              </w:rPr>
            </w:pPr>
            <w:r>
              <w:rPr>
                <w:noProof/>
              </w:rPr>
              <w:t>Keskusviranomaisten yrityksille maksamien päivien keskimäärä vähenee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B49F06"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56C78" w14:textId="77777777" w:rsidR="00E42B18" w:rsidRDefault="009629C4">
            <w:pPr>
              <w:pStyle w:val="P68B1DB1-Normal11"/>
              <w:jc w:val="center"/>
              <w:rPr>
                <w:rFonts w:cs="Arial"/>
                <w:noProof/>
                <w:szCs w:val="20"/>
              </w:rPr>
            </w:pPr>
            <w:r>
              <w:rPr>
                <w:noProof/>
              </w:rPr>
              <w:t>Painotettu keskimääräinen maksuaika (päivinä)</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5EEF6B" w14:textId="77777777" w:rsidR="00E42B18" w:rsidRDefault="009629C4">
            <w:pPr>
              <w:pStyle w:val="P68B1DB1-Normal11"/>
              <w:jc w:val="center"/>
              <w:rPr>
                <w:rFonts w:cs="Arial"/>
                <w:noProof/>
                <w:szCs w:val="20"/>
              </w:rPr>
            </w:pPr>
            <w:r>
              <w:rPr>
                <w:noProof/>
              </w:rPr>
              <w:t xml:space="preserve"> 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39BB6" w14:textId="77777777" w:rsidR="00E42B18" w:rsidRDefault="009629C4">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4965AB"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E0EB7"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1741CB" w14:textId="77777777" w:rsidR="00E42B18" w:rsidRDefault="009629C4">
            <w:pPr>
              <w:spacing w:before="100" w:beforeAutospacing="1" w:after="120"/>
              <w:rPr>
                <w:rStyle w:val="CommentReference"/>
                <w:rFonts w:ascii="Arial Narrow" w:hAnsi="Arial Narrow"/>
                <w:i/>
                <w:noProof/>
                <w:color w:val="006100"/>
                <w:sz w:val="20"/>
                <w:szCs w:val="20"/>
              </w:rPr>
            </w:pPr>
            <w:r>
              <w:rPr>
                <w:rFonts w:ascii="Arial Narrow" w:hAnsi="Arial Narrow"/>
                <w:noProof/>
                <w:color w:val="006100"/>
                <w:sz w:val="20"/>
                <w:szCs w:val="20"/>
              </w:rPr>
              <w:t>Kaupalliselta luottoalustalta (Piattaforma Crediti Commerciali) saatujen, vuonna 2025 laadittuihin laskuihin liittyvien tietojen perusteella seuraavat indikaattorit, jotka koskevat maksuja keskusviranomaisilta (</w:t>
            </w:r>
            <w:r>
              <w:rPr>
                <w:rFonts w:ascii="Arial Narrow" w:hAnsi="Arial Narrow"/>
                <w:i/>
                <w:noProof/>
                <w:color w:val="006100"/>
                <w:sz w:val="20"/>
                <w:szCs w:val="20"/>
              </w:rPr>
              <w:t>Amministrazioni centrali</w:t>
            </w:r>
            <w:r>
              <w:rPr>
                <w:rFonts w:ascii="Arial Narrow" w:hAnsi="Arial Narrow"/>
                <w:noProof/>
                <w:color w:val="006100"/>
                <w:sz w:val="20"/>
                <w:szCs w:val="20"/>
              </w:rPr>
              <w:t>) yrityksille, ovat</w:t>
            </w:r>
            <w:r>
              <w:rPr>
                <w:rStyle w:val="CommentReference"/>
                <w:noProof/>
              </w:rPr>
              <w:t>seuraavat:</w:t>
            </w:r>
          </w:p>
          <w:p w14:paraId="2343F53F" w14:textId="77777777" w:rsidR="00E42B18" w:rsidRDefault="009629C4">
            <w:pPr>
              <w:pStyle w:val="P68B1DB1-Normal12"/>
              <w:spacing w:before="100" w:beforeAutospacing="1" w:after="120"/>
              <w:rPr>
                <w:rFonts w:eastAsia="Times New Roman" w:cs="Times New Roman"/>
                <w:noProof/>
              </w:rPr>
            </w:pPr>
            <w:r>
              <w:rPr>
                <w:noProof/>
              </w:rPr>
              <w:t xml:space="preserve">— painotettu keskimääräinen maksuaika (”tempo medio di pagamento ponderato”): enintään 30 päivää; </w:t>
            </w:r>
          </w:p>
          <w:p w14:paraId="01243181" w14:textId="53931506" w:rsidR="00E42B18" w:rsidRDefault="009629C4">
            <w:pPr>
              <w:pStyle w:val="P68B1DB1-Normal12"/>
              <w:spacing w:before="100" w:beforeAutospacing="1" w:after="120"/>
              <w:rPr>
                <w:noProof/>
              </w:rPr>
            </w:pPr>
            <w:r>
              <w:rPr>
                <w:noProof/>
              </w:rPr>
              <w:t xml:space="preserve">— painotettu keskimääräinen maksuviivästys (”tempo medio di ritardo ponderato”): enintään 0 päivää; </w:t>
            </w:r>
          </w:p>
          <w:p w14:paraId="648BDD81" w14:textId="77777777" w:rsidR="00E42B18" w:rsidRDefault="009629C4">
            <w:pPr>
              <w:pStyle w:val="P68B1DB1-Normal12"/>
              <w:spacing w:before="100" w:beforeAutospacing="1" w:after="120"/>
              <w:rPr>
                <w:rFonts w:cs="Arial"/>
                <w:noProof/>
              </w:rPr>
            </w:pPr>
            <w:r>
              <w:rPr>
                <w:noProof/>
              </w:rPr>
              <w:t xml:space="preserve">Lisäksi painottamattoman keskimääräisen maksuajan (”tempo medio di pagamento semplice”) välinen ero: painotettu keskimääräinen maksuaika saa olla enintään 15 päivää, paitsi jos painottamaton keskimääräinen maksuaika on alle 30 päivää. </w:t>
            </w:r>
          </w:p>
        </w:tc>
      </w:tr>
      <w:tr w:rsidR="00E42B18" w14:paraId="35137D4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046ABA" w14:textId="77777777" w:rsidR="00E42B18" w:rsidRDefault="009629C4">
            <w:pPr>
              <w:pStyle w:val="P68B1DB1-Normal11"/>
              <w:jc w:val="center"/>
              <w:rPr>
                <w:rFonts w:cs="Arial"/>
                <w:noProof/>
                <w:szCs w:val="20"/>
              </w:rPr>
            </w:pPr>
            <w:r>
              <w:rPr>
                <w:noProof/>
              </w:rPr>
              <w:t>M1C1–89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F509D" w14:textId="77777777" w:rsidR="00E42B18" w:rsidRDefault="009629C4">
            <w:pPr>
              <w:pStyle w:val="P68B1DB1-Normal11"/>
              <w:jc w:val="center"/>
              <w:rPr>
                <w:rFonts w:cs="Arial"/>
                <w:noProof/>
                <w:szCs w:val="20"/>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47838"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C4C660" w14:textId="77777777" w:rsidR="00E42B18" w:rsidRDefault="009629C4">
            <w:pPr>
              <w:pStyle w:val="P68B1DB1-Normal11"/>
              <w:jc w:val="center"/>
              <w:rPr>
                <w:rFonts w:cs="Arial"/>
                <w:noProof/>
                <w:szCs w:val="20"/>
              </w:rPr>
            </w:pPr>
            <w:r>
              <w:rPr>
                <w:noProof/>
              </w:rPr>
              <w:t>Alueellisten viranomaisten yrityksille maksamien päivien keskimäärä vähenee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FB1609"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8923D9" w14:textId="77777777" w:rsidR="00E42B18" w:rsidRDefault="009629C4">
            <w:pPr>
              <w:pStyle w:val="P68B1DB1-Normal11"/>
              <w:jc w:val="center"/>
              <w:rPr>
                <w:rFonts w:cs="Arial"/>
                <w:noProof/>
                <w:szCs w:val="20"/>
              </w:rPr>
            </w:pPr>
            <w:r>
              <w:rPr>
                <w:noProof/>
              </w:rPr>
              <w:t>Painotettu keskimääräinen maksuaika (päivinä)</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3107BC"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9135" w14:textId="77777777" w:rsidR="00E42B18" w:rsidRDefault="009629C4">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99D41"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2C252"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C5996E" w14:textId="5DE866AC" w:rsidR="00E42B18" w:rsidRDefault="009629C4">
            <w:pPr>
              <w:pStyle w:val="P68B1DB1-Normal12"/>
              <w:spacing w:before="100" w:beforeAutospacing="1" w:after="120"/>
              <w:rPr>
                <w:noProof/>
              </w:rPr>
            </w:pPr>
            <w:r>
              <w:rPr>
                <w:noProof/>
              </w:rPr>
              <w:t>Vuonna 2025 laadittuihin laskuihin liittyvien yritysluottoalustan (Piattaforma Crediti Commerciali) tietojen perusteella seuraavat indikaattorit, jotka koskevat maksuja alueellisilta viranomaisilta (</w:t>
            </w:r>
            <w:r>
              <w:rPr>
                <w:i/>
                <w:noProof/>
              </w:rPr>
              <w:t>Regioni – Autonome</w:t>
            </w:r>
            <w:r>
              <w:rPr>
                <w:noProof/>
              </w:rPr>
              <w:t>) yrityksille, ovat seuraavat:</w:t>
            </w:r>
          </w:p>
          <w:p w14:paraId="669C0266" w14:textId="77777777" w:rsidR="00E42B18" w:rsidRDefault="009629C4">
            <w:pPr>
              <w:pStyle w:val="P68B1DB1-ListParagraph13"/>
              <w:numPr>
                <w:ilvl w:val="0"/>
                <w:numId w:val="70"/>
              </w:numPr>
              <w:spacing w:before="100" w:beforeAutospacing="1" w:after="120" w:line="240" w:lineRule="auto"/>
              <w:jc w:val="both"/>
              <w:rPr>
                <w:rFonts w:cs="Arial"/>
                <w:noProof/>
              </w:rPr>
            </w:pPr>
            <w:r>
              <w:rPr>
                <w:noProof/>
              </w:rPr>
              <w:t>painotettu keskimääräinen maksuaika (”tempo medio di pagamento ponderato”): enintään 30 päivää;</w:t>
            </w:r>
          </w:p>
          <w:p w14:paraId="0A15038F" w14:textId="77777777" w:rsidR="00E42B18" w:rsidRDefault="009629C4">
            <w:pPr>
              <w:pStyle w:val="P68B1DB1-ListParagraph13"/>
              <w:numPr>
                <w:ilvl w:val="0"/>
                <w:numId w:val="70"/>
              </w:numPr>
              <w:spacing w:before="100" w:beforeAutospacing="1" w:after="120" w:line="240" w:lineRule="auto"/>
              <w:jc w:val="both"/>
              <w:rPr>
                <w:rFonts w:cs="Arial"/>
                <w:noProof/>
              </w:rPr>
            </w:pPr>
            <w:r>
              <w:rPr>
                <w:noProof/>
              </w:rPr>
              <w:t>painotettu keskimääräinen maksuviivästys (”tempo medio di ritardo ponderato”): enintään 0 päivää.</w:t>
            </w:r>
          </w:p>
          <w:p w14:paraId="63364C21" w14:textId="77777777" w:rsidR="00E42B18" w:rsidRDefault="009629C4">
            <w:pPr>
              <w:pStyle w:val="P68B1DB1-Normal17"/>
              <w:spacing w:before="100" w:beforeAutospacing="1"/>
              <w:rPr>
                <w:noProof/>
              </w:rPr>
            </w:pPr>
            <w:r>
              <w:rPr>
                <w:noProof/>
              </w:rPr>
              <w:t>Lisäksi painottamattoman keskimääräisen maksuajan (”tempo medio di pagamento semplice”) ja painotetun keskimääräisen maksuajan välinen ero saa olla enintään 15 päivää, paitsi jos painottamaton keskimääräinen maksuaika on alle 30 päivää.</w:t>
            </w:r>
          </w:p>
        </w:tc>
      </w:tr>
      <w:tr w:rsidR="00E42B18" w14:paraId="566EB07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B91CB3" w14:textId="77777777" w:rsidR="00E42B18" w:rsidRDefault="009629C4">
            <w:pPr>
              <w:pStyle w:val="P68B1DB1-Normal11"/>
              <w:jc w:val="center"/>
              <w:rPr>
                <w:rFonts w:cs="Arial"/>
                <w:noProof/>
                <w:szCs w:val="20"/>
              </w:rPr>
            </w:pPr>
            <w:r>
              <w:rPr>
                <w:noProof/>
              </w:rPr>
              <w:t>M1C1–90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8EE30F" w14:textId="77777777" w:rsidR="00E42B18" w:rsidRDefault="009629C4">
            <w:pPr>
              <w:pStyle w:val="P68B1DB1-Normal11"/>
              <w:jc w:val="center"/>
              <w:rPr>
                <w:rFonts w:cs="Arial"/>
                <w:noProof/>
                <w:szCs w:val="20"/>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97CBC"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2FA4E" w14:textId="77777777" w:rsidR="00E42B18" w:rsidRDefault="009629C4">
            <w:pPr>
              <w:pStyle w:val="P68B1DB1-Normal11"/>
              <w:jc w:val="center"/>
              <w:rPr>
                <w:rFonts w:cs="Arial"/>
                <w:noProof/>
                <w:szCs w:val="20"/>
              </w:rPr>
            </w:pPr>
            <w:r>
              <w:rPr>
                <w:noProof/>
              </w:rPr>
              <w:t>Paikallisviranomaisten yrityksille maksamien päivien keskimäärä vähenee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E98384"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671821" w14:textId="77777777" w:rsidR="00E42B18" w:rsidRDefault="009629C4">
            <w:pPr>
              <w:pStyle w:val="P68B1DB1-Normal11"/>
              <w:jc w:val="center"/>
              <w:rPr>
                <w:rFonts w:cs="Arial"/>
                <w:noProof/>
                <w:szCs w:val="20"/>
              </w:rPr>
            </w:pPr>
            <w:r>
              <w:rPr>
                <w:noProof/>
              </w:rPr>
              <w:t>Painotettu keskimääräinen maksuaika (päivinä)</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154DCD" w14:textId="77777777" w:rsidR="00E42B18" w:rsidRDefault="009629C4">
            <w:pPr>
              <w:pStyle w:val="P68B1DB1-Normal11"/>
              <w:jc w:val="center"/>
              <w:rPr>
                <w:rFonts w:cs="Arial"/>
                <w:noProof/>
                <w:szCs w:val="20"/>
              </w:rPr>
            </w:pPr>
            <w:r>
              <w:rPr>
                <w:noProof/>
              </w:rPr>
              <w:t xml:space="preserve"> 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6AAEF" w14:textId="77777777" w:rsidR="00E42B18" w:rsidRDefault="009629C4">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E862C6"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21881"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2C6C9" w14:textId="3B40EA68" w:rsidR="00E42B18" w:rsidRDefault="009629C4">
            <w:pPr>
              <w:pStyle w:val="P68B1DB1-Normal12"/>
              <w:spacing w:before="100" w:beforeAutospacing="1" w:after="120"/>
              <w:rPr>
                <w:noProof/>
              </w:rPr>
            </w:pPr>
            <w:r>
              <w:rPr>
                <w:noProof/>
              </w:rPr>
              <w:t>Yritysluottoalustan (Piattaforma Crediti Commerciali Commerciali) vuonna 2025 laadittuihin laskuihin liittyvien tietojen perusteella seuraavat indikaattorit paikallisviranomaisten (</w:t>
            </w:r>
            <w:r>
              <w:rPr>
                <w:i/>
                <w:noProof/>
              </w:rPr>
              <w:t>enti locali</w:t>
            </w:r>
            <w:r>
              <w:rPr>
                <w:noProof/>
              </w:rPr>
              <w:t>) yrityksille suorittamille maksuille ovat seuraavat:</w:t>
            </w:r>
          </w:p>
          <w:p w14:paraId="5260D028" w14:textId="1ECC7F20" w:rsidR="00E42B18" w:rsidRDefault="009629C4">
            <w:pPr>
              <w:pStyle w:val="P68B1DB1-ListParagraph13"/>
              <w:numPr>
                <w:ilvl w:val="0"/>
                <w:numId w:val="71"/>
              </w:numPr>
              <w:spacing w:before="100" w:beforeAutospacing="1" w:after="120" w:line="240" w:lineRule="auto"/>
              <w:jc w:val="both"/>
              <w:rPr>
                <w:rFonts w:cs="Arial"/>
                <w:noProof/>
              </w:rPr>
            </w:pPr>
            <w:r>
              <w:rPr>
                <w:noProof/>
              </w:rPr>
              <w:t>painotettu keskimääräinen maksuaika (”tempo medio di pagamento ponderato”): enintään 30 päivää;</w:t>
            </w:r>
          </w:p>
          <w:p w14:paraId="671E5EC7" w14:textId="37B7BCA3" w:rsidR="00E42B18" w:rsidRDefault="009629C4">
            <w:pPr>
              <w:pStyle w:val="P68B1DB1-ListParagraph13"/>
              <w:numPr>
                <w:ilvl w:val="0"/>
                <w:numId w:val="71"/>
              </w:numPr>
              <w:spacing w:before="100" w:beforeAutospacing="1" w:after="120" w:line="240" w:lineRule="auto"/>
              <w:jc w:val="both"/>
              <w:rPr>
                <w:rFonts w:cs="Arial"/>
                <w:noProof/>
              </w:rPr>
            </w:pPr>
            <w:r>
              <w:rPr>
                <w:noProof/>
              </w:rPr>
              <w:t>painotettu keskimääräinen maksuviivästys (”tempo medio di ritardo ponderato”): enintään 0 päivää.</w:t>
            </w:r>
          </w:p>
          <w:p w14:paraId="1326E6BE" w14:textId="77777777" w:rsidR="00E42B18" w:rsidRDefault="009629C4">
            <w:pPr>
              <w:pStyle w:val="P68B1DB1-Normal12"/>
              <w:spacing w:before="100" w:beforeAutospacing="1"/>
              <w:rPr>
                <w:rFonts w:cs="Arial"/>
                <w:noProof/>
              </w:rPr>
            </w:pPr>
            <w:r>
              <w:rPr>
                <w:noProof/>
              </w:rPr>
              <w:t>Lisäksi painottamattoman keskimääräisen maksuajan (”tempo medio di pagamento semplice”) ja painotetun keskimääräisen maksuajan välinen ero saa olla enintään 15 päivää, paitsi jos painottamaton keskimääräinen maksuaika on alle 30 päivää.</w:t>
            </w:r>
          </w:p>
        </w:tc>
      </w:tr>
      <w:tr w:rsidR="00E42B18" w14:paraId="6791A38C"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46380" w14:textId="77777777" w:rsidR="00E42B18" w:rsidRDefault="009629C4">
            <w:pPr>
              <w:pStyle w:val="P68B1DB1-Normal11"/>
              <w:jc w:val="center"/>
              <w:rPr>
                <w:rFonts w:cs="Arial"/>
                <w:noProof/>
                <w:szCs w:val="20"/>
              </w:rPr>
            </w:pPr>
            <w:r>
              <w:rPr>
                <w:noProof/>
              </w:rPr>
              <w:t>M1C1–91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1A0E06" w14:textId="77777777" w:rsidR="00E42B18" w:rsidRDefault="009629C4">
            <w:pPr>
              <w:pStyle w:val="P68B1DB1-Normal12"/>
              <w:jc w:val="center"/>
              <w:rPr>
                <w:rFonts w:cs="Arial"/>
                <w:noProof/>
              </w:rPr>
            </w:pPr>
            <w:r>
              <w:rPr>
                <w:noProof/>
              </w:rPr>
              <w:t>Uudistus 1.11: Julkishallinnon ja terveysviranomaisten maksuviivästysten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98E502"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96359F" w14:textId="77777777" w:rsidR="00E42B18" w:rsidRDefault="009629C4">
            <w:pPr>
              <w:pStyle w:val="P68B1DB1-Normal11"/>
              <w:jc w:val="center"/>
              <w:rPr>
                <w:rFonts w:cs="Arial"/>
                <w:noProof/>
                <w:szCs w:val="20"/>
              </w:rPr>
            </w:pPr>
            <w:r>
              <w:rPr>
                <w:noProof/>
              </w:rPr>
              <w:t>Kansanterveysviranomaisten yrityksille maksamien päivien keskimääräistä määrää vähennetään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9401EE"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1AFA41" w14:textId="77777777" w:rsidR="00E42B18" w:rsidRDefault="009629C4">
            <w:pPr>
              <w:pStyle w:val="P68B1DB1-Normal12"/>
              <w:jc w:val="center"/>
              <w:rPr>
                <w:rFonts w:cs="Arial"/>
                <w:noProof/>
              </w:rPr>
            </w:pPr>
            <w:r>
              <w:rPr>
                <w:noProof/>
              </w:rPr>
              <w:t>Painotettu keskimääräinen maksuaika (jn päivää)</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F4D95"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008ED" w14:textId="77777777" w:rsidR="00E42B18" w:rsidRDefault="009629C4">
            <w:pPr>
              <w:pStyle w:val="P68B1DB1-Normal11"/>
              <w:jc w:val="center"/>
              <w:rPr>
                <w:rFonts w:cs="Arial"/>
                <w:noProof/>
                <w:szCs w:val="20"/>
              </w:rPr>
            </w:pPr>
            <w:r>
              <w:rPr>
                <w:noProof/>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731DA0"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445F6F"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0E1D22" w14:textId="77777777" w:rsidR="00E42B18" w:rsidRDefault="009629C4">
            <w:pPr>
              <w:pStyle w:val="P68B1DB1-Normal12"/>
              <w:spacing w:before="100" w:beforeAutospacing="1" w:after="120"/>
              <w:rPr>
                <w:noProof/>
              </w:rPr>
            </w:pPr>
            <w:r>
              <w:rPr>
                <w:noProof/>
              </w:rPr>
              <w:t>Vuonna 2025 laadittuihin laskuihin liittyvien yritysluottoalustan (”Piattaforma Crediti Commerciali”) tietojen perusteella seuraavat indikaattorit, jotka koskevat kansanterveysviranomaisten (</w:t>
            </w:r>
            <w:r>
              <w:rPr>
                <w:i/>
                <w:noProof/>
              </w:rPr>
              <w:t>enti del Servizio sanitario nazionale</w:t>
            </w:r>
            <w:r>
              <w:rPr>
                <w:noProof/>
              </w:rPr>
              <w:t>) yrityksille suorittamia maksuja, ovat seuraavat:</w:t>
            </w:r>
          </w:p>
          <w:p w14:paraId="7F808C45" w14:textId="77777777" w:rsidR="00E42B18" w:rsidRDefault="009629C4">
            <w:pPr>
              <w:pStyle w:val="P68B1DB1-Normal12"/>
              <w:spacing w:beforeAutospacing="1" w:after="120"/>
              <w:rPr>
                <w:noProof/>
              </w:rPr>
            </w:pPr>
            <w:r>
              <w:rPr>
                <w:noProof/>
              </w:rPr>
              <w:t xml:space="preserve">— painotettu keskimääräinen maksuaika (”tempo medio di pagamento ponderato”): enintään 60 päivää; </w:t>
            </w:r>
          </w:p>
          <w:p w14:paraId="01923B11" w14:textId="5BB0B5A8" w:rsidR="00E42B18" w:rsidRDefault="009629C4">
            <w:pPr>
              <w:pStyle w:val="P68B1DB1-Normal12"/>
              <w:spacing w:beforeAutospacing="1" w:after="120"/>
              <w:rPr>
                <w:noProof/>
              </w:rPr>
            </w:pPr>
            <w:r>
              <w:rPr>
                <w:noProof/>
              </w:rPr>
              <w:t xml:space="preserve">— painotettu keskimääräinen maksuviivästys (”tempo medio di ritardo ponderato”): enintään 0 päivää; </w:t>
            </w:r>
          </w:p>
          <w:p w14:paraId="61F0A25D" w14:textId="77777777" w:rsidR="00E42B18" w:rsidRDefault="009629C4">
            <w:pPr>
              <w:pStyle w:val="P68B1DB1-Normal12"/>
              <w:spacing w:before="100" w:beforeAutospacing="1" w:after="120"/>
              <w:rPr>
                <w:noProof/>
              </w:rPr>
            </w:pPr>
            <w:r>
              <w:rPr>
                <w:noProof/>
              </w:rPr>
              <w:t>Lisäksi painottamattoman keskimääräisen maksuajan (”tempo medio di pagamento semplice”) ja painotetun keskimääräisen maksuajan välinen ero saa olla enintään 20 päivää, paitsi jos painottamaton keskimääräinen maksuaika on alle 60 päivää.</w:t>
            </w:r>
          </w:p>
        </w:tc>
      </w:tr>
      <w:tr w:rsidR="00E42B18" w14:paraId="7125BB3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C2E64" w14:textId="61C60670" w:rsidR="00E42B18" w:rsidRDefault="009629C4">
            <w:pPr>
              <w:pStyle w:val="P68B1DB1-Normal11"/>
              <w:jc w:val="center"/>
              <w:rPr>
                <w:rFonts w:cs="Arial"/>
                <w:noProof/>
                <w:szCs w:val="20"/>
              </w:rPr>
            </w:pPr>
            <w:r>
              <w:rPr>
                <w:noProof/>
              </w:rPr>
              <w:t>M1C1–96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CC87D2"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8366CB"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B5BF9" w14:textId="7E3062D2" w:rsidR="00E42B18" w:rsidRDefault="009629C4">
            <w:pPr>
              <w:pStyle w:val="P68B1DB1-Normal11"/>
              <w:jc w:val="center"/>
              <w:rPr>
                <w:rFonts w:cs="Arial"/>
                <w:noProof/>
                <w:szCs w:val="20"/>
              </w:rPr>
            </w:pPr>
            <w:r>
              <w:rPr>
                <w:noProof/>
              </w:rPr>
              <w:t>Tarjousten vastaanottamisen määräajan ja sopimuksen allekirjoituspäivän välinen keskimääräinen aika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464AE"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273F8D" w14:textId="45A56336"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DE3FA" w14:textId="66C3C40A" w:rsidR="00E42B18" w:rsidRDefault="009629C4">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DFF344" w14:textId="3118E7FB" w:rsidR="00E42B18" w:rsidRDefault="009629C4">
            <w:pPr>
              <w:pStyle w:val="P68B1DB1-Normal12"/>
              <w:jc w:val="center"/>
              <w:rPr>
                <w:rFonts w:cs="Arial"/>
                <w:noProof/>
              </w:rPr>
            </w:pPr>
            <w:r>
              <w:rPr>
                <w:noProof/>
              </w:rPr>
              <w:t>80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8464E1"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1EB1CD" w14:textId="77777777" w:rsidR="00E42B18" w:rsidRDefault="009629C4">
            <w:pPr>
              <w:pStyle w:val="P68B1DB1-Normal12"/>
              <w:jc w:val="center"/>
              <w:rPr>
                <w:rFonts w:cs="Arial"/>
                <w:noProof/>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F13FB3" w14:textId="1A78FD6C" w:rsidR="00E42B18" w:rsidRDefault="009629C4">
            <w:pPr>
              <w:pStyle w:val="P68B1DB1-Normal19"/>
              <w:spacing w:before="100" w:beforeAutospacing="1" w:after="120"/>
              <w:rPr>
                <w:rFonts w:ascii="Arial Narrow" w:hAnsi="Arial Narrow" w:cs="Arial"/>
                <w:noProof/>
              </w:rPr>
            </w:pPr>
            <w:r>
              <w:rPr>
                <w:rFonts w:ascii="Arial Narrow" w:hAnsi="Arial Narrow"/>
                <w:noProof/>
              </w:rPr>
              <w:t>ANAC:n Banca Dati Nazionale Contratti Pubblici -tietokannasta (IT National eSender) ja TEDin tietokannasta saatujen tietojen perusteella tarjousten vastaanottamisen määräajan ja sopimuksen allekirjoittamispäivän välistä keskimääräistä aikaa 12 kuukauden jaksolla, jossa viitteenä käytetään aikaisintaan 1.</w:t>
            </w:r>
            <w:r>
              <w:rPr>
                <w:rFonts w:ascii="Arial Narrow" w:eastAsia="Arial Narrow" w:hAnsi="Arial Narrow" w:cs="Arial Narrow"/>
                <w:noProof/>
                <w:vertAlign w:val="superscript"/>
              </w:rPr>
              <w:t>syyskuuta</w:t>
            </w:r>
            <w:r>
              <w:rPr>
                <w:rFonts w:ascii="Arial Narrow" w:hAnsi="Arial Narrow"/>
                <w:noProof/>
              </w:rPr>
              <w:t xml:space="preserve"> 2024 alkavaa sopimuksen allekirjoittamispäivää, lyhennetään vähintään 20 prosenttia verrattuna EU:n sisämarkkinoiden tulostaulussa julkaistuun päätöksenteon nopeusindikaattoriin, joka on julkaistu julkisia hankintoja koskevissa EU:n direktiiveissä säädetyn kynnysarvon ylittävien sopimusten osalta.</w:t>
            </w:r>
          </w:p>
        </w:tc>
      </w:tr>
      <w:tr w:rsidR="00E42B18" w14:paraId="248E972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8D5E97" w14:textId="77777777" w:rsidR="00E42B18" w:rsidRDefault="009629C4">
            <w:pPr>
              <w:pStyle w:val="P68B1DB1-Normal11"/>
              <w:jc w:val="center"/>
              <w:rPr>
                <w:noProof/>
                <w:szCs w:val="20"/>
              </w:rPr>
            </w:pPr>
            <w:r>
              <w:rPr>
                <w:noProof/>
              </w:rPr>
              <w:t>M1C1–97ter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72A6AF" w14:textId="77777777" w:rsidR="00E42B18" w:rsidRDefault="009629C4">
            <w:pPr>
              <w:pStyle w:val="P68B1DB1-Normal11"/>
              <w:jc w:val="center"/>
              <w:rPr>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7193FE" w14:textId="77777777" w:rsidR="00E42B18" w:rsidRDefault="009629C4">
            <w:pPr>
              <w:pStyle w:val="P68B1DB1-Normal12"/>
              <w:jc w:val="center"/>
              <w:rPr>
                <w:noProof/>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473A09" w14:textId="5B280DA0" w:rsidR="00E42B18" w:rsidRDefault="009629C4">
            <w:pPr>
              <w:pStyle w:val="P68B1DB1-Normal11"/>
              <w:jc w:val="center"/>
              <w:rPr>
                <w:noProof/>
                <w:szCs w:val="20"/>
              </w:rPr>
            </w:pPr>
            <w:r>
              <w:rPr>
                <w:noProof/>
              </w:rPr>
              <w:t>Toteutusnopeuteen liittyvät toimenpiteet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8A3F0B" w14:textId="77777777" w:rsidR="00E42B18" w:rsidRDefault="009629C4">
            <w:pPr>
              <w:pStyle w:val="P68B1DB1-Normal12"/>
              <w:jc w:val="center"/>
              <w:rPr>
                <w:noProof/>
              </w:rPr>
            </w:pPr>
            <w:r>
              <w:rPr>
                <w:noProof/>
              </w:rPr>
              <w:t>Toteutusnopeuteen liittyvien toimenpiteiden hyväksyminen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13F52" w14:textId="77777777" w:rsidR="00E42B18" w:rsidRDefault="009629C4">
            <w:pPr>
              <w:pStyle w:val="P68B1DB1-Normal11"/>
              <w:jc w:val="center"/>
              <w:rPr>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6FAB7" w14:textId="77777777" w:rsidR="00E42B18" w:rsidRDefault="009629C4">
            <w:pPr>
              <w:pStyle w:val="P68B1DB1-Normal11"/>
              <w:jc w:val="center"/>
              <w:rPr>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D14B9" w14:textId="77777777" w:rsidR="00E42B18" w:rsidRDefault="009629C4">
            <w:pPr>
              <w:pStyle w:val="P68B1DB1-Normal11"/>
              <w:jc w:val="center"/>
              <w:rPr>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A0D9AB" w14:textId="77777777" w:rsidR="00E42B18" w:rsidRDefault="009629C4">
            <w:pPr>
              <w:pStyle w:val="P68B1DB1-Normal11"/>
              <w:jc w:val="center"/>
              <w:rPr>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B5482" w14:textId="77777777" w:rsidR="00E42B18" w:rsidRDefault="009629C4">
            <w:pPr>
              <w:pStyle w:val="P68B1DB1-Normal11"/>
              <w:jc w:val="center"/>
              <w:rPr>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5BB78" w14:textId="61CC5F0D" w:rsidR="00E42B18" w:rsidRDefault="009629C4">
            <w:pPr>
              <w:pStyle w:val="P68B1DB1-ListParagraph13"/>
              <w:numPr>
                <w:ilvl w:val="0"/>
                <w:numId w:val="72"/>
              </w:numPr>
              <w:spacing w:before="100" w:beforeAutospacing="1" w:after="120" w:line="240" w:lineRule="auto"/>
              <w:ind w:left="245" w:hanging="284"/>
              <w:jc w:val="both"/>
              <w:rPr>
                <w:noProof/>
              </w:rPr>
            </w:pPr>
            <w:r>
              <w:rPr>
                <w:noProof/>
              </w:rPr>
              <w:t>Julkaistaan Agenzia per l’Italia Digitalen (AGID) verkkosivustolla uudet tekniset säännöt, jotka mahdollistavat tietojen keräämisen hankintasopimusten täytäntöönpanon digitaalista seurantaa varten.</w:t>
            </w:r>
          </w:p>
          <w:p w14:paraId="37A5C5EF" w14:textId="77777777" w:rsidR="00E42B18" w:rsidRDefault="00E42B18">
            <w:pPr>
              <w:pStyle w:val="ListParagraph"/>
              <w:spacing w:before="100" w:beforeAutospacing="1"/>
              <w:ind w:left="245"/>
              <w:rPr>
                <w:rFonts w:ascii="Arial Narrow" w:hAnsi="Arial Narrow"/>
                <w:noProof/>
                <w:color w:val="006100"/>
                <w:sz w:val="20"/>
                <w:szCs w:val="20"/>
              </w:rPr>
            </w:pPr>
          </w:p>
          <w:p w14:paraId="6DA72568" w14:textId="786759C0" w:rsidR="00E42B18" w:rsidRDefault="009629C4">
            <w:pPr>
              <w:pStyle w:val="P68B1DB1-ListParagraph13"/>
              <w:numPr>
                <w:ilvl w:val="0"/>
                <w:numId w:val="72"/>
              </w:numPr>
              <w:spacing w:before="100" w:beforeAutospacing="1" w:after="120" w:line="240" w:lineRule="auto"/>
              <w:ind w:left="245" w:hanging="284"/>
              <w:jc w:val="both"/>
              <w:rPr>
                <w:noProof/>
              </w:rPr>
            </w:pPr>
            <w:r>
              <w:rPr>
                <w:noProof/>
              </w:rPr>
              <w:t>Talous- ja valtiovarainministeriön ja Autorità Nazionale Anticorruzionen (ANAC) välinen yhteisymmärryspöytäkirja, jossa vahvistetaan tekniset säännöt julkista taloutta ja julkisia rakennusurakoita koskevien tietojen yhteentoimivuudesta ANAC:n tietokannan (Banca Dati Nazionale dei Contratti Pubblici) kanssa.</w:t>
            </w:r>
          </w:p>
          <w:p w14:paraId="405300D7" w14:textId="77777777" w:rsidR="00E42B18" w:rsidRDefault="00E42B18">
            <w:pPr>
              <w:pStyle w:val="ListParagraph"/>
              <w:rPr>
                <w:rFonts w:ascii="Arial Narrow" w:hAnsi="Arial Narrow"/>
                <w:noProof/>
                <w:color w:val="006100"/>
                <w:sz w:val="20"/>
                <w:szCs w:val="20"/>
              </w:rPr>
            </w:pPr>
          </w:p>
          <w:p w14:paraId="4B540DE6" w14:textId="48BACB6D" w:rsidR="00E42B18" w:rsidRDefault="009629C4">
            <w:pPr>
              <w:pStyle w:val="P68B1DB1-ListParagraph13"/>
              <w:numPr>
                <w:ilvl w:val="0"/>
                <w:numId w:val="72"/>
              </w:numPr>
              <w:spacing w:before="100" w:beforeAutospacing="1" w:after="120" w:line="240" w:lineRule="auto"/>
              <w:ind w:left="245" w:hanging="284"/>
              <w:jc w:val="both"/>
              <w:rPr>
                <w:noProof/>
              </w:rPr>
            </w:pPr>
            <w:r>
              <w:rPr>
                <w:noProof/>
              </w:rPr>
              <w:t xml:space="preserve">Sellaisten säädösten voimaantulo, joiden nojalla hankintaviranomaiset voivat ennakoida ja käyttää perushinnan alittavien sopimusten tuottamat säästöt rahoittaakseen bonuksia rakennusurakan ennenaikaisesta valmistumisesta. </w:t>
            </w:r>
          </w:p>
          <w:p w14:paraId="72A60991" w14:textId="77777777" w:rsidR="00E42B18" w:rsidRDefault="00E42B18">
            <w:pPr>
              <w:pStyle w:val="ListParagraph"/>
              <w:rPr>
                <w:rFonts w:ascii="Arial Narrow" w:hAnsi="Arial Narrow"/>
                <w:noProof/>
                <w:color w:val="006100"/>
                <w:sz w:val="20"/>
                <w:szCs w:val="20"/>
              </w:rPr>
            </w:pPr>
          </w:p>
          <w:p w14:paraId="66C9F7C9" w14:textId="543A8913" w:rsidR="00E42B18" w:rsidRDefault="009629C4">
            <w:pPr>
              <w:pStyle w:val="P68B1DB1-ListParagraph13"/>
              <w:numPr>
                <w:ilvl w:val="0"/>
                <w:numId w:val="72"/>
              </w:numPr>
              <w:spacing w:before="100" w:beforeAutospacing="1" w:after="120" w:line="240" w:lineRule="auto"/>
              <w:ind w:left="245" w:hanging="284"/>
              <w:jc w:val="both"/>
              <w:rPr>
                <w:noProof/>
              </w:rPr>
            </w:pPr>
            <w:r>
              <w:rPr>
                <w:noProof/>
              </w:rPr>
              <w:t xml:space="preserve">Infrastruktuuri- ja liikenneministeriön (MIT) verkkosivustolla julkaistut ohjeet, jotka MIT on hyväksynyt kuultuaan ANAC:ta ja jotka koskevat asetuksen 36/2023 (julkisia hankintoja koskeva koodeksi) 82 bis §:n mukaisten yhteistyösopimusten varhaista loppuun saattamista koskevia lausekkeita ja yhteistyösopimusten mallisisältöä, jotta voidaan lyhentää töiden valmistumisaikaa. </w:t>
            </w:r>
          </w:p>
          <w:p w14:paraId="6D33BA73" w14:textId="77777777" w:rsidR="00E42B18" w:rsidRDefault="00E42B18">
            <w:pPr>
              <w:pStyle w:val="ListParagraph"/>
              <w:rPr>
                <w:rFonts w:ascii="Arial Narrow" w:hAnsi="Arial Narrow"/>
                <w:noProof/>
                <w:color w:val="006100"/>
                <w:sz w:val="20"/>
                <w:szCs w:val="20"/>
              </w:rPr>
            </w:pPr>
          </w:p>
          <w:p w14:paraId="7484C536" w14:textId="64A970EC" w:rsidR="00E42B18" w:rsidRDefault="009629C4">
            <w:pPr>
              <w:pStyle w:val="P68B1DB1-ListParagraph13"/>
              <w:numPr>
                <w:ilvl w:val="0"/>
                <w:numId w:val="72"/>
              </w:numPr>
              <w:spacing w:before="100" w:beforeAutospacing="1" w:after="120" w:line="240" w:lineRule="auto"/>
              <w:ind w:left="245" w:hanging="284"/>
              <w:jc w:val="both"/>
              <w:rPr>
                <w:noProof/>
              </w:rPr>
            </w:pPr>
            <w:r>
              <w:rPr>
                <w:noProof/>
              </w:rPr>
              <w:t>MIT:n verkkosivustolla julkaistaan ohjeet, joilla tuetaan hankintaviranomaisia rakennustietojen mallintamisen (BIM) käytössä julkisissa rakennusurakoissa.</w:t>
            </w:r>
          </w:p>
        </w:tc>
      </w:tr>
      <w:tr w:rsidR="00E42B18" w14:paraId="2B12BC5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8F08F" w14:textId="77777777" w:rsidR="00E42B18" w:rsidRDefault="009629C4">
            <w:pPr>
              <w:pStyle w:val="P68B1DB1-Normal11"/>
              <w:jc w:val="center"/>
              <w:rPr>
                <w:rFonts w:cs="Arial"/>
                <w:noProof/>
                <w:szCs w:val="20"/>
              </w:rPr>
            </w:pPr>
            <w:r>
              <w:rPr>
                <w:noProof/>
              </w:rPr>
              <w:t>M1C1–98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41656E"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D11BD"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E6543" w14:textId="77777777" w:rsidR="00E42B18" w:rsidRDefault="009629C4">
            <w:pPr>
              <w:pStyle w:val="P68B1DB1-Normal11"/>
              <w:jc w:val="center"/>
              <w:rPr>
                <w:rFonts w:cs="Arial"/>
                <w:noProof/>
                <w:szCs w:val="20"/>
              </w:rPr>
            </w:pPr>
            <w:r>
              <w:rPr>
                <w:noProof/>
              </w:rPr>
              <w:t>Julkisten ostajien ammatillistamista koskevan strategian kautta koulutetut virkamiehet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FA0DE"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B4349"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610ACE" w14:textId="77777777" w:rsidR="00E42B18" w:rsidRDefault="009629C4">
            <w:pPr>
              <w:pStyle w:val="P68B1DB1-Normal11"/>
              <w:jc w:val="center"/>
              <w:rPr>
                <w:rFonts w:cs="Arial"/>
                <w:noProof/>
                <w:szCs w:val="20"/>
              </w:rPr>
            </w:pPr>
            <w:r>
              <w:rPr>
                <w:noProof/>
              </w:rPr>
              <w:t>20 000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E85F06" w14:textId="77777777" w:rsidR="00E42B18" w:rsidRDefault="009629C4">
            <w:pPr>
              <w:pStyle w:val="P68B1DB1-Normal11"/>
              <w:jc w:val="center"/>
              <w:rPr>
                <w:rFonts w:cs="Arial"/>
                <w:noProof/>
                <w:szCs w:val="20"/>
              </w:rPr>
            </w:pPr>
            <w:r>
              <w:rPr>
                <w:noProof/>
              </w:rPr>
              <w:t>40 000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22904"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3C755E"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F54BD" w14:textId="77777777" w:rsidR="00E42B18" w:rsidRDefault="009629C4">
            <w:pPr>
              <w:pStyle w:val="P68B1DB1-Normal11"/>
              <w:spacing w:before="100" w:beforeAutospacing="1" w:after="120"/>
              <w:rPr>
                <w:rFonts w:cs="Arial"/>
                <w:noProof/>
                <w:szCs w:val="20"/>
              </w:rPr>
            </w:pPr>
            <w:r>
              <w:rPr>
                <w:noProof/>
              </w:rPr>
              <w:t>Julkisten ostajien ammatillistamista koskevassa strategiassa on koulutettu vähintään 40000 virkamiestä.</w:t>
            </w:r>
          </w:p>
        </w:tc>
      </w:tr>
      <w:tr w:rsidR="00E42B18" w14:paraId="37C3BA6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D01BBE" w14:textId="77777777" w:rsidR="00E42B18" w:rsidRDefault="009629C4">
            <w:pPr>
              <w:pStyle w:val="P68B1DB1-Normal11"/>
              <w:jc w:val="center"/>
              <w:rPr>
                <w:rFonts w:cs="Arial"/>
                <w:noProof/>
                <w:szCs w:val="20"/>
              </w:rPr>
            </w:pPr>
            <w:r>
              <w:rPr>
                <w:noProof/>
              </w:rPr>
              <w:t>M1C1–98a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4FC1A"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082E23"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DED380" w14:textId="77777777" w:rsidR="00E42B18" w:rsidRDefault="009629C4">
            <w:pPr>
              <w:pStyle w:val="P68B1DB1-Normal11"/>
              <w:jc w:val="center"/>
              <w:rPr>
                <w:rFonts w:cs="Arial"/>
                <w:noProof/>
                <w:szCs w:val="20"/>
              </w:rPr>
            </w:pPr>
            <w:r>
              <w:rPr>
                <w:noProof/>
              </w:rPr>
              <w:t>Julkisten ostajien ammatillistamista koskevan strategian kautta koulutetut virkamiehet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4A6BA"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5CDD27"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9CE1C2" w14:textId="77777777" w:rsidR="00E42B18" w:rsidRDefault="009629C4">
            <w:pPr>
              <w:pStyle w:val="P68B1DB1-Normal11"/>
              <w:jc w:val="center"/>
              <w:rPr>
                <w:rFonts w:cs="Arial"/>
                <w:noProof/>
                <w:szCs w:val="20"/>
              </w:rPr>
            </w:pPr>
            <w:r>
              <w:rPr>
                <w:noProof/>
              </w:rPr>
              <w:t>40 000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8D98FC" w14:textId="77777777" w:rsidR="00E42B18" w:rsidRDefault="009629C4">
            <w:pPr>
              <w:pStyle w:val="P68B1DB1-Normal11"/>
              <w:jc w:val="center"/>
              <w:rPr>
                <w:rFonts w:cs="Arial"/>
                <w:noProof/>
                <w:szCs w:val="20"/>
              </w:rPr>
            </w:pPr>
            <w:r>
              <w:rPr>
                <w:noProof/>
              </w:rPr>
              <w:t>60 000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2B64A" w14:textId="77777777" w:rsidR="00E42B18" w:rsidRDefault="009629C4">
            <w:pPr>
              <w:pStyle w:val="P68B1DB1-Normal12"/>
              <w:jc w:val="center"/>
              <w:rPr>
                <w:rFonts w:cs="Arial"/>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881E4F" w14:textId="77777777" w:rsidR="00E42B18" w:rsidRDefault="009629C4">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FF85FA" w14:textId="77777777" w:rsidR="00E42B18" w:rsidRDefault="009629C4">
            <w:pPr>
              <w:pStyle w:val="P68B1DB1-Normal12"/>
              <w:spacing w:before="100" w:beforeAutospacing="1" w:after="120"/>
              <w:rPr>
                <w:noProof/>
              </w:rPr>
            </w:pPr>
            <w:r>
              <w:rPr>
                <w:noProof/>
              </w:rPr>
              <w:t>Julkisten ostajien ammatillistamista koskevassa strategiassa on koulutettu vähintään 60000 virkamiestä. Kokonaismäärä voi sisältää virkamiehiä, jotka ovat jo saaneet koulutuksen aiempina vuosina ja joiden koulutus on raportoitu M1C1–86- ja M1C1–98-tavoitteiden osalta, vain, jos he ovat suorittaneet korkeamman tason, erikois- tai jatkokoulutuksen.</w:t>
            </w:r>
          </w:p>
        </w:tc>
      </w:tr>
      <w:tr w:rsidR="00E42B18" w14:paraId="214E74A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D23776" w14:textId="77777777" w:rsidR="00E42B18" w:rsidRDefault="009629C4">
            <w:pPr>
              <w:pStyle w:val="P68B1DB1-Normal11"/>
              <w:jc w:val="center"/>
              <w:rPr>
                <w:rFonts w:cs="Arial"/>
                <w:noProof/>
                <w:szCs w:val="20"/>
              </w:rPr>
            </w:pPr>
            <w:r>
              <w:rPr>
                <w:noProof/>
              </w:rPr>
              <w:t>M1C1–99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A69F5B" w14:textId="77777777" w:rsidR="00E42B18" w:rsidRDefault="009629C4">
            <w:pPr>
              <w:pStyle w:val="P68B1DB1-Normal11"/>
              <w:jc w:val="center"/>
              <w:rPr>
                <w:rFonts w:cs="Arial"/>
                <w:noProof/>
                <w:szCs w:val="20"/>
              </w:rPr>
            </w:pPr>
            <w:r>
              <w:rPr>
                <w:noProof/>
              </w:rPr>
              <w:t>Uudistus 1.10: Julkisia hankintoja koskevan lainsäädäntökehyksen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C38B5"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838A4" w14:textId="77777777" w:rsidR="00E42B18" w:rsidRDefault="009629C4">
            <w:pPr>
              <w:pStyle w:val="P68B1DB1-Normal11"/>
              <w:jc w:val="center"/>
              <w:rPr>
                <w:rFonts w:cs="Arial"/>
                <w:noProof/>
                <w:szCs w:val="20"/>
              </w:rPr>
            </w:pPr>
            <w:r>
              <w:rPr>
                <w:noProof/>
              </w:rPr>
              <w:t>Dynaamisia hankintajärjestelmiä käyttävät hankintaviranomaiset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1D0F5" w14:textId="77777777" w:rsidR="00E42B18" w:rsidRDefault="009629C4">
            <w:pPr>
              <w:pStyle w:val="P68B1DB1-Normal11"/>
              <w:jc w:val="center"/>
              <w:rPr>
                <w:rFonts w:cs="Arial"/>
                <w:noProof/>
                <w:szCs w:val="20"/>
              </w:rPr>
            </w:pPr>
            <w:r>
              <w:rPr>
                <w:noProof/>
              </w:rPr>
              <w:t>Niiden keskushallinnon hankintaviranomaisten prosenttiosuus, jotka käyttävät dynaamisia hankintajärjestelmiä EU:n direktiivin 2014/24 mukaisesti</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3A17A1"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A9400C" w14:textId="77777777" w:rsidR="00E42B18" w:rsidRDefault="009629C4">
            <w:pPr>
              <w:pStyle w:val="P68B1DB1-Normal11"/>
              <w:jc w:val="center"/>
              <w:rPr>
                <w:rFonts w:cs="Arial"/>
                <w:noProof/>
                <w:szCs w:val="20"/>
              </w:rPr>
            </w:pPr>
            <w:r>
              <w:rPr>
                <w:noProof/>
              </w:rPr>
              <w:t>15</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0AEDEA" w14:textId="77777777" w:rsidR="00E42B18" w:rsidRDefault="009629C4">
            <w:pPr>
              <w:pStyle w:val="P68B1DB1-Normal11"/>
              <w:jc w:val="center"/>
              <w:rPr>
                <w:rFonts w:cs="Arial"/>
                <w:noProof/>
                <w:szCs w:val="20"/>
              </w:rPr>
            </w:pPr>
            <w:r>
              <w:rPr>
                <w:noProof/>
              </w:rPr>
              <w:t>20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561708" w14:textId="77777777" w:rsidR="00E42B18" w:rsidRDefault="009629C4">
            <w:pPr>
              <w:pStyle w:val="P68B1DB1-Normal11"/>
              <w:jc w:val="center"/>
              <w:rPr>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E4C78"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888B22" w14:textId="77777777" w:rsidR="00E42B18" w:rsidRDefault="009629C4">
            <w:pPr>
              <w:pStyle w:val="P68B1DB1-Normal12"/>
              <w:spacing w:before="100" w:beforeAutospacing="1" w:after="120"/>
              <w:rPr>
                <w:rFonts w:cs="Arial"/>
                <w:noProof/>
              </w:rPr>
            </w:pPr>
            <w:r>
              <w:rPr>
                <w:noProof/>
              </w:rPr>
              <w:t>Vähintään 20 prosenttia hankintaviranomaisista käyttää dynaamisia hankintajärjestelmiä direktiivin 2014/24 mukaisesti (havainnoinnin määräaika alkaa 1. tammikuuta 2022). Keskushallinnon hankintaviranomaiset ovat 250 julkishallintoa (rekisteröity 30. huhtikuuta 2021 Consipin MEF:n puolesta hallinnoimaan kansalliseen sähköiseen hankintajärjestelmään).</w:t>
            </w:r>
          </w:p>
        </w:tc>
      </w:tr>
      <w:tr w:rsidR="00E42B18" w14:paraId="151ADB6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43D0FD" w14:textId="77777777" w:rsidR="00E42B18" w:rsidRDefault="009629C4">
            <w:pPr>
              <w:pStyle w:val="P68B1DB1-Normal11"/>
              <w:jc w:val="center"/>
              <w:rPr>
                <w:rFonts w:cs="Arial"/>
                <w:noProof/>
                <w:szCs w:val="20"/>
              </w:rPr>
            </w:pPr>
            <w:r>
              <w:rPr>
                <w:noProof/>
              </w:rPr>
              <w:t>M1C1–100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B53973" w14:textId="77777777" w:rsidR="00E42B18" w:rsidRDefault="009629C4">
            <w:pPr>
              <w:pStyle w:val="P68B1DB1-Normal11"/>
              <w:jc w:val="center"/>
              <w:rPr>
                <w:rFonts w:cs="Arial"/>
                <w:noProof/>
                <w:szCs w:val="20"/>
              </w:rPr>
            </w:pPr>
            <w:r>
              <w:rPr>
                <w:noProof/>
              </w:rPr>
              <w:t>Uudistus 1.13: Menojen uudelleentarkastelua koskevan 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69CBD1"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CDF00" w14:textId="77777777" w:rsidR="00E42B18" w:rsidRDefault="009629C4">
            <w:pPr>
              <w:pStyle w:val="P68B1DB1-Normal11"/>
              <w:jc w:val="center"/>
              <w:rPr>
                <w:rFonts w:cs="Arial"/>
                <w:noProof/>
                <w:szCs w:val="20"/>
              </w:rPr>
            </w:pPr>
            <w:r>
              <w:rPr>
                <w:noProof/>
              </w:rPr>
              <w:t>Menojen uudelleentarkastelun tehokkuutta parantavien säännösten voimaantulo – valtiovarainministeriön vahvistaminen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C3E72F" w14:textId="77777777" w:rsidR="00E42B18" w:rsidRDefault="009629C4">
            <w:pPr>
              <w:pStyle w:val="P68B1DB1-Normal12"/>
              <w:jc w:val="center"/>
              <w:rPr>
                <w:rFonts w:cs="Arial"/>
                <w:noProof/>
              </w:rPr>
            </w:pPr>
            <w:r>
              <w:rPr>
                <w:noProof/>
              </w:rPr>
              <w:t>Lain voimaantuloa koskeva säännös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88A3EE"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05C198"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0BFC8"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2A3425"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1F5D23"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4DE8E" w14:textId="77777777" w:rsidR="00E42B18" w:rsidRDefault="009629C4">
            <w:pPr>
              <w:pStyle w:val="P68B1DB1-Normal12"/>
              <w:spacing w:before="100" w:beforeAutospacing="1" w:after="120"/>
              <w:rPr>
                <w:rFonts w:cs="Arial"/>
                <w:noProof/>
              </w:rPr>
            </w:pPr>
            <w:r>
              <w:rPr>
                <w:noProof/>
              </w:rPr>
              <w:t>Valtionhallinnon (ministeriöiden) menojen uudelleentarkastelua koskeva tarkistettu kehys parantaa sen tehokkuutta vahvistamalla talous- ja valtiovarainministeriön roolia. Siinä vahvistetaan erityisesti talous- ja valtiovarainministeriön roolia ennakkoarvioinnissa, seurantaprosesseissa ja jälkiarvioinnissa, jotta voidaan valvoa arviointien perusteellista toteuttamista ja asetettujen tavoitteiden saavuttamista.</w:t>
            </w:r>
          </w:p>
        </w:tc>
      </w:tr>
      <w:tr w:rsidR="00E42B18" w14:paraId="7DABC09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0EFBD" w14:textId="77777777" w:rsidR="00E42B18" w:rsidRDefault="009629C4">
            <w:pPr>
              <w:pStyle w:val="P68B1DB1-Normal11"/>
              <w:jc w:val="center"/>
              <w:rPr>
                <w:rFonts w:cs="Arial"/>
                <w:noProof/>
                <w:szCs w:val="20"/>
              </w:rPr>
            </w:pPr>
            <w:r>
              <w:rPr>
                <w:noProof/>
              </w:rPr>
              <w:t>M1C1–101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DA0B44" w14:textId="77777777" w:rsidR="00E42B18" w:rsidRDefault="009629C4">
            <w:pPr>
              <w:pStyle w:val="P68B1DB1-Normal11"/>
              <w:jc w:val="center"/>
              <w:rPr>
                <w:rFonts w:cs="Arial"/>
                <w:noProof/>
                <w:szCs w:val="20"/>
              </w:rPr>
            </w:pPr>
            <w:r>
              <w:rPr>
                <w:noProof/>
              </w:rPr>
              <w:t>Uudistus 1.12:</w:t>
            </w:r>
          </w:p>
          <w:p w14:paraId="16EEEEDF" w14:textId="77777777" w:rsidR="00E42B18" w:rsidRDefault="009629C4">
            <w:pPr>
              <w:pStyle w:val="P68B1DB1-Normal11"/>
              <w:jc w:val="center"/>
              <w:rPr>
                <w:rFonts w:cs="Arial"/>
                <w:noProof/>
                <w:szCs w:val="20"/>
              </w:rPr>
            </w:pPr>
            <w:r>
              <w:rPr>
                <w:noProof/>
              </w:rPr>
              <w:t>Verohallinnon uudistaminen</w:t>
            </w:r>
          </w:p>
          <w:p w14:paraId="674E9935" w14:textId="77777777" w:rsidR="00E42B18" w:rsidRDefault="00E42B18">
            <w:pPr>
              <w:jc w:val="center"/>
              <w:rPr>
                <w:rFonts w:ascii="Arial Narrow" w:hAnsi="Arial Narrow" w:cs="Arial"/>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868EF"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BE7B21" w14:textId="77777777" w:rsidR="00E42B18" w:rsidRDefault="009629C4">
            <w:pPr>
              <w:pStyle w:val="P68B1DB1-Normal12"/>
              <w:jc w:val="center"/>
              <w:rPr>
                <w:rFonts w:cs="Arial"/>
                <w:noProof/>
              </w:rPr>
            </w:pPr>
            <w:r>
              <w:rPr>
                <w:noProof/>
              </w:rPr>
              <w:t>Veronkierron vähentämiseen tähtäävien mahdollisten toimien uudelleentarkastelun hyväksyminen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686D1" w14:textId="77777777" w:rsidR="00E42B18" w:rsidRDefault="009629C4">
            <w:pPr>
              <w:pStyle w:val="P68B1DB1-Normal11"/>
              <w:jc w:val="center"/>
              <w:rPr>
                <w:rFonts w:cs="Arial"/>
                <w:noProof/>
                <w:szCs w:val="20"/>
              </w:rPr>
            </w:pPr>
            <w:r>
              <w:rPr>
                <w:noProof/>
              </w:rPr>
              <w:t>Uudelleentarkastelun julkaiseminen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ED3FF"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7AFD6"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31622F"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907CD1"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112C4C" w14:textId="77777777" w:rsidR="00E42B18" w:rsidRDefault="009629C4">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D5FAA" w14:textId="77777777" w:rsidR="00E42B18" w:rsidRDefault="009629C4">
            <w:pPr>
              <w:pStyle w:val="P68B1DB1-Normal11"/>
              <w:spacing w:before="100" w:beforeAutospacing="1" w:after="120"/>
              <w:rPr>
                <w:rFonts w:cs="Arial"/>
                <w:noProof/>
                <w:szCs w:val="20"/>
              </w:rPr>
            </w:pPr>
            <w:r>
              <w:rPr>
                <w:noProof/>
              </w:rPr>
              <w:t>Laaditaan raportti, jossa annetaan tietoa hallituksen toimista, joilla pyritään vähentämään laskuttamatta jätetystä laskutuksesta johtuvaa veronkiertoa erityisesti aloilla, jotka ovat alttiimpia verovilpille, muun muassa kuluttajille suunnattujen kohdennettujen kannustimien avulla.</w:t>
            </w:r>
          </w:p>
        </w:tc>
      </w:tr>
      <w:tr w:rsidR="00E42B18" w14:paraId="48FA3CE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076347" w14:textId="77777777" w:rsidR="00E42B18" w:rsidRDefault="009629C4">
            <w:pPr>
              <w:pStyle w:val="P68B1DB1-Normal11"/>
              <w:jc w:val="center"/>
              <w:rPr>
                <w:rFonts w:cs="Arial"/>
                <w:noProof/>
                <w:szCs w:val="20"/>
              </w:rPr>
            </w:pPr>
            <w:r>
              <w:rPr>
                <w:noProof/>
              </w:rPr>
              <w:t>M1C1–102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86426" w14:textId="77777777" w:rsidR="00E42B18" w:rsidRDefault="009629C4">
            <w:pPr>
              <w:pStyle w:val="P68B1DB1-Normal11"/>
              <w:jc w:val="center"/>
              <w:rPr>
                <w:rFonts w:cs="Arial"/>
                <w:noProof/>
                <w:szCs w:val="20"/>
              </w:rPr>
            </w:pPr>
            <w:r>
              <w:rPr>
                <w:noProof/>
              </w:rPr>
              <w:t>Uudistus 1.13: Menojen uudelleentarkastelua koskevan 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6D8FA"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EBA20" w14:textId="77777777" w:rsidR="00E42B18" w:rsidRDefault="009629C4">
            <w:pPr>
              <w:pStyle w:val="P68B1DB1-Normal11"/>
              <w:jc w:val="center"/>
              <w:rPr>
                <w:rFonts w:cs="Arial"/>
                <w:noProof/>
                <w:szCs w:val="20"/>
              </w:rPr>
            </w:pPr>
            <w:r>
              <w:rPr>
                <w:noProof/>
              </w:rPr>
              <w:t>Kertomuksen hyväksyminen valikoitujen julkishallintojen säästösuunnitelmien laatimisessa ja täytäntöönpanossa käyttämien käytäntöjen vaikuttavuudesta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972627" w14:textId="77777777" w:rsidR="00E42B18" w:rsidRDefault="009629C4">
            <w:pPr>
              <w:pStyle w:val="P68B1DB1-Normal11"/>
              <w:jc w:val="center"/>
              <w:rPr>
                <w:rFonts w:cs="Arial"/>
                <w:noProof/>
                <w:szCs w:val="20"/>
              </w:rPr>
            </w:pPr>
            <w:r>
              <w:rPr>
                <w:noProof/>
              </w:rPr>
              <w:t>Kertomuksen julkaiseminen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9F9FC7"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167A4"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1C9F5"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9D8B82"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FDA2FD"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62968F" w14:textId="77777777" w:rsidR="00E42B18" w:rsidRDefault="009629C4">
            <w:pPr>
              <w:pStyle w:val="P68B1DB1-Normal11"/>
              <w:spacing w:before="100" w:beforeAutospacing="1" w:after="120"/>
              <w:rPr>
                <w:rFonts w:cs="Arial"/>
                <w:noProof/>
                <w:szCs w:val="20"/>
              </w:rPr>
            </w:pPr>
            <w:r>
              <w:rPr>
                <w:noProof/>
              </w:rPr>
              <w:t>Valtiovarainministeriön kirjanpitoosasto laatii kertomuksen yhteistyössä valittujen hallintojen kanssa, jotta voidaan</w:t>
            </w:r>
          </w:p>
          <w:p w14:paraId="1636ACD7" w14:textId="77777777" w:rsidR="00E42B18" w:rsidRDefault="009629C4">
            <w:pPr>
              <w:pStyle w:val="P68B1DB1-ListParagraph15"/>
              <w:numPr>
                <w:ilvl w:val="0"/>
                <w:numId w:val="22"/>
              </w:numPr>
              <w:spacing w:before="120" w:after="120" w:line="240" w:lineRule="auto"/>
              <w:ind w:left="324" w:hanging="283"/>
              <w:rPr>
                <w:rFonts w:cs="Arial"/>
                <w:noProof/>
                <w:szCs w:val="20"/>
              </w:rPr>
            </w:pPr>
            <w:r>
              <w:rPr>
                <w:noProof/>
              </w:rPr>
              <w:t>Arvioitava säästösuunnitelmien laatimiseen ja täytäntöönpanoon liittyviä käytäntöjään.</w:t>
            </w:r>
          </w:p>
          <w:p w14:paraId="4A91731F" w14:textId="77777777" w:rsidR="00E42B18" w:rsidRDefault="009629C4">
            <w:pPr>
              <w:pStyle w:val="P68B1DB1-ListParagraph15"/>
              <w:numPr>
                <w:ilvl w:val="0"/>
                <w:numId w:val="22"/>
              </w:numPr>
              <w:spacing w:before="120" w:after="120" w:line="240" w:lineRule="auto"/>
              <w:ind w:left="324" w:hanging="283"/>
              <w:rPr>
                <w:rFonts w:cs="Arial"/>
                <w:noProof/>
                <w:szCs w:val="20"/>
              </w:rPr>
            </w:pPr>
            <w:r>
              <w:rPr>
                <w:noProof/>
              </w:rPr>
              <w:t>Määritellään ohjeet kaikille julkishallinnoille.</w:t>
            </w:r>
          </w:p>
        </w:tc>
      </w:tr>
      <w:tr w:rsidR="00E42B18" w14:paraId="04A2166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E9506" w14:textId="77777777" w:rsidR="00E42B18" w:rsidRDefault="009629C4">
            <w:pPr>
              <w:pStyle w:val="P68B1DB1-Normal11"/>
              <w:jc w:val="center"/>
              <w:rPr>
                <w:rFonts w:cs="Arial"/>
                <w:noProof/>
                <w:szCs w:val="20"/>
              </w:rPr>
            </w:pPr>
            <w:r>
              <w:rPr>
                <w:noProof/>
              </w:rPr>
              <w:t>M1C1–103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7E8BD" w14:textId="77777777" w:rsidR="00E42B18" w:rsidRDefault="009629C4">
            <w:pPr>
              <w:pStyle w:val="P68B1DB1-Normal11"/>
              <w:jc w:val="center"/>
              <w:rPr>
                <w:rFonts w:cs="Arial"/>
                <w:noProof/>
                <w:szCs w:val="20"/>
              </w:rPr>
            </w:pPr>
            <w:r>
              <w:rPr>
                <w:noProof/>
              </w:rPr>
              <w:t>Uudistus 1.12: Verohallinnon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98612B"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D48589" w14:textId="77777777" w:rsidR="00E42B18" w:rsidRDefault="009629C4">
            <w:pPr>
              <w:pStyle w:val="P68B1DB1-Normal11"/>
              <w:jc w:val="center"/>
              <w:rPr>
                <w:rFonts w:cs="Arial"/>
                <w:noProof/>
                <w:szCs w:val="20"/>
              </w:rPr>
            </w:pPr>
            <w:r>
              <w:rPr>
                <w:noProof/>
              </w:rPr>
              <w:t>Primaari- ja sekundaarilainsäädännön sekä säännösten voimaantulo ja hallinnollisten prosessien loppuun saattaminen verosäännösten noudattamisen edistämiseksi sekä tarkastusten ja valvonnan parantamiseksi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3CD96" w14:textId="77777777" w:rsidR="00E42B18" w:rsidRDefault="009629C4">
            <w:pPr>
              <w:pStyle w:val="P68B1DB1-Normal12"/>
              <w:jc w:val="center"/>
              <w:rPr>
                <w:rFonts w:cs="Arial"/>
                <w:noProof/>
              </w:rPr>
            </w:pPr>
            <w:r>
              <w:rPr>
                <w:noProof/>
              </w:rPr>
              <w:t>Voimaantuloa koskevat lain säännökset ja määräykset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2ADDD"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94BDDE"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44CB89"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1111A"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9CD1D"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7EB3FE" w14:textId="77777777" w:rsidR="00E42B18" w:rsidRDefault="009629C4">
            <w:pPr>
              <w:pStyle w:val="P68B1DB1-Normal11"/>
              <w:spacing w:after="120"/>
              <w:rPr>
                <w:rFonts w:cs="Arial"/>
                <w:noProof/>
                <w:szCs w:val="20"/>
              </w:rPr>
            </w:pPr>
            <w:r>
              <w:rPr>
                <w:noProof/>
              </w:rPr>
              <w:t>Säännöksiin on sisällyttävä:</w:t>
            </w:r>
          </w:p>
          <w:p w14:paraId="1DCBE4AD" w14:textId="77777777" w:rsidR="00E42B18" w:rsidRDefault="009629C4">
            <w:pPr>
              <w:pStyle w:val="P68B1DB1-Normal12"/>
              <w:spacing w:after="120"/>
              <w:rPr>
                <w:rFonts w:cs="Arial"/>
                <w:noProof/>
              </w:rPr>
            </w:pPr>
            <w:r>
              <w:rPr>
                <w:noProof/>
              </w:rPr>
              <w:t>I) asetuksen nro 127/2015 4 §:n 1 momentissa säädetyn tietokannan ja siihen liittyvän tietoteknisen infrastruktuurin täysimittainen käyttöönotto ennalta asuttujen alv-ilmoitusten julkistamista varten.</w:t>
            </w:r>
          </w:p>
          <w:p w14:paraId="32108CAD" w14:textId="77777777" w:rsidR="00E42B18" w:rsidRDefault="009629C4">
            <w:pPr>
              <w:pStyle w:val="P68B1DB1-Normal11"/>
              <w:spacing w:after="120"/>
              <w:rPr>
                <w:rFonts w:cs="Arial"/>
                <w:noProof/>
                <w:szCs w:val="20"/>
              </w:rPr>
            </w:pPr>
            <w:r>
              <w:rPr>
                <w:noProof/>
              </w:rPr>
              <w:t>II) ”sääntöjen noudattamista koskevien kirjeiden” (joiden avulla verovelvollisille annetaan varhaisessa vaiheessa ilmoituksia, joiden osalta havaitaan poikkeamia) tietokantaa parannetaan, jotta voidaan vähentää väärien myönteisten ilmoitusten määrää ja lisätä verovelvollisille lähetettävien ilmoitusten määrää.</w:t>
            </w:r>
          </w:p>
          <w:p w14:paraId="3FF19BCB" w14:textId="77777777" w:rsidR="00E42B18" w:rsidRDefault="009629C4">
            <w:pPr>
              <w:pStyle w:val="P68B1DB1-Normal12"/>
              <w:spacing w:after="120"/>
              <w:rPr>
                <w:rFonts w:cs="Arial"/>
                <w:noProof/>
              </w:rPr>
            </w:pPr>
            <w:r>
              <w:rPr>
                <w:noProof/>
              </w:rPr>
              <w:t>III) Uudistetun lainsäädännön voimaantulo, jotta voidaan varmistaa tehokkaat hallinnolliset seuraamukset siinä tapauksessa, että yksityiset palveluntarjoajat kieltäytyvät hyväksymästä sähköisiä maksuja (asetuksen 124/2019 alkuperäinen 23 §, joka oli kumottu, kun laki on muutettu laiksi).</w:t>
            </w:r>
          </w:p>
          <w:p w14:paraId="32F29782" w14:textId="77777777" w:rsidR="00E42B18" w:rsidRDefault="009629C4">
            <w:pPr>
              <w:pStyle w:val="P68B1DB1-Normal11"/>
              <w:spacing w:after="120"/>
              <w:rPr>
                <w:rFonts w:cs="Arial"/>
                <w:noProof/>
                <w:szCs w:val="20"/>
              </w:rPr>
            </w:pPr>
            <w:r>
              <w:rPr>
                <w:noProof/>
              </w:rPr>
              <w:t>IV) Lain n.160/2019 1 §:n 681–686 momentissa säädetyn tietojen pseudonymisointiprosessin loppuun saattaminen ja täysin pseudonymisoitujen tietokantojen yhteentoimivuuden kautta tuotetun massadatan analysointiin tarkoitetun digitaalisen infrastruktuurin perustaminen valintaprosessin perustana olevan riskianalyysin tehostamiseksi.</w:t>
            </w:r>
          </w:p>
          <w:p w14:paraId="1FAB2B1F" w14:textId="77777777" w:rsidR="00E42B18" w:rsidRDefault="009629C4">
            <w:pPr>
              <w:pStyle w:val="P68B1DB1-Normal12"/>
              <w:spacing w:after="120"/>
              <w:rPr>
                <w:rFonts w:cs="Arial"/>
                <w:noProof/>
              </w:rPr>
            </w:pPr>
            <w:r>
              <w:rPr>
                <w:noProof/>
              </w:rPr>
              <w:t>v) Sellaisten primaari- ja sekundaarilainsäädännön voimaantulo, joilla pannaan täytäntöön tehokkaita lisätoimenpiteitä, jotka perustuvat laskuttamatta jätetystä laskutuksesta johtuvan veronkierron vähentämiseen tähtäävien mahdollisten toimenpiteiden uudelleentarkastelun tuloksiin.</w:t>
            </w:r>
          </w:p>
        </w:tc>
      </w:tr>
      <w:tr w:rsidR="00E42B18" w14:paraId="4E03B82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418A70" w14:textId="77777777" w:rsidR="00E42B18" w:rsidRDefault="009629C4">
            <w:pPr>
              <w:pStyle w:val="P68B1DB1-Normal11"/>
              <w:jc w:val="center"/>
              <w:rPr>
                <w:rFonts w:cs="Arial"/>
                <w:noProof/>
                <w:szCs w:val="20"/>
              </w:rPr>
            </w:pPr>
            <w:r>
              <w:rPr>
                <w:noProof/>
              </w:rPr>
              <w:t>M1C1–104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8C68D" w14:textId="77777777" w:rsidR="00E42B18" w:rsidRDefault="009629C4">
            <w:pPr>
              <w:pStyle w:val="P68B1DB1-Normal11"/>
              <w:jc w:val="center"/>
              <w:rPr>
                <w:rFonts w:cs="Arial"/>
                <w:noProof/>
                <w:szCs w:val="20"/>
              </w:rPr>
            </w:pPr>
            <w:r>
              <w:rPr>
                <w:noProof/>
              </w:rPr>
              <w:t>Uudistus 1.13: Menojen uudelleentarkastelua koskevan 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95DD39"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4B0EB" w14:textId="77777777" w:rsidR="00E42B18" w:rsidRDefault="009629C4">
            <w:pPr>
              <w:pStyle w:val="P68B1DB1-Normal11"/>
              <w:jc w:val="center"/>
              <w:rPr>
                <w:rFonts w:cs="Arial"/>
                <w:noProof/>
                <w:szCs w:val="20"/>
              </w:rPr>
            </w:pPr>
            <w:r>
              <w:rPr>
                <w:noProof/>
              </w:rPr>
              <w:t>Säästötavoitteiden hyväksyminen menojen uudelleentarkastelua varten vuosina 2023–2025</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13FFB7" w14:textId="77777777" w:rsidR="00E42B18" w:rsidRDefault="009629C4">
            <w:pPr>
              <w:pStyle w:val="P68B1DB1-Normal11"/>
              <w:jc w:val="center"/>
              <w:rPr>
                <w:rFonts w:cs="Arial"/>
                <w:noProof/>
                <w:szCs w:val="20"/>
              </w:rPr>
            </w:pPr>
            <w:r>
              <w:rPr>
                <w:noProof/>
              </w:rPr>
              <w:t>Talous- ja rahoitusasiakirjassa määriteltyjen keskushallintojen määrällinen säästötavoite euroina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45C8E0"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81875"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0F2D99"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53267"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7B81F1"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34E35F" w14:textId="77777777" w:rsidR="00E42B18" w:rsidRDefault="009629C4">
            <w:pPr>
              <w:pStyle w:val="P68B1DB1-Normal12"/>
              <w:spacing w:before="100" w:beforeAutospacing="1" w:after="120"/>
              <w:rPr>
                <w:rFonts w:cs="Arial"/>
                <w:noProof/>
              </w:rPr>
            </w:pPr>
            <w:r>
              <w:rPr>
                <w:noProof/>
              </w:rPr>
              <w:t>Asetti vuoden 2016 asetusten 90 ja 93 ja lain 163/2016 perusteella talous- ja rahoitusasiakirjassa tavoitteet valtion keskushallintojen vuotuisille menoarvioinneille vuosina 2023, 2024 ja 2025. Säästötavoitteiden on vastattava riittävää tavoitetasoa.</w:t>
            </w:r>
          </w:p>
        </w:tc>
      </w:tr>
      <w:tr w:rsidR="00E42B18" w14:paraId="646FA63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BDDAB" w14:textId="77777777" w:rsidR="00E42B18" w:rsidRDefault="009629C4">
            <w:pPr>
              <w:pStyle w:val="P68B1DB1-Normal11"/>
              <w:jc w:val="center"/>
              <w:rPr>
                <w:rFonts w:cs="Arial"/>
                <w:noProof/>
                <w:szCs w:val="20"/>
              </w:rPr>
            </w:pPr>
            <w:r>
              <w:rPr>
                <w:noProof/>
              </w:rPr>
              <w:t>M1C1–105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33E9D9" w14:textId="77777777" w:rsidR="00E42B18" w:rsidRDefault="009629C4">
            <w:pPr>
              <w:pStyle w:val="P68B1DB1-Normal11"/>
              <w:jc w:val="center"/>
              <w:rPr>
                <w:rFonts w:cs="Arial"/>
                <w:noProof/>
                <w:szCs w:val="20"/>
              </w:rPr>
            </w:pPr>
            <w:r>
              <w:rPr>
                <w:noProof/>
              </w:rPr>
              <w:t>Uudistus 1.12: Verohallinnon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9F0612"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B8AB04" w14:textId="77777777" w:rsidR="00E42B18" w:rsidRDefault="009629C4">
            <w:pPr>
              <w:pStyle w:val="P68B1DB1-Normal11"/>
              <w:jc w:val="center"/>
              <w:rPr>
                <w:rFonts w:cs="Arial"/>
                <w:noProof/>
                <w:szCs w:val="20"/>
              </w:rPr>
            </w:pPr>
            <w:r>
              <w:rPr>
                <w:noProof/>
              </w:rPr>
              <w:t>Suurempi ”vaatimustenmukaisuuskirjeiden” määrä</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85A76D"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74B472"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B6DED" w14:textId="77777777" w:rsidR="00E42B18" w:rsidRDefault="009629C4">
            <w:pPr>
              <w:pStyle w:val="P68B1DB1-Normal11"/>
              <w:jc w:val="center"/>
              <w:rPr>
                <w:rFonts w:cs="Arial"/>
                <w:noProof/>
                <w:szCs w:val="20"/>
              </w:rPr>
            </w:pPr>
            <w:r>
              <w:rPr>
                <w:noProof/>
              </w:rPr>
              <w:t>2 150 908</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F50853" w14:textId="77777777" w:rsidR="00E42B18" w:rsidRDefault="009629C4">
            <w:pPr>
              <w:pStyle w:val="P68B1DB1-Normal11"/>
              <w:jc w:val="center"/>
              <w:rPr>
                <w:rFonts w:cs="Arial"/>
                <w:noProof/>
                <w:szCs w:val="20"/>
              </w:rPr>
            </w:pPr>
            <w:r>
              <w:rPr>
                <w:noProof/>
              </w:rPr>
              <w:t>2 581 090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4D08DC"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5995F2"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DA3D55" w14:textId="77777777" w:rsidR="00E42B18" w:rsidRDefault="009629C4">
            <w:pPr>
              <w:pStyle w:val="P68B1DB1-Normal12"/>
              <w:spacing w:before="100" w:beforeAutospacing="1" w:after="120"/>
              <w:rPr>
                <w:rFonts w:cs="Arial"/>
                <w:noProof/>
              </w:rPr>
            </w:pPr>
            <w:r>
              <w:rPr>
                <w:noProof/>
              </w:rPr>
              <w:t>Sääntöjen noudattamista koskevien kirjeiden, joissa verovelvollisille ilmoitetaan varhaisessa vaiheessa ja joissa havaitaan poikkeamia, määrää on lisättävä vähintään 20 prosenttia vuoteen 2019 verrattuna.</w:t>
            </w:r>
          </w:p>
        </w:tc>
      </w:tr>
      <w:tr w:rsidR="00E42B18" w14:paraId="58A4A94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9737D" w14:textId="77777777" w:rsidR="00E42B18" w:rsidRDefault="009629C4">
            <w:pPr>
              <w:pStyle w:val="P68B1DB1-Normal11"/>
              <w:jc w:val="center"/>
              <w:rPr>
                <w:rFonts w:cs="Arial"/>
                <w:noProof/>
                <w:szCs w:val="20"/>
              </w:rPr>
            </w:pPr>
            <w:r>
              <w:rPr>
                <w:noProof/>
              </w:rPr>
              <w:t>M1C1–106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E04984" w14:textId="77777777" w:rsidR="00E42B18" w:rsidRDefault="009629C4">
            <w:pPr>
              <w:pStyle w:val="P68B1DB1-Normal11"/>
              <w:jc w:val="center"/>
              <w:rPr>
                <w:rFonts w:cs="Arial"/>
                <w:noProof/>
                <w:szCs w:val="20"/>
              </w:rPr>
            </w:pPr>
            <w:r>
              <w:rPr>
                <w:noProof/>
              </w:rPr>
              <w:t>Uudistus 1.12: Verohallinnon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713540"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14D275" w14:textId="77777777" w:rsidR="00E42B18" w:rsidRDefault="009629C4">
            <w:pPr>
              <w:pStyle w:val="P68B1DB1-Normal11"/>
              <w:jc w:val="center"/>
              <w:rPr>
                <w:rFonts w:cs="Arial"/>
                <w:noProof/>
                <w:szCs w:val="20"/>
              </w:rPr>
            </w:pPr>
            <w:r>
              <w:rPr>
                <w:noProof/>
              </w:rPr>
              <w:t>Väärien positiivisten vaatimusten noudattamista koskevien kirjeiden määrän vähentäminen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AB629"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8B0CB4"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305A5" w14:textId="77777777" w:rsidR="00E42B18" w:rsidRDefault="009629C4">
            <w:pPr>
              <w:pStyle w:val="P68B1DB1-Normal11"/>
              <w:jc w:val="center"/>
              <w:rPr>
                <w:rFonts w:cs="Arial"/>
                <w:noProof/>
                <w:szCs w:val="20"/>
              </w:rPr>
            </w:pPr>
            <w:r>
              <w:rPr>
                <w:noProof/>
              </w:rPr>
              <w:t>126 500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C63E1" w14:textId="77777777" w:rsidR="00E42B18" w:rsidRDefault="009629C4">
            <w:pPr>
              <w:pStyle w:val="P68B1DB1-Normal11"/>
              <w:jc w:val="center"/>
              <w:rPr>
                <w:rFonts w:cs="Arial"/>
                <w:noProof/>
                <w:szCs w:val="20"/>
              </w:rPr>
            </w:pPr>
            <w:r>
              <w:rPr>
                <w:noProof/>
              </w:rPr>
              <w:t>132 825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809FE1"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25F5D"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9170E4" w14:textId="77777777" w:rsidR="00E42B18" w:rsidRDefault="009629C4">
            <w:pPr>
              <w:pStyle w:val="P68B1DB1-Normal11"/>
              <w:spacing w:before="100" w:beforeAutospacing="1" w:after="120"/>
              <w:rPr>
                <w:rFonts w:cs="Arial"/>
                <w:noProof/>
                <w:szCs w:val="20"/>
              </w:rPr>
            </w:pPr>
            <w:r>
              <w:rPr>
                <w:noProof/>
              </w:rPr>
              <w:t>Väärien myönteisten ”vaatimusten noudattamista koskevien kirjeiden” (joissa annetaan varhainen ilmoitus verovelvollisille, joiden osalta on havaittu poikkeamia mutta joiden osalta ei havaita petoksia jälkikäteen) määrää on vähennettävä vähintään 5 prosenttia vuoteen 2019 verrattuna.</w:t>
            </w:r>
          </w:p>
        </w:tc>
      </w:tr>
      <w:tr w:rsidR="00E42B18" w14:paraId="5F6022A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FEE973" w14:textId="77777777" w:rsidR="00E42B18" w:rsidRDefault="009629C4">
            <w:pPr>
              <w:pStyle w:val="P68B1DB1-Normal11"/>
              <w:jc w:val="center"/>
              <w:rPr>
                <w:rFonts w:cs="Arial"/>
                <w:noProof/>
                <w:szCs w:val="20"/>
              </w:rPr>
            </w:pPr>
            <w:r>
              <w:rPr>
                <w:noProof/>
              </w:rPr>
              <w:t>M1C1–107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EC6C2" w14:textId="77777777" w:rsidR="00E42B18" w:rsidRDefault="009629C4">
            <w:pPr>
              <w:pStyle w:val="P68B1DB1-Normal11"/>
              <w:jc w:val="center"/>
              <w:rPr>
                <w:rFonts w:cs="Arial"/>
                <w:noProof/>
                <w:szCs w:val="20"/>
              </w:rPr>
            </w:pPr>
            <w:r>
              <w:rPr>
                <w:noProof/>
              </w:rPr>
              <w:t>Uudistus 1.12: Verohallinnon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BBC1F"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DCBB37" w14:textId="77777777" w:rsidR="00E42B18" w:rsidRDefault="009629C4">
            <w:pPr>
              <w:pStyle w:val="P68B1DB1-Normal11"/>
              <w:jc w:val="center"/>
              <w:rPr>
                <w:rFonts w:cs="Arial"/>
                <w:noProof/>
                <w:szCs w:val="20"/>
              </w:rPr>
            </w:pPr>
            <w:r>
              <w:rPr>
                <w:noProof/>
              </w:rPr>
              <w:t>Sääntöjen noudattamista koskevien kirjeiden tuottamien verotulojen kasvu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071189"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388578" w14:textId="77777777" w:rsidR="00E42B18" w:rsidRDefault="009629C4">
            <w:pPr>
              <w:pStyle w:val="P68B1DB1-Normal11"/>
              <w:jc w:val="center"/>
              <w:rPr>
                <w:rFonts w:cs="Arial"/>
                <w:noProof/>
                <w:szCs w:val="20"/>
              </w:rPr>
            </w:pPr>
            <w:r>
              <w:rPr>
                <w:noProof/>
              </w:rPr>
              <w:t>Euroa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651820" w14:textId="77777777" w:rsidR="00E42B18" w:rsidRDefault="009629C4">
            <w:pPr>
              <w:pStyle w:val="P68B1DB1-Normal11"/>
              <w:jc w:val="center"/>
              <w:rPr>
                <w:rFonts w:cs="Arial"/>
                <w:noProof/>
                <w:szCs w:val="20"/>
              </w:rPr>
            </w:pPr>
            <w:r>
              <w:rPr>
                <w:noProof/>
              </w:rPr>
              <w:t>2 130 000 000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5B3AB3" w14:textId="77777777" w:rsidR="00E42B18" w:rsidRDefault="009629C4">
            <w:pPr>
              <w:pStyle w:val="P68B1DB1-Normal11"/>
              <w:jc w:val="center"/>
              <w:rPr>
                <w:rFonts w:cs="Arial"/>
                <w:noProof/>
                <w:szCs w:val="20"/>
              </w:rPr>
            </w:pPr>
            <w:r>
              <w:rPr>
                <w:noProof/>
              </w:rPr>
              <w:t>2 449 500 000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E7ABE9"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BADD0A" w14:textId="77777777" w:rsidR="00E42B18" w:rsidRDefault="009629C4">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EA8D7" w14:textId="77777777" w:rsidR="00E42B18" w:rsidRDefault="009629C4">
            <w:pPr>
              <w:pStyle w:val="P68B1DB1-Normal11"/>
              <w:spacing w:before="100" w:beforeAutospacing="1" w:after="120"/>
              <w:rPr>
                <w:rFonts w:cs="Arial"/>
                <w:noProof/>
                <w:szCs w:val="20"/>
              </w:rPr>
            </w:pPr>
            <w:r>
              <w:rPr>
                <w:noProof/>
              </w:rPr>
              <w:t>Sääntöjen noudattamista koskevien kirjeiden tuottamat verotulot kasvavat 15 prosenttia vuoteen 2019 verrattuna.</w:t>
            </w:r>
          </w:p>
        </w:tc>
      </w:tr>
      <w:tr w:rsidR="00E42B18" w14:paraId="40619C5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D9B97" w14:textId="77777777" w:rsidR="00E42B18" w:rsidRDefault="009629C4">
            <w:pPr>
              <w:pStyle w:val="P68B1DB1-Normal11"/>
              <w:jc w:val="center"/>
              <w:rPr>
                <w:rFonts w:cs="Arial"/>
                <w:noProof/>
                <w:szCs w:val="20"/>
              </w:rPr>
            </w:pPr>
            <w:r>
              <w:rPr>
                <w:noProof/>
              </w:rPr>
              <w:t>M1C1–108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69133" w14:textId="77777777" w:rsidR="00E42B18" w:rsidRDefault="009629C4">
            <w:pPr>
              <w:pStyle w:val="P68B1DB1-Normal11"/>
              <w:jc w:val="center"/>
              <w:rPr>
                <w:rFonts w:cs="Arial"/>
                <w:noProof/>
                <w:szCs w:val="20"/>
              </w:rPr>
            </w:pPr>
            <w:r>
              <w:rPr>
                <w:noProof/>
              </w:rPr>
              <w:t>Uudistus 1.15: Julkisen tilinpidon sääntöjen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5D24DA"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5B7213" w14:textId="77777777" w:rsidR="00E42B18" w:rsidRDefault="009629C4">
            <w:pPr>
              <w:pStyle w:val="P68B1DB1-Normal11"/>
              <w:jc w:val="center"/>
              <w:rPr>
                <w:rFonts w:cs="Arial"/>
                <w:noProof/>
                <w:szCs w:val="20"/>
              </w:rPr>
            </w:pPr>
            <w:r>
              <w:rPr>
                <w:noProof/>
              </w:rPr>
              <w:t>Käsitteellisen viitekehyksen, suoriteperusteisen kirjanpidon standardien ja moniulotteisen tililuettelon hyväksyminen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40332" w14:textId="77777777" w:rsidR="00E42B18" w:rsidRDefault="009629C4">
            <w:pPr>
              <w:pStyle w:val="P68B1DB1-Normal11"/>
              <w:jc w:val="center"/>
              <w:rPr>
                <w:rFonts w:cs="Arial"/>
                <w:noProof/>
                <w:szCs w:val="20"/>
              </w:rPr>
            </w:pPr>
            <w:r>
              <w:rPr>
                <w:noProof/>
              </w:rPr>
              <w:t>Valtiovarainministeriön kirjanpitoosaston päätös välittömän kirjanpidon hallintorakenteen hyväksymisestä</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6B512A"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158690"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D7EEAB"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EC0456"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6F5EF0"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70EDA" w14:textId="77777777" w:rsidR="00E42B18" w:rsidRDefault="009629C4">
            <w:pPr>
              <w:spacing w:before="100" w:beforeAutospacing="1" w:after="120"/>
              <w:rPr>
                <w:noProof/>
              </w:rPr>
            </w:pPr>
            <w:r>
              <w:rPr>
                <w:rFonts w:ascii="Arial Narrow" w:hAnsi="Arial Narrow"/>
                <w:noProof/>
                <w:color w:val="006100"/>
                <w:sz w:val="20"/>
              </w:rPr>
              <w:t>Laaditaan käsitteellinen kehys suoriteperusteisen kirjanpidon viitteenä Eurostatin määrittelemien laadullisten ominaisuuksien mukaisesti (EPSAS-työryhmä);</w:t>
            </w:r>
            <w:r>
              <w:rPr>
                <w:rFonts w:ascii="Arial Narrow" w:hAnsi="Arial Narrow"/>
                <w:noProof/>
                <w:sz w:val="20"/>
              </w:rPr>
              <w:t xml:space="preserve"> </w:t>
            </w:r>
            <w:r>
              <w:rPr>
                <w:noProof/>
              </w:rPr>
              <w:t xml:space="preserve"> </w:t>
            </w:r>
          </w:p>
          <w:p w14:paraId="2E9B0861" w14:textId="51F167B5" w:rsidR="00E42B18" w:rsidRDefault="009629C4">
            <w:pPr>
              <w:pStyle w:val="P68B1DB1-Normal11"/>
              <w:spacing w:before="100" w:beforeAutospacing="1" w:after="120"/>
              <w:rPr>
                <w:noProof/>
              </w:rPr>
            </w:pPr>
            <w:r>
              <w:rPr>
                <w:noProof/>
              </w:rPr>
              <w:t xml:space="preserve">IPSAS-standardeihin perustuvien suoriteperusteisten kirjanpitostandardien vahvistaminen; </w:t>
            </w:r>
          </w:p>
          <w:p w14:paraId="2F99F53B" w14:textId="3F3D52B7" w:rsidR="00E42B18" w:rsidRDefault="009629C4">
            <w:pPr>
              <w:pStyle w:val="P68B1DB1-Normal11"/>
              <w:spacing w:before="100" w:beforeAutospacing="1" w:after="120"/>
              <w:rPr>
                <w:rFonts w:cs="Arial"/>
                <w:noProof/>
                <w:szCs w:val="20"/>
              </w:rPr>
            </w:pPr>
            <w:r>
              <w:rPr>
                <w:noProof/>
              </w:rPr>
              <w:t>Laaditaan moniulotteinen ja monitasoinen tilikartta.</w:t>
            </w:r>
          </w:p>
        </w:tc>
      </w:tr>
      <w:tr w:rsidR="00E42B18" w14:paraId="6F6A1E1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6BEFE" w14:textId="77777777" w:rsidR="00E42B18" w:rsidRDefault="009629C4">
            <w:pPr>
              <w:pStyle w:val="P68B1DB1-Normal11"/>
              <w:jc w:val="center"/>
              <w:rPr>
                <w:rFonts w:cs="Arial"/>
                <w:noProof/>
                <w:szCs w:val="20"/>
              </w:rPr>
            </w:pPr>
            <w:r>
              <w:rPr>
                <w:noProof/>
              </w:rPr>
              <w:t>M1C1–109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A01DF" w14:textId="77777777" w:rsidR="00E42B18" w:rsidRDefault="009629C4">
            <w:pPr>
              <w:pStyle w:val="P68B1DB1-Normal11"/>
              <w:jc w:val="center"/>
              <w:rPr>
                <w:rFonts w:cs="Arial"/>
                <w:noProof/>
                <w:szCs w:val="20"/>
              </w:rPr>
            </w:pPr>
            <w:r>
              <w:rPr>
                <w:noProof/>
              </w:rPr>
              <w:t>Uudistus 1.12: Verohallinnon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69B8E"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7A84BB" w14:textId="77777777" w:rsidR="00E42B18" w:rsidRDefault="009629C4">
            <w:pPr>
              <w:pStyle w:val="P68B1DB1-Normal11"/>
              <w:jc w:val="center"/>
              <w:rPr>
                <w:rFonts w:cs="Arial"/>
                <w:noProof/>
                <w:szCs w:val="20"/>
              </w:rPr>
            </w:pPr>
            <w:r>
              <w:rPr>
                <w:noProof/>
              </w:rPr>
              <w:t>Ensimmäisten ennakkoon koottujen alv-ilmoitusten lähettäminen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42D439"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463D3"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067CAE"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9EFAE" w14:textId="77777777" w:rsidR="00E42B18" w:rsidRDefault="009629C4">
            <w:pPr>
              <w:pStyle w:val="P68B1DB1-Normal11"/>
              <w:jc w:val="center"/>
              <w:rPr>
                <w:rFonts w:cs="Arial"/>
                <w:noProof/>
                <w:szCs w:val="20"/>
              </w:rPr>
            </w:pPr>
            <w:r>
              <w:rPr>
                <w:noProof/>
              </w:rPr>
              <w:t>2 300 000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CE990"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8FCD4"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C7F762" w14:textId="77777777" w:rsidR="00E42B18" w:rsidRDefault="009629C4">
            <w:pPr>
              <w:pStyle w:val="P68B1DB1-Normal11"/>
              <w:spacing w:before="100" w:beforeAutospacing="1" w:after="120"/>
              <w:rPr>
                <w:rFonts w:cs="Arial"/>
                <w:noProof/>
                <w:szCs w:val="20"/>
              </w:rPr>
            </w:pPr>
            <w:r>
              <w:rPr>
                <w:noProof/>
              </w:rPr>
              <w:t>Vähintään 2300000 veronmaksajan on saatava verovuodelta 2022 ennakkoon muodostettu alv-ilmoitus.</w:t>
            </w:r>
          </w:p>
        </w:tc>
      </w:tr>
      <w:tr w:rsidR="00E42B18" w14:paraId="7606A65B"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10B6F0" w14:textId="77777777" w:rsidR="00E42B18" w:rsidRDefault="009629C4">
            <w:pPr>
              <w:pStyle w:val="P68B1DB1-Normal11"/>
              <w:jc w:val="center"/>
              <w:rPr>
                <w:rFonts w:cs="Arial"/>
                <w:noProof/>
                <w:szCs w:val="20"/>
              </w:rPr>
            </w:pPr>
            <w:r>
              <w:rPr>
                <w:noProof/>
              </w:rPr>
              <w:t>M1C1–110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4705A7" w14:textId="77777777" w:rsidR="00E42B18" w:rsidRDefault="009629C4">
            <w:pPr>
              <w:pStyle w:val="P68B1DB1-Normal11"/>
              <w:jc w:val="center"/>
              <w:rPr>
                <w:rFonts w:cs="Arial"/>
                <w:noProof/>
                <w:szCs w:val="20"/>
              </w:rPr>
            </w:pPr>
            <w:r>
              <w:rPr>
                <w:noProof/>
              </w:rPr>
              <w:t>Uudistus 1.13: Menojen uudelleentarkastelua koskevan 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B0CA29"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484F5A" w14:textId="77777777" w:rsidR="00E42B18" w:rsidRDefault="009629C4">
            <w:pPr>
              <w:pStyle w:val="P68B1DB1-Normal11"/>
              <w:jc w:val="center"/>
              <w:rPr>
                <w:rFonts w:cs="Arial"/>
                <w:noProof/>
                <w:szCs w:val="20"/>
              </w:rPr>
            </w:pPr>
            <w:r>
              <w:rPr>
                <w:noProof/>
              </w:rPr>
              <w:t>Valtion yleisen talousarvion uudelleenluokittelu ympäristömenojen ja sukupuolten tasa-arvoa edistävien menojen perusteella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18FBF8" w14:textId="77777777" w:rsidR="00E42B18" w:rsidRDefault="009629C4">
            <w:pPr>
              <w:pStyle w:val="P68B1DB1-Normal11"/>
              <w:jc w:val="center"/>
              <w:rPr>
                <w:rFonts w:cs="Arial"/>
                <w:noProof/>
                <w:szCs w:val="20"/>
              </w:rPr>
            </w:pPr>
            <w:r>
              <w:rPr>
                <w:noProof/>
              </w:rPr>
              <w:t>Valtion yleisen talousarvion uudelleenluokittelun sisällyttäminen vuoden 2024 talousarviolakiin ympäristömenojen ja sukupuolten tasa-arvoa edistävien menojen perusteella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8755D9"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5504F"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169E71"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C95AA6"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A7670C"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2921E8" w14:textId="77777777" w:rsidR="00E42B18" w:rsidRDefault="009629C4">
            <w:pPr>
              <w:pStyle w:val="P68B1DB1-Normal12"/>
              <w:spacing w:before="100" w:beforeAutospacing="1" w:after="120"/>
              <w:rPr>
                <w:rFonts w:cs="Arial"/>
                <w:noProof/>
              </w:rPr>
            </w:pPr>
            <w:r>
              <w:rPr>
                <w:noProof/>
              </w:rPr>
              <w:t>Vuoden 2024 talousarviolaissa annetaan parlamentille kestävän kehityksen talousarvio, joka koostuu valtion yleisen talousarvion luokittelusta ympäristömenojen ja sukupuolten tasa-arvoa edistävien menojen perusteella. Luokittelun on oltava johdonmukainen kestävän kehityksen tavoitteiden määrittelyn ja Agenda 2030 -toimintaohjelman tavoitteiden kanssa.</w:t>
            </w:r>
          </w:p>
        </w:tc>
      </w:tr>
      <w:tr w:rsidR="00E42B18" w14:paraId="7A24A7B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28F288" w14:textId="77777777" w:rsidR="00E42B18" w:rsidRDefault="009629C4">
            <w:pPr>
              <w:pStyle w:val="P68B1DB1-Normal11"/>
              <w:jc w:val="center"/>
              <w:rPr>
                <w:rFonts w:cs="Arial"/>
                <w:noProof/>
                <w:szCs w:val="20"/>
              </w:rPr>
            </w:pPr>
            <w:r>
              <w:rPr>
                <w:noProof/>
              </w:rPr>
              <w:t>M1C1–111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D46D0" w14:textId="77777777" w:rsidR="00E42B18" w:rsidRDefault="009629C4">
            <w:pPr>
              <w:pStyle w:val="P68B1DB1-Normal11"/>
              <w:jc w:val="center"/>
              <w:rPr>
                <w:rFonts w:cs="Arial"/>
                <w:noProof/>
                <w:szCs w:val="20"/>
              </w:rPr>
            </w:pPr>
            <w:r>
              <w:rPr>
                <w:noProof/>
              </w:rPr>
              <w:t>Uudistus 1.13: Menojen uudelleentarkastelua koskevan 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C279B3"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C37D3A" w14:textId="77777777" w:rsidR="00E42B18" w:rsidRDefault="009629C4">
            <w:pPr>
              <w:pStyle w:val="P68B1DB1-Normal11"/>
              <w:jc w:val="center"/>
              <w:rPr>
                <w:rFonts w:cs="Arial"/>
                <w:noProof/>
                <w:szCs w:val="20"/>
              </w:rPr>
            </w:pPr>
            <w:r>
              <w:rPr>
                <w:noProof/>
              </w:rPr>
              <w:t>Vuotta 2023 koskevan vuotuisen menoarvion loppuun saattaminen ottaen huomioon vuonna 2022 vuodelle 2023 asetettu säästötavoite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A7F290" w14:textId="77777777" w:rsidR="00E42B18" w:rsidRDefault="009629C4">
            <w:pPr>
              <w:pStyle w:val="P68B1DB1-Normal11"/>
              <w:jc w:val="center"/>
              <w:rPr>
                <w:rFonts w:cs="Arial"/>
                <w:noProof/>
                <w:szCs w:val="20"/>
              </w:rPr>
            </w:pPr>
            <w:r>
              <w:rPr>
                <w:noProof/>
              </w:rPr>
              <w:t>Hyväksytään valtiovarainministeriön vuoden 2023 menojen uudelleentarkastelua koskeva kertomus, jossa vahvistetaan prosessin päätökseen saattaminen ja tavoitteen saavuttaminen.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1145A4"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A9A1C9"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B06393"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E8EA27"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6B956F"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50B729" w14:textId="77777777" w:rsidR="00E42B18" w:rsidRDefault="009629C4">
            <w:pPr>
              <w:pStyle w:val="P68B1DB1-Normal11"/>
              <w:spacing w:after="120"/>
              <w:rPr>
                <w:rFonts w:cs="Arial"/>
                <w:noProof/>
                <w:szCs w:val="20"/>
              </w:rPr>
            </w:pPr>
            <w:r>
              <w:rPr>
                <w:noProof/>
              </w:rPr>
              <w:t>Valtiovarainministeriön kertomuksessa, joka toimitetaan ministerineuvostolle vuoden 2016 asetusten 90 ja 93 sekä lain 163/2016 mukaisesti, säädetään seuraavaa:</w:t>
            </w:r>
          </w:p>
          <w:p w14:paraId="7C8F9933" w14:textId="77777777" w:rsidR="00E42B18" w:rsidRDefault="009629C4">
            <w:pPr>
              <w:pStyle w:val="P68B1DB1-Normal11"/>
              <w:spacing w:after="120"/>
              <w:rPr>
                <w:rFonts w:cs="Arial"/>
                <w:noProof/>
                <w:szCs w:val="20"/>
              </w:rPr>
            </w:pPr>
            <w:r>
              <w:rPr>
                <w:noProof/>
              </w:rPr>
              <w:t>—todentaa vuoden 2023 menojen uudelleentarkasteluprosessin päätökseen saattamisen menojen uudelleentarkastelukehystä koskevan säännöksen osalta.</w:t>
            </w:r>
          </w:p>
          <w:p w14:paraId="2BF53CA7" w14:textId="77777777" w:rsidR="00E42B18" w:rsidRDefault="009629C4">
            <w:pPr>
              <w:pStyle w:val="P68B1DB1-Normal11"/>
              <w:spacing w:after="120"/>
              <w:rPr>
                <w:rFonts w:cs="Arial"/>
                <w:noProof/>
                <w:szCs w:val="20"/>
              </w:rPr>
            </w:pPr>
            <w:r>
              <w:rPr>
                <w:noProof/>
              </w:rPr>
              <w:t>—todentaa vuonna 2022 asetetun tavoitteen saavuttamisen.</w:t>
            </w:r>
          </w:p>
        </w:tc>
      </w:tr>
      <w:tr w:rsidR="00E42B18" w14:paraId="73B8CC4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42D12C" w14:textId="77777777" w:rsidR="00E42B18" w:rsidRDefault="009629C4">
            <w:pPr>
              <w:pStyle w:val="P68B1DB1-Normal11"/>
              <w:jc w:val="center"/>
              <w:rPr>
                <w:rFonts w:cs="Arial"/>
                <w:noProof/>
                <w:szCs w:val="20"/>
              </w:rPr>
            </w:pPr>
            <w:r>
              <w:rPr>
                <w:noProof/>
              </w:rPr>
              <w:t>M1C1–112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F8017" w14:textId="77777777" w:rsidR="00E42B18" w:rsidRDefault="009629C4">
            <w:pPr>
              <w:pStyle w:val="P68B1DB1-Normal11"/>
              <w:jc w:val="center"/>
              <w:rPr>
                <w:rFonts w:cs="Arial"/>
                <w:noProof/>
                <w:szCs w:val="20"/>
              </w:rPr>
            </w:pPr>
            <w:r>
              <w:rPr>
                <w:noProof/>
              </w:rPr>
              <w:t>Uudistus 1.12: Verohallinnon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C1DCFA"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74EF1" w14:textId="77777777" w:rsidR="00E42B18" w:rsidRDefault="009629C4">
            <w:pPr>
              <w:pStyle w:val="P68B1DB1-Normal12"/>
              <w:jc w:val="center"/>
              <w:rPr>
                <w:rFonts w:cs="Arial"/>
                <w:noProof/>
              </w:rPr>
            </w:pPr>
            <w:r>
              <w:rPr>
                <w:noProof/>
              </w:rPr>
              <w:t>Verohallinnon operatiivisten valmiuksien parantaminen veroviraston vuosia 2021–2023 koskevan suoritussuunnitelman palvelukseenottotavoitteiden mukaisesti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C5182"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BFDFE3" w14:textId="77777777" w:rsidR="00E42B18" w:rsidRDefault="009629C4">
            <w:pPr>
              <w:pStyle w:val="P68B1DB1-Normal11"/>
              <w:jc w:val="center"/>
              <w:rPr>
                <w:rFonts w:cs="Arial"/>
                <w:noProof/>
                <w:szCs w:val="20"/>
              </w:rPr>
            </w:pPr>
            <w:r>
              <w:rPr>
                <w:noProof/>
              </w:rPr>
              <w:t>Työhönottojen lukumäärä</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FCE474"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D4F994" w14:textId="77777777" w:rsidR="00E42B18" w:rsidRDefault="009629C4">
            <w:pPr>
              <w:pStyle w:val="P68B1DB1-Normal11"/>
              <w:jc w:val="center"/>
              <w:rPr>
                <w:rFonts w:cs="Arial"/>
                <w:noProof/>
                <w:szCs w:val="20"/>
              </w:rPr>
            </w:pPr>
            <w:r>
              <w:rPr>
                <w:noProof/>
              </w:rPr>
              <w:t>4 113</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776887"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1BAA4" w14:textId="77777777" w:rsidR="00E42B18" w:rsidRDefault="009629C4">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91F6E0" w14:textId="48489E32" w:rsidR="00E42B18" w:rsidRDefault="009629C4">
            <w:pPr>
              <w:pStyle w:val="P68B1DB1-Normal12"/>
              <w:spacing w:before="100" w:beforeAutospacing="1" w:after="120"/>
              <w:rPr>
                <w:rFonts w:cs="Arial"/>
                <w:noProof/>
              </w:rPr>
            </w:pPr>
            <w:r>
              <w:rPr>
                <w:noProof/>
              </w:rPr>
              <w:t>Verovirasto palkkaa 4113 uutta henkilöstöyksikköä suoritussuunnitelman 2021–2023 työhönottotavoitteiden mukaisesti.</w:t>
            </w:r>
          </w:p>
        </w:tc>
      </w:tr>
      <w:tr w:rsidR="00E42B18" w14:paraId="0AB5755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81EF5A" w14:textId="77777777" w:rsidR="00E42B18" w:rsidRDefault="009629C4">
            <w:pPr>
              <w:pStyle w:val="P68B1DB1-Normal11"/>
              <w:jc w:val="center"/>
              <w:rPr>
                <w:rFonts w:cs="Arial"/>
                <w:noProof/>
                <w:szCs w:val="20"/>
              </w:rPr>
            </w:pPr>
            <w:r>
              <w:rPr>
                <w:noProof/>
              </w:rPr>
              <w:t>M1C1–113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819A5" w14:textId="77777777" w:rsidR="00E42B18" w:rsidRDefault="009629C4">
            <w:pPr>
              <w:pStyle w:val="P68B1DB1-Normal11"/>
              <w:jc w:val="center"/>
              <w:rPr>
                <w:rFonts w:cs="Arial"/>
                <w:noProof/>
                <w:szCs w:val="20"/>
              </w:rPr>
            </w:pPr>
            <w:r>
              <w:rPr>
                <w:noProof/>
              </w:rPr>
              <w:t>Uudistus 1.12: Verohallinnon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8CD9DB"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8E9DC5" w14:textId="77777777" w:rsidR="00E42B18" w:rsidRDefault="009629C4">
            <w:pPr>
              <w:pStyle w:val="P68B1DB1-Normal11"/>
              <w:jc w:val="center"/>
              <w:rPr>
                <w:rFonts w:cs="Arial"/>
                <w:noProof/>
                <w:szCs w:val="20"/>
              </w:rPr>
            </w:pPr>
            <w:r>
              <w:rPr>
                <w:noProof/>
              </w:rPr>
              <w:t>Suurempi ”vaatimustenmukaisuuskirjeiden” määrä</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76809"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ED01A" w14:textId="77777777" w:rsidR="00E42B18" w:rsidRDefault="009629C4">
            <w:pPr>
              <w:pStyle w:val="P68B1DB1-Normal11"/>
              <w:jc w:val="center"/>
              <w:rPr>
                <w:rFonts w:cs="Arial"/>
                <w:noProof/>
                <w:szCs w:val="20"/>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23D14" w14:textId="77777777" w:rsidR="00E42B18" w:rsidRDefault="009629C4">
            <w:pPr>
              <w:pStyle w:val="P68B1DB1-Normal11"/>
              <w:jc w:val="center"/>
              <w:rPr>
                <w:rFonts w:cs="Arial"/>
                <w:noProof/>
                <w:szCs w:val="20"/>
              </w:rPr>
            </w:pPr>
            <w:r>
              <w:rPr>
                <w:noProof/>
              </w:rPr>
              <w:t>2 150 908</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DF49F" w14:textId="77777777" w:rsidR="00E42B18" w:rsidRDefault="009629C4">
            <w:pPr>
              <w:pStyle w:val="P68B1DB1-Normal11"/>
              <w:jc w:val="center"/>
              <w:rPr>
                <w:rFonts w:cs="Arial"/>
                <w:noProof/>
                <w:szCs w:val="20"/>
              </w:rPr>
            </w:pPr>
            <w:r>
              <w:rPr>
                <w:noProof/>
              </w:rPr>
              <w:t>3 011 271</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E2EC2" w14:textId="77777777" w:rsidR="00E42B18" w:rsidRDefault="009629C4">
            <w:pPr>
              <w:pStyle w:val="P68B1DB1-Normal11"/>
              <w:jc w:val="center"/>
              <w:rPr>
                <w:rFonts w:cs="Arial"/>
                <w:noProof/>
                <w:szCs w:val="20"/>
              </w:rPr>
            </w:pPr>
            <w:r>
              <w:rPr>
                <w:noProof/>
              </w:rPr>
              <w:t xml:space="preserve"> 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D4AEC1"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0F9A1" w14:textId="77777777" w:rsidR="00E42B18" w:rsidRDefault="009629C4">
            <w:pPr>
              <w:pStyle w:val="P68B1DB1-Normal12"/>
              <w:spacing w:before="100" w:beforeAutospacing="1" w:after="120"/>
              <w:rPr>
                <w:rFonts w:cs="Arial"/>
                <w:noProof/>
              </w:rPr>
            </w:pPr>
            <w:r>
              <w:rPr>
                <w:noProof/>
              </w:rPr>
              <w:t>Sääntöjen noudattamista koskevien kirjeiden, joissa verovelvollisille ilmoitetaan varhaisessa vaiheessa ja joissa havaitaan poikkeamia, määrää on lisättävä vähintään 40 prosenttia vuoteen 2019 verrattuna.</w:t>
            </w:r>
          </w:p>
        </w:tc>
      </w:tr>
      <w:tr w:rsidR="00E42B18" w14:paraId="7E8BD4C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62B0D7" w14:textId="77777777" w:rsidR="00E42B18" w:rsidRDefault="009629C4">
            <w:pPr>
              <w:pStyle w:val="P68B1DB1-Normal11"/>
              <w:jc w:val="center"/>
              <w:rPr>
                <w:rFonts w:cs="Arial"/>
                <w:noProof/>
                <w:szCs w:val="20"/>
              </w:rPr>
            </w:pPr>
            <w:r>
              <w:rPr>
                <w:noProof/>
              </w:rPr>
              <w:t>M1C1–114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271114" w14:textId="77777777" w:rsidR="00E42B18" w:rsidRDefault="009629C4">
            <w:pPr>
              <w:pStyle w:val="P68B1DB1-Normal11"/>
              <w:jc w:val="center"/>
              <w:rPr>
                <w:rFonts w:cs="Arial"/>
                <w:noProof/>
                <w:szCs w:val="20"/>
              </w:rPr>
            </w:pPr>
            <w:r>
              <w:rPr>
                <w:noProof/>
              </w:rPr>
              <w:t>Uudistus 1.12: Verohallinnon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C7188A"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52BAA" w14:textId="77777777" w:rsidR="00E42B18" w:rsidRDefault="009629C4">
            <w:pPr>
              <w:pStyle w:val="P68B1DB1-Normal11"/>
              <w:jc w:val="center"/>
              <w:rPr>
                <w:rFonts w:cs="Arial"/>
                <w:noProof/>
                <w:szCs w:val="20"/>
              </w:rPr>
            </w:pPr>
            <w:r>
              <w:rPr>
                <w:noProof/>
              </w:rPr>
              <w:t>Sääntöjen noudattamista koskevien kirjeiden tuottamien verotulojen kasvu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69082E"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6B8402" w14:textId="77777777" w:rsidR="00E42B18" w:rsidRDefault="009629C4">
            <w:pPr>
              <w:pStyle w:val="P68B1DB1-Normal11"/>
              <w:jc w:val="center"/>
              <w:rPr>
                <w:rFonts w:cs="Arial"/>
                <w:noProof/>
                <w:szCs w:val="20"/>
              </w:rPr>
            </w:pPr>
            <w:r>
              <w:rPr>
                <w:noProof/>
              </w:rPr>
              <w:t>Euroa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41C83" w14:textId="77777777" w:rsidR="00E42B18" w:rsidRDefault="009629C4">
            <w:pPr>
              <w:pStyle w:val="P68B1DB1-Normal11"/>
              <w:jc w:val="center"/>
              <w:rPr>
                <w:rFonts w:cs="Arial"/>
                <w:noProof/>
                <w:szCs w:val="20"/>
              </w:rPr>
            </w:pPr>
            <w:r>
              <w:rPr>
                <w:noProof/>
              </w:rPr>
              <w:t>2 130 000 000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B6BAFD" w14:textId="77777777" w:rsidR="00E42B18" w:rsidRDefault="009629C4">
            <w:pPr>
              <w:pStyle w:val="P68B1DB1-Normal11"/>
              <w:jc w:val="center"/>
              <w:rPr>
                <w:rFonts w:cs="Arial"/>
                <w:noProof/>
                <w:szCs w:val="20"/>
              </w:rPr>
            </w:pPr>
            <w:r>
              <w:rPr>
                <w:noProof/>
              </w:rPr>
              <w:t>2 769 000 000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3036E1" w14:textId="77777777" w:rsidR="00E42B18" w:rsidRDefault="009629C4">
            <w:pPr>
              <w:pStyle w:val="P68B1DB1-Normal11"/>
              <w:jc w:val="center"/>
              <w:rPr>
                <w:rFonts w:cs="Arial"/>
                <w:noProof/>
                <w:szCs w:val="20"/>
              </w:rPr>
            </w:pPr>
            <w:r>
              <w:rPr>
                <w:noProof/>
              </w:rPr>
              <w:t xml:space="preserve"> 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B62DB5" w14:textId="77777777" w:rsidR="00E42B18" w:rsidRDefault="009629C4">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435AC" w14:textId="77777777" w:rsidR="00E42B18" w:rsidRDefault="009629C4">
            <w:pPr>
              <w:pStyle w:val="P68B1DB1-Normal11"/>
              <w:spacing w:before="100" w:beforeAutospacing="1" w:after="120"/>
              <w:rPr>
                <w:rFonts w:cs="Arial"/>
                <w:noProof/>
                <w:szCs w:val="20"/>
              </w:rPr>
            </w:pPr>
            <w:r>
              <w:rPr>
                <w:noProof/>
              </w:rPr>
              <w:t>Sääntöjen noudattamista koskevien kirjeiden tuottamat verotulot kasvavat 30 prosenttia vuoteen 2019 verrattuna.</w:t>
            </w:r>
          </w:p>
        </w:tc>
      </w:tr>
      <w:tr w:rsidR="00E42B18" w14:paraId="0228E01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FF46C" w14:textId="77777777" w:rsidR="00E42B18" w:rsidRDefault="009629C4">
            <w:pPr>
              <w:pStyle w:val="P68B1DB1-Normal11"/>
              <w:jc w:val="center"/>
              <w:rPr>
                <w:rFonts w:cs="Arial"/>
                <w:noProof/>
                <w:szCs w:val="20"/>
              </w:rPr>
            </w:pPr>
            <w:r>
              <w:rPr>
                <w:noProof/>
              </w:rPr>
              <w:t>M1C1–115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00AA60" w14:textId="77777777" w:rsidR="00E42B18" w:rsidRDefault="009629C4">
            <w:pPr>
              <w:pStyle w:val="P68B1DB1-Normal11"/>
              <w:jc w:val="center"/>
              <w:rPr>
                <w:rFonts w:cs="Arial"/>
                <w:noProof/>
                <w:szCs w:val="20"/>
              </w:rPr>
            </w:pPr>
            <w:r>
              <w:rPr>
                <w:noProof/>
              </w:rPr>
              <w:t>Uudistus 1.13: Menojen uudelleentarkastelua koskevan 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95083C"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993BA" w14:textId="77777777" w:rsidR="00E42B18" w:rsidRDefault="009629C4">
            <w:pPr>
              <w:pStyle w:val="P68B1DB1-Normal11"/>
              <w:jc w:val="center"/>
              <w:rPr>
                <w:rFonts w:cs="Arial"/>
                <w:noProof/>
                <w:szCs w:val="20"/>
              </w:rPr>
            </w:pPr>
            <w:r>
              <w:rPr>
                <w:noProof/>
              </w:rPr>
              <w:t>Vuotta 2024 koskevan vuotuisen menoarvion loppuun saattaminen vuosille 2022 ja 2023 vuodeksi 2024 asetetun säästötavoitteen osalta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552DAC" w14:textId="77777777" w:rsidR="00E42B18" w:rsidRDefault="009629C4">
            <w:pPr>
              <w:pStyle w:val="P68B1DB1-Normal11"/>
              <w:jc w:val="center"/>
              <w:rPr>
                <w:rFonts w:cs="Arial"/>
                <w:noProof/>
                <w:szCs w:val="20"/>
              </w:rPr>
            </w:pPr>
            <w:r>
              <w:rPr>
                <w:noProof/>
              </w:rPr>
              <w:t>Hyväksytään valtiovarainministeriön vuoden 2024 menojen uudelleentarkastelua koskeva kertomus, jossa vahvistetaan prosessin päätökseen saattaminen ja tavoitteen saavuttaminen.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C5F6EE"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EBAF7"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77598B"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2EBBC"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0A54A7" w14:textId="77777777" w:rsidR="00E42B18" w:rsidRDefault="009629C4">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5E5DD7" w14:textId="77777777" w:rsidR="00E42B18" w:rsidRDefault="009629C4">
            <w:pPr>
              <w:pStyle w:val="P68B1DB1-Normal11"/>
              <w:spacing w:after="120"/>
              <w:rPr>
                <w:rFonts w:cs="Arial"/>
                <w:noProof/>
                <w:szCs w:val="20"/>
              </w:rPr>
            </w:pPr>
            <w:r>
              <w:rPr>
                <w:noProof/>
              </w:rPr>
              <w:t>Valtiovarainministeriön kertomuksessa, joka toimitetaan ministerineuvostolle vuoden 2016 asetusten 90 ja 93 sekä lain 163/2016 mukaisesti, säädetään seuraavaa:</w:t>
            </w:r>
          </w:p>
          <w:p w14:paraId="5142CC68" w14:textId="77777777" w:rsidR="00E42B18" w:rsidRDefault="009629C4">
            <w:pPr>
              <w:pStyle w:val="P68B1DB1-Normal11"/>
              <w:spacing w:after="120"/>
              <w:rPr>
                <w:rFonts w:cs="Arial"/>
                <w:noProof/>
                <w:szCs w:val="20"/>
              </w:rPr>
            </w:pPr>
            <w:r>
              <w:rPr>
                <w:noProof/>
              </w:rPr>
              <w:t>— varmentaa, että vuoden 2024 menojen uudelleenarviointiprosessi on saatettu päätökseen menojen uudelleentarkastelukehystä koskevan säännöksen osalta.</w:t>
            </w:r>
          </w:p>
          <w:p w14:paraId="0AA8A0AE" w14:textId="77777777" w:rsidR="00E42B18" w:rsidRDefault="009629C4">
            <w:pPr>
              <w:pStyle w:val="P68B1DB1-Normal11"/>
              <w:spacing w:after="120"/>
              <w:rPr>
                <w:rFonts w:cs="Arial"/>
                <w:noProof/>
                <w:szCs w:val="20"/>
              </w:rPr>
            </w:pPr>
            <w:r>
              <w:rPr>
                <w:noProof/>
              </w:rPr>
              <w:t>— todistaa, että vuosina 2022 ja 2023 asetettu tavoite on saavutettu.</w:t>
            </w:r>
          </w:p>
        </w:tc>
      </w:tr>
      <w:tr w:rsidR="00E42B18" w14:paraId="2A97CFE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9CAFD" w14:textId="77777777" w:rsidR="00E42B18" w:rsidRDefault="009629C4">
            <w:pPr>
              <w:pStyle w:val="P68B1DB1-Normal11"/>
              <w:jc w:val="center"/>
              <w:rPr>
                <w:rFonts w:cs="Arial"/>
                <w:noProof/>
                <w:szCs w:val="20"/>
              </w:rPr>
            </w:pPr>
            <w:r>
              <w:rPr>
                <w:noProof/>
              </w:rPr>
              <w:t>M1C1–116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5D36AF" w14:textId="77777777" w:rsidR="00E42B18" w:rsidRDefault="009629C4">
            <w:pPr>
              <w:pStyle w:val="P68B1DB1-Normal11"/>
              <w:jc w:val="center"/>
              <w:rPr>
                <w:rFonts w:cs="Arial"/>
                <w:noProof/>
                <w:szCs w:val="20"/>
              </w:rPr>
            </w:pPr>
            <w:r>
              <w:rPr>
                <w:noProof/>
              </w:rPr>
              <w:t>Uudistus 1.12: Verohallinnon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7C233"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B1E436" w14:textId="77777777" w:rsidR="00E42B18" w:rsidRDefault="009629C4">
            <w:pPr>
              <w:pStyle w:val="P68B1DB1-Normal11"/>
              <w:jc w:val="center"/>
              <w:rPr>
                <w:rFonts w:cs="Arial"/>
                <w:noProof/>
                <w:szCs w:val="20"/>
              </w:rPr>
            </w:pPr>
            <w:r>
              <w:rPr>
                <w:noProof/>
              </w:rPr>
              <w:t>Veronkierron vähentäminen, sellaisena kuin se on määriteltynä veron kiertämishalukkuutta koskevassa indikaattorissa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8CC29C"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12B017" w14:textId="77777777" w:rsidR="00E42B18" w:rsidRDefault="009629C4">
            <w:pPr>
              <w:pStyle w:val="P68B1DB1-Normal11"/>
              <w:jc w:val="center"/>
              <w:rPr>
                <w:rFonts w:cs="Arial"/>
                <w:noProof/>
                <w:szCs w:val="20"/>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FA3EE4"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4B972E" w14:textId="77777777" w:rsidR="00E42B18" w:rsidRDefault="009629C4">
            <w:pPr>
              <w:pStyle w:val="P68B1DB1-Normal12"/>
              <w:jc w:val="center"/>
              <w:rPr>
                <w:rFonts w:cs="Arial"/>
                <w:noProof/>
              </w:rPr>
            </w:pPr>
            <w:r>
              <w:rPr>
                <w:noProof/>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39E31" w14:textId="77777777" w:rsidR="00E42B18" w:rsidRDefault="009629C4">
            <w:pPr>
              <w:pStyle w:val="P68B1DB1-Normal11"/>
              <w:jc w:val="center"/>
              <w:rPr>
                <w:rFonts w:cs="Arial"/>
                <w:noProof/>
                <w:szCs w:val="20"/>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8BFE0" w14:textId="77777777" w:rsidR="00E42B18" w:rsidRDefault="009629C4">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5DACE" w14:textId="20827FDD" w:rsidR="00E42B18" w:rsidRDefault="009629C4">
            <w:pPr>
              <w:pStyle w:val="P68B1DB1-Normal12"/>
              <w:spacing w:before="100" w:beforeAutospacing="1" w:after="120"/>
              <w:rPr>
                <w:rFonts w:cs="Arial"/>
                <w:noProof/>
              </w:rPr>
            </w:pPr>
            <w:r>
              <w:rPr>
                <w:noProof/>
              </w:rPr>
              <w:t>Asetuksen N:o 160/2015 2 §:n nojalla vuonna 2025 julkaistussa hallituksen päivitetyssä raportissa harmaasta taloudesta vahvistetaan, että kaikkien verojen (Imposta Municipale Unica) ja valmisteverojen verot (Imposta Municipale Unica) ja valmisteverot pienenevät keskimäärin 10prosenttia vuosina 2022–2023 vuoteen 2019 verrattuna.</w:t>
            </w:r>
          </w:p>
        </w:tc>
      </w:tr>
      <w:tr w:rsidR="00E42B18" w14:paraId="4763B43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08EB1" w14:textId="77777777" w:rsidR="00E42B18" w:rsidRDefault="009629C4">
            <w:pPr>
              <w:pStyle w:val="P68B1DB1-Normal11"/>
              <w:jc w:val="center"/>
              <w:rPr>
                <w:rFonts w:cs="Arial"/>
                <w:noProof/>
                <w:szCs w:val="20"/>
              </w:rPr>
            </w:pPr>
            <w:r>
              <w:rPr>
                <w:noProof/>
              </w:rPr>
              <w:t>M1C1–117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EDCBE" w14:textId="77777777" w:rsidR="00E42B18" w:rsidRDefault="009629C4">
            <w:pPr>
              <w:pStyle w:val="P68B1DB1-Normal11"/>
              <w:spacing w:line="276" w:lineRule="auto"/>
              <w:jc w:val="center"/>
              <w:rPr>
                <w:rFonts w:cs="Arial"/>
                <w:noProof/>
                <w:szCs w:val="20"/>
              </w:rPr>
            </w:pPr>
            <w:r>
              <w:rPr>
                <w:noProof/>
              </w:rPr>
              <w:t>Uudistus 1.15:</w:t>
            </w:r>
          </w:p>
          <w:p w14:paraId="49A72097" w14:textId="77777777" w:rsidR="00E42B18" w:rsidRDefault="009629C4">
            <w:pPr>
              <w:pStyle w:val="P68B1DB1-Normal11"/>
              <w:spacing w:line="276" w:lineRule="auto"/>
              <w:jc w:val="center"/>
              <w:rPr>
                <w:rFonts w:cs="Arial"/>
                <w:noProof/>
                <w:szCs w:val="20"/>
              </w:rPr>
            </w:pPr>
            <w:r>
              <w:rPr>
                <w:noProof/>
              </w:rPr>
              <w:t>Julkisen tilinpidon sääntöjen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A2A35" w14:textId="77777777" w:rsidR="00E42B18" w:rsidRDefault="009629C4">
            <w:pPr>
              <w:pStyle w:val="P68B1DB1-Normal11"/>
              <w:jc w:val="center"/>
              <w:rPr>
                <w:rFonts w:cs="Arial"/>
                <w:noProof/>
                <w:szCs w:val="20"/>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51F591" w14:textId="77777777" w:rsidR="00E42B18" w:rsidRDefault="009629C4">
            <w:pPr>
              <w:pStyle w:val="P68B1DB1-Normal11"/>
              <w:jc w:val="center"/>
              <w:rPr>
                <w:rFonts w:cs="Arial"/>
                <w:noProof/>
                <w:szCs w:val="20"/>
              </w:rPr>
            </w:pPr>
            <w:r>
              <w:rPr>
                <w:noProof/>
                <w:szCs w:val="20"/>
              </w:rPr>
              <w:t>Uudesta</w:t>
            </w:r>
            <w:r>
              <w:rPr>
                <w:noProof/>
              </w:rPr>
              <w:t xml:space="preserve"> suoriteperusteisesta kirjanpitojärjestelmästä koulutettujen julkisyhteisöjen edustajat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468BFF" w14:textId="77777777" w:rsidR="00E42B18" w:rsidRDefault="009629C4">
            <w:pPr>
              <w:pStyle w:val="P68B1DB1-Normal11"/>
              <w:jc w:val="center"/>
              <w:rPr>
                <w:rFonts w:cs="Arial"/>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5AB0D" w14:textId="77777777" w:rsidR="00E42B18" w:rsidRDefault="009629C4">
            <w:pPr>
              <w:pStyle w:val="P68B1DB1-Normal11"/>
              <w:jc w:val="center"/>
              <w:rPr>
                <w:rFonts w:cs="Arial"/>
                <w:noProof/>
                <w:szCs w:val="20"/>
              </w:rPr>
            </w:pPr>
            <w:r>
              <w:rPr>
                <w:noProof/>
              </w:rPr>
              <w:t xml:space="preserve">Prosenttiosuus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FDD66" w14:textId="77777777" w:rsidR="00E42B18" w:rsidRDefault="009629C4">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D7D6D" w14:textId="77777777" w:rsidR="00E42B18" w:rsidRDefault="009629C4">
            <w:pPr>
              <w:pStyle w:val="P68B1DB1-Normal11"/>
              <w:jc w:val="center"/>
              <w:rPr>
                <w:rFonts w:cs="Arial"/>
                <w:noProof/>
                <w:szCs w:val="20"/>
              </w:rPr>
            </w:pPr>
            <w:r>
              <w:rPr>
                <w:noProof/>
              </w:rPr>
              <w:t>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D1A3AD" w14:textId="77777777" w:rsidR="00E42B18" w:rsidRDefault="009629C4">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80FEF7"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1F869" w14:textId="77777777" w:rsidR="00E42B18" w:rsidRDefault="009629C4">
            <w:pPr>
              <w:pStyle w:val="P68B1DB1-Normal12"/>
              <w:rPr>
                <w:rFonts w:cs="Arial"/>
                <w:noProof/>
              </w:rPr>
            </w:pPr>
            <w:r>
              <w:rPr>
                <w:noProof/>
              </w:rPr>
              <w:t>Uutta kirjanpitojärjestelmää koskevan koulutuksen digitaalisen keskusalustan tietojen perusteella julkisyhteisöjen ja julkisoikeudellisten laitosten edustajien on suoritettava uutta suoriteperusteista kirjanpitojärjestelmää koskeva ensimmäinen koulutuskierros, joka kattaa vähintään 90 prosenttia koko julkisen sektorin (ilman valtion omistamia yrityksiä) perusmenoista.</w:t>
            </w:r>
          </w:p>
        </w:tc>
      </w:tr>
      <w:tr w:rsidR="00E42B18" w14:paraId="1E96DCB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05037C" w14:textId="77777777" w:rsidR="00E42B18" w:rsidRDefault="009629C4">
            <w:pPr>
              <w:pStyle w:val="P68B1DB1-Normal12"/>
              <w:jc w:val="center"/>
              <w:rPr>
                <w:rFonts w:cs="Arial"/>
                <w:noProof/>
              </w:rPr>
            </w:pPr>
            <w:r>
              <w:rPr>
                <w:noProof/>
              </w:rPr>
              <w:t>M1C1–118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6388A8" w14:textId="77777777" w:rsidR="00E42B18" w:rsidRDefault="009629C4">
            <w:pPr>
              <w:pStyle w:val="P68B1DB1-Normal11"/>
              <w:spacing w:line="276" w:lineRule="auto"/>
              <w:jc w:val="center"/>
              <w:rPr>
                <w:rFonts w:cs="Arial"/>
                <w:noProof/>
                <w:szCs w:val="20"/>
              </w:rPr>
            </w:pPr>
            <w:bookmarkStart w:id="6" w:name="_Hlk160472732"/>
            <w:r>
              <w:rPr>
                <w:noProof/>
              </w:rPr>
              <w:t>Uudistus 1.15:</w:t>
            </w:r>
          </w:p>
          <w:p w14:paraId="637E825A" w14:textId="77777777" w:rsidR="00E42B18" w:rsidRDefault="009629C4">
            <w:pPr>
              <w:pStyle w:val="P68B1DB1-Normal11"/>
              <w:spacing w:line="276" w:lineRule="auto"/>
              <w:jc w:val="center"/>
              <w:rPr>
                <w:rFonts w:cs="Arial"/>
                <w:noProof/>
                <w:szCs w:val="20"/>
              </w:rPr>
            </w:pPr>
            <w:r>
              <w:rPr>
                <w:noProof/>
              </w:rPr>
              <w:t>Julkisen tilinpidon sääntöjen uudistaminen</w:t>
            </w:r>
            <w:bookmarkEnd w:id="6"/>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5B9123"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BA868" w14:textId="77777777" w:rsidR="00E42B18" w:rsidRDefault="009629C4">
            <w:pPr>
              <w:pStyle w:val="P68B1DB1-Normal12"/>
              <w:jc w:val="center"/>
              <w:rPr>
                <w:rFonts w:cs="Arial"/>
                <w:noProof/>
              </w:rPr>
            </w:pPr>
            <w:r>
              <w:rPr>
                <w:noProof/>
              </w:rPr>
              <w:t xml:space="preserve">Tilinpäätöksen antaminen ja julkisyhteisöjen ja julkisoikeudellisten laitosten suoriteperusteisen kirjanpidon uudistusta koskevan säädöksen voimaantulo, joka kattaa vähintään 90 prosenttia koko julkisen sektorin perusmenoista ilman valtion omistamia yrityksiä. </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D87C91" w14:textId="77777777" w:rsidR="00E42B18" w:rsidRDefault="009629C4">
            <w:pPr>
              <w:pStyle w:val="P68B1DB1-Normal12"/>
              <w:jc w:val="center"/>
              <w:rPr>
                <w:rFonts w:cs="Arial"/>
                <w:noProof/>
              </w:rPr>
            </w:pPr>
            <w:r>
              <w:rPr>
                <w:noProof/>
              </w:rPr>
              <w:t xml:space="preserve">Säädöksen säännös, jossa ilmoitetaan säädöksen voimaantulo.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2F97E6"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3287F"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957717"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676DC"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AB707"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1C70F7" w14:textId="77777777" w:rsidR="00E42B18" w:rsidRDefault="009629C4">
            <w:pPr>
              <w:pStyle w:val="P68B1DB1-Normal12"/>
              <w:spacing w:after="120"/>
              <w:rPr>
                <w:rFonts w:cs="Arial"/>
                <w:noProof/>
              </w:rPr>
            </w:pPr>
            <w:r>
              <w:rPr>
                <w:noProof/>
              </w:rPr>
              <w:t>Julkisen tilinpidon sääntöjä koskevan säädöksen pilottivaiheessa on laadittava julkisyhteisöjen ja julkisoikeudellisten laitosten julkishallinnon tilinpäätökset, jotka kattavat vähintään 90 prosenttia koko julkisen sektorin perusmenoista ilman valtion omistamia yrityksiä.</w:t>
            </w:r>
          </w:p>
          <w:p w14:paraId="6026A35F" w14:textId="77777777" w:rsidR="00E42B18" w:rsidRDefault="009629C4">
            <w:pPr>
              <w:spacing w:after="120"/>
              <w:rPr>
                <w:rFonts w:ascii="Arial Narrow" w:hAnsi="Arial Narrow" w:cs="Arial"/>
                <w:noProof/>
                <w:color w:val="006100"/>
                <w:sz w:val="20"/>
                <w:szCs w:val="20"/>
              </w:rPr>
            </w:pPr>
            <w:r>
              <w:rPr>
                <w:rFonts w:ascii="Arial Narrow" w:hAnsi="Arial Narrow"/>
                <w:noProof/>
                <w:color w:val="006100"/>
                <w:sz w:val="20"/>
                <w:szCs w:val="20"/>
              </w:rPr>
              <w:t>Lisäksi tulee voimaan säädös, jossa vahvistetaan etenemissuunnitelma uuden suoriteperusteisen kirjanpitojärjestelmän asteittaiseksi käyttöön ottamiseksi. Etenemissuunnitelmassa on edellytettävä, että vuoteen 2030 (varainhoitovuosi) mennessä otetaan käyttöön julkisyhteisöjen ja julkisoikeudellisten laitosten uusi suoriteperusteinen kirjanpitojärjestelmä, joka kattaa vähintään 90 prosenttia koko julkisen sektorin perusmenoista ilman valtion omistamia yrityksiä.</w:t>
            </w:r>
            <w:r>
              <w:rPr>
                <w:noProof/>
              </w:rPr>
              <w:br/>
            </w:r>
            <w:r>
              <w:rPr>
                <w:rFonts w:ascii="Arial Narrow" w:hAnsi="Arial Narrow"/>
                <w:noProof/>
                <w:color w:val="006100"/>
                <w:sz w:val="20"/>
                <w:szCs w:val="20"/>
              </w:rPr>
              <w:t>Säädöksessä edellytetään myös koulutusohjelmien järjestämistä uuteen suoriteperusteiseen kirjanpitojärjestelmään siirtymistä varten.</w:t>
            </w:r>
          </w:p>
          <w:p w14:paraId="45566614" w14:textId="77FB1438" w:rsidR="00E42B18" w:rsidRDefault="009629C4">
            <w:pPr>
              <w:pStyle w:val="P68B1DB1-Normal12"/>
              <w:spacing w:after="120"/>
              <w:rPr>
                <w:rFonts w:cs="Arial"/>
                <w:noProof/>
              </w:rPr>
            </w:pPr>
            <w:r>
              <w:rPr>
                <w:noProof/>
              </w:rPr>
              <w:t>Lisäksi kunkin tilinpäätösstandardin soveltamista koskevat ohjeet julkaistaan talous- ja valtiovarainministeriön verkkosivustolla.</w:t>
            </w:r>
          </w:p>
        </w:tc>
      </w:tr>
      <w:tr w:rsidR="00E42B18" w14:paraId="2BD4661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9D3A76" w14:textId="77777777" w:rsidR="00E42B18" w:rsidRDefault="009629C4">
            <w:pPr>
              <w:pStyle w:val="P68B1DB1-Normal11"/>
              <w:jc w:val="center"/>
              <w:rPr>
                <w:rFonts w:cs="Arial"/>
                <w:noProof/>
                <w:szCs w:val="20"/>
              </w:rPr>
            </w:pPr>
            <w:r>
              <w:rPr>
                <w:noProof/>
              </w:rPr>
              <w:t>M1C1–119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87145" w14:textId="77777777" w:rsidR="00E42B18" w:rsidRDefault="009629C4">
            <w:pPr>
              <w:pStyle w:val="P68B1DB1-Normal11"/>
              <w:spacing w:line="276" w:lineRule="auto"/>
              <w:jc w:val="center"/>
              <w:rPr>
                <w:rFonts w:cs="Arial"/>
                <w:noProof/>
                <w:szCs w:val="20"/>
              </w:rPr>
            </w:pPr>
            <w:r>
              <w:rPr>
                <w:noProof/>
              </w:rPr>
              <w:t>Uudistus 1.14:</w:t>
            </w:r>
          </w:p>
          <w:p w14:paraId="487E4AF1" w14:textId="77777777" w:rsidR="00E42B18" w:rsidRDefault="009629C4">
            <w:pPr>
              <w:pStyle w:val="P68B1DB1-Normal11"/>
              <w:spacing w:line="276" w:lineRule="auto"/>
              <w:jc w:val="center"/>
              <w:rPr>
                <w:rFonts w:cs="Arial"/>
                <w:noProof/>
                <w:szCs w:val="20"/>
              </w:rPr>
            </w:pPr>
            <w:r>
              <w:rPr>
                <w:noProof/>
              </w:rPr>
              <w:t>Valtiotasoa alemman tason finanssipoliittisen kehyksen uudistus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DE874"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9B6902" w14:textId="496FF43C" w:rsidR="00E42B18" w:rsidRDefault="009629C4">
            <w:pPr>
              <w:pStyle w:val="P68B1DB1-Normal12"/>
              <w:jc w:val="center"/>
              <w:rPr>
                <w:rFonts w:cs="Arial"/>
                <w:noProof/>
              </w:rPr>
            </w:pPr>
            <w:r>
              <w:rPr>
                <w:noProof/>
              </w:rPr>
              <w:t>Alueellista fiskaalista federalismia koskevien parametrien määrittely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8346B" w14:textId="063829FE" w:rsidR="00E42B18" w:rsidRDefault="009629C4">
            <w:pPr>
              <w:pStyle w:val="P68B1DB1-Normal12"/>
              <w:jc w:val="center"/>
              <w:rPr>
                <w:noProof/>
              </w:rPr>
            </w:pPr>
            <w:r>
              <w:rPr>
                <w:noProof/>
              </w:rPr>
              <w:t>Tavallisessa asemassa olevien alueiden verotuksellisen federalismin parametrit määrittelevän säädöksen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9F9350"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E31E81"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162EC8"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0D620E" w14:textId="77777777" w:rsidR="00E42B18" w:rsidRDefault="009629C4">
            <w:pPr>
              <w:pStyle w:val="P68B1DB1-Normal12"/>
              <w:jc w:val="center"/>
              <w:rPr>
                <w:rFonts w:cs="Arial"/>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7A427"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149AE" w14:textId="767EED2F" w:rsidR="00E42B18" w:rsidRDefault="009629C4">
            <w:pPr>
              <w:pStyle w:val="P68B1DB1-Normal12"/>
              <w:spacing w:after="120"/>
              <w:rPr>
                <w:rFonts w:cs="Arial"/>
                <w:noProof/>
              </w:rPr>
            </w:pPr>
            <w:r>
              <w:rPr>
                <w:noProof/>
              </w:rPr>
              <w:t>Sellaisten säädösten voimaantulo, joissa määritellään verotuksellisen federalismin kannalta olennaiset palvelutasot (livelli essenziali delle prestazioni) alueilla, joilla on tavanomainen asema vähintään kahdella politiikanalalla.</w:t>
            </w:r>
          </w:p>
        </w:tc>
      </w:tr>
      <w:tr w:rsidR="00E42B18" w14:paraId="0A607F2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C4317" w14:textId="77777777" w:rsidR="00E42B18" w:rsidRDefault="009629C4">
            <w:pPr>
              <w:pStyle w:val="P68B1DB1-Normal12"/>
              <w:jc w:val="center"/>
              <w:rPr>
                <w:rFonts w:cs="Arial"/>
                <w:noProof/>
              </w:rPr>
            </w:pPr>
            <w:r>
              <w:rPr>
                <w:noProof/>
              </w:rPr>
              <w:t>M1C1–120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868394" w14:textId="77777777" w:rsidR="00E42B18" w:rsidRDefault="009629C4">
            <w:pPr>
              <w:pStyle w:val="P68B1DB1-Normal11"/>
              <w:spacing w:line="276" w:lineRule="auto"/>
              <w:jc w:val="center"/>
              <w:rPr>
                <w:rFonts w:cs="Arial"/>
                <w:noProof/>
                <w:szCs w:val="20"/>
              </w:rPr>
            </w:pPr>
            <w:r>
              <w:rPr>
                <w:noProof/>
              </w:rPr>
              <w:t>Uudistus 1.14:</w:t>
            </w:r>
          </w:p>
          <w:p w14:paraId="37727D6A" w14:textId="77777777" w:rsidR="00E42B18" w:rsidRDefault="009629C4">
            <w:pPr>
              <w:pStyle w:val="P68B1DB1-Normal11"/>
              <w:spacing w:line="276" w:lineRule="auto"/>
              <w:jc w:val="center"/>
              <w:rPr>
                <w:rFonts w:cs="Arial"/>
                <w:noProof/>
                <w:szCs w:val="20"/>
              </w:rPr>
            </w:pPr>
            <w:r>
              <w:rPr>
                <w:noProof/>
              </w:rPr>
              <w:t>Valtiotasoa alemman tason finanssipoliittisen kehyksen uudistus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20B46"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74603" w14:textId="7E5E1E34" w:rsidR="00E42B18" w:rsidRDefault="009629C4">
            <w:pPr>
              <w:pStyle w:val="P68B1DB1-Normal12"/>
              <w:jc w:val="center"/>
              <w:rPr>
                <w:noProof/>
              </w:rPr>
            </w:pPr>
            <w:r>
              <w:rPr>
                <w:noProof/>
              </w:rPr>
              <w:t>Laki, jossa määritellään provinssien ja suurkaupunkien fiskaalinen federalismi, tulee voimaan.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5A2CD" w14:textId="7BB9B416" w:rsidR="00E42B18" w:rsidRDefault="009629C4">
            <w:pPr>
              <w:pStyle w:val="P68B1DB1-Normal12"/>
              <w:jc w:val="center"/>
              <w:rPr>
                <w:rFonts w:cs="Arial"/>
                <w:noProof/>
              </w:rPr>
            </w:pPr>
            <w:r>
              <w:rPr>
                <w:noProof/>
              </w:rPr>
              <w:t>Laki, jossa määritellään provinssien ja suurkaupunkien fiskaalinen federalismi, tulee voimaan.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4377C7"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56D6F3"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80F0F6"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A8C831" w14:textId="77777777" w:rsidR="00E42B18" w:rsidRDefault="009629C4">
            <w:pPr>
              <w:pStyle w:val="P68B1DB1-Normal12"/>
              <w:jc w:val="center"/>
              <w:rPr>
                <w:rFonts w:cs="Arial"/>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14A377"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FF7C2" w14:textId="1E3EB24B" w:rsidR="00E42B18" w:rsidRDefault="009629C4">
            <w:pPr>
              <w:pStyle w:val="P68B1DB1-Normal12"/>
              <w:rPr>
                <w:rFonts w:cs="Arial"/>
                <w:noProof/>
              </w:rPr>
            </w:pPr>
            <w:r>
              <w:rPr>
                <w:noProof/>
              </w:rPr>
              <w:t>Maakuntien ja suurkaupunkien fiskaalista federalismia koskevien säädösten voimaantulo.</w:t>
            </w:r>
          </w:p>
        </w:tc>
      </w:tr>
      <w:tr w:rsidR="00E42B18" w14:paraId="43CD2B0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CF128" w14:textId="77777777" w:rsidR="00E42B18" w:rsidRDefault="009629C4">
            <w:pPr>
              <w:pStyle w:val="P68B1DB1-Normal20"/>
              <w:jc w:val="center"/>
              <w:rPr>
                <w:rFonts w:hint="default"/>
                <w:noProof/>
              </w:rPr>
            </w:pPr>
            <w:r>
              <w:rPr>
                <w:noProof/>
              </w:rPr>
              <w:t>M1C1</w:t>
            </w:r>
            <w:r>
              <w:rPr>
                <w:noProof/>
              </w:rPr>
              <w:t>–</w:t>
            </w:r>
            <w:r>
              <w:rPr>
                <w:noProof/>
              </w:rPr>
              <w:t>121 a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C44DB" w14:textId="7A3B890B" w:rsidR="00E42B18" w:rsidRDefault="009629C4">
            <w:pPr>
              <w:pStyle w:val="P68B1DB1-Normal11"/>
              <w:spacing w:after="200" w:line="276" w:lineRule="auto"/>
              <w:jc w:val="center"/>
              <w:rPr>
                <w:noProof/>
              </w:rPr>
            </w:pPr>
            <w:r>
              <w:rPr>
                <w:noProof/>
              </w:rPr>
              <w:t>Uudistus 1.12:</w:t>
            </w:r>
          </w:p>
          <w:p w14:paraId="284A3750" w14:textId="77777777" w:rsidR="00E42B18" w:rsidRDefault="009629C4">
            <w:pPr>
              <w:pStyle w:val="P68B1DB1-Normal20"/>
              <w:spacing w:line="276" w:lineRule="auto"/>
              <w:jc w:val="center"/>
              <w:rPr>
                <w:rFonts w:hint="default"/>
                <w:noProof/>
              </w:rPr>
            </w:pPr>
            <w:r>
              <w:rPr>
                <w:noProof/>
              </w:rPr>
              <w:t>Verohallinnon uudistaminen </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8C2EB" w14:textId="77777777" w:rsidR="00E42B18" w:rsidRDefault="009629C4">
            <w:pPr>
              <w:pStyle w:val="P68B1DB1-Normal11"/>
              <w:jc w:val="center"/>
              <w:rPr>
                <w:noProof/>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A7675" w14:textId="664ABC4A" w:rsidR="00E42B18" w:rsidRDefault="009629C4">
            <w:pPr>
              <w:pStyle w:val="P68B1DB1-Normal12"/>
              <w:jc w:val="center"/>
              <w:rPr>
                <w:noProof/>
              </w:rPr>
            </w:pPr>
            <w:r>
              <w:rPr>
                <w:noProof/>
              </w:rPr>
              <w:t>Veronkannon parantamista koskevan säädöksen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F2C1D" w14:textId="42E2EC25" w:rsidR="00E42B18" w:rsidRDefault="009629C4">
            <w:pPr>
              <w:pStyle w:val="P68B1DB1-Normal20"/>
              <w:jc w:val="center"/>
              <w:rPr>
                <w:rFonts w:hint="default"/>
                <w:noProof/>
              </w:rPr>
            </w:pPr>
            <w:r>
              <w:rPr>
                <w:noProof/>
              </w:rPr>
              <w:t xml:space="preserve">Voimaantuloon liittyvät säädöksen säännökset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C248F" w14:textId="4C95F40B" w:rsidR="00E42B18" w:rsidRDefault="009629C4">
            <w:pPr>
              <w:pStyle w:val="P68B1DB1-Normal11"/>
              <w:jc w:val="center"/>
              <w:rPr>
                <w:noProof/>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E35B7D" w14:textId="77777777" w:rsidR="00E42B18" w:rsidRDefault="009629C4">
            <w:pPr>
              <w:pStyle w:val="P68B1DB1-Normal11"/>
              <w:jc w:val="center"/>
              <w:rPr>
                <w:noProof/>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39A693" w14:textId="77777777" w:rsidR="00E42B18" w:rsidRDefault="009629C4">
            <w:pPr>
              <w:pStyle w:val="P68B1DB1-Normal11"/>
              <w:jc w:val="center"/>
              <w:rPr>
                <w:noProof/>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818EA" w14:textId="77777777" w:rsidR="00E42B18" w:rsidRDefault="009629C4">
            <w:pPr>
              <w:pStyle w:val="P68B1DB1-Normal11"/>
              <w:jc w:val="center"/>
              <w:rPr>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095BD" w14:textId="77777777" w:rsidR="00E42B18" w:rsidRDefault="009629C4">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9D2722" w14:textId="793FB981" w:rsidR="00E42B18" w:rsidRDefault="009629C4">
            <w:pPr>
              <w:pStyle w:val="P68B1DB1-Normal11"/>
              <w:rPr>
                <w:noProof/>
              </w:rPr>
            </w:pPr>
            <w:r>
              <w:rPr>
                <w:noProof/>
              </w:rPr>
              <w:t>Sellaisen säädöksen voimaantulo, jossa säädetään, että</w:t>
            </w:r>
          </w:p>
          <w:p w14:paraId="1DF33B64" w14:textId="77777777" w:rsidR="00E42B18" w:rsidRDefault="009629C4">
            <w:pPr>
              <w:pStyle w:val="P68B1DB1-Normal12"/>
              <w:rPr>
                <w:noProof/>
              </w:rPr>
            </w:pPr>
            <w:r>
              <w:rPr>
                <w:noProof/>
              </w:rPr>
              <w:t>1. Sähköisen laskutuksen tiedot on asetettava maksamattomien verojen kantamisesta vastaavan viraston (Agenzia Entrate Riscossione) saataville;</w:t>
            </w:r>
          </w:p>
          <w:p w14:paraId="173A1E82" w14:textId="15BC7308" w:rsidR="00E42B18" w:rsidRDefault="009629C4">
            <w:pPr>
              <w:pStyle w:val="P68B1DB1-Normal12"/>
              <w:rPr>
                <w:noProof/>
              </w:rPr>
            </w:pPr>
            <w:r>
              <w:rPr>
                <w:noProof/>
              </w:rPr>
              <w:t>2. Verohelpotukset sallitaan vain, jos maksamattomat verovelat ovat enintään 50000 euroa.</w:t>
            </w:r>
          </w:p>
          <w:p w14:paraId="2BB11707" w14:textId="77777777" w:rsidR="00E42B18" w:rsidRDefault="009629C4">
            <w:pPr>
              <w:pStyle w:val="P68B1DB1-Normal12"/>
              <w:rPr>
                <w:noProof/>
              </w:rPr>
            </w:pPr>
            <w:r>
              <w:rPr>
                <w:noProof/>
              </w:rPr>
              <w:t>3. Verovirasto voi lähettää tiedonantoja verovelvollisille, jos sähköisiä laskuja on laadittu, mutta samalta ajanjaksolta ei ole esitetty alv-ilmoitusta.</w:t>
            </w:r>
          </w:p>
        </w:tc>
      </w:tr>
      <w:tr w:rsidR="00E42B18" w14:paraId="6C48EB5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984D0" w14:textId="77777777" w:rsidR="00E42B18" w:rsidRDefault="009629C4">
            <w:pPr>
              <w:pStyle w:val="P68B1DB1-Normal11"/>
              <w:jc w:val="center"/>
              <w:rPr>
                <w:rFonts w:cs="Arial"/>
                <w:noProof/>
                <w:szCs w:val="20"/>
              </w:rPr>
            </w:pPr>
            <w:r>
              <w:rPr>
                <w:noProof/>
              </w:rPr>
              <w:t>M1C1–122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8F966" w14:textId="77777777" w:rsidR="00E42B18" w:rsidRDefault="009629C4">
            <w:pPr>
              <w:pStyle w:val="P68B1DB1-Normal11"/>
              <w:spacing w:line="276" w:lineRule="auto"/>
              <w:jc w:val="center"/>
              <w:rPr>
                <w:rFonts w:cs="Arial"/>
                <w:noProof/>
                <w:szCs w:val="20"/>
              </w:rPr>
            </w:pPr>
            <w:r>
              <w:rPr>
                <w:noProof/>
              </w:rPr>
              <w:t>Uudistus 1.13: Menojen uudelleentarkastelua koskevan kehyksen uudistaminen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34B617" w14:textId="77777777" w:rsidR="00E42B18" w:rsidRDefault="009629C4">
            <w:pPr>
              <w:pStyle w:val="P68B1DB1-Normal11"/>
              <w:jc w:val="center"/>
              <w:rPr>
                <w:rFonts w:cs="Arial"/>
                <w:noProof/>
                <w:szCs w:val="20"/>
              </w:rPr>
            </w:pPr>
            <w:r>
              <w:rPr>
                <w:noProof/>
              </w:rPr>
              <w:t>Virstanpylväs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A69E5" w14:textId="77777777" w:rsidR="00E42B18" w:rsidRDefault="009629C4">
            <w:pPr>
              <w:pStyle w:val="P68B1DB1-Normal11"/>
              <w:jc w:val="center"/>
              <w:rPr>
                <w:rFonts w:cs="Arial"/>
                <w:noProof/>
                <w:szCs w:val="20"/>
              </w:rPr>
            </w:pPr>
            <w:r>
              <w:rPr>
                <w:noProof/>
              </w:rPr>
              <w:t>Vuoden 2025 menojen vuotuisen uudelleentarkastelun loppuun saattaminen ottaen huomioon vuosina 2022, 2023 ja 2024 vuodeksi 2025 asetettu säästötavoite.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D525A" w14:textId="0EC28DFF" w:rsidR="00E42B18" w:rsidRDefault="009629C4">
            <w:pPr>
              <w:pStyle w:val="P68B1DB1-Normal11"/>
              <w:jc w:val="center"/>
              <w:rPr>
                <w:rFonts w:cs="Arial"/>
                <w:noProof/>
                <w:szCs w:val="20"/>
              </w:rPr>
            </w:pPr>
            <w:r>
              <w:rPr>
                <w:noProof/>
              </w:rPr>
              <w:t>Valtiovarainministeriön vuoden 2025 menojen uudelleentarkastelua koskevan raportin hyväksyminen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4D3092" w14:textId="77777777" w:rsidR="00E42B18" w:rsidRDefault="009629C4">
            <w:pPr>
              <w:pStyle w:val="P68B1DB1-Normal11"/>
              <w:jc w:val="center"/>
              <w:rPr>
                <w:rFonts w:cs="Arial"/>
                <w:noProof/>
                <w:szCs w:val="20"/>
              </w:rPr>
            </w:pPr>
            <w:r>
              <w:rPr>
                <w:noProof/>
              </w:rPr>
              <w:t>EI OLE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4D1DC4" w14:textId="77777777" w:rsidR="00E42B18" w:rsidRDefault="009629C4">
            <w:pPr>
              <w:pStyle w:val="P68B1DB1-Normal11"/>
              <w:jc w:val="center"/>
              <w:rPr>
                <w:rFonts w:cs="Arial"/>
                <w:noProof/>
                <w:szCs w:val="20"/>
              </w:rPr>
            </w:pPr>
            <w:r>
              <w:rPr>
                <w:noProof/>
              </w:rPr>
              <w:t>EI OLE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7BC20C" w14:textId="77777777" w:rsidR="00E42B18" w:rsidRDefault="009629C4">
            <w:pPr>
              <w:pStyle w:val="P68B1DB1-Normal11"/>
              <w:jc w:val="center"/>
              <w:rPr>
                <w:rFonts w:cs="Arial"/>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FF1AB" w14:textId="77777777" w:rsidR="00E42B18" w:rsidRDefault="009629C4">
            <w:pPr>
              <w:pStyle w:val="P68B1DB1-Normal11"/>
              <w:jc w:val="center"/>
              <w:rPr>
                <w:rFonts w:cs="Arial"/>
                <w:noProof/>
                <w:szCs w:val="20"/>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70683" w14:textId="77777777" w:rsidR="00E42B18" w:rsidRDefault="009629C4">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19DD1" w14:textId="77777777" w:rsidR="00E42B18" w:rsidRDefault="009629C4">
            <w:pPr>
              <w:pStyle w:val="P68B1DB1-Normal11"/>
              <w:spacing w:after="120"/>
              <w:rPr>
                <w:rFonts w:cs="Arial"/>
                <w:noProof/>
                <w:szCs w:val="20"/>
              </w:rPr>
            </w:pPr>
            <w:r>
              <w:rPr>
                <w:noProof/>
              </w:rPr>
              <w:t>Valtiovarainministeriön kertomuksessa, joka toimitetaan ministerineuvostolle vuoden 2016 asetusten 90 ja 93 sekä lain 163/2016 mukaisesti, säädetään seuraavaa:</w:t>
            </w:r>
          </w:p>
          <w:p w14:paraId="1A5026AE" w14:textId="58CE1E77" w:rsidR="00E42B18" w:rsidRDefault="009629C4">
            <w:pPr>
              <w:pStyle w:val="P68B1DB1-Normal11"/>
              <w:spacing w:after="120"/>
              <w:rPr>
                <w:rFonts w:cs="Arial"/>
                <w:noProof/>
                <w:szCs w:val="20"/>
              </w:rPr>
            </w:pPr>
            <w:r>
              <w:rPr>
                <w:noProof/>
              </w:rPr>
              <w:t>— varmentaa vuoden 2025 menojen uudelleentarkasteluprosessin päätelmät menojen uudelleentarkastelukehystä koskevan säännöksen osalta.</w:t>
            </w:r>
          </w:p>
          <w:p w14:paraId="0FE8AD31" w14:textId="77777777" w:rsidR="00E42B18" w:rsidRDefault="009629C4">
            <w:pPr>
              <w:pStyle w:val="P68B1DB1-Normal11"/>
              <w:spacing w:after="120"/>
              <w:rPr>
                <w:rFonts w:cs="Arial"/>
                <w:noProof/>
                <w:szCs w:val="20"/>
              </w:rPr>
            </w:pPr>
            <w:r>
              <w:rPr>
                <w:noProof/>
              </w:rPr>
              <w:t>— todistaa, että vuosina 2022, 2023 ja 2024 asetettu tavoite on saavutettu.</w:t>
            </w:r>
          </w:p>
        </w:tc>
      </w:tr>
      <w:tr w:rsidR="00E42B18" w14:paraId="30A2A56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146914" w14:textId="537111DF" w:rsidR="00E42B18" w:rsidRDefault="009629C4">
            <w:pPr>
              <w:pStyle w:val="P68B1DB1-Normal11"/>
              <w:jc w:val="center"/>
              <w:rPr>
                <w:noProof/>
              </w:rPr>
            </w:pPr>
            <w:r>
              <w:rPr>
                <w:noProof/>
              </w:rPr>
              <w:t>M1C1–144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101F39" w14:textId="33C770A7" w:rsidR="00E42B18" w:rsidRDefault="009629C4">
            <w:pPr>
              <w:pStyle w:val="P68B1DB1-Normal11"/>
              <w:spacing w:line="276" w:lineRule="auto"/>
              <w:jc w:val="center"/>
              <w:rPr>
                <w:noProof/>
              </w:rPr>
            </w:pPr>
            <w:r>
              <w:rPr>
                <w:noProof/>
              </w:rPr>
              <w:t xml:space="preserve">Investointi </w:t>
            </w:r>
            <w:bookmarkStart w:id="7" w:name="_Hlk197447732"/>
            <w:r>
              <w:rPr>
                <w:noProof/>
              </w:rPr>
              <w:t>1.4.2 – Kansalaisten osallisuus – digitaalisten julkisten palvelujen saavutettavuuden parantaminen</w:t>
            </w:r>
            <w:bookmarkEnd w:id="7"/>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8AAA52" w14:textId="05398BF1" w:rsidR="00E42B18" w:rsidRDefault="009629C4">
            <w:pPr>
              <w:pStyle w:val="P68B1DB1-Normal11"/>
              <w:jc w:val="center"/>
              <w:rPr>
                <w:noProof/>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B4D2BF" w14:textId="0BBA44CA" w:rsidR="00E42B18" w:rsidRDefault="009629C4">
            <w:pPr>
              <w:pStyle w:val="P68B1DB1-Normal12"/>
              <w:jc w:val="center"/>
              <w:rPr>
                <w:noProof/>
              </w:rPr>
            </w:pPr>
            <w:r>
              <w:rPr>
                <w:noProof/>
              </w:rPr>
              <w:t>Digitaalisten julkisten palvelujen/interventioiden parempi saavutettavuus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05C3C0" w14:textId="03EDC19E" w:rsidR="00E42B18" w:rsidRDefault="009629C4">
            <w:pPr>
              <w:pStyle w:val="P68B1DB1-Normal11"/>
              <w:jc w:val="center"/>
              <w:rPr>
                <w:noProof/>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378D6" w14:textId="532981C5" w:rsidR="00E42B18" w:rsidRDefault="009629C4">
            <w:pPr>
              <w:pStyle w:val="P68B1DB1-Normal11"/>
              <w:jc w:val="center"/>
              <w:rPr>
                <w:noProof/>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AF8CA5" w14:textId="7A644552" w:rsidR="00E42B18" w:rsidRDefault="009629C4">
            <w:pPr>
              <w:pStyle w:val="P68B1DB1-Normal11"/>
              <w:jc w:val="center"/>
              <w:rPr>
                <w:noProof/>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B38D26" w14:textId="73C4440F" w:rsidR="00E42B18" w:rsidRDefault="009629C4">
            <w:pPr>
              <w:pStyle w:val="P68B1DB1-Normal11"/>
              <w:jc w:val="center"/>
              <w:rPr>
                <w:noProof/>
              </w:rPr>
            </w:pPr>
            <w:r>
              <w:rPr>
                <w:noProof/>
              </w:rPr>
              <w:t>55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3AEAA2" w14:textId="4B73FB98" w:rsidR="00E42B18" w:rsidRDefault="009629C4">
            <w:pPr>
              <w:pStyle w:val="P68B1DB1-Normal12"/>
              <w:jc w:val="center"/>
              <w:rPr>
                <w:noProof/>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81E32" w14:textId="3B87D1B5" w:rsidR="00E42B18" w:rsidRDefault="009629C4">
            <w:pPr>
              <w:pStyle w:val="P68B1DB1-Normal12"/>
              <w:jc w:val="center"/>
              <w:rPr>
                <w:noProof/>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84DE46" w14:textId="77777777" w:rsidR="00E42B18" w:rsidRDefault="009629C4">
            <w:pPr>
              <w:pStyle w:val="P68B1DB1-Normal12"/>
              <w:rPr>
                <w:noProof/>
              </w:rPr>
            </w:pPr>
            <w:r>
              <w:rPr>
                <w:noProof/>
              </w:rPr>
              <w:t>Agenzia per l’Italia Digitale (AgID) tukee 55:tä paikallista julkishallintoa sopimalla seuraavista toimista, jotka 55 paikallishallinnon on toteutettava:</w:t>
            </w:r>
          </w:p>
          <w:p w14:paraId="5850153F" w14:textId="77777777" w:rsidR="00E42B18" w:rsidRDefault="009629C4">
            <w:pPr>
              <w:pStyle w:val="P68B1DB1-Normal12"/>
              <w:spacing w:after="120"/>
              <w:rPr>
                <w:noProof/>
              </w:rPr>
            </w:pPr>
            <w:r>
              <w:rPr>
                <w:noProof/>
              </w:rPr>
              <w:t>— Vähentää kunkin hallinnon toimittamassa arvioinnissa havaittujen virheiden määrää 50 prosentilla vähintään kahden digitaalisen palvelun osalta.</w:t>
            </w:r>
          </w:p>
          <w:p w14:paraId="33BB39BC" w14:textId="134BE85B" w:rsidR="00E42B18" w:rsidRDefault="009629C4">
            <w:pPr>
              <w:pStyle w:val="P68B1DB1-Normal12"/>
              <w:spacing w:after="120"/>
              <w:rPr>
                <w:noProof/>
              </w:rPr>
            </w:pPr>
            <w:r>
              <w:rPr>
                <w:noProof/>
              </w:rPr>
              <w:t>— Tarjottava avustavia teknologioita, jotka kattavat vähintään 50 prosenttia kunkin hallinnon toimittamassa arvioinnissa yksilöidyistä vammaisten työntekijöiden tarpeista.</w:t>
            </w:r>
          </w:p>
        </w:tc>
      </w:tr>
      <w:tr w:rsidR="00E42B18" w14:paraId="5E98411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1A4780" w14:textId="689C444A" w:rsidR="00E42B18" w:rsidRDefault="009629C4">
            <w:pPr>
              <w:pStyle w:val="P68B1DB1-Normal11"/>
              <w:jc w:val="center"/>
              <w:rPr>
                <w:noProof/>
              </w:rPr>
            </w:pPr>
            <w:r>
              <w:rPr>
                <w:noProof/>
              </w:rPr>
              <w:t>M1C1–147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5E159" w14:textId="4DF4C025" w:rsidR="00E42B18" w:rsidRDefault="009629C4">
            <w:pPr>
              <w:pStyle w:val="P68B1DB1-Normal11"/>
              <w:spacing w:line="276" w:lineRule="auto"/>
              <w:jc w:val="center"/>
              <w:rPr>
                <w:noProof/>
              </w:rPr>
            </w:pPr>
            <w:r>
              <w:rPr>
                <w:noProof/>
              </w:rPr>
              <w:t>Investointi 1.2 – Pilvipalvelut paikalliselle palestiinalaishallinnolle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130A19" w14:textId="417C2F8C" w:rsidR="00E42B18" w:rsidRDefault="009629C4">
            <w:pPr>
              <w:pStyle w:val="P68B1DB1-Normal11"/>
              <w:jc w:val="center"/>
              <w:rPr>
                <w:noProof/>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7710D0" w14:textId="5438DB1C" w:rsidR="00E42B18" w:rsidRDefault="009629C4">
            <w:pPr>
              <w:pStyle w:val="P68B1DB1-Normal11"/>
              <w:jc w:val="center"/>
              <w:rPr>
                <w:noProof/>
              </w:rPr>
            </w:pPr>
            <w:r>
              <w:rPr>
                <w:noProof/>
              </w:rPr>
              <w:t>Pilvipalvelut paikalliselle julkishallinnolle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CCA16" w14:textId="243AA56E" w:rsidR="00E42B18" w:rsidRDefault="009629C4">
            <w:pPr>
              <w:pStyle w:val="P68B1DB1-Normal11"/>
              <w:jc w:val="center"/>
              <w:rPr>
                <w:noProof/>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1959E" w14:textId="78E921C8" w:rsidR="00E42B18" w:rsidRDefault="009629C4">
            <w:pPr>
              <w:pStyle w:val="P68B1DB1-Normal11"/>
              <w:jc w:val="center"/>
              <w:rPr>
                <w:noProof/>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5B040" w14:textId="22C1F809" w:rsidR="00E42B18" w:rsidRDefault="009629C4">
            <w:pPr>
              <w:pStyle w:val="P68B1DB1-Normal11"/>
              <w:jc w:val="center"/>
              <w:rPr>
                <w:noProof/>
              </w:rPr>
            </w:pPr>
            <w:r>
              <w:rPr>
                <w:noProof/>
              </w:rPr>
              <w:t>4 083</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C79000" w14:textId="065526D9" w:rsidR="00E42B18" w:rsidRDefault="009629C4">
            <w:pPr>
              <w:pStyle w:val="P68B1DB1-Normal11"/>
              <w:jc w:val="center"/>
              <w:rPr>
                <w:noProof/>
              </w:rPr>
            </w:pPr>
            <w:r>
              <w:rPr>
                <w:noProof/>
              </w:rPr>
              <w:t>12 464</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EBF025" w14:textId="0BC00171" w:rsidR="00E42B18" w:rsidRDefault="009629C4">
            <w:pPr>
              <w:pStyle w:val="P68B1DB1-Normal11"/>
              <w:jc w:val="center"/>
              <w:rPr>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68925B" w14:textId="6003FEC7" w:rsidR="00E42B18" w:rsidRDefault="009629C4">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C3B8E0" w14:textId="1451F103" w:rsidR="00E42B18" w:rsidRDefault="009629C4">
            <w:pPr>
              <w:pStyle w:val="P68B1DB1-Normal21"/>
              <w:spacing w:after="120"/>
              <w:rPr>
                <w:rFonts w:ascii="Arial Narrow" w:hAnsi="Arial Narrow"/>
                <w:noProof/>
              </w:rPr>
            </w:pPr>
            <w:r>
              <w:rPr>
                <w:rFonts w:ascii="Arial Narrow" w:hint="eastAsia"/>
                <w:noProof/>
              </w:rPr>
              <w:t xml:space="preserve">12464 </w:t>
            </w:r>
            <w:r>
              <w:rPr>
                <w:rFonts w:ascii="Arial Narrow" w:hAnsi="Arial Narrow"/>
                <w:noProof/>
              </w:rPr>
              <w:t>paikallisen julkishallinnon siirtyminen sertifioituihin pilviympäristöihin on katsottava saavutetuksi, kun kuhunkin siirtymäsuunnitelmaan sisältyvien järjestelmien, tietoaineistojen ja sovellusten siirtymisen testaaminen onnistuu.</w:t>
            </w:r>
          </w:p>
        </w:tc>
      </w:tr>
      <w:tr w:rsidR="00E42B18" w14:paraId="36EEEEF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89DE7" w14:textId="644CE2FE" w:rsidR="00E42B18" w:rsidRDefault="009629C4">
            <w:pPr>
              <w:pStyle w:val="P68B1DB1-Normal11"/>
              <w:jc w:val="center"/>
              <w:rPr>
                <w:noProof/>
              </w:rPr>
            </w:pPr>
            <w:r>
              <w:rPr>
                <w:noProof/>
              </w:rPr>
              <w:t>M1C1–148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0E9B95" w14:textId="74AD1AD0" w:rsidR="00E42B18" w:rsidRDefault="009629C4">
            <w:pPr>
              <w:pStyle w:val="P68B1DB1-Normal11"/>
              <w:spacing w:line="276" w:lineRule="auto"/>
              <w:jc w:val="center"/>
              <w:rPr>
                <w:noProof/>
              </w:rPr>
            </w:pPr>
            <w:r>
              <w:rPr>
                <w:noProof/>
              </w:rPr>
              <w:t>Investointi 1.4.1 – Kansalaiskokemus – Digitaalisten julkisten palvelujen laadun ja käytettävyyden parantaminen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7375EC" w14:textId="2FEA9706" w:rsidR="00E42B18" w:rsidRDefault="009629C4">
            <w:pPr>
              <w:pStyle w:val="P68B1DB1-Normal11"/>
              <w:jc w:val="center"/>
              <w:rPr>
                <w:noProof/>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FD3EC" w14:textId="55B08597" w:rsidR="00E42B18" w:rsidRDefault="009629C4">
            <w:pPr>
              <w:pStyle w:val="P68B1DB1-Normal12"/>
              <w:jc w:val="center"/>
              <w:rPr>
                <w:noProof/>
              </w:rPr>
            </w:pPr>
            <w:r>
              <w:rPr>
                <w:noProof/>
              </w:rPr>
              <w:t>Digitaalisten julkisten palvelujen laadun ja käytettävyyden parantaminen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1E1E0" w14:textId="7001C579" w:rsidR="00E42B18" w:rsidRDefault="009629C4">
            <w:pPr>
              <w:pStyle w:val="P68B1DB1-Normal11"/>
              <w:jc w:val="center"/>
              <w:rPr>
                <w:noProof/>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2F962" w14:textId="0F01A813" w:rsidR="00E42B18" w:rsidRDefault="009629C4">
            <w:pPr>
              <w:pStyle w:val="P68B1DB1-Normal11"/>
              <w:jc w:val="center"/>
              <w:rPr>
                <w:noProof/>
              </w:rPr>
            </w:pPr>
            <w:r>
              <w:rPr>
                <w:noProof/>
              </w:rPr>
              <w:t>Prosenttiosuus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D6087A" w14:textId="4D9990C8" w:rsidR="00E42B18" w:rsidRDefault="009629C4">
            <w:pPr>
              <w:pStyle w:val="P68B1DB1-Normal11"/>
              <w:jc w:val="center"/>
              <w:rPr>
                <w:noProof/>
              </w:rPr>
            </w:pPr>
            <w:r>
              <w:rPr>
                <w:noProof/>
              </w:rPr>
              <w:t>40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103564" w14:textId="1754251F" w:rsidR="00E42B18" w:rsidRDefault="009629C4">
            <w:pPr>
              <w:pStyle w:val="P68B1DB1-Normal11"/>
              <w:jc w:val="center"/>
              <w:rPr>
                <w:noProof/>
              </w:rPr>
            </w:pPr>
            <w:r>
              <w:rPr>
                <w:noProof/>
              </w:rPr>
              <w:t>80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D2DF3" w14:textId="1220CF49" w:rsidR="00E42B18" w:rsidRDefault="009629C4">
            <w:pPr>
              <w:pStyle w:val="P68B1DB1-Normal11"/>
              <w:jc w:val="center"/>
              <w:rPr>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38770F" w14:textId="0FBCDFC4" w:rsidR="00E42B18" w:rsidRDefault="009629C4">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1172D" w14:textId="00B8B315" w:rsidR="00E42B18" w:rsidRDefault="009629C4">
            <w:pPr>
              <w:pStyle w:val="P68B1DB1-Normal12"/>
              <w:spacing w:after="120"/>
              <w:rPr>
                <w:noProof/>
              </w:rPr>
            </w:pPr>
            <w:r>
              <w:rPr>
                <w:noProof/>
              </w:rPr>
              <w:t>Hallintojen (kunnat, ensimmäisen ja toisen asteen</w:t>
            </w:r>
            <w:r>
              <w:rPr>
                <w:noProof/>
                <w:vertAlign w:val="superscript"/>
              </w:rPr>
              <w:t>oppilaitokset</w:t>
            </w:r>
            <w:r>
              <w:rPr>
                <w:noProof/>
              </w:rPr>
              <w:t>) on noudatettava verkkosivustojen ja digitaalisten palvelujen yhteistä mallia ja suunnittelujärjestelmää, mikä yksinkertaistaa käyttäjien vuorovaikutusta ja helpottaa ylläpitoa.</w:t>
            </w:r>
          </w:p>
          <w:p w14:paraId="623C1B44" w14:textId="6543034B" w:rsidR="00E42B18" w:rsidRDefault="009629C4">
            <w:pPr>
              <w:pStyle w:val="P68B1DB1-Normal12"/>
              <w:spacing w:after="120"/>
              <w:rPr>
                <w:noProof/>
              </w:rPr>
            </w:pPr>
            <w:r>
              <w:rPr>
                <w:noProof/>
              </w:rPr>
              <w:t>Tavoitteen saavuttamiseen osallistuvien kuntien on taattava, että yhteistä mallia ja suunnittelujärjestelmää noudatetaan keskimäärin vähintään 3,5 palvelun osalta.</w:t>
            </w:r>
          </w:p>
        </w:tc>
      </w:tr>
      <w:tr w:rsidR="00E42B18" w14:paraId="67A1C71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7F88D" w14:textId="4E798EC4" w:rsidR="00E42B18" w:rsidRDefault="009629C4">
            <w:pPr>
              <w:pStyle w:val="P68B1DB1-Normal12"/>
              <w:jc w:val="center"/>
              <w:rPr>
                <w:noProof/>
              </w:rPr>
            </w:pPr>
            <w:r>
              <w:rPr>
                <w:noProof/>
              </w:rPr>
              <w:t>M1C1–149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57203F" w14:textId="2866DBA2" w:rsidR="00E42B18" w:rsidRDefault="009629C4">
            <w:pPr>
              <w:pStyle w:val="P68B1DB1-Normal12"/>
              <w:spacing w:line="276" w:lineRule="auto"/>
              <w:jc w:val="center"/>
              <w:rPr>
                <w:noProof/>
              </w:rPr>
            </w:pPr>
            <w:r>
              <w:rPr>
                <w:noProof/>
              </w:rPr>
              <w:t>Investointi 1.4.3 – PagoPA-alustapalvelujen ja ”IO”-sovelluksen käyttöönotto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D07CD" w14:textId="0D0494F2" w:rsidR="00E42B18" w:rsidRDefault="009629C4">
            <w:pPr>
              <w:pStyle w:val="P68B1DB1-Normal11"/>
              <w:jc w:val="center"/>
              <w:rPr>
                <w:noProof/>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10123" w14:textId="03D2B925" w:rsidR="00E42B18" w:rsidRDefault="009629C4">
            <w:pPr>
              <w:pStyle w:val="P68B1DB1-Normal12"/>
              <w:jc w:val="center"/>
              <w:rPr>
                <w:noProof/>
              </w:rPr>
            </w:pPr>
            <w:r>
              <w:rPr>
                <w:noProof/>
              </w:rPr>
              <w:t>PagoPA-alustapalvelujen T2 käyttöönotto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B5885D" w14:textId="461580E1" w:rsidR="00E42B18" w:rsidRDefault="009629C4">
            <w:pPr>
              <w:pStyle w:val="P68B1DB1-Normal11"/>
              <w:jc w:val="center"/>
              <w:rPr>
                <w:noProof/>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3D19F3" w14:textId="41FE19AB" w:rsidR="00E42B18" w:rsidRDefault="009629C4">
            <w:pPr>
              <w:pStyle w:val="P68B1DB1-Normal11"/>
              <w:jc w:val="center"/>
              <w:rPr>
                <w:noProof/>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941AB" w14:textId="4C2B9E78" w:rsidR="00E42B18" w:rsidRDefault="009629C4">
            <w:pPr>
              <w:pStyle w:val="P68B1DB1-Normal12"/>
              <w:jc w:val="center"/>
              <w:rPr>
                <w:noProof/>
              </w:rPr>
            </w:pPr>
            <w:r>
              <w:rPr>
                <w:noProof/>
              </w:rPr>
              <w:t>11 450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8EE0C" w14:textId="406B4A45" w:rsidR="00E42B18" w:rsidRDefault="009629C4">
            <w:pPr>
              <w:pStyle w:val="P68B1DB1-Normal11"/>
              <w:jc w:val="center"/>
              <w:rPr>
                <w:noProof/>
              </w:rPr>
            </w:pPr>
            <w:r>
              <w:rPr>
                <w:noProof/>
              </w:rPr>
              <w:t>14 100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D133A8" w14:textId="6F0D0963" w:rsidR="00E42B18" w:rsidRDefault="009629C4">
            <w:pPr>
              <w:pStyle w:val="P68B1DB1-Normal11"/>
              <w:jc w:val="center"/>
              <w:rPr>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759B8" w14:textId="622E1060" w:rsidR="00E42B18" w:rsidRDefault="009629C4">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F9CFB3" w14:textId="2AB21EEC" w:rsidR="00E42B18" w:rsidRDefault="009629C4">
            <w:pPr>
              <w:pStyle w:val="P68B1DB1-Normal12"/>
              <w:spacing w:after="120"/>
              <w:rPr>
                <w:noProof/>
              </w:rPr>
            </w:pPr>
            <w:r>
              <w:rPr>
                <w:noProof/>
              </w:rPr>
              <w:t>PagoPA-alustalla on oltava vähintään 14100 julkishallintoa, jotka tarjoavat useita palveluja: kunnille keskimäärin 35 palvelua, alueille 15 palvelua, terveysviranomaisille 15 palvelua ja kouluille ja yliopistoille 8 palvelua.</w:t>
            </w:r>
          </w:p>
        </w:tc>
      </w:tr>
      <w:tr w:rsidR="00E42B18" w14:paraId="43F7B6B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3D589B" w14:textId="0A92F041" w:rsidR="00E42B18" w:rsidRDefault="009629C4">
            <w:pPr>
              <w:pStyle w:val="P68B1DB1-Normal11"/>
              <w:jc w:val="center"/>
              <w:rPr>
                <w:noProof/>
              </w:rPr>
            </w:pPr>
            <w:r>
              <w:rPr>
                <w:noProof/>
              </w:rPr>
              <w:t>M1C1–150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CEB41" w14:textId="4217A822" w:rsidR="00E42B18" w:rsidRDefault="009629C4">
            <w:pPr>
              <w:pStyle w:val="P68B1DB1-Normal12"/>
              <w:spacing w:line="276" w:lineRule="auto"/>
              <w:jc w:val="center"/>
              <w:rPr>
                <w:noProof/>
              </w:rPr>
            </w:pPr>
            <w:r>
              <w:rPr>
                <w:noProof/>
              </w:rPr>
              <w:t>Investointi 1.4.3 – PagoPA-alustapalvelujen ja ”IO”-sovelluksen käyttöönotto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59F840" w14:textId="2099F4DF" w:rsidR="00E42B18" w:rsidRDefault="009629C4">
            <w:pPr>
              <w:pStyle w:val="P68B1DB1-Normal11"/>
              <w:jc w:val="center"/>
              <w:rPr>
                <w:noProof/>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58EB5" w14:textId="4D53E4A7" w:rsidR="00E42B18" w:rsidRDefault="009629C4">
            <w:pPr>
              <w:pStyle w:val="P68B1DB1-Normal12"/>
              <w:jc w:val="center"/>
              <w:rPr>
                <w:noProof/>
              </w:rPr>
            </w:pPr>
            <w:r>
              <w:rPr>
                <w:noProof/>
              </w:rPr>
              <w:t>”IO”-sovelluksen T2 käyttöönotto</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909F55" w14:textId="2677CC1C" w:rsidR="00E42B18" w:rsidRDefault="009629C4">
            <w:pPr>
              <w:pStyle w:val="P68B1DB1-Normal11"/>
              <w:jc w:val="center"/>
              <w:rPr>
                <w:noProof/>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D30BC" w14:textId="5CDE2829" w:rsidR="00E42B18" w:rsidRDefault="009629C4">
            <w:pPr>
              <w:pStyle w:val="P68B1DB1-Normal11"/>
              <w:jc w:val="center"/>
              <w:rPr>
                <w:noProof/>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836041" w14:textId="51B78C81" w:rsidR="00E42B18" w:rsidRDefault="009629C4">
            <w:pPr>
              <w:pStyle w:val="P68B1DB1-Normal11"/>
              <w:jc w:val="center"/>
              <w:rPr>
                <w:noProof/>
              </w:rPr>
            </w:pPr>
            <w:r>
              <w:rPr>
                <w:noProof/>
              </w:rPr>
              <w:t>7 000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09427" w14:textId="09960204" w:rsidR="00E42B18" w:rsidRDefault="009629C4">
            <w:pPr>
              <w:pStyle w:val="P68B1DB1-Normal11"/>
              <w:jc w:val="center"/>
              <w:rPr>
                <w:noProof/>
              </w:rPr>
            </w:pPr>
            <w:r>
              <w:rPr>
                <w:noProof/>
              </w:rPr>
              <w:t>14 100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105D47" w14:textId="5AD7FC10" w:rsidR="00E42B18" w:rsidRDefault="009629C4">
            <w:pPr>
              <w:pStyle w:val="P68B1DB1-Normal11"/>
              <w:jc w:val="center"/>
              <w:rPr>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76713" w14:textId="2AEDDCE3" w:rsidR="00E42B18" w:rsidRDefault="009629C4">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9A2E86" w14:textId="09609E24" w:rsidR="00E42B18" w:rsidRDefault="009629C4">
            <w:pPr>
              <w:pStyle w:val="P68B1DB1-Normal12"/>
              <w:spacing w:after="120"/>
              <w:rPr>
                <w:noProof/>
              </w:rPr>
            </w:pPr>
            <w:r>
              <w:rPr>
                <w:noProof/>
              </w:rPr>
              <w:t>”IO”-sovelluksessa on oltava mukana vähintään 14100 julkishallintoa, jotka tarjoavat useita palveluja: keskimäärin 35 palvelua kunnille, 15 alueille, 15 terveydenhuoltoviranomaisille ja 8 kouluille ja yliopistoille.</w:t>
            </w:r>
          </w:p>
        </w:tc>
      </w:tr>
      <w:tr w:rsidR="00E42B18" w14:paraId="41B6562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B8D272" w14:textId="03A05AF9" w:rsidR="00E42B18" w:rsidRDefault="009629C4">
            <w:pPr>
              <w:pStyle w:val="P68B1DB1-Normal11"/>
              <w:jc w:val="center"/>
              <w:rPr>
                <w:noProof/>
              </w:rPr>
            </w:pPr>
            <w:r>
              <w:rPr>
                <w:noProof/>
              </w:rPr>
              <w:t>M1C1–152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6E3009" w14:textId="39CEA7FF" w:rsidR="00E42B18" w:rsidRDefault="009629C4">
            <w:pPr>
              <w:pStyle w:val="P68B1DB1-Normal11"/>
              <w:spacing w:line="276" w:lineRule="auto"/>
              <w:jc w:val="center"/>
              <w:rPr>
                <w:noProof/>
                <w:szCs w:val="20"/>
              </w:rPr>
            </w:pPr>
            <w:r>
              <w:rPr>
                <w:noProof/>
              </w:rPr>
              <w:t>Investointi 1.6.1 – Sisäministeriön digitalisointi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35B432" w14:textId="480FBB8D" w:rsidR="00E42B18" w:rsidRDefault="009629C4">
            <w:pPr>
              <w:pStyle w:val="P68B1DB1-Normal11"/>
              <w:jc w:val="center"/>
              <w:rPr>
                <w:noProof/>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4E9D5B" w14:textId="1E9AE8DD" w:rsidR="00E42B18" w:rsidRDefault="009629C4">
            <w:pPr>
              <w:pStyle w:val="P68B1DB1-Normal12"/>
              <w:jc w:val="center"/>
              <w:rPr>
                <w:noProof/>
              </w:rPr>
            </w:pPr>
            <w:r>
              <w:rPr>
                <w:noProof/>
              </w:rPr>
              <w:t>Sisäministeriö – uudelleenmuotoillut ja digitalisoidut prosessit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F798EF" w14:textId="37E43B8E" w:rsidR="00E42B18" w:rsidRDefault="009629C4">
            <w:pPr>
              <w:pStyle w:val="P68B1DB1-Normal11"/>
              <w:jc w:val="center"/>
              <w:rPr>
                <w:noProof/>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2B961" w14:textId="49CD852F" w:rsidR="00E42B18" w:rsidRDefault="009629C4">
            <w:pPr>
              <w:pStyle w:val="P68B1DB1-Normal11"/>
              <w:jc w:val="center"/>
              <w:rPr>
                <w:noProof/>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7E8CB0" w14:textId="6C7B4AAA" w:rsidR="00E42B18" w:rsidRDefault="009629C4">
            <w:pPr>
              <w:pStyle w:val="P68B1DB1-Normal11"/>
              <w:jc w:val="center"/>
              <w:rPr>
                <w:noProof/>
              </w:rPr>
            </w:pPr>
            <w:r>
              <w:rPr>
                <w:noProof/>
              </w:rPr>
              <w:t>7</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E81C98" w14:textId="50EC5FDB" w:rsidR="00E42B18" w:rsidRDefault="009629C4">
            <w:pPr>
              <w:pStyle w:val="P68B1DB1-Normal11"/>
              <w:jc w:val="center"/>
              <w:rPr>
                <w:noProof/>
              </w:rPr>
            </w:pPr>
            <w:r>
              <w:rPr>
                <w:noProof/>
              </w:rPr>
              <w:t>45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9DD958" w14:textId="17263764" w:rsidR="00E42B18" w:rsidRDefault="009629C4">
            <w:pPr>
              <w:pStyle w:val="P68B1DB1-Normal11"/>
              <w:jc w:val="center"/>
              <w:rPr>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A7F4EA" w14:textId="3027C135" w:rsidR="00E42B18" w:rsidRDefault="009629C4">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B76B7" w14:textId="002BEBD8" w:rsidR="00E42B18" w:rsidRDefault="009629C4">
            <w:pPr>
              <w:pStyle w:val="P68B1DB1-Normal12"/>
              <w:spacing w:after="120"/>
              <w:rPr>
                <w:noProof/>
              </w:rPr>
            </w:pPr>
            <w:r>
              <w:rPr>
                <w:noProof/>
              </w:rPr>
              <w:t>Sisäiset prosessit suunnitellaan uudelleen ja digitalisoidaan.</w:t>
            </w:r>
          </w:p>
        </w:tc>
      </w:tr>
      <w:tr w:rsidR="00E42B18" w14:paraId="1919F51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2D1E3" w14:textId="1252A1EE" w:rsidR="00E42B18" w:rsidRDefault="009629C4">
            <w:pPr>
              <w:pStyle w:val="P68B1DB1-Normal11"/>
              <w:jc w:val="center"/>
              <w:rPr>
                <w:noProof/>
              </w:rPr>
            </w:pPr>
            <w:r>
              <w:rPr>
                <w:noProof/>
              </w:rPr>
              <w:t>M1C1–153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AAB952" w14:textId="071ADF49" w:rsidR="00E42B18" w:rsidRDefault="009629C4">
            <w:pPr>
              <w:pStyle w:val="P68B1DB1-Normal11"/>
              <w:spacing w:line="276" w:lineRule="auto"/>
              <w:jc w:val="center"/>
              <w:rPr>
                <w:noProof/>
              </w:rPr>
            </w:pPr>
            <w:r>
              <w:rPr>
                <w:noProof/>
              </w:rPr>
              <w:t>Investointi 1.6.2 – Oikeusministeriön digitalisointi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94600C" w14:textId="2CF4B35C" w:rsidR="00E42B18" w:rsidRDefault="009629C4">
            <w:pPr>
              <w:pStyle w:val="P68B1DB1-Normal11"/>
              <w:jc w:val="center"/>
              <w:rPr>
                <w:noProof/>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57D5C" w14:textId="4291A0F8" w:rsidR="00E42B18" w:rsidRDefault="009629C4">
            <w:pPr>
              <w:pStyle w:val="P68B1DB1-Normal11"/>
              <w:jc w:val="center"/>
              <w:rPr>
                <w:noProof/>
                <w:szCs w:val="20"/>
              </w:rPr>
            </w:pPr>
            <w:r>
              <w:rPr>
                <w:noProof/>
              </w:rPr>
              <w:t>Digitalisoidut T2-tiedostot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6F376" w14:textId="67D92E0C" w:rsidR="00E42B18" w:rsidRDefault="009629C4">
            <w:pPr>
              <w:pStyle w:val="P68B1DB1-Normal11"/>
              <w:jc w:val="center"/>
              <w:rPr>
                <w:noProof/>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6C2D1" w14:textId="11C8680A" w:rsidR="00E42B18" w:rsidRDefault="009629C4">
            <w:pPr>
              <w:pStyle w:val="P68B1DB1-Normal11"/>
              <w:jc w:val="center"/>
              <w:rPr>
                <w:noProof/>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ECBAAC" w14:textId="504C0DC4" w:rsidR="00E42B18" w:rsidRDefault="009629C4">
            <w:pPr>
              <w:pStyle w:val="P68B1DB1-Normal11"/>
              <w:jc w:val="center"/>
              <w:rPr>
                <w:noProof/>
              </w:rPr>
            </w:pPr>
            <w:r>
              <w:rPr>
                <w:noProof/>
              </w:rPr>
              <w:t>3 500 000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21DF1" w14:textId="10B8F2A5" w:rsidR="00E42B18" w:rsidRDefault="009629C4">
            <w:pPr>
              <w:pStyle w:val="P68B1DB1-Normal11"/>
              <w:jc w:val="center"/>
              <w:rPr>
                <w:noProof/>
              </w:rPr>
            </w:pPr>
            <w:r>
              <w:rPr>
                <w:noProof/>
              </w:rPr>
              <w:t>7 750 000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038F00" w14:textId="224160A3" w:rsidR="00E42B18" w:rsidRDefault="009629C4">
            <w:pPr>
              <w:pStyle w:val="P68B1DB1-Normal11"/>
              <w:jc w:val="center"/>
              <w:rPr>
                <w:noProof/>
              </w:rPr>
            </w:pPr>
            <w:r>
              <w:rPr>
                <w:noProof/>
              </w:rPr>
              <w:t>Q4</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91D4C9" w14:textId="412505A3" w:rsidR="00E42B18" w:rsidRDefault="009629C4">
            <w:pPr>
              <w:pStyle w:val="P68B1DB1-Normal11"/>
              <w:jc w:val="center"/>
              <w:rPr>
                <w:noProof/>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CD812" w14:textId="44560F70" w:rsidR="00E42B18" w:rsidRDefault="009629C4">
            <w:pPr>
              <w:pStyle w:val="P68B1DB1-Normal22"/>
              <w:spacing w:after="120"/>
              <w:rPr>
                <w:rFonts w:hAnsi="Arial Narrow" w:hint="default"/>
                <w:noProof/>
              </w:rPr>
            </w:pPr>
            <w:r>
              <w:rPr>
                <w:noProof/>
              </w:rPr>
              <w:t>7750000 oikeudenk</w:t>
            </w:r>
            <w:r>
              <w:rPr>
                <w:noProof/>
              </w:rPr>
              <w:t>ä</w:t>
            </w:r>
            <w:r>
              <w:rPr>
                <w:noProof/>
              </w:rPr>
              <w:t>yntiasian digitalisointi viimeisten 20 vuoden ajalta (1.1.2006</w:t>
            </w:r>
            <w:r>
              <w:rPr>
                <w:noProof/>
              </w:rPr>
              <w:t>–</w:t>
            </w:r>
            <w:r>
              <w:rPr>
                <w:noProof/>
              </w:rPr>
              <w:t>30.6.2026), jotka liittyv</w:t>
            </w:r>
            <w:r>
              <w:rPr>
                <w:noProof/>
              </w:rPr>
              <w:t>ä</w:t>
            </w:r>
            <w:r>
              <w:rPr>
                <w:noProof/>
              </w:rPr>
              <w:t>t tuomioistuinten p</w:t>
            </w:r>
            <w:r>
              <w:rPr>
                <w:noProof/>
              </w:rPr>
              <w:t>ää</w:t>
            </w:r>
            <w:r>
              <w:rPr>
                <w:noProof/>
              </w:rPr>
              <w:t>t</w:t>
            </w:r>
            <w:r>
              <w:rPr>
                <w:noProof/>
              </w:rPr>
              <w:t>ö</w:t>
            </w:r>
            <w:r>
              <w:rPr>
                <w:noProof/>
              </w:rPr>
              <w:t>kseen saattamiin tai meneill</w:t>
            </w:r>
            <w:r>
              <w:rPr>
                <w:noProof/>
              </w:rPr>
              <w:t>ää</w:t>
            </w:r>
            <w:r>
              <w:rPr>
                <w:noProof/>
              </w:rPr>
              <w:t>n oleviin oikeudenk</w:t>
            </w:r>
            <w:r>
              <w:rPr>
                <w:noProof/>
              </w:rPr>
              <w:t>ä</w:t>
            </w:r>
            <w:r>
              <w:rPr>
                <w:noProof/>
              </w:rPr>
              <w:t>ynteihin.</w:t>
            </w:r>
          </w:p>
        </w:tc>
      </w:tr>
      <w:tr w:rsidR="00E42B18" w14:paraId="69BB188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8D6F8E" w14:textId="349B11A2" w:rsidR="00E42B18" w:rsidRDefault="009629C4">
            <w:pPr>
              <w:pStyle w:val="P68B1DB1-Normal11"/>
              <w:jc w:val="center"/>
              <w:rPr>
                <w:noProof/>
              </w:rPr>
            </w:pPr>
            <w:r>
              <w:rPr>
                <w:noProof/>
              </w:rPr>
              <w:t>M1C1–154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FD62AC" w14:textId="3C003471" w:rsidR="00E42B18" w:rsidRDefault="009629C4">
            <w:pPr>
              <w:pStyle w:val="P68B1DB1-Normal11"/>
              <w:spacing w:line="276" w:lineRule="auto"/>
              <w:jc w:val="center"/>
              <w:rPr>
                <w:noProof/>
              </w:rPr>
            </w:pPr>
            <w:r>
              <w:rPr>
                <w:noProof/>
              </w:rPr>
              <w:t>Investointi 1.6.2 – Oikeusministeriön digitalisointi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BF09EB" w14:textId="6EE89C8E" w:rsidR="00E42B18" w:rsidRDefault="009629C4">
            <w:pPr>
              <w:pStyle w:val="P68B1DB1-Normal11"/>
              <w:jc w:val="center"/>
              <w:rPr>
                <w:noProof/>
              </w:rPr>
            </w:pPr>
            <w:r>
              <w:rPr>
                <w:noProof/>
              </w:rPr>
              <w:t>Kohde</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EC675F" w14:textId="6CCAD4B1" w:rsidR="00E42B18" w:rsidRDefault="009629C4">
            <w:pPr>
              <w:pStyle w:val="P68B1DB1-Normal11"/>
              <w:jc w:val="center"/>
              <w:rPr>
                <w:noProof/>
                <w:szCs w:val="20"/>
              </w:rPr>
            </w:pPr>
            <w:r>
              <w:rPr>
                <w:noProof/>
              </w:rPr>
              <w:t>Oikeusalan tietojärven tietojärjestelmät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669AD" w14:textId="3C4E73BA" w:rsidR="00E42B18" w:rsidRDefault="009629C4">
            <w:pPr>
              <w:pStyle w:val="P68B1DB1-Normal11"/>
              <w:jc w:val="center"/>
              <w:rPr>
                <w:noProof/>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50D43C" w14:textId="28BA6FED" w:rsidR="00E42B18" w:rsidRDefault="009629C4">
            <w:pPr>
              <w:pStyle w:val="P68B1DB1-Normal11"/>
              <w:jc w:val="center"/>
              <w:rPr>
                <w:noProof/>
              </w:rPr>
            </w:pPr>
            <w:r>
              <w:rPr>
                <w:noProof/>
              </w:rPr>
              <w:t>Numero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AD918" w14:textId="1364AA45" w:rsidR="00E42B18" w:rsidRDefault="009629C4">
            <w:pPr>
              <w:pStyle w:val="P68B1DB1-Normal11"/>
              <w:jc w:val="center"/>
              <w:rPr>
                <w:noProof/>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971249" w14:textId="17E4E45F" w:rsidR="00E42B18" w:rsidRDefault="009629C4">
            <w:pPr>
              <w:pStyle w:val="P68B1DB1-Normal11"/>
              <w:jc w:val="center"/>
              <w:rPr>
                <w:noProof/>
              </w:rPr>
            </w:pPr>
            <w:r>
              <w:rPr>
                <w:noProof/>
              </w:rPr>
              <w:t>6</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A54693" w14:textId="4319D90B" w:rsidR="00E42B18" w:rsidRDefault="009629C4">
            <w:pPr>
              <w:pStyle w:val="P68B1DB1-Normal11"/>
              <w:jc w:val="center"/>
              <w:rPr>
                <w:noProof/>
              </w:rPr>
            </w:pPr>
            <w:r>
              <w:rPr>
                <w:noProof/>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14DE5" w14:textId="51A84E3E" w:rsidR="00E42B18" w:rsidRDefault="009629C4">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CE72CC" w14:textId="4C91453C" w:rsidR="00E42B18" w:rsidRDefault="009629C4">
            <w:pPr>
              <w:pStyle w:val="P68B1DB1-Normal12"/>
              <w:spacing w:after="120"/>
              <w:rPr>
                <w:noProof/>
              </w:rPr>
            </w:pPr>
            <w:r>
              <w:rPr>
                <w:noProof/>
              </w:rPr>
              <w:t>Kuuden uuden tietojärven tietojärjestelmän käyttöönotto.</w:t>
            </w:r>
          </w:p>
          <w:p w14:paraId="4B16C085" w14:textId="77777777" w:rsidR="00E42B18" w:rsidRDefault="009629C4">
            <w:pPr>
              <w:pStyle w:val="P68B1DB1-ListParagraph15"/>
              <w:numPr>
                <w:ilvl w:val="0"/>
                <w:numId w:val="55"/>
              </w:numPr>
              <w:spacing w:after="0" w:line="240" w:lineRule="auto"/>
              <w:ind w:left="357" w:hanging="357"/>
              <w:contextualSpacing w:val="0"/>
              <w:rPr>
                <w:noProof/>
                <w:szCs w:val="20"/>
              </w:rPr>
            </w:pPr>
            <w:r>
              <w:rPr>
                <w:noProof/>
              </w:rPr>
              <w:t>Siviili- ja rikosoikeudellisten tuomioiden anonymisointijärjestelmä</w:t>
            </w:r>
          </w:p>
          <w:p w14:paraId="42E481F0" w14:textId="77777777" w:rsidR="00E42B18" w:rsidRDefault="009629C4">
            <w:pPr>
              <w:pStyle w:val="P68B1DB1-ListParagraph15"/>
              <w:numPr>
                <w:ilvl w:val="0"/>
                <w:numId w:val="55"/>
              </w:numPr>
              <w:spacing w:after="0" w:line="240" w:lineRule="auto"/>
              <w:ind w:left="357" w:hanging="357"/>
              <w:contextualSpacing w:val="0"/>
              <w:rPr>
                <w:noProof/>
                <w:szCs w:val="20"/>
              </w:rPr>
            </w:pPr>
            <w:r>
              <w:rPr>
                <w:noProof/>
              </w:rPr>
              <w:t>Yhdennetty valvontajärjestelmä</w:t>
            </w:r>
          </w:p>
          <w:p w14:paraId="5359A2F0" w14:textId="77777777" w:rsidR="00E42B18" w:rsidRDefault="009629C4">
            <w:pPr>
              <w:pStyle w:val="P68B1DB1-ListParagraph15"/>
              <w:numPr>
                <w:ilvl w:val="0"/>
                <w:numId w:val="55"/>
              </w:numPr>
              <w:spacing w:after="0" w:line="240" w:lineRule="auto"/>
              <w:ind w:left="357" w:hanging="357"/>
              <w:contextualSpacing w:val="0"/>
              <w:rPr>
                <w:noProof/>
                <w:szCs w:val="20"/>
              </w:rPr>
            </w:pPr>
            <w:r>
              <w:rPr>
                <w:noProof/>
              </w:rPr>
              <w:t>Siviilioikeudenkäyntien hallinnointi- ja analysointijärjestelmä</w:t>
            </w:r>
          </w:p>
          <w:p w14:paraId="30CCA75B" w14:textId="77777777" w:rsidR="00E42B18" w:rsidRDefault="009629C4">
            <w:pPr>
              <w:pStyle w:val="P68B1DB1-ListParagraph15"/>
              <w:numPr>
                <w:ilvl w:val="0"/>
                <w:numId w:val="55"/>
              </w:numPr>
              <w:spacing w:after="0" w:line="240" w:lineRule="auto"/>
              <w:ind w:left="357" w:hanging="357"/>
              <w:contextualSpacing w:val="0"/>
              <w:rPr>
                <w:noProof/>
                <w:szCs w:val="20"/>
              </w:rPr>
            </w:pPr>
            <w:r>
              <w:rPr>
                <w:noProof/>
              </w:rPr>
              <w:t>Rikosoikeudenkäyntien hallinnointi- ja analysointijärjestelmä</w:t>
            </w:r>
          </w:p>
          <w:p w14:paraId="363D238D" w14:textId="77777777" w:rsidR="00E42B18" w:rsidRDefault="009629C4">
            <w:pPr>
              <w:pStyle w:val="P68B1DB1-ListParagraph15"/>
              <w:numPr>
                <w:ilvl w:val="0"/>
                <w:numId w:val="55"/>
              </w:numPr>
              <w:spacing w:after="0" w:line="240" w:lineRule="auto"/>
              <w:ind w:left="357" w:hanging="357"/>
              <w:contextualSpacing w:val="0"/>
              <w:rPr>
                <w:noProof/>
                <w:szCs w:val="20"/>
              </w:rPr>
            </w:pPr>
            <w:r>
              <w:rPr>
                <w:noProof/>
              </w:rPr>
              <w:t>Siviili- ja rikosoikeudenkäyntejä koskeva kehittynyt tilastojärjestelmä</w:t>
            </w:r>
          </w:p>
          <w:p w14:paraId="6289BBBA" w14:textId="77777777" w:rsidR="00E42B18" w:rsidRDefault="009629C4">
            <w:pPr>
              <w:pStyle w:val="P68B1DB1-ListParagraph23"/>
              <w:numPr>
                <w:ilvl w:val="0"/>
                <w:numId w:val="55"/>
              </w:numPr>
              <w:spacing w:after="0" w:line="240" w:lineRule="auto"/>
              <w:ind w:left="357" w:hanging="357"/>
              <w:rPr>
                <w:noProof/>
              </w:rPr>
            </w:pPr>
            <w:r>
              <w:rPr>
                <w:noProof/>
              </w:rPr>
              <w:t>Automaattinen järjestelmä uhrin ja rikoksentekijän välisen suhteen tunnistamiseksi.</w:t>
            </w:r>
          </w:p>
          <w:p w14:paraId="5F661186" w14:textId="77777777" w:rsidR="00E42B18" w:rsidRDefault="00E42B18">
            <w:pPr>
              <w:spacing w:after="120"/>
              <w:rPr>
                <w:rFonts w:ascii="Arial Narrow" w:hAnsi="Arial Narrow"/>
                <w:noProof/>
                <w:color w:val="006100"/>
                <w:sz w:val="20"/>
                <w:szCs w:val="20"/>
              </w:rPr>
            </w:pPr>
          </w:p>
        </w:tc>
      </w:tr>
    </w:tbl>
    <w:p w14:paraId="44787D4F" w14:textId="77777777" w:rsidR="00E42B18" w:rsidRDefault="00E42B18">
      <w:pPr>
        <w:tabs>
          <w:tab w:val="left" w:pos="4252"/>
        </w:tabs>
        <w:rPr>
          <w:i/>
          <w:noProof/>
        </w:rPr>
        <w:sectPr w:rsidR="00E42B18" w:rsidSect="005F11B9">
          <w:headerReference w:type="even" r:id="rId24"/>
          <w:headerReference w:type="default" r:id="rId25"/>
          <w:footerReference w:type="even" r:id="rId26"/>
          <w:footerReference w:type="default" r:id="rId27"/>
          <w:headerReference w:type="first" r:id="rId28"/>
          <w:footerReference w:type="first" r:id="rId29"/>
          <w:pgSz w:w="16838" w:h="11906" w:orient="landscape" w:code="9"/>
          <w:pgMar w:top="1134" w:right="1134" w:bottom="1134" w:left="1134" w:header="567" w:footer="567" w:gutter="0"/>
          <w:cols w:space="720"/>
          <w:docGrid w:linePitch="360"/>
        </w:sectPr>
      </w:pPr>
    </w:p>
    <w:p w14:paraId="5D6C1557" w14:textId="77777777" w:rsidR="00E42B18" w:rsidRDefault="009629C4">
      <w:pPr>
        <w:pStyle w:val="P68B1DB1-Heading34"/>
        <w:ind w:left="850" w:hanging="850"/>
        <w:rPr>
          <w:b/>
          <w:bCs/>
          <w:i/>
          <w:iCs/>
          <w:noProof/>
          <w:u w:val="single"/>
        </w:rPr>
      </w:pPr>
      <w:r>
        <w:rPr>
          <w:b/>
          <w:noProof/>
          <w:u w:val="single"/>
        </w:rPr>
        <w:t xml:space="preserve">A.3 </w:t>
      </w:r>
      <w:r>
        <w:rPr>
          <w:noProof/>
        </w:rPr>
        <w:t xml:space="preserve"> </w:t>
      </w:r>
      <w:r>
        <w:rPr>
          <w:b/>
          <w:noProof/>
          <w:u w:val="single"/>
        </w:rPr>
        <w:t xml:space="preserve">Kuvaus lainamuotoisella tuella rahoitettavista uudistuksista ja investoinneista </w:t>
      </w:r>
    </w:p>
    <w:p w14:paraId="167B9C0D" w14:textId="77777777" w:rsidR="00E42B18" w:rsidRDefault="00E42B18">
      <w:pPr>
        <w:spacing w:before="120" w:after="120"/>
        <w:jc w:val="both"/>
        <w:rPr>
          <w:b/>
          <w:noProof/>
        </w:rPr>
      </w:pPr>
    </w:p>
    <w:p w14:paraId="1F1E525A" w14:textId="77777777" w:rsidR="00E42B18" w:rsidRDefault="009629C4">
      <w:pPr>
        <w:pStyle w:val="P68B1DB1-Normal5"/>
        <w:spacing w:before="120" w:after="120"/>
        <w:jc w:val="both"/>
        <w:rPr>
          <w:noProof/>
        </w:rPr>
      </w:pPr>
      <w:r>
        <w:rPr>
          <w:noProof/>
        </w:rPr>
        <w:t>Investointi 1.2 – Pilvipalvelut paikalliselle palestiinalaishallinnolle</w:t>
      </w:r>
    </w:p>
    <w:p w14:paraId="6949FFF0" w14:textId="77777777" w:rsidR="00E42B18" w:rsidRDefault="009629C4">
      <w:pPr>
        <w:pStyle w:val="Descriptiontitle"/>
        <w:ind w:left="0"/>
        <w:rPr>
          <w:noProof/>
        </w:rPr>
      </w:pPr>
      <w:r>
        <w:rPr>
          <w:noProof/>
        </w:rPr>
        <w:t xml:space="preserve">Investoinnin tavoitteena on siirtää paikallishallinnon merkittävän osan tietoaineistot ja sovellukset turvalliseen pilvi-infrastruktuuriin, joka antaa kullekin hallinnolle vapauden valita sertifioiduissa julkisissa pilviympäristöissä. </w:t>
      </w:r>
    </w:p>
    <w:p w14:paraId="56EC91B2" w14:textId="36132F47" w:rsidR="00E42B18" w:rsidRDefault="009629C4">
      <w:pPr>
        <w:pStyle w:val="Descriptiontitle"/>
        <w:ind w:left="0"/>
        <w:rPr>
          <w:noProof/>
        </w:rPr>
      </w:pPr>
      <w:r>
        <w:rPr>
          <w:noProof/>
        </w:rPr>
        <w:t>Toimenpiteeseen sisältyy myös hallintoviranomaisille tarkoitettu ”muuttoliike palveluna” -tukipaketti, joka kattaa seuraavat: I) alustava arviointi, ii) toimien käynnistämiseksi tarvittava menettelyllinen/hallinnollinen tuki, iii) neuvottelut tarvittavasta ulkoisesta tuesta ja iv) hankkeen yleinen hallinnointi toteutuksen aikana. Teknologisesta innovoinnista ja digitaalisesta siirtymästä vastaavan ministeriön (MITD) valvoman ryhmän odotetaan kartoittavan ja sertifioivan laajan luettelon pätevistä palveluntarjoajista ja neuvottelevan joukon vakiomuotoisia tukipaketteja, jotka on räätälöity hallinnon koon ja muuttoliikkeeseen osallistuvien palvelujen koon mukaan.</w:t>
      </w:r>
    </w:p>
    <w:p w14:paraId="4C9E4F00" w14:textId="77777777" w:rsidR="00E42B18" w:rsidRDefault="009629C4">
      <w:pPr>
        <w:pStyle w:val="P68B1DB1-Descriptiontitle6"/>
        <w:ind w:left="0"/>
        <w:rPr>
          <w:noProof/>
        </w:rPr>
      </w:pPr>
      <w:r>
        <w:rPr>
          <w:noProof/>
        </w:rPr>
        <w:t>Investointi 1.4 – Digitaaliset palvelut ja kansalaisten kokemus</w:t>
      </w:r>
    </w:p>
    <w:p w14:paraId="70499E12" w14:textId="77777777" w:rsidR="00E42B18" w:rsidRDefault="009629C4">
      <w:pPr>
        <w:pStyle w:val="Descriptiontitle"/>
        <w:ind w:left="0"/>
        <w:rPr>
          <w:noProof/>
        </w:rPr>
      </w:pPr>
      <w:r>
        <w:rPr>
          <w:noProof/>
        </w:rPr>
        <w:t xml:space="preserve">Investoinnin tavoitteena on kehittää yhdennetty ja kansalaiskeskeinen digitaalisten julkisten palvelujen ekosysteemi, varmistaa niiden laajamittainen käyttöönotto keskus- ja paikallishallinnossa ja parantaa yleistä käyttäjäkokemusta. </w:t>
      </w:r>
    </w:p>
    <w:p w14:paraId="53420808" w14:textId="3F4AE916" w:rsidR="00E42B18" w:rsidRDefault="009629C4">
      <w:pPr>
        <w:pStyle w:val="Descriptiontitle"/>
        <w:ind w:left="0"/>
        <w:rPr>
          <w:noProof/>
        </w:rPr>
      </w:pPr>
      <w:r>
        <w:rPr>
          <w:noProof/>
        </w:rPr>
        <w:t xml:space="preserve">Toimenpiteellä </w:t>
      </w:r>
    </w:p>
    <w:p w14:paraId="273AFF89" w14:textId="77777777" w:rsidR="00E42B18" w:rsidRDefault="009629C4">
      <w:pPr>
        <w:pStyle w:val="Descriptiontitle"/>
        <w:numPr>
          <w:ilvl w:val="0"/>
          <w:numId w:val="56"/>
        </w:numPr>
        <w:ind w:left="578" w:hanging="578"/>
        <w:rPr>
          <w:noProof/>
        </w:rPr>
      </w:pPr>
      <w:r>
        <w:rPr>
          <w:noProof/>
        </w:rPr>
        <w:t>määritellään uudelleenkäytettävät palveluntarjontamallit, joilla varmistetaan täydet esteettömyysvaatimukset (investointi 1.4.1 – Kansalaiskokemus – digitaalisten julkisten palvelujen laadun ja käytettävyyden parantaminen);</w:t>
      </w:r>
    </w:p>
    <w:p w14:paraId="1D6A0270" w14:textId="77777777" w:rsidR="00E42B18" w:rsidRDefault="009629C4">
      <w:pPr>
        <w:pStyle w:val="Descriptiontitle"/>
        <w:numPr>
          <w:ilvl w:val="0"/>
          <w:numId w:val="56"/>
        </w:numPr>
        <w:ind w:left="578" w:hanging="578"/>
        <w:rPr>
          <w:noProof/>
        </w:rPr>
      </w:pPr>
      <w:r>
        <w:rPr>
          <w:noProof/>
        </w:rPr>
        <w:t>parannetaan digitaalisten julkisten palvelujen saavutettavuutta (investointi 1.4.2 – Kansalaisten osallistaminen: Digitaalisten julkisten palvelujen saavutettavuuden parantaminen);</w:t>
      </w:r>
    </w:p>
    <w:p w14:paraId="06EC4A19" w14:textId="77777777" w:rsidR="00E42B18" w:rsidRDefault="009629C4">
      <w:pPr>
        <w:pStyle w:val="Descriptiontitle"/>
        <w:numPr>
          <w:ilvl w:val="0"/>
          <w:numId w:val="56"/>
        </w:numPr>
        <w:ind w:left="578" w:hanging="578"/>
        <w:rPr>
          <w:noProof/>
        </w:rPr>
      </w:pPr>
      <w:r>
        <w:rPr>
          <w:noProof/>
        </w:rPr>
        <w:t>sisältää kansalaisten ja julkishallintojen välisten maksujen digitaalisen sovelluksen (PagoPa) ja ”IO”-sovelluksen hyväksymisen (investointi 1.4.3 – PagoPA-alustapalvelujen ja IO-sovelluksen käyttöönotto);</w:t>
      </w:r>
    </w:p>
    <w:p w14:paraId="31E35888" w14:textId="77777777" w:rsidR="00E42B18" w:rsidRDefault="009629C4">
      <w:pPr>
        <w:pStyle w:val="Descriptiontitle"/>
        <w:numPr>
          <w:ilvl w:val="0"/>
          <w:numId w:val="56"/>
        </w:numPr>
        <w:ind w:left="578" w:hanging="578"/>
        <w:rPr>
          <w:noProof/>
        </w:rPr>
      </w:pPr>
      <w:r>
        <w:rPr>
          <w:noProof/>
        </w:rPr>
        <w:t>edistää kansallisten digitaalisen identiteetin alustojen (Sistema Pubblico di Identità Digitale, SPID ja Carta d’Identità Elettronica, CIE) ja kansallisen rekisterin (Anagrafe nazionale della popolazione residente, ANPR) käyttöönottoa (investointi 1.4.4 – Kansallisten digitaalisen identiteetin alustojen (SPID, CIE) ja kansallisen rekisterin (ANPR) käyttöönotto);</w:t>
      </w:r>
    </w:p>
    <w:p w14:paraId="79C81CC3" w14:textId="77777777" w:rsidR="00E42B18" w:rsidRDefault="009629C4">
      <w:pPr>
        <w:pStyle w:val="Descriptiontitle"/>
        <w:numPr>
          <w:ilvl w:val="0"/>
          <w:numId w:val="56"/>
        </w:numPr>
        <w:ind w:left="578" w:hanging="578"/>
        <w:rPr>
          <w:noProof/>
        </w:rPr>
      </w:pPr>
      <w:r>
        <w:rPr>
          <w:noProof/>
        </w:rPr>
        <w:t>perustetaan keskitetty ilmoitusalusta (investointi 1.4.5 – Julkisten ilmoitusten digitalisointi);</w:t>
      </w:r>
    </w:p>
    <w:p w14:paraId="0D04705C" w14:textId="7673A939" w:rsidR="00E42B18" w:rsidRDefault="009629C4">
      <w:pPr>
        <w:pStyle w:val="Descriptiontitle"/>
        <w:numPr>
          <w:ilvl w:val="0"/>
          <w:numId w:val="56"/>
        </w:numPr>
        <w:ind w:left="578" w:hanging="578"/>
        <w:rPr>
          <w:noProof/>
        </w:rPr>
      </w:pPr>
      <w:r>
        <w:rPr>
          <w:noProof/>
        </w:rPr>
        <w:t>liikkuvuus palveluna (MaaS) (investointi 1.4.6 – Liikkuvuus palveluna Italialle; viimeinen toimenpide rahoitetaan rahoitustuella, jota ei makseta takaisin).</w:t>
      </w:r>
    </w:p>
    <w:p w14:paraId="7E573549" w14:textId="77777777" w:rsidR="00E42B18" w:rsidRDefault="009629C4">
      <w:pPr>
        <w:pStyle w:val="P68B1DB1-Normal5"/>
        <w:spacing w:before="120" w:after="120"/>
        <w:jc w:val="both"/>
        <w:rPr>
          <w:noProof/>
        </w:rPr>
      </w:pPr>
      <w:r>
        <w:rPr>
          <w:noProof/>
        </w:rPr>
        <w:t>Investointi 1.6 – Suurten keskushallintojen digitalisaatio</w:t>
      </w:r>
    </w:p>
    <w:p w14:paraId="72A436BD" w14:textId="77777777" w:rsidR="00E42B18" w:rsidRDefault="009629C4">
      <w:pPr>
        <w:pStyle w:val="P68B1DB1-Normal7"/>
        <w:jc w:val="both"/>
        <w:rPr>
          <w:noProof/>
        </w:rPr>
      </w:pPr>
      <w:r>
        <w:rPr>
          <w:noProof/>
        </w:rPr>
        <w:t>Investoinnin tavoitteena on tehostaa ja yksinkertaistaa tärkeimpien keskushallintojen menettelyjä. Näitä ovat i) kansallinen sosiaaliturvalaitos (INPS) ja kansallinen työtapaturmavakuutuslaitos (INAIL), ii) oikeusjärjestelmä, iii) puolustusministeriö, iv) sisäministeriö ja v) valtiovarainpoliisi. Investointi koostuu niiden toimialaan kuuluvien ensisijaisten prosessien, toimintojen ja palvelujen uudelleensuunnittelusta ja digitalisoinnista.</w:t>
      </w:r>
    </w:p>
    <w:p w14:paraId="04E83E33" w14:textId="77777777" w:rsidR="00E42B18" w:rsidRDefault="009629C4">
      <w:pPr>
        <w:rPr>
          <w:noProof/>
        </w:rPr>
        <w:sectPr w:rsidR="00E42B18" w:rsidSect="005F11B9">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docGrid w:linePitch="360"/>
        </w:sectPr>
      </w:pPr>
      <w:r>
        <w:rPr>
          <w:noProof/>
        </w:rPr>
        <w:br w:type="page"/>
      </w:r>
    </w:p>
    <w:p w14:paraId="20D4EF5E" w14:textId="77777777" w:rsidR="00E42B18" w:rsidRDefault="00E42B18">
      <w:pPr>
        <w:rPr>
          <w:noProof/>
        </w:rPr>
      </w:pPr>
    </w:p>
    <w:p w14:paraId="3FB7696F" w14:textId="7A54AE0C" w:rsidR="00E42B18" w:rsidRDefault="009629C4">
      <w:pPr>
        <w:rPr>
          <w:noProof/>
        </w:rPr>
      </w:pPr>
      <w:r>
        <w:rPr>
          <w:rFonts w:ascii="Times New Roman" w:eastAsia="Times New Roman" w:hAnsi="Times New Roman" w:cs="Times New Roman"/>
          <w:b/>
          <w:noProof/>
          <w:u w:val="single"/>
        </w:rPr>
        <w:t xml:space="preserve">A.4 </w:t>
      </w:r>
      <w:r>
        <w:rPr>
          <w:rFonts w:ascii="Times New Roman" w:eastAsia="Times New Roman" w:hAnsi="Times New Roman" w:cs="Times New Roman"/>
          <w:noProof/>
        </w:rPr>
        <w:t xml:space="preserve"> </w:t>
      </w:r>
      <w:r>
        <w:rPr>
          <w:rFonts w:ascii="Times New Roman" w:eastAsia="Times New Roman" w:hAnsi="Times New Roman" w:cs="Times New Roman"/>
          <w:b/>
          <w:noProof/>
          <w:u w:val="single"/>
        </w:rPr>
        <w:t xml:space="preserve">Välitavoitteet, tavoitteet, indikaattorit ja aikataulu lainan osa-alueen seurantaa ja täytäntöönpanoa varten </w:t>
      </w:r>
    </w:p>
    <w:tbl>
      <w:tblPr>
        <w:tblW w:w="15678" w:type="dxa"/>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087"/>
        <w:gridCol w:w="1943"/>
        <w:gridCol w:w="992"/>
        <w:gridCol w:w="2126"/>
        <w:gridCol w:w="1701"/>
        <w:gridCol w:w="1134"/>
        <w:gridCol w:w="1276"/>
        <w:gridCol w:w="1417"/>
        <w:gridCol w:w="793"/>
        <w:gridCol w:w="625"/>
        <w:gridCol w:w="2584"/>
      </w:tblGrid>
      <w:tr w:rsidR="00E42B18" w14:paraId="06ACB4D6" w14:textId="77777777">
        <w:trPr>
          <w:trHeight w:val="774"/>
          <w:tblHeader/>
        </w:trPr>
        <w:tc>
          <w:tcPr>
            <w:tcW w:w="1087" w:type="dxa"/>
            <w:vMerge w:val="restart"/>
            <w:shd w:val="clear" w:color="auto" w:fill="BDD7EE"/>
            <w:vAlign w:val="center"/>
            <w:hideMark/>
          </w:tcPr>
          <w:p w14:paraId="23EFA29F" w14:textId="6FC07D17" w:rsidR="00E42B18" w:rsidRDefault="009629C4">
            <w:pPr>
              <w:pStyle w:val="P68B1DB1-Normal10"/>
              <w:jc w:val="center"/>
              <w:rPr>
                <w:noProof/>
                <w:szCs w:val="20"/>
              </w:rPr>
            </w:pPr>
            <w:r>
              <w:rPr>
                <w:noProof/>
              </w:rPr>
              <w:t>Juokseva numero</w:t>
            </w:r>
          </w:p>
        </w:tc>
        <w:tc>
          <w:tcPr>
            <w:tcW w:w="1943" w:type="dxa"/>
            <w:vMerge w:val="restart"/>
            <w:shd w:val="clear" w:color="auto" w:fill="BDD7EE"/>
            <w:vAlign w:val="center"/>
            <w:hideMark/>
          </w:tcPr>
          <w:p w14:paraId="3B3E6D74" w14:textId="77777777" w:rsidR="00E42B18" w:rsidRDefault="009629C4">
            <w:pPr>
              <w:pStyle w:val="P68B1DB1-Normal10"/>
              <w:jc w:val="center"/>
              <w:rPr>
                <w:noProof/>
                <w:szCs w:val="20"/>
              </w:rPr>
            </w:pPr>
            <w:r>
              <w:rPr>
                <w:noProof/>
              </w:rPr>
              <w:t>Toimenpide (uudistus tai investointi)</w:t>
            </w:r>
          </w:p>
        </w:tc>
        <w:tc>
          <w:tcPr>
            <w:tcW w:w="992" w:type="dxa"/>
            <w:vMerge w:val="restart"/>
            <w:shd w:val="clear" w:color="auto" w:fill="BDD7EE"/>
            <w:vAlign w:val="center"/>
            <w:hideMark/>
          </w:tcPr>
          <w:p w14:paraId="64F9BDC0" w14:textId="77777777" w:rsidR="00E42B18" w:rsidRDefault="009629C4">
            <w:pPr>
              <w:pStyle w:val="P68B1DB1-Normal10"/>
              <w:jc w:val="center"/>
              <w:rPr>
                <w:noProof/>
                <w:szCs w:val="20"/>
              </w:rPr>
            </w:pPr>
            <w:r>
              <w:rPr>
                <w:noProof/>
              </w:rPr>
              <w:t>Virstanpylväs</w:t>
            </w:r>
          </w:p>
          <w:p w14:paraId="5BF15AF2" w14:textId="468BDFC1" w:rsidR="00E42B18" w:rsidRDefault="009629C4">
            <w:pPr>
              <w:pStyle w:val="P68B1DB1-Normal10"/>
              <w:jc w:val="center"/>
              <w:rPr>
                <w:noProof/>
                <w:szCs w:val="20"/>
              </w:rPr>
            </w:pPr>
            <w:r>
              <w:rPr>
                <w:noProof/>
              </w:rPr>
              <w:t>/Tarkoitus</w:t>
            </w:r>
          </w:p>
        </w:tc>
        <w:tc>
          <w:tcPr>
            <w:tcW w:w="2126" w:type="dxa"/>
            <w:vMerge w:val="restart"/>
            <w:shd w:val="clear" w:color="auto" w:fill="BDD7EE"/>
            <w:vAlign w:val="center"/>
            <w:hideMark/>
          </w:tcPr>
          <w:p w14:paraId="553ADAD7" w14:textId="77777777" w:rsidR="00E42B18" w:rsidRDefault="009629C4">
            <w:pPr>
              <w:pStyle w:val="P68B1DB1-Normal10"/>
              <w:jc w:val="center"/>
              <w:rPr>
                <w:noProof/>
                <w:szCs w:val="20"/>
              </w:rPr>
            </w:pPr>
            <w:r>
              <w:rPr>
                <w:noProof/>
              </w:rPr>
              <w:t>Nimi</w:t>
            </w:r>
          </w:p>
        </w:tc>
        <w:tc>
          <w:tcPr>
            <w:tcW w:w="1701" w:type="dxa"/>
            <w:vMerge w:val="restart"/>
            <w:shd w:val="clear" w:color="auto" w:fill="BDD7EE"/>
            <w:vAlign w:val="center"/>
            <w:hideMark/>
          </w:tcPr>
          <w:p w14:paraId="4DEA5DA5" w14:textId="7777777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827" w:type="dxa"/>
            <w:gridSpan w:val="3"/>
            <w:shd w:val="clear" w:color="auto" w:fill="BDD7EE"/>
            <w:vAlign w:val="center"/>
            <w:hideMark/>
          </w:tcPr>
          <w:p w14:paraId="3317603A"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418" w:type="dxa"/>
            <w:gridSpan w:val="2"/>
            <w:shd w:val="clear" w:color="auto" w:fill="BDD7EE"/>
            <w:vAlign w:val="center"/>
            <w:hideMark/>
          </w:tcPr>
          <w:p w14:paraId="22D37062" w14:textId="77777777" w:rsidR="00E42B18" w:rsidRDefault="009629C4">
            <w:pPr>
              <w:pStyle w:val="P68B1DB1-Normal10"/>
              <w:jc w:val="center"/>
              <w:rPr>
                <w:noProof/>
                <w:szCs w:val="20"/>
              </w:rPr>
            </w:pPr>
            <w:r>
              <w:rPr>
                <w:noProof/>
              </w:rPr>
              <w:t>Alustava toteutusaikataulu</w:t>
            </w:r>
          </w:p>
        </w:tc>
        <w:tc>
          <w:tcPr>
            <w:tcW w:w="2584" w:type="dxa"/>
            <w:vMerge w:val="restart"/>
            <w:shd w:val="clear" w:color="auto" w:fill="BDD7EE"/>
            <w:vAlign w:val="center"/>
            <w:hideMark/>
          </w:tcPr>
          <w:p w14:paraId="248B14E1" w14:textId="77777777" w:rsidR="00E42B18" w:rsidRDefault="009629C4">
            <w:pPr>
              <w:pStyle w:val="P68B1DB1-Normal10"/>
              <w:jc w:val="center"/>
              <w:rPr>
                <w:noProof/>
                <w:szCs w:val="20"/>
              </w:rPr>
            </w:pPr>
            <w:r>
              <w:rPr>
                <w:noProof/>
              </w:rPr>
              <w:t>Kunkin välitavoitteen ja tavoitteen kuvaus</w:t>
            </w:r>
          </w:p>
        </w:tc>
      </w:tr>
      <w:tr w:rsidR="00E42B18" w14:paraId="4424822C" w14:textId="77777777">
        <w:trPr>
          <w:trHeight w:val="686"/>
          <w:tblHeader/>
        </w:trPr>
        <w:tc>
          <w:tcPr>
            <w:tcW w:w="1087" w:type="dxa"/>
            <w:vMerge/>
            <w:vAlign w:val="center"/>
            <w:hideMark/>
          </w:tcPr>
          <w:p w14:paraId="2AA238F4" w14:textId="77777777" w:rsidR="00E42B18" w:rsidRDefault="00E42B18">
            <w:pPr>
              <w:jc w:val="center"/>
              <w:rPr>
                <w:rFonts w:ascii="Arial Narrow" w:hAnsi="Arial Narrow"/>
                <w:b/>
                <w:noProof/>
                <w:sz w:val="20"/>
                <w:szCs w:val="20"/>
              </w:rPr>
            </w:pPr>
          </w:p>
        </w:tc>
        <w:tc>
          <w:tcPr>
            <w:tcW w:w="1943" w:type="dxa"/>
            <w:vMerge/>
            <w:vAlign w:val="center"/>
            <w:hideMark/>
          </w:tcPr>
          <w:p w14:paraId="2C6FBFDC" w14:textId="77777777" w:rsidR="00E42B18" w:rsidRDefault="00E42B18">
            <w:pPr>
              <w:jc w:val="center"/>
              <w:rPr>
                <w:rFonts w:ascii="Arial Narrow" w:hAnsi="Arial Narrow"/>
                <w:b/>
                <w:noProof/>
                <w:sz w:val="20"/>
                <w:szCs w:val="20"/>
              </w:rPr>
            </w:pPr>
          </w:p>
        </w:tc>
        <w:tc>
          <w:tcPr>
            <w:tcW w:w="992" w:type="dxa"/>
            <w:vMerge/>
            <w:vAlign w:val="center"/>
            <w:hideMark/>
          </w:tcPr>
          <w:p w14:paraId="56201EE1" w14:textId="77777777" w:rsidR="00E42B18" w:rsidRDefault="00E42B18">
            <w:pPr>
              <w:jc w:val="center"/>
              <w:rPr>
                <w:rFonts w:ascii="Arial Narrow" w:hAnsi="Arial Narrow"/>
                <w:b/>
                <w:noProof/>
                <w:sz w:val="20"/>
                <w:szCs w:val="20"/>
              </w:rPr>
            </w:pPr>
          </w:p>
        </w:tc>
        <w:tc>
          <w:tcPr>
            <w:tcW w:w="2126" w:type="dxa"/>
            <w:vMerge/>
            <w:vAlign w:val="center"/>
            <w:hideMark/>
          </w:tcPr>
          <w:p w14:paraId="294D9447" w14:textId="77777777" w:rsidR="00E42B18" w:rsidRDefault="00E42B18">
            <w:pPr>
              <w:jc w:val="center"/>
              <w:rPr>
                <w:rFonts w:ascii="Arial Narrow" w:hAnsi="Arial Narrow"/>
                <w:b/>
                <w:noProof/>
                <w:sz w:val="20"/>
                <w:szCs w:val="20"/>
              </w:rPr>
            </w:pPr>
          </w:p>
        </w:tc>
        <w:tc>
          <w:tcPr>
            <w:tcW w:w="1701" w:type="dxa"/>
            <w:vMerge/>
            <w:vAlign w:val="center"/>
            <w:hideMark/>
          </w:tcPr>
          <w:p w14:paraId="203E28E8" w14:textId="77777777" w:rsidR="00E42B18" w:rsidRDefault="00E42B18">
            <w:pPr>
              <w:jc w:val="center"/>
              <w:rPr>
                <w:rFonts w:ascii="Arial Narrow" w:hAnsi="Arial Narrow"/>
                <w:b/>
                <w:noProof/>
                <w:sz w:val="20"/>
                <w:szCs w:val="20"/>
              </w:rPr>
            </w:pPr>
          </w:p>
        </w:tc>
        <w:tc>
          <w:tcPr>
            <w:tcW w:w="1134" w:type="dxa"/>
            <w:shd w:val="clear" w:color="auto" w:fill="BDD7EE"/>
            <w:vAlign w:val="center"/>
            <w:hideMark/>
          </w:tcPr>
          <w:p w14:paraId="18442F27" w14:textId="4697AB37" w:rsidR="00E42B18" w:rsidRDefault="009629C4">
            <w:pPr>
              <w:pStyle w:val="P68B1DB1-Normal10"/>
              <w:jc w:val="center"/>
              <w:rPr>
                <w:noProof/>
                <w:szCs w:val="20"/>
              </w:rPr>
            </w:pPr>
            <w:r>
              <w:rPr>
                <w:noProof/>
              </w:rPr>
              <w:t>Mitta-yksikkö</w:t>
            </w:r>
          </w:p>
        </w:tc>
        <w:tc>
          <w:tcPr>
            <w:tcW w:w="1276" w:type="dxa"/>
            <w:shd w:val="clear" w:color="auto" w:fill="BDD7EE"/>
            <w:vAlign w:val="center"/>
            <w:hideMark/>
          </w:tcPr>
          <w:p w14:paraId="0AD1B0DB" w14:textId="77777777" w:rsidR="00E42B18" w:rsidRDefault="009629C4">
            <w:pPr>
              <w:pStyle w:val="P68B1DB1-Normal10"/>
              <w:jc w:val="center"/>
              <w:rPr>
                <w:noProof/>
                <w:szCs w:val="20"/>
              </w:rPr>
            </w:pPr>
            <w:r>
              <w:rPr>
                <w:noProof/>
              </w:rPr>
              <w:t>Lähtötilanne</w:t>
            </w:r>
          </w:p>
        </w:tc>
        <w:tc>
          <w:tcPr>
            <w:tcW w:w="1417" w:type="dxa"/>
            <w:shd w:val="clear" w:color="auto" w:fill="BDD7EE"/>
            <w:vAlign w:val="center"/>
            <w:hideMark/>
          </w:tcPr>
          <w:p w14:paraId="297A7230" w14:textId="77777777" w:rsidR="00E42B18" w:rsidRDefault="009629C4">
            <w:pPr>
              <w:pStyle w:val="P68B1DB1-Normal10"/>
              <w:jc w:val="center"/>
              <w:rPr>
                <w:noProof/>
                <w:szCs w:val="20"/>
              </w:rPr>
            </w:pPr>
            <w:r>
              <w:rPr>
                <w:noProof/>
              </w:rPr>
              <w:t>Päämäärä</w:t>
            </w:r>
          </w:p>
        </w:tc>
        <w:tc>
          <w:tcPr>
            <w:tcW w:w="793" w:type="dxa"/>
            <w:shd w:val="clear" w:color="auto" w:fill="BDD7EE"/>
            <w:vAlign w:val="center"/>
            <w:hideMark/>
          </w:tcPr>
          <w:p w14:paraId="597B70DB" w14:textId="77777777" w:rsidR="00E42B18" w:rsidRDefault="009629C4">
            <w:pPr>
              <w:pStyle w:val="P68B1DB1-Normal10"/>
              <w:jc w:val="center"/>
              <w:rPr>
                <w:noProof/>
                <w:szCs w:val="20"/>
              </w:rPr>
            </w:pPr>
            <w:r>
              <w:rPr>
                <w:noProof/>
              </w:rPr>
              <w:t>Neljännes</w:t>
            </w:r>
          </w:p>
        </w:tc>
        <w:tc>
          <w:tcPr>
            <w:tcW w:w="625" w:type="dxa"/>
            <w:shd w:val="clear" w:color="auto" w:fill="BDD7EE"/>
            <w:vAlign w:val="center"/>
            <w:hideMark/>
          </w:tcPr>
          <w:p w14:paraId="6FA55E18" w14:textId="77777777" w:rsidR="00E42B18" w:rsidRDefault="009629C4">
            <w:pPr>
              <w:pStyle w:val="P68B1DB1-Normal10"/>
              <w:jc w:val="center"/>
              <w:rPr>
                <w:noProof/>
                <w:szCs w:val="20"/>
              </w:rPr>
            </w:pPr>
            <w:r>
              <w:rPr>
                <w:noProof/>
              </w:rPr>
              <w:t>Vuosi</w:t>
            </w:r>
          </w:p>
        </w:tc>
        <w:tc>
          <w:tcPr>
            <w:tcW w:w="2584" w:type="dxa"/>
            <w:vMerge/>
            <w:vAlign w:val="center"/>
            <w:hideMark/>
          </w:tcPr>
          <w:p w14:paraId="3617A512" w14:textId="77777777" w:rsidR="00E42B18" w:rsidRDefault="00E42B18">
            <w:pPr>
              <w:rPr>
                <w:rFonts w:ascii="Arial Narrow" w:hAnsi="Arial Narrow"/>
                <w:b/>
                <w:noProof/>
                <w:sz w:val="20"/>
                <w:szCs w:val="20"/>
              </w:rPr>
            </w:pPr>
          </w:p>
        </w:tc>
      </w:tr>
      <w:tr w:rsidR="00E42B18" w14:paraId="33E2BB93" w14:textId="77777777">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A2BBA2" w14:textId="77777777" w:rsidR="00E42B18" w:rsidRDefault="009629C4">
            <w:pPr>
              <w:pStyle w:val="P68B1DB1-Normal11"/>
              <w:jc w:val="center"/>
              <w:rPr>
                <w:noProof/>
              </w:rPr>
            </w:pPr>
            <w:r>
              <w:rPr>
                <w:noProof/>
              </w:rPr>
              <w:t>M1C1–14</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51409" w14:textId="77777777" w:rsidR="00E42B18" w:rsidRDefault="009629C4">
            <w:pPr>
              <w:pStyle w:val="P68B1DB1-Normal11"/>
              <w:jc w:val="center"/>
              <w:rPr>
                <w:noProof/>
              </w:rPr>
            </w:pPr>
            <w:r>
              <w:rPr>
                <w:noProof/>
              </w:rPr>
              <w:t>Investointi 1.6.5: Korkeimman hallinto-oikeuden digitalisointi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DE8378" w14:textId="77777777" w:rsidR="00E42B18" w:rsidRDefault="009629C4">
            <w:pPr>
              <w:pStyle w:val="P68B1DB1-Normal11"/>
              <w:jc w:val="center"/>
              <w:rPr>
                <w:noProof/>
              </w:rPr>
            </w:pPr>
            <w:r>
              <w:rPr>
                <w:noProof/>
              </w:rPr>
              <w:t>Kohde</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668982" w14:textId="77777777" w:rsidR="00E42B18" w:rsidRDefault="009629C4">
            <w:pPr>
              <w:pStyle w:val="P68B1DB1-Normal11"/>
              <w:jc w:val="center"/>
              <w:rPr>
                <w:noProof/>
              </w:rPr>
            </w:pPr>
            <w:r>
              <w:rPr>
                <w:noProof/>
              </w:rPr>
              <w:t>Korkein hallinto-oikeus – Tuomioistuinasiakirjat, joita voidaan analysoida T1-tietovarastossa</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B5FDD2" w14:textId="77777777" w:rsidR="00E42B18" w:rsidRDefault="009629C4">
            <w:pPr>
              <w:pStyle w:val="P68B1DB1-Normal11"/>
              <w:jc w:val="center"/>
              <w:rPr>
                <w:noProof/>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D7209B" w14:textId="77777777" w:rsidR="00E42B18" w:rsidRDefault="009629C4">
            <w:pPr>
              <w:pStyle w:val="P68B1DB1-Normal11"/>
              <w:jc w:val="center"/>
              <w:rPr>
                <w:noProof/>
              </w:rPr>
            </w:pPr>
            <w:r>
              <w:rPr>
                <w:noProof/>
              </w:rPr>
              <w:t>Numero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0AA071" w14:textId="77777777" w:rsidR="00E42B18" w:rsidRDefault="009629C4">
            <w:pPr>
              <w:pStyle w:val="P68B1DB1-Normal11"/>
              <w:jc w:val="center"/>
              <w:rPr>
                <w:noProof/>
              </w:rPr>
            </w:pPr>
            <w:r>
              <w:rPr>
                <w:noProof/>
              </w:rPr>
              <w:t>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9E97C" w14:textId="77777777" w:rsidR="00E42B18" w:rsidRDefault="009629C4">
            <w:pPr>
              <w:pStyle w:val="P68B1DB1-Normal11"/>
              <w:jc w:val="center"/>
              <w:rPr>
                <w:noProof/>
              </w:rPr>
            </w:pPr>
            <w:r>
              <w:rPr>
                <w:noProof/>
              </w:rPr>
              <w:t>800 000</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3F4378" w14:textId="77777777" w:rsidR="00E42B18" w:rsidRDefault="009629C4">
            <w:pPr>
              <w:pStyle w:val="P68B1DB1-Normal11"/>
              <w:jc w:val="center"/>
              <w:rPr>
                <w:noProof/>
              </w:rPr>
            </w:pPr>
            <w:r>
              <w:rPr>
                <w:noProof/>
              </w:rPr>
              <w:t>Q4</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0C0B2B" w14:textId="77777777" w:rsidR="00E42B18" w:rsidRDefault="009629C4">
            <w:pPr>
              <w:pStyle w:val="P68B1DB1-Normal11"/>
              <w:jc w:val="center"/>
              <w:rPr>
                <w:noProof/>
              </w:rPr>
            </w:pPr>
            <w:r>
              <w:rPr>
                <w:noProof/>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15296B" w14:textId="77777777" w:rsidR="00E42B18" w:rsidRDefault="009629C4">
            <w:pPr>
              <w:pStyle w:val="P68B1DB1-Normal12"/>
              <w:spacing w:after="120"/>
              <w:rPr>
                <w:noProof/>
              </w:rPr>
            </w:pPr>
            <w:r>
              <w:rPr>
                <w:noProof/>
              </w:rPr>
              <w:t>Niiden hallinnollista toimivaltaa koskevaan järjestelmään liittyvien tuomioistuinasiakirjojen (kuten tuomioiden, lausuntojen ja määräysten) lukumäärä, joiden metatiedot ovat kokonaisuudessaan saatavilla tietovarastossa.</w:t>
            </w:r>
          </w:p>
        </w:tc>
      </w:tr>
      <w:tr w:rsidR="00E42B18" w14:paraId="3DAB0791" w14:textId="77777777">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B7BE" w14:textId="77777777" w:rsidR="00E42B18" w:rsidRDefault="009629C4">
            <w:pPr>
              <w:pStyle w:val="P68B1DB1-Normal11"/>
              <w:jc w:val="center"/>
              <w:rPr>
                <w:noProof/>
              </w:rPr>
            </w:pPr>
            <w:r>
              <w:rPr>
                <w:noProof/>
              </w:rPr>
              <w:t>M1C1–16</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FB67C" w14:textId="77777777" w:rsidR="00E42B18" w:rsidRDefault="009629C4">
            <w:pPr>
              <w:pStyle w:val="P68B1DB1-Normal11"/>
              <w:jc w:val="center"/>
              <w:rPr>
                <w:noProof/>
              </w:rPr>
            </w:pPr>
            <w:r>
              <w:rPr>
                <w:noProof/>
              </w:rPr>
              <w:t>Investointi 1.6.5: Korkeimman hallinto-oikeuden digitalisointi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58914F" w14:textId="77777777" w:rsidR="00E42B18" w:rsidRDefault="009629C4">
            <w:pPr>
              <w:pStyle w:val="P68B1DB1-Normal11"/>
              <w:jc w:val="center"/>
              <w:rPr>
                <w:noProof/>
              </w:rPr>
            </w:pPr>
            <w:r>
              <w:rPr>
                <w:noProof/>
              </w:rPr>
              <w:t>Kohde</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B4A81" w14:textId="77777777" w:rsidR="00E42B18" w:rsidRDefault="009629C4">
            <w:pPr>
              <w:pStyle w:val="P68B1DB1-Normal11"/>
              <w:jc w:val="center"/>
              <w:rPr>
                <w:noProof/>
              </w:rPr>
            </w:pPr>
            <w:r>
              <w:rPr>
                <w:noProof/>
              </w:rPr>
              <w:t>Korkein hallinto-oikeus – Tuomioistuinasiakirjat, joita voidaan analysoida T2-tietovarastossa</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F629A8" w14:textId="77777777" w:rsidR="00E42B18" w:rsidRDefault="009629C4">
            <w:pPr>
              <w:pStyle w:val="P68B1DB1-Normal11"/>
              <w:jc w:val="center"/>
              <w:rPr>
                <w:noProof/>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A8CFFF" w14:textId="77777777" w:rsidR="00E42B18" w:rsidRDefault="009629C4">
            <w:pPr>
              <w:pStyle w:val="P68B1DB1-Normal11"/>
              <w:jc w:val="center"/>
              <w:rPr>
                <w:noProof/>
              </w:rPr>
            </w:pPr>
            <w:r>
              <w:rPr>
                <w:noProof/>
              </w:rPr>
              <w:t>Numero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404BCC" w14:textId="77777777" w:rsidR="00E42B18" w:rsidRDefault="009629C4">
            <w:pPr>
              <w:pStyle w:val="P68B1DB1-Normal11"/>
              <w:jc w:val="center"/>
              <w:rPr>
                <w:noProof/>
              </w:rPr>
            </w:pPr>
            <w:r>
              <w:rPr>
                <w:noProof/>
              </w:rPr>
              <w:t>800 000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882A2" w14:textId="77777777" w:rsidR="00E42B18" w:rsidRDefault="009629C4">
            <w:pPr>
              <w:pStyle w:val="P68B1DB1-Normal11"/>
              <w:jc w:val="center"/>
              <w:rPr>
                <w:noProof/>
              </w:rPr>
            </w:pPr>
            <w:r>
              <w:rPr>
                <w:noProof/>
              </w:rPr>
              <w:t>2 500 000</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88386" w14:textId="77777777" w:rsidR="00E42B18" w:rsidRDefault="009629C4">
            <w:pPr>
              <w:pStyle w:val="P68B1DB1-Normal11"/>
              <w:jc w:val="center"/>
              <w:rPr>
                <w:noProof/>
                <w:szCs w:val="20"/>
              </w:rPr>
            </w:pPr>
            <w:r>
              <w:rPr>
                <w:noProof/>
              </w:rPr>
              <w:t>Q4</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CAA37D" w14:textId="77777777" w:rsidR="00E42B18" w:rsidRDefault="009629C4">
            <w:pPr>
              <w:pStyle w:val="P68B1DB1-Normal11"/>
              <w:jc w:val="center"/>
              <w:rPr>
                <w:noProof/>
                <w:szCs w:val="20"/>
              </w:rPr>
            </w:pPr>
            <w:r>
              <w:rPr>
                <w:noProof/>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EEDD42" w14:textId="77777777" w:rsidR="00E42B18" w:rsidRDefault="009629C4">
            <w:pPr>
              <w:pStyle w:val="P68B1DB1-Normal12"/>
              <w:spacing w:after="120"/>
              <w:rPr>
                <w:noProof/>
              </w:rPr>
            </w:pPr>
            <w:r>
              <w:rPr>
                <w:noProof/>
              </w:rPr>
              <w:t>Niiden hallinnollista toimivaltaa koskevaan järjestelmään liittyvien tuomioistuinasiakirjojen (kuten tuomioiden, lausuntojen ja määräysten) lukumäärä, joiden metatiedot ovat kokonaisuudessaan saatavilla tietovarastossa.</w:t>
            </w:r>
          </w:p>
        </w:tc>
      </w:tr>
      <w:tr w:rsidR="00E42B18" w14:paraId="5BE708E7" w14:textId="77777777">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4E104D" w14:textId="77777777" w:rsidR="00E42B18" w:rsidRDefault="009629C4">
            <w:pPr>
              <w:pStyle w:val="P68B1DB1-Normal11"/>
              <w:jc w:val="center"/>
              <w:rPr>
                <w:noProof/>
                <w:szCs w:val="20"/>
              </w:rPr>
            </w:pPr>
            <w:r>
              <w:rPr>
                <w:noProof/>
              </w:rPr>
              <w:t>M1C1–123</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D456E0" w14:textId="77777777" w:rsidR="00E42B18" w:rsidRDefault="009629C4">
            <w:pPr>
              <w:pStyle w:val="P68B1DB1-Normal11"/>
              <w:jc w:val="center"/>
              <w:rPr>
                <w:noProof/>
                <w:szCs w:val="20"/>
              </w:rPr>
            </w:pPr>
            <w:r>
              <w:rPr>
                <w:noProof/>
              </w:rPr>
              <w:t>Investointi 1.6.3 – Kansallisen sosiaaliturvalaitoksen (INPS) ja työtapaturmavakuutuslaitoksen (INAIL) digitalisointi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15C7B6" w14:textId="77777777" w:rsidR="00E42B18" w:rsidRDefault="009629C4">
            <w:pPr>
              <w:pStyle w:val="P68B1DB1-Normal11"/>
              <w:jc w:val="center"/>
              <w:rPr>
                <w:noProof/>
                <w:szCs w:val="20"/>
              </w:rPr>
            </w:pPr>
            <w:r>
              <w:rPr>
                <w:noProof/>
              </w:rPr>
              <w:t>Kohde</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9B602A" w14:textId="77777777" w:rsidR="00E42B18" w:rsidRDefault="009629C4">
            <w:pPr>
              <w:pStyle w:val="P68B1DB1-Normal11"/>
              <w:jc w:val="center"/>
              <w:rPr>
                <w:noProof/>
                <w:szCs w:val="20"/>
              </w:rPr>
            </w:pPr>
            <w:r>
              <w:rPr>
                <w:noProof/>
              </w:rPr>
              <w:t>INPS – Palvelut/sisältö T1 ”Suunniteltuna klikkaamalla”</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C51D4D" w14:textId="77777777" w:rsidR="00E42B18" w:rsidRDefault="009629C4">
            <w:pPr>
              <w:pStyle w:val="P68B1DB1-Normal11"/>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01D7FB" w14:textId="77777777" w:rsidR="00E42B18" w:rsidRDefault="009629C4">
            <w:pPr>
              <w:pStyle w:val="P68B1DB1-Normal11"/>
              <w:jc w:val="center"/>
              <w:rPr>
                <w:noProof/>
                <w:szCs w:val="20"/>
              </w:rPr>
            </w:pPr>
            <w:r>
              <w:rPr>
                <w:noProof/>
              </w:rPr>
              <w:t>Numero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C79D31" w14:textId="77777777" w:rsidR="00E42B18" w:rsidRDefault="009629C4">
            <w:pPr>
              <w:pStyle w:val="P68B1DB1-Normal11"/>
              <w:jc w:val="center"/>
              <w:rPr>
                <w:noProof/>
                <w:szCs w:val="20"/>
              </w:rPr>
            </w:pPr>
            <w:r>
              <w:rPr>
                <w:noProof/>
              </w:rPr>
              <w:t>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E60E95" w14:textId="77777777" w:rsidR="00E42B18" w:rsidRDefault="009629C4">
            <w:pPr>
              <w:pStyle w:val="P68B1DB1-Normal11"/>
              <w:jc w:val="center"/>
              <w:rPr>
                <w:noProof/>
                <w:szCs w:val="20"/>
              </w:rPr>
            </w:pPr>
            <w:r>
              <w:rPr>
                <w:noProof/>
              </w:rPr>
              <w:t>35</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CA434B" w14:textId="77777777" w:rsidR="00E42B18" w:rsidRDefault="009629C4">
            <w:pPr>
              <w:pStyle w:val="P68B1DB1-Normal11"/>
              <w:jc w:val="center"/>
              <w:rPr>
                <w:noProof/>
                <w:szCs w:val="20"/>
              </w:rPr>
            </w:pPr>
            <w:r>
              <w:rPr>
                <w:noProof/>
              </w:rPr>
              <w:t>Q4</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473ED" w14:textId="77777777" w:rsidR="00E42B18" w:rsidRDefault="009629C4">
            <w:pPr>
              <w:pStyle w:val="P68B1DB1-Normal11"/>
              <w:jc w:val="center"/>
              <w:rPr>
                <w:noProof/>
                <w:szCs w:val="20"/>
              </w:rPr>
            </w:pPr>
            <w:r>
              <w:rPr>
                <w:noProof/>
              </w:rPr>
              <w:t>2022</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04994" w14:textId="77777777" w:rsidR="00E42B18" w:rsidRDefault="009629C4">
            <w:pPr>
              <w:spacing w:after="120"/>
              <w:rPr>
                <w:rFonts w:ascii="Arial Narrow" w:hAnsi="Arial Narrow"/>
                <w:noProof/>
                <w:color w:val="006100"/>
                <w:sz w:val="20"/>
                <w:szCs w:val="20"/>
              </w:rPr>
            </w:pPr>
            <w:r>
              <w:rPr>
                <w:rFonts w:ascii="Arial Narrow" w:hAnsi="Arial Narrow"/>
                <w:noProof/>
                <w:color w:val="006100"/>
                <w:sz w:val="20"/>
                <w:szCs w:val="20"/>
              </w:rPr>
              <w:t>35 lisäpalvelua on otettu käyttöön INPs:n institutionaalisella verkkosivustolla (</w:t>
            </w:r>
            <w:hyperlink r:id="rId36">
              <w:r w:rsidR="00E42B18">
                <w:rPr>
                  <w:rStyle w:val="Hyperlink"/>
                  <w:rFonts w:ascii="Arial Narrow" w:hAnsi="Arial Narrow"/>
                  <w:noProof/>
                  <w:sz w:val="20"/>
                  <w:szCs w:val="20"/>
                </w:rPr>
                <w:t>www.inps.it</w:t>
              </w:r>
            </w:hyperlink>
            <w:r>
              <w:rPr>
                <w:rFonts w:ascii="Arial Narrow" w:hAnsi="Arial Narrow"/>
                <w:noProof/>
                <w:color w:val="006100"/>
                <w:sz w:val="20"/>
                <w:szCs w:val="20"/>
              </w:rPr>
              <w:t>)</w:t>
            </w:r>
          </w:p>
          <w:p w14:paraId="1CF37D9F" w14:textId="77777777" w:rsidR="00E42B18" w:rsidRDefault="009629C4">
            <w:pPr>
              <w:pStyle w:val="P68B1DB1-Normal12"/>
              <w:spacing w:after="120"/>
              <w:rPr>
                <w:noProof/>
              </w:rPr>
            </w:pPr>
            <w:r>
              <w:rPr>
                <w:noProof/>
              </w:rPr>
              <w:t>Palvelujen on oltava käytettävissä institutionaalisessa toimipaikassa asianmukaisen profilointilogiikan avulla (järjestelmä ehdottaa mahdollisesti kiinnostavia palveluja iän, työn ominaispiirteiden, oletettujen hyötyjen ja käyttäjähistorian perusteella).</w:t>
            </w:r>
          </w:p>
          <w:p w14:paraId="442701D8" w14:textId="77777777" w:rsidR="00E42B18" w:rsidRDefault="009629C4">
            <w:pPr>
              <w:pStyle w:val="P68B1DB1-Normal11"/>
              <w:spacing w:after="120"/>
              <w:rPr>
                <w:noProof/>
                <w:szCs w:val="20"/>
              </w:rPr>
            </w:pPr>
            <w:r>
              <w:rPr>
                <w:noProof/>
              </w:rPr>
              <w:t>Nämä 35 palvelua liittyvät seuraaviin INPS:n institutionaalisiin aloihin:</w:t>
            </w:r>
          </w:p>
          <w:p w14:paraId="277EA771" w14:textId="77777777" w:rsidR="00E42B18" w:rsidRDefault="009629C4">
            <w:pPr>
              <w:pStyle w:val="P68B1DB1-Normal11"/>
              <w:spacing w:after="120"/>
              <w:contextualSpacing/>
              <w:rPr>
                <w:noProof/>
                <w:szCs w:val="20"/>
              </w:rPr>
            </w:pPr>
            <w:r>
              <w:rPr>
                <w:noProof/>
              </w:rPr>
              <w:t>•Eläke-etuudet</w:t>
            </w:r>
          </w:p>
          <w:p w14:paraId="40EA6A13" w14:textId="77777777" w:rsidR="00E42B18" w:rsidRDefault="009629C4">
            <w:pPr>
              <w:pStyle w:val="P68B1DB1-Normal11"/>
              <w:spacing w:after="120"/>
              <w:contextualSpacing/>
              <w:rPr>
                <w:noProof/>
                <w:szCs w:val="20"/>
              </w:rPr>
            </w:pPr>
            <w:r>
              <w:rPr>
                <w:noProof/>
              </w:rPr>
              <w:t>•Sosiaaliset imeytysaineet</w:t>
            </w:r>
          </w:p>
          <w:p w14:paraId="7BF43470" w14:textId="77777777" w:rsidR="00E42B18" w:rsidRDefault="009629C4">
            <w:pPr>
              <w:pStyle w:val="P68B1DB1-Normal11"/>
              <w:spacing w:after="120"/>
              <w:contextualSpacing/>
              <w:rPr>
                <w:noProof/>
                <w:szCs w:val="20"/>
              </w:rPr>
            </w:pPr>
            <w:r>
              <w:rPr>
                <w:noProof/>
              </w:rPr>
              <w:t>•Työttömyysetuudet</w:t>
            </w:r>
          </w:p>
          <w:p w14:paraId="628CAF36" w14:textId="77777777" w:rsidR="00E42B18" w:rsidRDefault="009629C4">
            <w:pPr>
              <w:pStyle w:val="P68B1DB1-Normal11"/>
              <w:spacing w:after="120"/>
              <w:contextualSpacing/>
              <w:rPr>
                <w:noProof/>
                <w:szCs w:val="20"/>
              </w:rPr>
            </w:pPr>
            <w:r>
              <w:rPr>
                <w:noProof/>
              </w:rPr>
              <w:t>•Vammaisuusetuudet</w:t>
            </w:r>
          </w:p>
          <w:p w14:paraId="4A2A94A4" w14:textId="77777777" w:rsidR="00E42B18" w:rsidRDefault="009629C4">
            <w:pPr>
              <w:pStyle w:val="P68B1DB1-Normal11"/>
              <w:spacing w:after="120"/>
              <w:contextualSpacing/>
              <w:rPr>
                <w:noProof/>
                <w:szCs w:val="20"/>
              </w:rPr>
            </w:pPr>
            <w:r>
              <w:rPr>
                <w:noProof/>
              </w:rPr>
              <w:t>•Uudistukset</w:t>
            </w:r>
          </w:p>
          <w:p w14:paraId="5E95323D" w14:textId="77777777" w:rsidR="00E42B18" w:rsidRDefault="009629C4">
            <w:pPr>
              <w:pStyle w:val="P68B1DB1-Normal11"/>
              <w:spacing w:after="120"/>
              <w:contextualSpacing/>
              <w:rPr>
                <w:noProof/>
                <w:szCs w:val="20"/>
              </w:rPr>
            </w:pPr>
            <w:r>
              <w:rPr>
                <w:noProof/>
              </w:rPr>
              <w:t>•Yhtiöltä perittävät rahoitusosuudet</w:t>
            </w:r>
          </w:p>
          <w:p w14:paraId="1CB5461F" w14:textId="77777777" w:rsidR="00E42B18" w:rsidRDefault="009629C4">
            <w:pPr>
              <w:pStyle w:val="P68B1DB1-Normal11"/>
              <w:spacing w:after="120"/>
              <w:contextualSpacing/>
              <w:rPr>
                <w:noProof/>
                <w:szCs w:val="20"/>
              </w:rPr>
            </w:pPr>
            <w:r>
              <w:rPr>
                <w:noProof/>
              </w:rPr>
              <w:t>•Maataloustyöntekijöiden palvelut</w:t>
            </w:r>
          </w:p>
          <w:p w14:paraId="714FE5AE" w14:textId="77777777" w:rsidR="00E42B18" w:rsidRDefault="009629C4">
            <w:pPr>
              <w:pStyle w:val="P68B1DB1-Normal12"/>
              <w:spacing w:after="120"/>
              <w:rPr>
                <w:noProof/>
              </w:rPr>
            </w:pPr>
            <w:r>
              <w:rPr>
                <w:noProof/>
              </w:rPr>
              <w:t>•Petostentorjunta-, korruptio- ja avoimuuspalvelut</w:t>
            </w:r>
          </w:p>
          <w:p w14:paraId="212B3CEC" w14:textId="77777777" w:rsidR="00E42B18" w:rsidRDefault="009629C4">
            <w:pPr>
              <w:pStyle w:val="P68B1DB1-Normal11"/>
              <w:spacing w:before="120" w:after="120"/>
              <w:rPr>
                <w:noProof/>
                <w:szCs w:val="20"/>
              </w:rPr>
            </w:pPr>
            <w:r>
              <w:rPr>
                <w:noProof/>
              </w:rPr>
              <w:t>Luetelluilla institutionaalisilla aloilla toteutettavat palvelut koskevat palvelupyyntöjen digitaalista toimittamista, etua koskevien vaatimusten tarkistamista, käyttäjien suorittamaa käytännön tilan seurantaa, käyttäjän tarpeisiin perustuvaa ennakoivaa palveluehdotusta ja etuuksien automaattista uusimista ilman uusien sovellusten tarvetta.</w:t>
            </w:r>
          </w:p>
          <w:p w14:paraId="12CCF531" w14:textId="77777777" w:rsidR="00E42B18" w:rsidRDefault="009629C4">
            <w:pPr>
              <w:pStyle w:val="P68B1DB1-Normal12"/>
              <w:spacing w:after="120"/>
              <w:rPr>
                <w:noProof/>
              </w:rPr>
            </w:pPr>
            <w:r>
              <w:rPr>
                <w:noProof/>
              </w:rPr>
              <w:t>Lisäksi on oltava seurantakojetauluja, joiden avulla INPS voi seurata sekä tarjottuja hyötyjä että datavetoista tukea poliittisten päättäjien päätöksille.</w:t>
            </w:r>
          </w:p>
        </w:tc>
      </w:tr>
      <w:tr w:rsidR="00E42B18" w14:paraId="09E46D22" w14:textId="77777777">
        <w:trPr>
          <w:trHeight w:val="309"/>
        </w:trPr>
        <w:tc>
          <w:tcPr>
            <w:tcW w:w="1087" w:type="dxa"/>
            <w:shd w:val="clear" w:color="auto" w:fill="C6EFCE"/>
            <w:noWrap/>
            <w:vAlign w:val="center"/>
          </w:tcPr>
          <w:p w14:paraId="494D7749" w14:textId="77777777" w:rsidR="00E42B18" w:rsidRDefault="009629C4">
            <w:pPr>
              <w:pStyle w:val="P68B1DB1-Normal11"/>
              <w:jc w:val="center"/>
              <w:rPr>
                <w:noProof/>
                <w:szCs w:val="20"/>
              </w:rPr>
            </w:pPr>
            <w:r>
              <w:rPr>
                <w:noProof/>
              </w:rPr>
              <w:t>M1C1–124</w:t>
            </w:r>
          </w:p>
        </w:tc>
        <w:tc>
          <w:tcPr>
            <w:tcW w:w="1943" w:type="dxa"/>
            <w:shd w:val="clear" w:color="auto" w:fill="C6EFCE"/>
            <w:noWrap/>
            <w:vAlign w:val="center"/>
          </w:tcPr>
          <w:p w14:paraId="3BE5FE8A" w14:textId="77777777" w:rsidR="00E42B18" w:rsidRDefault="009629C4">
            <w:pPr>
              <w:pStyle w:val="P68B1DB1-Normal11"/>
              <w:jc w:val="center"/>
              <w:rPr>
                <w:noProof/>
                <w:szCs w:val="20"/>
              </w:rPr>
            </w:pPr>
            <w:r>
              <w:rPr>
                <w:noProof/>
              </w:rPr>
              <w:t>Investointi 1.6.3 – Kansallisen sosiaaliturvalaitoksen (INPS) ja työtapaturmavakuutuslaitoksen (INAIL) digitalisointi</w:t>
            </w:r>
          </w:p>
        </w:tc>
        <w:tc>
          <w:tcPr>
            <w:tcW w:w="992" w:type="dxa"/>
            <w:shd w:val="clear" w:color="auto" w:fill="C6EFCE"/>
            <w:noWrap/>
            <w:vAlign w:val="center"/>
          </w:tcPr>
          <w:p w14:paraId="0162D7DE"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48000A0F" w14:textId="77777777" w:rsidR="00E42B18" w:rsidRDefault="009629C4">
            <w:pPr>
              <w:pStyle w:val="P68B1DB1-Normal11"/>
              <w:jc w:val="center"/>
              <w:rPr>
                <w:noProof/>
                <w:szCs w:val="20"/>
              </w:rPr>
            </w:pPr>
            <w:r>
              <w:rPr>
                <w:noProof/>
              </w:rPr>
              <w:t>INPS – työntekijät, joilla on paremmat tieto- ja viestintätekniikan taidot T1</w:t>
            </w:r>
          </w:p>
        </w:tc>
        <w:tc>
          <w:tcPr>
            <w:tcW w:w="1701" w:type="dxa"/>
            <w:shd w:val="clear" w:color="auto" w:fill="C6EFCE"/>
            <w:noWrap/>
            <w:vAlign w:val="center"/>
          </w:tcPr>
          <w:p w14:paraId="448EB3F2"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319A2FB2"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03247EE8" w14:textId="77777777" w:rsidR="00E42B18" w:rsidRDefault="009629C4">
            <w:pPr>
              <w:pStyle w:val="P68B1DB1-Normal11"/>
              <w:jc w:val="center"/>
              <w:rPr>
                <w:noProof/>
                <w:szCs w:val="20"/>
              </w:rPr>
            </w:pPr>
            <w:r>
              <w:rPr>
                <w:noProof/>
              </w:rPr>
              <w:t>0</w:t>
            </w:r>
          </w:p>
        </w:tc>
        <w:tc>
          <w:tcPr>
            <w:tcW w:w="1417" w:type="dxa"/>
            <w:shd w:val="clear" w:color="auto" w:fill="C6EFCE"/>
            <w:noWrap/>
            <w:vAlign w:val="center"/>
          </w:tcPr>
          <w:p w14:paraId="2A254973" w14:textId="77777777" w:rsidR="00E42B18" w:rsidRDefault="009629C4">
            <w:pPr>
              <w:pStyle w:val="P68B1DB1-Normal11"/>
              <w:jc w:val="center"/>
              <w:rPr>
                <w:noProof/>
                <w:szCs w:val="20"/>
              </w:rPr>
            </w:pPr>
            <w:r>
              <w:rPr>
                <w:noProof/>
              </w:rPr>
              <w:t>4 250</w:t>
            </w:r>
          </w:p>
        </w:tc>
        <w:tc>
          <w:tcPr>
            <w:tcW w:w="793" w:type="dxa"/>
            <w:shd w:val="clear" w:color="auto" w:fill="C6EFCE"/>
            <w:noWrap/>
            <w:vAlign w:val="center"/>
          </w:tcPr>
          <w:p w14:paraId="737F78F9"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7C50E223" w14:textId="77777777" w:rsidR="00E42B18" w:rsidRDefault="009629C4">
            <w:pPr>
              <w:pStyle w:val="P68B1DB1-Normal11"/>
              <w:jc w:val="center"/>
              <w:rPr>
                <w:noProof/>
                <w:szCs w:val="20"/>
              </w:rPr>
            </w:pPr>
            <w:r>
              <w:rPr>
                <w:noProof/>
              </w:rPr>
              <w:t>2022</w:t>
            </w:r>
          </w:p>
        </w:tc>
        <w:tc>
          <w:tcPr>
            <w:tcW w:w="2584" w:type="dxa"/>
            <w:shd w:val="clear" w:color="auto" w:fill="C6EFCE"/>
            <w:noWrap/>
            <w:vAlign w:val="center"/>
          </w:tcPr>
          <w:p w14:paraId="46005851" w14:textId="77777777" w:rsidR="00E42B18" w:rsidRDefault="009629C4">
            <w:pPr>
              <w:pStyle w:val="P68B1DB1-Normal12"/>
              <w:spacing w:after="120"/>
              <w:rPr>
                <w:noProof/>
              </w:rPr>
            </w:pPr>
            <w:r>
              <w:rPr>
                <w:noProof/>
              </w:rPr>
              <w:t>Vähintään 4250 INPS:n työntekijää on arvioinut tietojensa osalta ja heillä on sertifioitua parempaa osaamista seuraavilla eurooppalaisen sähköisen osaamisen kehyksen aloilla: I) suunnitelma; II) Build; III) Run (iv) Käytettävissä; v) Hallinnointi.</w:t>
            </w:r>
          </w:p>
          <w:p w14:paraId="16490228" w14:textId="77777777" w:rsidR="00E42B18" w:rsidRDefault="009629C4">
            <w:pPr>
              <w:pStyle w:val="P68B1DB1-Normal12"/>
              <w:spacing w:after="120"/>
              <w:rPr>
                <w:noProof/>
              </w:rPr>
            </w:pPr>
            <w:r>
              <w:rPr>
                <w:noProof/>
              </w:rPr>
              <w:t>Alat, joilla osaamista voidaan parantaa, määritellään oppijoiden kohderyhmän mukaan.</w:t>
            </w:r>
          </w:p>
        </w:tc>
      </w:tr>
      <w:tr w:rsidR="00E42B18" w14:paraId="51709874" w14:textId="77777777">
        <w:trPr>
          <w:trHeight w:val="309"/>
        </w:trPr>
        <w:tc>
          <w:tcPr>
            <w:tcW w:w="1087" w:type="dxa"/>
            <w:shd w:val="clear" w:color="auto" w:fill="C6EFCE"/>
            <w:noWrap/>
            <w:vAlign w:val="center"/>
          </w:tcPr>
          <w:p w14:paraId="1B3B7876" w14:textId="77777777" w:rsidR="00E42B18" w:rsidRDefault="009629C4">
            <w:pPr>
              <w:pStyle w:val="P68B1DB1-Normal11"/>
              <w:jc w:val="center"/>
              <w:rPr>
                <w:noProof/>
                <w:szCs w:val="20"/>
              </w:rPr>
            </w:pPr>
            <w:r>
              <w:rPr>
                <w:noProof/>
              </w:rPr>
              <w:t>M1C1–125</w:t>
            </w:r>
          </w:p>
        </w:tc>
        <w:tc>
          <w:tcPr>
            <w:tcW w:w="1943" w:type="dxa"/>
            <w:shd w:val="clear" w:color="auto" w:fill="C6EFCE"/>
            <w:noWrap/>
            <w:vAlign w:val="center"/>
          </w:tcPr>
          <w:p w14:paraId="538908CE" w14:textId="77777777" w:rsidR="00E42B18" w:rsidRDefault="009629C4">
            <w:pPr>
              <w:pStyle w:val="P68B1DB1-Normal11"/>
              <w:jc w:val="center"/>
              <w:rPr>
                <w:noProof/>
                <w:szCs w:val="20"/>
              </w:rPr>
            </w:pPr>
            <w:r>
              <w:rPr>
                <w:noProof/>
              </w:rPr>
              <w:t>Investointi 1.2 – Pilvipalvelut paikalliselle palestiinalaishallinnolle</w:t>
            </w:r>
          </w:p>
        </w:tc>
        <w:tc>
          <w:tcPr>
            <w:tcW w:w="992" w:type="dxa"/>
            <w:shd w:val="clear" w:color="auto" w:fill="C6EFCE"/>
            <w:noWrap/>
            <w:vAlign w:val="center"/>
          </w:tcPr>
          <w:p w14:paraId="4B239AAE" w14:textId="77777777" w:rsidR="00E42B18" w:rsidRDefault="009629C4">
            <w:pPr>
              <w:pStyle w:val="P68B1DB1-Normal11"/>
              <w:jc w:val="center"/>
              <w:rPr>
                <w:noProof/>
                <w:szCs w:val="20"/>
              </w:rPr>
            </w:pPr>
            <w:r>
              <w:rPr>
                <w:noProof/>
              </w:rPr>
              <w:t>Virstanpylväs</w:t>
            </w:r>
          </w:p>
        </w:tc>
        <w:tc>
          <w:tcPr>
            <w:tcW w:w="2126" w:type="dxa"/>
            <w:shd w:val="clear" w:color="auto" w:fill="C6EFCE"/>
            <w:noWrap/>
            <w:vAlign w:val="center"/>
          </w:tcPr>
          <w:p w14:paraId="2FF1E8DE" w14:textId="77777777" w:rsidR="00E42B18" w:rsidRDefault="009629C4">
            <w:pPr>
              <w:pStyle w:val="P68B1DB1-Normal11"/>
              <w:jc w:val="center"/>
              <w:rPr>
                <w:noProof/>
                <w:szCs w:val="20"/>
              </w:rPr>
            </w:pPr>
            <w:r>
              <w:rPr>
                <w:noProof/>
              </w:rPr>
              <w:t>(Kaikkien) julkisten hankintamenettelyjen myöntäminen pilvipalvelujen mahdollistamiseksi paikallishallinnon tarjouskilpailuissa</w:t>
            </w:r>
          </w:p>
        </w:tc>
        <w:tc>
          <w:tcPr>
            <w:tcW w:w="1701" w:type="dxa"/>
            <w:shd w:val="clear" w:color="auto" w:fill="C6EFCE"/>
            <w:noWrap/>
            <w:vAlign w:val="center"/>
          </w:tcPr>
          <w:p w14:paraId="6E7F5673" w14:textId="77777777" w:rsidR="00E42B18" w:rsidRDefault="009629C4">
            <w:pPr>
              <w:pStyle w:val="P68B1DB1-Normal11"/>
              <w:jc w:val="center"/>
              <w:rPr>
                <w:noProof/>
                <w:szCs w:val="20"/>
              </w:rPr>
            </w:pPr>
            <w:r>
              <w:rPr>
                <w:noProof/>
              </w:rPr>
              <w:t>Ilmoitus (kaikkien) pilvipalvelujen mahdollistamista koskevien julkisten hankintasopimusten tekemisestä paikallishallinnon tarjouskilpailuissa</w:t>
            </w:r>
          </w:p>
        </w:tc>
        <w:tc>
          <w:tcPr>
            <w:tcW w:w="1134" w:type="dxa"/>
            <w:shd w:val="clear" w:color="auto" w:fill="C6EFCE"/>
            <w:noWrap/>
            <w:vAlign w:val="center"/>
          </w:tcPr>
          <w:p w14:paraId="262476C2" w14:textId="77777777" w:rsidR="00E42B18" w:rsidRDefault="009629C4">
            <w:pPr>
              <w:pStyle w:val="P68B1DB1-Normal11"/>
              <w:jc w:val="center"/>
              <w:rPr>
                <w:noProof/>
                <w:szCs w:val="20"/>
              </w:rPr>
            </w:pPr>
            <w:r>
              <w:rPr>
                <w:noProof/>
              </w:rPr>
              <w:t>EI OLE</w:t>
            </w:r>
          </w:p>
        </w:tc>
        <w:tc>
          <w:tcPr>
            <w:tcW w:w="1276" w:type="dxa"/>
            <w:shd w:val="clear" w:color="auto" w:fill="C6EFCE"/>
            <w:noWrap/>
            <w:vAlign w:val="center"/>
          </w:tcPr>
          <w:p w14:paraId="5FECC96A" w14:textId="77777777" w:rsidR="00E42B18" w:rsidRDefault="009629C4">
            <w:pPr>
              <w:pStyle w:val="P68B1DB1-Normal11"/>
              <w:jc w:val="center"/>
              <w:rPr>
                <w:noProof/>
                <w:szCs w:val="20"/>
              </w:rPr>
            </w:pPr>
            <w:r>
              <w:rPr>
                <w:noProof/>
              </w:rPr>
              <w:t>EI OLE</w:t>
            </w:r>
          </w:p>
        </w:tc>
        <w:tc>
          <w:tcPr>
            <w:tcW w:w="1417" w:type="dxa"/>
            <w:shd w:val="clear" w:color="auto" w:fill="C6EFCE"/>
            <w:noWrap/>
            <w:vAlign w:val="center"/>
          </w:tcPr>
          <w:p w14:paraId="19F7D8A7" w14:textId="77777777" w:rsidR="00E42B18" w:rsidRDefault="009629C4">
            <w:pPr>
              <w:pStyle w:val="P68B1DB1-Normal11"/>
              <w:jc w:val="center"/>
              <w:rPr>
                <w:noProof/>
                <w:szCs w:val="20"/>
              </w:rPr>
            </w:pPr>
            <w:r>
              <w:rPr>
                <w:noProof/>
              </w:rPr>
              <w:t>EI OLE</w:t>
            </w:r>
          </w:p>
        </w:tc>
        <w:tc>
          <w:tcPr>
            <w:tcW w:w="793" w:type="dxa"/>
            <w:shd w:val="clear" w:color="auto" w:fill="C6EFCE"/>
            <w:noWrap/>
            <w:vAlign w:val="center"/>
          </w:tcPr>
          <w:p w14:paraId="543F3CC8" w14:textId="77777777" w:rsidR="00E42B18" w:rsidRDefault="009629C4">
            <w:pPr>
              <w:pStyle w:val="P68B1DB1-Normal11"/>
              <w:jc w:val="center"/>
              <w:rPr>
                <w:noProof/>
                <w:szCs w:val="20"/>
              </w:rPr>
            </w:pPr>
            <w:r>
              <w:rPr>
                <w:noProof/>
              </w:rPr>
              <w:t>Q1</w:t>
            </w:r>
          </w:p>
        </w:tc>
        <w:tc>
          <w:tcPr>
            <w:tcW w:w="625" w:type="dxa"/>
            <w:shd w:val="clear" w:color="auto" w:fill="C6EFCE"/>
            <w:noWrap/>
            <w:vAlign w:val="center"/>
          </w:tcPr>
          <w:p w14:paraId="190BB4C0"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7121F965" w14:textId="77777777" w:rsidR="00E42B18" w:rsidRDefault="009629C4">
            <w:pPr>
              <w:pStyle w:val="P68B1DB1-Normal12"/>
              <w:spacing w:after="120"/>
              <w:rPr>
                <w:noProof/>
              </w:rPr>
            </w:pPr>
            <w:r>
              <w:rPr>
                <w:noProof/>
              </w:rPr>
              <w:t>Ilmoitus (kaikista) julkisista ehdotuspyynnöistä, jotka koskevat kutakin asianomaista julkishallintotyyppiä (kunnat, koulut, paikalliset terveydenhuoltolaitokset) maahanmuuttosuunnitelmien keräämistä ja arviointia varten. Kolmen kohdennetun ehdotuspyynnön avulla teknologisesta innovoinnista ja digitaalisesta siirtymästä vastaava ministeriö voi arvioida kunkin asiaan liittyvän julkishallinnon erityistarpeita.</w:t>
            </w:r>
          </w:p>
          <w:p w14:paraId="3F699B1E" w14:textId="77777777" w:rsidR="00E42B18" w:rsidRDefault="009629C4">
            <w:pPr>
              <w:pStyle w:val="P68B1DB1-Normal11"/>
              <w:spacing w:after="120"/>
              <w:rPr>
                <w:noProof/>
                <w:szCs w:val="20"/>
              </w:rPr>
            </w:pPr>
            <w:r>
              <w:rPr>
                <w:noProof/>
              </w:rPr>
              <w:t>Tarjouskilpailut (eli rahoitusta saavien julkishallintojen luettelon julkaiseminen) liittyivät kolmeen julkiseen ehdotuspyyntöön, jotka koskivat kuntia, kouluja ja paikallisia terveydenhuoltolaitoksia. Tarjouskilpailut koskivat muuttosuunnitelmien keräämistä ja arviointia ”ei merkittävää haittaa” -periaatetta koskevien teknisten ohjeiden (2021/C58/01) mukaisesti käyttämällä poissulkemisluetteloa ja vaatimusta noudattaa asiaankuuluvaa EU:n ja kansallista ympäristölainsäädäntöä.</w:t>
            </w:r>
          </w:p>
        </w:tc>
      </w:tr>
      <w:tr w:rsidR="00E42B18" w14:paraId="79DDC58D" w14:textId="77777777">
        <w:trPr>
          <w:trHeight w:val="309"/>
        </w:trPr>
        <w:tc>
          <w:tcPr>
            <w:tcW w:w="1087" w:type="dxa"/>
            <w:shd w:val="clear" w:color="auto" w:fill="C6EFCE"/>
            <w:noWrap/>
            <w:vAlign w:val="center"/>
          </w:tcPr>
          <w:p w14:paraId="679569B6" w14:textId="77777777" w:rsidR="00E42B18" w:rsidRDefault="009629C4">
            <w:pPr>
              <w:pStyle w:val="P68B1DB1-Normal11"/>
              <w:jc w:val="center"/>
              <w:rPr>
                <w:noProof/>
                <w:szCs w:val="20"/>
              </w:rPr>
            </w:pPr>
            <w:r>
              <w:rPr>
                <w:noProof/>
              </w:rPr>
              <w:t>M1C1–126</w:t>
            </w:r>
          </w:p>
        </w:tc>
        <w:tc>
          <w:tcPr>
            <w:tcW w:w="1943" w:type="dxa"/>
            <w:shd w:val="clear" w:color="auto" w:fill="C6EFCE"/>
            <w:noWrap/>
            <w:vAlign w:val="center"/>
          </w:tcPr>
          <w:p w14:paraId="6A056792" w14:textId="77777777" w:rsidR="00E42B18" w:rsidRDefault="009629C4">
            <w:pPr>
              <w:pStyle w:val="P68B1DB1-Normal12"/>
              <w:jc w:val="center"/>
              <w:rPr>
                <w:noProof/>
              </w:rPr>
            </w:pPr>
            <w:r>
              <w:rPr>
                <w:noProof/>
              </w:rPr>
              <w:t>Investointi 1.4.3 – PagoPA-alustapalvelujen ja ”IO”-sovelluksen käyttöönotto</w:t>
            </w:r>
          </w:p>
        </w:tc>
        <w:tc>
          <w:tcPr>
            <w:tcW w:w="992" w:type="dxa"/>
            <w:shd w:val="clear" w:color="auto" w:fill="C6EFCE"/>
            <w:noWrap/>
            <w:vAlign w:val="center"/>
          </w:tcPr>
          <w:p w14:paraId="6C6340ED"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36BEABB9" w14:textId="77777777" w:rsidR="00E42B18" w:rsidRDefault="009629C4">
            <w:pPr>
              <w:pStyle w:val="P68B1DB1-Normal12"/>
              <w:jc w:val="center"/>
              <w:rPr>
                <w:noProof/>
              </w:rPr>
            </w:pPr>
            <w:r>
              <w:rPr>
                <w:noProof/>
              </w:rPr>
              <w:t>PagoPA-alustapalvelujen T1 käyttöönotto</w:t>
            </w:r>
          </w:p>
        </w:tc>
        <w:tc>
          <w:tcPr>
            <w:tcW w:w="1701" w:type="dxa"/>
            <w:shd w:val="clear" w:color="auto" w:fill="C6EFCE"/>
            <w:noWrap/>
            <w:vAlign w:val="center"/>
          </w:tcPr>
          <w:p w14:paraId="4BCEBA23"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54C7BA10"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0D39E07E" w14:textId="77777777" w:rsidR="00E42B18" w:rsidRDefault="009629C4">
            <w:pPr>
              <w:pStyle w:val="P68B1DB1-Normal11"/>
              <w:jc w:val="center"/>
              <w:rPr>
                <w:noProof/>
                <w:szCs w:val="20"/>
              </w:rPr>
            </w:pPr>
            <w:r>
              <w:rPr>
                <w:noProof/>
              </w:rPr>
              <w:t>9 000</w:t>
            </w:r>
          </w:p>
        </w:tc>
        <w:tc>
          <w:tcPr>
            <w:tcW w:w="1417" w:type="dxa"/>
            <w:shd w:val="clear" w:color="auto" w:fill="C6EFCE"/>
            <w:noWrap/>
            <w:vAlign w:val="center"/>
          </w:tcPr>
          <w:p w14:paraId="0065EBBD" w14:textId="77777777" w:rsidR="00E42B18" w:rsidRDefault="009629C4">
            <w:pPr>
              <w:pStyle w:val="P68B1DB1-Normal11"/>
              <w:jc w:val="center"/>
              <w:rPr>
                <w:noProof/>
                <w:szCs w:val="20"/>
              </w:rPr>
            </w:pPr>
            <w:r>
              <w:rPr>
                <w:noProof/>
              </w:rPr>
              <w:t xml:space="preserve">11 450 </w:t>
            </w:r>
          </w:p>
        </w:tc>
        <w:tc>
          <w:tcPr>
            <w:tcW w:w="793" w:type="dxa"/>
            <w:shd w:val="clear" w:color="auto" w:fill="C6EFCE"/>
            <w:noWrap/>
            <w:vAlign w:val="center"/>
          </w:tcPr>
          <w:p w14:paraId="61115A58"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71C3D402"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00A94A7D" w14:textId="77777777" w:rsidR="00E42B18" w:rsidRDefault="009629C4">
            <w:pPr>
              <w:pStyle w:val="P68B1DB1-Normal11"/>
              <w:spacing w:after="120"/>
              <w:rPr>
                <w:noProof/>
                <w:szCs w:val="20"/>
              </w:rPr>
            </w:pPr>
            <w:r>
              <w:rPr>
                <w:noProof/>
              </w:rPr>
              <w:t>Varmistetaan alustaan integroitujen palvelujen määrän lisääminen, jotta voidaan</w:t>
            </w:r>
          </w:p>
          <w:p w14:paraId="799B5754" w14:textId="77777777" w:rsidR="00E42B18" w:rsidRDefault="009629C4">
            <w:pPr>
              <w:pStyle w:val="P68B1DB1-Normal11"/>
              <w:rPr>
                <w:noProof/>
                <w:szCs w:val="20"/>
              </w:rPr>
            </w:pPr>
            <w:r>
              <w:rPr>
                <w:noProof/>
              </w:rPr>
              <w:t>— julkishallinnot jo perusskenaariossa (9000 yksikköä)</w:t>
            </w:r>
          </w:p>
          <w:p w14:paraId="57721B04" w14:textId="77777777" w:rsidR="00E42B18" w:rsidRDefault="009629C4">
            <w:pPr>
              <w:pStyle w:val="P68B1DB1-Normal11"/>
              <w:spacing w:after="120"/>
              <w:rPr>
                <w:noProof/>
                <w:szCs w:val="20"/>
              </w:rPr>
            </w:pPr>
            <w:r>
              <w:rPr>
                <w:noProof/>
              </w:rPr>
              <w:t>— foorumiin liittyvät uudet julkishallinnot (2450 uutta yksikköä).</w:t>
            </w:r>
          </w:p>
          <w:p w14:paraId="4F83443D" w14:textId="77777777" w:rsidR="00E42B18" w:rsidRDefault="009629C4">
            <w:pPr>
              <w:pStyle w:val="P68B1DB1-Normal12"/>
              <w:spacing w:before="120" w:after="120"/>
              <w:rPr>
                <w:noProof/>
              </w:rPr>
            </w:pPr>
            <w:r>
              <w:rPr>
                <w:noProof/>
              </w:rPr>
              <w:t>Molemmissa tapauksissa foorumiin liittyvien julkishallintojen palvelujen kokonaismäärän on kasvettava vähintään 20 prosenttia verrattuna vuoden 2021 palvelujen perustasoon (31.3.2021). Integroitavien palvelujen määrä riippuu hallinnon tyypistä (vuoden 2026 lopullinen tavoite on, että kunnilla on keskimäärin 35 palvelua, alueilla 15 palvelua, terveysviranomaisille 15 palvelua ja kouluille ja yliopistoille 8 palvelua).</w:t>
            </w:r>
          </w:p>
        </w:tc>
      </w:tr>
      <w:tr w:rsidR="00E42B18" w14:paraId="67341C36" w14:textId="77777777">
        <w:trPr>
          <w:trHeight w:val="309"/>
        </w:trPr>
        <w:tc>
          <w:tcPr>
            <w:tcW w:w="1087" w:type="dxa"/>
            <w:shd w:val="clear" w:color="auto" w:fill="C6EFCE"/>
            <w:noWrap/>
            <w:vAlign w:val="center"/>
          </w:tcPr>
          <w:p w14:paraId="4BF0B9EB" w14:textId="77777777" w:rsidR="00E42B18" w:rsidRDefault="009629C4">
            <w:pPr>
              <w:pStyle w:val="P68B1DB1-Normal11"/>
              <w:jc w:val="center"/>
              <w:rPr>
                <w:noProof/>
                <w:szCs w:val="20"/>
              </w:rPr>
            </w:pPr>
            <w:r>
              <w:rPr>
                <w:noProof/>
              </w:rPr>
              <w:t>M1C1–127</w:t>
            </w:r>
          </w:p>
        </w:tc>
        <w:tc>
          <w:tcPr>
            <w:tcW w:w="1943" w:type="dxa"/>
            <w:shd w:val="clear" w:color="auto" w:fill="C6EFCE"/>
            <w:noWrap/>
            <w:vAlign w:val="center"/>
          </w:tcPr>
          <w:p w14:paraId="6D194469" w14:textId="77777777" w:rsidR="00E42B18" w:rsidRDefault="009629C4">
            <w:pPr>
              <w:pStyle w:val="P68B1DB1-Normal12"/>
              <w:jc w:val="center"/>
              <w:rPr>
                <w:noProof/>
              </w:rPr>
            </w:pPr>
            <w:r>
              <w:rPr>
                <w:noProof/>
              </w:rPr>
              <w:t>Investointi 1.4.3 – PagoPA-alustapalvelujen ja ”IO”-sovelluksen käyttöönotto</w:t>
            </w:r>
          </w:p>
        </w:tc>
        <w:tc>
          <w:tcPr>
            <w:tcW w:w="992" w:type="dxa"/>
            <w:shd w:val="clear" w:color="auto" w:fill="C6EFCE"/>
            <w:noWrap/>
            <w:vAlign w:val="center"/>
          </w:tcPr>
          <w:p w14:paraId="7D625A64"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41329E0C" w14:textId="77777777" w:rsidR="00E42B18" w:rsidRDefault="009629C4">
            <w:pPr>
              <w:pStyle w:val="P68B1DB1-Normal12"/>
              <w:jc w:val="center"/>
              <w:rPr>
                <w:noProof/>
              </w:rPr>
            </w:pPr>
            <w:r>
              <w:rPr>
                <w:noProof/>
              </w:rPr>
              <w:t>”IO”-sovelluksen T1 käyttöönotto</w:t>
            </w:r>
          </w:p>
        </w:tc>
        <w:tc>
          <w:tcPr>
            <w:tcW w:w="1701" w:type="dxa"/>
            <w:shd w:val="clear" w:color="auto" w:fill="C6EFCE"/>
            <w:noWrap/>
            <w:vAlign w:val="center"/>
          </w:tcPr>
          <w:p w14:paraId="4DE6059B"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0C71DD95"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074E618B" w14:textId="77777777" w:rsidR="00E42B18" w:rsidRDefault="009629C4">
            <w:pPr>
              <w:pStyle w:val="P68B1DB1-Normal11"/>
              <w:jc w:val="center"/>
              <w:rPr>
                <w:noProof/>
                <w:szCs w:val="20"/>
              </w:rPr>
            </w:pPr>
            <w:r>
              <w:rPr>
                <w:noProof/>
              </w:rPr>
              <w:t>2 700</w:t>
            </w:r>
          </w:p>
        </w:tc>
        <w:tc>
          <w:tcPr>
            <w:tcW w:w="1417" w:type="dxa"/>
            <w:shd w:val="clear" w:color="auto" w:fill="C6EFCE"/>
            <w:noWrap/>
            <w:vAlign w:val="center"/>
          </w:tcPr>
          <w:p w14:paraId="6500BEC0" w14:textId="77777777" w:rsidR="00E42B18" w:rsidRDefault="009629C4">
            <w:pPr>
              <w:pStyle w:val="P68B1DB1-Normal11"/>
              <w:jc w:val="center"/>
              <w:rPr>
                <w:noProof/>
                <w:szCs w:val="20"/>
              </w:rPr>
            </w:pPr>
            <w:r>
              <w:rPr>
                <w:noProof/>
              </w:rPr>
              <w:t>7 000</w:t>
            </w:r>
          </w:p>
        </w:tc>
        <w:tc>
          <w:tcPr>
            <w:tcW w:w="793" w:type="dxa"/>
            <w:shd w:val="clear" w:color="auto" w:fill="C6EFCE"/>
            <w:noWrap/>
            <w:vAlign w:val="center"/>
          </w:tcPr>
          <w:p w14:paraId="68A2C0DC"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46CDB474"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5C909BA2" w14:textId="77777777" w:rsidR="00E42B18" w:rsidRDefault="009629C4">
            <w:pPr>
              <w:pStyle w:val="P68B1DB1-Normal11"/>
              <w:spacing w:after="120"/>
              <w:rPr>
                <w:noProof/>
                <w:szCs w:val="20"/>
              </w:rPr>
            </w:pPr>
            <w:r>
              <w:rPr>
                <w:noProof/>
              </w:rPr>
              <w:t>Varmistetaan, että ”IO:n sovellus:</w:t>
            </w:r>
          </w:p>
          <w:p w14:paraId="32AF795C" w14:textId="77777777" w:rsidR="00E42B18" w:rsidRDefault="009629C4">
            <w:pPr>
              <w:pStyle w:val="P68B1DB1-Normal11"/>
              <w:spacing w:before="120" w:after="120"/>
              <w:rPr>
                <w:noProof/>
                <w:szCs w:val="20"/>
              </w:rPr>
            </w:pPr>
            <w:r>
              <w:rPr>
                <w:noProof/>
              </w:rPr>
              <w:t>— julkishallinnot jo perusskenaariossa (2700 yksikköä)</w:t>
            </w:r>
          </w:p>
          <w:p w14:paraId="10CF7A4B" w14:textId="77777777" w:rsidR="00E42B18" w:rsidRDefault="009629C4">
            <w:pPr>
              <w:pStyle w:val="P68B1DB1-Normal11"/>
              <w:spacing w:before="120" w:after="120"/>
              <w:rPr>
                <w:noProof/>
                <w:szCs w:val="20"/>
              </w:rPr>
            </w:pPr>
            <w:r>
              <w:rPr>
                <w:noProof/>
              </w:rPr>
              <w:t>— foorumiin liittyvät uudet julkishallinnot (4300 uutta yksikköä).</w:t>
            </w:r>
          </w:p>
          <w:p w14:paraId="029347BF" w14:textId="77777777" w:rsidR="00E42B18" w:rsidRDefault="009629C4">
            <w:pPr>
              <w:pStyle w:val="P68B1DB1-Normal12"/>
              <w:spacing w:before="120" w:after="120"/>
              <w:rPr>
                <w:noProof/>
              </w:rPr>
            </w:pPr>
            <w:r>
              <w:rPr>
                <w:noProof/>
              </w:rPr>
              <w:t>Molemmissa tapauksissa foorumiin liittyvien julkishallintojen palvelujen kokonaismäärän on kasvettava vähintään 20 prosenttia verrattuna vuoden 2021 palvelujen perustasoon (31.3.2021). Integroitavien palvelujen määrä riippuu hallinnon tyypistä (vuoden 2026 lopullinen tavoite on, että kunnilla on keskimäärin 35 palvelua, alueilla 15 palvelua, terveysviranomaisille 15 palvelua ja kouluille ja yliopistoille 8 palvelua).</w:t>
            </w:r>
          </w:p>
        </w:tc>
      </w:tr>
      <w:tr w:rsidR="00E42B18" w14:paraId="6EDFFC6F" w14:textId="77777777">
        <w:trPr>
          <w:trHeight w:val="309"/>
        </w:trPr>
        <w:tc>
          <w:tcPr>
            <w:tcW w:w="1087" w:type="dxa"/>
            <w:shd w:val="clear" w:color="auto" w:fill="C6EFCE"/>
            <w:noWrap/>
            <w:vAlign w:val="center"/>
          </w:tcPr>
          <w:p w14:paraId="552B3BCE" w14:textId="77777777" w:rsidR="00E42B18" w:rsidRDefault="009629C4">
            <w:pPr>
              <w:pStyle w:val="P68B1DB1-Normal11"/>
              <w:jc w:val="center"/>
              <w:rPr>
                <w:noProof/>
                <w:szCs w:val="20"/>
              </w:rPr>
            </w:pPr>
            <w:r>
              <w:rPr>
                <w:noProof/>
              </w:rPr>
              <w:t>M1C1–128</w:t>
            </w:r>
          </w:p>
        </w:tc>
        <w:tc>
          <w:tcPr>
            <w:tcW w:w="1943" w:type="dxa"/>
            <w:shd w:val="clear" w:color="auto" w:fill="C6EFCE"/>
            <w:noWrap/>
            <w:vAlign w:val="center"/>
          </w:tcPr>
          <w:p w14:paraId="76A225CC" w14:textId="77777777" w:rsidR="00E42B18" w:rsidRDefault="009629C4">
            <w:pPr>
              <w:pStyle w:val="P68B1DB1-Normal11"/>
              <w:jc w:val="center"/>
              <w:rPr>
                <w:noProof/>
                <w:szCs w:val="20"/>
              </w:rPr>
            </w:pPr>
            <w:r>
              <w:rPr>
                <w:noProof/>
              </w:rPr>
              <w:t>Investointi 1.4.5 – Julkisten ilmoitusten digitalisointi</w:t>
            </w:r>
          </w:p>
        </w:tc>
        <w:tc>
          <w:tcPr>
            <w:tcW w:w="992" w:type="dxa"/>
            <w:shd w:val="clear" w:color="auto" w:fill="C6EFCE"/>
            <w:noWrap/>
            <w:vAlign w:val="center"/>
          </w:tcPr>
          <w:p w14:paraId="45910CC1"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68A31583" w14:textId="77777777" w:rsidR="00E42B18" w:rsidRDefault="009629C4">
            <w:pPr>
              <w:pStyle w:val="P68B1DB1-Normal12"/>
              <w:jc w:val="center"/>
              <w:rPr>
                <w:noProof/>
              </w:rPr>
            </w:pPr>
            <w:r>
              <w:rPr>
                <w:noProof/>
              </w:rPr>
              <w:t>Digitaalisten julkisten ilmoitusten käyttöönoton lisääminen T1</w:t>
            </w:r>
          </w:p>
        </w:tc>
        <w:tc>
          <w:tcPr>
            <w:tcW w:w="1701" w:type="dxa"/>
            <w:shd w:val="clear" w:color="auto" w:fill="C6EFCE"/>
            <w:noWrap/>
            <w:vAlign w:val="center"/>
          </w:tcPr>
          <w:p w14:paraId="537D34C8"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055EAF9B"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1C8383B6" w14:textId="77777777" w:rsidR="00E42B18" w:rsidRDefault="009629C4">
            <w:pPr>
              <w:pStyle w:val="P68B1DB1-Normal11"/>
              <w:jc w:val="center"/>
              <w:rPr>
                <w:noProof/>
                <w:szCs w:val="20"/>
              </w:rPr>
            </w:pPr>
            <w:r>
              <w:rPr>
                <w:noProof/>
              </w:rPr>
              <w:t>0</w:t>
            </w:r>
          </w:p>
        </w:tc>
        <w:tc>
          <w:tcPr>
            <w:tcW w:w="1417" w:type="dxa"/>
            <w:shd w:val="clear" w:color="auto" w:fill="C6EFCE"/>
            <w:noWrap/>
            <w:vAlign w:val="center"/>
          </w:tcPr>
          <w:p w14:paraId="7C608BA5" w14:textId="77777777" w:rsidR="00E42B18" w:rsidRDefault="009629C4">
            <w:pPr>
              <w:pStyle w:val="P68B1DB1-Normal11"/>
              <w:jc w:val="center"/>
              <w:rPr>
                <w:noProof/>
                <w:szCs w:val="20"/>
              </w:rPr>
            </w:pPr>
            <w:r>
              <w:rPr>
                <w:noProof/>
              </w:rPr>
              <w:t>800</w:t>
            </w:r>
          </w:p>
        </w:tc>
        <w:tc>
          <w:tcPr>
            <w:tcW w:w="793" w:type="dxa"/>
            <w:shd w:val="clear" w:color="auto" w:fill="C6EFCE"/>
            <w:noWrap/>
            <w:vAlign w:val="center"/>
          </w:tcPr>
          <w:p w14:paraId="1EDA316E"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33A6FF6F"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28A22130" w14:textId="77777777" w:rsidR="00E42B18" w:rsidRDefault="009629C4">
            <w:pPr>
              <w:pStyle w:val="P68B1DB1-Normal12"/>
              <w:spacing w:after="120"/>
              <w:rPr>
                <w:noProof/>
              </w:rPr>
            </w:pPr>
            <w:r>
              <w:rPr>
                <w:noProof/>
              </w:rPr>
              <w:t>Vähintään 800 keskushallintoa ja kuntaa antaa digitaalisen ilmoitusalustan osalta oikeudellisesti sitovia digitaalisia ilmoituksia kansalaisille, oikeushenkilöille, yhdistyksille ja muille julkisille tai yksityisille tahoille.</w:t>
            </w:r>
          </w:p>
        </w:tc>
      </w:tr>
      <w:tr w:rsidR="00E42B18" w14:paraId="05933BF8" w14:textId="77777777">
        <w:trPr>
          <w:trHeight w:val="309"/>
        </w:trPr>
        <w:tc>
          <w:tcPr>
            <w:tcW w:w="1087" w:type="dxa"/>
            <w:shd w:val="clear" w:color="auto" w:fill="C6EFCE"/>
            <w:noWrap/>
            <w:vAlign w:val="center"/>
          </w:tcPr>
          <w:p w14:paraId="21E431E7" w14:textId="77777777" w:rsidR="00E42B18" w:rsidRDefault="009629C4">
            <w:pPr>
              <w:pStyle w:val="P68B1DB1-Normal11"/>
              <w:jc w:val="center"/>
              <w:rPr>
                <w:noProof/>
                <w:szCs w:val="20"/>
              </w:rPr>
            </w:pPr>
            <w:r>
              <w:rPr>
                <w:noProof/>
              </w:rPr>
              <w:t>M1C1–129</w:t>
            </w:r>
          </w:p>
        </w:tc>
        <w:tc>
          <w:tcPr>
            <w:tcW w:w="1943" w:type="dxa"/>
            <w:shd w:val="clear" w:color="auto" w:fill="C6EFCE"/>
            <w:noWrap/>
            <w:vAlign w:val="center"/>
          </w:tcPr>
          <w:p w14:paraId="4A5B1CE5" w14:textId="77777777" w:rsidR="00E42B18" w:rsidRDefault="009629C4">
            <w:pPr>
              <w:pStyle w:val="P68B1DB1-Normal11"/>
              <w:jc w:val="center"/>
              <w:rPr>
                <w:noProof/>
                <w:szCs w:val="20"/>
              </w:rPr>
            </w:pPr>
            <w:r>
              <w:rPr>
                <w:noProof/>
              </w:rPr>
              <w:t>Investointi 1.6.1 – Sisäministeriön digitalisointi</w:t>
            </w:r>
          </w:p>
        </w:tc>
        <w:tc>
          <w:tcPr>
            <w:tcW w:w="992" w:type="dxa"/>
            <w:shd w:val="clear" w:color="auto" w:fill="C6EFCE"/>
            <w:noWrap/>
            <w:vAlign w:val="center"/>
          </w:tcPr>
          <w:p w14:paraId="24705CF4"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05AAB55D" w14:textId="77777777" w:rsidR="00E42B18" w:rsidRDefault="009629C4">
            <w:pPr>
              <w:pStyle w:val="P68B1DB1-Normal11"/>
              <w:jc w:val="center"/>
              <w:rPr>
                <w:noProof/>
                <w:szCs w:val="20"/>
              </w:rPr>
            </w:pPr>
            <w:r>
              <w:rPr>
                <w:noProof/>
              </w:rPr>
              <w:t>Sisäministeriö – kokonaan uudelleenmuotoillut ja digitalisoidut prosessit</w:t>
            </w:r>
          </w:p>
        </w:tc>
        <w:tc>
          <w:tcPr>
            <w:tcW w:w="1701" w:type="dxa"/>
            <w:shd w:val="clear" w:color="auto" w:fill="C6EFCE"/>
            <w:noWrap/>
            <w:vAlign w:val="center"/>
          </w:tcPr>
          <w:p w14:paraId="00FC7786"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7081EEC6"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43B20A62" w14:textId="77777777" w:rsidR="00E42B18" w:rsidRDefault="009629C4">
            <w:pPr>
              <w:pStyle w:val="P68B1DB1-Normal11"/>
              <w:jc w:val="center"/>
              <w:rPr>
                <w:noProof/>
                <w:szCs w:val="20"/>
              </w:rPr>
            </w:pPr>
            <w:r>
              <w:rPr>
                <w:noProof/>
              </w:rPr>
              <w:t>0</w:t>
            </w:r>
          </w:p>
        </w:tc>
        <w:tc>
          <w:tcPr>
            <w:tcW w:w="1417" w:type="dxa"/>
            <w:shd w:val="clear" w:color="auto" w:fill="C6EFCE"/>
            <w:noWrap/>
            <w:vAlign w:val="center"/>
          </w:tcPr>
          <w:p w14:paraId="20451890" w14:textId="77777777" w:rsidR="00E42B18" w:rsidRDefault="009629C4">
            <w:pPr>
              <w:pStyle w:val="P68B1DB1-Normal11"/>
              <w:jc w:val="center"/>
              <w:rPr>
                <w:noProof/>
                <w:szCs w:val="20"/>
              </w:rPr>
            </w:pPr>
            <w:r>
              <w:rPr>
                <w:noProof/>
              </w:rPr>
              <w:t>7</w:t>
            </w:r>
          </w:p>
        </w:tc>
        <w:tc>
          <w:tcPr>
            <w:tcW w:w="793" w:type="dxa"/>
            <w:shd w:val="clear" w:color="auto" w:fill="C6EFCE"/>
            <w:noWrap/>
            <w:vAlign w:val="center"/>
          </w:tcPr>
          <w:p w14:paraId="15CC0051"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4E34D926"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5C7B69B5" w14:textId="77777777" w:rsidR="00E42B18" w:rsidRDefault="009629C4">
            <w:pPr>
              <w:pStyle w:val="P68B1DB1-Normal12"/>
              <w:spacing w:after="120"/>
              <w:rPr>
                <w:noProof/>
              </w:rPr>
            </w:pPr>
            <w:r>
              <w:rPr>
                <w:noProof/>
              </w:rPr>
              <w:t>Sisäiset menettelyt ja prosessit on suunniteltu täysin uudelleen (yhteensä seitsemän prosessia 31. joulukuuta 2023 saakka) ja ne voidaan saattaa kokonaan päätökseen verkossa (kuten toimistoautomaatio, liikkuvuuspalvelut ja verkko-oppiminen).</w:t>
            </w:r>
          </w:p>
        </w:tc>
      </w:tr>
      <w:tr w:rsidR="00E42B18" w14:paraId="2204764B" w14:textId="77777777">
        <w:trPr>
          <w:trHeight w:val="309"/>
        </w:trPr>
        <w:tc>
          <w:tcPr>
            <w:tcW w:w="1087" w:type="dxa"/>
            <w:shd w:val="clear" w:color="auto" w:fill="C6EFCE"/>
            <w:noWrap/>
            <w:vAlign w:val="center"/>
          </w:tcPr>
          <w:p w14:paraId="7C704C31" w14:textId="77777777" w:rsidR="00E42B18" w:rsidRDefault="009629C4">
            <w:pPr>
              <w:pStyle w:val="P68B1DB1-Normal11"/>
              <w:jc w:val="center"/>
              <w:rPr>
                <w:noProof/>
                <w:szCs w:val="20"/>
              </w:rPr>
            </w:pPr>
            <w:r>
              <w:rPr>
                <w:noProof/>
              </w:rPr>
              <w:t>M1C1–130</w:t>
            </w:r>
          </w:p>
        </w:tc>
        <w:tc>
          <w:tcPr>
            <w:tcW w:w="1943" w:type="dxa"/>
            <w:shd w:val="clear" w:color="auto" w:fill="C6EFCE"/>
            <w:noWrap/>
            <w:vAlign w:val="center"/>
          </w:tcPr>
          <w:p w14:paraId="7B27EF5B" w14:textId="77777777" w:rsidR="00E42B18" w:rsidRDefault="009629C4">
            <w:pPr>
              <w:pStyle w:val="P68B1DB1-Normal11"/>
              <w:jc w:val="center"/>
              <w:rPr>
                <w:noProof/>
                <w:szCs w:val="20"/>
              </w:rPr>
            </w:pPr>
            <w:r>
              <w:rPr>
                <w:noProof/>
              </w:rPr>
              <w:t>Investointi 1.6.2 – Oikeusministeriön digitalisointi</w:t>
            </w:r>
          </w:p>
        </w:tc>
        <w:tc>
          <w:tcPr>
            <w:tcW w:w="992" w:type="dxa"/>
            <w:shd w:val="clear" w:color="auto" w:fill="C6EFCE"/>
            <w:noWrap/>
            <w:vAlign w:val="center"/>
          </w:tcPr>
          <w:p w14:paraId="46166421"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640C1962" w14:textId="77777777" w:rsidR="00E42B18" w:rsidRDefault="009629C4">
            <w:pPr>
              <w:pStyle w:val="P68B1DB1-Normal11"/>
              <w:jc w:val="center"/>
              <w:rPr>
                <w:noProof/>
                <w:szCs w:val="20"/>
              </w:rPr>
            </w:pPr>
            <w:r>
              <w:rPr>
                <w:noProof/>
              </w:rPr>
              <w:t>Digitalisoidut T1-asiakirjat</w:t>
            </w:r>
          </w:p>
        </w:tc>
        <w:tc>
          <w:tcPr>
            <w:tcW w:w="1701" w:type="dxa"/>
            <w:shd w:val="clear" w:color="auto" w:fill="C6EFCE"/>
            <w:noWrap/>
            <w:vAlign w:val="center"/>
          </w:tcPr>
          <w:p w14:paraId="3F36A4CF"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2E5D7BBB"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5360894D" w14:textId="77777777" w:rsidR="00E42B18" w:rsidRDefault="009629C4">
            <w:pPr>
              <w:pStyle w:val="P68B1DB1-Normal11"/>
              <w:jc w:val="center"/>
              <w:rPr>
                <w:noProof/>
                <w:szCs w:val="20"/>
              </w:rPr>
            </w:pPr>
            <w:r>
              <w:rPr>
                <w:noProof/>
              </w:rPr>
              <w:t>0</w:t>
            </w:r>
          </w:p>
        </w:tc>
        <w:tc>
          <w:tcPr>
            <w:tcW w:w="1417" w:type="dxa"/>
            <w:shd w:val="clear" w:color="auto" w:fill="C6EFCE"/>
            <w:noWrap/>
            <w:vAlign w:val="center"/>
          </w:tcPr>
          <w:p w14:paraId="39803D0B" w14:textId="77777777" w:rsidR="00E42B18" w:rsidRDefault="009629C4">
            <w:pPr>
              <w:pStyle w:val="P68B1DB1-Normal21"/>
              <w:jc w:val="center"/>
              <w:rPr>
                <w:rFonts w:ascii="Arial Narrow" w:hAnsi="Arial Narrow"/>
                <w:noProof/>
                <w:szCs w:val="20"/>
              </w:rPr>
            </w:pPr>
            <w:r>
              <w:rPr>
                <w:rFonts w:ascii="Arial Narrow" w:hAnsi="Arial Narrow"/>
                <w:noProof/>
              </w:rPr>
              <w:t>3 500</w:t>
            </w:r>
            <w:r>
              <w:rPr>
                <w:rFonts w:ascii="Arial Narrow" w:hint="eastAsia"/>
                <w:noProof/>
              </w:rPr>
              <w:t xml:space="preserve"> 000</w:t>
            </w:r>
          </w:p>
        </w:tc>
        <w:tc>
          <w:tcPr>
            <w:tcW w:w="793" w:type="dxa"/>
            <w:shd w:val="clear" w:color="auto" w:fill="C6EFCE"/>
            <w:noWrap/>
            <w:vAlign w:val="center"/>
          </w:tcPr>
          <w:p w14:paraId="07B2A252"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6B09D6AA"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737D1E68" w14:textId="77777777" w:rsidR="00E42B18" w:rsidRDefault="009629C4">
            <w:pPr>
              <w:pStyle w:val="P68B1DB1-Normal22"/>
              <w:spacing w:after="120"/>
              <w:rPr>
                <w:rFonts w:hAnsi="Arial Narrow" w:hint="default"/>
                <w:noProof/>
              </w:rPr>
            </w:pPr>
            <w:r>
              <w:rPr>
                <w:noProof/>
              </w:rPr>
              <w:t>3500000 oikeudenk</w:t>
            </w:r>
            <w:r>
              <w:rPr>
                <w:noProof/>
              </w:rPr>
              <w:t>ä</w:t>
            </w:r>
            <w:r>
              <w:rPr>
                <w:noProof/>
              </w:rPr>
              <w:t>yntiasian digitalisointi viimeisten 20 vuoden ajalta (1.1.2006</w:t>
            </w:r>
            <w:r>
              <w:rPr>
                <w:noProof/>
              </w:rPr>
              <w:t>–</w:t>
            </w:r>
            <w:r>
              <w:rPr>
                <w:noProof/>
              </w:rPr>
              <w:t>30.6.2026), jotka liittyv</w:t>
            </w:r>
            <w:r>
              <w:rPr>
                <w:noProof/>
              </w:rPr>
              <w:t>ä</w:t>
            </w:r>
            <w:r>
              <w:rPr>
                <w:noProof/>
              </w:rPr>
              <w:t>t tuomioistuinten p</w:t>
            </w:r>
            <w:r>
              <w:rPr>
                <w:noProof/>
              </w:rPr>
              <w:t>ää</w:t>
            </w:r>
            <w:r>
              <w:rPr>
                <w:noProof/>
              </w:rPr>
              <w:t>t</w:t>
            </w:r>
            <w:r>
              <w:rPr>
                <w:noProof/>
              </w:rPr>
              <w:t>ö</w:t>
            </w:r>
            <w:r>
              <w:rPr>
                <w:noProof/>
              </w:rPr>
              <w:t>kseen saattamiin tai meneill</w:t>
            </w:r>
            <w:r>
              <w:rPr>
                <w:noProof/>
              </w:rPr>
              <w:t>ää</w:t>
            </w:r>
            <w:r>
              <w:rPr>
                <w:noProof/>
              </w:rPr>
              <w:t>n oleviin oikeudenk</w:t>
            </w:r>
            <w:r>
              <w:rPr>
                <w:noProof/>
              </w:rPr>
              <w:t>ä</w:t>
            </w:r>
            <w:r>
              <w:rPr>
                <w:noProof/>
              </w:rPr>
              <w:t>ynteihin.</w:t>
            </w:r>
          </w:p>
        </w:tc>
      </w:tr>
      <w:tr w:rsidR="00E42B18" w14:paraId="068F25DD" w14:textId="77777777">
        <w:trPr>
          <w:trHeight w:val="309"/>
        </w:trPr>
        <w:tc>
          <w:tcPr>
            <w:tcW w:w="1087" w:type="dxa"/>
            <w:shd w:val="clear" w:color="auto" w:fill="C6EFCE"/>
            <w:noWrap/>
            <w:vAlign w:val="center"/>
          </w:tcPr>
          <w:p w14:paraId="203ACE20" w14:textId="77777777" w:rsidR="00E42B18" w:rsidRDefault="009629C4">
            <w:pPr>
              <w:pStyle w:val="P68B1DB1-Normal11"/>
              <w:jc w:val="center"/>
              <w:rPr>
                <w:noProof/>
                <w:szCs w:val="20"/>
              </w:rPr>
            </w:pPr>
            <w:r>
              <w:rPr>
                <w:noProof/>
              </w:rPr>
              <w:t>M1C1–131</w:t>
            </w:r>
          </w:p>
        </w:tc>
        <w:tc>
          <w:tcPr>
            <w:tcW w:w="1943" w:type="dxa"/>
            <w:shd w:val="clear" w:color="auto" w:fill="C6EFCE"/>
            <w:noWrap/>
            <w:vAlign w:val="center"/>
          </w:tcPr>
          <w:p w14:paraId="0B0261EB" w14:textId="77777777" w:rsidR="00E42B18" w:rsidRDefault="009629C4">
            <w:pPr>
              <w:pStyle w:val="P68B1DB1-Normal11"/>
              <w:jc w:val="center"/>
              <w:rPr>
                <w:noProof/>
                <w:szCs w:val="20"/>
              </w:rPr>
            </w:pPr>
            <w:r>
              <w:rPr>
                <w:noProof/>
              </w:rPr>
              <w:t>Investointi 1.6.2 – Oikeusministeriön digitalisointi</w:t>
            </w:r>
          </w:p>
        </w:tc>
        <w:tc>
          <w:tcPr>
            <w:tcW w:w="992" w:type="dxa"/>
            <w:shd w:val="clear" w:color="auto" w:fill="C6EFCE"/>
            <w:noWrap/>
            <w:vAlign w:val="center"/>
          </w:tcPr>
          <w:p w14:paraId="75732200" w14:textId="77777777" w:rsidR="00E42B18" w:rsidRDefault="009629C4">
            <w:pPr>
              <w:pStyle w:val="P68B1DB1-Normal11"/>
              <w:jc w:val="center"/>
              <w:rPr>
                <w:noProof/>
                <w:szCs w:val="20"/>
              </w:rPr>
            </w:pPr>
            <w:r>
              <w:rPr>
                <w:noProof/>
              </w:rPr>
              <w:t>Virstanpylväs</w:t>
            </w:r>
          </w:p>
        </w:tc>
        <w:tc>
          <w:tcPr>
            <w:tcW w:w="2126" w:type="dxa"/>
            <w:shd w:val="clear" w:color="auto" w:fill="C6EFCE"/>
            <w:noWrap/>
            <w:vAlign w:val="center"/>
          </w:tcPr>
          <w:p w14:paraId="5CEC4B97" w14:textId="77777777" w:rsidR="00E42B18" w:rsidRDefault="009629C4">
            <w:pPr>
              <w:pStyle w:val="P68B1DB1-Normal11"/>
              <w:jc w:val="center"/>
              <w:rPr>
                <w:noProof/>
                <w:szCs w:val="20"/>
              </w:rPr>
            </w:pPr>
            <w:r>
              <w:rPr>
                <w:noProof/>
              </w:rPr>
              <w:t>Oikeusalan tietojärven tietojärjestelmät T1</w:t>
            </w:r>
          </w:p>
        </w:tc>
        <w:tc>
          <w:tcPr>
            <w:tcW w:w="1701" w:type="dxa"/>
            <w:shd w:val="clear" w:color="auto" w:fill="C6EFCE"/>
            <w:noWrap/>
            <w:vAlign w:val="center"/>
          </w:tcPr>
          <w:p w14:paraId="701CC7C7" w14:textId="77777777" w:rsidR="00E42B18" w:rsidRDefault="009629C4">
            <w:pPr>
              <w:pStyle w:val="P68B1DB1-Normal11"/>
              <w:jc w:val="center"/>
              <w:rPr>
                <w:noProof/>
                <w:szCs w:val="20"/>
              </w:rPr>
            </w:pPr>
            <w:r>
              <w:rPr>
                <w:noProof/>
              </w:rPr>
              <w:t>Raportti sopimuksen täytäntöönpanon alkamisesta</w:t>
            </w:r>
          </w:p>
        </w:tc>
        <w:tc>
          <w:tcPr>
            <w:tcW w:w="1134" w:type="dxa"/>
            <w:shd w:val="clear" w:color="auto" w:fill="C6EFCE"/>
            <w:noWrap/>
            <w:vAlign w:val="center"/>
          </w:tcPr>
          <w:p w14:paraId="1B291B06" w14:textId="77777777" w:rsidR="00E42B18" w:rsidRDefault="009629C4">
            <w:pPr>
              <w:pStyle w:val="P68B1DB1-Normal11"/>
              <w:jc w:val="center"/>
              <w:rPr>
                <w:noProof/>
                <w:szCs w:val="20"/>
              </w:rPr>
            </w:pPr>
            <w:r>
              <w:rPr>
                <w:noProof/>
              </w:rPr>
              <w:t>EI OLE</w:t>
            </w:r>
          </w:p>
        </w:tc>
        <w:tc>
          <w:tcPr>
            <w:tcW w:w="1276" w:type="dxa"/>
            <w:shd w:val="clear" w:color="auto" w:fill="C6EFCE"/>
            <w:noWrap/>
            <w:vAlign w:val="center"/>
          </w:tcPr>
          <w:p w14:paraId="12FE873B" w14:textId="77777777" w:rsidR="00E42B18" w:rsidRDefault="009629C4">
            <w:pPr>
              <w:pStyle w:val="P68B1DB1-Normal11"/>
              <w:jc w:val="center"/>
              <w:rPr>
                <w:noProof/>
                <w:szCs w:val="20"/>
              </w:rPr>
            </w:pPr>
            <w:r>
              <w:rPr>
                <w:noProof/>
              </w:rPr>
              <w:t>EI OLE</w:t>
            </w:r>
          </w:p>
        </w:tc>
        <w:tc>
          <w:tcPr>
            <w:tcW w:w="1417" w:type="dxa"/>
            <w:shd w:val="clear" w:color="auto" w:fill="C6EFCE"/>
            <w:noWrap/>
            <w:vAlign w:val="center"/>
          </w:tcPr>
          <w:p w14:paraId="499691F0" w14:textId="77777777" w:rsidR="00E42B18" w:rsidRDefault="009629C4">
            <w:pPr>
              <w:pStyle w:val="P68B1DB1-Normal11"/>
              <w:jc w:val="center"/>
              <w:rPr>
                <w:noProof/>
                <w:szCs w:val="20"/>
              </w:rPr>
            </w:pPr>
            <w:r>
              <w:rPr>
                <w:noProof/>
              </w:rPr>
              <w:t>EI OLE</w:t>
            </w:r>
          </w:p>
        </w:tc>
        <w:tc>
          <w:tcPr>
            <w:tcW w:w="793" w:type="dxa"/>
            <w:shd w:val="clear" w:color="auto" w:fill="C6EFCE"/>
            <w:noWrap/>
            <w:vAlign w:val="center"/>
          </w:tcPr>
          <w:p w14:paraId="3069842C"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5B00599C"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377A9668" w14:textId="77777777" w:rsidR="00E42B18" w:rsidRDefault="009629C4">
            <w:pPr>
              <w:pStyle w:val="P68B1DB1-Normal11"/>
              <w:spacing w:after="120"/>
              <w:rPr>
                <w:noProof/>
                <w:szCs w:val="20"/>
              </w:rPr>
            </w:pPr>
            <w:r>
              <w:rPr>
                <w:noProof/>
              </w:rPr>
              <w:t>Kuuden uuden tietojärven tietojärjestelmän toteuttamista koskevan sopimuksen täytäntöönpanon aloittaminen:</w:t>
            </w:r>
          </w:p>
          <w:p w14:paraId="74E8DA5C" w14:textId="77777777" w:rsidR="00E42B18" w:rsidRDefault="009629C4">
            <w:pPr>
              <w:pStyle w:val="P68B1DB1-ListParagraph15"/>
              <w:numPr>
                <w:ilvl w:val="0"/>
                <w:numId w:val="54"/>
              </w:numPr>
              <w:spacing w:after="120" w:line="240" w:lineRule="auto"/>
              <w:ind w:left="357" w:hanging="357"/>
              <w:rPr>
                <w:noProof/>
                <w:szCs w:val="20"/>
              </w:rPr>
            </w:pPr>
            <w:r>
              <w:rPr>
                <w:noProof/>
              </w:rPr>
              <w:t>Siviili- ja rikosoikeudellisten tuomioiden anonymisointijärjestelmä</w:t>
            </w:r>
          </w:p>
          <w:p w14:paraId="240DFFAC" w14:textId="77777777" w:rsidR="00E42B18" w:rsidRDefault="009629C4">
            <w:pPr>
              <w:pStyle w:val="P68B1DB1-ListParagraph15"/>
              <w:numPr>
                <w:ilvl w:val="0"/>
                <w:numId w:val="54"/>
              </w:numPr>
              <w:spacing w:after="120" w:line="240" w:lineRule="auto"/>
              <w:ind w:left="357" w:hanging="357"/>
              <w:rPr>
                <w:noProof/>
                <w:szCs w:val="20"/>
              </w:rPr>
            </w:pPr>
            <w:r>
              <w:rPr>
                <w:noProof/>
              </w:rPr>
              <w:t>Yhdennetty valvontajärjestelmä</w:t>
            </w:r>
          </w:p>
          <w:p w14:paraId="481633E3" w14:textId="77777777" w:rsidR="00E42B18" w:rsidRDefault="009629C4">
            <w:pPr>
              <w:pStyle w:val="P68B1DB1-ListParagraph15"/>
              <w:numPr>
                <w:ilvl w:val="0"/>
                <w:numId w:val="54"/>
              </w:numPr>
              <w:spacing w:after="120" w:line="240" w:lineRule="auto"/>
              <w:ind w:left="357" w:hanging="357"/>
              <w:rPr>
                <w:noProof/>
                <w:szCs w:val="20"/>
              </w:rPr>
            </w:pPr>
            <w:r>
              <w:rPr>
                <w:noProof/>
              </w:rPr>
              <w:t>Siviilioikeudenkäyntien hallinnointi- ja analysointijärjestelmä</w:t>
            </w:r>
          </w:p>
          <w:p w14:paraId="16D17378" w14:textId="77777777" w:rsidR="00E42B18" w:rsidRDefault="009629C4">
            <w:pPr>
              <w:pStyle w:val="P68B1DB1-ListParagraph15"/>
              <w:numPr>
                <w:ilvl w:val="0"/>
                <w:numId w:val="54"/>
              </w:numPr>
              <w:spacing w:after="120" w:line="240" w:lineRule="auto"/>
              <w:ind w:left="357" w:hanging="357"/>
              <w:rPr>
                <w:noProof/>
                <w:szCs w:val="20"/>
              </w:rPr>
            </w:pPr>
            <w:r>
              <w:rPr>
                <w:noProof/>
              </w:rPr>
              <w:t>Rikosoikeudenkäyntien hallinnointi- ja analysointijärjestelmä</w:t>
            </w:r>
          </w:p>
          <w:p w14:paraId="7C477A90" w14:textId="77777777" w:rsidR="00E42B18" w:rsidRDefault="009629C4">
            <w:pPr>
              <w:pStyle w:val="P68B1DB1-ListParagraph15"/>
              <w:numPr>
                <w:ilvl w:val="0"/>
                <w:numId w:val="54"/>
              </w:numPr>
              <w:spacing w:after="120" w:line="240" w:lineRule="auto"/>
              <w:ind w:left="357" w:hanging="357"/>
              <w:rPr>
                <w:noProof/>
                <w:szCs w:val="20"/>
              </w:rPr>
            </w:pPr>
            <w:r>
              <w:rPr>
                <w:noProof/>
              </w:rPr>
              <w:t>Siviili- ja rikosoikeudenkäyntejä koskeva kehittynyt tilastojärjestelmä</w:t>
            </w:r>
          </w:p>
          <w:p w14:paraId="5D35DA73" w14:textId="77777777" w:rsidR="00E42B18" w:rsidRDefault="009629C4">
            <w:pPr>
              <w:pStyle w:val="P68B1DB1-ListParagraph15"/>
              <w:numPr>
                <w:ilvl w:val="0"/>
                <w:numId w:val="54"/>
              </w:numPr>
              <w:spacing w:after="120" w:line="240" w:lineRule="auto"/>
              <w:ind w:left="357" w:hanging="357"/>
              <w:rPr>
                <w:noProof/>
                <w:szCs w:val="20"/>
              </w:rPr>
            </w:pPr>
            <w:r>
              <w:rPr>
                <w:noProof/>
              </w:rPr>
              <w:t xml:space="preserve">Automaattinen järjestelmä uhrin ja syyllisen välisen suhteen tunnistamiseksi. </w:t>
            </w:r>
          </w:p>
          <w:p w14:paraId="760A5C98" w14:textId="77777777" w:rsidR="00E42B18" w:rsidRDefault="009629C4">
            <w:pPr>
              <w:pStyle w:val="P68B1DB1-Normal12"/>
              <w:spacing w:after="120"/>
              <w:rPr>
                <w:noProof/>
              </w:rPr>
            </w:pPr>
            <w:r>
              <w:rPr>
                <w:noProof/>
              </w:rPr>
              <w:t>Jokaisen hankintasopimuksen täytäntöönpano alkaa menettelystä vastaavan tahon erityisellä hallinnollisella toimella, jota kutsutaan ”täytäntöönpanon aloittamiseksi”.</w:t>
            </w:r>
          </w:p>
        </w:tc>
      </w:tr>
      <w:tr w:rsidR="00E42B18" w14:paraId="52BD5D60" w14:textId="77777777">
        <w:trPr>
          <w:trHeight w:val="309"/>
        </w:trPr>
        <w:tc>
          <w:tcPr>
            <w:tcW w:w="1087" w:type="dxa"/>
            <w:shd w:val="clear" w:color="auto" w:fill="C6EFCE"/>
            <w:noWrap/>
            <w:vAlign w:val="center"/>
          </w:tcPr>
          <w:p w14:paraId="3CAC3F77" w14:textId="77777777" w:rsidR="00E42B18" w:rsidRDefault="009629C4">
            <w:pPr>
              <w:pStyle w:val="P68B1DB1-Normal11"/>
              <w:jc w:val="center"/>
              <w:rPr>
                <w:noProof/>
                <w:szCs w:val="20"/>
              </w:rPr>
            </w:pPr>
            <w:r>
              <w:rPr>
                <w:noProof/>
              </w:rPr>
              <w:t>M1C1–132</w:t>
            </w:r>
          </w:p>
        </w:tc>
        <w:tc>
          <w:tcPr>
            <w:tcW w:w="1943" w:type="dxa"/>
            <w:shd w:val="clear" w:color="auto" w:fill="C6EFCE"/>
            <w:noWrap/>
            <w:vAlign w:val="center"/>
          </w:tcPr>
          <w:p w14:paraId="370B8A34" w14:textId="77777777" w:rsidR="00E42B18" w:rsidRDefault="009629C4">
            <w:pPr>
              <w:pStyle w:val="P68B1DB1-Normal11"/>
              <w:jc w:val="center"/>
              <w:rPr>
                <w:noProof/>
                <w:szCs w:val="20"/>
              </w:rPr>
            </w:pPr>
            <w:r>
              <w:rPr>
                <w:noProof/>
              </w:rPr>
              <w:t>Investointi 1.6.3 – Kansallisen sosiaaliturvalaitoksen (INPS) ja työtapaturmavakuutuslaitoksen (INAIL) digitalisointi</w:t>
            </w:r>
          </w:p>
        </w:tc>
        <w:tc>
          <w:tcPr>
            <w:tcW w:w="992" w:type="dxa"/>
            <w:shd w:val="clear" w:color="auto" w:fill="C6EFCE"/>
            <w:noWrap/>
            <w:vAlign w:val="center"/>
          </w:tcPr>
          <w:p w14:paraId="50C1BBCA"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334E187D" w14:textId="77777777" w:rsidR="00E42B18" w:rsidRPr="007F4B94" w:rsidRDefault="009629C4">
            <w:pPr>
              <w:pStyle w:val="P68B1DB1-Normal11"/>
              <w:jc w:val="center"/>
              <w:rPr>
                <w:noProof/>
                <w:szCs w:val="20"/>
                <w:lang w:val="en-IE"/>
              </w:rPr>
            </w:pPr>
            <w:r w:rsidRPr="007F4B94">
              <w:rPr>
                <w:noProof/>
                <w:lang w:val="en-IE"/>
              </w:rPr>
              <w:t>INPS – ”One click by design” -palvelut/sisältö T2</w:t>
            </w:r>
          </w:p>
        </w:tc>
        <w:tc>
          <w:tcPr>
            <w:tcW w:w="1701" w:type="dxa"/>
            <w:shd w:val="clear" w:color="auto" w:fill="C6EFCE"/>
            <w:noWrap/>
            <w:vAlign w:val="center"/>
          </w:tcPr>
          <w:p w14:paraId="560E40A9"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7BD377A5"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7AA1F67D" w14:textId="77777777" w:rsidR="00E42B18" w:rsidRDefault="009629C4">
            <w:pPr>
              <w:pStyle w:val="P68B1DB1-Normal11"/>
              <w:jc w:val="center"/>
              <w:rPr>
                <w:noProof/>
                <w:szCs w:val="20"/>
              </w:rPr>
            </w:pPr>
            <w:r>
              <w:rPr>
                <w:noProof/>
              </w:rPr>
              <w:t>35</w:t>
            </w:r>
          </w:p>
        </w:tc>
        <w:tc>
          <w:tcPr>
            <w:tcW w:w="1417" w:type="dxa"/>
            <w:shd w:val="clear" w:color="auto" w:fill="C6EFCE"/>
            <w:noWrap/>
            <w:vAlign w:val="center"/>
          </w:tcPr>
          <w:p w14:paraId="327A1BDD" w14:textId="77777777" w:rsidR="00E42B18" w:rsidRDefault="009629C4">
            <w:pPr>
              <w:pStyle w:val="P68B1DB1-Normal11"/>
              <w:jc w:val="center"/>
              <w:rPr>
                <w:noProof/>
                <w:szCs w:val="20"/>
              </w:rPr>
            </w:pPr>
            <w:r>
              <w:rPr>
                <w:noProof/>
              </w:rPr>
              <w:t>70</w:t>
            </w:r>
          </w:p>
        </w:tc>
        <w:tc>
          <w:tcPr>
            <w:tcW w:w="793" w:type="dxa"/>
            <w:shd w:val="clear" w:color="auto" w:fill="C6EFCE"/>
            <w:noWrap/>
            <w:vAlign w:val="center"/>
          </w:tcPr>
          <w:p w14:paraId="118BA9E8"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3601DABC"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003133A5" w14:textId="77777777" w:rsidR="00E42B18" w:rsidRDefault="009629C4">
            <w:pPr>
              <w:pStyle w:val="P68B1DB1-Normal16"/>
              <w:spacing w:after="120"/>
              <w:rPr>
                <w:noProof/>
                <w:color w:val="006100"/>
              </w:rPr>
            </w:pPr>
            <w:r>
              <w:rPr>
                <w:noProof/>
                <w:color w:val="006100"/>
              </w:rPr>
              <w:t>35 lisäpalvelua Inpsin institutionaalisella verkkosivustolla (</w:t>
            </w:r>
            <w:hyperlink r:id="rId37">
              <w:r w:rsidR="00E42B18">
                <w:rPr>
                  <w:noProof/>
                  <w:color w:val="0000FF"/>
                  <w:u w:val="single"/>
                </w:rPr>
                <w:t>www.inps.it</w:t>
              </w:r>
            </w:hyperlink>
            <w:r>
              <w:rPr>
                <w:noProof/>
                <w:color w:val="006100"/>
              </w:rPr>
              <w:t>)</w:t>
            </w:r>
          </w:p>
          <w:p w14:paraId="7A96F025" w14:textId="77777777" w:rsidR="00E42B18" w:rsidRDefault="009629C4">
            <w:pPr>
              <w:pStyle w:val="P68B1DB1-Normal12"/>
              <w:rPr>
                <w:noProof/>
              </w:rPr>
            </w:pPr>
            <w:r>
              <w:rPr>
                <w:noProof/>
              </w:rPr>
              <w:t>Palvelujen on oltava käytettävissä institutionaalisessa toimipaikassa asianmukaisen profilointilogiikan avulla (järjestelmässä on ehdotettava mahdollisesti kiinnostavia palveluja iän, työn ominaispiirteiden, oletettujen hyötyjen ja käyttäjähistorian perusteella).</w:t>
            </w:r>
          </w:p>
          <w:p w14:paraId="0B87A5EB" w14:textId="77777777" w:rsidR="00E42B18" w:rsidRDefault="009629C4">
            <w:pPr>
              <w:pStyle w:val="P68B1DB1-Normal11"/>
              <w:spacing w:before="120"/>
              <w:rPr>
                <w:noProof/>
                <w:szCs w:val="20"/>
              </w:rPr>
            </w:pPr>
            <w:r>
              <w:rPr>
                <w:noProof/>
              </w:rPr>
              <w:t>Nämä 35 palvelua liittyvät seuraaviin INPS:n institutionaalisiin aloihin:</w:t>
            </w:r>
          </w:p>
          <w:p w14:paraId="6DF4EE94" w14:textId="77777777" w:rsidR="00E42B18" w:rsidRDefault="009629C4">
            <w:pPr>
              <w:pStyle w:val="P68B1DB1-Normal11"/>
              <w:ind w:left="292" w:hanging="76"/>
              <w:rPr>
                <w:noProof/>
                <w:szCs w:val="20"/>
              </w:rPr>
            </w:pPr>
            <w:r>
              <w:rPr>
                <w:noProof/>
              </w:rPr>
              <w:t>•Eläke-etuudet</w:t>
            </w:r>
          </w:p>
          <w:p w14:paraId="6871852C" w14:textId="77777777" w:rsidR="00E42B18" w:rsidRDefault="009629C4">
            <w:pPr>
              <w:pStyle w:val="P68B1DB1-Normal11"/>
              <w:ind w:left="292" w:hanging="76"/>
              <w:rPr>
                <w:noProof/>
                <w:szCs w:val="20"/>
              </w:rPr>
            </w:pPr>
            <w:r>
              <w:rPr>
                <w:noProof/>
              </w:rPr>
              <w:t>•Sosiaaliset imeytysaineet</w:t>
            </w:r>
          </w:p>
          <w:p w14:paraId="660EC7EB" w14:textId="77777777" w:rsidR="00E42B18" w:rsidRDefault="009629C4">
            <w:pPr>
              <w:pStyle w:val="P68B1DB1-Normal11"/>
              <w:ind w:left="292" w:hanging="76"/>
              <w:rPr>
                <w:noProof/>
                <w:szCs w:val="20"/>
              </w:rPr>
            </w:pPr>
            <w:r>
              <w:rPr>
                <w:noProof/>
              </w:rPr>
              <w:t>•Työttömyysetuudet</w:t>
            </w:r>
          </w:p>
          <w:p w14:paraId="60186187" w14:textId="77777777" w:rsidR="00E42B18" w:rsidRDefault="009629C4">
            <w:pPr>
              <w:pStyle w:val="P68B1DB1-Normal11"/>
              <w:ind w:left="292" w:hanging="76"/>
              <w:rPr>
                <w:noProof/>
                <w:szCs w:val="20"/>
              </w:rPr>
            </w:pPr>
            <w:r>
              <w:rPr>
                <w:noProof/>
              </w:rPr>
              <w:t>•Vammaisuusetuudet</w:t>
            </w:r>
          </w:p>
          <w:p w14:paraId="22626C1C" w14:textId="77777777" w:rsidR="00E42B18" w:rsidRDefault="009629C4">
            <w:pPr>
              <w:pStyle w:val="P68B1DB1-Normal11"/>
              <w:ind w:left="292" w:hanging="76"/>
              <w:rPr>
                <w:noProof/>
                <w:szCs w:val="20"/>
              </w:rPr>
            </w:pPr>
            <w:r>
              <w:rPr>
                <w:noProof/>
              </w:rPr>
              <w:t>•Uudistukset</w:t>
            </w:r>
          </w:p>
          <w:p w14:paraId="34DA2F83" w14:textId="77777777" w:rsidR="00E42B18" w:rsidRDefault="009629C4">
            <w:pPr>
              <w:pStyle w:val="P68B1DB1-Normal11"/>
              <w:ind w:left="292" w:hanging="76"/>
              <w:rPr>
                <w:noProof/>
                <w:szCs w:val="20"/>
              </w:rPr>
            </w:pPr>
            <w:r>
              <w:rPr>
                <w:noProof/>
              </w:rPr>
              <w:t>•Yhtiöltä perittävät rahoitusosuudet</w:t>
            </w:r>
          </w:p>
          <w:p w14:paraId="315D770D" w14:textId="77777777" w:rsidR="00E42B18" w:rsidRDefault="009629C4">
            <w:pPr>
              <w:pStyle w:val="P68B1DB1-Normal11"/>
              <w:ind w:left="292" w:hanging="76"/>
              <w:rPr>
                <w:noProof/>
                <w:szCs w:val="20"/>
              </w:rPr>
            </w:pPr>
            <w:r>
              <w:rPr>
                <w:noProof/>
              </w:rPr>
              <w:t>•Maataloustyöntekijöiden palvelut</w:t>
            </w:r>
          </w:p>
          <w:p w14:paraId="69AD0BFB" w14:textId="77777777" w:rsidR="00E42B18" w:rsidRDefault="009629C4">
            <w:pPr>
              <w:pStyle w:val="P68B1DB1-Normal12"/>
              <w:ind w:left="292" w:hanging="76"/>
              <w:rPr>
                <w:noProof/>
              </w:rPr>
            </w:pPr>
            <w:r>
              <w:rPr>
                <w:noProof/>
              </w:rPr>
              <w:t>•Petostentorjunta-, korruptio- ja avoimuuspalvelut</w:t>
            </w:r>
          </w:p>
          <w:p w14:paraId="2EB1895B" w14:textId="77777777" w:rsidR="00E42B18" w:rsidRDefault="009629C4">
            <w:pPr>
              <w:pStyle w:val="P68B1DB1-Normal11"/>
              <w:spacing w:before="120"/>
              <w:rPr>
                <w:noProof/>
                <w:szCs w:val="20"/>
              </w:rPr>
            </w:pPr>
            <w:r>
              <w:rPr>
                <w:noProof/>
              </w:rPr>
              <w:t>Luetelluilla institutionaalisilla aloilla toteutettavien palvelujen on koskettava palvelupyyntöjen digitaalista toimittamista, etua koskevien vaatimusten tarkistamista, käyttäjien suorittamaa käytännön tilan seurantaa, käyttäjän tarpeisiin perustuvaa ennakoivaa palveluehdotusta ja etuuksien automaattista uusimista ilman uusien sovellusten tarvetta.</w:t>
            </w:r>
          </w:p>
          <w:p w14:paraId="6BEF347C" w14:textId="77777777" w:rsidR="00E42B18" w:rsidRDefault="009629C4">
            <w:pPr>
              <w:pStyle w:val="P68B1DB1-Normal12"/>
              <w:spacing w:before="120" w:after="120"/>
              <w:rPr>
                <w:noProof/>
              </w:rPr>
            </w:pPr>
            <w:r>
              <w:rPr>
                <w:noProof/>
              </w:rPr>
              <w:t>Lisäksi on oltava seurantakojetauluja, joiden avulla INPS voi seurata sekä tarjottuja hyötyjä että datavetoista tukea poliittisten päättäjien päätöksille.</w:t>
            </w:r>
          </w:p>
        </w:tc>
      </w:tr>
      <w:tr w:rsidR="00E42B18" w14:paraId="28E90062" w14:textId="77777777">
        <w:trPr>
          <w:trHeight w:val="4119"/>
        </w:trPr>
        <w:tc>
          <w:tcPr>
            <w:tcW w:w="1087" w:type="dxa"/>
            <w:shd w:val="clear" w:color="auto" w:fill="C6EFCE"/>
            <w:noWrap/>
            <w:vAlign w:val="center"/>
          </w:tcPr>
          <w:p w14:paraId="45B40E1B" w14:textId="77777777" w:rsidR="00E42B18" w:rsidRDefault="009629C4">
            <w:pPr>
              <w:pStyle w:val="P68B1DB1-Normal11"/>
              <w:jc w:val="center"/>
              <w:rPr>
                <w:noProof/>
                <w:szCs w:val="20"/>
              </w:rPr>
            </w:pPr>
            <w:r>
              <w:rPr>
                <w:noProof/>
              </w:rPr>
              <w:t>M1C1–133</w:t>
            </w:r>
          </w:p>
        </w:tc>
        <w:tc>
          <w:tcPr>
            <w:tcW w:w="1943" w:type="dxa"/>
            <w:shd w:val="clear" w:color="auto" w:fill="C6EFCE"/>
            <w:noWrap/>
            <w:vAlign w:val="center"/>
          </w:tcPr>
          <w:p w14:paraId="278E00AB" w14:textId="77777777" w:rsidR="00E42B18" w:rsidRDefault="009629C4">
            <w:pPr>
              <w:pStyle w:val="P68B1DB1-Normal11"/>
              <w:jc w:val="center"/>
              <w:rPr>
                <w:noProof/>
                <w:szCs w:val="20"/>
              </w:rPr>
            </w:pPr>
            <w:r>
              <w:rPr>
                <w:noProof/>
              </w:rPr>
              <w:t>Investointi 1.6.3 – Kansallisen sosiaaliturvalaitoksen (INPS) ja työtapaturmavakuutuslaitoksen (INAIL) digitalisointi</w:t>
            </w:r>
          </w:p>
        </w:tc>
        <w:tc>
          <w:tcPr>
            <w:tcW w:w="992" w:type="dxa"/>
            <w:shd w:val="clear" w:color="auto" w:fill="C6EFCE"/>
            <w:noWrap/>
            <w:vAlign w:val="center"/>
          </w:tcPr>
          <w:p w14:paraId="0DBC7851"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126066E3" w14:textId="77777777" w:rsidR="00E42B18" w:rsidRDefault="009629C4">
            <w:pPr>
              <w:pStyle w:val="P68B1DB1-Normal11"/>
              <w:jc w:val="center"/>
              <w:rPr>
                <w:noProof/>
                <w:szCs w:val="20"/>
              </w:rPr>
            </w:pPr>
            <w:r>
              <w:rPr>
                <w:noProof/>
              </w:rPr>
              <w:t>INPS – työntekijät, joilla on paremmat tieto- ja viestintätekniikan taidot T2</w:t>
            </w:r>
          </w:p>
        </w:tc>
        <w:tc>
          <w:tcPr>
            <w:tcW w:w="1701" w:type="dxa"/>
            <w:shd w:val="clear" w:color="auto" w:fill="C6EFCE"/>
            <w:noWrap/>
            <w:vAlign w:val="center"/>
          </w:tcPr>
          <w:p w14:paraId="1757D36E"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1F56E8F2"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6433586A" w14:textId="77777777" w:rsidR="00E42B18" w:rsidRDefault="009629C4">
            <w:pPr>
              <w:pStyle w:val="P68B1DB1-Normal11"/>
              <w:jc w:val="center"/>
              <w:rPr>
                <w:noProof/>
                <w:szCs w:val="20"/>
              </w:rPr>
            </w:pPr>
            <w:r>
              <w:rPr>
                <w:noProof/>
              </w:rPr>
              <w:t>4 250</w:t>
            </w:r>
          </w:p>
        </w:tc>
        <w:tc>
          <w:tcPr>
            <w:tcW w:w="1417" w:type="dxa"/>
            <w:shd w:val="clear" w:color="auto" w:fill="C6EFCE"/>
            <w:noWrap/>
            <w:vAlign w:val="center"/>
          </w:tcPr>
          <w:p w14:paraId="20D3C5CF" w14:textId="77777777" w:rsidR="00E42B18" w:rsidRDefault="009629C4">
            <w:pPr>
              <w:pStyle w:val="P68B1DB1-Normal11"/>
              <w:jc w:val="center"/>
              <w:rPr>
                <w:noProof/>
                <w:szCs w:val="20"/>
              </w:rPr>
            </w:pPr>
            <w:r>
              <w:rPr>
                <w:noProof/>
              </w:rPr>
              <w:t>8 500</w:t>
            </w:r>
          </w:p>
        </w:tc>
        <w:tc>
          <w:tcPr>
            <w:tcW w:w="793" w:type="dxa"/>
            <w:shd w:val="clear" w:color="auto" w:fill="C6EFCE"/>
            <w:noWrap/>
            <w:vAlign w:val="center"/>
          </w:tcPr>
          <w:p w14:paraId="77584DDE"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11B03C48"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310548BC" w14:textId="77777777" w:rsidR="00E42B18" w:rsidRDefault="009629C4">
            <w:pPr>
              <w:pStyle w:val="P68B1DB1-Normal12"/>
              <w:spacing w:after="120"/>
              <w:rPr>
                <w:noProof/>
              </w:rPr>
            </w:pPr>
            <w:r>
              <w:rPr>
                <w:noProof/>
              </w:rPr>
              <w:t>Lisäksi 4250 INPS:n työntekijää on arvioinut, että heidän pätevyytensä on parantunut seuraavilla eurooppalaisen sähköisen osaamisen kehyksen aloilla: I) suunnitelma; II) Build; III) Run (iv) Käytettävissä; v) Hallinnointi.</w:t>
            </w:r>
          </w:p>
          <w:p w14:paraId="32C41F14" w14:textId="77777777" w:rsidR="00E42B18" w:rsidRDefault="009629C4">
            <w:pPr>
              <w:pStyle w:val="P68B1DB1-Normal12"/>
              <w:spacing w:after="120"/>
              <w:rPr>
                <w:noProof/>
              </w:rPr>
            </w:pPr>
            <w:r>
              <w:rPr>
                <w:noProof/>
              </w:rPr>
              <w:t>Alat, joilla osaamista voidaan parantaa, on määriteltävä oppijoiden kohderyhmän mukaan.</w:t>
            </w:r>
          </w:p>
        </w:tc>
      </w:tr>
      <w:tr w:rsidR="00E42B18" w14:paraId="4CF3B888" w14:textId="77777777">
        <w:trPr>
          <w:trHeight w:val="1276"/>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C07956" w14:textId="77777777" w:rsidR="00E42B18" w:rsidRDefault="009629C4">
            <w:pPr>
              <w:pStyle w:val="P68B1DB1-Normal11"/>
              <w:jc w:val="center"/>
              <w:rPr>
                <w:noProof/>
                <w:szCs w:val="20"/>
              </w:rPr>
            </w:pPr>
            <w:r>
              <w:rPr>
                <w:noProof/>
              </w:rPr>
              <w:t>M1C1–134</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FB8187" w14:textId="77777777" w:rsidR="00E42B18" w:rsidRDefault="009629C4">
            <w:pPr>
              <w:pStyle w:val="P68B1DB1-Normal11"/>
              <w:jc w:val="center"/>
              <w:rPr>
                <w:noProof/>
                <w:szCs w:val="20"/>
              </w:rPr>
            </w:pPr>
            <w:r>
              <w:rPr>
                <w:noProof/>
              </w:rPr>
              <w:t>Investointi 1.6.3 – Kansallisen sosiaaliturvalaitoksen (INPS) ja työtapaturmavakuutuslaitoksen (INAIL) digitalisointi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A4F51A" w14:textId="77777777" w:rsidR="00E42B18" w:rsidRDefault="009629C4">
            <w:pPr>
              <w:pStyle w:val="P68B1DB1-Normal11"/>
              <w:jc w:val="center"/>
              <w:rPr>
                <w:noProof/>
                <w:szCs w:val="20"/>
              </w:rPr>
            </w:pPr>
            <w:r>
              <w:rPr>
                <w:noProof/>
              </w:rPr>
              <w:t>Kohde</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5BD736" w14:textId="77777777" w:rsidR="00E42B18" w:rsidRDefault="009629C4">
            <w:pPr>
              <w:pStyle w:val="P68B1DB1-Normal11"/>
              <w:jc w:val="center"/>
              <w:rPr>
                <w:noProof/>
                <w:szCs w:val="20"/>
              </w:rPr>
            </w:pPr>
            <w:r>
              <w:rPr>
                <w:noProof/>
              </w:rPr>
              <w:t>INAIL – kokonaan uudelleenmuotoillut ja digitalisoidut prosessit/palvelut T1</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C1A9E" w14:textId="77777777" w:rsidR="00E42B18" w:rsidRDefault="009629C4">
            <w:pPr>
              <w:pStyle w:val="P68B1DB1-Normal11"/>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75FDBC" w14:textId="77777777" w:rsidR="00E42B18" w:rsidRDefault="009629C4">
            <w:pPr>
              <w:pStyle w:val="P68B1DB1-Normal11"/>
              <w:jc w:val="center"/>
              <w:rPr>
                <w:noProof/>
                <w:szCs w:val="20"/>
              </w:rPr>
            </w:pPr>
            <w:r>
              <w:rPr>
                <w:noProof/>
              </w:rPr>
              <w:t>Numero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3E313" w14:textId="77777777" w:rsidR="00E42B18" w:rsidRDefault="009629C4">
            <w:pPr>
              <w:pStyle w:val="P68B1DB1-Normal11"/>
              <w:jc w:val="center"/>
              <w:rPr>
                <w:noProof/>
                <w:szCs w:val="20"/>
              </w:rPr>
            </w:pPr>
            <w:r>
              <w:rPr>
                <w:noProof/>
              </w:rPr>
              <w:t>29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7B1836" w14:textId="77777777" w:rsidR="00E42B18" w:rsidRDefault="009629C4">
            <w:pPr>
              <w:pStyle w:val="P68B1DB1-Normal11"/>
              <w:jc w:val="center"/>
              <w:rPr>
                <w:noProof/>
                <w:szCs w:val="20"/>
              </w:rPr>
            </w:pPr>
            <w:r>
              <w:rPr>
                <w:noProof/>
              </w:rPr>
              <w:t>53</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5C8DF6" w14:textId="77777777" w:rsidR="00E42B18" w:rsidRDefault="009629C4">
            <w:pPr>
              <w:pStyle w:val="P68B1DB1-Normal11"/>
              <w:jc w:val="center"/>
              <w:rPr>
                <w:noProof/>
                <w:szCs w:val="20"/>
              </w:rPr>
            </w:pPr>
            <w:r>
              <w:rPr>
                <w:noProof/>
              </w:rPr>
              <w:t>Q4</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ECEA4" w14:textId="77777777" w:rsidR="00E42B18" w:rsidRDefault="009629C4">
            <w:pPr>
              <w:pStyle w:val="P68B1DB1-Normal11"/>
              <w:jc w:val="center"/>
              <w:rPr>
                <w:noProof/>
                <w:szCs w:val="20"/>
              </w:rPr>
            </w:pPr>
            <w:r>
              <w:rPr>
                <w:noProof/>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0A2CDD" w14:textId="77777777" w:rsidR="00E42B18" w:rsidRDefault="009629C4">
            <w:pPr>
              <w:pStyle w:val="P68B1DB1-Normal12"/>
              <w:spacing w:after="120"/>
              <w:rPr>
                <w:noProof/>
              </w:rPr>
            </w:pPr>
            <w:r>
              <w:rPr>
                <w:noProof/>
              </w:rPr>
              <w:t xml:space="preserve">Tavoitteena on 53 (52 %) uudelleenmuotoiltua institutionaalista prosessia ja palvelua, jotta ne olisivat täysin digitalisoituja. </w:t>
            </w:r>
          </w:p>
          <w:p w14:paraId="5667F878" w14:textId="77777777" w:rsidR="00E42B18" w:rsidRDefault="009629C4">
            <w:pPr>
              <w:pStyle w:val="P68B1DB1-Normal12"/>
              <w:spacing w:after="120"/>
              <w:rPr>
                <w:noProof/>
              </w:rPr>
            </w:pPr>
            <w:r>
              <w:rPr>
                <w:noProof/>
              </w:rPr>
              <w:t>INAILin osa-alueet ovat seuraavat: Vakuutukset, sosiaali- ja terveyspalvelut, ennaltaehkäisy ja turvallisuus, todistukset ja tarkastukset.</w:t>
            </w:r>
          </w:p>
          <w:p w14:paraId="6DB3F9CB" w14:textId="77777777" w:rsidR="00E42B18" w:rsidRDefault="009629C4">
            <w:pPr>
              <w:pStyle w:val="P68B1DB1-Normal11"/>
              <w:spacing w:after="120"/>
              <w:rPr>
                <w:noProof/>
                <w:szCs w:val="20"/>
              </w:rPr>
            </w:pPr>
            <w:r>
              <w:rPr>
                <w:noProof/>
              </w:rPr>
              <w:t xml:space="preserve">Erityisesti kunkin alueen odotettu tavoite on esitetty edellä: </w:t>
            </w:r>
          </w:p>
          <w:p w14:paraId="2C82D7A9" w14:textId="77777777" w:rsidR="00E42B18" w:rsidRDefault="009629C4">
            <w:pPr>
              <w:pStyle w:val="P68B1DB1-ListParagraph15"/>
              <w:numPr>
                <w:ilvl w:val="0"/>
                <w:numId w:val="23"/>
              </w:numPr>
              <w:spacing w:before="120" w:after="120" w:line="240" w:lineRule="auto"/>
              <w:ind w:left="377" w:hanging="283"/>
              <w:rPr>
                <w:noProof/>
                <w:szCs w:val="20"/>
              </w:rPr>
            </w:pPr>
            <w:r>
              <w:rPr>
                <w:noProof/>
              </w:rPr>
              <w:t xml:space="preserve">Vakuutus: 8 (25 %) </w:t>
            </w:r>
          </w:p>
          <w:p w14:paraId="32982C10" w14:textId="77777777" w:rsidR="00E42B18" w:rsidRDefault="009629C4">
            <w:pPr>
              <w:pStyle w:val="P68B1DB1-ListParagraph15"/>
              <w:numPr>
                <w:ilvl w:val="0"/>
                <w:numId w:val="23"/>
              </w:numPr>
              <w:spacing w:before="120" w:after="120" w:line="240" w:lineRule="auto"/>
              <w:ind w:left="377" w:hanging="283"/>
              <w:rPr>
                <w:noProof/>
                <w:szCs w:val="20"/>
              </w:rPr>
            </w:pPr>
            <w:r>
              <w:rPr>
                <w:noProof/>
              </w:rPr>
              <w:t>Sosiaali- ja terveyspalvelut: 18 (50 %)</w:t>
            </w:r>
          </w:p>
          <w:p w14:paraId="12DF2819" w14:textId="77777777" w:rsidR="00E42B18" w:rsidRDefault="009629C4">
            <w:pPr>
              <w:pStyle w:val="P68B1DB1-ListParagraph15"/>
              <w:numPr>
                <w:ilvl w:val="0"/>
                <w:numId w:val="23"/>
              </w:numPr>
              <w:spacing w:before="120" w:after="120" w:line="240" w:lineRule="auto"/>
              <w:ind w:left="377" w:hanging="283"/>
              <w:rPr>
                <w:noProof/>
                <w:szCs w:val="20"/>
              </w:rPr>
            </w:pPr>
            <w:r>
              <w:rPr>
                <w:noProof/>
              </w:rPr>
              <w:t>Ennaltaehkäisy ja turvallisuus: 9 (80 %)</w:t>
            </w:r>
          </w:p>
          <w:p w14:paraId="16120919" w14:textId="77777777" w:rsidR="00E42B18" w:rsidRDefault="009629C4">
            <w:pPr>
              <w:pStyle w:val="P68B1DB1-ListParagraph15"/>
              <w:numPr>
                <w:ilvl w:val="0"/>
                <w:numId w:val="23"/>
              </w:numPr>
              <w:spacing w:before="120" w:after="120" w:line="240" w:lineRule="auto"/>
              <w:ind w:left="377" w:hanging="283"/>
              <w:rPr>
                <w:noProof/>
                <w:szCs w:val="20"/>
              </w:rPr>
            </w:pPr>
            <w:r>
              <w:rPr>
                <w:noProof/>
              </w:rPr>
              <w:t>Sertifioinnit ja varmennukset: 18 (80 %).</w:t>
            </w:r>
          </w:p>
        </w:tc>
      </w:tr>
      <w:tr w:rsidR="00E42B18" w14:paraId="49A83CDF" w14:textId="77777777">
        <w:trPr>
          <w:trHeight w:val="309"/>
        </w:trPr>
        <w:tc>
          <w:tcPr>
            <w:tcW w:w="1087" w:type="dxa"/>
            <w:shd w:val="clear" w:color="auto" w:fill="C6EFCE"/>
            <w:noWrap/>
            <w:vAlign w:val="center"/>
          </w:tcPr>
          <w:p w14:paraId="3CFB18F1" w14:textId="77777777" w:rsidR="00E42B18" w:rsidRDefault="009629C4">
            <w:pPr>
              <w:pStyle w:val="P68B1DB1-Normal11"/>
              <w:jc w:val="center"/>
              <w:rPr>
                <w:noProof/>
                <w:szCs w:val="20"/>
              </w:rPr>
            </w:pPr>
            <w:r>
              <w:rPr>
                <w:noProof/>
              </w:rPr>
              <w:t>M1C1–135</w:t>
            </w:r>
          </w:p>
        </w:tc>
        <w:tc>
          <w:tcPr>
            <w:tcW w:w="1943" w:type="dxa"/>
            <w:shd w:val="clear" w:color="auto" w:fill="C6EFCE"/>
            <w:noWrap/>
            <w:vAlign w:val="center"/>
          </w:tcPr>
          <w:p w14:paraId="07F89FBC" w14:textId="77777777" w:rsidR="00E42B18" w:rsidRDefault="009629C4">
            <w:pPr>
              <w:pStyle w:val="P68B1DB1-Normal12"/>
              <w:jc w:val="center"/>
              <w:rPr>
                <w:noProof/>
              </w:rPr>
            </w:pPr>
            <w:r>
              <w:rPr>
                <w:noProof/>
              </w:rPr>
              <w:t>Investointi 1.6.4 – Puolustusministeriön digitalisointi</w:t>
            </w:r>
          </w:p>
        </w:tc>
        <w:tc>
          <w:tcPr>
            <w:tcW w:w="992" w:type="dxa"/>
            <w:shd w:val="clear" w:color="auto" w:fill="C6EFCE"/>
            <w:noWrap/>
            <w:vAlign w:val="center"/>
          </w:tcPr>
          <w:p w14:paraId="68149C07"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79B2A33D" w14:textId="77777777" w:rsidR="00E42B18" w:rsidRDefault="009629C4">
            <w:pPr>
              <w:pStyle w:val="P68B1DB1-Normal12"/>
              <w:jc w:val="center"/>
              <w:rPr>
                <w:noProof/>
              </w:rPr>
            </w:pPr>
            <w:r>
              <w:rPr>
                <w:noProof/>
              </w:rPr>
              <w:t>Puolustusministeriö – menettelyjen digitalisointi T1</w:t>
            </w:r>
          </w:p>
        </w:tc>
        <w:tc>
          <w:tcPr>
            <w:tcW w:w="1701" w:type="dxa"/>
            <w:shd w:val="clear" w:color="auto" w:fill="C6EFCE"/>
            <w:noWrap/>
            <w:vAlign w:val="center"/>
          </w:tcPr>
          <w:p w14:paraId="552D4E2D"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461CE74B"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5DE20501" w14:textId="77777777" w:rsidR="00E42B18" w:rsidRDefault="009629C4">
            <w:pPr>
              <w:pStyle w:val="P68B1DB1-Normal11"/>
              <w:jc w:val="center"/>
              <w:rPr>
                <w:noProof/>
                <w:szCs w:val="20"/>
              </w:rPr>
            </w:pPr>
            <w:r>
              <w:rPr>
                <w:noProof/>
              </w:rPr>
              <w:t>4</w:t>
            </w:r>
          </w:p>
        </w:tc>
        <w:tc>
          <w:tcPr>
            <w:tcW w:w="1417" w:type="dxa"/>
            <w:shd w:val="clear" w:color="auto" w:fill="C6EFCE"/>
            <w:noWrap/>
            <w:vAlign w:val="center"/>
          </w:tcPr>
          <w:p w14:paraId="42E6F29F" w14:textId="77777777" w:rsidR="00E42B18" w:rsidRDefault="009629C4">
            <w:pPr>
              <w:pStyle w:val="P68B1DB1-Normal11"/>
              <w:jc w:val="center"/>
              <w:rPr>
                <w:noProof/>
                <w:szCs w:val="20"/>
              </w:rPr>
            </w:pPr>
            <w:r>
              <w:rPr>
                <w:noProof/>
              </w:rPr>
              <w:t>15</w:t>
            </w:r>
          </w:p>
        </w:tc>
        <w:tc>
          <w:tcPr>
            <w:tcW w:w="793" w:type="dxa"/>
            <w:shd w:val="clear" w:color="auto" w:fill="C6EFCE"/>
            <w:noWrap/>
            <w:vAlign w:val="center"/>
          </w:tcPr>
          <w:p w14:paraId="30F68FE2"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7DFAADEF"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14EFAC0D" w14:textId="77777777" w:rsidR="00E42B18" w:rsidRDefault="009629C4">
            <w:pPr>
              <w:pStyle w:val="P68B1DB1-Normal12"/>
              <w:spacing w:after="120"/>
              <w:rPr>
                <w:noProof/>
              </w:rPr>
            </w:pPr>
            <w:r>
              <w:rPr>
                <w:noProof/>
              </w:rPr>
              <w:t>Puolustusalan henkilöstön hallinnointiin liittyvien 15 menettelyn digitalisointi, tarkistaminen ja automatisointi (kuten rekrytointi, työllisyys ja eläkkeelle siirtyminen, työntekijöiden terveys) alkaen neljän jo digitalisoidun menettelyn perustasosta.</w:t>
            </w:r>
          </w:p>
        </w:tc>
      </w:tr>
      <w:tr w:rsidR="00E42B18" w14:paraId="7402416C" w14:textId="77777777">
        <w:trPr>
          <w:trHeight w:val="309"/>
        </w:trPr>
        <w:tc>
          <w:tcPr>
            <w:tcW w:w="1087" w:type="dxa"/>
            <w:shd w:val="clear" w:color="auto" w:fill="C6EFCE"/>
            <w:noWrap/>
            <w:vAlign w:val="center"/>
          </w:tcPr>
          <w:p w14:paraId="56342228" w14:textId="77777777" w:rsidR="00E42B18" w:rsidRDefault="009629C4">
            <w:pPr>
              <w:pStyle w:val="P68B1DB1-Normal11"/>
              <w:jc w:val="center"/>
              <w:rPr>
                <w:noProof/>
                <w:szCs w:val="20"/>
              </w:rPr>
            </w:pPr>
            <w:r>
              <w:rPr>
                <w:noProof/>
              </w:rPr>
              <w:t>M1C1–136</w:t>
            </w:r>
          </w:p>
        </w:tc>
        <w:tc>
          <w:tcPr>
            <w:tcW w:w="1943" w:type="dxa"/>
            <w:shd w:val="clear" w:color="auto" w:fill="C6EFCE"/>
            <w:noWrap/>
            <w:vAlign w:val="center"/>
          </w:tcPr>
          <w:p w14:paraId="290F4EFF" w14:textId="77777777" w:rsidR="00E42B18" w:rsidRDefault="009629C4">
            <w:pPr>
              <w:pStyle w:val="P68B1DB1-Normal12"/>
              <w:jc w:val="center"/>
              <w:rPr>
                <w:noProof/>
              </w:rPr>
            </w:pPr>
            <w:r>
              <w:rPr>
                <w:noProof/>
              </w:rPr>
              <w:t>Investointi 1.6.4 – Puolustusministeriön digitalisointi</w:t>
            </w:r>
          </w:p>
        </w:tc>
        <w:tc>
          <w:tcPr>
            <w:tcW w:w="992" w:type="dxa"/>
            <w:shd w:val="clear" w:color="auto" w:fill="C6EFCE"/>
            <w:noWrap/>
            <w:vAlign w:val="center"/>
          </w:tcPr>
          <w:p w14:paraId="4B5646C8"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47E63EB2" w14:textId="77777777" w:rsidR="00E42B18" w:rsidRDefault="009629C4">
            <w:pPr>
              <w:pStyle w:val="P68B1DB1-Normal12"/>
              <w:jc w:val="center"/>
              <w:rPr>
                <w:noProof/>
              </w:rPr>
            </w:pPr>
            <w:r>
              <w:rPr>
                <w:noProof/>
              </w:rPr>
              <w:t>Puolustusministeriö – T1-todistusten digitalisointi</w:t>
            </w:r>
          </w:p>
        </w:tc>
        <w:tc>
          <w:tcPr>
            <w:tcW w:w="1701" w:type="dxa"/>
            <w:shd w:val="clear" w:color="auto" w:fill="C6EFCE"/>
            <w:noWrap/>
            <w:vAlign w:val="center"/>
          </w:tcPr>
          <w:p w14:paraId="67001CE9"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0A620637" w14:textId="77777777" w:rsidR="00E42B18" w:rsidRDefault="009629C4">
            <w:pPr>
              <w:pStyle w:val="P68B1DB1-Normal11"/>
              <w:jc w:val="center"/>
              <w:rPr>
                <w:noProof/>
                <w:szCs w:val="20"/>
              </w:rPr>
            </w:pPr>
            <w:r>
              <w:rPr>
                <w:noProof/>
              </w:rPr>
              <w:t>Digitoitujen todistusten lukumäärä</w:t>
            </w:r>
          </w:p>
        </w:tc>
        <w:tc>
          <w:tcPr>
            <w:tcW w:w="1276" w:type="dxa"/>
            <w:shd w:val="clear" w:color="auto" w:fill="C6EFCE"/>
            <w:noWrap/>
            <w:vAlign w:val="center"/>
          </w:tcPr>
          <w:p w14:paraId="6D953136" w14:textId="77777777" w:rsidR="00E42B18" w:rsidRDefault="009629C4">
            <w:pPr>
              <w:pStyle w:val="P68B1DB1-Normal11"/>
              <w:jc w:val="center"/>
              <w:rPr>
                <w:noProof/>
                <w:szCs w:val="20"/>
              </w:rPr>
            </w:pPr>
            <w:r>
              <w:rPr>
                <w:noProof/>
              </w:rPr>
              <w:t>190 000</w:t>
            </w:r>
          </w:p>
        </w:tc>
        <w:tc>
          <w:tcPr>
            <w:tcW w:w="1417" w:type="dxa"/>
            <w:shd w:val="clear" w:color="auto" w:fill="C6EFCE"/>
            <w:noWrap/>
            <w:vAlign w:val="center"/>
          </w:tcPr>
          <w:p w14:paraId="0F8DDE87" w14:textId="77777777" w:rsidR="00E42B18" w:rsidRDefault="009629C4">
            <w:pPr>
              <w:pStyle w:val="P68B1DB1-Normal11"/>
              <w:jc w:val="center"/>
              <w:rPr>
                <w:noProof/>
                <w:szCs w:val="20"/>
              </w:rPr>
            </w:pPr>
            <w:r>
              <w:rPr>
                <w:noProof/>
              </w:rPr>
              <w:t>450 000</w:t>
            </w:r>
          </w:p>
        </w:tc>
        <w:tc>
          <w:tcPr>
            <w:tcW w:w="793" w:type="dxa"/>
            <w:shd w:val="clear" w:color="auto" w:fill="C6EFCE"/>
            <w:noWrap/>
            <w:vAlign w:val="center"/>
          </w:tcPr>
          <w:p w14:paraId="509EA8E6"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71C260CF"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4908DC8F" w14:textId="77777777" w:rsidR="00E42B18" w:rsidRDefault="009629C4">
            <w:pPr>
              <w:pStyle w:val="P68B1DB1-Normal12"/>
              <w:spacing w:after="120"/>
              <w:rPr>
                <w:noProof/>
              </w:rPr>
            </w:pPr>
            <w:r>
              <w:rPr>
                <w:noProof/>
              </w:rPr>
              <w:t>Niiden puolustusministeriön myöntämien digitalisoitujen henkilöllisyystodistusten määrä (450000), jotka toimivat infrastruktuurissa ja joita täydennetään palautumispaikalla, joka alkaa 190000 jo digitoidusta varmenteesta.</w:t>
            </w:r>
          </w:p>
        </w:tc>
      </w:tr>
      <w:tr w:rsidR="00E42B18" w14:paraId="79E1D779" w14:textId="77777777">
        <w:trPr>
          <w:trHeight w:val="309"/>
        </w:trPr>
        <w:tc>
          <w:tcPr>
            <w:tcW w:w="1087" w:type="dxa"/>
            <w:shd w:val="clear" w:color="auto" w:fill="C6EFCE"/>
            <w:noWrap/>
            <w:vAlign w:val="center"/>
          </w:tcPr>
          <w:p w14:paraId="1594C685" w14:textId="77777777" w:rsidR="00E42B18" w:rsidRDefault="009629C4">
            <w:pPr>
              <w:pStyle w:val="P68B1DB1-Normal11"/>
              <w:jc w:val="center"/>
              <w:rPr>
                <w:noProof/>
                <w:szCs w:val="20"/>
              </w:rPr>
            </w:pPr>
            <w:r>
              <w:rPr>
                <w:noProof/>
              </w:rPr>
              <w:t>M1C1–137</w:t>
            </w:r>
          </w:p>
        </w:tc>
        <w:tc>
          <w:tcPr>
            <w:tcW w:w="1943" w:type="dxa"/>
            <w:shd w:val="clear" w:color="auto" w:fill="C6EFCE"/>
            <w:noWrap/>
            <w:vAlign w:val="center"/>
          </w:tcPr>
          <w:p w14:paraId="0790A094" w14:textId="77777777" w:rsidR="00E42B18" w:rsidRDefault="009629C4">
            <w:pPr>
              <w:pStyle w:val="P68B1DB1-Normal12"/>
              <w:jc w:val="center"/>
              <w:rPr>
                <w:noProof/>
              </w:rPr>
            </w:pPr>
            <w:r>
              <w:rPr>
                <w:noProof/>
              </w:rPr>
              <w:t>Investointi 1.6.4 – Puolustusministeriön digitalisointi</w:t>
            </w:r>
          </w:p>
        </w:tc>
        <w:tc>
          <w:tcPr>
            <w:tcW w:w="992" w:type="dxa"/>
            <w:shd w:val="clear" w:color="auto" w:fill="C6EFCE"/>
            <w:noWrap/>
            <w:vAlign w:val="center"/>
          </w:tcPr>
          <w:p w14:paraId="526D1373" w14:textId="77777777" w:rsidR="00E42B18" w:rsidRDefault="009629C4">
            <w:pPr>
              <w:pStyle w:val="P68B1DB1-Normal11"/>
              <w:jc w:val="center"/>
              <w:rPr>
                <w:noProof/>
                <w:szCs w:val="20"/>
              </w:rPr>
            </w:pPr>
            <w:r>
              <w:rPr>
                <w:noProof/>
              </w:rPr>
              <w:t>Virstanpylväs</w:t>
            </w:r>
          </w:p>
        </w:tc>
        <w:tc>
          <w:tcPr>
            <w:tcW w:w="2126" w:type="dxa"/>
            <w:shd w:val="clear" w:color="auto" w:fill="C6EFCE"/>
            <w:noWrap/>
            <w:vAlign w:val="center"/>
          </w:tcPr>
          <w:p w14:paraId="3D8FF9C5" w14:textId="77777777" w:rsidR="00E42B18" w:rsidRDefault="009629C4">
            <w:pPr>
              <w:pStyle w:val="P68B1DB1-Normal12"/>
              <w:jc w:val="center"/>
              <w:rPr>
                <w:noProof/>
              </w:rPr>
            </w:pPr>
            <w:r>
              <w:rPr>
                <w:noProof/>
              </w:rPr>
              <w:t>Puolustusministeriö – Institutionaaliset verkkoportaalit ja intranet-portaalit</w:t>
            </w:r>
          </w:p>
        </w:tc>
        <w:tc>
          <w:tcPr>
            <w:tcW w:w="1701" w:type="dxa"/>
            <w:shd w:val="clear" w:color="auto" w:fill="C6EFCE"/>
            <w:noWrap/>
            <w:vAlign w:val="center"/>
          </w:tcPr>
          <w:p w14:paraId="576DCFFC" w14:textId="77777777" w:rsidR="00E42B18" w:rsidRDefault="009629C4">
            <w:pPr>
              <w:pStyle w:val="P68B1DB1-Normal11"/>
              <w:jc w:val="center"/>
              <w:rPr>
                <w:noProof/>
                <w:szCs w:val="20"/>
              </w:rPr>
            </w:pPr>
            <w:r>
              <w:rPr>
                <w:noProof/>
              </w:rPr>
              <w:t>Institutionaaliset verkkoportaalit ja intranet-portaalit toimivat täysin</w:t>
            </w:r>
          </w:p>
        </w:tc>
        <w:tc>
          <w:tcPr>
            <w:tcW w:w="1134" w:type="dxa"/>
            <w:shd w:val="clear" w:color="auto" w:fill="C6EFCE"/>
            <w:noWrap/>
            <w:vAlign w:val="center"/>
          </w:tcPr>
          <w:p w14:paraId="2AD0D316" w14:textId="77777777" w:rsidR="00E42B18" w:rsidRDefault="009629C4">
            <w:pPr>
              <w:pStyle w:val="P68B1DB1-Normal11"/>
              <w:jc w:val="center"/>
              <w:rPr>
                <w:noProof/>
                <w:szCs w:val="20"/>
              </w:rPr>
            </w:pPr>
            <w:r>
              <w:rPr>
                <w:noProof/>
              </w:rPr>
              <w:t>EI OLE</w:t>
            </w:r>
          </w:p>
        </w:tc>
        <w:tc>
          <w:tcPr>
            <w:tcW w:w="1276" w:type="dxa"/>
            <w:shd w:val="clear" w:color="auto" w:fill="C6EFCE"/>
            <w:noWrap/>
            <w:vAlign w:val="center"/>
          </w:tcPr>
          <w:p w14:paraId="283EB2FC" w14:textId="77777777" w:rsidR="00E42B18" w:rsidRDefault="009629C4">
            <w:pPr>
              <w:pStyle w:val="P68B1DB1-Normal11"/>
              <w:jc w:val="center"/>
              <w:rPr>
                <w:noProof/>
                <w:szCs w:val="20"/>
              </w:rPr>
            </w:pPr>
            <w:r>
              <w:rPr>
                <w:noProof/>
              </w:rPr>
              <w:t>EI OLE</w:t>
            </w:r>
          </w:p>
        </w:tc>
        <w:tc>
          <w:tcPr>
            <w:tcW w:w="1417" w:type="dxa"/>
            <w:shd w:val="clear" w:color="auto" w:fill="C6EFCE"/>
            <w:noWrap/>
            <w:vAlign w:val="center"/>
          </w:tcPr>
          <w:p w14:paraId="086525AC" w14:textId="77777777" w:rsidR="00E42B18" w:rsidRDefault="009629C4">
            <w:pPr>
              <w:pStyle w:val="P68B1DB1-Normal11"/>
              <w:jc w:val="center"/>
              <w:rPr>
                <w:noProof/>
                <w:szCs w:val="20"/>
              </w:rPr>
            </w:pPr>
            <w:r>
              <w:rPr>
                <w:noProof/>
              </w:rPr>
              <w:t>EI OLE</w:t>
            </w:r>
          </w:p>
        </w:tc>
        <w:tc>
          <w:tcPr>
            <w:tcW w:w="793" w:type="dxa"/>
            <w:shd w:val="clear" w:color="auto" w:fill="C6EFCE"/>
            <w:noWrap/>
            <w:vAlign w:val="center"/>
          </w:tcPr>
          <w:p w14:paraId="2B62ECD6"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0D248DCF"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4E60FD4A" w14:textId="77777777" w:rsidR="00E42B18" w:rsidRDefault="009629C4">
            <w:pPr>
              <w:pStyle w:val="P68B1DB1-Normal12"/>
              <w:spacing w:after="120"/>
              <w:rPr>
                <w:noProof/>
              </w:rPr>
            </w:pPr>
            <w:r>
              <w:rPr>
                <w:noProof/>
              </w:rPr>
              <w:t>Kehitetään ja toteutetaan i) institutionaalisia verkkoportaaleja ja ii) intranet-portaaleja sisäisen viestinnän erityistarpeita varten.</w:t>
            </w:r>
          </w:p>
        </w:tc>
      </w:tr>
      <w:tr w:rsidR="00E42B18" w14:paraId="2A3C9698" w14:textId="77777777">
        <w:trPr>
          <w:trHeight w:val="309"/>
        </w:trPr>
        <w:tc>
          <w:tcPr>
            <w:tcW w:w="1087" w:type="dxa"/>
            <w:shd w:val="clear" w:color="auto" w:fill="C6EFCE"/>
            <w:noWrap/>
            <w:vAlign w:val="center"/>
          </w:tcPr>
          <w:p w14:paraId="681423C2" w14:textId="77777777" w:rsidR="00E42B18" w:rsidRDefault="009629C4">
            <w:pPr>
              <w:pStyle w:val="P68B1DB1-Normal11"/>
              <w:jc w:val="center"/>
              <w:rPr>
                <w:noProof/>
                <w:szCs w:val="20"/>
              </w:rPr>
            </w:pPr>
            <w:r>
              <w:rPr>
                <w:noProof/>
              </w:rPr>
              <w:t>M1C1–138</w:t>
            </w:r>
          </w:p>
        </w:tc>
        <w:tc>
          <w:tcPr>
            <w:tcW w:w="1943" w:type="dxa"/>
            <w:shd w:val="clear" w:color="auto" w:fill="C6EFCE"/>
            <w:noWrap/>
            <w:vAlign w:val="center"/>
          </w:tcPr>
          <w:p w14:paraId="67ACAB68" w14:textId="77777777" w:rsidR="00E42B18" w:rsidRDefault="009629C4">
            <w:pPr>
              <w:pStyle w:val="P68B1DB1-Normal12"/>
              <w:jc w:val="center"/>
              <w:rPr>
                <w:noProof/>
              </w:rPr>
            </w:pPr>
            <w:r>
              <w:rPr>
                <w:noProof/>
              </w:rPr>
              <w:t>Investointi 1.6.4 – Puolustusministeriön digitalisointi</w:t>
            </w:r>
          </w:p>
        </w:tc>
        <w:tc>
          <w:tcPr>
            <w:tcW w:w="992" w:type="dxa"/>
            <w:shd w:val="clear" w:color="auto" w:fill="C6EFCE"/>
            <w:noWrap/>
            <w:vAlign w:val="center"/>
          </w:tcPr>
          <w:p w14:paraId="66389E21"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251740AA" w14:textId="77777777" w:rsidR="00E42B18" w:rsidRDefault="009629C4">
            <w:pPr>
              <w:pStyle w:val="P68B1DB1-Normal12"/>
              <w:jc w:val="center"/>
              <w:rPr>
                <w:noProof/>
              </w:rPr>
            </w:pPr>
            <w:r>
              <w:rPr>
                <w:noProof/>
              </w:rPr>
              <w:t>Puolustusministeriö – Ei-mission kriittisten sovellusten siirtäminen infrastruktuurin avoimuutta koskevaan täydelliseen tietosuojaan (S.C.I.P.I.O.) T1</w:t>
            </w:r>
          </w:p>
        </w:tc>
        <w:tc>
          <w:tcPr>
            <w:tcW w:w="1701" w:type="dxa"/>
            <w:shd w:val="clear" w:color="auto" w:fill="C6EFCE"/>
            <w:noWrap/>
            <w:vAlign w:val="center"/>
          </w:tcPr>
          <w:p w14:paraId="08188A16"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307616AE"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3D50DCE4" w14:textId="77777777" w:rsidR="00E42B18" w:rsidRDefault="009629C4">
            <w:pPr>
              <w:pStyle w:val="P68B1DB1-Normal11"/>
              <w:jc w:val="center"/>
              <w:rPr>
                <w:noProof/>
                <w:szCs w:val="20"/>
              </w:rPr>
            </w:pPr>
            <w:r>
              <w:rPr>
                <w:noProof/>
              </w:rPr>
              <w:t>0</w:t>
            </w:r>
          </w:p>
        </w:tc>
        <w:tc>
          <w:tcPr>
            <w:tcW w:w="1417" w:type="dxa"/>
            <w:shd w:val="clear" w:color="auto" w:fill="C6EFCE"/>
            <w:noWrap/>
            <w:vAlign w:val="center"/>
          </w:tcPr>
          <w:p w14:paraId="6236DBD6" w14:textId="77777777" w:rsidR="00E42B18" w:rsidRDefault="009629C4">
            <w:pPr>
              <w:pStyle w:val="P68B1DB1-Normal11"/>
              <w:jc w:val="center"/>
              <w:rPr>
                <w:noProof/>
                <w:szCs w:val="20"/>
              </w:rPr>
            </w:pPr>
            <w:r>
              <w:rPr>
                <w:noProof/>
              </w:rPr>
              <w:t>10</w:t>
            </w:r>
          </w:p>
        </w:tc>
        <w:tc>
          <w:tcPr>
            <w:tcW w:w="793" w:type="dxa"/>
            <w:shd w:val="clear" w:color="auto" w:fill="C6EFCE"/>
            <w:noWrap/>
            <w:vAlign w:val="center"/>
          </w:tcPr>
          <w:p w14:paraId="6D9C85BE"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28C3C488" w14:textId="77777777" w:rsidR="00E42B18" w:rsidRDefault="009629C4">
            <w:pPr>
              <w:pStyle w:val="P68B1DB1-Normal11"/>
              <w:jc w:val="center"/>
              <w:rPr>
                <w:noProof/>
                <w:szCs w:val="20"/>
              </w:rPr>
            </w:pPr>
            <w:r>
              <w:rPr>
                <w:noProof/>
              </w:rPr>
              <w:t>2023</w:t>
            </w:r>
          </w:p>
        </w:tc>
        <w:tc>
          <w:tcPr>
            <w:tcW w:w="2584" w:type="dxa"/>
            <w:shd w:val="clear" w:color="auto" w:fill="C6EFCE"/>
            <w:noWrap/>
            <w:vAlign w:val="center"/>
          </w:tcPr>
          <w:p w14:paraId="79576EA5" w14:textId="77777777" w:rsidR="00E42B18" w:rsidRDefault="009629C4">
            <w:pPr>
              <w:pStyle w:val="P68B1DB1-Normal11"/>
              <w:spacing w:after="120"/>
              <w:rPr>
                <w:noProof/>
                <w:szCs w:val="20"/>
              </w:rPr>
            </w:pPr>
            <w:r>
              <w:rPr>
                <w:noProof/>
              </w:rPr>
              <w:t>Muiden kuin operaatioiden kannalta kriittisten sovellusten alustava siirtyminen ja operatiivinen saatavuus uuteen avoimen lähdekoodin infrastruktuuriin. Tähän sisältyy laitteistoympäristön käyttöönotto, väliohjelmistojen avoimen lähdekoodin komponenttien asentaminen ja sovellusten uudelleensuunnittelu.</w:t>
            </w:r>
          </w:p>
        </w:tc>
      </w:tr>
      <w:tr w:rsidR="00E42B18" w14:paraId="00AC4C35" w14:textId="77777777">
        <w:trPr>
          <w:trHeight w:val="309"/>
        </w:trPr>
        <w:tc>
          <w:tcPr>
            <w:tcW w:w="1087" w:type="dxa"/>
            <w:shd w:val="clear" w:color="auto" w:fill="C6EFCE"/>
            <w:noWrap/>
            <w:vAlign w:val="center"/>
          </w:tcPr>
          <w:p w14:paraId="716A195C" w14:textId="77777777" w:rsidR="00E42B18" w:rsidRDefault="009629C4">
            <w:pPr>
              <w:pStyle w:val="P68B1DB1-Normal11"/>
              <w:jc w:val="center"/>
              <w:rPr>
                <w:noProof/>
                <w:szCs w:val="20"/>
              </w:rPr>
            </w:pPr>
            <w:r>
              <w:rPr>
                <w:noProof/>
              </w:rPr>
              <w:t>M1C1–139</w:t>
            </w:r>
          </w:p>
        </w:tc>
        <w:tc>
          <w:tcPr>
            <w:tcW w:w="1943" w:type="dxa"/>
            <w:shd w:val="clear" w:color="auto" w:fill="C6EFCE"/>
            <w:noWrap/>
            <w:vAlign w:val="center"/>
          </w:tcPr>
          <w:p w14:paraId="0E5BDDF4" w14:textId="77777777" w:rsidR="00E42B18" w:rsidRDefault="009629C4">
            <w:pPr>
              <w:pStyle w:val="P68B1DB1-Normal11"/>
              <w:jc w:val="center"/>
              <w:rPr>
                <w:noProof/>
                <w:szCs w:val="20"/>
              </w:rPr>
            </w:pPr>
            <w:r>
              <w:rPr>
                <w:noProof/>
              </w:rPr>
              <w:t>Investointi 1.2 – Pilvipalvelut paikalliselle palestiinalaishallinnolle</w:t>
            </w:r>
          </w:p>
        </w:tc>
        <w:tc>
          <w:tcPr>
            <w:tcW w:w="992" w:type="dxa"/>
            <w:shd w:val="clear" w:color="auto" w:fill="C6EFCE"/>
            <w:noWrap/>
            <w:vAlign w:val="center"/>
          </w:tcPr>
          <w:p w14:paraId="755E931C"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483E7F39" w14:textId="77777777" w:rsidR="00E42B18" w:rsidRDefault="009629C4">
            <w:pPr>
              <w:pStyle w:val="P68B1DB1-Normal11"/>
              <w:jc w:val="center"/>
              <w:rPr>
                <w:noProof/>
                <w:szCs w:val="20"/>
              </w:rPr>
            </w:pPr>
            <w:r>
              <w:rPr>
                <w:noProof/>
              </w:rPr>
              <w:t>Pilvipalvelut paikalliselle julkishallinnolle T1</w:t>
            </w:r>
          </w:p>
        </w:tc>
        <w:tc>
          <w:tcPr>
            <w:tcW w:w="1701" w:type="dxa"/>
            <w:shd w:val="clear" w:color="auto" w:fill="C6EFCE"/>
            <w:noWrap/>
            <w:vAlign w:val="center"/>
          </w:tcPr>
          <w:p w14:paraId="20A396D5"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3EDE3D26"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6EDCB77D" w14:textId="77777777" w:rsidR="00E42B18" w:rsidRDefault="009629C4">
            <w:pPr>
              <w:pStyle w:val="P68B1DB1-Normal11"/>
              <w:jc w:val="center"/>
              <w:rPr>
                <w:noProof/>
                <w:szCs w:val="20"/>
              </w:rPr>
            </w:pPr>
            <w:r>
              <w:rPr>
                <w:noProof/>
              </w:rPr>
              <w:t>0</w:t>
            </w:r>
          </w:p>
        </w:tc>
        <w:tc>
          <w:tcPr>
            <w:tcW w:w="1417" w:type="dxa"/>
            <w:shd w:val="clear" w:color="auto" w:fill="C6EFCE"/>
            <w:noWrap/>
            <w:vAlign w:val="center"/>
          </w:tcPr>
          <w:p w14:paraId="24782AB3" w14:textId="77777777" w:rsidR="00E42B18" w:rsidRDefault="009629C4">
            <w:pPr>
              <w:pStyle w:val="P68B1DB1-Normal11"/>
              <w:jc w:val="center"/>
              <w:rPr>
                <w:noProof/>
                <w:szCs w:val="20"/>
              </w:rPr>
            </w:pPr>
            <w:r>
              <w:rPr>
                <w:noProof/>
              </w:rPr>
              <w:t>4 083</w:t>
            </w:r>
          </w:p>
        </w:tc>
        <w:tc>
          <w:tcPr>
            <w:tcW w:w="793" w:type="dxa"/>
            <w:shd w:val="clear" w:color="auto" w:fill="C6EFCE"/>
            <w:noWrap/>
            <w:vAlign w:val="center"/>
          </w:tcPr>
          <w:p w14:paraId="310AEB45" w14:textId="77777777" w:rsidR="00E42B18" w:rsidRDefault="009629C4">
            <w:pPr>
              <w:pStyle w:val="P68B1DB1-Normal11"/>
              <w:jc w:val="center"/>
              <w:rPr>
                <w:noProof/>
                <w:szCs w:val="20"/>
              </w:rPr>
            </w:pPr>
            <w:r>
              <w:rPr>
                <w:noProof/>
              </w:rPr>
              <w:t>Q3</w:t>
            </w:r>
          </w:p>
        </w:tc>
        <w:tc>
          <w:tcPr>
            <w:tcW w:w="625" w:type="dxa"/>
            <w:shd w:val="clear" w:color="auto" w:fill="C6EFCE"/>
            <w:noWrap/>
            <w:vAlign w:val="center"/>
          </w:tcPr>
          <w:p w14:paraId="0AF09288" w14:textId="77777777" w:rsidR="00E42B18" w:rsidRDefault="009629C4">
            <w:pPr>
              <w:pStyle w:val="P68B1DB1-Normal11"/>
              <w:jc w:val="center"/>
              <w:rPr>
                <w:noProof/>
                <w:szCs w:val="20"/>
              </w:rPr>
            </w:pPr>
            <w:r>
              <w:rPr>
                <w:noProof/>
              </w:rPr>
              <w:t>2024</w:t>
            </w:r>
          </w:p>
        </w:tc>
        <w:tc>
          <w:tcPr>
            <w:tcW w:w="2584" w:type="dxa"/>
            <w:shd w:val="clear" w:color="auto" w:fill="C6EFCE"/>
            <w:noWrap/>
            <w:vAlign w:val="center"/>
          </w:tcPr>
          <w:p w14:paraId="4A32246D" w14:textId="77777777" w:rsidR="00E42B18" w:rsidRDefault="009629C4">
            <w:pPr>
              <w:pStyle w:val="P68B1DB1-Normal21"/>
              <w:spacing w:after="120"/>
              <w:rPr>
                <w:rFonts w:ascii="Arial Narrow" w:hAnsi="Arial Narrow"/>
                <w:noProof/>
                <w:szCs w:val="20"/>
              </w:rPr>
            </w:pPr>
            <w:r>
              <w:rPr>
                <w:rFonts w:ascii="Arial Narrow" w:hAnsi="Arial Narrow"/>
                <w:noProof/>
              </w:rPr>
              <w:t>On katsottava, että 4083 paikallista julkishallintoa siirrytään sertifioituihin pilviympäristöihin, kun kaikkien kuhunkin siirtymäsuunnitelmaan sisältyvien järjestelmien, tietoaineistojen ja sovellusten siirtymisen testaus onnistuu.</w:t>
            </w:r>
          </w:p>
        </w:tc>
      </w:tr>
      <w:tr w:rsidR="00E42B18" w14:paraId="48B4C067" w14:textId="77777777">
        <w:trPr>
          <w:trHeight w:val="309"/>
        </w:trPr>
        <w:tc>
          <w:tcPr>
            <w:tcW w:w="1087" w:type="dxa"/>
            <w:shd w:val="clear" w:color="auto" w:fill="C6EFCE"/>
            <w:noWrap/>
            <w:vAlign w:val="center"/>
          </w:tcPr>
          <w:p w14:paraId="6CF4423A" w14:textId="77777777" w:rsidR="00E42B18" w:rsidRDefault="009629C4">
            <w:pPr>
              <w:pStyle w:val="P68B1DB1-Normal11"/>
              <w:jc w:val="center"/>
              <w:rPr>
                <w:noProof/>
                <w:szCs w:val="20"/>
              </w:rPr>
            </w:pPr>
            <w:r>
              <w:rPr>
                <w:noProof/>
              </w:rPr>
              <w:t>M1C1–140</w:t>
            </w:r>
          </w:p>
        </w:tc>
        <w:tc>
          <w:tcPr>
            <w:tcW w:w="1943" w:type="dxa"/>
            <w:shd w:val="clear" w:color="auto" w:fill="C6EFCE"/>
            <w:noWrap/>
            <w:vAlign w:val="center"/>
          </w:tcPr>
          <w:p w14:paraId="719D9504" w14:textId="77777777" w:rsidR="00E42B18" w:rsidRDefault="009629C4">
            <w:pPr>
              <w:pStyle w:val="P68B1DB1-Normal11"/>
              <w:jc w:val="center"/>
              <w:rPr>
                <w:noProof/>
                <w:szCs w:val="20"/>
              </w:rPr>
            </w:pPr>
            <w:r>
              <w:rPr>
                <w:noProof/>
              </w:rPr>
              <w:t>Investointi 1.4.1 – Kansalaiskokemus – Digitaalisten julkisten palvelujen laadun ja käytettävyyden parantaminen</w:t>
            </w:r>
          </w:p>
        </w:tc>
        <w:tc>
          <w:tcPr>
            <w:tcW w:w="992" w:type="dxa"/>
            <w:shd w:val="clear" w:color="auto" w:fill="C6EFCE"/>
            <w:noWrap/>
            <w:vAlign w:val="center"/>
          </w:tcPr>
          <w:p w14:paraId="456AC00D"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2B568778" w14:textId="77777777" w:rsidR="00E42B18" w:rsidRDefault="009629C4">
            <w:pPr>
              <w:pStyle w:val="P68B1DB1-Normal11"/>
              <w:jc w:val="center"/>
              <w:rPr>
                <w:noProof/>
                <w:szCs w:val="20"/>
              </w:rPr>
            </w:pPr>
            <w:r>
              <w:rPr>
                <w:noProof/>
              </w:rPr>
              <w:t>Digitaalisten julkisten palvelujen laadun ja käytettävyyden parantaminen T1</w:t>
            </w:r>
          </w:p>
        </w:tc>
        <w:tc>
          <w:tcPr>
            <w:tcW w:w="1701" w:type="dxa"/>
            <w:shd w:val="clear" w:color="auto" w:fill="C6EFCE"/>
            <w:noWrap/>
            <w:vAlign w:val="center"/>
          </w:tcPr>
          <w:p w14:paraId="3197CAC8"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274B1960" w14:textId="77777777" w:rsidR="00E42B18" w:rsidRDefault="009629C4">
            <w:pPr>
              <w:pStyle w:val="P68B1DB1-Normal11"/>
              <w:jc w:val="center"/>
              <w:rPr>
                <w:noProof/>
                <w:szCs w:val="20"/>
              </w:rPr>
            </w:pPr>
            <w:r>
              <w:rPr>
                <w:noProof/>
              </w:rPr>
              <w:t>Prosenttiosuus</w:t>
            </w:r>
          </w:p>
        </w:tc>
        <w:tc>
          <w:tcPr>
            <w:tcW w:w="1276" w:type="dxa"/>
            <w:shd w:val="clear" w:color="auto" w:fill="C6EFCE"/>
            <w:noWrap/>
            <w:vAlign w:val="center"/>
          </w:tcPr>
          <w:p w14:paraId="07192CA1" w14:textId="77777777" w:rsidR="00E42B18" w:rsidRDefault="009629C4">
            <w:pPr>
              <w:pStyle w:val="P68B1DB1-Normal12"/>
              <w:jc w:val="center"/>
              <w:rPr>
                <w:noProof/>
              </w:rPr>
            </w:pPr>
            <w:r>
              <w:rPr>
                <w:noProof/>
              </w:rPr>
              <w:t>0</w:t>
            </w:r>
          </w:p>
        </w:tc>
        <w:tc>
          <w:tcPr>
            <w:tcW w:w="1417" w:type="dxa"/>
            <w:shd w:val="clear" w:color="auto" w:fill="C6EFCE"/>
            <w:noWrap/>
            <w:vAlign w:val="center"/>
          </w:tcPr>
          <w:p w14:paraId="6BD1CB2B" w14:textId="77777777" w:rsidR="00E42B18" w:rsidRDefault="009629C4">
            <w:pPr>
              <w:pStyle w:val="P68B1DB1-Normal11"/>
              <w:jc w:val="center"/>
              <w:rPr>
                <w:noProof/>
                <w:szCs w:val="20"/>
              </w:rPr>
            </w:pPr>
            <w:r>
              <w:rPr>
                <w:noProof/>
              </w:rPr>
              <w:t>40</w:t>
            </w:r>
          </w:p>
        </w:tc>
        <w:tc>
          <w:tcPr>
            <w:tcW w:w="793" w:type="dxa"/>
            <w:shd w:val="clear" w:color="auto" w:fill="C6EFCE"/>
            <w:noWrap/>
            <w:vAlign w:val="center"/>
          </w:tcPr>
          <w:p w14:paraId="6A6C10AD"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4EC8B7F4" w14:textId="77777777" w:rsidR="00E42B18" w:rsidRDefault="009629C4">
            <w:pPr>
              <w:pStyle w:val="P68B1DB1-Normal11"/>
              <w:jc w:val="center"/>
              <w:rPr>
                <w:noProof/>
                <w:szCs w:val="20"/>
              </w:rPr>
            </w:pPr>
            <w:r>
              <w:rPr>
                <w:noProof/>
              </w:rPr>
              <w:t>2024</w:t>
            </w:r>
          </w:p>
        </w:tc>
        <w:tc>
          <w:tcPr>
            <w:tcW w:w="2584" w:type="dxa"/>
            <w:shd w:val="clear" w:color="auto" w:fill="C6EFCE"/>
            <w:noWrap/>
            <w:vAlign w:val="center"/>
          </w:tcPr>
          <w:p w14:paraId="0545F631" w14:textId="77777777" w:rsidR="00E42B18" w:rsidRDefault="009629C4">
            <w:pPr>
              <w:pStyle w:val="P68B1DB1-Normal12"/>
              <w:spacing w:after="120"/>
              <w:rPr>
                <w:noProof/>
              </w:rPr>
            </w:pPr>
            <w:r>
              <w:rPr>
                <w:noProof/>
              </w:rPr>
              <w:t xml:space="preserve">Hallinto (kunnat, ensimmäisen ja toisen asteen oppilaitokset ja erityiset pilottiluonteiset terveydenhuolto- ja kulttuuriperintöyksiköt), jotka noudattavat yhteistä mallia ja suunnittelujärjestelmää, yksinkertaistavat käyttäjien vuorovaikutusta ja helpottavat ylläpitoa tulevina vuosina. </w:t>
            </w:r>
          </w:p>
          <w:p w14:paraId="68027483" w14:textId="77777777" w:rsidR="00E42B18" w:rsidRDefault="009629C4">
            <w:pPr>
              <w:pStyle w:val="P68B1DB1-Normal11"/>
              <w:spacing w:after="120"/>
              <w:rPr>
                <w:noProof/>
                <w:szCs w:val="20"/>
              </w:rPr>
            </w:pPr>
            <w:r>
              <w:rPr>
                <w:noProof/>
              </w:rPr>
              <w:t xml:space="preserve">Verkkosivustojen/palvelujen osien yhteisen mallin/mallin noudattaminen koostuu seuraavista: </w:t>
            </w:r>
          </w:p>
          <w:p w14:paraId="413CC711" w14:textId="77777777" w:rsidR="00E42B18" w:rsidRDefault="009629C4">
            <w:pPr>
              <w:pStyle w:val="P68B1DB1-Normal12"/>
              <w:spacing w:after="120"/>
              <w:rPr>
                <w:noProof/>
              </w:rPr>
            </w:pPr>
            <w:r>
              <w:rPr>
                <w:noProof/>
              </w:rPr>
              <w:t>(1) Esitettyjen hankkeiden arviointi;</w:t>
            </w:r>
          </w:p>
          <w:p w14:paraId="53ADAC38" w14:textId="77777777" w:rsidR="00E42B18" w:rsidRDefault="009629C4">
            <w:pPr>
              <w:pStyle w:val="P68B1DB1-Normal11"/>
              <w:spacing w:after="120"/>
              <w:rPr>
                <w:noProof/>
                <w:szCs w:val="20"/>
              </w:rPr>
            </w:pPr>
            <w:r>
              <w:rPr>
                <w:noProof/>
              </w:rPr>
              <w:t>(2) Hankkeen loppuunsaattamisen arviointi keskeisten käytettävyysmittareiden (digitaalisen käytettävyyspistemäärän) avulla jo käytettävissä olevan erityisen alustan avulla.</w:t>
            </w:r>
          </w:p>
        </w:tc>
      </w:tr>
      <w:tr w:rsidR="00E42B18" w14:paraId="04F0CD22" w14:textId="77777777">
        <w:trPr>
          <w:trHeight w:val="309"/>
        </w:trPr>
        <w:tc>
          <w:tcPr>
            <w:tcW w:w="1087" w:type="dxa"/>
            <w:shd w:val="clear" w:color="auto" w:fill="C6EFCE"/>
            <w:noWrap/>
            <w:vAlign w:val="center"/>
          </w:tcPr>
          <w:p w14:paraId="59460403" w14:textId="77777777" w:rsidR="00E42B18" w:rsidRDefault="009629C4">
            <w:pPr>
              <w:pStyle w:val="P68B1DB1-Normal11"/>
              <w:jc w:val="center"/>
              <w:rPr>
                <w:noProof/>
                <w:szCs w:val="20"/>
              </w:rPr>
            </w:pPr>
            <w:r>
              <w:rPr>
                <w:noProof/>
              </w:rPr>
              <w:t>M1C1–141</w:t>
            </w:r>
          </w:p>
        </w:tc>
        <w:tc>
          <w:tcPr>
            <w:tcW w:w="1943" w:type="dxa"/>
            <w:shd w:val="clear" w:color="auto" w:fill="C6EFCE"/>
            <w:noWrap/>
            <w:vAlign w:val="center"/>
          </w:tcPr>
          <w:p w14:paraId="6E14C3B3" w14:textId="77777777" w:rsidR="00E42B18" w:rsidRDefault="009629C4">
            <w:pPr>
              <w:pStyle w:val="P68B1DB1-Normal12"/>
              <w:jc w:val="center"/>
              <w:rPr>
                <w:noProof/>
              </w:rPr>
            </w:pPr>
            <w:r>
              <w:rPr>
                <w:noProof/>
              </w:rPr>
              <w:t>Investointi 1.6.4 – Puolustusministeriön digitalisointi</w:t>
            </w:r>
          </w:p>
        </w:tc>
        <w:tc>
          <w:tcPr>
            <w:tcW w:w="992" w:type="dxa"/>
            <w:shd w:val="clear" w:color="auto" w:fill="C6EFCE"/>
            <w:noWrap/>
            <w:vAlign w:val="center"/>
          </w:tcPr>
          <w:p w14:paraId="2DA49759"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1E4F0BC6" w14:textId="77777777" w:rsidR="00E42B18" w:rsidRDefault="009629C4">
            <w:pPr>
              <w:pStyle w:val="P68B1DB1-Normal12"/>
              <w:jc w:val="center"/>
              <w:rPr>
                <w:noProof/>
              </w:rPr>
            </w:pPr>
            <w:r>
              <w:rPr>
                <w:noProof/>
              </w:rPr>
              <w:t>Puolustusministeriön menettelyjen digitalisointi T2</w:t>
            </w:r>
          </w:p>
        </w:tc>
        <w:tc>
          <w:tcPr>
            <w:tcW w:w="1701" w:type="dxa"/>
            <w:shd w:val="clear" w:color="auto" w:fill="C6EFCE"/>
            <w:noWrap/>
            <w:vAlign w:val="center"/>
          </w:tcPr>
          <w:p w14:paraId="5983679F"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212B1D8C"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0E195516" w14:textId="77777777" w:rsidR="00E42B18" w:rsidRDefault="009629C4">
            <w:pPr>
              <w:pStyle w:val="P68B1DB1-Normal11"/>
              <w:jc w:val="center"/>
              <w:rPr>
                <w:noProof/>
                <w:szCs w:val="20"/>
              </w:rPr>
            </w:pPr>
            <w:r>
              <w:rPr>
                <w:noProof/>
              </w:rPr>
              <w:t>15</w:t>
            </w:r>
          </w:p>
        </w:tc>
        <w:tc>
          <w:tcPr>
            <w:tcW w:w="1417" w:type="dxa"/>
            <w:shd w:val="clear" w:color="auto" w:fill="C6EFCE"/>
            <w:noWrap/>
            <w:vAlign w:val="center"/>
          </w:tcPr>
          <w:p w14:paraId="7CE1DC91" w14:textId="77777777" w:rsidR="00E42B18" w:rsidRDefault="009629C4">
            <w:pPr>
              <w:pStyle w:val="P68B1DB1-Normal11"/>
              <w:jc w:val="center"/>
              <w:rPr>
                <w:noProof/>
                <w:szCs w:val="20"/>
              </w:rPr>
            </w:pPr>
            <w:r>
              <w:rPr>
                <w:noProof/>
              </w:rPr>
              <w:t>20</w:t>
            </w:r>
          </w:p>
        </w:tc>
        <w:tc>
          <w:tcPr>
            <w:tcW w:w="793" w:type="dxa"/>
            <w:shd w:val="clear" w:color="auto" w:fill="C6EFCE"/>
            <w:noWrap/>
            <w:vAlign w:val="center"/>
          </w:tcPr>
          <w:p w14:paraId="7FD7B3FD"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1120E0EE" w14:textId="77777777" w:rsidR="00E42B18" w:rsidRDefault="009629C4">
            <w:pPr>
              <w:pStyle w:val="P68B1DB1-Normal11"/>
              <w:jc w:val="center"/>
              <w:rPr>
                <w:noProof/>
                <w:szCs w:val="20"/>
              </w:rPr>
            </w:pPr>
            <w:r>
              <w:rPr>
                <w:noProof/>
              </w:rPr>
              <w:t>2024</w:t>
            </w:r>
          </w:p>
        </w:tc>
        <w:tc>
          <w:tcPr>
            <w:tcW w:w="2584" w:type="dxa"/>
            <w:shd w:val="clear" w:color="auto" w:fill="C6EFCE"/>
            <w:noWrap/>
            <w:vAlign w:val="center"/>
          </w:tcPr>
          <w:p w14:paraId="3561D338" w14:textId="77777777" w:rsidR="00E42B18" w:rsidRDefault="009629C4">
            <w:pPr>
              <w:pStyle w:val="P68B1DB1-Normal12"/>
              <w:spacing w:after="120"/>
              <w:rPr>
                <w:noProof/>
              </w:rPr>
            </w:pPr>
            <w:r>
              <w:rPr>
                <w:noProof/>
              </w:rPr>
              <w:t>Puolustusalan henkilöstön hallinnointiin liittyvien 20 menettelyn digitalisointi, tarkistaminen ja automatisointi (esim. rekrytointi, työllisyys ja eläkkeelle siirtyminen, työntekijöiden terveys) alkaen 15 jo digitalisoidun menettelyn perustasosta, johon liittyy tavoite 1.</w:t>
            </w:r>
          </w:p>
        </w:tc>
      </w:tr>
      <w:tr w:rsidR="00E42B18" w14:paraId="51DBA631" w14:textId="77777777">
        <w:trPr>
          <w:trHeight w:val="309"/>
        </w:trPr>
        <w:tc>
          <w:tcPr>
            <w:tcW w:w="1087" w:type="dxa"/>
            <w:shd w:val="clear" w:color="auto" w:fill="C6EFCE"/>
            <w:noWrap/>
            <w:vAlign w:val="center"/>
          </w:tcPr>
          <w:p w14:paraId="24FA5743" w14:textId="77777777" w:rsidR="00E42B18" w:rsidRDefault="009629C4">
            <w:pPr>
              <w:pStyle w:val="P68B1DB1-Normal11"/>
              <w:jc w:val="center"/>
              <w:rPr>
                <w:noProof/>
                <w:szCs w:val="20"/>
              </w:rPr>
            </w:pPr>
            <w:r>
              <w:rPr>
                <w:noProof/>
              </w:rPr>
              <w:t>M1C1–142</w:t>
            </w:r>
          </w:p>
        </w:tc>
        <w:tc>
          <w:tcPr>
            <w:tcW w:w="1943" w:type="dxa"/>
            <w:shd w:val="clear" w:color="auto" w:fill="C6EFCE"/>
            <w:noWrap/>
            <w:vAlign w:val="center"/>
          </w:tcPr>
          <w:p w14:paraId="32F26AE0" w14:textId="77777777" w:rsidR="00E42B18" w:rsidRDefault="009629C4">
            <w:pPr>
              <w:pStyle w:val="P68B1DB1-Normal12"/>
              <w:jc w:val="center"/>
              <w:rPr>
                <w:noProof/>
              </w:rPr>
            </w:pPr>
            <w:r>
              <w:rPr>
                <w:noProof/>
              </w:rPr>
              <w:t>Investointi 1.6.4 – Puolustusministeriön digitalisointi</w:t>
            </w:r>
          </w:p>
        </w:tc>
        <w:tc>
          <w:tcPr>
            <w:tcW w:w="992" w:type="dxa"/>
            <w:shd w:val="clear" w:color="auto" w:fill="C6EFCE"/>
            <w:noWrap/>
            <w:vAlign w:val="center"/>
          </w:tcPr>
          <w:p w14:paraId="18FADC6F"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6AE7459E" w14:textId="77777777" w:rsidR="00E42B18" w:rsidRDefault="009629C4">
            <w:pPr>
              <w:pStyle w:val="P68B1DB1-Normal12"/>
              <w:jc w:val="center"/>
              <w:rPr>
                <w:noProof/>
              </w:rPr>
            </w:pPr>
            <w:r>
              <w:rPr>
                <w:noProof/>
              </w:rPr>
              <w:t>Puolustusministeriön todistusten digitalisointi T2</w:t>
            </w:r>
          </w:p>
        </w:tc>
        <w:tc>
          <w:tcPr>
            <w:tcW w:w="1701" w:type="dxa"/>
            <w:shd w:val="clear" w:color="auto" w:fill="C6EFCE"/>
            <w:noWrap/>
            <w:vAlign w:val="center"/>
          </w:tcPr>
          <w:p w14:paraId="4566C08D"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11F5A855" w14:textId="77777777" w:rsidR="00E42B18" w:rsidRDefault="009629C4">
            <w:pPr>
              <w:pStyle w:val="P68B1DB1-Normal11"/>
              <w:jc w:val="center"/>
              <w:rPr>
                <w:noProof/>
                <w:szCs w:val="20"/>
              </w:rPr>
            </w:pPr>
            <w:r>
              <w:rPr>
                <w:noProof/>
              </w:rPr>
              <w:t>Digitoitujen todistusten lukumäärä</w:t>
            </w:r>
          </w:p>
        </w:tc>
        <w:tc>
          <w:tcPr>
            <w:tcW w:w="1276" w:type="dxa"/>
            <w:shd w:val="clear" w:color="auto" w:fill="C6EFCE"/>
            <w:noWrap/>
            <w:vAlign w:val="center"/>
          </w:tcPr>
          <w:p w14:paraId="184786D2" w14:textId="77777777" w:rsidR="00E42B18" w:rsidRDefault="009629C4">
            <w:pPr>
              <w:pStyle w:val="P68B1DB1-Normal11"/>
              <w:jc w:val="center"/>
              <w:rPr>
                <w:noProof/>
                <w:szCs w:val="20"/>
              </w:rPr>
            </w:pPr>
            <w:r>
              <w:rPr>
                <w:noProof/>
              </w:rPr>
              <w:t>450 000</w:t>
            </w:r>
          </w:p>
        </w:tc>
        <w:tc>
          <w:tcPr>
            <w:tcW w:w="1417" w:type="dxa"/>
            <w:shd w:val="clear" w:color="auto" w:fill="C6EFCE"/>
            <w:noWrap/>
            <w:vAlign w:val="center"/>
          </w:tcPr>
          <w:p w14:paraId="0B0BD3C6" w14:textId="77777777" w:rsidR="00E42B18" w:rsidRDefault="009629C4">
            <w:pPr>
              <w:pStyle w:val="P68B1DB1-Normal11"/>
              <w:jc w:val="center"/>
              <w:rPr>
                <w:noProof/>
                <w:szCs w:val="20"/>
              </w:rPr>
            </w:pPr>
            <w:r>
              <w:rPr>
                <w:noProof/>
              </w:rPr>
              <w:t>750 000</w:t>
            </w:r>
          </w:p>
        </w:tc>
        <w:tc>
          <w:tcPr>
            <w:tcW w:w="793" w:type="dxa"/>
            <w:shd w:val="clear" w:color="auto" w:fill="C6EFCE"/>
            <w:noWrap/>
            <w:vAlign w:val="center"/>
          </w:tcPr>
          <w:p w14:paraId="5FC81038"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19232484" w14:textId="77777777" w:rsidR="00E42B18" w:rsidRDefault="009629C4">
            <w:pPr>
              <w:pStyle w:val="P68B1DB1-Normal11"/>
              <w:jc w:val="center"/>
              <w:rPr>
                <w:noProof/>
                <w:szCs w:val="20"/>
              </w:rPr>
            </w:pPr>
            <w:r>
              <w:rPr>
                <w:noProof/>
              </w:rPr>
              <w:t>2024</w:t>
            </w:r>
          </w:p>
        </w:tc>
        <w:tc>
          <w:tcPr>
            <w:tcW w:w="2584" w:type="dxa"/>
            <w:shd w:val="clear" w:color="auto" w:fill="C6EFCE"/>
            <w:noWrap/>
            <w:vAlign w:val="center"/>
          </w:tcPr>
          <w:p w14:paraId="743C8C34" w14:textId="77777777" w:rsidR="00E42B18" w:rsidRDefault="009629C4">
            <w:pPr>
              <w:pStyle w:val="P68B1DB1-Normal12"/>
              <w:spacing w:after="120"/>
              <w:rPr>
                <w:noProof/>
              </w:rPr>
            </w:pPr>
            <w:r>
              <w:rPr>
                <w:noProof/>
              </w:rPr>
              <w:t>Puolustusministeriön myöntämien ja infrastruktuuriin liittyvien digitalisoitujen henkilöllisyystodistusten määrä (750000), jota täydennetään palautumispaikalla, alkaen 450000 jo digitoidusta todistuksesta, joiden tavoite 1 on asetettu.</w:t>
            </w:r>
          </w:p>
        </w:tc>
      </w:tr>
      <w:tr w:rsidR="00E42B18" w14:paraId="130A4FE3" w14:textId="77777777">
        <w:trPr>
          <w:trHeight w:val="309"/>
        </w:trPr>
        <w:tc>
          <w:tcPr>
            <w:tcW w:w="1087" w:type="dxa"/>
            <w:shd w:val="clear" w:color="auto" w:fill="C6EFCE"/>
            <w:noWrap/>
            <w:vAlign w:val="center"/>
          </w:tcPr>
          <w:p w14:paraId="72839704" w14:textId="77777777" w:rsidR="00E42B18" w:rsidRDefault="009629C4">
            <w:pPr>
              <w:pStyle w:val="P68B1DB1-Normal11"/>
              <w:jc w:val="center"/>
              <w:rPr>
                <w:noProof/>
                <w:szCs w:val="20"/>
              </w:rPr>
            </w:pPr>
            <w:r>
              <w:rPr>
                <w:noProof/>
              </w:rPr>
              <w:t>M1C1–143</w:t>
            </w:r>
          </w:p>
        </w:tc>
        <w:tc>
          <w:tcPr>
            <w:tcW w:w="1943" w:type="dxa"/>
            <w:shd w:val="clear" w:color="auto" w:fill="C6EFCE"/>
            <w:noWrap/>
            <w:vAlign w:val="center"/>
          </w:tcPr>
          <w:p w14:paraId="3D455FE7" w14:textId="77777777" w:rsidR="00E42B18" w:rsidRDefault="009629C4">
            <w:pPr>
              <w:pStyle w:val="P68B1DB1-Normal12"/>
              <w:jc w:val="center"/>
              <w:rPr>
                <w:noProof/>
              </w:rPr>
            </w:pPr>
            <w:r>
              <w:rPr>
                <w:noProof/>
              </w:rPr>
              <w:t>Investointi 1.6.4 – Puolustusministeriön digitalisointi</w:t>
            </w:r>
          </w:p>
        </w:tc>
        <w:tc>
          <w:tcPr>
            <w:tcW w:w="992" w:type="dxa"/>
            <w:shd w:val="clear" w:color="auto" w:fill="C6EFCE"/>
            <w:noWrap/>
            <w:vAlign w:val="center"/>
          </w:tcPr>
          <w:p w14:paraId="297CE6AE"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37AA58CF" w14:textId="77777777" w:rsidR="00E42B18" w:rsidRDefault="009629C4">
            <w:pPr>
              <w:pStyle w:val="P68B1DB1-Normal12"/>
              <w:jc w:val="center"/>
              <w:rPr>
                <w:noProof/>
              </w:rPr>
            </w:pPr>
            <w:r>
              <w:rPr>
                <w:noProof/>
              </w:rPr>
              <w:t>Puolustusministeriö – operaation kriittisten ja muiden kriittisten sovellusten siirtäminen infrastruktuurin avoimuuden avulla toteutettavan tietosuojan täydentämistä koskevaan ratkaisuun (S.C.I.P.I.O.) T2</w:t>
            </w:r>
          </w:p>
        </w:tc>
        <w:tc>
          <w:tcPr>
            <w:tcW w:w="1701" w:type="dxa"/>
            <w:shd w:val="clear" w:color="auto" w:fill="C6EFCE"/>
            <w:noWrap/>
            <w:vAlign w:val="center"/>
          </w:tcPr>
          <w:p w14:paraId="1D1DCE80"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1B87BB0D"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411F9E31" w14:textId="77777777" w:rsidR="00E42B18" w:rsidRDefault="009629C4">
            <w:pPr>
              <w:pStyle w:val="P68B1DB1-Normal11"/>
              <w:jc w:val="center"/>
              <w:rPr>
                <w:noProof/>
                <w:szCs w:val="20"/>
              </w:rPr>
            </w:pPr>
            <w:r>
              <w:rPr>
                <w:noProof/>
              </w:rPr>
              <w:t>10</w:t>
            </w:r>
          </w:p>
        </w:tc>
        <w:tc>
          <w:tcPr>
            <w:tcW w:w="1417" w:type="dxa"/>
            <w:shd w:val="clear" w:color="auto" w:fill="C6EFCE"/>
            <w:noWrap/>
            <w:vAlign w:val="center"/>
          </w:tcPr>
          <w:p w14:paraId="750487AD" w14:textId="77777777" w:rsidR="00E42B18" w:rsidRDefault="009629C4">
            <w:pPr>
              <w:pStyle w:val="P68B1DB1-Normal11"/>
              <w:jc w:val="center"/>
              <w:rPr>
                <w:noProof/>
                <w:szCs w:val="20"/>
              </w:rPr>
            </w:pPr>
            <w:r>
              <w:rPr>
                <w:noProof/>
              </w:rPr>
              <w:t>15</w:t>
            </w:r>
          </w:p>
        </w:tc>
        <w:tc>
          <w:tcPr>
            <w:tcW w:w="793" w:type="dxa"/>
            <w:shd w:val="clear" w:color="auto" w:fill="C6EFCE"/>
            <w:noWrap/>
            <w:vAlign w:val="center"/>
          </w:tcPr>
          <w:p w14:paraId="49D5FBCC"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31299601" w14:textId="77777777" w:rsidR="00E42B18" w:rsidRDefault="009629C4">
            <w:pPr>
              <w:pStyle w:val="P68B1DB1-Normal11"/>
              <w:jc w:val="center"/>
              <w:rPr>
                <w:noProof/>
                <w:szCs w:val="20"/>
              </w:rPr>
            </w:pPr>
            <w:r>
              <w:rPr>
                <w:noProof/>
              </w:rPr>
              <w:t>2024</w:t>
            </w:r>
          </w:p>
        </w:tc>
        <w:tc>
          <w:tcPr>
            <w:tcW w:w="2584" w:type="dxa"/>
            <w:shd w:val="clear" w:color="auto" w:fill="C6EFCE"/>
            <w:noWrap/>
            <w:vAlign w:val="center"/>
          </w:tcPr>
          <w:p w14:paraId="236C767D" w14:textId="77777777" w:rsidR="00E42B18" w:rsidRDefault="009629C4">
            <w:pPr>
              <w:pStyle w:val="P68B1DB1-Normal12"/>
              <w:spacing w:after="120"/>
              <w:rPr>
                <w:noProof/>
              </w:rPr>
            </w:pPr>
            <w:r>
              <w:rPr>
                <w:noProof/>
              </w:rPr>
              <w:t>Neljän missiokriittisen ja yhdentoista muun kriittisen sovelluksen lopullinen siirtyminen uuteen avoimen lähdekoodin infrastruktuuriin, joka kattaa laitteistoympäristön toteutuksen, väliohjelmistojen avoimen lähdekoodin komponenttien asentamisen, sovellusten uudelleensuunnittelun alkaen perusurasta, joka on jo siirretty tavoitteella 1.</w:t>
            </w:r>
          </w:p>
        </w:tc>
      </w:tr>
      <w:tr w:rsidR="00E42B18" w14:paraId="220A4F3C" w14:textId="77777777">
        <w:trPr>
          <w:trHeight w:val="309"/>
        </w:trPr>
        <w:tc>
          <w:tcPr>
            <w:tcW w:w="1087" w:type="dxa"/>
            <w:shd w:val="clear" w:color="auto" w:fill="C6EFCE"/>
            <w:noWrap/>
            <w:vAlign w:val="center"/>
          </w:tcPr>
          <w:p w14:paraId="6097D069" w14:textId="77777777" w:rsidR="00E42B18" w:rsidRDefault="009629C4">
            <w:pPr>
              <w:pStyle w:val="P68B1DB1-Normal11"/>
              <w:jc w:val="center"/>
              <w:rPr>
                <w:noProof/>
                <w:szCs w:val="20"/>
              </w:rPr>
            </w:pPr>
            <w:r>
              <w:rPr>
                <w:noProof/>
              </w:rPr>
              <w:t>M1C1–145</w:t>
            </w:r>
          </w:p>
        </w:tc>
        <w:tc>
          <w:tcPr>
            <w:tcW w:w="1943" w:type="dxa"/>
            <w:shd w:val="clear" w:color="auto" w:fill="C6EFCE"/>
            <w:noWrap/>
            <w:vAlign w:val="center"/>
          </w:tcPr>
          <w:p w14:paraId="3B2333C5" w14:textId="77777777" w:rsidR="00E42B18" w:rsidRDefault="009629C4">
            <w:pPr>
              <w:pStyle w:val="P68B1DB1-Normal11"/>
              <w:jc w:val="center"/>
              <w:rPr>
                <w:noProof/>
                <w:szCs w:val="20"/>
              </w:rPr>
            </w:pPr>
            <w:r>
              <w:rPr>
                <w:noProof/>
              </w:rPr>
              <w:t>Investointi 1.4.4 – Kansallisten digitaalisen identiteetin alustojen (SPID, CIE) ja kansallisen rekisterin (ANPR) käyttöönotto</w:t>
            </w:r>
          </w:p>
        </w:tc>
        <w:tc>
          <w:tcPr>
            <w:tcW w:w="992" w:type="dxa"/>
            <w:shd w:val="clear" w:color="auto" w:fill="C6EFCE"/>
            <w:noWrap/>
            <w:vAlign w:val="center"/>
          </w:tcPr>
          <w:p w14:paraId="5085EE6C"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3D18879E" w14:textId="77777777" w:rsidR="00E42B18" w:rsidRDefault="009629C4">
            <w:pPr>
              <w:pStyle w:val="P68B1DB1-Normal12"/>
              <w:jc w:val="center"/>
              <w:rPr>
                <w:noProof/>
              </w:rPr>
            </w:pPr>
            <w:r>
              <w:rPr>
                <w:noProof/>
              </w:rPr>
              <w:t>Kansallinen digitaalisen identiteetin alusta (CIE) ja kansallinen rekisteri (ANPR)</w:t>
            </w:r>
          </w:p>
        </w:tc>
        <w:tc>
          <w:tcPr>
            <w:tcW w:w="1701" w:type="dxa"/>
            <w:shd w:val="clear" w:color="auto" w:fill="C6EFCE"/>
            <w:noWrap/>
            <w:vAlign w:val="center"/>
          </w:tcPr>
          <w:p w14:paraId="71177ED4"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2D698154"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43934629" w14:textId="77777777" w:rsidR="00E42B18" w:rsidRDefault="009629C4">
            <w:pPr>
              <w:pStyle w:val="P68B1DB1-Normal11"/>
              <w:jc w:val="center"/>
              <w:rPr>
                <w:noProof/>
                <w:szCs w:val="20"/>
              </w:rPr>
            </w:pPr>
            <w:r>
              <w:rPr>
                <w:noProof/>
              </w:rPr>
              <w:t>9 700 000</w:t>
            </w:r>
          </w:p>
        </w:tc>
        <w:tc>
          <w:tcPr>
            <w:tcW w:w="1417" w:type="dxa"/>
            <w:shd w:val="clear" w:color="auto" w:fill="C6EFCE"/>
            <w:noWrap/>
            <w:vAlign w:val="center"/>
          </w:tcPr>
          <w:p w14:paraId="03F77A26" w14:textId="77777777" w:rsidR="00E42B18" w:rsidRDefault="009629C4">
            <w:pPr>
              <w:pStyle w:val="P68B1DB1-Normal11"/>
              <w:jc w:val="center"/>
              <w:rPr>
                <w:noProof/>
                <w:szCs w:val="20"/>
              </w:rPr>
            </w:pPr>
            <w:r>
              <w:rPr>
                <w:noProof/>
              </w:rPr>
              <w:t>42 300 000</w:t>
            </w:r>
          </w:p>
        </w:tc>
        <w:tc>
          <w:tcPr>
            <w:tcW w:w="793" w:type="dxa"/>
            <w:shd w:val="clear" w:color="auto" w:fill="C6EFCE"/>
            <w:noWrap/>
            <w:vAlign w:val="center"/>
          </w:tcPr>
          <w:p w14:paraId="4815C2D2" w14:textId="77777777" w:rsidR="00E42B18" w:rsidRDefault="009629C4">
            <w:pPr>
              <w:pStyle w:val="P68B1DB1-Normal11"/>
              <w:jc w:val="center"/>
              <w:rPr>
                <w:noProof/>
                <w:szCs w:val="20"/>
              </w:rPr>
            </w:pPr>
            <w:r>
              <w:rPr>
                <w:noProof/>
              </w:rPr>
              <w:t>Q4</w:t>
            </w:r>
          </w:p>
        </w:tc>
        <w:tc>
          <w:tcPr>
            <w:tcW w:w="625" w:type="dxa"/>
            <w:shd w:val="clear" w:color="auto" w:fill="C6EFCE"/>
            <w:noWrap/>
            <w:vAlign w:val="center"/>
          </w:tcPr>
          <w:p w14:paraId="05DFC2EA" w14:textId="77777777" w:rsidR="00E42B18" w:rsidRDefault="009629C4">
            <w:pPr>
              <w:pStyle w:val="P68B1DB1-Normal11"/>
              <w:jc w:val="center"/>
              <w:rPr>
                <w:noProof/>
                <w:szCs w:val="20"/>
              </w:rPr>
            </w:pPr>
            <w:r>
              <w:rPr>
                <w:noProof/>
              </w:rPr>
              <w:t>2025</w:t>
            </w:r>
          </w:p>
        </w:tc>
        <w:tc>
          <w:tcPr>
            <w:tcW w:w="2584" w:type="dxa"/>
            <w:shd w:val="clear" w:color="auto" w:fill="C6EFCE"/>
            <w:noWrap/>
            <w:vAlign w:val="center"/>
          </w:tcPr>
          <w:p w14:paraId="74454F90" w14:textId="77777777" w:rsidR="00E42B18" w:rsidRDefault="009629C4">
            <w:pPr>
              <w:pStyle w:val="P68B1DB1-Normal12"/>
              <w:spacing w:after="120"/>
              <w:rPr>
                <w:noProof/>
              </w:rPr>
            </w:pPr>
            <w:r>
              <w:rPr>
                <w:noProof/>
              </w:rPr>
              <w:t>Kansalliselle digitaalisen identiteetin alustalle (CIE) on rekisteröity 42300000 henkilöä, joilla on voimassa oleva digitaalinen henkilöllisyys.</w:t>
            </w:r>
          </w:p>
        </w:tc>
      </w:tr>
      <w:tr w:rsidR="00E42B18" w14:paraId="79BB774B" w14:textId="77777777">
        <w:trPr>
          <w:trHeight w:val="309"/>
        </w:trPr>
        <w:tc>
          <w:tcPr>
            <w:tcW w:w="1087" w:type="dxa"/>
            <w:shd w:val="clear" w:color="auto" w:fill="C6EFCE"/>
            <w:noWrap/>
            <w:vAlign w:val="center"/>
          </w:tcPr>
          <w:p w14:paraId="008E7775" w14:textId="77777777" w:rsidR="00E42B18" w:rsidRDefault="009629C4">
            <w:pPr>
              <w:pStyle w:val="P68B1DB1-Normal11"/>
              <w:jc w:val="center"/>
              <w:rPr>
                <w:noProof/>
                <w:szCs w:val="20"/>
              </w:rPr>
            </w:pPr>
            <w:r>
              <w:rPr>
                <w:noProof/>
              </w:rPr>
              <w:t>M1C1–146</w:t>
            </w:r>
          </w:p>
        </w:tc>
        <w:tc>
          <w:tcPr>
            <w:tcW w:w="1943" w:type="dxa"/>
            <w:shd w:val="clear" w:color="auto" w:fill="C6EFCE"/>
            <w:noWrap/>
            <w:vAlign w:val="center"/>
          </w:tcPr>
          <w:p w14:paraId="748981FE" w14:textId="77777777" w:rsidR="00E42B18" w:rsidRDefault="009629C4">
            <w:pPr>
              <w:pStyle w:val="P68B1DB1-Normal11"/>
              <w:jc w:val="center"/>
              <w:rPr>
                <w:noProof/>
                <w:szCs w:val="20"/>
              </w:rPr>
            </w:pPr>
            <w:r>
              <w:rPr>
                <w:noProof/>
              </w:rPr>
              <w:t>Investointi 1.4.4 – Kansallisten digitaalisen identiteetin alustojen (SPID, CIE) ja kansallisen rekisterin (ANPR) käyttöönotto</w:t>
            </w:r>
          </w:p>
        </w:tc>
        <w:tc>
          <w:tcPr>
            <w:tcW w:w="992" w:type="dxa"/>
            <w:shd w:val="clear" w:color="auto" w:fill="C6EFCE"/>
            <w:noWrap/>
            <w:vAlign w:val="center"/>
          </w:tcPr>
          <w:p w14:paraId="5A4CD9D8"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514E207D" w14:textId="77777777" w:rsidR="00E42B18" w:rsidRDefault="009629C4">
            <w:pPr>
              <w:pStyle w:val="P68B1DB1-Normal11"/>
              <w:jc w:val="center"/>
              <w:rPr>
                <w:noProof/>
                <w:szCs w:val="20"/>
              </w:rPr>
            </w:pPr>
            <w:r>
              <w:rPr>
                <w:noProof/>
              </w:rPr>
              <w:t xml:space="preserve">Kansalliset digitaalisen identiteetin alustat (SPID) </w:t>
            </w:r>
          </w:p>
        </w:tc>
        <w:tc>
          <w:tcPr>
            <w:tcW w:w="1701" w:type="dxa"/>
            <w:shd w:val="clear" w:color="auto" w:fill="C6EFCE"/>
            <w:noWrap/>
            <w:vAlign w:val="center"/>
          </w:tcPr>
          <w:p w14:paraId="3D414044"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0B4B36EA"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5F866A0D" w14:textId="77777777" w:rsidR="00E42B18" w:rsidRDefault="009629C4">
            <w:pPr>
              <w:pStyle w:val="P68B1DB1-Normal11"/>
              <w:jc w:val="center"/>
              <w:rPr>
                <w:noProof/>
                <w:szCs w:val="20"/>
              </w:rPr>
            </w:pPr>
            <w:r>
              <w:rPr>
                <w:noProof/>
              </w:rPr>
              <w:t>0</w:t>
            </w:r>
          </w:p>
        </w:tc>
        <w:tc>
          <w:tcPr>
            <w:tcW w:w="1417" w:type="dxa"/>
            <w:shd w:val="clear" w:color="auto" w:fill="C6EFCE"/>
            <w:noWrap/>
            <w:vAlign w:val="center"/>
          </w:tcPr>
          <w:p w14:paraId="429F53A8" w14:textId="77777777" w:rsidR="00E42B18" w:rsidRDefault="009629C4">
            <w:pPr>
              <w:pStyle w:val="P68B1DB1-Normal24"/>
              <w:jc w:val="center"/>
              <w:rPr>
                <w:rFonts w:hAnsi="Arial Narrow" w:hint="default"/>
                <w:noProof/>
                <w:szCs w:val="20"/>
              </w:rPr>
            </w:pPr>
            <w:r>
              <w:rPr>
                <w:noProof/>
              </w:rPr>
              <w:t>10</w:t>
            </w:r>
            <w:r>
              <w:rPr>
                <w:noProof/>
              </w:rPr>
              <w:t> </w:t>
            </w:r>
            <w:r>
              <w:rPr>
                <w:noProof/>
              </w:rPr>
              <w:t>217</w:t>
            </w:r>
          </w:p>
        </w:tc>
        <w:tc>
          <w:tcPr>
            <w:tcW w:w="793" w:type="dxa"/>
            <w:shd w:val="clear" w:color="auto" w:fill="C6EFCE"/>
            <w:noWrap/>
            <w:vAlign w:val="center"/>
          </w:tcPr>
          <w:p w14:paraId="75593330" w14:textId="77777777" w:rsidR="00E42B18" w:rsidRDefault="009629C4">
            <w:pPr>
              <w:pStyle w:val="P68B1DB1-Normal11"/>
              <w:jc w:val="center"/>
              <w:rPr>
                <w:noProof/>
                <w:szCs w:val="20"/>
              </w:rPr>
            </w:pPr>
            <w:r>
              <w:rPr>
                <w:noProof/>
              </w:rPr>
              <w:t>Q2</w:t>
            </w:r>
          </w:p>
        </w:tc>
        <w:tc>
          <w:tcPr>
            <w:tcW w:w="625" w:type="dxa"/>
            <w:shd w:val="clear" w:color="auto" w:fill="C6EFCE"/>
            <w:noWrap/>
            <w:vAlign w:val="center"/>
          </w:tcPr>
          <w:p w14:paraId="7A0DAC80" w14:textId="77777777" w:rsidR="00E42B18" w:rsidRDefault="009629C4">
            <w:pPr>
              <w:pStyle w:val="P68B1DB1-Normal11"/>
              <w:jc w:val="center"/>
              <w:rPr>
                <w:noProof/>
                <w:szCs w:val="20"/>
              </w:rPr>
            </w:pPr>
            <w:r>
              <w:rPr>
                <w:noProof/>
              </w:rPr>
              <w:t>2025</w:t>
            </w:r>
          </w:p>
        </w:tc>
        <w:tc>
          <w:tcPr>
            <w:tcW w:w="2584" w:type="dxa"/>
            <w:shd w:val="clear" w:color="auto" w:fill="C6EFCE"/>
            <w:noWrap/>
            <w:vAlign w:val="center"/>
          </w:tcPr>
          <w:p w14:paraId="799F9246" w14:textId="77777777" w:rsidR="00E42B18" w:rsidRDefault="009629C4">
            <w:pPr>
              <w:pStyle w:val="P68B1DB1-Normal12"/>
              <w:spacing w:after="120"/>
              <w:rPr>
                <w:noProof/>
              </w:rPr>
            </w:pPr>
            <w:r>
              <w:rPr>
                <w:noProof/>
              </w:rPr>
              <w:t>10217 toimijaa hyväksyi sähköisen tunnistamisen (eID) julkisen digitaalisen identiteetin järjestelmän (SPID) kautta 3. joulukuuta 2021 jälkeen.</w:t>
            </w:r>
          </w:p>
        </w:tc>
      </w:tr>
      <w:tr w:rsidR="00E42B18" w14:paraId="66EF4704" w14:textId="77777777">
        <w:trPr>
          <w:trHeight w:val="309"/>
        </w:trPr>
        <w:tc>
          <w:tcPr>
            <w:tcW w:w="1087" w:type="dxa"/>
            <w:shd w:val="clear" w:color="auto" w:fill="C6EFCE"/>
            <w:noWrap/>
            <w:vAlign w:val="center"/>
          </w:tcPr>
          <w:p w14:paraId="39CB895B" w14:textId="77777777" w:rsidR="00E42B18" w:rsidRDefault="009629C4">
            <w:pPr>
              <w:pStyle w:val="P68B1DB1-Normal11"/>
              <w:jc w:val="center"/>
              <w:rPr>
                <w:noProof/>
                <w:szCs w:val="20"/>
              </w:rPr>
            </w:pPr>
            <w:r>
              <w:rPr>
                <w:noProof/>
              </w:rPr>
              <w:t>M1C1–151</w:t>
            </w:r>
          </w:p>
        </w:tc>
        <w:tc>
          <w:tcPr>
            <w:tcW w:w="1943" w:type="dxa"/>
            <w:shd w:val="clear" w:color="auto" w:fill="C6EFCE"/>
            <w:noWrap/>
            <w:vAlign w:val="center"/>
          </w:tcPr>
          <w:p w14:paraId="506133CF" w14:textId="77777777" w:rsidR="00E42B18" w:rsidRDefault="009629C4">
            <w:pPr>
              <w:pStyle w:val="P68B1DB1-Normal11"/>
              <w:jc w:val="center"/>
              <w:rPr>
                <w:noProof/>
                <w:szCs w:val="20"/>
              </w:rPr>
            </w:pPr>
            <w:r>
              <w:rPr>
                <w:noProof/>
              </w:rPr>
              <w:t>Investointi 1.4.5 – Julkisten ilmoitusten digitalisointi</w:t>
            </w:r>
          </w:p>
        </w:tc>
        <w:tc>
          <w:tcPr>
            <w:tcW w:w="992" w:type="dxa"/>
            <w:shd w:val="clear" w:color="auto" w:fill="C6EFCE"/>
            <w:noWrap/>
            <w:vAlign w:val="center"/>
          </w:tcPr>
          <w:p w14:paraId="3C0D7E8A"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6CBC5503" w14:textId="77777777" w:rsidR="00E42B18" w:rsidRDefault="009629C4">
            <w:pPr>
              <w:pStyle w:val="P68B1DB1-Normal12"/>
              <w:jc w:val="center"/>
              <w:rPr>
                <w:noProof/>
              </w:rPr>
            </w:pPr>
            <w:r>
              <w:rPr>
                <w:noProof/>
              </w:rPr>
              <w:t>Digitaalisen ilmoitusalustan T2 hyväksyminen</w:t>
            </w:r>
          </w:p>
        </w:tc>
        <w:tc>
          <w:tcPr>
            <w:tcW w:w="1701" w:type="dxa"/>
            <w:shd w:val="clear" w:color="auto" w:fill="C6EFCE"/>
            <w:noWrap/>
            <w:vAlign w:val="center"/>
          </w:tcPr>
          <w:p w14:paraId="10164EFA"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42E07C1A"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3905BC86" w14:textId="77777777" w:rsidR="00E42B18" w:rsidRDefault="009629C4">
            <w:pPr>
              <w:pStyle w:val="P68B1DB1-Normal11"/>
              <w:jc w:val="center"/>
              <w:rPr>
                <w:noProof/>
                <w:szCs w:val="20"/>
              </w:rPr>
            </w:pPr>
            <w:r>
              <w:rPr>
                <w:noProof/>
              </w:rPr>
              <w:t>800</w:t>
            </w:r>
          </w:p>
        </w:tc>
        <w:tc>
          <w:tcPr>
            <w:tcW w:w="1417" w:type="dxa"/>
            <w:shd w:val="clear" w:color="auto" w:fill="C6EFCE"/>
            <w:noWrap/>
            <w:vAlign w:val="center"/>
          </w:tcPr>
          <w:p w14:paraId="2C1E3AAC" w14:textId="77777777" w:rsidR="00E42B18" w:rsidRDefault="009629C4">
            <w:pPr>
              <w:pStyle w:val="P68B1DB1-Normal11"/>
              <w:jc w:val="center"/>
              <w:rPr>
                <w:noProof/>
                <w:szCs w:val="20"/>
              </w:rPr>
            </w:pPr>
            <w:r>
              <w:rPr>
                <w:noProof/>
              </w:rPr>
              <w:t>6 400</w:t>
            </w:r>
          </w:p>
        </w:tc>
        <w:tc>
          <w:tcPr>
            <w:tcW w:w="793" w:type="dxa"/>
            <w:shd w:val="clear" w:color="auto" w:fill="C6EFCE"/>
            <w:noWrap/>
            <w:vAlign w:val="center"/>
          </w:tcPr>
          <w:p w14:paraId="1EBD91BB" w14:textId="77777777" w:rsidR="00E42B18" w:rsidRDefault="009629C4">
            <w:pPr>
              <w:pStyle w:val="P68B1DB1-Normal11"/>
              <w:jc w:val="center"/>
              <w:rPr>
                <w:noProof/>
                <w:szCs w:val="20"/>
              </w:rPr>
            </w:pPr>
            <w:r>
              <w:rPr>
                <w:noProof/>
              </w:rPr>
              <w:t>Q2</w:t>
            </w:r>
          </w:p>
        </w:tc>
        <w:tc>
          <w:tcPr>
            <w:tcW w:w="625" w:type="dxa"/>
            <w:shd w:val="clear" w:color="auto" w:fill="C6EFCE"/>
            <w:noWrap/>
            <w:vAlign w:val="center"/>
          </w:tcPr>
          <w:p w14:paraId="698C8414" w14:textId="77777777" w:rsidR="00E42B18" w:rsidRDefault="009629C4">
            <w:pPr>
              <w:pStyle w:val="P68B1DB1-Normal11"/>
              <w:jc w:val="center"/>
              <w:rPr>
                <w:noProof/>
                <w:szCs w:val="20"/>
              </w:rPr>
            </w:pPr>
            <w:r>
              <w:rPr>
                <w:noProof/>
              </w:rPr>
              <w:t>2026</w:t>
            </w:r>
          </w:p>
        </w:tc>
        <w:tc>
          <w:tcPr>
            <w:tcW w:w="2584" w:type="dxa"/>
            <w:shd w:val="clear" w:color="auto" w:fill="C6EFCE"/>
            <w:noWrap/>
            <w:vAlign w:val="center"/>
          </w:tcPr>
          <w:p w14:paraId="4EB3E89A" w14:textId="77777777" w:rsidR="00E42B18" w:rsidRDefault="009629C4">
            <w:pPr>
              <w:pStyle w:val="P68B1DB1-Normal12"/>
              <w:spacing w:after="120"/>
              <w:rPr>
                <w:noProof/>
              </w:rPr>
            </w:pPr>
            <w:r>
              <w:rPr>
                <w:noProof/>
              </w:rPr>
              <w:t>Vähintään 6400 julkishallinnon on käytettävä digitaalista ilmoitusalustaa lähettääkseen oikeudellisesti sitovia digitaalisia ilmoituksia kansalaisille, yrityksille, yhdistyksille ja muille tahoille.</w:t>
            </w:r>
          </w:p>
        </w:tc>
      </w:tr>
      <w:tr w:rsidR="00E42B18" w14:paraId="4221523A" w14:textId="77777777">
        <w:trPr>
          <w:trHeight w:val="309"/>
        </w:trPr>
        <w:tc>
          <w:tcPr>
            <w:tcW w:w="1087" w:type="dxa"/>
            <w:shd w:val="clear" w:color="auto" w:fill="C6EFCE"/>
            <w:noWrap/>
            <w:vAlign w:val="center"/>
          </w:tcPr>
          <w:p w14:paraId="5FAB16ED" w14:textId="77777777" w:rsidR="00E42B18" w:rsidRDefault="009629C4">
            <w:pPr>
              <w:pStyle w:val="P68B1DB1-Normal12"/>
              <w:jc w:val="center"/>
              <w:rPr>
                <w:noProof/>
              </w:rPr>
            </w:pPr>
            <w:r>
              <w:rPr>
                <w:noProof/>
              </w:rPr>
              <w:t>M1C1–155</w:t>
            </w:r>
          </w:p>
        </w:tc>
        <w:tc>
          <w:tcPr>
            <w:tcW w:w="1943" w:type="dxa"/>
            <w:shd w:val="clear" w:color="auto" w:fill="C6EFCE"/>
            <w:noWrap/>
            <w:vAlign w:val="center"/>
          </w:tcPr>
          <w:p w14:paraId="419B63BB" w14:textId="77777777" w:rsidR="00E42B18" w:rsidRDefault="009629C4">
            <w:pPr>
              <w:pStyle w:val="P68B1DB1-Normal11"/>
              <w:jc w:val="center"/>
              <w:rPr>
                <w:noProof/>
                <w:szCs w:val="20"/>
              </w:rPr>
            </w:pPr>
            <w:r>
              <w:rPr>
                <w:noProof/>
              </w:rPr>
              <w:t>Investointi 1.6.3 – Kansallisen sosiaaliturvalaitoksen (INPS) ja työtapaturmavakuutuslaitoksen (INAIL) digitalisointi</w:t>
            </w:r>
          </w:p>
        </w:tc>
        <w:tc>
          <w:tcPr>
            <w:tcW w:w="992" w:type="dxa"/>
            <w:shd w:val="clear" w:color="auto" w:fill="C6EFCE"/>
            <w:noWrap/>
            <w:vAlign w:val="center"/>
          </w:tcPr>
          <w:p w14:paraId="014DCA6A" w14:textId="77777777" w:rsidR="00E42B18" w:rsidRDefault="009629C4">
            <w:pPr>
              <w:pStyle w:val="P68B1DB1-Normal11"/>
              <w:jc w:val="center"/>
              <w:rPr>
                <w:noProof/>
                <w:szCs w:val="20"/>
              </w:rPr>
            </w:pPr>
            <w:r>
              <w:rPr>
                <w:noProof/>
              </w:rPr>
              <w:t>Kohde</w:t>
            </w:r>
          </w:p>
        </w:tc>
        <w:tc>
          <w:tcPr>
            <w:tcW w:w="2126" w:type="dxa"/>
            <w:shd w:val="clear" w:color="auto" w:fill="C6EFCE"/>
            <w:noWrap/>
            <w:vAlign w:val="center"/>
          </w:tcPr>
          <w:p w14:paraId="205AF0F1" w14:textId="77777777" w:rsidR="00E42B18" w:rsidRDefault="009629C4">
            <w:pPr>
              <w:pStyle w:val="P68B1DB1-Normal11"/>
              <w:jc w:val="center"/>
              <w:rPr>
                <w:noProof/>
                <w:szCs w:val="20"/>
              </w:rPr>
            </w:pPr>
            <w:r>
              <w:rPr>
                <w:noProof/>
              </w:rPr>
              <w:t>INAIL – Uudelleensuunnittelu ja digitoidut prosessit/palvelut T2</w:t>
            </w:r>
          </w:p>
        </w:tc>
        <w:tc>
          <w:tcPr>
            <w:tcW w:w="1701" w:type="dxa"/>
            <w:shd w:val="clear" w:color="auto" w:fill="C6EFCE"/>
            <w:noWrap/>
            <w:vAlign w:val="center"/>
          </w:tcPr>
          <w:p w14:paraId="5BDA1C60"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597F7783"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0A18BCA7" w14:textId="77777777" w:rsidR="00E42B18" w:rsidRDefault="009629C4">
            <w:pPr>
              <w:pStyle w:val="P68B1DB1-Normal11"/>
              <w:jc w:val="center"/>
              <w:rPr>
                <w:noProof/>
                <w:szCs w:val="20"/>
              </w:rPr>
            </w:pPr>
            <w:r>
              <w:rPr>
                <w:noProof/>
              </w:rPr>
              <w:t>53</w:t>
            </w:r>
          </w:p>
        </w:tc>
        <w:tc>
          <w:tcPr>
            <w:tcW w:w="1417" w:type="dxa"/>
            <w:shd w:val="clear" w:color="auto" w:fill="C6EFCE"/>
            <w:noWrap/>
            <w:vAlign w:val="center"/>
          </w:tcPr>
          <w:p w14:paraId="720A00E5" w14:textId="77777777" w:rsidR="00E42B18" w:rsidRDefault="009629C4">
            <w:pPr>
              <w:pStyle w:val="P68B1DB1-Normal11"/>
              <w:jc w:val="center"/>
              <w:rPr>
                <w:noProof/>
                <w:szCs w:val="20"/>
              </w:rPr>
            </w:pPr>
            <w:r>
              <w:rPr>
                <w:noProof/>
              </w:rPr>
              <w:t>82</w:t>
            </w:r>
          </w:p>
        </w:tc>
        <w:tc>
          <w:tcPr>
            <w:tcW w:w="793" w:type="dxa"/>
            <w:shd w:val="clear" w:color="auto" w:fill="C6EFCE"/>
            <w:noWrap/>
            <w:vAlign w:val="center"/>
          </w:tcPr>
          <w:p w14:paraId="04D1542C" w14:textId="77777777" w:rsidR="00E42B18" w:rsidRDefault="009629C4">
            <w:pPr>
              <w:pStyle w:val="P68B1DB1-Normal11"/>
              <w:jc w:val="center"/>
              <w:rPr>
                <w:noProof/>
                <w:szCs w:val="20"/>
              </w:rPr>
            </w:pPr>
            <w:r>
              <w:rPr>
                <w:noProof/>
              </w:rPr>
              <w:t>Q2</w:t>
            </w:r>
          </w:p>
        </w:tc>
        <w:tc>
          <w:tcPr>
            <w:tcW w:w="625" w:type="dxa"/>
            <w:shd w:val="clear" w:color="auto" w:fill="C6EFCE"/>
            <w:noWrap/>
            <w:vAlign w:val="center"/>
          </w:tcPr>
          <w:p w14:paraId="6D96BC93" w14:textId="77777777" w:rsidR="00E42B18" w:rsidRDefault="009629C4">
            <w:pPr>
              <w:pStyle w:val="P68B1DB1-Normal11"/>
              <w:jc w:val="center"/>
              <w:rPr>
                <w:noProof/>
                <w:szCs w:val="20"/>
              </w:rPr>
            </w:pPr>
            <w:r>
              <w:rPr>
                <w:noProof/>
              </w:rPr>
              <w:t>2026</w:t>
            </w:r>
          </w:p>
        </w:tc>
        <w:tc>
          <w:tcPr>
            <w:tcW w:w="2584" w:type="dxa"/>
            <w:shd w:val="clear" w:color="auto" w:fill="C6EFCE"/>
            <w:noWrap/>
            <w:vAlign w:val="center"/>
          </w:tcPr>
          <w:p w14:paraId="4ACD5421" w14:textId="77777777" w:rsidR="00E42B18" w:rsidRDefault="009629C4">
            <w:pPr>
              <w:pStyle w:val="P68B1DB1-Normal12"/>
              <w:spacing w:after="120"/>
              <w:rPr>
                <w:noProof/>
              </w:rPr>
            </w:pPr>
            <w:r>
              <w:rPr>
                <w:noProof/>
              </w:rPr>
              <w:t>82 prosessia tai palvelua suunnitellaan uudelleen ja digitoidaan. INAILin osa-alueet ovat seuraavat: Vakuutukset, sosiaali- ja terveyspalvelut, ennaltaehkäisy ja turvallisuus, todistukset ja tarkastukset.</w:t>
            </w:r>
          </w:p>
        </w:tc>
      </w:tr>
    </w:tbl>
    <w:p w14:paraId="135C458D" w14:textId="77777777" w:rsidR="00E42B18" w:rsidRDefault="00E42B18">
      <w:pPr>
        <w:pStyle w:val="Heading2"/>
        <w:rPr>
          <w:noProof/>
        </w:rPr>
      </w:pPr>
    </w:p>
    <w:p w14:paraId="471A4B70" w14:textId="77777777" w:rsidR="00E42B18" w:rsidRDefault="00E42B18">
      <w:pPr>
        <w:rPr>
          <w:rFonts w:ascii="Times New Roman" w:eastAsia="Times New Roman" w:hAnsi="Times New Roman" w:cs="Times New Roman"/>
          <w:b/>
          <w:bCs/>
          <w:noProof/>
        </w:rPr>
        <w:sectPr w:rsidR="00E42B18" w:rsidSect="000A4766">
          <w:headerReference w:type="default" r:id="rId38"/>
          <w:footerReference w:type="default" r:id="rId39"/>
          <w:pgSz w:w="16838" w:h="11906" w:orient="landscape"/>
          <w:pgMar w:top="1440" w:right="1440" w:bottom="1440" w:left="1440" w:header="708" w:footer="708" w:gutter="0"/>
          <w:cols w:space="708"/>
          <w:docGrid w:linePitch="360"/>
        </w:sectPr>
      </w:pPr>
    </w:p>
    <w:p w14:paraId="426A21A3" w14:textId="5E2EF6D7" w:rsidR="00E42B18" w:rsidRDefault="009629C4">
      <w:pPr>
        <w:pStyle w:val="P68B1DB1-Heading23"/>
        <w:numPr>
          <w:ilvl w:val="0"/>
          <w:numId w:val="68"/>
        </w:numPr>
        <w:spacing w:line="279" w:lineRule="auto"/>
        <w:rPr>
          <w:bCs/>
          <w:noProof/>
        </w:rPr>
      </w:pPr>
      <w:r>
        <w:rPr>
          <w:noProof/>
        </w:rPr>
        <w:t>MISSION 1 OSA 2:</w:t>
      </w:r>
    </w:p>
    <w:p w14:paraId="7C99537C" w14:textId="77777777" w:rsidR="00E42B18" w:rsidRDefault="009629C4">
      <w:pPr>
        <w:pStyle w:val="P68B1DB1-Normal25"/>
        <w:spacing w:before="120" w:after="120"/>
        <w:jc w:val="both"/>
        <w:rPr>
          <w:bCs/>
          <w:noProof/>
        </w:rPr>
      </w:pPr>
      <w:r>
        <w:rPr>
          <w:noProof/>
        </w:rPr>
        <w:t>Toimintalinja 1 – Tuotantojärjestelmän digitalisointi, innovointi ja kilpailukyky</w:t>
      </w:r>
    </w:p>
    <w:p w14:paraId="2124C41E" w14:textId="77777777" w:rsidR="00E42B18" w:rsidRDefault="009629C4">
      <w:pPr>
        <w:pStyle w:val="P68B1DB1-Normal7"/>
        <w:spacing w:before="120" w:after="120"/>
        <w:jc w:val="both"/>
        <w:rPr>
          <w:noProof/>
        </w:rPr>
      </w:pPr>
      <w:r>
        <w:rPr>
          <w:noProof/>
        </w:rPr>
        <w:t>Italian elpymis- ja palautumissuunnitelman mission 1 komponentin 2 toimintalinja 1 koskee investointeja ja uudistuksia, joilla pyritään pääasiassa i) tukemaan digitaalista siirtymää ja tuotantojärjestelmän innovointia kannustamalla investoimaan teknologiaan, tutkimukseen, kehittämiseen ja innovointiin; II) otetaan käyttöön ultranopeita laajakaista- ja 5G-verkkoja digitaalisen kuilun kaventamiseksi sekä satelliittikonstellaatioita ja -palveluja; III) strategisten arvoketjujen kehittämisen edistäminen ja yritysten kilpailukyvyn tukeminen keskittyen pk-yrityksiin.</w:t>
      </w:r>
    </w:p>
    <w:p w14:paraId="1A848758" w14:textId="77777777" w:rsidR="00E42B18" w:rsidRDefault="009629C4">
      <w:pPr>
        <w:pStyle w:val="P68B1DB1-Normal7"/>
        <w:spacing w:before="120" w:after="120"/>
        <w:jc w:val="both"/>
        <w:rPr>
          <w:noProof/>
        </w:rPr>
      </w:pPr>
      <w:r>
        <w:rPr>
          <w:noProof/>
        </w:rPr>
        <w:t>Tämän komponentin toimenpiteillä pyritään korjaamaan digitaalitalouden ja -yhteiskunnan indeksistä (DESI) 2020 ilmeneviä puutteita yritysten digitalisaation ja yhteenliitettävyyden osalta maan sosiaalisen ja taloudellisen häiriönsietokyvyn vahvistamiseksi.</w:t>
      </w:r>
    </w:p>
    <w:p w14:paraId="694909A4" w14:textId="77777777" w:rsidR="00E42B18" w:rsidRDefault="009629C4">
      <w:pPr>
        <w:pStyle w:val="P68B1DB1-Normal7"/>
        <w:spacing w:before="120" w:after="120"/>
        <w:jc w:val="both"/>
        <w:rPr>
          <w:noProof/>
        </w:rPr>
      </w:pPr>
      <w:r>
        <w:rPr>
          <w:noProof/>
        </w:rPr>
        <w:t xml:space="preserve">Tähän komponenttiin kuuluvilla investoinneilla ja uudistuksilla edistetään Italialle vuosina 2020 ja 2019 annettujen maakohtaisten suositusten noudattamista tarpeesta ”vahvistaa etäopiskelua ja -taitoja, mukaan lukien digitaaliset taidot” (maakohtainen suositus 2, 2020), ”edistää yksityisiä investointeja talouden elpymisen edistämiseksi” (maakohtainen suositus 3, 2020) ja keskittää investoinnit vihreään ja digitaaliseen siirtymään, tämä koskee erityisesti [...] vahvistettua digitaalista infrastruktuuria keskeisten palvelujen tarjoamisen varmistamiseksi (maakohtainen suositus 3, 2020), taitojen parantamista muun muassa vahvistamalla digitaalisia taitoja (maakohtainen suositus 2, 2019), ”investointeihin liittyvän talouspolitiikan keskittämistä tutkimukseen ja innovointiin sekä infrastruktuurin laatuun ottaen huomioon myös alueelliset erot” (maakohtainen suositus 3, 2019) ja jossain määrin ”tukemaan innovatiivisten ja pienempien yritysten rahoituksen saantia pankkien ulkopuolella” (maakohtainen suositus 5, 2019). </w:t>
      </w:r>
    </w:p>
    <w:p w14:paraId="3203CE24" w14:textId="77777777" w:rsidR="00E42B18" w:rsidRDefault="009629C4">
      <w:pPr>
        <w:pStyle w:val="P68B1DB1-Normal7"/>
        <w:spacing w:before="120" w:after="120"/>
        <w:jc w:val="both"/>
        <w:rPr>
          <w:noProof/>
        </w:rPr>
      </w:pPr>
      <w:r>
        <w:rPr>
          <w:noProof/>
        </w:rPr>
        <w:t>Minkään tämän komponentin toimenpiteen ei odoteta aiheuttavan asetuksen (EU) 2020/852 17 artiklassa tarkoitettua merkittävää haittaa ympäristötavoitteille, kun otetaan huomioon ”ei merkittävää haittaa” -periaatteen soveltamista koskevien teknisten ohjeiden (2021/C58/01) mukaiset elpymis- ja palautumissuunnitelmassa esitettyjen toimenpiteiden kuvaus ja lieventävät toimet.</w:t>
      </w:r>
    </w:p>
    <w:p w14:paraId="570814B1" w14:textId="77777777" w:rsidR="00E42B18" w:rsidRDefault="009629C4">
      <w:pPr>
        <w:pStyle w:val="P68B1DB1-Normal25"/>
        <w:spacing w:before="120" w:after="120"/>
        <w:jc w:val="both"/>
        <w:rPr>
          <w:bCs/>
          <w:noProof/>
        </w:rPr>
      </w:pPr>
      <w:r>
        <w:rPr>
          <w:noProof/>
        </w:rPr>
        <w:t>Toimintalinja 2 – Liiketoimintaympäristön ja kilpailun parantaminen</w:t>
      </w:r>
    </w:p>
    <w:p w14:paraId="6C0EAD6E" w14:textId="77777777" w:rsidR="00E42B18" w:rsidRDefault="009629C4">
      <w:pPr>
        <w:pStyle w:val="P68B1DB1-Normal7"/>
        <w:spacing w:before="120" w:after="120"/>
        <w:jc w:val="both"/>
        <w:rPr>
          <w:noProof/>
        </w:rPr>
      </w:pPr>
      <w:r>
        <w:rPr>
          <w:noProof/>
        </w:rPr>
        <w:t xml:space="preserve">Mission 1 komponentin 2 toimintalinjan 2 päätavoitteena on parantaa liiketoimintaympäristöä yrittäjyyden helpottamiseksi sekä kilpailun toimintaedellytyksiä resurssien tehokkaamman kohdentamisen ja tuottavuuden kasvun edistämiseksi. Tärkein väline näiden tavoitteiden saavuttamiseksi on vuotuinen kilpailulaki, joka on määrä hyväksyä vuosittain. </w:t>
      </w:r>
    </w:p>
    <w:p w14:paraId="0A203AB8" w14:textId="77777777" w:rsidR="00E42B18" w:rsidRDefault="009629C4">
      <w:pPr>
        <w:pStyle w:val="P68B1DB1-Normal7"/>
        <w:spacing w:before="120" w:after="120"/>
        <w:jc w:val="both"/>
        <w:rPr>
          <w:noProof/>
        </w:rPr>
      </w:pPr>
      <w:r>
        <w:rPr>
          <w:noProof/>
        </w:rPr>
        <w:t>Tämän osa-alueen investoinneilla ja uudistuksilla edistetään Italialle vuonna 2019 osoitettujen maakohtaisten suositusten noudattamista tarpeesta puuttua kilpailunrajoituksiin, myös uuden vuotuisen kilpailulainsäädännön avulla (maakohtainen suositus 3, 2019).</w:t>
      </w:r>
    </w:p>
    <w:p w14:paraId="11794BBC" w14:textId="77777777" w:rsidR="00E42B18" w:rsidRDefault="009629C4">
      <w:pPr>
        <w:pStyle w:val="P68B1DB1-Heading39"/>
        <w:numPr>
          <w:ilvl w:val="2"/>
          <w:numId w:val="0"/>
        </w:numPr>
        <w:ind w:left="850" w:hanging="850"/>
        <w:rPr>
          <w:b/>
          <w:bCs/>
          <w:i/>
          <w:iCs/>
          <w:noProof/>
          <w:u w:val="single"/>
        </w:rPr>
      </w:pPr>
      <w:r>
        <w:rPr>
          <w:b/>
          <w:noProof/>
          <w:u w:val="single"/>
        </w:rPr>
        <w:t xml:space="preserve">B.1 </w:t>
      </w:r>
      <w:r>
        <w:rPr>
          <w:noProof/>
        </w:rPr>
        <w:t xml:space="preserve"> </w:t>
      </w:r>
      <w:r>
        <w:rPr>
          <w:b/>
          <w:noProof/>
          <w:u w:val="single"/>
        </w:rPr>
        <w:t>Kuvaus uudistuksista ja investoinneista, joita rahoitetaan rahoitustuella, jota ei makseta takaisin</w:t>
      </w:r>
    </w:p>
    <w:p w14:paraId="755B292F" w14:textId="77777777" w:rsidR="00E42B18" w:rsidRDefault="009629C4">
      <w:pPr>
        <w:pStyle w:val="P68B1DB1-Normal26"/>
        <w:spacing w:before="120" w:after="120"/>
        <w:jc w:val="both"/>
        <w:rPr>
          <w:iCs/>
          <w:noProof/>
          <w:color w:val="156082" w:themeColor="accent1"/>
        </w:rPr>
      </w:pPr>
      <w:r>
        <w:rPr>
          <w:noProof/>
        </w:rPr>
        <w:t xml:space="preserve">Toimintalinja 1 – </w:t>
      </w:r>
      <w:r>
        <w:rPr>
          <w:noProof/>
          <w:u w:val="single"/>
        </w:rPr>
        <w:t>Tuotantojärjestelmän digitalisointi, innovointi ja kilpailukyky</w:t>
      </w:r>
    </w:p>
    <w:p w14:paraId="4547F1A0" w14:textId="77777777" w:rsidR="00E42B18" w:rsidRDefault="009629C4">
      <w:pPr>
        <w:pStyle w:val="P68B1DB1-Normal5"/>
        <w:spacing w:before="120" w:after="120"/>
        <w:jc w:val="both"/>
        <w:rPr>
          <w:bCs/>
          <w:i/>
          <w:iCs/>
          <w:noProof/>
        </w:rPr>
      </w:pPr>
      <w:r>
        <w:rPr>
          <w:noProof/>
        </w:rPr>
        <w:t>Investointi 1: Siirtymä 4.0</w:t>
      </w:r>
    </w:p>
    <w:p w14:paraId="740D6336" w14:textId="77777777" w:rsidR="00E42B18" w:rsidRDefault="009629C4">
      <w:pPr>
        <w:pStyle w:val="P68B1DB1-Normal7"/>
        <w:jc w:val="both"/>
        <w:rPr>
          <w:b/>
          <w:noProof/>
        </w:rPr>
      </w:pPr>
      <w:r>
        <w:rPr>
          <w:noProof/>
        </w:rPr>
        <w:t xml:space="preserve">Toimenpiteen tavoitteena on tukea yritysten digitalisaatiota kannustamalla yksityisiä investointeja digitalisaatiota tukeviin omaisuuseriin ja toimiin. Toimenpide koostuu verohyvitysjärjestelmästä. </w:t>
      </w:r>
      <w:r>
        <w:rPr>
          <w:noProof/>
        </w:rPr>
        <w:br w:type="page"/>
      </w:r>
    </w:p>
    <w:p w14:paraId="40A3F186" w14:textId="77777777" w:rsidR="00E42B18" w:rsidRDefault="009629C4">
      <w:pPr>
        <w:pStyle w:val="P68B1DB1-Normal5"/>
        <w:spacing w:before="120" w:after="120"/>
        <w:jc w:val="both"/>
        <w:rPr>
          <w:bCs/>
          <w:noProof/>
        </w:rPr>
      </w:pPr>
      <w:r>
        <w:rPr>
          <w:noProof/>
        </w:rPr>
        <w:t xml:space="preserve">Uudistus 1: Teollisoikeusjärjestelmän uudistus </w:t>
      </w:r>
    </w:p>
    <w:p w14:paraId="6C757286" w14:textId="77777777" w:rsidR="00E42B18" w:rsidRDefault="009629C4">
      <w:pPr>
        <w:pStyle w:val="P68B1DB1-Normal27"/>
        <w:spacing w:before="120" w:after="120"/>
        <w:jc w:val="both"/>
        <w:rPr>
          <w:noProof/>
        </w:rPr>
      </w:pPr>
      <w:r>
        <w:rPr>
          <w:noProof/>
        </w:rPr>
        <w:t>Uudistuksen päätavoitteena on mukauttaa teollisoikeusjärjestelmä nykyaikaisiin haasteisiin ja varmistaa, että innovointipotentiaali edistää maan elpymistä ja palautumiskykyä. Sillä pyritään erityisesti seuraaviin tavoitteisiin: teollisoikeuksien suojajärjestelmän parantaminen; teollisoikeuksien käytön ja levittämisen edistäminen erityisesti pk-yrityksissä; aineettoman omaisuuden saatavuuden ja jakamisen helpottaminen varmistaen samalla kohtuullinen tuotto investoinneille; teollisoikeuden tiukemman kunnioittamisen takaaminen; ja Italian roolin vahvistaminen teollis- ja tekijänoikeuksia käsittelevillä eurooppalaisilla ja kansainvälisillä foorumeilla.</w:t>
      </w:r>
    </w:p>
    <w:p w14:paraId="70B77E81" w14:textId="77777777" w:rsidR="00E42B18" w:rsidRDefault="009629C4">
      <w:pPr>
        <w:pStyle w:val="P68B1DB1-Normal27"/>
        <w:spacing w:before="120" w:after="120"/>
        <w:jc w:val="both"/>
        <w:rPr>
          <w:noProof/>
        </w:rPr>
      </w:pPr>
      <w:r>
        <w:rPr>
          <w:noProof/>
        </w:rPr>
        <w:t xml:space="preserve">Toimenpide koskee Italian teollisoikeuksia koskevan lain uudistusta, joka kattaa ainakin seuraavat alat: I) tarkistetaan sääntelykehystä teollis- ja tekijänoikeuksien suojan vahvistamiseksi ja menettelyjen yksinkertaistamiseksi, ii) vahvistetaan yrityksille ja tutkimuslaitoksille annettavaa tukea, iii) tehostetaan taitojen ja osaamisen kehittämistä, iv) helpotetaan tietämyksen siirtoa ja v) vahvistetaan innovatiivisten palvelujen edistämistä. </w:t>
      </w:r>
    </w:p>
    <w:p w14:paraId="4A7D1692" w14:textId="77777777" w:rsidR="00E42B18" w:rsidRDefault="009629C4">
      <w:pPr>
        <w:pStyle w:val="P68B1DB1-Normal5"/>
        <w:spacing w:before="120" w:after="120"/>
        <w:jc w:val="both"/>
        <w:rPr>
          <w:bCs/>
          <w:noProof/>
        </w:rPr>
      </w:pPr>
      <w:r>
        <w:rPr>
          <w:noProof/>
        </w:rPr>
        <w:t>Investointi 6: Investoinnit teollisoikeusjärjestelmään</w:t>
      </w:r>
    </w:p>
    <w:p w14:paraId="3BD7B4AF" w14:textId="77777777" w:rsidR="00E42B18" w:rsidRDefault="009629C4">
      <w:pPr>
        <w:pStyle w:val="P68B1DB1-Normal27"/>
        <w:spacing w:before="120" w:after="120"/>
        <w:jc w:val="both"/>
        <w:rPr>
          <w:noProof/>
        </w:rPr>
      </w:pPr>
      <w:r>
        <w:rPr>
          <w:noProof/>
        </w:rPr>
        <w:t xml:space="preserve">Investoinnin tavoitteena on tukea teollisoikeuksien järjestelmää ja tukea sen uudistusta tämän osa-alueen uudistuksen 1 mukaisesti. Toimenpide sisältää taloudellista tukea yritysten ja tutkimuslaitosten teollisoikeuksiin liittyville hankkeille, kuten patentteihin liittyville toimenpiteille (Brevetti+), Proof of Concept -ohjelmille ja teknologiansiirtotoimistojen (TTO) vahvistamiselle. </w:t>
      </w:r>
    </w:p>
    <w:p w14:paraId="5D3B68A7" w14:textId="77777777" w:rsidR="00E42B18" w:rsidRDefault="009629C4">
      <w:pPr>
        <w:pStyle w:val="P68B1DB1-Normal28"/>
        <w:spacing w:before="120" w:after="120"/>
        <w:jc w:val="both"/>
        <w:rPr>
          <w:iCs/>
          <w:noProof/>
        </w:rPr>
      </w:pPr>
      <w:r>
        <w:rPr>
          <w:noProof/>
        </w:rPr>
        <w:t>Toimintalinja 2 – Liiketoimintaympäristön ja kilpailun parantaminen</w:t>
      </w:r>
    </w:p>
    <w:p w14:paraId="4B2AA8A8" w14:textId="77777777" w:rsidR="00E42B18" w:rsidRDefault="00E42B18">
      <w:pPr>
        <w:pStyle w:val="ListParagraph"/>
        <w:rPr>
          <w:b/>
          <w:noProof/>
        </w:rPr>
      </w:pPr>
    </w:p>
    <w:p w14:paraId="3E9514A4" w14:textId="77777777" w:rsidR="00E42B18" w:rsidRDefault="009629C4">
      <w:pPr>
        <w:pStyle w:val="P68B1DB1-Normal29"/>
        <w:spacing w:before="120" w:after="120"/>
        <w:jc w:val="both"/>
        <w:rPr>
          <w:noProof/>
        </w:rPr>
      </w:pPr>
      <w:r>
        <w:rPr>
          <w:noProof/>
        </w:rPr>
        <w:t>Uudistuksen 2: Vuotuiset kilpailulait vuosiksi 2022, 2023, 2024 ja 2025</w:t>
      </w:r>
    </w:p>
    <w:p w14:paraId="2366B68C" w14:textId="4E2FE26C" w:rsidR="00E42B18" w:rsidRDefault="009629C4">
      <w:pPr>
        <w:pStyle w:val="P68B1DB1-Normal7"/>
        <w:spacing w:before="120" w:after="120"/>
        <w:jc w:val="both"/>
        <w:rPr>
          <w:noProof/>
        </w:rPr>
      </w:pPr>
      <w:r>
        <w:rPr>
          <w:noProof/>
        </w:rPr>
        <w:t xml:space="preserve">Vuosittain annetaan kilpailulaki, jolla lisätään kilpailumenettelyjä julkisia palveluhankintoja koskevien sopimusten tekemiseksi paikallisista julkisista palveluista (mukaan lukien vesi-, jäte- ja paikallinen julkinen liikenne), vältetään toimilupien perusteeton jatkaminen vakiintuneiden toimijoiden hyväksi monilla aloilla, kuten satamissa, valtateillä, vesivoimassa ja alueellisessa liikenteessä, säädellään julkisia palveluhankintoja koskevien sopimusten asianmukaista sääntelyä tarkistamalla yhteenlaskemista koskevia sääntöjä ja soveltamalla yleistä suhteellisuusperiaatetta julkisia palveluhankintoja koskevien sopimusten kestoon ja asianmukaiseen korvaukseen. Kilpailulaeilla on tuettava kilpailua ja parannettava alueellisen liikenteen palvelujen hallinnoinnin ja laadun tehokkuutta sekä lisättävä alueiden kannustimia kilpailuttaa alueellisia rautatiepalveluja koskevia julkisia palveluhankintoja koskevia sopimuksiaan. </w:t>
      </w:r>
    </w:p>
    <w:p w14:paraId="3675DDB8" w14:textId="77777777" w:rsidR="00E42B18" w:rsidRDefault="009629C4">
      <w:pPr>
        <w:pStyle w:val="P68B1DB1-Normal7"/>
        <w:spacing w:before="120" w:after="120"/>
        <w:jc w:val="both"/>
        <w:rPr>
          <w:noProof/>
        </w:rPr>
      </w:pPr>
      <w:r>
        <w:rPr>
          <w:noProof/>
        </w:rPr>
        <w:t>Vuotuisiin kilpailulakeihin on sisällyttävä kilpailua edistäviä alakohtaisia toimenpiteitä useilla aloilla, kuten energia (sähkö, kaasu ja vesi), jätehuolto, liikenne (satamat, rautatiet ja valtatiet) ja terveydenhuolto, joilla täydennetään missioiden 2, 3 ja 6 mukaisia investointeja ja uudistuksia. Liitännäistoimenpiteet, joilla varmistetaan kilpailun yleistyminen sähkön vähittäismarkkinoilla, tulevat voimaan viimeistään 31 päivänä</w:t>
      </w:r>
      <w:r>
        <w:rPr>
          <w:noProof/>
          <w:vertAlign w:val="superscript"/>
        </w:rPr>
        <w:t>joulukuuta</w:t>
      </w:r>
      <w:r>
        <w:rPr>
          <w:noProof/>
        </w:rPr>
        <w:t xml:space="preserve"> 2022. Vuoden 2022 kilpailulailla on erityisesti hyväksyttävä sähköverkon kehittämissuunnitelma ja edistettävä toisen</w:t>
      </w:r>
      <w:r>
        <w:rPr>
          <w:noProof/>
          <w:vertAlign w:val="superscript"/>
        </w:rPr>
        <w:t>sähköntuotannon</w:t>
      </w:r>
      <w:r>
        <w:rPr>
          <w:noProof/>
        </w:rPr>
        <w:t xml:space="preserve"> älykkäiden sähkömittarien käyttöönottoa, jonka on määrä saavuttaa 33 miljoonaa yksikköä koko Italiassa 31 päivään</w:t>
      </w:r>
      <w:r>
        <w:rPr>
          <w:noProof/>
          <w:vertAlign w:val="superscript"/>
        </w:rPr>
        <w:t>joulukuuta</w:t>
      </w:r>
      <w:r>
        <w:rPr>
          <w:noProof/>
        </w:rPr>
        <w:t xml:space="preserve"> 2025 mennessä. Lisäksi on otettava käyttöön kilpailua edistäviä toimenpiteitä, jotka koskevat sähkölatausasemia.</w:t>
      </w:r>
    </w:p>
    <w:p w14:paraId="62C7B2E9" w14:textId="77777777" w:rsidR="00E42B18" w:rsidRDefault="009629C4">
      <w:pPr>
        <w:pStyle w:val="P68B1DB1-Normal7"/>
        <w:jc w:val="both"/>
        <w:rPr>
          <w:noProof/>
        </w:rPr>
      </w:pPr>
      <w:r>
        <w:rPr>
          <w:noProof/>
        </w:rPr>
        <w:t>Lisäksi laeilla edistetään liiketoimintaympäristön parantamista ainakin seuraavin keinoin: I) yrityskeskittymien valvontaa koskevien sääntöjen yhdenmukaistaminen EU:n lainsäädännön kanssa, ii) markkinavalvontaviranomaisten vakiinnuttaminen, digitalisointi ja ammattimaistaminen, iii) uudistus, jolla yksinkertaistetaan ja helpotetaan startup-yritysten ja riskipääomatoimintojen perustamista sekä edistetään kansallista teknologiansiirtostrategiaa, iv) työntekijöitä koskevien tietojen antamiseen tarvittavan akkreditoinnin lyhentäminen seitsemästä päivästä neljään päivään yrityksen perustamispäivien määrän lyhentämiseksi.</w:t>
      </w:r>
    </w:p>
    <w:p w14:paraId="430098A4" w14:textId="6D0B3BEF" w:rsidR="00E42B18" w:rsidRDefault="00E42B18">
      <w:pPr>
        <w:pStyle w:val="P68B1DB1-Normal7"/>
        <w:rPr>
          <w:b/>
          <w:noProof/>
        </w:rPr>
      </w:pPr>
    </w:p>
    <w:p w14:paraId="4339E884" w14:textId="4A1C83FF" w:rsidR="00E42B18" w:rsidRDefault="009629C4">
      <w:pPr>
        <w:pStyle w:val="P68B1DB1-Normal5"/>
        <w:rPr>
          <w:bCs/>
          <w:noProof/>
        </w:rPr>
      </w:pPr>
      <w:r>
        <w:rPr>
          <w:noProof/>
        </w:rPr>
        <w:t xml:space="preserve">Uudistus 3: Yritysten kannustimien järkeistäminen ja yksinkertaistaminen. </w:t>
      </w:r>
    </w:p>
    <w:p w14:paraId="22DD309F" w14:textId="78B92E7A" w:rsidR="00E42B18" w:rsidRDefault="009629C4">
      <w:pPr>
        <w:pStyle w:val="P68B1DB1-Normal7"/>
        <w:spacing w:before="120" w:after="120" w:line="278" w:lineRule="auto"/>
        <w:jc w:val="both"/>
        <w:rPr>
          <w:rFonts w:eastAsia="Times New Roman"/>
          <w:noProof/>
        </w:rPr>
      </w:pPr>
      <w:r>
        <w:rPr>
          <w:noProof/>
        </w:rPr>
        <w:t xml:space="preserve">Uudistuksella pyritään tarkistamaan, yksinkertaistamaan ja virtaviivaistamaan yrityksiä koskevaa kansallista kannustinjärjestelmää. Uudistuksessa otetaan käyttöön säädöksiä sekä uudistetaan ja virtaviivaistetaan a) RNA:ta (kansallinen valtiontukirekisteri) ja b) incentivi.gov.it- </w:t>
      </w:r>
      <w:r>
        <w:rPr>
          <w:i/>
          <w:noProof/>
        </w:rPr>
        <w:t>foorumia</w:t>
      </w:r>
      <w:r>
        <w:rPr>
          <w:noProof/>
        </w:rPr>
        <w:t>.</w:t>
      </w:r>
    </w:p>
    <w:p w14:paraId="1A9F179C" w14:textId="77777777" w:rsidR="00E42B18" w:rsidRDefault="00E42B18">
      <w:pPr>
        <w:jc w:val="both"/>
        <w:rPr>
          <w:noProof/>
        </w:rPr>
      </w:pPr>
    </w:p>
    <w:p w14:paraId="645978F6" w14:textId="77777777" w:rsidR="00E42B18" w:rsidRDefault="00E42B18">
      <w:pPr>
        <w:spacing w:before="120" w:after="120"/>
        <w:jc w:val="both"/>
        <w:rPr>
          <w:noProof/>
        </w:rPr>
        <w:sectPr w:rsidR="00E42B18" w:rsidSect="00726CF9">
          <w:headerReference w:type="default" r:id="rId40"/>
          <w:footerReference w:type="default" r:id="rId41"/>
          <w:pgSz w:w="11906" w:h="16838"/>
          <w:pgMar w:top="1440" w:right="1440" w:bottom="1440" w:left="1440" w:header="708" w:footer="708" w:gutter="0"/>
          <w:cols w:space="708"/>
          <w:docGrid w:linePitch="360"/>
        </w:sectPr>
      </w:pPr>
    </w:p>
    <w:p w14:paraId="57826589" w14:textId="77777777" w:rsidR="00E42B18" w:rsidRDefault="009629C4">
      <w:pPr>
        <w:pStyle w:val="P68B1DB1-Heading39"/>
        <w:numPr>
          <w:ilvl w:val="2"/>
          <w:numId w:val="0"/>
        </w:numPr>
        <w:ind w:left="850" w:hanging="850"/>
        <w:rPr>
          <w:b/>
          <w:bCs/>
          <w:i/>
          <w:iCs/>
          <w:noProof/>
          <w:u w:val="single"/>
        </w:rPr>
      </w:pPr>
      <w:r>
        <w:rPr>
          <w:b/>
          <w:noProof/>
          <w:u w:val="single"/>
        </w:rPr>
        <w:t xml:space="preserve">B.2 </w:t>
      </w:r>
      <w:r>
        <w:rPr>
          <w:noProof/>
        </w:rPr>
        <w:t xml:space="preserve"> </w:t>
      </w:r>
      <w:r>
        <w:rPr>
          <w:b/>
          <w:noProof/>
          <w:u w:val="single"/>
        </w:rPr>
        <w:t>Seurantaa ja täytäntöönpanoa koskevat välitavoitteet, tavoitteet, indikaattorit ja aikataulu – rahoitustuki, jota ei makseta takaisin</w:t>
      </w:r>
    </w:p>
    <w:tbl>
      <w:tblPr>
        <w:tblW w:w="154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276"/>
        <w:gridCol w:w="1134"/>
        <w:gridCol w:w="1559"/>
        <w:gridCol w:w="1843"/>
        <w:gridCol w:w="1359"/>
        <w:gridCol w:w="1476"/>
        <w:gridCol w:w="1134"/>
        <w:gridCol w:w="1021"/>
        <w:gridCol w:w="709"/>
        <w:gridCol w:w="2814"/>
      </w:tblGrid>
      <w:tr w:rsidR="00E42B18" w14:paraId="284A5699" w14:textId="77777777">
        <w:trPr>
          <w:trHeight w:val="300"/>
          <w:tblHeader/>
        </w:trPr>
        <w:tc>
          <w:tcPr>
            <w:tcW w:w="1135" w:type="dxa"/>
            <w:vMerge w:val="restart"/>
            <w:shd w:val="clear" w:color="auto" w:fill="BDD7EE"/>
            <w:vAlign w:val="center"/>
          </w:tcPr>
          <w:p w14:paraId="407E0F63" w14:textId="77777777" w:rsidR="00E42B18" w:rsidRDefault="009629C4">
            <w:pPr>
              <w:pStyle w:val="P68B1DB1-Normal10"/>
              <w:spacing w:before="120" w:after="120"/>
              <w:jc w:val="center"/>
              <w:rPr>
                <w:noProof/>
              </w:rPr>
            </w:pPr>
            <w:r>
              <w:rPr>
                <w:noProof/>
              </w:rPr>
              <w:t>Juokseva numero</w:t>
            </w:r>
          </w:p>
        </w:tc>
        <w:tc>
          <w:tcPr>
            <w:tcW w:w="1276" w:type="dxa"/>
            <w:vMerge w:val="restart"/>
            <w:shd w:val="clear" w:color="auto" w:fill="BDD7EE"/>
            <w:vAlign w:val="center"/>
          </w:tcPr>
          <w:p w14:paraId="3F2121E8" w14:textId="77777777" w:rsidR="00E42B18" w:rsidRDefault="009629C4">
            <w:pPr>
              <w:pStyle w:val="P68B1DB1-Normal10"/>
              <w:spacing w:before="120" w:after="120"/>
              <w:jc w:val="center"/>
              <w:rPr>
                <w:noProof/>
              </w:rPr>
            </w:pPr>
            <w:r>
              <w:rPr>
                <w:noProof/>
              </w:rPr>
              <w:t>Toimenpide</w:t>
            </w:r>
          </w:p>
        </w:tc>
        <w:tc>
          <w:tcPr>
            <w:tcW w:w="1134" w:type="dxa"/>
            <w:vMerge w:val="restart"/>
            <w:shd w:val="clear" w:color="auto" w:fill="BDD7EE"/>
            <w:vAlign w:val="center"/>
          </w:tcPr>
          <w:p w14:paraId="751E8C0F" w14:textId="77777777" w:rsidR="00E42B18" w:rsidRDefault="009629C4">
            <w:pPr>
              <w:pStyle w:val="P68B1DB1-Normal10"/>
              <w:spacing w:before="120" w:after="120"/>
              <w:jc w:val="center"/>
              <w:rPr>
                <w:noProof/>
              </w:rPr>
            </w:pPr>
            <w:r>
              <w:rPr>
                <w:noProof/>
              </w:rPr>
              <w:t>Välitavoite/tavoite</w:t>
            </w:r>
          </w:p>
        </w:tc>
        <w:tc>
          <w:tcPr>
            <w:tcW w:w="1559" w:type="dxa"/>
            <w:vMerge w:val="restart"/>
            <w:shd w:val="clear" w:color="auto" w:fill="BDD7EE"/>
            <w:vAlign w:val="center"/>
          </w:tcPr>
          <w:p w14:paraId="2FEFFFEE" w14:textId="77777777" w:rsidR="00E42B18" w:rsidRDefault="009629C4">
            <w:pPr>
              <w:pStyle w:val="P68B1DB1-Normal10"/>
              <w:spacing w:before="120" w:after="120"/>
              <w:jc w:val="center"/>
              <w:rPr>
                <w:noProof/>
              </w:rPr>
            </w:pPr>
            <w:r>
              <w:rPr>
                <w:noProof/>
              </w:rPr>
              <w:t>Nimi</w:t>
            </w:r>
          </w:p>
        </w:tc>
        <w:tc>
          <w:tcPr>
            <w:tcW w:w="1843" w:type="dxa"/>
            <w:vMerge w:val="restart"/>
            <w:shd w:val="clear" w:color="auto" w:fill="BDD7EE"/>
            <w:vAlign w:val="center"/>
          </w:tcPr>
          <w:p w14:paraId="253A1744" w14:textId="77777777" w:rsidR="00E42B18" w:rsidRDefault="009629C4">
            <w:pPr>
              <w:spacing w:before="120" w:after="120"/>
              <w:jc w:val="center"/>
              <w:rPr>
                <w:rFonts w:ascii="Arial Narrow" w:hAnsi="Arial Narrow"/>
                <w:b/>
                <w:noProof/>
                <w:sz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969" w:type="dxa"/>
            <w:gridSpan w:val="3"/>
            <w:tcBorders>
              <w:top w:val="single" w:sz="4" w:space="0" w:color="auto"/>
              <w:left w:val="single" w:sz="4" w:space="0" w:color="auto"/>
              <w:bottom w:val="single" w:sz="4" w:space="0" w:color="auto"/>
              <w:right w:val="single" w:sz="4" w:space="0" w:color="auto"/>
            </w:tcBorders>
            <w:shd w:val="clear" w:color="auto" w:fill="BDD7EE"/>
            <w:vAlign w:val="center"/>
          </w:tcPr>
          <w:p w14:paraId="409B6252" w14:textId="77777777" w:rsidR="00E42B18" w:rsidRDefault="009629C4">
            <w:pPr>
              <w:spacing w:before="120" w:after="120"/>
              <w:jc w:val="center"/>
              <w:rPr>
                <w:rFonts w:ascii="Arial Narrow" w:hAnsi="Arial Narrow"/>
                <w:b/>
                <w:noProof/>
                <w:sz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730" w:type="dxa"/>
            <w:gridSpan w:val="2"/>
            <w:tcBorders>
              <w:top w:val="single" w:sz="4" w:space="0" w:color="auto"/>
              <w:left w:val="single" w:sz="4" w:space="0" w:color="auto"/>
              <w:bottom w:val="single" w:sz="4" w:space="0" w:color="auto"/>
              <w:right w:val="single" w:sz="4" w:space="0" w:color="auto"/>
            </w:tcBorders>
            <w:shd w:val="clear" w:color="auto" w:fill="BDD7EE"/>
            <w:vAlign w:val="center"/>
          </w:tcPr>
          <w:p w14:paraId="2417BCBB" w14:textId="77777777" w:rsidR="00E42B18" w:rsidRDefault="009629C4">
            <w:pPr>
              <w:pStyle w:val="P68B1DB1-Normal10"/>
              <w:spacing w:before="120" w:after="120"/>
              <w:jc w:val="center"/>
              <w:rPr>
                <w:noProof/>
              </w:rPr>
            </w:pPr>
            <w:r>
              <w:rPr>
                <w:noProof/>
              </w:rPr>
              <w:t>Alustava toteutusaikataulu</w:t>
            </w:r>
          </w:p>
        </w:tc>
        <w:tc>
          <w:tcPr>
            <w:tcW w:w="2814" w:type="dxa"/>
            <w:vMerge w:val="restart"/>
            <w:tcBorders>
              <w:top w:val="single" w:sz="4" w:space="0" w:color="auto"/>
              <w:left w:val="single" w:sz="4" w:space="0" w:color="auto"/>
              <w:right w:val="single" w:sz="4" w:space="0" w:color="auto"/>
            </w:tcBorders>
            <w:shd w:val="clear" w:color="auto" w:fill="BDD7EE"/>
            <w:vAlign w:val="center"/>
          </w:tcPr>
          <w:p w14:paraId="3DB01CB6" w14:textId="77777777" w:rsidR="00E42B18" w:rsidRDefault="009629C4">
            <w:pPr>
              <w:pStyle w:val="P68B1DB1-Normal10"/>
              <w:spacing w:before="120" w:after="120"/>
              <w:rPr>
                <w:noProof/>
                <w:szCs w:val="20"/>
              </w:rPr>
            </w:pPr>
            <w:r>
              <w:rPr>
                <w:noProof/>
              </w:rPr>
              <w:t>Kunkin välitavoitteen ja tavoitteen kuvaus</w:t>
            </w:r>
          </w:p>
        </w:tc>
      </w:tr>
      <w:tr w:rsidR="00E42B18" w14:paraId="7D41F08B" w14:textId="77777777">
        <w:trPr>
          <w:trHeight w:val="300"/>
          <w:tblHeader/>
        </w:trPr>
        <w:tc>
          <w:tcPr>
            <w:tcW w:w="1135" w:type="dxa"/>
            <w:vMerge/>
            <w:vAlign w:val="center"/>
          </w:tcPr>
          <w:p w14:paraId="46E8F550" w14:textId="77777777" w:rsidR="00E42B18" w:rsidRDefault="00E42B18">
            <w:pPr>
              <w:spacing w:before="120" w:after="120"/>
              <w:jc w:val="center"/>
              <w:rPr>
                <w:rFonts w:ascii="Arial Narrow" w:hAnsi="Arial Narrow"/>
                <w:noProof/>
                <w:sz w:val="20"/>
                <w:szCs w:val="20"/>
              </w:rPr>
            </w:pPr>
          </w:p>
        </w:tc>
        <w:tc>
          <w:tcPr>
            <w:tcW w:w="1276" w:type="dxa"/>
            <w:vMerge/>
            <w:vAlign w:val="center"/>
          </w:tcPr>
          <w:p w14:paraId="7217CDB5" w14:textId="77777777" w:rsidR="00E42B18" w:rsidRDefault="00E42B18">
            <w:pPr>
              <w:spacing w:before="120" w:after="120"/>
              <w:jc w:val="center"/>
              <w:rPr>
                <w:rFonts w:ascii="Arial Narrow" w:hAnsi="Arial Narrow"/>
                <w:noProof/>
                <w:sz w:val="20"/>
                <w:szCs w:val="20"/>
              </w:rPr>
            </w:pPr>
          </w:p>
        </w:tc>
        <w:tc>
          <w:tcPr>
            <w:tcW w:w="1134" w:type="dxa"/>
            <w:vMerge/>
            <w:vAlign w:val="center"/>
          </w:tcPr>
          <w:p w14:paraId="163B9C2E" w14:textId="77777777" w:rsidR="00E42B18" w:rsidRDefault="00E42B18">
            <w:pPr>
              <w:spacing w:before="120" w:after="120"/>
              <w:jc w:val="center"/>
              <w:rPr>
                <w:rFonts w:ascii="Arial Narrow" w:hAnsi="Arial Narrow"/>
                <w:noProof/>
                <w:sz w:val="20"/>
                <w:szCs w:val="20"/>
              </w:rPr>
            </w:pPr>
          </w:p>
        </w:tc>
        <w:tc>
          <w:tcPr>
            <w:tcW w:w="1559" w:type="dxa"/>
            <w:vMerge/>
            <w:vAlign w:val="center"/>
          </w:tcPr>
          <w:p w14:paraId="07E35B45" w14:textId="77777777" w:rsidR="00E42B18" w:rsidRDefault="00E42B18">
            <w:pPr>
              <w:spacing w:before="120" w:after="120"/>
              <w:jc w:val="center"/>
              <w:rPr>
                <w:rFonts w:ascii="Arial Narrow" w:hAnsi="Arial Narrow"/>
                <w:noProof/>
                <w:sz w:val="20"/>
                <w:szCs w:val="20"/>
              </w:rPr>
            </w:pPr>
          </w:p>
        </w:tc>
        <w:tc>
          <w:tcPr>
            <w:tcW w:w="1843" w:type="dxa"/>
            <w:vMerge/>
            <w:vAlign w:val="center"/>
          </w:tcPr>
          <w:p w14:paraId="38310F47" w14:textId="77777777" w:rsidR="00E42B18" w:rsidRDefault="00E42B18">
            <w:pPr>
              <w:spacing w:before="120" w:after="120"/>
              <w:jc w:val="center"/>
              <w:rPr>
                <w:rFonts w:ascii="Arial Narrow" w:hAnsi="Arial Narrow"/>
                <w:noProof/>
                <w:sz w:val="20"/>
                <w:szCs w:val="20"/>
              </w:rPr>
            </w:pPr>
          </w:p>
        </w:tc>
        <w:tc>
          <w:tcPr>
            <w:tcW w:w="1359" w:type="dxa"/>
            <w:tcBorders>
              <w:top w:val="single" w:sz="4" w:space="0" w:color="auto"/>
              <w:left w:val="single" w:sz="4" w:space="0" w:color="auto"/>
              <w:bottom w:val="single" w:sz="4" w:space="0" w:color="auto"/>
              <w:right w:val="single" w:sz="4" w:space="0" w:color="auto"/>
            </w:tcBorders>
            <w:shd w:val="clear" w:color="auto" w:fill="BDD7EE"/>
            <w:vAlign w:val="center"/>
          </w:tcPr>
          <w:p w14:paraId="4D23ECE3" w14:textId="77777777" w:rsidR="00E42B18" w:rsidRDefault="009629C4">
            <w:pPr>
              <w:pStyle w:val="P68B1DB1-Normal10"/>
              <w:spacing w:before="120" w:after="120"/>
              <w:jc w:val="center"/>
              <w:rPr>
                <w:noProof/>
              </w:rPr>
            </w:pPr>
            <w:r>
              <w:rPr>
                <w:noProof/>
              </w:rPr>
              <w:t>Mitta-yksikkö</w:t>
            </w:r>
          </w:p>
        </w:tc>
        <w:tc>
          <w:tcPr>
            <w:tcW w:w="1476" w:type="dxa"/>
            <w:tcBorders>
              <w:top w:val="single" w:sz="4" w:space="0" w:color="auto"/>
              <w:left w:val="single" w:sz="4" w:space="0" w:color="auto"/>
              <w:bottom w:val="single" w:sz="4" w:space="0" w:color="auto"/>
              <w:right w:val="single" w:sz="4" w:space="0" w:color="auto"/>
            </w:tcBorders>
            <w:shd w:val="clear" w:color="auto" w:fill="BDD7EE"/>
            <w:vAlign w:val="center"/>
          </w:tcPr>
          <w:p w14:paraId="76438EFD" w14:textId="77777777" w:rsidR="00E42B18" w:rsidRDefault="009629C4">
            <w:pPr>
              <w:pStyle w:val="P68B1DB1-Normal10"/>
              <w:spacing w:before="120" w:after="120"/>
              <w:jc w:val="center"/>
              <w:rPr>
                <w:noProof/>
              </w:rPr>
            </w:pPr>
            <w:r>
              <w:rPr>
                <w:noProof/>
              </w:rPr>
              <w:t>Lähtötilanne</w:t>
            </w:r>
          </w:p>
        </w:tc>
        <w:tc>
          <w:tcPr>
            <w:tcW w:w="1134" w:type="dxa"/>
            <w:tcBorders>
              <w:top w:val="single" w:sz="4" w:space="0" w:color="auto"/>
              <w:left w:val="single" w:sz="4" w:space="0" w:color="auto"/>
              <w:bottom w:val="single" w:sz="4" w:space="0" w:color="auto"/>
              <w:right w:val="single" w:sz="4" w:space="0" w:color="auto"/>
            </w:tcBorders>
            <w:shd w:val="clear" w:color="auto" w:fill="BDD7EE"/>
            <w:vAlign w:val="center"/>
          </w:tcPr>
          <w:p w14:paraId="18D1678A" w14:textId="77777777" w:rsidR="00E42B18" w:rsidRDefault="009629C4">
            <w:pPr>
              <w:pStyle w:val="P68B1DB1-Normal10"/>
              <w:spacing w:before="120" w:after="120"/>
              <w:jc w:val="center"/>
              <w:rPr>
                <w:noProof/>
              </w:rPr>
            </w:pPr>
            <w:r>
              <w:rPr>
                <w:noProof/>
              </w:rPr>
              <w:t>Päämäärä</w:t>
            </w:r>
          </w:p>
        </w:tc>
        <w:tc>
          <w:tcPr>
            <w:tcW w:w="1021" w:type="dxa"/>
            <w:tcBorders>
              <w:top w:val="single" w:sz="4" w:space="0" w:color="auto"/>
              <w:left w:val="single" w:sz="4" w:space="0" w:color="auto"/>
              <w:bottom w:val="single" w:sz="4" w:space="0" w:color="auto"/>
              <w:right w:val="single" w:sz="4" w:space="0" w:color="auto"/>
            </w:tcBorders>
            <w:shd w:val="clear" w:color="auto" w:fill="BDD7EE"/>
            <w:vAlign w:val="center"/>
          </w:tcPr>
          <w:p w14:paraId="347DD4B4" w14:textId="77777777" w:rsidR="00E42B18" w:rsidRDefault="009629C4">
            <w:pPr>
              <w:pStyle w:val="P68B1DB1-Normal10"/>
              <w:spacing w:before="120" w:after="120"/>
              <w:jc w:val="center"/>
              <w:rPr>
                <w:noProof/>
              </w:rPr>
            </w:pPr>
            <w:r>
              <w:rPr>
                <w:noProof/>
              </w:rPr>
              <w:t>Neljännes</w:t>
            </w:r>
          </w:p>
        </w:tc>
        <w:tc>
          <w:tcPr>
            <w:tcW w:w="709" w:type="dxa"/>
            <w:tcBorders>
              <w:top w:val="single" w:sz="4" w:space="0" w:color="auto"/>
              <w:left w:val="single" w:sz="4" w:space="0" w:color="auto"/>
              <w:bottom w:val="single" w:sz="4" w:space="0" w:color="auto"/>
              <w:right w:val="single" w:sz="4" w:space="0" w:color="auto"/>
            </w:tcBorders>
            <w:shd w:val="clear" w:color="auto" w:fill="BDD7EE"/>
            <w:vAlign w:val="center"/>
          </w:tcPr>
          <w:p w14:paraId="5A55C060" w14:textId="77777777" w:rsidR="00E42B18" w:rsidRDefault="009629C4">
            <w:pPr>
              <w:pStyle w:val="P68B1DB1-Normal10"/>
              <w:spacing w:before="120" w:after="120"/>
              <w:jc w:val="center"/>
              <w:rPr>
                <w:noProof/>
              </w:rPr>
            </w:pPr>
            <w:r>
              <w:rPr>
                <w:noProof/>
              </w:rPr>
              <w:t>Vuosi</w:t>
            </w:r>
          </w:p>
        </w:tc>
        <w:tc>
          <w:tcPr>
            <w:tcW w:w="2814" w:type="dxa"/>
            <w:vMerge/>
            <w:vAlign w:val="center"/>
          </w:tcPr>
          <w:p w14:paraId="26C20B8D" w14:textId="77777777" w:rsidR="00E42B18" w:rsidRDefault="00E42B18">
            <w:pPr>
              <w:spacing w:before="120" w:after="120"/>
              <w:rPr>
                <w:rFonts w:ascii="Arial Narrow" w:hAnsi="Arial Narrow"/>
                <w:noProof/>
                <w:sz w:val="20"/>
                <w:szCs w:val="20"/>
              </w:rPr>
            </w:pPr>
          </w:p>
        </w:tc>
      </w:tr>
      <w:tr w:rsidR="00E42B18" w14:paraId="6F1B9E5D"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5B5F9E8" w14:textId="77777777" w:rsidR="00E42B18" w:rsidRDefault="009629C4">
            <w:pPr>
              <w:pStyle w:val="P68B1DB1-Normal11"/>
              <w:jc w:val="center"/>
              <w:rPr>
                <w:noProof/>
                <w:szCs w:val="20"/>
              </w:rPr>
            </w:pPr>
            <w:r>
              <w:rPr>
                <w:noProof/>
              </w:rPr>
              <w:t>M1C2–1</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11412B66" w14:textId="77777777" w:rsidR="00E42B18" w:rsidRDefault="009629C4">
            <w:pPr>
              <w:pStyle w:val="P68B1DB1-Normal11"/>
              <w:jc w:val="center"/>
              <w:rPr>
                <w:noProof/>
                <w:szCs w:val="20"/>
              </w:rPr>
            </w:pPr>
            <w:r>
              <w:rPr>
                <w:noProof/>
              </w:rPr>
              <w:t>Investointi 1: Siirtymä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C2AB409" w14:textId="77777777" w:rsidR="00E42B18" w:rsidRDefault="009629C4">
            <w:pPr>
              <w:pStyle w:val="P68B1DB1-Normal11"/>
              <w:jc w:val="center"/>
              <w:rPr>
                <w:noProof/>
                <w:szCs w:val="20"/>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D4977C9" w14:textId="77777777" w:rsidR="00E42B18" w:rsidRDefault="009629C4">
            <w:pPr>
              <w:pStyle w:val="P68B1DB1-Normal11"/>
              <w:jc w:val="center"/>
              <w:rPr>
                <w:noProof/>
                <w:szCs w:val="20"/>
              </w:rPr>
            </w:pPr>
            <w:r>
              <w:rPr>
                <w:noProof/>
              </w:rPr>
              <w:t>Siirtymäkauden 4.0 verohyvitysten asettamista mahdollisten tuensaajien saataville koskevien säädösten voimaantulo ja tieteellisen komitean perustaminen</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68554E6" w14:textId="77777777" w:rsidR="00E42B18" w:rsidRDefault="009629C4">
            <w:pPr>
              <w:pStyle w:val="P68B1DB1-Normal11"/>
              <w:jc w:val="center"/>
              <w:rPr>
                <w:noProof/>
                <w:szCs w:val="20"/>
              </w:rPr>
            </w:pPr>
            <w:r>
              <w:rPr>
                <w:noProof/>
              </w:rPr>
              <w:t>Lakiin sisältyvä säännös, joka koskee verohyvitysten mahdollistavan talousarviolain voimaantuloa, ja asiaa koskevien täytäntöönpanosäädösten säännös, josta käy ilmi niiden voimaantulo</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416F790" w14:textId="77777777" w:rsidR="00E42B18" w:rsidRDefault="009629C4">
            <w:pPr>
              <w:pStyle w:val="P68B1DB1-Normal11"/>
              <w:jc w:val="center"/>
              <w:rPr>
                <w:noProof/>
                <w:szCs w:val="20"/>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0241A65" w14:textId="77777777" w:rsidR="00E42B18" w:rsidRDefault="009629C4">
            <w:pPr>
              <w:pStyle w:val="P68B1DB1-Normal11"/>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4154852" w14:textId="77777777" w:rsidR="00E42B18" w:rsidRDefault="009629C4">
            <w:pPr>
              <w:pStyle w:val="P68B1DB1-Normal11"/>
              <w:jc w:val="center"/>
              <w:rPr>
                <w:noProof/>
                <w:szCs w:val="20"/>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F842B08" w14:textId="77777777" w:rsidR="00E42B18" w:rsidRDefault="009629C4">
            <w:pPr>
              <w:pStyle w:val="P68B1DB1-Normal11"/>
              <w:jc w:val="center"/>
              <w:rPr>
                <w:noProof/>
                <w:szCs w:val="20"/>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C73C96A" w14:textId="77777777" w:rsidR="00E42B18" w:rsidRDefault="009629C4">
            <w:pPr>
              <w:pStyle w:val="P68B1DB1-Normal11"/>
              <w:jc w:val="center"/>
              <w:rPr>
                <w:noProof/>
                <w:szCs w:val="20"/>
              </w:rPr>
            </w:pPr>
            <w:r>
              <w:rPr>
                <w:noProof/>
              </w:rPr>
              <w:t>2021</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102DCD9" w14:textId="77777777" w:rsidR="00E42B18" w:rsidRDefault="009629C4">
            <w:pPr>
              <w:pStyle w:val="P68B1DB1-Normal11"/>
              <w:rPr>
                <w:noProof/>
                <w:szCs w:val="20"/>
              </w:rPr>
            </w:pPr>
            <w:r>
              <w:rPr>
                <w:noProof/>
              </w:rPr>
              <w:t>Säädöksissä asetetaan siirtymä 4.0:n verohyvitykset mahdollisten tuensaajien saataville. Kyseessä ovat verohyvitykset i) 4.0 (eli teknisesti edistyneet) aineelliset tuotantohyödykkeet, ii) 4.0 aineettomat tuotantohyödykkeet, iii) aineettomat tuotantohyödykkeet, iv) tutkimus-, kehitys- ja innovointitoiminta ja v) koulutustoiminta.</w:t>
            </w:r>
          </w:p>
          <w:p w14:paraId="55DF35B1" w14:textId="77777777" w:rsidR="00E42B18" w:rsidRDefault="009629C4">
            <w:pPr>
              <w:pStyle w:val="P68B1DB1-Normal11"/>
              <w:rPr>
                <w:noProof/>
                <w:szCs w:val="20"/>
              </w:rPr>
            </w:pPr>
            <w:r>
              <w:rPr>
                <w:noProof/>
              </w:rPr>
              <w:t>Verohyvityskoodit määritellään veroviraston päätöksellä, jotta edunsaajat voivat käyttää F24-maksumallin mukaisia verohyvityksiä. Perustetaan tieteellinen komitea, johon kuuluu talous- ja valtiovarainministeriön, talouskehitysministeriön ja Italian keskuspankin asiantuntijoita, antamalla ministeriön asetus siirtymäkauden 4.0 verohyvitysten taloudellisten vaikutusten arvioimiseksi.</w:t>
            </w:r>
          </w:p>
        </w:tc>
      </w:tr>
      <w:tr w:rsidR="00E42B18" w14:paraId="25D263D3"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197588A" w14:textId="77777777" w:rsidR="00E42B18" w:rsidRDefault="009629C4">
            <w:pPr>
              <w:pStyle w:val="P68B1DB1-Normal11"/>
              <w:spacing w:before="120" w:after="120"/>
              <w:jc w:val="center"/>
              <w:rPr>
                <w:noProof/>
                <w:szCs w:val="20"/>
              </w:rPr>
            </w:pPr>
            <w:r>
              <w:rPr>
                <w:noProof/>
              </w:rPr>
              <w:t>M1C2–2</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62C5842" w14:textId="77777777" w:rsidR="00E42B18" w:rsidRDefault="009629C4">
            <w:pPr>
              <w:pStyle w:val="P68B1DB1-Normal11"/>
              <w:spacing w:before="120" w:after="120"/>
              <w:jc w:val="center"/>
              <w:rPr>
                <w:noProof/>
                <w:szCs w:val="20"/>
              </w:rPr>
            </w:pPr>
            <w:r>
              <w:rPr>
                <w:noProof/>
              </w:rPr>
              <w:t>Investointi 1: Siirtymä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E42C9AD" w14:textId="77777777" w:rsidR="00E42B18" w:rsidRDefault="009629C4">
            <w:pPr>
              <w:pStyle w:val="P68B1DB1-Normal11"/>
              <w:spacing w:before="120" w:after="120"/>
              <w:jc w:val="center"/>
              <w:rPr>
                <w:noProof/>
                <w:szCs w:val="20"/>
              </w:rPr>
            </w:pPr>
            <w:r>
              <w:rPr>
                <w:noProof/>
              </w:rPr>
              <w:t>Kohde</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33FA255" w14:textId="77777777" w:rsidR="00E42B18" w:rsidRDefault="009629C4">
            <w:pPr>
              <w:pStyle w:val="P68B1DB1-Normal11"/>
              <w:spacing w:before="120" w:after="120"/>
              <w:jc w:val="center"/>
              <w:rPr>
                <w:noProof/>
                <w:szCs w:val="20"/>
              </w:rPr>
            </w:pPr>
            <w:r>
              <w:rPr>
                <w:noProof/>
              </w:rPr>
              <w:t>Siirtymä 4.0 yrityksille vuosina 2021–2022 esitettyjen veroilmoitusten perusteella myönnetyt verohyvitykset</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3B4337FF" w14:textId="77777777" w:rsidR="00E42B18" w:rsidRDefault="009629C4">
            <w:pPr>
              <w:pStyle w:val="P68B1DB1-Normal11"/>
              <w:spacing w:before="120" w:after="120"/>
              <w:jc w:val="center"/>
              <w:rPr>
                <w:noProof/>
                <w:szCs w:val="20"/>
              </w:rPr>
            </w:pPr>
            <w:r>
              <w:rPr>
                <w:noProof/>
              </w:rPr>
              <w:t>EI OLE</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CC8166C" w14:textId="77777777" w:rsidR="00E42B18" w:rsidRDefault="009629C4">
            <w:pPr>
              <w:pStyle w:val="P68B1DB1-Normal11"/>
              <w:spacing w:before="120" w:after="120"/>
              <w:jc w:val="center"/>
              <w:rPr>
                <w:noProof/>
                <w:szCs w:val="20"/>
              </w:rPr>
            </w:pPr>
            <w:r>
              <w:rPr>
                <w:noProof/>
              </w:rPr>
              <w:t>Numero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4310DD1D" w14:textId="77777777" w:rsidR="00E42B18" w:rsidRDefault="009629C4">
            <w:pPr>
              <w:pStyle w:val="P68B1DB1-Normal11"/>
              <w:spacing w:before="120" w:after="120"/>
              <w:jc w:val="center"/>
              <w:rPr>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8FF7DFE" w14:textId="77777777" w:rsidR="00E42B18" w:rsidRDefault="009629C4">
            <w:pPr>
              <w:pStyle w:val="P68B1DB1-Normal11"/>
              <w:spacing w:before="120" w:after="120"/>
              <w:jc w:val="center"/>
              <w:rPr>
                <w:noProof/>
                <w:szCs w:val="20"/>
              </w:rPr>
            </w:pPr>
            <w:r>
              <w:rPr>
                <w:noProof/>
              </w:rPr>
              <w:t>69 900</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7C917F04" w14:textId="77777777" w:rsidR="00E42B18" w:rsidRDefault="009629C4">
            <w:pPr>
              <w:pStyle w:val="P68B1DB1-Normal11"/>
              <w:spacing w:before="120" w:after="120"/>
              <w:jc w:val="center"/>
              <w:rPr>
                <w:noProof/>
                <w:szCs w:val="20"/>
              </w:rPr>
            </w:pPr>
            <w:r>
              <w:rPr>
                <w:noProof/>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74C2C57E" w14:textId="77777777" w:rsidR="00E42B18" w:rsidRDefault="009629C4">
            <w:pPr>
              <w:pStyle w:val="P68B1DB1-Normal11"/>
              <w:spacing w:before="120" w:after="120"/>
              <w:jc w:val="center"/>
              <w:rPr>
                <w:noProof/>
                <w:szCs w:val="20"/>
              </w:rPr>
            </w:pPr>
            <w:r>
              <w:rPr>
                <w:noProof/>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6F1F7B84" w14:textId="62B60F86" w:rsidR="00E42B18" w:rsidRDefault="009629C4">
            <w:pPr>
              <w:pStyle w:val="P68B1DB1-Normal11"/>
              <w:rPr>
                <w:noProof/>
                <w:szCs w:val="20"/>
              </w:rPr>
            </w:pPr>
            <w:r>
              <w:rPr>
                <w:noProof/>
              </w:rPr>
              <w:t>Yrityksille on myönnetty vähintään 69900 siirtymäkauden 4.0 verohyvitystä, jotka liittyvät 4.0 aineellisiin tuotantohyödykkeisiin, 4.0 aineettomiin tuotantohyödykkeisiin, tavanomaisiin aineettomiin pääomahyödykkeisiin, tutkimus-, kehitys- ja innovointitoimintaan tai koulutustoimintaan. Verohyvitys katsotaan myönnetyksi veroilmoituksen antamisen yhteydessä. Veroilmoitukset on annettava 1 päivän tammikuuta 2021 ja 31 päivän joulukuuta 2022 välisenä aikana. Niiden yritysten osalta, joiden verovuosi ei vastaa kalenterivuotta, kaikkiin edellä mainittuihin verohyvityksiin liittyvien veroilmoitusten esittämiseen sovellettavan ajanjakson päättymistä jatketaan 31 päivästä joulukuuta 2022 30 päivään marraskuuta 2023.</w:t>
            </w:r>
          </w:p>
        </w:tc>
      </w:tr>
      <w:tr w:rsidR="00E42B18" w14:paraId="0CEF987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34C6CA6" w14:textId="77777777" w:rsidR="00E42B18" w:rsidRDefault="009629C4">
            <w:pPr>
              <w:pStyle w:val="P68B1DB1-Normal11"/>
              <w:spacing w:before="120" w:after="120"/>
              <w:jc w:val="center"/>
              <w:rPr>
                <w:noProof/>
                <w:szCs w:val="20"/>
              </w:rPr>
            </w:pPr>
            <w:r>
              <w:rPr>
                <w:noProof/>
              </w:rPr>
              <w:t>M1C2–3</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5F0CB5B" w14:textId="77777777" w:rsidR="00E42B18" w:rsidRDefault="009629C4">
            <w:pPr>
              <w:pStyle w:val="P68B1DB1-Normal11"/>
              <w:spacing w:before="120" w:after="120"/>
              <w:jc w:val="center"/>
              <w:rPr>
                <w:noProof/>
                <w:szCs w:val="20"/>
              </w:rPr>
            </w:pPr>
            <w:r>
              <w:rPr>
                <w:noProof/>
              </w:rPr>
              <w:t>Investointi 1: Siirtymä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1B664F6" w14:textId="77777777" w:rsidR="00E42B18" w:rsidRDefault="009629C4">
            <w:pPr>
              <w:pStyle w:val="P68B1DB1-Normal11"/>
              <w:spacing w:before="120" w:after="120"/>
              <w:jc w:val="center"/>
              <w:rPr>
                <w:noProof/>
                <w:szCs w:val="20"/>
              </w:rPr>
            </w:pPr>
            <w:r>
              <w:rPr>
                <w:noProof/>
              </w:rPr>
              <w:t>Kohde</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D4BF16E" w14:textId="77777777" w:rsidR="00E42B18" w:rsidRDefault="009629C4">
            <w:pPr>
              <w:pStyle w:val="P68B1DB1-Normal11"/>
              <w:spacing w:before="120" w:after="120"/>
              <w:jc w:val="center"/>
              <w:rPr>
                <w:noProof/>
                <w:szCs w:val="20"/>
              </w:rPr>
            </w:pPr>
            <w:r>
              <w:rPr>
                <w:noProof/>
              </w:rPr>
              <w:t>Siirtymä 4.0 yrityksille vuosina 2021–2023 esitettyjen veroilmoitusten perusteella myönnetyt verohyvitykset</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2579EE6A" w14:textId="77777777" w:rsidR="00E42B18" w:rsidRDefault="009629C4">
            <w:pPr>
              <w:pStyle w:val="P68B1DB1-Normal11"/>
              <w:spacing w:before="120" w:after="120"/>
              <w:jc w:val="center"/>
              <w:rPr>
                <w:noProof/>
                <w:szCs w:val="20"/>
              </w:rPr>
            </w:pPr>
            <w:r>
              <w:rPr>
                <w:noProof/>
              </w:rPr>
              <w:t>EI OLE</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51BC3019" w14:textId="77777777" w:rsidR="00E42B18" w:rsidRDefault="009629C4">
            <w:pPr>
              <w:pStyle w:val="P68B1DB1-Normal11"/>
              <w:spacing w:before="120" w:after="120"/>
              <w:jc w:val="center"/>
              <w:rPr>
                <w:noProof/>
                <w:szCs w:val="20"/>
              </w:rPr>
            </w:pPr>
            <w:r>
              <w:rPr>
                <w:noProof/>
              </w:rPr>
              <w:t>Numero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B8E15E2" w14:textId="77777777" w:rsidR="00E42B18" w:rsidRDefault="009629C4">
            <w:pPr>
              <w:pStyle w:val="P68B1DB1-Normal11"/>
              <w:spacing w:before="120" w:after="120"/>
              <w:jc w:val="center"/>
              <w:rPr>
                <w:noProof/>
                <w:szCs w:val="20"/>
              </w:rPr>
            </w:pPr>
            <w:r>
              <w:rPr>
                <w:noProof/>
              </w:rPr>
              <w:t>69 900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4EA6108" w14:textId="77777777" w:rsidR="00E42B18" w:rsidRDefault="009629C4">
            <w:pPr>
              <w:pStyle w:val="P68B1DB1-Normal11"/>
              <w:spacing w:before="120" w:after="120"/>
              <w:jc w:val="center"/>
              <w:rPr>
                <w:noProof/>
                <w:szCs w:val="20"/>
              </w:rPr>
            </w:pPr>
            <w:r>
              <w:rPr>
                <w:noProof/>
              </w:rPr>
              <w:t>111 700</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3E995941" w14:textId="77777777" w:rsidR="00E42B18" w:rsidRDefault="009629C4">
            <w:pPr>
              <w:pStyle w:val="P68B1DB1-Normal11"/>
              <w:spacing w:before="120" w:after="120"/>
              <w:jc w:val="center"/>
              <w:rPr>
                <w:noProof/>
                <w:szCs w:val="20"/>
              </w:rPr>
            </w:pPr>
            <w:r>
              <w:rPr>
                <w:noProof/>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1C01FB4A" w14:textId="77777777" w:rsidR="00E42B18" w:rsidRDefault="009629C4">
            <w:pPr>
              <w:pStyle w:val="P68B1DB1-Normal11"/>
              <w:spacing w:before="120" w:after="120"/>
              <w:jc w:val="center"/>
              <w:rPr>
                <w:noProof/>
                <w:szCs w:val="20"/>
              </w:rPr>
            </w:pPr>
            <w:r>
              <w:rPr>
                <w:noProof/>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13121636" w14:textId="170A3FB2" w:rsidR="00E42B18" w:rsidRDefault="009629C4">
            <w:pPr>
              <w:pStyle w:val="P68B1DB1-Normal12"/>
              <w:rPr>
                <w:noProof/>
              </w:rPr>
            </w:pPr>
            <w:r>
              <w:rPr>
                <w:noProof/>
              </w:rPr>
              <w:t>Yrityksille on myönnetty vähintään 111700 siirtymäkauden 4.0 verohyvitystä, jotka liittyvät 4.0 aineellisiin tuotantohyödykkeisiin, 4.0 aineettomiin tuotantohyödykkeisiin, tavanomaisiin aineettomiin pääomahyödykkeisiin, tutkimus-, kehitys- ja innovointitoimintaan tai koulutustoimintaan. Verohyvitys katsotaan myönnetyksi veroilmoituksen antamisen yhteydessä. Veroilmoitukset on annettava 1 päivän tammikuuta 2021 ja 31 päivän joulukuuta 2023 välisenä aikana. Niiden yritysten osalta, joiden verovuosi ei vastaa kalenterivuotta, kaikkiin edellä mainittuihin verohyvityksiin liittyvien veroilmoitusten esittämisen tarkastelujakson päättymistä jatketaan 31 päivän joulukuuta 2023 ja 30 päivän marraskuuta 2024 väliseksi ajaksi.</w:t>
            </w:r>
          </w:p>
          <w:p w14:paraId="37EABE4E" w14:textId="03774856" w:rsidR="00E42B18" w:rsidRDefault="009629C4">
            <w:pPr>
              <w:pStyle w:val="P68B1DB1-Normal12"/>
              <w:rPr>
                <w:noProof/>
              </w:rPr>
            </w:pPr>
            <w:r>
              <w:rPr>
                <w:noProof/>
              </w:rPr>
              <w:t>Perustaso viittaa niiden siirtymäkauden 4.0 verohyvitysten lukumäärään, jotka on myönnetty yrityksille 1. tammikuuta 2021 ja 31. joulukuuta 2022 välisenä aikana esitettyjen veroilmoitusten perusteella 4.0 aineellisista tuotantohyödykkeistä, 4.0 aineettomista tuotantohyödykkeistä ja tavallisista aineettomista hyödykkeistä sekä 1. tammikuuta ja 31. joulukuuta 2022 välisenä aikana tutkimus-, kehitys- ja innovointitoimista ja koulutustoimista esitettyjen veroilmoitusten perusteella. Niiden yritysten osalta, joiden verovuosi ei vastaa kalenterivuotta, kaikkien edellä lueteltujen verohyvitysten perustasoon on sisällytettävä myös 30 päivään marraskuuta 2023 mennessä toimitetut veroilmoitukset.</w:t>
            </w:r>
          </w:p>
          <w:p w14:paraId="43938203" w14:textId="7F7C67A3" w:rsidR="00E42B18" w:rsidRDefault="009629C4">
            <w:pPr>
              <w:pStyle w:val="P68B1DB1-Normal12"/>
              <w:rPr>
                <w:noProof/>
              </w:rPr>
            </w:pPr>
            <w:r>
              <w:rPr>
                <w:noProof/>
              </w:rPr>
              <w:t>Tavoitetta varten ei oteta huomioon yrityksiä, jotka toimivat ATECO-koodeilla 05, 06, 07 ja 09 määritellyillä toimialoilla. Kun kyseessä ovat investoinnit aineellisiin tuotantohyödykkeisiin 4.0 eikä kehitys- ja innovointitoimintaan, yksikään yritys ei toimi ATECO-koodien 30 mukaisilla toimialoilla. Tavoitteen osalta on otettava huomioon 22, 29, 38, 41, 42, 43, 17, 01, 50, 19, 20, 51, 24, 49, 23 ja 35.</w:t>
            </w:r>
          </w:p>
        </w:tc>
      </w:tr>
      <w:tr w:rsidR="00E42B18" w14:paraId="33FA2C61"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5EB8CBDE" w14:textId="77777777" w:rsidR="00E42B18" w:rsidRDefault="009629C4">
            <w:pPr>
              <w:pStyle w:val="P68B1DB1-Normal11"/>
              <w:spacing w:before="120" w:after="120"/>
              <w:jc w:val="center"/>
              <w:rPr>
                <w:noProof/>
                <w:szCs w:val="20"/>
              </w:rPr>
            </w:pPr>
            <w:r>
              <w:rPr>
                <w:noProof/>
              </w:rPr>
              <w:t>M1C2–4</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271FE27" w14:textId="77777777" w:rsidR="00E42B18" w:rsidRDefault="009629C4">
            <w:pPr>
              <w:pStyle w:val="P68B1DB1-Normal11"/>
              <w:spacing w:before="120" w:after="120"/>
              <w:jc w:val="center"/>
              <w:rPr>
                <w:noProof/>
                <w:szCs w:val="20"/>
              </w:rPr>
            </w:pPr>
            <w:r>
              <w:rPr>
                <w:noProof/>
              </w:rPr>
              <w:t>Uudistus 1: Teollisoikeusjärjestelmän uudistus</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A301DB3" w14:textId="77777777" w:rsidR="00E42B18" w:rsidRDefault="009629C4">
            <w:pPr>
              <w:pStyle w:val="P68B1DB1-Normal11"/>
              <w:spacing w:before="120" w:after="120"/>
              <w:jc w:val="center"/>
              <w:rPr>
                <w:noProof/>
                <w:szCs w:val="20"/>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42F0157F" w14:textId="77777777" w:rsidR="00E42B18" w:rsidRDefault="009629C4">
            <w:pPr>
              <w:pStyle w:val="P68B1DB1-Normal11"/>
              <w:spacing w:before="120" w:after="120"/>
              <w:jc w:val="center"/>
              <w:rPr>
                <w:noProof/>
                <w:szCs w:val="20"/>
              </w:rPr>
            </w:pPr>
            <w:r>
              <w:rPr>
                <w:noProof/>
              </w:rPr>
              <w:t>Italian teollisoikeuksia koskevan lain ja asiaa koskevien täytäntöönpanosäädösten uudistamista koskevan asetuksen voimaantulo</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0F758F31" w14:textId="77777777" w:rsidR="00E42B18" w:rsidRDefault="009629C4">
            <w:pPr>
              <w:pStyle w:val="P68B1DB1-Normal11"/>
              <w:spacing w:before="120" w:after="120"/>
              <w:jc w:val="center"/>
              <w:rPr>
                <w:noProof/>
                <w:szCs w:val="20"/>
              </w:rPr>
            </w:pPr>
            <w:r>
              <w:rPr>
                <w:noProof/>
              </w:rPr>
              <w:t>Uuden teollisoikeuslain voimaantuloa koskeva lain säännös ja siihen liittyvien täytäntöönpanosäädösten säännös, josta käy ilmi niiden voimaantulo</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C030D6A" w14:textId="77777777" w:rsidR="00E42B18" w:rsidRDefault="009629C4">
            <w:pPr>
              <w:pStyle w:val="P68B1DB1-Normal11"/>
              <w:spacing w:before="120" w:after="120"/>
              <w:jc w:val="center"/>
              <w:rPr>
                <w:noProof/>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C266158" w14:textId="77777777" w:rsidR="00E42B18" w:rsidRDefault="009629C4">
            <w:pPr>
              <w:pStyle w:val="P68B1DB1-Normal11"/>
              <w:spacing w:before="120" w:after="120"/>
              <w:jc w:val="center"/>
              <w:rPr>
                <w:noProof/>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7712B89" w14:textId="77777777" w:rsidR="00E42B18" w:rsidRDefault="009629C4">
            <w:pPr>
              <w:pStyle w:val="P68B1DB1-Normal11"/>
              <w:spacing w:before="120" w:after="120"/>
              <w:jc w:val="center"/>
              <w:rPr>
                <w:noProof/>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0B9FF3F3" w14:textId="77777777" w:rsidR="00E42B18" w:rsidRDefault="009629C4">
            <w:pPr>
              <w:pStyle w:val="P68B1DB1-Normal11"/>
              <w:spacing w:before="120" w:after="120"/>
              <w:jc w:val="center"/>
              <w:rPr>
                <w:noProof/>
                <w:szCs w:val="20"/>
              </w:rPr>
            </w:pPr>
            <w:r>
              <w:rPr>
                <w:noProof/>
              </w:rPr>
              <w:t>Q3</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125E6834" w14:textId="77777777" w:rsidR="00E42B18" w:rsidRDefault="009629C4">
            <w:pPr>
              <w:pStyle w:val="P68B1DB1-Normal11"/>
              <w:spacing w:before="120" w:after="120"/>
              <w:jc w:val="center"/>
              <w:rPr>
                <w:noProof/>
                <w:szCs w:val="20"/>
              </w:rPr>
            </w:pPr>
            <w:r>
              <w:rPr>
                <w:noProof/>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AD04BD6" w14:textId="77777777" w:rsidR="00E42B18" w:rsidRDefault="009629C4">
            <w:pPr>
              <w:pStyle w:val="P68B1DB1-Normal11"/>
              <w:rPr>
                <w:noProof/>
                <w:szCs w:val="20"/>
              </w:rPr>
            </w:pPr>
            <w:r>
              <w:rPr>
                <w:noProof/>
              </w:rPr>
              <w:t>Uudella asetuksella muutetaan Italian teollisoikeuslakia (10.2.2005 annettu asetus nro 30), ja se kattaa vähintään seuraavat alat: I) tarkistetaan sääntelykehystä teollisoikeuksien suojan vahvistamiseksi ja menettelyjen yksinkertaistamiseksi, ii) vahvistetaan tukea yrityksille ja tutkimuslaitoksille, iii) tehostetaan taitojen ja osaamisen kehittämistä, iv) helpotetaan tietämyksen siirtoa ja v) vahvistetaan innovatiivisten palvelujen edistämistä.</w:t>
            </w:r>
          </w:p>
        </w:tc>
      </w:tr>
      <w:tr w:rsidR="00E42B18" w14:paraId="7C16AE5D"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F8564B3" w14:textId="77777777" w:rsidR="00E42B18" w:rsidRDefault="009629C4">
            <w:pPr>
              <w:pStyle w:val="P68B1DB1-Normal11"/>
              <w:spacing w:before="120" w:after="120"/>
              <w:jc w:val="center"/>
              <w:rPr>
                <w:noProof/>
                <w:szCs w:val="20"/>
              </w:rPr>
            </w:pPr>
            <w:r>
              <w:rPr>
                <w:noProof/>
              </w:rPr>
              <w:t>M1C2–5</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B74EA3D" w14:textId="77777777" w:rsidR="00E42B18" w:rsidRDefault="009629C4">
            <w:pPr>
              <w:pStyle w:val="P68B1DB1-Normal11"/>
              <w:spacing w:before="120" w:after="120"/>
              <w:jc w:val="center"/>
              <w:rPr>
                <w:noProof/>
                <w:szCs w:val="20"/>
              </w:rPr>
            </w:pPr>
            <w:r>
              <w:rPr>
                <w:noProof/>
              </w:rPr>
              <w:t>Investointi 6: Investoinnit teollisoikeusjärjestelmään</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F4AFD61" w14:textId="77777777" w:rsidR="00E42B18" w:rsidRDefault="009629C4">
            <w:pPr>
              <w:pStyle w:val="P68B1DB1-Normal12"/>
              <w:spacing w:before="120" w:after="120"/>
              <w:rPr>
                <w:noProof/>
              </w:rPr>
            </w:pPr>
            <w:r>
              <w:rPr>
                <w:noProof/>
              </w:rPr>
              <w:t>Kohde</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6AE73632" w14:textId="60B05D53" w:rsidR="00E42B18" w:rsidRDefault="009629C4">
            <w:pPr>
              <w:pStyle w:val="P68B1DB1-Normal12"/>
              <w:spacing w:before="120" w:after="120"/>
              <w:jc w:val="center"/>
              <w:rPr>
                <w:noProof/>
              </w:rPr>
            </w:pPr>
            <w:r>
              <w:rPr>
                <w:noProof/>
              </w:rPr>
              <w:t>Lopputoimet/hankeraportit vähintään 254:stä teollis- ja tekijänoikeuksiin ja tutkimukseen liittyvästä hankkeesta.</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431712B3" w14:textId="77777777" w:rsidR="00E42B18" w:rsidRDefault="009629C4">
            <w:pPr>
              <w:pStyle w:val="P68B1DB1-Normal12"/>
              <w:spacing w:before="120" w:after="120"/>
              <w:jc w:val="center"/>
              <w:rPr>
                <w:noProof/>
              </w:rPr>
            </w:pPr>
            <w:r>
              <w:rPr>
                <w:noProof/>
              </w:rPr>
              <w:t>EI OLE</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673544A7" w14:textId="77777777" w:rsidR="00E42B18" w:rsidRDefault="009629C4">
            <w:pPr>
              <w:pStyle w:val="P68B1DB1-Normal12"/>
              <w:spacing w:before="120" w:after="120"/>
              <w:jc w:val="center"/>
              <w:rPr>
                <w:noProof/>
              </w:rPr>
            </w:pPr>
            <w:r>
              <w:rPr>
                <w:noProof/>
              </w:rPr>
              <w:t>Numero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1979C87" w14:textId="77777777" w:rsidR="00E42B18" w:rsidRDefault="009629C4">
            <w:pPr>
              <w:pStyle w:val="P68B1DB1-Normal12"/>
              <w:spacing w:before="120" w:after="120"/>
              <w:jc w:val="center"/>
              <w:rPr>
                <w:noProof/>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05CA310" w14:textId="77777777" w:rsidR="00E42B18" w:rsidRDefault="009629C4">
            <w:pPr>
              <w:pStyle w:val="P68B1DB1-Normal12"/>
              <w:spacing w:before="120" w:after="120"/>
              <w:jc w:val="center"/>
              <w:rPr>
                <w:noProof/>
              </w:rPr>
            </w:pPr>
            <w:r>
              <w:rPr>
                <w:noProof/>
              </w:rPr>
              <w:t>254</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CE8633E" w14:textId="77777777" w:rsidR="00E42B18" w:rsidRDefault="009629C4">
            <w:pPr>
              <w:pStyle w:val="P68B1DB1-Normal11"/>
              <w:spacing w:before="120" w:after="120"/>
              <w:jc w:val="center"/>
              <w:rPr>
                <w:noProof/>
                <w:szCs w:val="20"/>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A344357" w14:textId="77777777" w:rsidR="00E42B18" w:rsidRDefault="009629C4">
            <w:pPr>
              <w:pStyle w:val="P68B1DB1-Normal11"/>
              <w:spacing w:before="120" w:after="120"/>
              <w:jc w:val="center"/>
              <w:rPr>
                <w:noProof/>
                <w:szCs w:val="20"/>
              </w:rPr>
            </w:pPr>
            <w:r>
              <w:rPr>
                <w:noProof/>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2081B93" w14:textId="77777777" w:rsidR="00E42B18" w:rsidRDefault="009629C4">
            <w:pPr>
              <w:pStyle w:val="P68B1DB1-Normal21"/>
              <w:spacing w:before="120" w:after="120" w:line="278" w:lineRule="auto"/>
              <w:rPr>
                <w:rFonts w:ascii="Arial Narrow" w:hAnsi="Arial Narrow"/>
                <w:noProof/>
                <w:szCs w:val="20"/>
              </w:rPr>
            </w:pPr>
            <w:r>
              <w:rPr>
                <w:rFonts w:ascii="Arial Narrow" w:hAnsi="Arial Narrow"/>
                <w:noProof/>
              </w:rPr>
              <w:t>Edunsaajayhteisöjen allekirjoittamat lopulliset toimet/hankeraportit on toimitettu ainakin 254 hankkeesta tutkimuksen ja teollisoikeuksien alalla.</w:t>
            </w:r>
            <w:r>
              <w:rPr>
                <w:rFonts w:ascii="Arial Narrow" w:eastAsia="Arial Narrow" w:hAnsi="Arial Narrow" w:cs="Arial Narrow"/>
                <w:noProof/>
                <w:szCs w:val="20"/>
                <w:u w:val="single"/>
              </w:rPr>
              <w:t xml:space="preserve"> </w:t>
            </w:r>
            <w:r>
              <w:rPr>
                <w:rFonts w:ascii="Arial Narrow" w:hAnsi="Arial Narrow"/>
                <w:noProof/>
                <w:szCs w:val="20"/>
              </w:rPr>
              <w:t>.</w:t>
            </w:r>
          </w:p>
        </w:tc>
      </w:tr>
      <w:tr w:rsidR="00E42B18" w14:paraId="55C8254C"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D2C2F6F" w14:textId="77777777" w:rsidR="00E42B18" w:rsidRDefault="009629C4">
            <w:pPr>
              <w:pStyle w:val="P68B1DB1-Normal11"/>
              <w:spacing w:before="120" w:after="120"/>
              <w:jc w:val="center"/>
              <w:rPr>
                <w:noProof/>
                <w:szCs w:val="20"/>
              </w:rPr>
            </w:pPr>
            <w:r>
              <w:rPr>
                <w:noProof/>
              </w:rPr>
              <w:t>M1C2–6</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3245C5C" w14:textId="77777777" w:rsidR="00E42B18" w:rsidRDefault="009629C4">
            <w:pPr>
              <w:pStyle w:val="P68B1DB1-Normal11"/>
              <w:spacing w:before="120" w:after="120"/>
              <w:jc w:val="center"/>
              <w:rPr>
                <w:noProof/>
                <w:szCs w:val="20"/>
              </w:rPr>
            </w:pPr>
            <w:r>
              <w:rPr>
                <w:noProof/>
              </w:rPr>
              <w:t>Uudistuksen 2: Vuosittaiset kilpailulait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4F8279D" w14:textId="77777777" w:rsidR="00E42B18" w:rsidRDefault="009629C4">
            <w:pPr>
              <w:pStyle w:val="P68B1DB1-Normal11"/>
              <w:spacing w:before="120" w:after="120"/>
              <w:jc w:val="center"/>
              <w:rPr>
                <w:noProof/>
                <w:szCs w:val="20"/>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4F1484FB" w14:textId="77777777" w:rsidR="00E42B18" w:rsidRDefault="009629C4">
            <w:pPr>
              <w:pStyle w:val="P68B1DB1-Normal11"/>
              <w:spacing w:before="120" w:after="120"/>
              <w:jc w:val="center"/>
              <w:rPr>
                <w:noProof/>
                <w:szCs w:val="20"/>
              </w:rPr>
            </w:pPr>
            <w:r>
              <w:rPr>
                <w:noProof/>
              </w:rPr>
              <w:t>Vuoden 2021 kilpailulain voimaantulo</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13E6DF1" w14:textId="77777777" w:rsidR="00E42B18" w:rsidRDefault="009629C4">
            <w:pPr>
              <w:pStyle w:val="P68B1DB1-Normal11"/>
              <w:spacing w:before="120" w:after="120"/>
              <w:jc w:val="center"/>
              <w:rPr>
                <w:noProof/>
                <w:szCs w:val="20"/>
              </w:rPr>
            </w:pPr>
            <w:r>
              <w:rPr>
                <w:noProof/>
              </w:rPr>
              <w:t>Säännös, joka koskee vuoden 2021 kilpailulain voimaantuloa.</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330CB1CF" w14:textId="77777777" w:rsidR="00E42B18" w:rsidRDefault="009629C4">
            <w:pPr>
              <w:pStyle w:val="P68B1DB1-Normal11"/>
              <w:spacing w:before="120" w:after="120"/>
              <w:jc w:val="center"/>
              <w:rPr>
                <w:noProof/>
                <w:szCs w:val="20"/>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90E2453" w14:textId="77777777" w:rsidR="00E42B18" w:rsidRDefault="009629C4">
            <w:pPr>
              <w:pStyle w:val="P68B1DB1-Normal11"/>
              <w:spacing w:before="120" w:after="120"/>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E943A9F" w14:textId="77777777" w:rsidR="00E42B18" w:rsidRDefault="009629C4">
            <w:pPr>
              <w:pStyle w:val="P68B1DB1-Normal11"/>
              <w:spacing w:before="120" w:after="120"/>
              <w:jc w:val="center"/>
              <w:rPr>
                <w:noProof/>
                <w:szCs w:val="20"/>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1799E7FD" w14:textId="77777777" w:rsidR="00E42B18" w:rsidRDefault="009629C4">
            <w:pPr>
              <w:pStyle w:val="P68B1DB1-Normal11"/>
              <w:spacing w:before="120" w:after="120"/>
              <w:jc w:val="center"/>
              <w:rPr>
                <w:noProof/>
                <w:szCs w:val="20"/>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0665A310" w14:textId="77777777" w:rsidR="00E42B18" w:rsidRDefault="009629C4">
            <w:pPr>
              <w:pStyle w:val="P68B1DB1-Normal11"/>
              <w:spacing w:before="120" w:after="120"/>
              <w:jc w:val="center"/>
              <w:rPr>
                <w:noProof/>
                <w:szCs w:val="20"/>
              </w:rPr>
            </w:pPr>
            <w:r>
              <w:rPr>
                <w:noProof/>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042D619A" w14:textId="77777777" w:rsidR="00E42B18" w:rsidRDefault="009629C4">
            <w:pPr>
              <w:pStyle w:val="P68B1DB1-Normal11"/>
              <w:spacing w:before="120" w:after="120"/>
              <w:rPr>
                <w:noProof/>
                <w:szCs w:val="20"/>
              </w:rPr>
            </w:pPr>
            <w:r>
              <w:rPr>
                <w:noProof/>
              </w:rPr>
              <w:t>Vuotuiseen kilpailulakiin on sisällyttävä ainakin seuraavat keskeiset osat, joiden täytäntöönpanotoimenpiteet ja (tarvittaessa) sekundaarilainsäädäntö hyväksytään ja jotka tulevat voimaan viimeistään 31. joulukuuta 2022.</w:t>
            </w:r>
          </w:p>
          <w:p w14:paraId="5C05FAAE" w14:textId="705BF21E" w:rsidR="00E42B18" w:rsidRDefault="009629C4">
            <w:pPr>
              <w:spacing w:before="120" w:after="120"/>
              <w:rPr>
                <w:rFonts w:ascii="Arial Narrow" w:hAnsi="Arial Narrow"/>
                <w:noProof/>
                <w:color w:val="006100"/>
                <w:sz w:val="20"/>
                <w:szCs w:val="20"/>
              </w:rPr>
            </w:pPr>
            <w:r>
              <w:rPr>
                <w:rFonts w:ascii="Arial Narrow" w:hAnsi="Arial Narrow"/>
                <w:noProof/>
                <w:color w:val="006100"/>
                <w:sz w:val="20"/>
              </w:rPr>
              <w:t>Se koskee:</w:t>
            </w:r>
            <w:r>
              <w:rPr>
                <w:rFonts w:ascii="Arial Narrow" w:hAnsi="Arial Narrow"/>
                <w:noProof/>
              </w:rPr>
              <w:t xml:space="preserve"> </w:t>
            </w:r>
            <w:r>
              <w:rPr>
                <w:noProof/>
              </w:rPr>
              <w:t xml:space="preserve"> </w:t>
            </w:r>
            <w:r>
              <w:rPr>
                <w:noProof/>
              </w:rPr>
              <w:br/>
            </w:r>
            <w:r>
              <w:rPr>
                <w:rFonts w:ascii="Arial Narrow" w:hAnsi="Arial Narrow"/>
                <w:noProof/>
                <w:color w:val="006100"/>
                <w:sz w:val="20"/>
              </w:rPr>
              <w:t>— Kilpailusääntöjen noudattamisen valvonta</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Paikalliset julkiset palvelut</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Energia</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Liikenne</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Jätteet</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Yrityksen perustaminen</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Markkinavalvonta</w:t>
            </w:r>
          </w:p>
          <w:p w14:paraId="6C6EC5B7" w14:textId="77777777" w:rsidR="00E42B18" w:rsidRDefault="009629C4">
            <w:pPr>
              <w:pStyle w:val="P68B1DB1-Normal11"/>
              <w:spacing w:before="120" w:after="120"/>
              <w:rPr>
                <w:noProof/>
                <w:szCs w:val="20"/>
              </w:rPr>
            </w:pPr>
            <w:r>
              <w:rPr>
                <w:noProof/>
              </w:rPr>
              <w:t>Kilpailusääntöjen soveltamisen valvonta:</w:t>
            </w:r>
          </w:p>
          <w:p w14:paraId="70A3FBE2" w14:textId="77777777" w:rsidR="00E42B18" w:rsidRDefault="009629C4">
            <w:pPr>
              <w:pStyle w:val="P68B1DB1-Normal11"/>
              <w:spacing w:before="120" w:after="120"/>
              <w:rPr>
                <w:noProof/>
                <w:szCs w:val="20"/>
              </w:rPr>
            </w:pPr>
            <w:r>
              <w:rPr>
                <w:noProof/>
              </w:rPr>
              <w:t>I. poistaa sulautumien valvontaa koskevat lisäesteet yhdenmukaistamalla edelleen yrityskeskittymien valvontaa koskevat Italian säännöt EU:n lainsäädännön kanssa.</w:t>
            </w:r>
          </w:p>
          <w:p w14:paraId="5E02F76C" w14:textId="77777777" w:rsidR="00E42B18" w:rsidRDefault="009629C4">
            <w:pPr>
              <w:pStyle w:val="P68B1DB1-Normal11"/>
              <w:spacing w:before="120" w:after="120"/>
              <w:rPr>
                <w:noProof/>
                <w:szCs w:val="20"/>
              </w:rPr>
            </w:pPr>
            <w:r>
              <w:rPr>
                <w:noProof/>
              </w:rPr>
              <w:t>Paikalliset julkiset palvelut:</w:t>
            </w:r>
          </w:p>
          <w:p w14:paraId="32DAE0D9" w14:textId="77777777" w:rsidR="00E42B18" w:rsidRDefault="009629C4">
            <w:pPr>
              <w:pStyle w:val="P68B1DB1-Normal11"/>
              <w:spacing w:before="120" w:after="120"/>
              <w:rPr>
                <w:noProof/>
                <w:szCs w:val="20"/>
              </w:rPr>
            </w:pPr>
            <w:r>
              <w:rPr>
                <w:noProof/>
              </w:rPr>
              <w:t>II. Vahvistetaan ja hyödynnetään laajemmin kilpailun periaatetta paikallisissa julkisissa palveluhankinnoissa, erityisesti jätehuollossa ja paikallisessa julkisessa liikenteessä.</w:t>
            </w:r>
          </w:p>
          <w:p w14:paraId="11F0ACEB" w14:textId="77777777" w:rsidR="00E42B18" w:rsidRDefault="009629C4">
            <w:pPr>
              <w:pStyle w:val="P68B1DB1-Normal11"/>
              <w:spacing w:before="120" w:after="120"/>
              <w:rPr>
                <w:noProof/>
                <w:szCs w:val="20"/>
              </w:rPr>
            </w:pPr>
            <w:r>
              <w:rPr>
                <w:noProof/>
              </w:rPr>
              <w:t>III. Rajoitetaan suorahankintoja vaatimalla paikallisviranomaisia perustelemaan mahdollinen poikkeaminen julkisia palveluhankintoja koskevista sopimuksista (julkisia hankintoja koskevan koodeksin 192 §:n mukaisesti).</w:t>
            </w:r>
          </w:p>
          <w:p w14:paraId="59265CCE" w14:textId="77777777" w:rsidR="00E42B18" w:rsidRDefault="009629C4">
            <w:pPr>
              <w:pStyle w:val="P68B1DB1-Normal11"/>
              <w:spacing w:before="120" w:after="120"/>
              <w:rPr>
                <w:noProof/>
                <w:szCs w:val="20"/>
              </w:rPr>
            </w:pPr>
            <w:r>
              <w:rPr>
                <w:noProof/>
              </w:rPr>
              <w:t>IV. Säädetään julkisia palveluhankintoja koskevien sopimusten asianmukaisesta sääntelystä panemalla lain 124/2015 19 § täytäntöön yhtenä tekstinä paikallisista julkisista palveluista, erityisesti jätehuollosta.</w:t>
            </w:r>
          </w:p>
          <w:p w14:paraId="2FC335D6" w14:textId="42C650A7" w:rsidR="00E42B18" w:rsidRDefault="009629C4">
            <w:pPr>
              <w:pStyle w:val="P68B1DB1-Normal21"/>
              <w:spacing w:before="120" w:after="120"/>
              <w:rPr>
                <w:rFonts w:ascii="Arial Narrow" w:hAnsi="Arial Narrow"/>
                <w:noProof/>
                <w:szCs w:val="20"/>
              </w:rPr>
            </w:pPr>
            <w:r>
              <w:rPr>
                <w:rFonts w:ascii="Arial Narrow" w:hAnsi="Arial Narrow"/>
                <w:noProof/>
              </w:rPr>
              <w:t>v. Säännöt ja aggregointimekanismit kannustavat kuntaliittoja vähentämään yksikköjen ja hankintaviranomaisten määrää yhdistämällä ne ihanteellisiin alueellisiin yhteenliittymiin (”ambiti territoriali ottimali”) sekä vähintään</w:t>
            </w:r>
            <w:r>
              <w:rPr>
                <w:rFonts w:ascii="Arial Narrow"/>
                <w:noProof/>
              </w:rPr>
              <w:t xml:space="preserve"> 350000 asukkaan paikallisten ja alueellisten julkisten liikennepalvelujen (bacini e livelli adeguati di servizi di trasporto pubblico locale e regionale) alueisiin ja riitt</w:t>
            </w:r>
            <w:r>
              <w:rPr>
                <w:rFonts w:ascii="Arial Narrow"/>
                <w:noProof/>
              </w:rPr>
              <w:t>ä</w:t>
            </w:r>
            <w:r>
              <w:rPr>
                <w:rFonts w:ascii="Arial Narrow"/>
                <w:noProof/>
              </w:rPr>
              <w:t>viin tasoihin.</w:t>
            </w:r>
          </w:p>
          <w:p w14:paraId="6EF514E7" w14:textId="77777777" w:rsidR="00E42B18" w:rsidRDefault="009629C4">
            <w:pPr>
              <w:pStyle w:val="P68B1DB1-Normal11"/>
              <w:spacing w:before="120" w:after="120"/>
              <w:rPr>
                <w:noProof/>
                <w:szCs w:val="20"/>
              </w:rPr>
            </w:pPr>
            <w:r>
              <w:rPr>
                <w:noProof/>
              </w:rPr>
              <w:t>Paikallisia julkisia palveluja koskevassa säädöksessä, jolla pannaan täytäntöön lain 124/2015 19 §, on vähintään</w:t>
            </w:r>
          </w:p>
          <w:p w14:paraId="4B2FCAAB" w14:textId="77777777" w:rsidR="00E42B18" w:rsidRDefault="009629C4">
            <w:pPr>
              <w:pStyle w:val="P68B1DB1-Normal11"/>
              <w:spacing w:before="120" w:after="120"/>
              <w:rPr>
                <w:noProof/>
                <w:szCs w:val="20"/>
              </w:rPr>
            </w:pPr>
            <w:r>
              <w:rPr>
                <w:noProof/>
              </w:rPr>
              <w:t>— määritellään julkiset palvelut EU:n lainsäädännön kriteerien perusteella;</w:t>
            </w:r>
          </w:p>
          <w:p w14:paraId="037ED991" w14:textId="77777777" w:rsidR="00E42B18" w:rsidRDefault="009629C4">
            <w:pPr>
              <w:pStyle w:val="P68B1DB1-Normal11"/>
              <w:spacing w:before="120" w:after="120"/>
              <w:rPr>
                <w:noProof/>
                <w:szCs w:val="20"/>
              </w:rPr>
            </w:pPr>
            <w:r>
              <w:rPr>
                <w:noProof/>
              </w:rPr>
              <w:t>— säädetään paikallisten julkisten palvelujen tarjoamista, sääntelyä ja hallinnointia koskevista yleisistä periaatteista;</w:t>
            </w:r>
          </w:p>
          <w:p w14:paraId="346D422E" w14:textId="77777777" w:rsidR="00E42B18" w:rsidRDefault="009629C4">
            <w:pPr>
              <w:pStyle w:val="P68B1DB1-Normal11"/>
              <w:spacing w:before="120" w:after="120"/>
              <w:rPr>
                <w:noProof/>
                <w:szCs w:val="20"/>
              </w:rPr>
            </w:pPr>
            <w:r>
              <w:rPr>
                <w:noProof/>
              </w:rPr>
              <w:t>— vahvistetaan yleinen suhteellisuusperiaate julkisia palveluhankintoja koskevien sopimusten keston osalta;</w:t>
            </w:r>
          </w:p>
          <w:p w14:paraId="5E90A285" w14:textId="77777777" w:rsidR="00E42B18" w:rsidRDefault="009629C4">
            <w:pPr>
              <w:pStyle w:val="P68B1DB1-Normal11"/>
              <w:spacing w:before="120" w:after="120"/>
              <w:rPr>
                <w:noProof/>
                <w:szCs w:val="20"/>
              </w:rPr>
            </w:pPr>
            <w:r>
              <w:rPr>
                <w:noProof/>
              </w:rPr>
              <w:t>— erotetaan selvästi toisistaan julkisia palveluhankintoja koskevien sopimusten sääntely-, valvonta- ja hallinnointitehtävät;</w:t>
            </w:r>
          </w:p>
          <w:p w14:paraId="6DB7B0EA" w14:textId="77777777" w:rsidR="00E42B18" w:rsidRDefault="009629C4">
            <w:pPr>
              <w:pStyle w:val="P68B1DB1-Normal11"/>
              <w:spacing w:before="120" w:after="120"/>
              <w:rPr>
                <w:noProof/>
                <w:szCs w:val="20"/>
              </w:rPr>
            </w:pPr>
            <w:r>
              <w:rPr>
                <w:noProof/>
              </w:rPr>
              <w:t>— varmistettava, että paikallisviranomaiset perustelevat osakasyritysten osuuden lisäämisen in house -palkintojen yhteydessä;</w:t>
            </w:r>
          </w:p>
          <w:p w14:paraId="3B0AF0BA" w14:textId="77777777" w:rsidR="00E42B18" w:rsidRDefault="009629C4">
            <w:pPr>
              <w:pStyle w:val="P68B1DB1-Normal11"/>
              <w:spacing w:before="120" w:after="120"/>
              <w:rPr>
                <w:noProof/>
                <w:szCs w:val="20"/>
              </w:rPr>
            </w:pPr>
            <w:r>
              <w:rPr>
                <w:noProof/>
              </w:rPr>
              <w:t>— huolehditaan siitä, että julkisia palveluhankintoja koskevista sopimuksista maksetaan asianmukainen korvaus, joka perustuu riippumattomien sääntelyviranomaisten (esim. ARERA energia-alan tai liikenteen ART) valvomiin kustannuksiin;</w:t>
            </w:r>
          </w:p>
          <w:p w14:paraId="2DC1E2D1" w14:textId="77777777" w:rsidR="00E42B18" w:rsidRDefault="009629C4">
            <w:pPr>
              <w:pStyle w:val="P68B1DB1-Normal11"/>
              <w:spacing w:before="120" w:after="120"/>
              <w:rPr>
                <w:noProof/>
                <w:szCs w:val="20"/>
              </w:rPr>
            </w:pPr>
            <w:r>
              <w:rPr>
                <w:noProof/>
              </w:rPr>
              <w:t>— rajoittaa sisäisten hankintasopimusten keskimääräistä kestoa ja lyhentää ja yhdenmukaistaa tarjouskilpailun kohteena olevien sopimusten vakiopituutta kaikissa tarjouskilpailuyksiköissä edellyttäen, että kestolla varmistetaan sopimusten taloudellinen ja rahoituksellinen tasapaino, myös liikenneviraston vahvistamien kriteerien perusteella.</w:t>
            </w:r>
          </w:p>
          <w:p w14:paraId="02273E33" w14:textId="77777777" w:rsidR="00E42B18" w:rsidRDefault="009629C4">
            <w:pPr>
              <w:pStyle w:val="P68B1DB1-Normal11"/>
              <w:spacing w:before="120" w:after="120"/>
              <w:rPr>
                <w:noProof/>
                <w:szCs w:val="20"/>
              </w:rPr>
            </w:pPr>
            <w:r>
              <w:rPr>
                <w:noProof/>
              </w:rPr>
              <w:t>Energiakysymykset</w:t>
            </w:r>
          </w:p>
          <w:p w14:paraId="3689EEF0" w14:textId="77777777" w:rsidR="00E42B18" w:rsidRDefault="009629C4">
            <w:pPr>
              <w:pStyle w:val="P68B1DB1-Normal30"/>
              <w:spacing w:before="120" w:after="120"/>
              <w:rPr>
                <w:noProof/>
                <w:color w:val="006100"/>
                <w:sz w:val="20"/>
                <w:szCs w:val="20"/>
              </w:rPr>
            </w:pPr>
            <w:r>
              <w:rPr>
                <w:noProof/>
                <w:color w:val="006100"/>
                <w:sz w:val="20"/>
              </w:rPr>
              <w:t>VI.</w:t>
            </w:r>
            <w:r>
              <w:rPr>
                <w:noProof/>
              </w:rPr>
              <w:t xml:space="preserve"> </w:t>
            </w:r>
            <w:r>
              <w:rPr>
                <w:noProof/>
                <w:color w:val="006100"/>
                <w:sz w:val="20"/>
              </w:rPr>
              <w:t>Tehdään vesivoimaa koskevien käyttöoikeussopimusten tekeminen pakolliseksi ja määritellään vesivoimakonsessioita koskeva sääntelykehys.</w:t>
            </w:r>
          </w:p>
          <w:p w14:paraId="64A040CF" w14:textId="77777777" w:rsidR="00E42B18" w:rsidRDefault="009629C4">
            <w:pPr>
              <w:pStyle w:val="P68B1DB1-Normal30"/>
              <w:spacing w:before="120" w:after="120"/>
              <w:rPr>
                <w:noProof/>
                <w:color w:val="006100"/>
                <w:sz w:val="20"/>
                <w:szCs w:val="20"/>
              </w:rPr>
            </w:pPr>
            <w:r>
              <w:rPr>
                <w:noProof/>
                <w:color w:val="006100"/>
                <w:sz w:val="20"/>
              </w:rPr>
              <w:t>VII.</w:t>
            </w:r>
            <w:r>
              <w:rPr>
                <w:noProof/>
              </w:rPr>
              <w:t xml:space="preserve"> </w:t>
            </w:r>
            <w:r>
              <w:rPr>
                <w:noProof/>
                <w:color w:val="006100"/>
                <w:sz w:val="20"/>
              </w:rPr>
              <w:t>Tehdään kaasun jakelua koskevien käyttöoikeussopimusten tekeminen pakolliseksi.</w:t>
            </w:r>
          </w:p>
          <w:p w14:paraId="72E32AF3" w14:textId="77777777" w:rsidR="00E42B18" w:rsidRDefault="009629C4">
            <w:pPr>
              <w:pStyle w:val="P68B1DB1-Normal30"/>
              <w:spacing w:before="120" w:after="120"/>
              <w:rPr>
                <w:noProof/>
                <w:color w:val="006100"/>
                <w:sz w:val="20"/>
                <w:szCs w:val="20"/>
              </w:rPr>
            </w:pPr>
            <w:r>
              <w:rPr>
                <w:noProof/>
                <w:color w:val="006100"/>
                <w:sz w:val="20"/>
              </w:rPr>
              <w:t>VIII.</w:t>
            </w:r>
            <w:r>
              <w:rPr>
                <w:noProof/>
              </w:rPr>
              <w:t xml:space="preserve"> </w:t>
            </w:r>
            <w:r>
              <w:rPr>
                <w:noProof/>
                <w:color w:val="006100"/>
                <w:sz w:val="20"/>
              </w:rPr>
              <w:t>Vahvistettava avoimet ja syrjimättömät vaatimukset, jotka koskevat julkisten tilojen osoittamista sähkölatausta varten tai latauspisteiden tai -asemien ylläpitäjien valintaa.</w:t>
            </w:r>
          </w:p>
          <w:p w14:paraId="0FF39FBF" w14:textId="77777777" w:rsidR="00E42B18" w:rsidRDefault="009629C4">
            <w:pPr>
              <w:pStyle w:val="P68B1DB1-Normal30"/>
              <w:spacing w:before="120" w:after="120"/>
              <w:rPr>
                <w:noProof/>
                <w:color w:val="006100"/>
                <w:sz w:val="20"/>
                <w:szCs w:val="20"/>
              </w:rPr>
            </w:pPr>
            <w:r>
              <w:rPr>
                <w:noProof/>
                <w:color w:val="006100"/>
                <w:sz w:val="20"/>
              </w:rPr>
              <w:t>IX.</w:t>
            </w:r>
            <w:r>
              <w:rPr>
                <w:noProof/>
              </w:rPr>
              <w:t xml:space="preserve"> </w:t>
            </w:r>
            <w:r>
              <w:rPr>
                <w:noProof/>
                <w:color w:val="006100"/>
                <w:sz w:val="20"/>
              </w:rPr>
              <w:t>Poistetaan sähkökäyttöisten ajoneuvojen latausta koskevat säännellyt sähkönjakelutariffit.</w:t>
            </w:r>
          </w:p>
          <w:p w14:paraId="1044126B" w14:textId="77777777" w:rsidR="00E42B18" w:rsidRDefault="009629C4">
            <w:pPr>
              <w:pStyle w:val="P68B1DB1-Normal11"/>
              <w:spacing w:before="120" w:after="120"/>
              <w:rPr>
                <w:noProof/>
                <w:szCs w:val="20"/>
              </w:rPr>
            </w:pPr>
            <w:r>
              <w:rPr>
                <w:noProof/>
              </w:rPr>
              <w:t>Vesivoimaa koskevien käyttöoikeussopimusten kilpailukehyksen on vähintään</w:t>
            </w:r>
          </w:p>
          <w:p w14:paraId="1E8356E9" w14:textId="77777777" w:rsidR="00E42B18" w:rsidRDefault="009629C4">
            <w:pPr>
              <w:pStyle w:val="P68B1DB1-Normal30"/>
              <w:spacing w:before="120" w:after="120"/>
              <w:rPr>
                <w:noProof/>
                <w:color w:val="006100"/>
                <w:sz w:val="20"/>
                <w:szCs w:val="20"/>
              </w:rPr>
            </w:pPr>
            <w:r>
              <w:rPr>
                <w:noProof/>
                <w:color w:val="006100"/>
                <w:sz w:val="20"/>
              </w:rPr>
              <w:t>—</w:t>
            </w:r>
            <w:r>
              <w:rPr>
                <w:noProof/>
              </w:rPr>
              <w:t xml:space="preserve"> </w:t>
            </w:r>
            <w:r>
              <w:rPr>
                <w:noProof/>
                <w:color w:val="006100"/>
                <w:sz w:val="20"/>
              </w:rPr>
              <w:t>Vaaditaan, että tärkeitä vesivoimalaitoksia säännellään yleisin ja yhdenmukaisin kriteerein keskustasolla.</w:t>
            </w:r>
          </w:p>
          <w:p w14:paraId="2FA9D96D" w14:textId="77777777" w:rsidR="00E42B18" w:rsidRDefault="009629C4">
            <w:pPr>
              <w:pStyle w:val="P68B1DB1-Normal30"/>
              <w:spacing w:before="120" w:after="120"/>
              <w:rPr>
                <w:noProof/>
                <w:color w:val="006100"/>
                <w:sz w:val="20"/>
                <w:szCs w:val="20"/>
              </w:rPr>
            </w:pPr>
            <w:r>
              <w:rPr>
                <w:noProof/>
                <w:color w:val="006100"/>
                <w:sz w:val="20"/>
              </w:rPr>
              <w:t>—</w:t>
            </w:r>
            <w:r>
              <w:rPr>
                <w:noProof/>
              </w:rPr>
              <w:t xml:space="preserve"> </w:t>
            </w:r>
            <w:r>
              <w:rPr>
                <w:noProof/>
                <w:color w:val="006100"/>
                <w:sz w:val="20"/>
              </w:rPr>
              <w:t>Edellytetään, että alueet määrittelevät taloudelliset perusteet, joihin käyttöoikeussopimusten kesto perustuu.</w:t>
            </w:r>
          </w:p>
          <w:p w14:paraId="2206E797" w14:textId="77777777" w:rsidR="00E42B18" w:rsidRDefault="009629C4">
            <w:pPr>
              <w:pStyle w:val="P68B1DB1-Normal11"/>
              <w:spacing w:before="120" w:after="120"/>
              <w:rPr>
                <w:noProof/>
                <w:szCs w:val="20"/>
              </w:rPr>
            </w:pPr>
            <w:r>
              <w:rPr>
                <w:noProof/>
              </w:rPr>
              <w:t>—Poistetaan asteittain mahdollisuus jatkaa sopimuksia (kuten Italian perustuslakituomioistuin on jo todennut).</w:t>
            </w:r>
          </w:p>
          <w:p w14:paraId="7DEF6025" w14:textId="77777777" w:rsidR="00E42B18" w:rsidRDefault="009629C4">
            <w:pPr>
              <w:pStyle w:val="P68B1DB1-Normal30"/>
              <w:spacing w:before="120" w:after="120"/>
              <w:rPr>
                <w:noProof/>
                <w:color w:val="006100"/>
                <w:sz w:val="20"/>
                <w:szCs w:val="20"/>
              </w:rPr>
            </w:pPr>
            <w:r>
              <w:rPr>
                <w:noProof/>
                <w:color w:val="006100"/>
                <w:sz w:val="20"/>
              </w:rPr>
              <w:t>—</w:t>
            </w:r>
            <w:r>
              <w:rPr>
                <w:noProof/>
              </w:rPr>
              <w:t xml:space="preserve"> </w:t>
            </w:r>
            <w:r>
              <w:rPr>
                <w:noProof/>
                <w:color w:val="006100"/>
                <w:sz w:val="20"/>
              </w:rPr>
              <w:t>Edellytetään, että alueet yhdenmukaistavat tarjouskilpailukriteereihin pääsyä koskevat kriteerit (todennäköisen liiketoimintaympäristön luomiseksi).</w:t>
            </w:r>
          </w:p>
          <w:p w14:paraId="634878E7" w14:textId="77777777" w:rsidR="00E42B18" w:rsidRDefault="009629C4">
            <w:pPr>
              <w:pStyle w:val="P68B1DB1-Normal11"/>
              <w:spacing w:before="120" w:after="120"/>
              <w:rPr>
                <w:noProof/>
                <w:szCs w:val="20"/>
              </w:rPr>
            </w:pPr>
            <w:r>
              <w:rPr>
                <w:noProof/>
              </w:rPr>
              <w:t>Liikenne:</w:t>
            </w:r>
          </w:p>
          <w:p w14:paraId="6E5333B8" w14:textId="77777777" w:rsidR="00E42B18" w:rsidRDefault="009629C4">
            <w:pPr>
              <w:pStyle w:val="P68B1DB1-Normal30"/>
              <w:spacing w:before="120" w:after="120"/>
              <w:rPr>
                <w:noProof/>
                <w:color w:val="006100"/>
                <w:sz w:val="20"/>
                <w:szCs w:val="20"/>
              </w:rPr>
            </w:pPr>
            <w:r>
              <w:rPr>
                <w:noProof/>
                <w:color w:val="006100"/>
                <w:sz w:val="20"/>
              </w:rPr>
              <w:t>X. On vahvistettava selkeät, syrjimättömät ja avoimet perusteet satamatoimilupien myöntämiselle.</w:t>
            </w:r>
          </w:p>
          <w:p w14:paraId="08F41913" w14:textId="77777777" w:rsidR="00E42B18" w:rsidRDefault="009629C4">
            <w:pPr>
              <w:pStyle w:val="P68B1DB1-Normal30"/>
              <w:spacing w:before="120" w:after="120"/>
              <w:rPr>
                <w:noProof/>
                <w:color w:val="006100"/>
                <w:sz w:val="20"/>
                <w:szCs w:val="20"/>
              </w:rPr>
            </w:pPr>
            <w:r>
              <w:rPr>
                <w:noProof/>
                <w:color w:val="006100"/>
                <w:sz w:val="20"/>
              </w:rPr>
              <w:t>XI.</w:t>
            </w:r>
            <w:r>
              <w:rPr>
                <w:noProof/>
              </w:rPr>
              <w:t xml:space="preserve"> </w:t>
            </w:r>
            <w:r>
              <w:rPr>
                <w:noProof/>
                <w:color w:val="006100"/>
                <w:sz w:val="20"/>
              </w:rPr>
              <w:t>Poistetaan satamatoimiluvan haltijoiden esteet satamatoimilupien yhdistämisessä useisiin suuriin ja keskisuuriin satamiin.</w:t>
            </w:r>
          </w:p>
          <w:p w14:paraId="1772B1DD" w14:textId="77777777" w:rsidR="00E42B18" w:rsidRDefault="009629C4">
            <w:pPr>
              <w:pStyle w:val="P68B1DB1-Normal30"/>
              <w:spacing w:before="120" w:after="120"/>
              <w:rPr>
                <w:noProof/>
                <w:color w:val="006100"/>
                <w:sz w:val="20"/>
                <w:szCs w:val="20"/>
              </w:rPr>
            </w:pPr>
            <w:r>
              <w:rPr>
                <w:noProof/>
                <w:color w:val="006100"/>
                <w:sz w:val="20"/>
              </w:rPr>
              <w:t>XII.</w:t>
            </w:r>
            <w:r>
              <w:rPr>
                <w:noProof/>
              </w:rPr>
              <w:t xml:space="preserve"> </w:t>
            </w:r>
            <w:r>
              <w:rPr>
                <w:noProof/>
                <w:color w:val="006100"/>
                <w:sz w:val="20"/>
              </w:rPr>
              <w:t>Poistettava esteet, jotka estävät toimiluvan haltijoita tarjoamasta itse joitakin satamapalveluja ja käyttämästä omia laitteitaan, sanotun kuitenkaan rajoittamatta työntekijöiden turvallisuutta, edellyttäen, että työntekijöiden turvallisuuden suojelemiseksi tarvittavat ehdot ovat välttämättömiä ja oikeasuhteisia satama-alueiden turvallisuuden varmistamista koskevaan tavoitteeseen nähden.</w:t>
            </w:r>
          </w:p>
          <w:p w14:paraId="261E3B76" w14:textId="77777777" w:rsidR="00E42B18" w:rsidRDefault="009629C4">
            <w:pPr>
              <w:pStyle w:val="P68B1DB1-Normal30"/>
              <w:spacing w:before="120" w:after="120"/>
              <w:rPr>
                <w:noProof/>
                <w:color w:val="006100"/>
                <w:sz w:val="20"/>
                <w:szCs w:val="20"/>
              </w:rPr>
            </w:pPr>
            <w:r>
              <w:rPr>
                <w:noProof/>
                <w:color w:val="006100"/>
                <w:sz w:val="20"/>
              </w:rPr>
              <w:t>XIII.</w:t>
            </w:r>
            <w:r>
              <w:rPr>
                <w:noProof/>
              </w:rPr>
              <w:t xml:space="preserve"> </w:t>
            </w:r>
            <w:r>
              <w:rPr>
                <w:noProof/>
                <w:color w:val="006100"/>
                <w:sz w:val="20"/>
              </w:rPr>
              <w:t>Yksinkertaistetaan satamien lupasuunnitelmien tarkistamismenettelyjen tarkistamista.</w:t>
            </w:r>
          </w:p>
          <w:p w14:paraId="70DBDEFA" w14:textId="77777777" w:rsidR="00E42B18" w:rsidRDefault="009629C4">
            <w:pPr>
              <w:pStyle w:val="P68B1DB1-Normal30"/>
              <w:spacing w:before="120" w:after="120"/>
              <w:rPr>
                <w:noProof/>
                <w:color w:val="006100"/>
                <w:sz w:val="20"/>
                <w:szCs w:val="20"/>
              </w:rPr>
            </w:pPr>
            <w:r>
              <w:rPr>
                <w:noProof/>
                <w:color w:val="006100"/>
                <w:sz w:val="20"/>
              </w:rPr>
              <w:t>XIV.</w:t>
            </w:r>
            <w:r>
              <w:rPr>
                <w:noProof/>
              </w:rPr>
              <w:t xml:space="preserve"> </w:t>
            </w:r>
            <w:r>
              <w:rPr>
                <w:noProof/>
                <w:color w:val="006100"/>
                <w:sz w:val="20"/>
              </w:rPr>
              <w:t>Pannaan täytäntöön asetuksen 50/2017 27 §:n 2 momentin d kohta, jossa kannustetaan alueita kilpailuttamaan alueellisia rautatiesopimuksiaan.</w:t>
            </w:r>
          </w:p>
          <w:p w14:paraId="3E06171B" w14:textId="77777777" w:rsidR="00E42B18" w:rsidRDefault="009629C4">
            <w:pPr>
              <w:pStyle w:val="P68B1DB1-Normal11"/>
              <w:spacing w:before="120" w:after="120"/>
              <w:rPr>
                <w:noProof/>
                <w:szCs w:val="20"/>
              </w:rPr>
            </w:pPr>
            <w:r>
              <w:rPr>
                <w:noProof/>
              </w:rPr>
              <w:t>Jätteet:</w:t>
            </w:r>
          </w:p>
          <w:p w14:paraId="0AB12B12" w14:textId="77777777" w:rsidR="00E42B18" w:rsidRDefault="009629C4">
            <w:pPr>
              <w:pStyle w:val="P68B1DB1-Normal30"/>
              <w:spacing w:before="120" w:after="120"/>
              <w:rPr>
                <w:noProof/>
                <w:color w:val="006100"/>
                <w:sz w:val="20"/>
                <w:szCs w:val="20"/>
              </w:rPr>
            </w:pPr>
            <w:r>
              <w:rPr>
                <w:noProof/>
                <w:color w:val="006100"/>
                <w:sz w:val="20"/>
              </w:rPr>
              <w:t>XV.</w:t>
            </w:r>
            <w:r>
              <w:rPr>
                <w:noProof/>
              </w:rPr>
              <w:t xml:space="preserve"> </w:t>
            </w:r>
            <w:r>
              <w:rPr>
                <w:noProof/>
                <w:color w:val="006100"/>
                <w:sz w:val="20"/>
              </w:rPr>
              <w:t>Yksinkertaistetaan jätteenkäsittelylaitosten lupamenettelyjä.</w:t>
            </w:r>
          </w:p>
          <w:p w14:paraId="49CE1739" w14:textId="77777777" w:rsidR="00E42B18" w:rsidRDefault="009629C4">
            <w:pPr>
              <w:pStyle w:val="P68B1DB1-Normal11"/>
              <w:spacing w:before="120" w:after="120"/>
              <w:rPr>
                <w:noProof/>
                <w:szCs w:val="20"/>
              </w:rPr>
            </w:pPr>
            <w:r>
              <w:rPr>
                <w:noProof/>
              </w:rPr>
              <w:t>Yrityksen perustaminen:</w:t>
            </w:r>
          </w:p>
          <w:p w14:paraId="025DBCB4" w14:textId="77777777" w:rsidR="00E42B18" w:rsidRDefault="009629C4">
            <w:pPr>
              <w:pStyle w:val="P68B1DB1-Normal30"/>
              <w:spacing w:before="120" w:after="120"/>
              <w:rPr>
                <w:noProof/>
                <w:color w:val="006100"/>
                <w:sz w:val="20"/>
                <w:szCs w:val="20"/>
              </w:rPr>
            </w:pPr>
            <w:r>
              <w:rPr>
                <w:noProof/>
                <w:color w:val="006100"/>
                <w:sz w:val="20"/>
              </w:rPr>
              <w:t>XVI.</w:t>
            </w:r>
            <w:r>
              <w:rPr>
                <w:noProof/>
              </w:rPr>
              <w:t xml:space="preserve"> </w:t>
            </w:r>
            <w:r>
              <w:rPr>
                <w:noProof/>
                <w:color w:val="006100"/>
                <w:sz w:val="20"/>
              </w:rPr>
              <w:t>Lyhennetään työntekijöitä koskevien tietojen antamiseen tarvittavaa akkreditointiaikaa seitsemästä päivästä neljään päivään, jotta yrityksen perustamispäiviä voidaan lyhentää.</w:t>
            </w:r>
          </w:p>
          <w:p w14:paraId="611CF472" w14:textId="77777777" w:rsidR="00E42B18" w:rsidRDefault="009629C4">
            <w:pPr>
              <w:pStyle w:val="P68B1DB1-Normal11"/>
              <w:spacing w:before="120" w:after="120"/>
              <w:rPr>
                <w:noProof/>
                <w:szCs w:val="20"/>
              </w:rPr>
            </w:pPr>
            <w:r>
              <w:rPr>
                <w:noProof/>
              </w:rPr>
              <w:t>Markkinavalvonta:</w:t>
            </w:r>
          </w:p>
          <w:p w14:paraId="2EDA95F4" w14:textId="77777777" w:rsidR="00E42B18" w:rsidRDefault="009629C4">
            <w:pPr>
              <w:pStyle w:val="P68B1DB1-Normal30"/>
              <w:spacing w:before="120" w:after="120"/>
              <w:rPr>
                <w:noProof/>
                <w:color w:val="006100"/>
                <w:sz w:val="20"/>
                <w:szCs w:val="20"/>
              </w:rPr>
            </w:pPr>
            <w:r>
              <w:rPr>
                <w:noProof/>
                <w:color w:val="006100"/>
                <w:sz w:val="20"/>
              </w:rPr>
              <w:t>XVII.</w:t>
            </w:r>
            <w:r>
              <w:rPr>
                <w:noProof/>
              </w:rPr>
              <w:t xml:space="preserve"> </w:t>
            </w:r>
            <w:r>
              <w:rPr>
                <w:noProof/>
                <w:color w:val="006100"/>
                <w:sz w:val="20"/>
              </w:rPr>
              <w:t>Kansallisten markkinavalvontaviranomaisten lujittaminen enintään kymmeneen Italian tärkeimmillä alueilla sijaitsevaan virastoon, joista kukin kattaa kaikki tuoteryhmät ja raportoi asetuksen 2019/1020 (”tavarapaketti”) mukaisesti perustetulle keskitetylle yhteyshenkilölle.</w:t>
            </w:r>
          </w:p>
          <w:p w14:paraId="12B788A3" w14:textId="77777777" w:rsidR="00E42B18" w:rsidRDefault="009629C4">
            <w:pPr>
              <w:pStyle w:val="P68B1DB1-Normal30"/>
              <w:spacing w:before="120" w:after="120"/>
              <w:rPr>
                <w:noProof/>
                <w:color w:val="006100"/>
                <w:sz w:val="20"/>
                <w:szCs w:val="20"/>
              </w:rPr>
            </w:pPr>
            <w:r>
              <w:rPr>
                <w:noProof/>
                <w:color w:val="006100"/>
                <w:sz w:val="20"/>
              </w:rPr>
              <w:t>XVIII.</w:t>
            </w:r>
            <w:r>
              <w:rPr>
                <w:noProof/>
              </w:rPr>
              <w:t xml:space="preserve"> </w:t>
            </w:r>
            <w:r>
              <w:rPr>
                <w:noProof/>
                <w:color w:val="006100"/>
                <w:sz w:val="20"/>
              </w:rPr>
              <w:t>Edellytetään, että kansalliset markkinavalvontaviranomaiset suorittavat digitaalisia tuotetarkastuksia ja tiedonkeruuta, soveltavat tekoälyä vaarallisten ja laittomien tuotteiden jäljittämiseen ja tunnistavat suuntauksia ja riskejä sisämarkkinoilla.</w:t>
            </w:r>
          </w:p>
          <w:p w14:paraId="26018446" w14:textId="77777777" w:rsidR="00E42B18" w:rsidRDefault="009629C4">
            <w:pPr>
              <w:pStyle w:val="P68B1DB1-Normal30"/>
              <w:spacing w:before="120" w:after="120"/>
              <w:rPr>
                <w:noProof/>
                <w:color w:val="006100"/>
                <w:sz w:val="20"/>
                <w:szCs w:val="20"/>
              </w:rPr>
            </w:pPr>
            <w:r>
              <w:rPr>
                <w:noProof/>
                <w:color w:val="006100"/>
                <w:sz w:val="20"/>
              </w:rPr>
              <w:t>XIX.</w:t>
            </w:r>
            <w:r>
              <w:rPr>
                <w:noProof/>
              </w:rPr>
              <w:t xml:space="preserve"> </w:t>
            </w:r>
            <w:r>
              <w:rPr>
                <w:noProof/>
                <w:color w:val="006100"/>
                <w:sz w:val="20"/>
              </w:rPr>
              <w:t>Vaatia kansallisia markkinavalvontaviranomaisia sisällyttämään koulutukseen ja tieto- ja viestintäjärjestelmän käyttöön yleiseurooppalaista markkinavalvontaa varten.</w:t>
            </w:r>
          </w:p>
          <w:p w14:paraId="233C279B" w14:textId="77777777" w:rsidR="00E42B18" w:rsidRDefault="009629C4">
            <w:pPr>
              <w:pStyle w:val="P68B1DB1-Normal30"/>
              <w:spacing w:before="120" w:after="120"/>
              <w:rPr>
                <w:noProof/>
                <w:color w:val="006100"/>
                <w:sz w:val="20"/>
                <w:szCs w:val="20"/>
              </w:rPr>
            </w:pPr>
            <w:r>
              <w:rPr>
                <w:noProof/>
                <w:color w:val="006100"/>
                <w:sz w:val="20"/>
              </w:rPr>
              <w:t>XX.</w:t>
            </w:r>
            <w:r>
              <w:rPr>
                <w:noProof/>
              </w:rPr>
              <w:t xml:space="preserve"> </w:t>
            </w:r>
            <w:r>
              <w:rPr>
                <w:noProof/>
                <w:color w:val="006100"/>
                <w:sz w:val="20"/>
              </w:rPr>
              <w:t>Perustetaan uusia akkreditoituja laboratorioita kaikkien tuoteryhmien tuotetestausta varten. Näiden laboratorioiden on testattava sähköistä kaupankäyntiä, fyysisiä laboratoriotestejä ja yhteisiä toimia (tulli- ja markkinavalvontaviranomaiset; vähintään kaksi kansallista markkinavalvontaviranomaista, kansalliset ja EU:n markkinavalvontaviranomaiset).</w:t>
            </w:r>
          </w:p>
        </w:tc>
      </w:tr>
      <w:tr w:rsidR="00E42B18" w14:paraId="771C2914"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7A4BB317" w14:textId="77777777" w:rsidR="00E42B18" w:rsidRDefault="009629C4">
            <w:pPr>
              <w:pStyle w:val="P68B1DB1-Normal11"/>
              <w:spacing w:before="120" w:after="120"/>
              <w:jc w:val="center"/>
              <w:rPr>
                <w:noProof/>
                <w:szCs w:val="20"/>
              </w:rPr>
            </w:pPr>
            <w:r>
              <w:rPr>
                <w:noProof/>
              </w:rPr>
              <w:t>M1C2–7</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45227B6E" w14:textId="77777777" w:rsidR="00E42B18" w:rsidRDefault="009629C4">
            <w:pPr>
              <w:pStyle w:val="P68B1DB1-Normal11"/>
              <w:spacing w:before="120" w:after="120"/>
              <w:jc w:val="center"/>
              <w:rPr>
                <w:noProof/>
                <w:szCs w:val="20"/>
              </w:rPr>
            </w:pPr>
            <w:r>
              <w:rPr>
                <w:noProof/>
              </w:rPr>
              <w:t>Uudistuksen 2: Vuosittaiset kilpailulait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E61163" w14:textId="77777777" w:rsidR="00E42B18" w:rsidRDefault="009629C4">
            <w:pPr>
              <w:pStyle w:val="P68B1DB1-Normal11"/>
              <w:spacing w:before="120" w:after="120"/>
              <w:jc w:val="center"/>
              <w:rPr>
                <w:noProof/>
                <w:szCs w:val="20"/>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335E86B" w14:textId="77777777" w:rsidR="00E42B18" w:rsidRDefault="009629C4">
            <w:pPr>
              <w:pStyle w:val="P68B1DB1-Normal11"/>
              <w:spacing w:before="120" w:after="120"/>
              <w:jc w:val="center"/>
              <w:rPr>
                <w:noProof/>
                <w:szCs w:val="20"/>
              </w:rPr>
            </w:pPr>
            <w:r>
              <w:rPr>
                <w:noProof/>
              </w:rPr>
              <w:t>Kaikkien energiaan liittyvien täytäntöönpanotoimenpiteiden ja johdetun oikeuden voimaantulo (tarvittaessa)</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6222876" w14:textId="77777777" w:rsidR="00E42B18" w:rsidRDefault="009629C4">
            <w:pPr>
              <w:pStyle w:val="P68B1DB1-Normal11"/>
              <w:spacing w:before="120" w:after="120"/>
              <w:jc w:val="center"/>
              <w:rPr>
                <w:noProof/>
                <w:szCs w:val="20"/>
              </w:rPr>
            </w:pPr>
            <w:r>
              <w:rPr>
                <w:noProof/>
              </w:rPr>
              <w:t>Kaikkien energiaan liittyvien täytäntöönpanotoimenpiteiden ja johdetun oikeuden voimaantulo (tarvittaessa)</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7771DAA" w14:textId="77777777" w:rsidR="00E42B18" w:rsidRDefault="009629C4">
            <w:pPr>
              <w:pStyle w:val="P68B1DB1-Normal11"/>
              <w:spacing w:before="120" w:after="120"/>
              <w:jc w:val="center"/>
              <w:rPr>
                <w:noProof/>
                <w:szCs w:val="20"/>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FBA0B0E" w14:textId="77777777" w:rsidR="00E42B18" w:rsidRDefault="009629C4">
            <w:pPr>
              <w:pStyle w:val="P68B1DB1-Normal11"/>
              <w:spacing w:before="120" w:after="120"/>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F46DB26" w14:textId="77777777" w:rsidR="00E42B18" w:rsidRDefault="009629C4">
            <w:pPr>
              <w:pStyle w:val="P68B1DB1-Normal11"/>
              <w:spacing w:before="120" w:after="120"/>
              <w:jc w:val="center"/>
              <w:rPr>
                <w:noProof/>
                <w:szCs w:val="20"/>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C520A16" w14:textId="77777777" w:rsidR="00E42B18" w:rsidRDefault="009629C4">
            <w:pPr>
              <w:pStyle w:val="P68B1DB1-Normal11"/>
              <w:spacing w:before="120" w:after="120"/>
              <w:jc w:val="center"/>
              <w:rPr>
                <w:noProof/>
                <w:szCs w:val="20"/>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259BA31" w14:textId="77777777" w:rsidR="00E42B18" w:rsidRDefault="009629C4">
            <w:pPr>
              <w:pStyle w:val="P68B1DB1-Normal11"/>
              <w:spacing w:before="120" w:after="120"/>
              <w:jc w:val="center"/>
              <w:rPr>
                <w:noProof/>
                <w:szCs w:val="20"/>
              </w:rPr>
            </w:pPr>
            <w:r>
              <w:rPr>
                <w:noProof/>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2748DF97" w14:textId="77777777" w:rsidR="00E42B18" w:rsidRDefault="009629C4">
            <w:pPr>
              <w:pStyle w:val="P68B1DB1-Normal11"/>
              <w:spacing w:before="120" w:after="120"/>
              <w:rPr>
                <w:noProof/>
                <w:szCs w:val="20"/>
              </w:rPr>
            </w:pPr>
            <w:r>
              <w:rPr>
                <w:noProof/>
              </w:rPr>
              <w:t>Kaikkien energiaan liittyvien täytäntöönpanotoimenpiteiden ja (tarvittaessa) johdetun oikeuden voimaantulo:</w:t>
            </w:r>
          </w:p>
          <w:p w14:paraId="31B66C03" w14:textId="77777777" w:rsidR="00E42B18" w:rsidRDefault="009629C4">
            <w:pPr>
              <w:pStyle w:val="P68B1DB1-Normal30"/>
              <w:spacing w:before="120" w:after="120"/>
              <w:rPr>
                <w:noProof/>
                <w:color w:val="006100"/>
                <w:sz w:val="20"/>
                <w:szCs w:val="20"/>
              </w:rPr>
            </w:pPr>
            <w:r>
              <w:rPr>
                <w:noProof/>
                <w:color w:val="006100"/>
                <w:sz w:val="20"/>
              </w:rPr>
              <w:t>I. Säänneltyjen</w:t>
            </w:r>
            <w:r>
              <w:rPr>
                <w:noProof/>
              </w:rPr>
              <w:t xml:space="preserve"> </w:t>
            </w:r>
            <w:r>
              <w:rPr>
                <w:noProof/>
                <w:color w:val="006100"/>
                <w:sz w:val="20"/>
              </w:rPr>
              <w:t>hintojen poistaminen mikroyrityksiltä ja kotitalouksilta vaiheittain 1. tammikuuta 2023 alkaen.</w:t>
            </w:r>
          </w:p>
          <w:p w14:paraId="3E5A85DB" w14:textId="77777777" w:rsidR="00E42B18" w:rsidRDefault="009629C4">
            <w:pPr>
              <w:pStyle w:val="P68B1DB1-Normal30"/>
              <w:spacing w:before="120" w:after="120"/>
              <w:rPr>
                <w:noProof/>
                <w:color w:val="006100"/>
                <w:sz w:val="20"/>
                <w:szCs w:val="20"/>
              </w:rPr>
            </w:pPr>
            <w:r>
              <w:rPr>
                <w:noProof/>
                <w:color w:val="006100"/>
                <w:sz w:val="20"/>
              </w:rPr>
              <w:t>II.</w:t>
            </w:r>
            <w:r>
              <w:rPr>
                <w:noProof/>
              </w:rPr>
              <w:t xml:space="preserve"> </w:t>
            </w:r>
            <w:r>
              <w:rPr>
                <w:noProof/>
                <w:color w:val="006100"/>
                <w:sz w:val="20"/>
              </w:rPr>
              <w:t>Toteuttaa liitännäistoimenpiteitä, joilla tuetaan kilpailun yleistymistä sähkön vähittäismarkkinoilla.</w:t>
            </w:r>
          </w:p>
          <w:p w14:paraId="31CE0970" w14:textId="77777777" w:rsidR="00E42B18" w:rsidRDefault="009629C4">
            <w:pPr>
              <w:pStyle w:val="P68B1DB1-Normal11"/>
              <w:spacing w:before="120" w:after="120"/>
              <w:rPr>
                <w:noProof/>
                <w:szCs w:val="20"/>
              </w:rPr>
            </w:pPr>
            <w:r>
              <w:rPr>
                <w:noProof/>
              </w:rPr>
              <w:t>Liitännäistoimenpiteissä, joilla varmistetaan kilpailun yleistyminen sähkön vähittäismarkkinoilla, on oltava vähintään seuraavat:</w:t>
            </w:r>
          </w:p>
          <w:p w14:paraId="484CD039" w14:textId="77777777" w:rsidR="00E42B18" w:rsidRDefault="009629C4">
            <w:pPr>
              <w:pStyle w:val="P68B1DB1-Normal11"/>
              <w:spacing w:before="120" w:after="120"/>
              <w:rPr>
                <w:noProof/>
                <w:szCs w:val="20"/>
              </w:rPr>
            </w:pPr>
            <w:r>
              <w:rPr>
                <w:noProof/>
              </w:rPr>
              <w:t>— Asiakaskunnan huutokauppaaminen, jotta uusien tulokkaiden toimintaedellytykset olisivat tasapuoliset.</w:t>
            </w:r>
          </w:p>
          <w:p w14:paraId="45DCFFEF" w14:textId="77777777" w:rsidR="00E42B18" w:rsidRDefault="009629C4">
            <w:pPr>
              <w:pStyle w:val="P68B1DB1-Normal11"/>
              <w:spacing w:before="120" w:after="120"/>
              <w:rPr>
                <w:noProof/>
                <w:szCs w:val="20"/>
              </w:rPr>
            </w:pPr>
            <w:r>
              <w:rPr>
                <w:noProof/>
              </w:rPr>
              <w:t>— Vahvistaa ylärajan, joka on kunkin toimittajan käytettävissä oleva enimmäismarkkinaosuus;</w:t>
            </w:r>
          </w:p>
          <w:p w14:paraId="4A535CE0" w14:textId="77777777" w:rsidR="00E42B18" w:rsidRDefault="009629C4">
            <w:pPr>
              <w:pStyle w:val="P68B1DB1-Normal11"/>
              <w:spacing w:before="120" w:after="120"/>
              <w:rPr>
                <w:noProof/>
                <w:szCs w:val="20"/>
              </w:rPr>
            </w:pPr>
            <w:r>
              <w:rPr>
                <w:noProof/>
              </w:rPr>
              <w:t>— Annettava italialaisille kuluttajille mahdollisuus pyytää energiantoimittajaansa luovuttamaan laskutustietonsa kolmansille palveluntarjoajille;</w:t>
            </w:r>
          </w:p>
          <w:p w14:paraId="7B1ECA2C" w14:textId="77777777" w:rsidR="00E42B18" w:rsidRDefault="009629C4">
            <w:pPr>
              <w:pStyle w:val="P68B1DB1-Normal11"/>
              <w:spacing w:before="120" w:after="120"/>
              <w:rPr>
                <w:noProof/>
                <w:szCs w:val="20"/>
              </w:rPr>
            </w:pPr>
            <w:r>
              <w:rPr>
                <w:noProof/>
              </w:rPr>
              <w:t>— Lisätään sähkölaskun avoimuutta antamalla kuluttajille pääsy ”spesi per oneri di sistema” -järjestelmän alakomponentteihin;</w:t>
            </w:r>
          </w:p>
          <w:p w14:paraId="673F0127" w14:textId="77777777" w:rsidR="00E42B18" w:rsidRDefault="009629C4">
            <w:pPr>
              <w:pStyle w:val="P68B1DB1-Normal11"/>
              <w:spacing w:before="120" w:after="120"/>
              <w:rPr>
                <w:noProof/>
                <w:szCs w:val="20"/>
              </w:rPr>
            </w:pPr>
            <w:r>
              <w:rPr>
                <w:noProof/>
              </w:rPr>
              <w:t>— Poistetaan vaatimus, jonka mukaan toimittajien on perittävä maksuja, jotka eivät liity energia-alaan.</w:t>
            </w:r>
          </w:p>
        </w:tc>
      </w:tr>
      <w:tr w:rsidR="00E42B18" w14:paraId="53226163"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E60E465" w14:textId="77777777" w:rsidR="00E42B18" w:rsidRDefault="009629C4">
            <w:pPr>
              <w:pStyle w:val="P68B1DB1-Normal11"/>
              <w:spacing w:before="120" w:after="120"/>
              <w:jc w:val="center"/>
              <w:rPr>
                <w:noProof/>
                <w:szCs w:val="20"/>
              </w:rPr>
            </w:pPr>
            <w:r>
              <w:rPr>
                <w:noProof/>
              </w:rPr>
              <w:t>M1C2–8</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3626C18C" w14:textId="77777777" w:rsidR="00E42B18" w:rsidRDefault="009629C4">
            <w:pPr>
              <w:pStyle w:val="P68B1DB1-Normal11"/>
              <w:spacing w:before="120" w:after="120"/>
              <w:jc w:val="center"/>
              <w:rPr>
                <w:noProof/>
                <w:szCs w:val="20"/>
              </w:rPr>
            </w:pPr>
            <w:r>
              <w:rPr>
                <w:noProof/>
              </w:rPr>
              <w:t>Uudistuksen 2: Vuosittaiset kilpailulait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7DBDCF2" w14:textId="77777777" w:rsidR="00E42B18" w:rsidRDefault="009629C4">
            <w:pPr>
              <w:pStyle w:val="P68B1DB1-Normal11"/>
              <w:spacing w:before="120" w:after="120"/>
              <w:jc w:val="center"/>
              <w:rPr>
                <w:noProof/>
                <w:szCs w:val="20"/>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8B7F586" w14:textId="77777777" w:rsidR="00E42B18" w:rsidRDefault="009629C4">
            <w:pPr>
              <w:pStyle w:val="P68B1DB1-Normal11"/>
              <w:spacing w:before="120" w:after="120"/>
              <w:jc w:val="center"/>
              <w:rPr>
                <w:noProof/>
                <w:szCs w:val="20"/>
              </w:rPr>
            </w:pPr>
            <w:r>
              <w:rPr>
                <w:noProof/>
              </w:rPr>
              <w:t>Kaikkien täytäntöönpanotoimenpiteiden (tarvittaessa myös johdetun oikeuden) voimaantulo vuoden 2021 kilpailulaista johtuvien toimenpiteiden tehokasta täytäntöönpanoa ja soveltamista varten</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452E5B4" w14:textId="77777777" w:rsidR="00E42B18" w:rsidRDefault="009629C4">
            <w:pPr>
              <w:pStyle w:val="P68B1DB1-Normal11"/>
              <w:spacing w:before="120" w:after="120"/>
              <w:jc w:val="center"/>
              <w:rPr>
                <w:noProof/>
                <w:szCs w:val="20"/>
              </w:rPr>
            </w:pPr>
            <w:r>
              <w:rPr>
                <w:noProof/>
              </w:rPr>
              <w:t>Kaiken johdetun oikeuden voimaantulo, mukaan lukien kaikki tarvittavat asetukset, jotka koskevat vuoden 2021 vuotuisesta kilpailulaista johtuvia toimenpiteitä</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5B4303EE" w14:textId="77777777" w:rsidR="00E42B18" w:rsidRDefault="009629C4">
            <w:pPr>
              <w:pStyle w:val="P68B1DB1-Normal11"/>
              <w:spacing w:before="120" w:after="120"/>
              <w:jc w:val="center"/>
              <w:rPr>
                <w:noProof/>
                <w:szCs w:val="20"/>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4FA9DA0" w14:textId="77777777" w:rsidR="00E42B18" w:rsidRDefault="009629C4">
            <w:pPr>
              <w:pStyle w:val="P68B1DB1-Normal11"/>
              <w:spacing w:before="120" w:after="120"/>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D7DC6A4" w14:textId="77777777" w:rsidR="00E42B18" w:rsidRDefault="009629C4">
            <w:pPr>
              <w:pStyle w:val="P68B1DB1-Normal11"/>
              <w:spacing w:before="120" w:after="120"/>
              <w:jc w:val="center"/>
              <w:rPr>
                <w:noProof/>
                <w:szCs w:val="20"/>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D3A27F1" w14:textId="77777777" w:rsidR="00E42B18" w:rsidRDefault="009629C4">
            <w:pPr>
              <w:pStyle w:val="P68B1DB1-Normal11"/>
              <w:spacing w:before="120" w:after="120"/>
              <w:jc w:val="center"/>
              <w:rPr>
                <w:noProof/>
                <w:szCs w:val="20"/>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B1B2264" w14:textId="77777777" w:rsidR="00E42B18" w:rsidRDefault="009629C4">
            <w:pPr>
              <w:pStyle w:val="P68B1DB1-Normal11"/>
              <w:spacing w:before="120" w:after="120"/>
              <w:jc w:val="center"/>
              <w:rPr>
                <w:noProof/>
                <w:szCs w:val="20"/>
              </w:rPr>
            </w:pPr>
            <w:r>
              <w:rPr>
                <w:noProof/>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B032800" w14:textId="77777777" w:rsidR="00E42B18" w:rsidRDefault="009629C4">
            <w:pPr>
              <w:pStyle w:val="P68B1DB1-Normal11"/>
              <w:spacing w:before="120" w:after="120"/>
              <w:rPr>
                <w:noProof/>
                <w:szCs w:val="20"/>
              </w:rPr>
            </w:pPr>
            <w:r>
              <w:rPr>
                <w:noProof/>
              </w:rPr>
              <w:t>Kaikkien täytäntöönpanotoimenpiteiden (tarvittaessa myös johdetun oikeuden) voimaantulo vuoden 2021 kilpailulaista johtuvien toimenpiteiden tehokasta täytäntöönpanoa ja soveltamista varten.</w:t>
            </w:r>
          </w:p>
        </w:tc>
      </w:tr>
      <w:tr w:rsidR="00E42B18" w14:paraId="69B0E160"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8FF078D" w14:textId="77777777" w:rsidR="00E42B18" w:rsidRDefault="009629C4">
            <w:pPr>
              <w:pStyle w:val="P68B1DB1-Normal11"/>
              <w:spacing w:before="120" w:after="120"/>
              <w:jc w:val="center"/>
              <w:rPr>
                <w:noProof/>
                <w:szCs w:val="20"/>
              </w:rPr>
            </w:pPr>
            <w:r>
              <w:rPr>
                <w:noProof/>
              </w:rPr>
              <w:t>M1C2–9</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1AD19E57" w14:textId="77777777" w:rsidR="00E42B18" w:rsidRDefault="009629C4">
            <w:pPr>
              <w:pStyle w:val="P68B1DB1-Normal11"/>
              <w:spacing w:before="120" w:after="120"/>
              <w:jc w:val="center"/>
              <w:rPr>
                <w:noProof/>
                <w:szCs w:val="20"/>
              </w:rPr>
            </w:pPr>
            <w:r>
              <w:rPr>
                <w:noProof/>
              </w:rPr>
              <w:t>Uudistuksen 2: Vuosittaiset kilpailulait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6B43B94" w14:textId="77777777" w:rsidR="00E42B18" w:rsidRDefault="009629C4">
            <w:pPr>
              <w:pStyle w:val="P68B1DB1-Normal11"/>
              <w:spacing w:before="120" w:after="120"/>
              <w:jc w:val="center"/>
              <w:rPr>
                <w:noProof/>
                <w:szCs w:val="20"/>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7B5EA402" w14:textId="77777777" w:rsidR="00E42B18" w:rsidRDefault="009629C4">
            <w:pPr>
              <w:pStyle w:val="P68B1DB1-Normal11"/>
              <w:spacing w:before="120" w:after="120"/>
              <w:jc w:val="center"/>
              <w:rPr>
                <w:noProof/>
                <w:szCs w:val="20"/>
              </w:rPr>
            </w:pPr>
            <w:r>
              <w:rPr>
                <w:noProof/>
              </w:rPr>
              <w:t>Vuoden 2022 kilpailulain voimaantulo</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78C6DBAE" w14:textId="77777777" w:rsidR="00E42B18" w:rsidRDefault="009629C4">
            <w:pPr>
              <w:pStyle w:val="P68B1DB1-Normal11"/>
              <w:spacing w:before="120" w:after="120"/>
              <w:jc w:val="center"/>
              <w:rPr>
                <w:noProof/>
                <w:szCs w:val="20"/>
              </w:rPr>
            </w:pPr>
            <w:r>
              <w:rPr>
                <w:noProof/>
              </w:rPr>
              <w:t>Säännös, joka koskee vuoden 2022 kilpailulain voimaantuloa.</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FE6A542" w14:textId="77777777" w:rsidR="00E42B18" w:rsidRDefault="009629C4">
            <w:pPr>
              <w:pStyle w:val="P68B1DB1-Normal11"/>
              <w:spacing w:before="120" w:after="120"/>
              <w:jc w:val="center"/>
              <w:rPr>
                <w:noProof/>
                <w:szCs w:val="20"/>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4E5EC957" w14:textId="77777777" w:rsidR="00E42B18" w:rsidRDefault="009629C4">
            <w:pPr>
              <w:pStyle w:val="P68B1DB1-Normal11"/>
              <w:spacing w:before="120" w:after="120"/>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55EEBE5" w14:textId="77777777" w:rsidR="00E42B18" w:rsidRDefault="009629C4">
            <w:pPr>
              <w:pStyle w:val="P68B1DB1-Normal11"/>
              <w:spacing w:before="120" w:after="120"/>
              <w:jc w:val="center"/>
              <w:rPr>
                <w:noProof/>
                <w:szCs w:val="20"/>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458C6923" w14:textId="77777777" w:rsidR="00E42B18" w:rsidRDefault="009629C4">
            <w:pPr>
              <w:pStyle w:val="P68B1DB1-Normal11"/>
              <w:spacing w:before="120" w:after="120"/>
              <w:jc w:val="center"/>
              <w:rPr>
                <w:noProof/>
                <w:szCs w:val="20"/>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36AA3F5A" w14:textId="77777777" w:rsidR="00E42B18" w:rsidRDefault="009629C4">
            <w:pPr>
              <w:pStyle w:val="P68B1DB1-Normal11"/>
              <w:spacing w:before="120" w:after="120"/>
              <w:jc w:val="center"/>
              <w:rPr>
                <w:noProof/>
                <w:szCs w:val="20"/>
              </w:rPr>
            </w:pPr>
            <w:r>
              <w:rPr>
                <w:noProof/>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C4D3F28" w14:textId="0E102418" w:rsidR="00E42B18" w:rsidRDefault="009629C4">
            <w:pPr>
              <w:spacing w:after="120"/>
              <w:rPr>
                <w:rFonts w:ascii="Arial Narrow" w:hAnsi="Arial Narrow"/>
                <w:noProof/>
                <w:color w:val="006100"/>
                <w:sz w:val="20"/>
                <w:szCs w:val="20"/>
              </w:rPr>
            </w:pPr>
            <w:r>
              <w:rPr>
                <w:rFonts w:ascii="Arial Narrow" w:hAnsi="Arial Narrow"/>
                <w:noProof/>
                <w:color w:val="006100"/>
                <w:sz w:val="20"/>
              </w:rPr>
              <w:t>Vuoden 2022 kilpailulain voimaantulo</w:t>
            </w:r>
            <w:r>
              <w:rPr>
                <w:noProof/>
              </w:rPr>
              <w:t xml:space="preserve"> </w:t>
            </w:r>
            <w:r>
              <w:rPr>
                <w:noProof/>
              </w:rPr>
              <w:br/>
            </w:r>
            <w:r>
              <w:rPr>
                <w:rFonts w:ascii="Arial Narrow" w:hAnsi="Arial Narrow"/>
                <w:noProof/>
                <w:color w:val="006100"/>
                <w:sz w:val="20"/>
              </w:rPr>
              <w:t>Vuotuiseen kilpailulainsäädäntöön on sisällyttävä ainakin seuraavat keskeiset osat, joiden täytäntöönpanotoimenpiteet ja (tarvittaessa) sekundaarilainsäädäntö hyväksytään ja jotka tulevat voimaan viimeistään 31. joulukuuta 2023.</w:t>
            </w:r>
          </w:p>
          <w:p w14:paraId="7A7CA4BD" w14:textId="77777777" w:rsidR="00E42B18" w:rsidRDefault="009629C4">
            <w:pPr>
              <w:pStyle w:val="P68B1DB1-Normal11"/>
              <w:spacing w:before="120" w:after="120"/>
              <w:rPr>
                <w:noProof/>
                <w:szCs w:val="20"/>
              </w:rPr>
            </w:pPr>
            <w:r>
              <w:rPr>
                <w:noProof/>
              </w:rPr>
              <w:t xml:space="preserve">Siinä on oltava: </w:t>
            </w:r>
          </w:p>
          <w:p w14:paraId="1AC8E43E" w14:textId="2CDB8C16" w:rsidR="00E42B18" w:rsidRDefault="009629C4">
            <w:pPr>
              <w:pStyle w:val="P68B1DB1-Normal11"/>
              <w:spacing w:before="120" w:after="120"/>
              <w:rPr>
                <w:noProof/>
                <w:szCs w:val="20"/>
              </w:rPr>
            </w:pPr>
            <w:r>
              <w:rPr>
                <w:b/>
                <w:noProof/>
              </w:rPr>
              <w:t>I)</w:t>
            </w:r>
            <w:r>
              <w:rPr>
                <w:noProof/>
              </w:rPr>
              <w:t xml:space="preserve"> vahvistaa selkeän menettelyn seuraavan vuosikymmenen</w:t>
            </w:r>
            <w:r>
              <w:rPr>
                <w:b/>
                <w:noProof/>
              </w:rPr>
              <w:t xml:space="preserve">sähköverkon </w:t>
            </w:r>
            <w:r>
              <w:rPr>
                <w:noProof/>
              </w:rPr>
              <w:t>kehittämissuunnitelman hyväksymiseksi ennalta asetetuissa määräajoissa ja joka tapauksessa viimeistään asianomaisen ajanjakson (joka toinen vuosi)(*) 31 päivään joulukuuta mennessä, millä varmistetaan menettelyn loppuun saattaminen ja yksinkertaistetaan hyväksyntämenettelyä.</w:t>
            </w:r>
          </w:p>
          <w:p w14:paraId="27E8E27C" w14:textId="77777777" w:rsidR="00E42B18" w:rsidRDefault="009629C4">
            <w:pPr>
              <w:pStyle w:val="P68B1DB1-Normal11"/>
              <w:spacing w:before="120" w:after="120"/>
              <w:rPr>
                <w:noProof/>
                <w:szCs w:val="20"/>
              </w:rPr>
            </w:pPr>
            <w:r>
              <w:rPr>
                <w:noProof/>
              </w:rPr>
              <w:t>(*) Vuoden 2021 sähköverkon kehittämissuunnitelma on hyväksyttävä 31 päivään joulukuuta 2023 mennessä.</w:t>
            </w:r>
          </w:p>
          <w:p w14:paraId="2C457F39" w14:textId="77777777" w:rsidR="00E42B18" w:rsidRDefault="009629C4">
            <w:pPr>
              <w:pStyle w:val="P68B1DB1-Normal11"/>
              <w:spacing w:before="120" w:after="120"/>
              <w:rPr>
                <w:noProof/>
                <w:szCs w:val="20"/>
              </w:rPr>
            </w:pPr>
            <w:r>
              <w:rPr>
                <w:b/>
                <w:noProof/>
              </w:rPr>
              <w:t>II)</w:t>
            </w:r>
            <w:r>
              <w:rPr>
                <w:noProof/>
              </w:rPr>
              <w:t xml:space="preserve"> edistää toisen sukupolven</w:t>
            </w:r>
            <w:r>
              <w:rPr>
                <w:noProof/>
                <w:vertAlign w:val="superscript"/>
              </w:rPr>
              <w:t>älykkäiden</w:t>
            </w:r>
            <w:r>
              <w:rPr>
                <w:noProof/>
              </w:rPr>
              <w:t xml:space="preserve"> sähkömittarien käyttöönottoa; </w:t>
            </w:r>
          </w:p>
          <w:p w14:paraId="012E6ED3" w14:textId="77777777" w:rsidR="00E42B18" w:rsidRDefault="009629C4">
            <w:pPr>
              <w:pStyle w:val="P68B1DB1-Normal31"/>
              <w:rPr>
                <w:bCs/>
                <w:noProof/>
                <w:szCs w:val="20"/>
              </w:rPr>
            </w:pPr>
            <w:r>
              <w:rPr>
                <w:noProof/>
              </w:rPr>
              <w:t>Kilpailunrajoitukset:</w:t>
            </w:r>
          </w:p>
          <w:p w14:paraId="6D5E4235" w14:textId="77777777" w:rsidR="00E42B18" w:rsidRDefault="009629C4">
            <w:pPr>
              <w:pStyle w:val="P68B1DB1-Normal11"/>
              <w:rPr>
                <w:bCs/>
                <w:noProof/>
                <w:szCs w:val="20"/>
              </w:rPr>
            </w:pPr>
            <w:r>
              <w:rPr>
                <w:b/>
                <w:noProof/>
              </w:rPr>
              <w:t>III)</w:t>
            </w:r>
            <w:r>
              <w:rPr>
                <w:noProof/>
              </w:rPr>
              <w:t xml:space="preserve"> pidennetään 45 päivästä 90 päivään, kun Italian kilpailuviranomainen (</w:t>
            </w:r>
            <w:r>
              <w:rPr>
                <w:i/>
                <w:noProof/>
              </w:rPr>
              <w:t>Autrità Garante della Concorrenza e del Mercato</w:t>
            </w:r>
            <w:r>
              <w:rPr>
                <w:noProof/>
              </w:rPr>
              <w:t>) arvioi keskittymiä, jotka voivat olennaisesti estää tehokasta kilpailua lain 287/1990 6 §:n nojalla.</w:t>
            </w:r>
          </w:p>
          <w:p w14:paraId="541ED5E1" w14:textId="77777777" w:rsidR="00E42B18" w:rsidRDefault="009629C4">
            <w:pPr>
              <w:pStyle w:val="P68B1DB1-Normal31"/>
              <w:rPr>
                <w:bCs/>
                <w:noProof/>
                <w:szCs w:val="20"/>
              </w:rPr>
            </w:pPr>
            <w:r>
              <w:rPr>
                <w:noProof/>
              </w:rPr>
              <w:t>Vähittäiskauppa:</w:t>
            </w:r>
          </w:p>
          <w:p w14:paraId="3DFFEA09" w14:textId="77777777" w:rsidR="00E42B18" w:rsidRDefault="009629C4">
            <w:pPr>
              <w:pStyle w:val="P68B1DB1-Normal11"/>
              <w:rPr>
                <w:bCs/>
                <w:noProof/>
                <w:szCs w:val="20"/>
              </w:rPr>
            </w:pPr>
            <w:r>
              <w:rPr>
                <w:noProof/>
              </w:rPr>
              <w:t xml:space="preserve">yritysten, joilla on myyntipisteitä eri kunnissa, harjoittamaa myynninedistämismyyntiä koskevien lupamenettelyjen </w:t>
            </w:r>
            <w:r>
              <w:rPr>
                <w:b/>
                <w:noProof/>
              </w:rPr>
              <w:t>yksinkertaistaminen</w:t>
            </w:r>
            <w:r>
              <w:rPr>
                <w:noProof/>
              </w:rPr>
              <w:t>.</w:t>
            </w:r>
          </w:p>
          <w:p w14:paraId="1DC2382F" w14:textId="77777777" w:rsidR="00E42B18" w:rsidRDefault="009629C4">
            <w:pPr>
              <w:pStyle w:val="P68B1DB1-Normal31"/>
              <w:rPr>
                <w:bCs/>
                <w:noProof/>
                <w:szCs w:val="20"/>
              </w:rPr>
            </w:pPr>
            <w:r>
              <w:rPr>
                <w:noProof/>
              </w:rPr>
              <w:t>Lääkkeet:</w:t>
            </w:r>
          </w:p>
          <w:p w14:paraId="3EF21F8B" w14:textId="77777777" w:rsidR="00E42B18" w:rsidRDefault="009629C4">
            <w:pPr>
              <w:pStyle w:val="P68B1DB1-Normal11"/>
              <w:rPr>
                <w:noProof/>
                <w:szCs w:val="20"/>
              </w:rPr>
            </w:pPr>
            <w:r>
              <w:rPr>
                <w:b/>
                <w:noProof/>
              </w:rPr>
              <w:t>v)</w:t>
            </w:r>
            <w:r>
              <w:rPr>
                <w:noProof/>
              </w:rPr>
              <w:t xml:space="preserve"> varmistetaan galeenisten lääkkeiden myyntiä koskevien lupavaatimusten oikeasuhteisuus.</w:t>
            </w:r>
          </w:p>
        </w:tc>
      </w:tr>
      <w:tr w:rsidR="00E42B18" w14:paraId="06A0D7C6"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41C2FD76" w14:textId="77777777" w:rsidR="00E42B18" w:rsidRDefault="009629C4">
            <w:pPr>
              <w:pStyle w:val="P68B1DB1-Normal11"/>
              <w:spacing w:before="120" w:after="120"/>
              <w:jc w:val="center"/>
              <w:rPr>
                <w:noProof/>
                <w:szCs w:val="20"/>
              </w:rPr>
            </w:pPr>
            <w:r>
              <w:rPr>
                <w:noProof/>
              </w:rPr>
              <w:t>M1C2–10</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0826CAF" w14:textId="77777777" w:rsidR="00E42B18" w:rsidRDefault="009629C4">
            <w:pPr>
              <w:pStyle w:val="P68B1DB1-Normal11"/>
              <w:spacing w:before="120" w:after="120"/>
              <w:jc w:val="center"/>
              <w:rPr>
                <w:noProof/>
                <w:szCs w:val="20"/>
              </w:rPr>
            </w:pPr>
            <w:r>
              <w:rPr>
                <w:noProof/>
              </w:rPr>
              <w:t>Uudistuksen 2: Vuosittaiset kilpailulait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906717" w14:textId="77777777" w:rsidR="00E42B18" w:rsidRDefault="009629C4">
            <w:pPr>
              <w:pStyle w:val="P68B1DB1-Normal11"/>
              <w:spacing w:before="120" w:after="120"/>
              <w:jc w:val="center"/>
              <w:rPr>
                <w:noProof/>
                <w:szCs w:val="20"/>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7CCFBE62" w14:textId="77777777" w:rsidR="00E42B18" w:rsidRDefault="009629C4">
            <w:pPr>
              <w:pStyle w:val="P68B1DB1-Normal11"/>
              <w:spacing w:before="120" w:after="120"/>
              <w:jc w:val="center"/>
              <w:rPr>
                <w:noProof/>
                <w:szCs w:val="20"/>
              </w:rPr>
            </w:pPr>
            <w:r>
              <w:rPr>
                <w:noProof/>
              </w:rPr>
              <w:t>Kaikkien täytäntöönpanotoimenpiteiden (tarvittaessa myös johdetun oikeuden) voimaantulo vuoden 2022 kilpailulaista johtuvien toimenpiteiden tehokasta täytäntöönpanoa ja soveltamista varten</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48C7BE6C" w14:textId="77777777" w:rsidR="00E42B18" w:rsidRDefault="009629C4">
            <w:pPr>
              <w:pStyle w:val="P68B1DB1-Normal11"/>
              <w:spacing w:before="120" w:after="120"/>
              <w:jc w:val="center"/>
              <w:rPr>
                <w:noProof/>
                <w:szCs w:val="20"/>
              </w:rPr>
            </w:pPr>
            <w:r>
              <w:rPr>
                <w:noProof/>
              </w:rPr>
              <w:t>Kaiken johdetun oikeuden voimaantulo, mukaan lukien kaikki tarvittavat asetukset, jotka koskevat vuoden 2022 vuotuisesta kilpailulaista johtuvia toimenpiteitä</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31E102C9" w14:textId="77777777" w:rsidR="00E42B18" w:rsidRDefault="009629C4">
            <w:pPr>
              <w:pStyle w:val="P68B1DB1-Normal11"/>
              <w:spacing w:before="120" w:after="120"/>
              <w:jc w:val="center"/>
              <w:rPr>
                <w:noProof/>
                <w:szCs w:val="20"/>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034B2C9" w14:textId="77777777" w:rsidR="00E42B18" w:rsidRDefault="009629C4">
            <w:pPr>
              <w:pStyle w:val="P68B1DB1-Normal11"/>
              <w:spacing w:before="120" w:after="120"/>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0BB93BA" w14:textId="77777777" w:rsidR="00E42B18" w:rsidRDefault="009629C4">
            <w:pPr>
              <w:pStyle w:val="P68B1DB1-Normal11"/>
              <w:spacing w:before="120" w:after="120"/>
              <w:jc w:val="center"/>
              <w:rPr>
                <w:noProof/>
                <w:szCs w:val="20"/>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71EFDB7" w14:textId="77777777" w:rsidR="00E42B18" w:rsidRDefault="009629C4">
            <w:pPr>
              <w:pStyle w:val="P68B1DB1-Normal11"/>
              <w:spacing w:before="120" w:after="120"/>
              <w:jc w:val="center"/>
              <w:rPr>
                <w:noProof/>
                <w:szCs w:val="20"/>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5AF849B1" w14:textId="77777777" w:rsidR="00E42B18" w:rsidRDefault="009629C4">
            <w:pPr>
              <w:pStyle w:val="P68B1DB1-Normal11"/>
              <w:spacing w:before="120" w:after="120"/>
              <w:jc w:val="center"/>
              <w:rPr>
                <w:noProof/>
                <w:szCs w:val="20"/>
              </w:rPr>
            </w:pPr>
            <w:r>
              <w:rPr>
                <w:noProof/>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023000F1" w14:textId="77777777" w:rsidR="00E42B18" w:rsidRDefault="009629C4">
            <w:pPr>
              <w:pStyle w:val="P68B1DB1-Normal11"/>
              <w:spacing w:before="120" w:after="120"/>
              <w:rPr>
                <w:noProof/>
                <w:szCs w:val="20"/>
              </w:rPr>
            </w:pPr>
            <w:r>
              <w:rPr>
                <w:noProof/>
              </w:rPr>
              <w:t>Kaiken johdetun oikeuden voimaantulo (tarvittaessa), mukaan lukien kaikki tarvittavat asetukset kaikkien edellä mainittujen, vuoden 2022 kilpailulakiin perustuvien toimenpiteiden tehokasta täytäntöönpanoa ja soveltamista varten.</w:t>
            </w:r>
          </w:p>
        </w:tc>
      </w:tr>
      <w:tr w:rsidR="00E42B18" w14:paraId="28FDD8FB"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3827F93" w14:textId="77777777" w:rsidR="00E42B18" w:rsidRDefault="009629C4">
            <w:pPr>
              <w:pStyle w:val="P68B1DB1-Normal11"/>
              <w:spacing w:before="120" w:after="120"/>
              <w:jc w:val="center"/>
              <w:rPr>
                <w:noProof/>
                <w:szCs w:val="20"/>
              </w:rPr>
            </w:pPr>
            <w:r>
              <w:rPr>
                <w:noProof/>
              </w:rPr>
              <w:t>M1C2–11</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20652787" w14:textId="77777777" w:rsidR="00E42B18" w:rsidRDefault="009629C4">
            <w:pPr>
              <w:pStyle w:val="P68B1DB1-Normal11"/>
              <w:spacing w:before="120" w:after="120"/>
              <w:jc w:val="center"/>
              <w:rPr>
                <w:noProof/>
                <w:szCs w:val="20"/>
              </w:rPr>
            </w:pPr>
            <w:r>
              <w:rPr>
                <w:noProof/>
              </w:rPr>
              <w:t>Uudistuksen 2: Vuosittaiset kilpailulait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63AA1745" w14:textId="77777777" w:rsidR="00E42B18" w:rsidRDefault="009629C4">
            <w:pPr>
              <w:pStyle w:val="P68B1DB1-Normal11"/>
              <w:spacing w:before="120" w:after="120"/>
              <w:jc w:val="center"/>
              <w:rPr>
                <w:noProof/>
                <w:szCs w:val="20"/>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F4B98DF" w14:textId="77777777" w:rsidR="00E42B18" w:rsidRDefault="009629C4">
            <w:pPr>
              <w:pStyle w:val="P68B1DB1-Normal11"/>
              <w:spacing w:before="120" w:after="120"/>
              <w:jc w:val="center"/>
              <w:rPr>
                <w:noProof/>
                <w:szCs w:val="20"/>
              </w:rPr>
            </w:pPr>
            <w:r>
              <w:rPr>
                <w:noProof/>
              </w:rPr>
              <w:t>Vuoden 2023 kilpailulain voimaantulo</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2345E94" w14:textId="77777777" w:rsidR="00E42B18" w:rsidRDefault="009629C4">
            <w:pPr>
              <w:pStyle w:val="P68B1DB1-Normal11"/>
              <w:spacing w:before="120" w:after="120"/>
              <w:jc w:val="center"/>
              <w:rPr>
                <w:noProof/>
                <w:szCs w:val="20"/>
              </w:rPr>
            </w:pPr>
            <w:r>
              <w:rPr>
                <w:noProof/>
              </w:rPr>
              <w:t>Säännös, joka koskee vuoden 2023 kilpailulain voimaantuloa.</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0E1D3D1E" w14:textId="77777777" w:rsidR="00E42B18" w:rsidRDefault="009629C4">
            <w:pPr>
              <w:pStyle w:val="P68B1DB1-Normal11"/>
              <w:spacing w:before="120" w:after="120"/>
              <w:jc w:val="center"/>
              <w:rPr>
                <w:noProof/>
                <w:szCs w:val="20"/>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12BE6A37" w14:textId="77777777" w:rsidR="00E42B18" w:rsidRDefault="009629C4">
            <w:pPr>
              <w:pStyle w:val="P68B1DB1-Normal11"/>
              <w:spacing w:before="120" w:after="120"/>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DFD69F1" w14:textId="77777777" w:rsidR="00E42B18" w:rsidRDefault="009629C4">
            <w:pPr>
              <w:pStyle w:val="P68B1DB1-Normal11"/>
              <w:spacing w:before="120" w:after="120"/>
              <w:jc w:val="center"/>
              <w:rPr>
                <w:noProof/>
                <w:szCs w:val="20"/>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DD61199" w14:textId="77777777" w:rsidR="00E42B18" w:rsidRDefault="009629C4">
            <w:pPr>
              <w:pStyle w:val="P68B1DB1-Normal11"/>
              <w:spacing w:before="120" w:after="120"/>
              <w:jc w:val="center"/>
              <w:rPr>
                <w:noProof/>
                <w:szCs w:val="20"/>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86E0C9F" w14:textId="77777777" w:rsidR="00E42B18" w:rsidRDefault="009629C4">
            <w:pPr>
              <w:pStyle w:val="P68B1DB1-Normal11"/>
              <w:spacing w:before="120" w:after="120"/>
              <w:jc w:val="center"/>
              <w:rPr>
                <w:noProof/>
                <w:szCs w:val="20"/>
              </w:rPr>
            </w:pPr>
            <w:r>
              <w:rPr>
                <w:noProof/>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0E71B49" w14:textId="77777777" w:rsidR="00E42B18" w:rsidRDefault="009629C4">
            <w:pPr>
              <w:pStyle w:val="P68B1DB1-Normal11"/>
              <w:rPr>
                <w:noProof/>
                <w:szCs w:val="20"/>
              </w:rPr>
            </w:pPr>
            <w:r>
              <w:rPr>
                <w:noProof/>
              </w:rPr>
              <w:t>Vuoden 2023 kilpailulaki tulee voimaan. Vuotuiseen kilpailulakiin on sisällyttävä ainakin seuraavat keskeiset osat, joiden täytäntöönpanotoimenpiteet ja (tarvittaessa) sekundaarilainsäädäntö hyväksytään ja jotka tulevat voimaan viimeistään 31. joulukuuta 2024.</w:t>
            </w:r>
          </w:p>
          <w:p w14:paraId="7D0E8C18" w14:textId="77777777" w:rsidR="00E42B18" w:rsidRDefault="009629C4">
            <w:pPr>
              <w:pStyle w:val="P68B1DB1-Normal11"/>
              <w:rPr>
                <w:noProof/>
                <w:szCs w:val="20"/>
              </w:rPr>
            </w:pPr>
            <w:r>
              <w:rPr>
                <w:noProof/>
              </w:rPr>
              <w:t>Tarkastusten on sisällettävä ainakin seuraavat toimenpiteet:</w:t>
            </w:r>
          </w:p>
          <w:p w14:paraId="322166FC" w14:textId="77777777" w:rsidR="00E42B18" w:rsidRDefault="009629C4">
            <w:pPr>
              <w:pStyle w:val="P68B1DB1-Normal31"/>
              <w:rPr>
                <w:noProof/>
                <w:szCs w:val="20"/>
              </w:rPr>
            </w:pPr>
            <w:r>
              <w:rPr>
                <w:noProof/>
              </w:rPr>
              <w:t>Valtatiet:</w:t>
            </w:r>
          </w:p>
          <w:p w14:paraId="4678AB89" w14:textId="77777777" w:rsidR="00E42B18" w:rsidRDefault="009629C4">
            <w:pPr>
              <w:pStyle w:val="P68B1DB1-Normal11"/>
              <w:spacing w:after="120"/>
              <w:jc w:val="both"/>
              <w:rPr>
                <w:noProof/>
                <w:szCs w:val="20"/>
              </w:rPr>
            </w:pPr>
            <w:r>
              <w:rPr>
                <w:noProof/>
              </w:rPr>
              <w:t xml:space="preserve">käyttöoikeussopimusten </w:t>
            </w:r>
            <w:r>
              <w:rPr>
                <w:b/>
                <w:noProof/>
              </w:rPr>
              <w:t>saatavuuden</w:t>
            </w:r>
            <w:r>
              <w:rPr>
                <w:noProof/>
              </w:rPr>
              <w:t xml:space="preserve"> ja sopimuksen irtisanomisen osalta vuotuisessa kilpailulaissa on vähintään</w:t>
            </w:r>
          </w:p>
          <w:p w14:paraId="1E598661" w14:textId="77777777" w:rsidR="00E42B18" w:rsidRDefault="009629C4">
            <w:pPr>
              <w:pStyle w:val="P68B1DB1-Normal11"/>
              <w:spacing w:after="80"/>
              <w:ind w:left="340"/>
              <w:jc w:val="both"/>
              <w:rPr>
                <w:noProof/>
                <w:szCs w:val="20"/>
              </w:rPr>
            </w:pPr>
            <w:r>
              <w:rPr>
                <w:noProof/>
              </w:rPr>
              <w:t xml:space="preserve">tehdään käyttöoikeussopimusten tekeminen pakolliseksi tieliikenteessä, sanotun kuitenkaan rajoittamatta sisäisten palvelujen tarjoamista EU:n lainsäädännössä vahvistetuissa rajoissa(*); </w:t>
            </w:r>
          </w:p>
          <w:p w14:paraId="6B850862" w14:textId="77777777" w:rsidR="00E42B18" w:rsidRDefault="009629C4">
            <w:pPr>
              <w:pStyle w:val="P68B1DB1-Normal11"/>
              <w:autoSpaceDE w:val="0"/>
              <w:autoSpaceDN w:val="0"/>
              <w:adjustRightInd w:val="0"/>
              <w:spacing w:after="80"/>
              <w:ind w:left="340"/>
              <w:jc w:val="both"/>
              <w:rPr>
                <w:b/>
                <w:bCs/>
                <w:noProof/>
                <w:szCs w:val="20"/>
              </w:rPr>
            </w:pPr>
            <w:r>
              <w:rPr>
                <w:b/>
                <w:noProof/>
              </w:rPr>
              <w:t xml:space="preserve">— </w:t>
            </w:r>
            <w:r>
              <w:rPr>
                <w:noProof/>
              </w:rPr>
              <w:t>parantaa käyttöoikeussopimuksiin liittyvien hallinnollisten päätöksentekomenettelyjen tehokkuutta;</w:t>
            </w:r>
          </w:p>
          <w:p w14:paraId="699F8CF0" w14:textId="77777777" w:rsidR="00E42B18" w:rsidRDefault="009629C4">
            <w:pPr>
              <w:pStyle w:val="P68B1DB1-Normal11"/>
              <w:spacing w:after="80"/>
              <w:ind w:left="340"/>
              <w:jc w:val="both"/>
              <w:rPr>
                <w:noProof/>
                <w:szCs w:val="20"/>
              </w:rPr>
            </w:pPr>
            <w:r>
              <w:rPr>
                <w:noProof/>
              </w:rPr>
              <w:t>— edellyttää toimilupasopimuksen kohteen yksityiskohtaista ja avointa kuvausta</w:t>
            </w:r>
          </w:p>
          <w:p w14:paraId="28EEBE69" w14:textId="77777777" w:rsidR="00E42B18" w:rsidRDefault="009629C4">
            <w:pPr>
              <w:pStyle w:val="P68B1DB1-Normal11"/>
              <w:spacing w:after="80"/>
              <w:ind w:left="340"/>
              <w:jc w:val="both"/>
              <w:rPr>
                <w:noProof/>
                <w:szCs w:val="20"/>
              </w:rPr>
            </w:pPr>
            <w:r>
              <w:rPr>
                <w:noProof/>
              </w:rPr>
              <w:t>—edellyttämään, että toimilupaviranomaiset nimeävät julkisen menettelyn mukaisesti myönnetyt käyttöoikeussopimukset tieosuuksille ottaen huomioon sääntelyviranomaisen laatimat arviot mittakaavatehokkuudesta ja moottoriteiden käyttöoikeussopimusten haltijoiden kustannuksista (Autrià</w:t>
            </w:r>
            <w:r>
              <w:rPr>
                <w:i/>
                <w:noProof/>
              </w:rPr>
              <w:t xml:space="preserve">di Regolazione dei Trasporti </w:t>
            </w:r>
            <w:r>
              <w:rPr>
                <w:noProof/>
              </w:rPr>
              <w:t xml:space="preserve">– ART); </w:t>
            </w:r>
          </w:p>
          <w:p w14:paraId="6A0B9935" w14:textId="77777777" w:rsidR="00E42B18" w:rsidRDefault="009629C4">
            <w:pPr>
              <w:pStyle w:val="P68B1DB1-Normal11"/>
              <w:spacing w:after="80"/>
              <w:ind w:left="340"/>
              <w:jc w:val="both"/>
              <w:rPr>
                <w:noProof/>
                <w:szCs w:val="20"/>
              </w:rPr>
            </w:pPr>
            <w:r>
              <w:rPr>
                <w:noProof/>
              </w:rPr>
              <w:t>— tehostettava infrastruktuuriministeriön suorittamaa valtateiden infrastruktuurien kustannusten ja toteutuksen valvontaa;</w:t>
            </w:r>
          </w:p>
          <w:p w14:paraId="5A018901" w14:textId="77777777" w:rsidR="00E42B18" w:rsidRDefault="009629C4">
            <w:pPr>
              <w:pStyle w:val="P68B1DB1-Normal11"/>
              <w:spacing w:after="80"/>
              <w:ind w:left="340"/>
              <w:jc w:val="both"/>
              <w:rPr>
                <w:noProof/>
                <w:szCs w:val="20"/>
              </w:rPr>
            </w:pPr>
            <w:r>
              <w:rPr>
                <w:noProof/>
              </w:rPr>
              <w:t>— ehkäistä käyttöoikeussopimusten automaattista uusimista, parantaa teknisiä ja hallinnollisia menettelyjä, jotka liittyvät talous- ja rahoitussuunnitelmien säännölliseen päivittämiseen ja näiden suunnitelmien vuotuiseen täytäntöönpanoon, sekä kieltää julkisia hankintoja koskevan koodeksin 193 §:ssä säädettyjen menettelyjen käyttö sellaisten teiden käyttöoikeussopimusten tekemisessä, joiden voimassaolo on päättynyt tai joiden voimassaolo päättyy;</w:t>
            </w:r>
          </w:p>
          <w:p w14:paraId="07F1C3C8" w14:textId="77777777" w:rsidR="00E42B18" w:rsidRDefault="009629C4">
            <w:pPr>
              <w:pStyle w:val="P68B1DB1-Normal11"/>
              <w:spacing w:after="80"/>
              <w:ind w:left="340"/>
              <w:jc w:val="both"/>
              <w:rPr>
                <w:noProof/>
                <w:szCs w:val="20"/>
              </w:rPr>
            </w:pPr>
            <w:r>
              <w:rPr>
                <w:noProof/>
              </w:rPr>
              <w:t xml:space="preserve">— yksinkertaistaa/selventää sopimuksen purkamista ja peruuttamista koskevien ehtojen sääntelyä myös palvelun riittävän tason säilyttämiseksi; </w:t>
            </w:r>
          </w:p>
          <w:p w14:paraId="60F09005" w14:textId="77777777" w:rsidR="00E42B18" w:rsidRDefault="009629C4">
            <w:pPr>
              <w:pStyle w:val="P68B1DB1-Normal11"/>
              <w:spacing w:after="80"/>
              <w:ind w:left="340"/>
              <w:jc w:val="both"/>
              <w:rPr>
                <w:noProof/>
              </w:rPr>
            </w:pPr>
            <w:r>
              <w:rPr>
                <w:noProof/>
              </w:rPr>
              <w:t xml:space="preserve">— jos sopimus irtisanotaan yleisen edun vuoksi, laissa on säädettävä vähintään riittävästä korvauksesta, jotta käyttöoikeussopimuksen saaja voi saada takaisin investoinnit, joita ei ole kokonaan kuoletettu. </w:t>
            </w:r>
          </w:p>
          <w:p w14:paraId="07D1EAC8" w14:textId="77777777" w:rsidR="00E42B18" w:rsidRDefault="00E42B18">
            <w:pPr>
              <w:spacing w:after="80"/>
              <w:ind w:left="340"/>
              <w:jc w:val="both"/>
              <w:rPr>
                <w:rFonts w:ascii="Arial Narrow" w:hAnsi="Arial Narrow"/>
                <w:noProof/>
                <w:color w:val="006100"/>
                <w:sz w:val="20"/>
              </w:rPr>
            </w:pPr>
          </w:p>
          <w:p w14:paraId="1B28C1C4" w14:textId="77777777" w:rsidR="00E42B18" w:rsidRDefault="009629C4">
            <w:pPr>
              <w:pStyle w:val="P68B1DB1-Normal11"/>
              <w:spacing w:after="120"/>
              <w:jc w:val="both"/>
              <w:rPr>
                <w:noProof/>
              </w:rPr>
            </w:pPr>
            <w:r>
              <w:rPr>
                <w:noProof/>
              </w:rPr>
              <w:t xml:space="preserve">hinnoittelua </w:t>
            </w:r>
            <w:r>
              <w:rPr>
                <w:b/>
                <w:noProof/>
              </w:rPr>
              <w:t>koskevan</w:t>
            </w:r>
            <w:r>
              <w:rPr>
                <w:noProof/>
              </w:rPr>
              <w:t xml:space="preserve"> sääntelymallin osalta vuotuisessa kilpailulaissa on vähintään</w:t>
            </w:r>
          </w:p>
          <w:p w14:paraId="059E3E25" w14:textId="7D99FCF5" w:rsidR="00E42B18" w:rsidRDefault="009629C4">
            <w:pPr>
              <w:pStyle w:val="P68B1DB1-Normal11"/>
              <w:spacing w:after="80"/>
              <w:ind w:left="340"/>
              <w:jc w:val="both"/>
              <w:rPr>
                <w:noProof/>
                <w:szCs w:val="20"/>
              </w:rPr>
            </w:pPr>
            <w:r>
              <w:rPr>
                <w:noProof/>
              </w:rPr>
              <w:t>— varmistaa ART:n hinnoittelua koskevan sääntelymallin oikea-aikainen ja täysimääräinen täytäntöönpano, joka perustuu hintakattomenetelmään, ottaen huomioon (toimivaltaisen sääntelyviranomaisen hyväksymän) toimiluvan haltijoiden monivuotisen talous- ja rahoitussuunnitelman säännölliset päivitykset ja näiden suunnitelmien vuotuisen käyttöönoton.</w:t>
            </w:r>
          </w:p>
          <w:p w14:paraId="22C2BEED" w14:textId="77777777" w:rsidR="00E42B18" w:rsidRDefault="00E42B18">
            <w:pPr>
              <w:spacing w:after="80"/>
              <w:ind w:left="340"/>
              <w:jc w:val="both"/>
              <w:rPr>
                <w:rFonts w:ascii="Arial Narrow" w:hAnsi="Arial Narrow"/>
                <w:noProof/>
                <w:color w:val="006100"/>
                <w:sz w:val="20"/>
                <w:szCs w:val="20"/>
              </w:rPr>
            </w:pPr>
          </w:p>
          <w:p w14:paraId="24234764" w14:textId="7C19F419" w:rsidR="00E42B18" w:rsidRDefault="009629C4">
            <w:pPr>
              <w:pStyle w:val="P68B1DB1-Normal11"/>
              <w:spacing w:after="120"/>
              <w:jc w:val="both"/>
              <w:rPr>
                <w:noProof/>
                <w:szCs w:val="20"/>
              </w:rPr>
            </w:pPr>
            <w:r>
              <w:rPr>
                <w:b/>
                <w:noProof/>
              </w:rPr>
              <w:t>III)</w:t>
            </w:r>
            <w:r>
              <w:rPr>
                <w:noProof/>
              </w:rPr>
              <w:t xml:space="preserve"> käyttäjien oikeuksien osalta vuotuisessa kilpailulaissa</w:t>
            </w:r>
          </w:p>
          <w:p w14:paraId="78769121" w14:textId="77777777" w:rsidR="00E42B18" w:rsidRDefault="009629C4">
            <w:pPr>
              <w:pStyle w:val="P68B1DB1-Normal11"/>
              <w:spacing w:after="80"/>
              <w:ind w:left="340"/>
              <w:jc w:val="both"/>
              <w:rPr>
                <w:noProof/>
                <w:szCs w:val="20"/>
              </w:rPr>
            </w:pPr>
            <w:r>
              <w:rPr>
                <w:noProof/>
              </w:rPr>
              <w:t>— varmistetaan käyttäjien oikeuksien turvaamiseen ja riittävien palvelutasojen tarjoamiseen liittyvän ART:n sääntelykehyksen täysimääräinen ja oikea-aikainen täytäntöönpano.</w:t>
            </w:r>
          </w:p>
          <w:p w14:paraId="77AA9BF7" w14:textId="77777777" w:rsidR="00E42B18" w:rsidRDefault="009629C4">
            <w:pPr>
              <w:pStyle w:val="P68B1DB1-Normal11"/>
              <w:jc w:val="both"/>
              <w:rPr>
                <w:noProof/>
                <w:szCs w:val="20"/>
              </w:rPr>
            </w:pPr>
            <w:r>
              <w:rPr>
                <w:noProof/>
              </w:rPr>
              <w:t xml:space="preserve">rakennustöiden </w:t>
            </w:r>
            <w:r>
              <w:rPr>
                <w:b/>
                <w:noProof/>
              </w:rPr>
              <w:t>ulkoistamisen</w:t>
            </w:r>
            <w:r>
              <w:rPr>
                <w:noProof/>
              </w:rPr>
              <w:t xml:space="preserve"> osalta vuotuisessa kilpailulaissa on vähintään </w:t>
            </w:r>
          </w:p>
          <w:p w14:paraId="672E5208" w14:textId="77777777" w:rsidR="00E42B18" w:rsidRDefault="009629C4">
            <w:pPr>
              <w:pStyle w:val="P68B1DB1-Normal11"/>
              <w:spacing w:after="80"/>
              <w:ind w:left="340"/>
              <w:jc w:val="both"/>
              <w:rPr>
                <w:noProof/>
                <w:szCs w:val="20"/>
              </w:rPr>
            </w:pPr>
            <w:r>
              <w:rPr>
                <w:noProof/>
              </w:rPr>
              <w:t>— Asetuksen (decreto legislativo) nro 36/2023 186 §:n 2 momentissa säädetään, että käyttöoikeusurakan saajien on annettava kolmansille osapuolille julkista todistusaineistoa käyttäen 50–60 prosenttia rakennusurakka-, palvelu- ja tavarahankinnoista. Osuudet lasketaan toimilupa-asiakirjoihin liitettyjen talous- ja rahoitussuunnitelmien määrien perusteella.</w:t>
            </w:r>
          </w:p>
          <w:p w14:paraId="770DEE1F" w14:textId="77777777" w:rsidR="00E42B18" w:rsidRDefault="009629C4">
            <w:pPr>
              <w:pStyle w:val="P68B1DB1-Normal11"/>
              <w:jc w:val="both"/>
              <w:rPr>
                <w:noProof/>
                <w:szCs w:val="20"/>
              </w:rPr>
            </w:pPr>
            <w:r>
              <w:rPr>
                <w:noProof/>
              </w:rPr>
              <w:t>kun kyseessä ovat in house -toimeksiannot, laissa säädetään seuraavaa:</w:t>
            </w:r>
          </w:p>
          <w:p w14:paraId="6C7506B5" w14:textId="77777777" w:rsidR="00E42B18" w:rsidRDefault="009629C4">
            <w:pPr>
              <w:pStyle w:val="P68B1DB1-Normal11"/>
              <w:spacing w:after="80"/>
              <w:ind w:left="340"/>
              <w:jc w:val="both"/>
              <w:rPr>
                <w:noProof/>
                <w:szCs w:val="20"/>
              </w:rPr>
            </w:pPr>
            <w:r>
              <w:rPr>
                <w:noProof/>
              </w:rPr>
              <w:t xml:space="preserve">— vaatia pakollista </w:t>
            </w:r>
            <w:r>
              <w:rPr>
                <w:i/>
                <w:noProof/>
              </w:rPr>
              <w:t>ennakkotarkastusta</w:t>
            </w:r>
            <w:r>
              <w:rPr>
                <w:noProof/>
              </w:rPr>
              <w:t xml:space="preserve"> sisäisen toimeksiannon lainmukaisuudesta ja kieltää tarjouskilpailumenettelyn tai sisäisten toimeksiantojen käynnistäminen ilman tätä tarkastusta;</w:t>
            </w:r>
          </w:p>
          <w:p w14:paraId="608F39E0" w14:textId="77777777" w:rsidR="00E42B18" w:rsidRDefault="009629C4">
            <w:pPr>
              <w:pStyle w:val="P68B1DB1-Normal11"/>
              <w:spacing w:after="80"/>
              <w:ind w:left="340"/>
              <w:jc w:val="both"/>
              <w:rPr>
                <w:noProof/>
                <w:szCs w:val="20"/>
              </w:rPr>
            </w:pPr>
            <w:r>
              <w:rPr>
                <w:noProof/>
              </w:rPr>
              <w:t>— annetaan liikenteen sääntelyviranomaiselle (ART) riittävät välineet ja valtuudet suorittaa edellä mainitut tarkastukset sekä kansallisen korruptiontorjuntaviranomaisen (ANAC) (oikeudellinen) tuki;</w:t>
            </w:r>
          </w:p>
          <w:p w14:paraId="71AC2468" w14:textId="77777777" w:rsidR="00E42B18" w:rsidRDefault="009629C4">
            <w:pPr>
              <w:pStyle w:val="P68B1DB1-Normal11"/>
              <w:spacing w:after="80"/>
              <w:ind w:left="340"/>
              <w:jc w:val="both"/>
              <w:rPr>
                <w:noProof/>
                <w:szCs w:val="20"/>
              </w:rPr>
            </w:pPr>
            <w:r>
              <w:rPr>
                <w:noProof/>
              </w:rPr>
              <w:t>— vaaditaan, että sähkölatauspisteiden asentamisessa ja tavaraliikenteen harjoittajien riittävien pysäköinti- ja levähdysalueiden käyttöönotossa noudatetaan täysin ART:n laatimaa sääntelykehystä.</w:t>
            </w:r>
          </w:p>
          <w:p w14:paraId="73FDA868" w14:textId="77777777" w:rsidR="00E42B18" w:rsidRDefault="009629C4">
            <w:pPr>
              <w:pStyle w:val="P68B1DB1-Normal31"/>
              <w:rPr>
                <w:noProof/>
                <w:szCs w:val="20"/>
              </w:rPr>
            </w:pPr>
            <w:r>
              <w:rPr>
                <w:noProof/>
              </w:rPr>
              <w:t>Vakuutus:</w:t>
            </w:r>
          </w:p>
          <w:p w14:paraId="65329D15" w14:textId="77777777" w:rsidR="00E42B18" w:rsidRDefault="009629C4">
            <w:pPr>
              <w:pStyle w:val="P68B1DB1-Normal11"/>
              <w:rPr>
                <w:noProof/>
                <w:szCs w:val="20"/>
              </w:rPr>
            </w:pPr>
            <w:r>
              <w:rPr>
                <w:b/>
                <w:noProof/>
              </w:rPr>
              <w:t>v)</w:t>
            </w:r>
            <w:r>
              <w:rPr>
                <w:noProof/>
              </w:rPr>
              <w:t xml:space="preserve"> sellaisten säädösten voimaantulo, jotka ovat tarpeen auton mustia laatikoita koskevien tietojen siirtämiseksi vakuutuksenantajien välillä;</w:t>
            </w:r>
          </w:p>
          <w:p w14:paraId="61C11FD8" w14:textId="77777777" w:rsidR="00E42B18" w:rsidRDefault="009629C4">
            <w:pPr>
              <w:pStyle w:val="P68B1DB1-Normal31"/>
              <w:rPr>
                <w:noProof/>
                <w:szCs w:val="20"/>
              </w:rPr>
            </w:pPr>
            <w:r>
              <w:rPr>
                <w:noProof/>
              </w:rPr>
              <w:t>Yrityksen perustaminen:</w:t>
            </w:r>
          </w:p>
          <w:p w14:paraId="48EF8CEA" w14:textId="77777777" w:rsidR="00E42B18" w:rsidRDefault="009629C4">
            <w:pPr>
              <w:pStyle w:val="P68B1DB1-Normal12"/>
              <w:jc w:val="both"/>
              <w:rPr>
                <w:noProof/>
              </w:rPr>
            </w:pPr>
            <w:r>
              <w:rPr>
                <w:b/>
                <w:noProof/>
              </w:rPr>
              <w:t>tarkistetaan</w:t>
            </w:r>
            <w:r>
              <w:rPr>
                <w:noProof/>
              </w:rPr>
              <w:t xml:space="preserve"> ja päivitetään innovatiivisia startup-yrityksiä ja riskipääomaa koskevaa lainsäädäntöä (esim. Start Up Act 2012) nykyisen lainsäädännön järkeistämiseksi, startup-yritysten määritelmän tarkistamiseksi ja yksityisten ja yhteisösijoittajien riskipääomasijoitusten edistämiseksi.</w:t>
            </w:r>
          </w:p>
        </w:tc>
      </w:tr>
      <w:tr w:rsidR="00E42B18" w14:paraId="15CCDCE1"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2D79E535" w14:textId="77777777" w:rsidR="00E42B18" w:rsidRDefault="009629C4">
            <w:pPr>
              <w:pStyle w:val="P68B1DB1-Normal12"/>
              <w:spacing w:before="120" w:after="120"/>
              <w:jc w:val="center"/>
              <w:rPr>
                <w:noProof/>
              </w:rPr>
            </w:pPr>
            <w:r>
              <w:rPr>
                <w:noProof/>
              </w:rPr>
              <w:t>M1C2–12</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385AFBCB" w14:textId="77777777" w:rsidR="00E42B18" w:rsidRDefault="009629C4">
            <w:pPr>
              <w:pStyle w:val="P68B1DB1-Normal11"/>
              <w:spacing w:before="120" w:after="120"/>
              <w:jc w:val="center"/>
              <w:rPr>
                <w:noProof/>
                <w:szCs w:val="20"/>
              </w:rPr>
            </w:pPr>
            <w:r>
              <w:rPr>
                <w:noProof/>
              </w:rPr>
              <w:t>Uudistuksen 2: Vuosittaiset kilpailulait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57A76E9" w14:textId="77777777" w:rsidR="00E42B18" w:rsidRDefault="009629C4">
            <w:pPr>
              <w:pStyle w:val="P68B1DB1-Normal11"/>
              <w:spacing w:before="120" w:after="120"/>
              <w:jc w:val="center"/>
              <w:rPr>
                <w:noProof/>
                <w:szCs w:val="20"/>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6308C28" w14:textId="77777777" w:rsidR="00E42B18" w:rsidRDefault="009629C4">
            <w:pPr>
              <w:pStyle w:val="P68B1DB1-Normal11"/>
              <w:spacing w:before="120" w:after="120"/>
              <w:jc w:val="center"/>
              <w:rPr>
                <w:noProof/>
                <w:szCs w:val="20"/>
              </w:rPr>
            </w:pPr>
            <w:r>
              <w:rPr>
                <w:noProof/>
              </w:rPr>
              <w:t xml:space="preserve">Täytäntöönpanotoimenpiteiden (tarvittaessa myös johdetun oikeuden) voimaantulo vuoden 2023 kilpailulaissa ja </w:t>
            </w:r>
            <w:r>
              <w:rPr>
                <w:noProof/>
                <w:szCs w:val="20"/>
              </w:rPr>
              <w:t>muussa primaarilainsäädännössä</w:t>
            </w:r>
            <w:r>
              <w:rPr>
                <w:noProof/>
              </w:rPr>
              <w:t xml:space="preserve"> vahvistettujen toimenpiteiden täytäntöönpanemiseksi ja soveltamiseksi</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F7DA742" w14:textId="77777777" w:rsidR="00E42B18" w:rsidRDefault="009629C4">
            <w:pPr>
              <w:pStyle w:val="P68B1DB1-Normal11"/>
              <w:spacing w:before="120" w:after="120"/>
              <w:jc w:val="center"/>
              <w:rPr>
                <w:noProof/>
                <w:szCs w:val="20"/>
              </w:rPr>
            </w:pPr>
            <w:r>
              <w:rPr>
                <w:noProof/>
              </w:rPr>
              <w:t xml:space="preserve">Sekundaarilainsäädännön voimaantulo, mukaan lukien kaikki tarvittavat asetukset vuoden 2023 kilpailulaissa ja muussa primaarioikeudessa vahvistettujen toimenpiteiden täytäntöönpanemiseksi ja soveltamiseksi </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28668D0" w14:textId="77777777" w:rsidR="00E42B18" w:rsidRDefault="009629C4">
            <w:pPr>
              <w:pStyle w:val="P68B1DB1-Normal11"/>
              <w:spacing w:before="120" w:after="120"/>
              <w:jc w:val="center"/>
              <w:rPr>
                <w:noProof/>
                <w:szCs w:val="20"/>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96FEB99" w14:textId="77777777" w:rsidR="00E42B18" w:rsidRDefault="009629C4">
            <w:pPr>
              <w:pStyle w:val="P68B1DB1-Normal11"/>
              <w:spacing w:before="120" w:after="120"/>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5AE261F" w14:textId="77777777" w:rsidR="00E42B18" w:rsidRDefault="009629C4">
            <w:pPr>
              <w:pStyle w:val="P68B1DB1-Normal11"/>
              <w:spacing w:before="120" w:after="120"/>
              <w:jc w:val="center"/>
              <w:rPr>
                <w:noProof/>
                <w:szCs w:val="20"/>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44F94F6C" w14:textId="77777777" w:rsidR="00E42B18" w:rsidRDefault="009629C4">
            <w:pPr>
              <w:pStyle w:val="P68B1DB1-Normal11"/>
              <w:spacing w:before="120" w:after="120"/>
              <w:jc w:val="center"/>
              <w:rPr>
                <w:noProof/>
                <w:szCs w:val="20"/>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B68CC1C" w14:textId="77777777" w:rsidR="00E42B18" w:rsidRDefault="009629C4">
            <w:pPr>
              <w:pStyle w:val="P68B1DB1-Normal11"/>
              <w:spacing w:before="120" w:after="120"/>
              <w:jc w:val="center"/>
              <w:rPr>
                <w:noProof/>
                <w:szCs w:val="20"/>
              </w:rPr>
            </w:pPr>
            <w:r>
              <w:rPr>
                <w:noProof/>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6E6B1AE5" w14:textId="77777777" w:rsidR="00E42B18" w:rsidRDefault="009629C4">
            <w:pPr>
              <w:pStyle w:val="P68B1DB1-Normal12"/>
              <w:spacing w:before="120" w:after="120"/>
              <w:rPr>
                <w:noProof/>
              </w:rPr>
            </w:pPr>
            <w:r>
              <w:rPr>
                <w:noProof/>
              </w:rPr>
              <w:t>Sekundaarilainsäädännön voimaantulo (tarvittaessa), mukaan lukien säännökset, jotka ovat tarpeen vuoden 2023 kilpailulaissa vahvistettujen asiaankuuluvien toimenpiteiden täytäntöönpanoa ja soveltamista varten.</w:t>
            </w:r>
          </w:p>
          <w:p w14:paraId="1DF3C365" w14:textId="77777777" w:rsidR="00E42B18" w:rsidRDefault="009629C4">
            <w:pPr>
              <w:pStyle w:val="P68B1DB1-Normal12"/>
              <w:spacing w:before="120" w:after="120"/>
              <w:rPr>
                <w:noProof/>
              </w:rPr>
            </w:pPr>
            <w:r>
              <w:rPr>
                <w:noProof/>
              </w:rPr>
              <w:t>Kylmäsilitystä ja maakaasun vähittäismyyjien luetteloita koskevan sekundaarilainsäädännön voimaantulo:</w:t>
            </w:r>
          </w:p>
          <w:p w14:paraId="2B9BCB71" w14:textId="77777777" w:rsidR="00E42B18" w:rsidRDefault="009629C4">
            <w:pPr>
              <w:pStyle w:val="P68B1DB1-Normal12"/>
              <w:jc w:val="both"/>
              <w:rPr>
                <w:noProof/>
              </w:rPr>
            </w:pPr>
            <w:r>
              <w:rPr>
                <w:b/>
                <w:noProof/>
              </w:rPr>
              <w:t>Kylmäsilitykseen</w:t>
            </w:r>
            <w:r>
              <w:rPr>
                <w:noProof/>
              </w:rPr>
              <w:t xml:space="preserve">: </w:t>
            </w:r>
          </w:p>
          <w:p w14:paraId="12D8680C" w14:textId="77777777" w:rsidR="00E42B18" w:rsidRDefault="009629C4">
            <w:pPr>
              <w:pStyle w:val="P68B1DB1-Normal12"/>
              <w:rPr>
                <w:noProof/>
              </w:rPr>
            </w:pPr>
            <w:r>
              <w:rPr>
                <w:noProof/>
              </w:rPr>
              <w:t>Kylmäsilityspalvelujen käyttöä satamissa koskevien sääntelykannustimien voimaantulo.</w:t>
            </w:r>
          </w:p>
          <w:p w14:paraId="131C5E77" w14:textId="77777777" w:rsidR="00E42B18" w:rsidRDefault="009629C4">
            <w:pPr>
              <w:pStyle w:val="P68B1DB1-Normal32"/>
              <w:jc w:val="both"/>
              <w:rPr>
                <w:bCs/>
                <w:noProof/>
              </w:rPr>
            </w:pPr>
            <w:r>
              <w:rPr>
                <w:noProof/>
              </w:rPr>
              <w:t>Luettelo maakaasun vähittäismyyjistä:</w:t>
            </w:r>
          </w:p>
          <w:p w14:paraId="4260C75C" w14:textId="77777777" w:rsidR="00E42B18" w:rsidRDefault="009629C4">
            <w:pPr>
              <w:pStyle w:val="P68B1DB1-Normal12"/>
              <w:jc w:val="both"/>
              <w:rPr>
                <w:noProof/>
              </w:rPr>
            </w:pPr>
            <w:r>
              <w:rPr>
                <w:noProof/>
              </w:rPr>
              <w:t>Sellaisen johdetun oikeuden voimaantulo, jossa määritellään yritysten verkkoon pääsyä ja pysyvyyttä koskevat kriteerit ja vaatimukset asetuksen nro 164/2000 17 §:ssä vahvistetussa maakaasun vähittäismyyjien luettelossa ja jonka tarkoituksena on lisätä avoimuutta ja tukea kuluttajien valinnanvaraa kilpailluilla markkinoilla.</w:t>
            </w:r>
          </w:p>
        </w:tc>
      </w:tr>
      <w:tr w:rsidR="00E42B18" w14:paraId="36E17CC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F427003" w14:textId="77777777" w:rsidR="00E42B18" w:rsidRDefault="009629C4">
            <w:pPr>
              <w:pStyle w:val="P68B1DB1-Normal12"/>
              <w:spacing w:before="120" w:after="120"/>
              <w:jc w:val="center"/>
              <w:rPr>
                <w:noProof/>
              </w:rPr>
            </w:pPr>
            <w:r>
              <w:rPr>
                <w:noProof/>
              </w:rPr>
              <w:t>M1C2–13</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2D01FD8" w14:textId="77777777" w:rsidR="00E42B18" w:rsidRDefault="009629C4">
            <w:pPr>
              <w:pStyle w:val="P68B1DB1-Normal11"/>
              <w:spacing w:before="120" w:after="120"/>
              <w:jc w:val="center"/>
              <w:rPr>
                <w:noProof/>
                <w:szCs w:val="20"/>
              </w:rPr>
            </w:pPr>
            <w:r>
              <w:rPr>
                <w:noProof/>
              </w:rPr>
              <w:t>Uudistuksen 2: Vuosittaiset kilpailulait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65628BF1" w14:textId="77777777" w:rsidR="00E42B18" w:rsidRDefault="009629C4">
            <w:pPr>
              <w:pStyle w:val="P68B1DB1-Normal11"/>
              <w:spacing w:before="120" w:after="120"/>
              <w:jc w:val="center"/>
              <w:rPr>
                <w:noProof/>
                <w:szCs w:val="20"/>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09F7AAA" w14:textId="77777777" w:rsidR="00E42B18" w:rsidRDefault="009629C4">
            <w:pPr>
              <w:pStyle w:val="P68B1DB1-Normal11"/>
              <w:spacing w:before="120" w:after="120"/>
              <w:jc w:val="center"/>
              <w:rPr>
                <w:noProof/>
                <w:szCs w:val="20"/>
              </w:rPr>
            </w:pPr>
            <w:r>
              <w:rPr>
                <w:noProof/>
              </w:rPr>
              <w:t>Vuoden 2025 kilpailulain voimaantulo</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13184A1" w14:textId="77777777" w:rsidR="00E42B18" w:rsidRDefault="009629C4">
            <w:pPr>
              <w:pStyle w:val="P68B1DB1-Normal11"/>
              <w:spacing w:before="120" w:after="120"/>
              <w:jc w:val="center"/>
              <w:rPr>
                <w:noProof/>
                <w:szCs w:val="20"/>
              </w:rPr>
            </w:pPr>
            <w:r>
              <w:rPr>
                <w:noProof/>
              </w:rPr>
              <w:t>Säännös, joka koskee vuoden 2025 vuotuisen kilpailulain voimaantuloa.</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3B9E928" w14:textId="77777777" w:rsidR="00E42B18" w:rsidRDefault="009629C4">
            <w:pPr>
              <w:pStyle w:val="P68B1DB1-Normal11"/>
              <w:spacing w:before="120" w:after="120"/>
              <w:jc w:val="center"/>
              <w:rPr>
                <w:noProof/>
                <w:szCs w:val="20"/>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E32871D" w14:textId="77777777" w:rsidR="00E42B18" w:rsidRDefault="009629C4">
            <w:pPr>
              <w:pStyle w:val="P68B1DB1-Normal11"/>
              <w:spacing w:before="120" w:after="120"/>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3762672" w14:textId="77777777" w:rsidR="00E42B18" w:rsidRDefault="009629C4">
            <w:pPr>
              <w:pStyle w:val="P68B1DB1-Normal11"/>
              <w:spacing w:before="120" w:after="120"/>
              <w:jc w:val="center"/>
              <w:rPr>
                <w:noProof/>
                <w:szCs w:val="20"/>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6ADC51F" w14:textId="77777777" w:rsidR="00E42B18" w:rsidRDefault="009629C4">
            <w:pPr>
              <w:pStyle w:val="P68B1DB1-Normal11"/>
              <w:spacing w:before="120" w:after="120"/>
              <w:jc w:val="center"/>
              <w:rPr>
                <w:noProof/>
                <w:szCs w:val="20"/>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3700AB4" w14:textId="77777777" w:rsidR="00E42B18" w:rsidRDefault="009629C4">
            <w:pPr>
              <w:pStyle w:val="P68B1DB1-Normal11"/>
              <w:spacing w:before="120" w:after="120"/>
              <w:jc w:val="center"/>
              <w:rPr>
                <w:noProof/>
                <w:szCs w:val="20"/>
              </w:rPr>
            </w:pPr>
            <w:r>
              <w:rPr>
                <w:noProof/>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5C57906D" w14:textId="77777777" w:rsidR="00E42B18" w:rsidRDefault="009629C4">
            <w:pPr>
              <w:pStyle w:val="P68B1DB1-Normal33"/>
              <w:spacing w:before="120" w:after="120"/>
              <w:rPr>
                <w:noProof/>
              </w:rPr>
            </w:pPr>
            <w:r>
              <w:rPr>
                <w:noProof/>
              </w:rPr>
              <w:t xml:space="preserve">Vuoden 2025 kilpailulaki tulee voimaan. </w:t>
            </w:r>
          </w:p>
          <w:p w14:paraId="264C9B29" w14:textId="77777777" w:rsidR="00E42B18" w:rsidRDefault="009629C4">
            <w:pPr>
              <w:pStyle w:val="P68B1DB1-Normal33"/>
              <w:spacing w:before="120" w:after="120"/>
              <w:rPr>
                <w:noProof/>
              </w:rPr>
            </w:pPr>
            <w:r>
              <w:rPr>
                <w:noProof/>
              </w:rPr>
              <w:t xml:space="preserve">Primaari- ja sekundaarilainsäädäntö (tarvittaessa myös täytäntöönpanosäädökset) hyväksytään, ja se tulee voimaan viimeistään 4.Q 2025. </w:t>
            </w:r>
          </w:p>
          <w:p w14:paraId="63E94D82" w14:textId="77777777" w:rsidR="00E42B18" w:rsidRDefault="009629C4">
            <w:pPr>
              <w:pStyle w:val="P68B1DB1-Normal33"/>
              <w:spacing w:before="120" w:after="120"/>
              <w:rPr>
                <w:noProof/>
              </w:rPr>
            </w:pPr>
            <w:r>
              <w:rPr>
                <w:noProof/>
              </w:rPr>
              <w:t>Vuotuisessa kilpailulaissa säädetään seuraavaa:</w:t>
            </w:r>
          </w:p>
          <w:p w14:paraId="084F575C" w14:textId="77777777" w:rsidR="00E42B18" w:rsidRDefault="009629C4">
            <w:pPr>
              <w:pStyle w:val="P68B1DB1-Normal34"/>
              <w:spacing w:before="120" w:after="120"/>
              <w:rPr>
                <w:bCs/>
                <w:noProof/>
              </w:rPr>
            </w:pPr>
            <w:r>
              <w:rPr>
                <w:noProof/>
              </w:rPr>
              <w:t>I – Paikalliset julkiset palvelut:</w:t>
            </w:r>
          </w:p>
          <w:p w14:paraId="66D723CF" w14:textId="77777777" w:rsidR="00E42B18" w:rsidRDefault="009629C4">
            <w:pPr>
              <w:pStyle w:val="P68B1DB1-Normal33"/>
              <w:numPr>
                <w:ilvl w:val="0"/>
                <w:numId w:val="24"/>
              </w:numPr>
              <w:spacing w:before="120" w:after="120" w:line="279" w:lineRule="auto"/>
              <w:ind w:left="369" w:hanging="283"/>
              <w:rPr>
                <w:noProof/>
              </w:rPr>
            </w:pPr>
            <w:r>
              <w:rPr>
                <w:noProof/>
              </w:rPr>
              <w:t>Otetaan käyttöön korjaavia toimenpiteitä ja seuraamuksia asetuksen 201/2022 30 §:ssä edellytetyn valvonnan hyväksymättä jättämisestä, julkaisematta jättämisestä tai puutteellisuudesta.</w:t>
            </w:r>
          </w:p>
          <w:p w14:paraId="6685AFA9" w14:textId="77777777" w:rsidR="00E42B18" w:rsidRDefault="009629C4">
            <w:pPr>
              <w:pStyle w:val="P68B1DB1-Normal33"/>
              <w:numPr>
                <w:ilvl w:val="0"/>
                <w:numId w:val="24"/>
              </w:numPr>
              <w:spacing w:before="120" w:after="120" w:line="279" w:lineRule="auto"/>
              <w:ind w:left="369" w:hanging="283"/>
              <w:rPr>
                <w:noProof/>
              </w:rPr>
            </w:pPr>
            <w:r>
              <w:rPr>
                <w:noProof/>
              </w:rPr>
              <w:t>Otetaan käyttöön korjaavia toimenpiteitä, jos paikallisen julkisen palvelun hallinto* ei ole tyydyttävä. Tällaisiin toimenpiteisiin on sisällyttävä ainakin sellaisten suunnitelmien hyväksyminen, joilla parannetaan laatua, kustannustehokkuutta ja saavutetaan kaikki sopimustavoitteet. Uudistuksessa on määrättävä, että hankintaviranomaiset vaativat korjaavia toimenpiteitä asetetuissa määräajoissa.</w:t>
            </w:r>
          </w:p>
          <w:p w14:paraId="6A043354" w14:textId="3F64517E" w:rsidR="00E42B18" w:rsidRDefault="009629C4">
            <w:pPr>
              <w:pStyle w:val="P68B1DB1-Normal33"/>
              <w:numPr>
                <w:ilvl w:val="0"/>
                <w:numId w:val="24"/>
              </w:numPr>
              <w:spacing w:before="120" w:after="120" w:line="279" w:lineRule="auto"/>
              <w:ind w:left="369" w:hanging="283"/>
              <w:rPr>
                <w:noProof/>
              </w:rPr>
            </w:pPr>
            <w:r>
              <w:rPr>
                <w:noProof/>
              </w:rPr>
              <w:t xml:space="preserve">Ottaa käyttöön edellä mainittuja korjaavia toimenpiteitä koskevia avoimuusvelvoitteita, varmistaa toimivaltaisten sääntelyviranomaisten/viranomaisten seuranta- ja täytäntöönpanovaltuudet ja tarvittaessa vahvistaa niitä sekä vaatia toimivaltaista viranomaista antamaan vuosittain parlamentille kertomuksen korjaavien toimenpiteiden täytäntöönpanon tilanteesta. </w:t>
            </w:r>
          </w:p>
          <w:p w14:paraId="3E321F24" w14:textId="77777777" w:rsidR="00E42B18" w:rsidRDefault="009629C4">
            <w:pPr>
              <w:pStyle w:val="P68B1DB1-Normal33"/>
              <w:spacing w:before="120" w:after="120"/>
              <w:rPr>
                <w:noProof/>
              </w:rPr>
            </w:pPr>
            <w:bookmarkStart w:id="8" w:name="_Hlk212535598"/>
            <w:r>
              <w:rPr>
                <w:noProof/>
              </w:rPr>
              <w:t>*</w:t>
            </w:r>
            <w:bookmarkEnd w:id="8"/>
            <w:r>
              <w:rPr>
                <w:noProof/>
              </w:rPr>
              <w:t xml:space="preserve"> Epätyydyttävä johto on määriteltävä siten, että se kattaa ainakin tilanteet, joissa liikenteenharjoittajalle on aiheutunut merkittäviä tappioita, jotka voivat vaarantaa sen taloudellisen ja rahoituksellisen elinkelpoisuuden, tai joissa palvelun laatu alittaa merkittävästi alakohtaiset vertailuarvot tai suorituskyky on selvästi sopimustavoitteiden alapuolella.</w:t>
            </w:r>
          </w:p>
          <w:p w14:paraId="23E18B0F" w14:textId="77777777" w:rsidR="00E42B18" w:rsidRDefault="00E42B18">
            <w:pPr>
              <w:spacing w:before="120" w:after="120"/>
              <w:rPr>
                <w:rFonts w:ascii="Arial Narrow" w:eastAsia="Times New Roman" w:hAnsi="Arial Narrow" w:cs="Segoe UI"/>
                <w:noProof/>
                <w:color w:val="006100"/>
                <w:sz w:val="20"/>
                <w:szCs w:val="20"/>
              </w:rPr>
            </w:pPr>
          </w:p>
          <w:p w14:paraId="1EA09644" w14:textId="77777777" w:rsidR="00E42B18" w:rsidRDefault="009629C4">
            <w:pPr>
              <w:pStyle w:val="P68B1DB1-Normal34"/>
              <w:spacing w:before="120" w:after="120"/>
              <w:rPr>
                <w:bCs/>
                <w:noProof/>
              </w:rPr>
            </w:pPr>
            <w:r>
              <w:rPr>
                <w:noProof/>
              </w:rPr>
              <w:t>II – Alueliikenne:</w:t>
            </w:r>
          </w:p>
          <w:p w14:paraId="11B1840D" w14:textId="77777777" w:rsidR="00E42B18" w:rsidRDefault="009629C4">
            <w:pPr>
              <w:pStyle w:val="P68B1DB1-Normal33"/>
              <w:numPr>
                <w:ilvl w:val="0"/>
                <w:numId w:val="24"/>
              </w:numPr>
              <w:spacing w:before="120" w:after="120" w:line="279" w:lineRule="auto"/>
              <w:ind w:left="369" w:hanging="369"/>
              <w:rPr>
                <w:noProof/>
              </w:rPr>
            </w:pPr>
            <w:r>
              <w:rPr>
                <w:noProof/>
              </w:rPr>
              <w:t>Laajennetaan 14 artiklan 1 kohdan soveltaminen koskemaan myös alueellista julkista liikennettä (mukaan lukien asetuksen (EY) N:o 1370/2007 mukaiset ”sisäiset liikenteenharjoittajat”). Asetuksen 201/2022, sellaisena kuin se on uudistettu edellä, 2, 3, 17, 30 ja 31 kohta.</w:t>
            </w:r>
          </w:p>
          <w:p w14:paraId="622395ED" w14:textId="77777777" w:rsidR="00E42B18" w:rsidRDefault="009629C4">
            <w:pPr>
              <w:pStyle w:val="P68B1DB1-Normal33"/>
              <w:numPr>
                <w:ilvl w:val="0"/>
                <w:numId w:val="24"/>
              </w:numPr>
              <w:spacing w:before="120" w:after="120" w:line="279" w:lineRule="auto"/>
              <w:ind w:left="369" w:hanging="369"/>
              <w:rPr>
                <w:noProof/>
              </w:rPr>
            </w:pPr>
            <w:r>
              <w:rPr>
                <w:noProof/>
              </w:rPr>
              <w:t>Tarkistetaan vuotuisen kilpailulain nro 118/2022 9 §:ää siten, että infrastruktuuri- ja liikenneministeriö velvoitetaan julkaisemaan vuosittain vuodesta 2026 alkaen sopivasti porrastettu aikataulu kaikkien sellaisten rautatiesopimusten tekomenettelyistä, joiden voimassaolo päättyy.</w:t>
            </w:r>
          </w:p>
          <w:p w14:paraId="0A3B8F93" w14:textId="77777777" w:rsidR="00E42B18" w:rsidRDefault="009629C4">
            <w:pPr>
              <w:pStyle w:val="P68B1DB1-Normal33"/>
              <w:numPr>
                <w:ilvl w:val="0"/>
                <w:numId w:val="24"/>
              </w:numPr>
              <w:spacing w:before="120" w:after="120" w:line="279" w:lineRule="auto"/>
              <w:ind w:left="369" w:hanging="369"/>
              <w:rPr>
                <w:noProof/>
              </w:rPr>
            </w:pPr>
            <w:r>
              <w:rPr>
                <w:noProof/>
              </w:rPr>
              <w:t>Edellytetään, että ART käynnistää vuoden 2026 toiseen neljännekseen mennessä julkisen kuulemisen alueellisten liikennepalvelujen myöntämismenettelyjen standardointia koskevien suuntaviivojen hyväksymiseksi.</w:t>
            </w:r>
          </w:p>
          <w:p w14:paraId="29FFB227" w14:textId="77777777" w:rsidR="00E42B18" w:rsidRDefault="00E42B18">
            <w:pPr>
              <w:spacing w:before="120" w:after="120"/>
              <w:rPr>
                <w:rFonts w:ascii="Arial Narrow" w:eastAsia="Times New Roman" w:hAnsi="Arial Narrow" w:cs="Segoe UI"/>
                <w:noProof/>
                <w:color w:val="006100"/>
                <w:sz w:val="20"/>
                <w:szCs w:val="20"/>
              </w:rPr>
            </w:pPr>
          </w:p>
          <w:p w14:paraId="51623B0A" w14:textId="77777777" w:rsidR="00E42B18" w:rsidRDefault="009629C4">
            <w:pPr>
              <w:pStyle w:val="P68B1DB1-Normal34"/>
              <w:spacing w:before="120" w:after="120"/>
              <w:rPr>
                <w:noProof/>
              </w:rPr>
            </w:pPr>
            <w:r>
              <w:rPr>
                <w:noProof/>
              </w:rPr>
              <w:t>III – Sähkölatausasemat:</w:t>
            </w:r>
          </w:p>
          <w:p w14:paraId="407FC34D" w14:textId="77777777" w:rsidR="00E42B18" w:rsidRDefault="009629C4">
            <w:pPr>
              <w:pStyle w:val="P68B1DB1-Normal33"/>
              <w:numPr>
                <w:ilvl w:val="0"/>
                <w:numId w:val="24"/>
              </w:numPr>
              <w:spacing w:before="120" w:after="120" w:line="279" w:lineRule="auto"/>
              <w:ind w:left="369" w:hanging="283"/>
              <w:rPr>
                <w:noProof/>
              </w:rPr>
            </w:pPr>
            <w:r>
              <w:rPr>
                <w:noProof/>
              </w:rPr>
              <w:t xml:space="preserve">Varmistettava, että sähkölatauspisteitä koskevien käyttöoikeussopimusten tekeminen edistää kilpailua kannustamalla monenlaisiin toimittajiin markkinoilla. </w:t>
            </w:r>
          </w:p>
          <w:p w14:paraId="0074448E" w14:textId="77777777" w:rsidR="00E42B18" w:rsidRDefault="00E42B18">
            <w:pPr>
              <w:spacing w:before="120" w:after="120"/>
              <w:rPr>
                <w:rFonts w:ascii="Arial Narrow" w:eastAsia="Times New Roman" w:hAnsi="Arial Narrow" w:cs="Segoe UI"/>
                <w:noProof/>
                <w:color w:val="006100"/>
                <w:sz w:val="20"/>
                <w:szCs w:val="20"/>
              </w:rPr>
            </w:pPr>
          </w:p>
          <w:p w14:paraId="0776BE6D" w14:textId="77777777" w:rsidR="00E42B18" w:rsidRDefault="009629C4">
            <w:pPr>
              <w:pStyle w:val="P68B1DB1-Normal34"/>
              <w:spacing w:before="120" w:after="120"/>
              <w:rPr>
                <w:bCs/>
                <w:noProof/>
              </w:rPr>
            </w:pPr>
            <w:r>
              <w:rPr>
                <w:noProof/>
              </w:rPr>
              <w:t>IV – Terveys:</w:t>
            </w:r>
          </w:p>
          <w:p w14:paraId="71740FF9" w14:textId="77777777" w:rsidR="00E42B18" w:rsidRDefault="009629C4">
            <w:pPr>
              <w:pStyle w:val="P68B1DB1-Normal12"/>
              <w:numPr>
                <w:ilvl w:val="0"/>
                <w:numId w:val="24"/>
              </w:numPr>
              <w:spacing w:before="120" w:after="120" w:line="279" w:lineRule="auto"/>
              <w:ind w:left="227" w:hanging="227"/>
              <w:rPr>
                <w:rFonts w:eastAsia="Arial Narrow" w:cs="Arial Narrow"/>
                <w:noProof/>
              </w:rPr>
            </w:pPr>
            <w:r>
              <w:rPr>
                <w:noProof/>
              </w:rPr>
              <w:t>Vahvistaa sopimuksille yhteiset perusteet, joilla varmistetaan yksityisten yritysten akkreditoinnista kansanterveysjärjestelmään annetun asetuksen 502/1992, sellaisena kuin se on muutettuna lailla 118/2022, 8 quater ja 8 quinquies §:n tehokas täytäntöönpano sekä avoimia ja läpinäkyviä valintamenettelyjä koskevien sääntöjen täytäntöönpano.</w:t>
            </w:r>
          </w:p>
          <w:p w14:paraId="64489CAA" w14:textId="77777777" w:rsidR="00E42B18" w:rsidRDefault="009629C4">
            <w:pPr>
              <w:pStyle w:val="P68B1DB1-Normal34"/>
              <w:spacing w:before="120" w:after="120"/>
              <w:rPr>
                <w:bCs/>
                <w:noProof/>
              </w:rPr>
            </w:pPr>
            <w:r>
              <w:rPr>
                <w:noProof/>
              </w:rPr>
              <w:t>V. – Teknologian siirto:</w:t>
            </w:r>
          </w:p>
          <w:p w14:paraId="50AF0F8E" w14:textId="77777777" w:rsidR="00E42B18" w:rsidRDefault="009629C4">
            <w:pPr>
              <w:pStyle w:val="P68B1DB1-Normal33"/>
              <w:numPr>
                <w:ilvl w:val="0"/>
                <w:numId w:val="24"/>
              </w:numPr>
              <w:spacing w:before="120" w:after="120" w:line="279" w:lineRule="auto"/>
              <w:ind w:left="369" w:hanging="283"/>
              <w:rPr>
                <w:noProof/>
              </w:rPr>
            </w:pPr>
            <w:r>
              <w:rPr>
                <w:noProof/>
              </w:rPr>
              <w:t xml:space="preserve">Vaatia Italian yritys- ja Made-ministeriötä sekä yliopisto- ja tutkimusministeriötä hyväksymään vuoden 2026 toiseen neljännekseen mennessä teknologian siirtoa ja tietämyksen hyödyntämistä koskevan kansallisen strategian, jolla tehostetaan käytettävissä olevien resurssien jakamista ja edistetään koordinoitua strategiaa eri säätiöiden ja muiden teknologian siirron alalla toimivien institutionaalisten tahojen välillä. Aloitteella tuetaan ja järkeistetään teknologiansiirtotoimistoja myös edistämällä federatiivisia aloitteita tai muita politiikkoja tehokkuuden lisäämiseksi. </w:t>
            </w:r>
          </w:p>
          <w:p w14:paraId="66F4A6B5" w14:textId="77777777" w:rsidR="00E42B18" w:rsidRDefault="009629C4">
            <w:pPr>
              <w:pStyle w:val="P68B1DB1-Normal34"/>
              <w:spacing w:before="120" w:after="120"/>
              <w:rPr>
                <w:bCs/>
                <w:noProof/>
              </w:rPr>
            </w:pPr>
            <w:r>
              <w:rPr>
                <w:noProof/>
              </w:rPr>
              <w:t>VI – säännellyt ammatit:</w:t>
            </w:r>
          </w:p>
          <w:p w14:paraId="52AC4BB7" w14:textId="77777777" w:rsidR="00E42B18" w:rsidRDefault="009629C4">
            <w:pPr>
              <w:pStyle w:val="P68B1DB1-ListParagraph35"/>
              <w:numPr>
                <w:ilvl w:val="0"/>
                <w:numId w:val="24"/>
              </w:numPr>
              <w:spacing w:before="120" w:after="120"/>
              <w:ind w:left="224" w:hanging="224"/>
              <w:jc w:val="both"/>
              <w:rPr>
                <w:noProof/>
              </w:rPr>
            </w:pPr>
            <w:r>
              <w:rPr>
                <w:noProof/>
              </w:rPr>
              <w:t>Yksinkertaistetaan ammattiyritysten perustamista ja rekisteröintiä koskevia vaatimuksia.</w:t>
            </w:r>
          </w:p>
        </w:tc>
      </w:tr>
      <w:tr w:rsidR="00E42B18" w14:paraId="5DE1D86E"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37CBB35" w14:textId="77777777" w:rsidR="00E42B18" w:rsidRDefault="009629C4">
            <w:pPr>
              <w:pStyle w:val="P68B1DB1-Normal11"/>
              <w:spacing w:before="120" w:after="120"/>
              <w:jc w:val="center"/>
              <w:rPr>
                <w:noProof/>
                <w:szCs w:val="20"/>
              </w:rPr>
            </w:pPr>
            <w:r>
              <w:rPr>
                <w:noProof/>
              </w:rPr>
              <w:t>M1C2–13a</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3269CB8" w14:textId="77777777" w:rsidR="00E42B18" w:rsidRDefault="009629C4">
            <w:pPr>
              <w:pStyle w:val="P68B1DB1-Normal11"/>
              <w:spacing w:before="120" w:after="120"/>
              <w:jc w:val="center"/>
              <w:rPr>
                <w:noProof/>
              </w:rPr>
            </w:pPr>
            <w:r>
              <w:rPr>
                <w:noProof/>
              </w:rPr>
              <w:t>Uudistuksen 2: Vuosittaiset kilpailulait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B572F16" w14:textId="77777777" w:rsidR="00E42B18" w:rsidRDefault="009629C4">
            <w:pPr>
              <w:pStyle w:val="P68B1DB1-Normal11"/>
              <w:spacing w:before="120" w:after="120"/>
              <w:jc w:val="center"/>
              <w:rPr>
                <w:noProof/>
              </w:rPr>
            </w:pPr>
            <w:r>
              <w:rPr>
                <w:noProof/>
              </w:rPr>
              <w:t>Virstanpylväs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AB63C94" w14:textId="77777777" w:rsidR="00E42B18" w:rsidRDefault="009629C4">
            <w:pPr>
              <w:pStyle w:val="P68B1DB1-Normal33"/>
              <w:spacing w:before="120" w:after="120"/>
              <w:jc w:val="center"/>
              <w:rPr>
                <w:noProof/>
              </w:rPr>
            </w:pPr>
            <w:r>
              <w:rPr>
                <w:noProof/>
              </w:rPr>
              <w:t>Alueellisia rautateitä ja teknologian siirtoa koskevan lainsäädännön (mukaan lukien sekundaarilainsäädäntö ja täytäntöönpanosäädökset, jotka koskevat vuoden 2025 vuotuista kilpailulakia) voimaantulo</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7C3ECE95" w14:textId="77777777" w:rsidR="00E42B18" w:rsidRDefault="009629C4">
            <w:pPr>
              <w:pStyle w:val="P68B1DB1-Normal21"/>
              <w:spacing w:before="120" w:after="120"/>
              <w:jc w:val="center"/>
              <w:rPr>
                <w:rFonts w:ascii="Arial Narrow" w:hAnsi="Arial Narrow"/>
                <w:noProof/>
              </w:rPr>
            </w:pPr>
            <w:r>
              <w:rPr>
                <w:rFonts w:ascii="Arial Narrow" w:hAnsi="Arial Narrow"/>
                <w:noProof/>
              </w:rPr>
              <w:t>Säännös, jossa</w:t>
            </w:r>
            <w:r>
              <w:rPr>
                <w:rFonts w:ascii="Arial Narrow" w:eastAsia="Times New Roman" w:hAnsi="Arial Narrow" w:cs="Segoe UI"/>
                <w:noProof/>
                <w:szCs w:val="20"/>
              </w:rPr>
              <w:t>ilmoitetaan alueellisia rautateitä ja teknologian siirtoa koskevan lainsäädännön (mukaan lukien sekundaarilainsäädäntö ja vuoden 2025 vuotuista kilpailulakia koskevat täytäntöönpanosäädökset) voimaantulo</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0881BA6" w14:textId="77777777" w:rsidR="00E42B18" w:rsidRDefault="009629C4">
            <w:pPr>
              <w:pStyle w:val="P68B1DB1-Normal11"/>
              <w:spacing w:before="120" w:after="120"/>
              <w:jc w:val="center"/>
              <w:rPr>
                <w:noProof/>
              </w:rPr>
            </w:pPr>
            <w:r>
              <w:rPr>
                <w:noProof/>
              </w:rPr>
              <w:t>EI OLE</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509969F9" w14:textId="77777777" w:rsidR="00E42B18" w:rsidRDefault="009629C4">
            <w:pPr>
              <w:pStyle w:val="P68B1DB1-Normal11"/>
              <w:spacing w:before="120" w:after="120"/>
              <w:jc w:val="center"/>
              <w:rPr>
                <w:noProof/>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88357EA" w14:textId="77777777" w:rsidR="00E42B18" w:rsidRDefault="009629C4">
            <w:pPr>
              <w:pStyle w:val="P68B1DB1-Normal11"/>
              <w:spacing w:before="120" w:after="120"/>
              <w:jc w:val="center"/>
              <w:rPr>
                <w:noProof/>
              </w:rPr>
            </w:pPr>
            <w:r>
              <w:rPr>
                <w:noProof/>
              </w:rPr>
              <w:t>EI OLE</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1D07968" w14:textId="77777777" w:rsidR="00E42B18" w:rsidRDefault="009629C4">
            <w:pPr>
              <w:pStyle w:val="P68B1DB1-Normal11"/>
              <w:spacing w:before="120" w:after="120"/>
              <w:jc w:val="center"/>
              <w:rPr>
                <w:noProof/>
              </w:rPr>
            </w:pPr>
            <w:r>
              <w:rPr>
                <w:noProof/>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5CE7CF9" w14:textId="77777777" w:rsidR="00E42B18" w:rsidRDefault="009629C4">
            <w:pPr>
              <w:pStyle w:val="P68B1DB1-Normal11"/>
              <w:spacing w:before="120" w:after="120"/>
              <w:jc w:val="center"/>
              <w:rPr>
                <w:noProof/>
              </w:rPr>
            </w:pPr>
            <w:r>
              <w:rPr>
                <w:noProof/>
              </w:rPr>
              <w:t>2026</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1D9D2F68" w14:textId="77777777" w:rsidR="00E42B18" w:rsidRDefault="009629C4">
            <w:pPr>
              <w:pStyle w:val="P68B1DB1-Normal33"/>
              <w:spacing w:before="120" w:after="120"/>
              <w:rPr>
                <w:noProof/>
              </w:rPr>
            </w:pPr>
            <w:r>
              <w:rPr>
                <w:noProof/>
              </w:rPr>
              <w:t xml:space="preserve">Alueellisia rautateitä ja teknologian siirtoa koskevan lainsäädännön (mukaan lukien sekundaarilainsäädäntö ja täytäntöönpanosäädökset) voimaantulo. </w:t>
            </w:r>
          </w:p>
          <w:p w14:paraId="32305F2E" w14:textId="77777777" w:rsidR="00E42B18" w:rsidRDefault="009629C4">
            <w:pPr>
              <w:pStyle w:val="P68B1DB1-Normal33"/>
              <w:numPr>
                <w:ilvl w:val="0"/>
                <w:numId w:val="24"/>
              </w:numPr>
              <w:spacing w:before="120" w:after="120" w:line="279" w:lineRule="auto"/>
              <w:ind w:left="369" w:hanging="283"/>
              <w:rPr>
                <w:noProof/>
              </w:rPr>
            </w:pPr>
            <w:r>
              <w:rPr>
                <w:b/>
                <w:noProof/>
              </w:rPr>
              <w:t>Alueellinen liikenne</w:t>
            </w:r>
            <w:r>
              <w:rPr>
                <w:noProof/>
              </w:rPr>
              <w:t>: hyväksytään kaikki sääntelyvaiheet (mukaan lukien ministeriön asetus, jossa vahvistetaan alueiden sopimuksentekomenettelyjen aikataulut), jotka ovat tarpeen liikenneministeriön aikataulujen julkaisemiseksi kaikkien päättyvien rautatiesopimusten tekomenettelyjä varten.</w:t>
            </w:r>
          </w:p>
          <w:p w14:paraId="04C03C9C" w14:textId="77777777" w:rsidR="00E42B18" w:rsidRDefault="009629C4">
            <w:pPr>
              <w:pStyle w:val="P68B1DB1-Normal33"/>
              <w:numPr>
                <w:ilvl w:val="0"/>
                <w:numId w:val="24"/>
              </w:numPr>
              <w:spacing w:before="120" w:after="120" w:line="279" w:lineRule="auto"/>
              <w:ind w:left="369" w:hanging="283"/>
              <w:rPr>
                <w:noProof/>
              </w:rPr>
            </w:pPr>
            <w:r>
              <w:rPr>
                <w:b/>
                <w:noProof/>
              </w:rPr>
              <w:t>Teknologian siirto</w:t>
            </w:r>
            <w:r>
              <w:rPr>
                <w:noProof/>
              </w:rPr>
              <w:t>: Italian yritys- ja Made-ministeriö sekä yliopisto- ja tutkimusministeriö hyväksyvät välitavoitteessa M1C2–13 tarkoitetun kansallisen strategian.</w:t>
            </w:r>
          </w:p>
        </w:tc>
      </w:tr>
      <w:tr w:rsidR="00E42B18" w14:paraId="2742ADAC"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3C38D0CC" w14:textId="77777777" w:rsidR="00E42B18" w:rsidRDefault="009629C4">
            <w:pPr>
              <w:pStyle w:val="P68B1DB1-Normal11"/>
              <w:spacing w:before="120" w:after="120"/>
              <w:jc w:val="center"/>
              <w:rPr>
                <w:noProof/>
              </w:rPr>
            </w:pPr>
            <w:r>
              <w:rPr>
                <w:noProof/>
              </w:rPr>
              <w:t>M1C2–14</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AAEFDF8" w14:textId="77777777" w:rsidR="00E42B18" w:rsidRDefault="009629C4">
            <w:pPr>
              <w:pStyle w:val="P68B1DB1-Normal11"/>
              <w:spacing w:before="120" w:after="120"/>
              <w:jc w:val="center"/>
              <w:rPr>
                <w:noProof/>
              </w:rPr>
            </w:pPr>
            <w:r>
              <w:rPr>
                <w:noProof/>
              </w:rPr>
              <w:t>Uudistuksen 2: Vuosittaiset kilpailulait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520775" w14:textId="77777777" w:rsidR="00E42B18" w:rsidRDefault="009629C4">
            <w:pPr>
              <w:pStyle w:val="P68B1DB1-Normal11"/>
              <w:spacing w:before="120" w:after="120"/>
              <w:jc w:val="center"/>
              <w:rPr>
                <w:noProof/>
              </w:rPr>
            </w:pPr>
            <w:r>
              <w:rPr>
                <w:noProof/>
              </w:rPr>
              <w:t>Kohde</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23F4F0B7" w14:textId="77777777" w:rsidR="00E42B18" w:rsidRDefault="009629C4">
            <w:pPr>
              <w:pStyle w:val="P68B1DB1-Normal11"/>
              <w:spacing w:before="120" w:after="120"/>
              <w:jc w:val="center"/>
              <w:rPr>
                <w:rFonts w:eastAsia="Times New Roman" w:cs="Segoe UI"/>
                <w:noProof/>
                <w:szCs w:val="20"/>
              </w:rPr>
            </w:pPr>
            <w:r>
              <w:rPr>
                <w:noProof/>
              </w:rPr>
              <w:t>Käytössä on miljoonia älykkäitä 2G-mittareita.</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06C374D3" w14:textId="77777777" w:rsidR="00E42B18" w:rsidRDefault="009629C4">
            <w:pPr>
              <w:pStyle w:val="P68B1DB1-Normal11"/>
              <w:spacing w:before="120" w:after="120"/>
              <w:jc w:val="center"/>
              <w:rPr>
                <w:noProof/>
              </w:rPr>
            </w:pPr>
            <w:r>
              <w:rPr>
                <w:noProof/>
              </w:rPr>
              <w:t>EI OLE</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3657C0D" w14:textId="77777777" w:rsidR="00E42B18" w:rsidRDefault="009629C4">
            <w:pPr>
              <w:pStyle w:val="P68B1DB1-Normal11"/>
              <w:spacing w:before="120" w:after="120"/>
              <w:jc w:val="center"/>
              <w:rPr>
                <w:noProof/>
              </w:rPr>
            </w:pPr>
            <w:r>
              <w:rPr>
                <w:noProof/>
              </w:rPr>
              <w:t>Numero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754B772" w14:textId="77777777" w:rsidR="00E42B18" w:rsidRDefault="009629C4">
            <w:pPr>
              <w:pStyle w:val="P68B1DB1-Normal11"/>
              <w:spacing w:before="120" w:after="120"/>
              <w:jc w:val="center"/>
              <w:rPr>
                <w:noProof/>
              </w:rPr>
            </w:pPr>
            <w:r>
              <w:rPr>
                <w:noProof/>
              </w:rPr>
              <w:t>20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80E5725" w14:textId="77777777" w:rsidR="00E42B18" w:rsidRDefault="009629C4">
            <w:pPr>
              <w:pStyle w:val="P68B1DB1-Normal11"/>
              <w:spacing w:before="120" w:after="120"/>
              <w:jc w:val="center"/>
              <w:rPr>
                <w:noProof/>
              </w:rPr>
            </w:pPr>
            <w:r>
              <w:rPr>
                <w:noProof/>
              </w:rPr>
              <w:t>33</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9321243" w14:textId="77777777" w:rsidR="00E42B18" w:rsidRDefault="009629C4">
            <w:pPr>
              <w:pStyle w:val="P68B1DB1-Normal11"/>
              <w:spacing w:before="120" w:after="120"/>
              <w:jc w:val="center"/>
              <w:rPr>
                <w:noProof/>
              </w:rPr>
            </w:pPr>
            <w:r>
              <w:rPr>
                <w:noProof/>
              </w:rPr>
              <w:t>Q4</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0F37CCA" w14:textId="77777777" w:rsidR="00E42B18" w:rsidRDefault="009629C4">
            <w:pPr>
              <w:pStyle w:val="P68B1DB1-Normal11"/>
              <w:spacing w:before="120" w:after="120"/>
              <w:jc w:val="center"/>
              <w:rPr>
                <w:noProof/>
              </w:rPr>
            </w:pPr>
            <w:r>
              <w:rPr>
                <w:noProof/>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5807332A" w14:textId="77777777" w:rsidR="00E42B18" w:rsidRDefault="009629C4">
            <w:pPr>
              <w:pStyle w:val="P68B1DB1-Normal11"/>
              <w:spacing w:before="120" w:after="120"/>
              <w:rPr>
                <w:rFonts w:eastAsia="Times New Roman" w:cs="Segoe UI"/>
                <w:noProof/>
                <w:szCs w:val="20"/>
              </w:rPr>
            </w:pPr>
            <w:r>
              <w:rPr>
                <w:noProof/>
              </w:rPr>
              <w:t>Vähintään 33 miljoonaa älykästä 2G-mittaria on otettava käyttöön.</w:t>
            </w:r>
          </w:p>
        </w:tc>
      </w:tr>
      <w:tr w:rsidR="00E42B18" w14:paraId="3A7FF93A"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440D6A0A" w14:textId="77777777" w:rsidR="00E42B18" w:rsidRDefault="009629C4">
            <w:pPr>
              <w:pStyle w:val="P68B1DB1-Normal12"/>
              <w:jc w:val="center"/>
              <w:rPr>
                <w:noProof/>
              </w:rPr>
            </w:pPr>
            <w:r>
              <w:rPr>
                <w:noProof/>
              </w:rPr>
              <w:t>M1C2–14a</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1A9D135" w14:textId="178A4276" w:rsidR="00E42B18" w:rsidRDefault="009629C4">
            <w:pPr>
              <w:pStyle w:val="P68B1DB1-Normal11"/>
              <w:jc w:val="center"/>
              <w:rPr>
                <w:noProof/>
                <w:szCs w:val="20"/>
              </w:rPr>
            </w:pPr>
            <w:r>
              <w:rPr>
                <w:noProof/>
              </w:rPr>
              <w:t>Uudistus 3:  yrityksille suunnattujen kannustimien järkeistäminen ja yksinkertaistaminen.</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ACBB458" w14:textId="77777777" w:rsidR="00E42B18" w:rsidRDefault="009629C4">
            <w:pPr>
              <w:pStyle w:val="P68B1DB1-Normal11"/>
              <w:jc w:val="center"/>
              <w:rPr>
                <w:noProof/>
                <w:szCs w:val="20"/>
              </w:rPr>
            </w:pPr>
            <w:r>
              <w:rPr>
                <w:noProof/>
              </w:rPr>
              <w:t xml:space="preserve">Virstanpylväs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6ED9212F" w14:textId="7FC3C00A" w:rsidR="00E42B18" w:rsidRDefault="009629C4">
            <w:pPr>
              <w:pStyle w:val="P68B1DB1-Normal11"/>
              <w:jc w:val="both"/>
              <w:rPr>
                <w:noProof/>
                <w:szCs w:val="20"/>
              </w:rPr>
            </w:pPr>
            <w:r>
              <w:rPr>
                <w:noProof/>
              </w:rPr>
              <w:t>Mahdollistavan säädöksen voimaantulo</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B5011C9" w14:textId="13AB2A1C" w:rsidR="00E42B18" w:rsidRDefault="009629C4">
            <w:pPr>
              <w:pStyle w:val="P68B1DB1-Normal11"/>
              <w:jc w:val="both"/>
              <w:rPr>
                <w:noProof/>
                <w:szCs w:val="20"/>
              </w:rPr>
            </w:pPr>
            <w:r>
              <w:rPr>
                <w:noProof/>
              </w:rPr>
              <w:t>Yritysten kannustimien uudistamista koskevan mahdollistavan säädöksen voimaantulo</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9C73BAA" w14:textId="77777777" w:rsidR="00E42B18" w:rsidRDefault="009629C4">
            <w:pPr>
              <w:pStyle w:val="P68B1DB1-Normal11"/>
              <w:jc w:val="center"/>
              <w:rPr>
                <w:noProof/>
                <w:szCs w:val="20"/>
              </w:rPr>
            </w:pPr>
            <w:r>
              <w:rPr>
                <w:noProof/>
              </w:rPr>
              <w:t xml:space="preserve">EI OLE </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5B48B4F5" w14:textId="77777777" w:rsidR="00E42B18" w:rsidRDefault="009629C4">
            <w:pPr>
              <w:pStyle w:val="P68B1DB1-Normal11"/>
              <w:jc w:val="center"/>
              <w:rPr>
                <w:noProof/>
                <w:szCs w:val="20"/>
              </w:rPr>
            </w:pPr>
            <w:r>
              <w:rPr>
                <w:noProof/>
              </w:rPr>
              <w:t xml:space="preserve">EI OLE </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0B803E8" w14:textId="77777777" w:rsidR="00E42B18" w:rsidRDefault="009629C4">
            <w:pPr>
              <w:pStyle w:val="P68B1DB1-Normal11"/>
              <w:jc w:val="center"/>
              <w:rPr>
                <w:noProof/>
                <w:szCs w:val="20"/>
              </w:rPr>
            </w:pPr>
            <w:r>
              <w:rPr>
                <w:noProof/>
              </w:rPr>
              <w:t xml:space="preserve">EI OLE </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E7A8BB0" w14:textId="77777777" w:rsidR="00E42B18" w:rsidRDefault="009629C4">
            <w:pPr>
              <w:pStyle w:val="P68B1DB1-Normal11"/>
              <w:jc w:val="center"/>
              <w:rPr>
                <w:noProof/>
                <w:szCs w:val="20"/>
              </w:rPr>
            </w:pPr>
            <w:r>
              <w:rPr>
                <w:noProof/>
              </w:rPr>
              <w:t xml:space="preserve">Q2 </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E4D9F74" w14:textId="77777777" w:rsidR="00E42B18" w:rsidRDefault="009629C4">
            <w:pPr>
              <w:pStyle w:val="P68B1DB1-Normal11"/>
              <w:jc w:val="center"/>
              <w:rPr>
                <w:noProof/>
                <w:szCs w:val="20"/>
              </w:rPr>
            </w:pPr>
            <w:r>
              <w:rPr>
                <w:noProof/>
              </w:rPr>
              <w:t xml:space="preserve">2025 </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72EAF32D" w14:textId="2E245B4C" w:rsidR="00E42B18" w:rsidRDefault="009629C4">
            <w:pPr>
              <w:pStyle w:val="P68B1DB1-Normal11"/>
              <w:jc w:val="both"/>
              <w:rPr>
                <w:rFonts w:eastAsia="Calibri" w:cs="Calibri"/>
                <w:noProof/>
                <w:szCs w:val="20"/>
                <w:highlight w:val="yellow"/>
              </w:rPr>
            </w:pPr>
            <w:r>
              <w:rPr>
                <w:noProof/>
              </w:rPr>
              <w:t>Voimaan tulee valtuuslaki (</w:t>
            </w:r>
            <w:r>
              <w:rPr>
                <w:i/>
                <w:noProof/>
              </w:rPr>
              <w:t>legge delega</w:t>
            </w:r>
            <w:r>
              <w:rPr>
                <w:noProof/>
              </w:rPr>
              <w:t>), jolla hallitus valtuutetaan tarkistamaan yritysten kannustinjärjestelmää.</w:t>
            </w:r>
          </w:p>
        </w:tc>
      </w:tr>
      <w:tr w:rsidR="00E42B18" w14:paraId="32F28D7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5A88E948" w14:textId="684999C0" w:rsidR="00E42B18" w:rsidRDefault="009629C4">
            <w:pPr>
              <w:pStyle w:val="P68B1DB1-Normal11"/>
              <w:jc w:val="center"/>
              <w:rPr>
                <w:noProof/>
                <w:szCs w:val="20"/>
              </w:rPr>
            </w:pPr>
            <w:r>
              <w:rPr>
                <w:noProof/>
              </w:rPr>
              <w:t>M1C2–14ter</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16A465F" w14:textId="77777777" w:rsidR="00E42B18" w:rsidRDefault="009629C4">
            <w:pPr>
              <w:pStyle w:val="P68B1DB1-Normal11"/>
              <w:jc w:val="center"/>
              <w:rPr>
                <w:noProof/>
                <w:szCs w:val="20"/>
              </w:rPr>
            </w:pPr>
            <w:r>
              <w:rPr>
                <w:noProof/>
              </w:rPr>
              <w:t>Uudistus 3: yrityksille suunnattujen kannustimien järkeistäminen ja yksinkertaistaminen.</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51A94D5" w14:textId="77777777" w:rsidR="00E42B18" w:rsidRDefault="009629C4">
            <w:pPr>
              <w:pStyle w:val="P68B1DB1-Normal11"/>
              <w:jc w:val="center"/>
              <w:rPr>
                <w:noProof/>
                <w:szCs w:val="20"/>
              </w:rPr>
            </w:pPr>
            <w:r>
              <w:rPr>
                <w:noProof/>
              </w:rPr>
              <w:t xml:space="preserve">Virstanpylväs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7CCA5EB" w14:textId="251719CF" w:rsidR="00E42B18" w:rsidRDefault="009629C4">
            <w:pPr>
              <w:pStyle w:val="P68B1DB1-Normal11"/>
              <w:jc w:val="center"/>
              <w:rPr>
                <w:noProof/>
                <w:szCs w:val="20"/>
              </w:rPr>
            </w:pPr>
            <w:r>
              <w:rPr>
                <w:noProof/>
              </w:rPr>
              <w:t>Primaarioikeuden voimaantulo</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2105E9A3" w14:textId="2607A497" w:rsidR="00E42B18" w:rsidRDefault="009629C4">
            <w:pPr>
              <w:pStyle w:val="P68B1DB1-Normal11"/>
              <w:jc w:val="center"/>
              <w:rPr>
                <w:noProof/>
                <w:szCs w:val="20"/>
              </w:rPr>
            </w:pPr>
            <w:r>
              <w:rPr>
                <w:noProof/>
              </w:rPr>
              <w:t>Yritysten kannustimien uudistamista koskevan primäärilainsäädännön voimaantulo</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AE0CDB4" w14:textId="77777777" w:rsidR="00E42B18" w:rsidRDefault="009629C4">
            <w:pPr>
              <w:pStyle w:val="P68B1DB1-Normal11"/>
              <w:jc w:val="center"/>
              <w:rPr>
                <w:noProof/>
                <w:szCs w:val="20"/>
              </w:rPr>
            </w:pPr>
            <w:r>
              <w:rPr>
                <w:noProof/>
              </w:rPr>
              <w:t xml:space="preserve">EI OLE </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1D407B23" w14:textId="77777777" w:rsidR="00E42B18" w:rsidRDefault="009629C4">
            <w:pPr>
              <w:pStyle w:val="P68B1DB1-Normal11"/>
              <w:jc w:val="center"/>
              <w:rPr>
                <w:noProof/>
                <w:szCs w:val="20"/>
              </w:rPr>
            </w:pPr>
            <w:r>
              <w:rPr>
                <w:noProof/>
              </w:rPr>
              <w:t xml:space="preserve">EI OLE </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DC0B439" w14:textId="77777777" w:rsidR="00E42B18" w:rsidRDefault="009629C4">
            <w:pPr>
              <w:pStyle w:val="P68B1DB1-Normal11"/>
              <w:jc w:val="center"/>
              <w:rPr>
                <w:noProof/>
                <w:szCs w:val="20"/>
              </w:rPr>
            </w:pPr>
            <w:r>
              <w:rPr>
                <w:noProof/>
              </w:rPr>
              <w:t xml:space="preserve">EI OLE </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74CEC59F" w14:textId="77777777" w:rsidR="00E42B18" w:rsidRDefault="009629C4">
            <w:pPr>
              <w:pStyle w:val="P68B1DB1-Normal11"/>
              <w:jc w:val="center"/>
              <w:rPr>
                <w:noProof/>
                <w:szCs w:val="20"/>
              </w:rPr>
            </w:pPr>
            <w:r>
              <w:rPr>
                <w:noProof/>
              </w:rPr>
              <w:t xml:space="preserve">Q2 </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3B805993" w14:textId="77777777" w:rsidR="00E42B18" w:rsidRDefault="009629C4">
            <w:pPr>
              <w:pStyle w:val="P68B1DB1-Normal11"/>
              <w:jc w:val="center"/>
              <w:rPr>
                <w:noProof/>
                <w:szCs w:val="20"/>
              </w:rPr>
            </w:pPr>
            <w:r>
              <w:rPr>
                <w:noProof/>
              </w:rPr>
              <w:t>2026</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5F93D22" w14:textId="1AD1DACE" w:rsidR="00E42B18" w:rsidRDefault="009629C4">
            <w:pPr>
              <w:pStyle w:val="P68B1DB1-Normal11"/>
              <w:spacing w:before="160" w:line="278" w:lineRule="auto"/>
              <w:jc w:val="both"/>
              <w:rPr>
                <w:noProof/>
                <w:szCs w:val="20"/>
              </w:rPr>
            </w:pPr>
            <w:r>
              <w:rPr>
                <w:noProof/>
              </w:rPr>
              <w:t>Voimaan tulee primäärilainsäädäntö, jolla pannaan täytäntöön valtuuslaki (</w:t>
            </w:r>
            <w:r>
              <w:rPr>
                <w:i/>
                <w:noProof/>
              </w:rPr>
              <w:t>legge delega</w:t>
            </w:r>
            <w:r>
              <w:rPr>
                <w:noProof/>
              </w:rPr>
              <w:t>), jolla hallitus valtuutetaan tarkistamaan yritysten kannustinjärjestelmää.</w:t>
            </w:r>
          </w:p>
          <w:p w14:paraId="05AB2E4D" w14:textId="70D619CC" w:rsidR="00E42B18" w:rsidRDefault="009629C4">
            <w:pPr>
              <w:pStyle w:val="P68B1DB1-Normal11"/>
              <w:jc w:val="both"/>
              <w:rPr>
                <w:noProof/>
              </w:rPr>
            </w:pPr>
            <w:r>
              <w:rPr>
                <w:noProof/>
              </w:rPr>
              <w:t>Lainsäädäntö koskee sekä kannustimia koskevaa oikeudellista kehystä (Codice degli incentivi) että kannustimien järkiperäistämistä kansallisella tasolla.</w:t>
            </w:r>
          </w:p>
          <w:p w14:paraId="131BF77F" w14:textId="27131054" w:rsidR="00E42B18" w:rsidRDefault="009629C4">
            <w:pPr>
              <w:pStyle w:val="P68B1DB1-Normal11"/>
              <w:jc w:val="both"/>
              <w:rPr>
                <w:noProof/>
                <w:szCs w:val="20"/>
              </w:rPr>
            </w:pPr>
            <w:bookmarkStart w:id="9" w:name="_Hlk212581611"/>
            <w:r>
              <w:rPr>
                <w:noProof/>
              </w:rPr>
              <w:t>Kansallisen valtiontukirekisterin (RNA) ja b) incentivi.gov.it-alustan lisätoiminnot ovat saatavilla verkossa.</w:t>
            </w:r>
            <w:bookmarkEnd w:id="9"/>
          </w:p>
        </w:tc>
      </w:tr>
    </w:tbl>
    <w:p w14:paraId="1E29EF44" w14:textId="7E703426" w:rsidR="00E42B18" w:rsidRDefault="009629C4">
      <w:pPr>
        <w:spacing w:before="120" w:after="120"/>
        <w:jc w:val="both"/>
        <w:rPr>
          <w:noProof/>
        </w:rPr>
      </w:pPr>
      <w:r>
        <w:rPr>
          <w:noProof/>
        </w:rPr>
        <w:t xml:space="preserve"> </w:t>
      </w:r>
      <w:r>
        <w:rPr>
          <w:noProof/>
        </w:rPr>
        <w:br/>
      </w:r>
    </w:p>
    <w:p w14:paraId="49CCBFCC" w14:textId="77777777" w:rsidR="00E42B18" w:rsidRDefault="00E42B18">
      <w:pPr>
        <w:spacing w:before="120" w:after="120"/>
        <w:ind w:left="709"/>
        <w:jc w:val="both"/>
        <w:rPr>
          <w:rFonts w:eastAsia="Calibri"/>
          <w:noProof/>
        </w:rPr>
      </w:pPr>
    </w:p>
    <w:p w14:paraId="4EE6C282" w14:textId="77777777" w:rsidR="00E42B18" w:rsidRDefault="00E42B18">
      <w:pPr>
        <w:spacing w:before="120" w:after="120"/>
        <w:ind w:left="709"/>
        <w:jc w:val="both"/>
        <w:rPr>
          <w:noProof/>
        </w:rPr>
        <w:sectPr w:rsidR="00E42B18" w:rsidSect="005F11B9">
          <w:headerReference w:type="even" r:id="rId42"/>
          <w:headerReference w:type="default" r:id="rId43"/>
          <w:footerReference w:type="even" r:id="rId44"/>
          <w:footerReference w:type="default" r:id="rId45"/>
          <w:headerReference w:type="first" r:id="rId46"/>
          <w:footerReference w:type="first" r:id="rId47"/>
          <w:pgSz w:w="16839" w:h="11907" w:orient="landscape"/>
          <w:pgMar w:top="1134" w:right="1134" w:bottom="1134" w:left="1134" w:header="567" w:footer="567" w:gutter="0"/>
          <w:cols w:space="720"/>
          <w:docGrid w:linePitch="360"/>
        </w:sectPr>
      </w:pPr>
    </w:p>
    <w:p w14:paraId="05C0E76C" w14:textId="77777777" w:rsidR="00E42B18" w:rsidRDefault="009629C4">
      <w:pPr>
        <w:pStyle w:val="P68B1DB1-Heading39"/>
        <w:numPr>
          <w:ilvl w:val="2"/>
          <w:numId w:val="0"/>
        </w:numPr>
        <w:ind w:left="850" w:hanging="850"/>
        <w:rPr>
          <w:b/>
          <w:bCs/>
          <w:i/>
          <w:iCs/>
          <w:noProof/>
          <w:color w:val="156082" w:themeColor="accent1"/>
          <w:u w:val="single"/>
        </w:rPr>
      </w:pPr>
      <w:r>
        <w:rPr>
          <w:b/>
          <w:noProof/>
          <w:u w:val="single"/>
        </w:rPr>
        <w:t xml:space="preserve">B.3 </w:t>
      </w:r>
      <w:r>
        <w:rPr>
          <w:noProof/>
        </w:rPr>
        <w:t xml:space="preserve"> </w:t>
      </w:r>
      <w:r>
        <w:rPr>
          <w:b/>
          <w:noProof/>
          <w:u w:val="single"/>
        </w:rPr>
        <w:t xml:space="preserve">Kuvaus lainamuotoisella tuella rahoitettavista uudistuksista ja investoinneista </w:t>
      </w:r>
    </w:p>
    <w:p w14:paraId="547AC6D1" w14:textId="77777777" w:rsidR="00E42B18" w:rsidRDefault="009629C4">
      <w:pPr>
        <w:pStyle w:val="P68B1DB1-Normal5"/>
        <w:spacing w:before="120" w:after="120"/>
        <w:jc w:val="both"/>
        <w:rPr>
          <w:bCs/>
          <w:i/>
          <w:iCs/>
          <w:noProof/>
        </w:rPr>
      </w:pPr>
      <w:r>
        <w:rPr>
          <w:noProof/>
        </w:rPr>
        <w:t xml:space="preserve">Investointi 2: Mikroelektroniikan innovointi ja teknologia </w:t>
      </w:r>
    </w:p>
    <w:p w14:paraId="052A1CB1" w14:textId="77777777" w:rsidR="00E42B18" w:rsidRDefault="009629C4">
      <w:pPr>
        <w:pStyle w:val="P68B1DB1-Normal7"/>
        <w:spacing w:before="120" w:after="120"/>
        <w:jc w:val="both"/>
        <w:rPr>
          <w:noProof/>
        </w:rPr>
      </w:pPr>
      <w:r>
        <w:rPr>
          <w:noProof/>
        </w:rPr>
        <w:t>Investoinnin tavoitteena on tukea mikroelektroniikan strategisen arvoketjun kehittämistä investoimalla piikarbidesubstraattiin. Investointi koostuu 8 tuuman piikarbidesubstraattien lisätuotantokapasiteetin toteuttamisesta.</w:t>
      </w:r>
    </w:p>
    <w:p w14:paraId="3B9B60D5" w14:textId="77777777" w:rsidR="00E42B18" w:rsidRDefault="009629C4">
      <w:pPr>
        <w:pStyle w:val="P68B1DB1-Normal5"/>
        <w:spacing w:before="120" w:after="120"/>
        <w:jc w:val="both"/>
        <w:rPr>
          <w:bCs/>
          <w:noProof/>
        </w:rPr>
      </w:pPr>
      <w:r>
        <w:rPr>
          <w:noProof/>
        </w:rPr>
        <w:t>Investointi 3: Nopeat internetyhteydet (Ultra Broadband ja 5G)</w:t>
      </w:r>
    </w:p>
    <w:p w14:paraId="52DE9D80" w14:textId="77777777" w:rsidR="00E42B18" w:rsidRDefault="009629C4">
      <w:pPr>
        <w:pStyle w:val="P68B1DB1-Normal7"/>
        <w:spacing w:after="120"/>
        <w:jc w:val="both"/>
        <w:rPr>
          <w:noProof/>
        </w:rPr>
      </w:pPr>
      <w:r>
        <w:rPr>
          <w:noProof/>
        </w:rPr>
        <w:t xml:space="preserve">Investoinnin tavoitteena on saattaa kansallinen ultranopea ja 5G-televerkko valmiiksi koko maan alueella. Näiden investointien odotetaan edistävän merkittävästi digitaalisen siirtymän tavoitteita ja kaventavan digitaalista kuilua Italiassa. </w:t>
      </w:r>
    </w:p>
    <w:p w14:paraId="414D1456" w14:textId="77777777" w:rsidR="00E42B18" w:rsidRDefault="009629C4">
      <w:pPr>
        <w:pStyle w:val="P68B1DB1-Normal7"/>
        <w:spacing w:after="120"/>
        <w:jc w:val="both"/>
        <w:rPr>
          <w:noProof/>
        </w:rPr>
      </w:pPr>
      <w:r>
        <w:rPr>
          <w:noProof/>
        </w:rPr>
        <w:t>Investointi käsittää käyttöoikeussopimusten tekemisen ja viisi nopeampaa liitäntähanketta:</w:t>
      </w:r>
    </w:p>
    <w:p w14:paraId="4512031B" w14:textId="4A920EA0" w:rsidR="00E42B18" w:rsidRDefault="009629C4">
      <w:pPr>
        <w:pStyle w:val="P68B1DB1-ListParagraph36"/>
        <w:numPr>
          <w:ilvl w:val="0"/>
          <w:numId w:val="50"/>
        </w:numPr>
        <w:spacing w:after="0" w:line="240" w:lineRule="auto"/>
        <w:jc w:val="both"/>
        <w:rPr>
          <w:rFonts w:eastAsiaTheme="minorEastAsia" w:hint="default"/>
          <w:noProof/>
        </w:rPr>
      </w:pPr>
      <w:r>
        <w:rPr>
          <w:noProof/>
        </w:rPr>
        <w:t>”</w:t>
      </w:r>
      <w:r>
        <w:rPr>
          <w:noProof/>
        </w:rPr>
        <w:t>Italia a 1 giga, joka tarjoaa 1 gigabitti/s latauksessa ja 200 Mbit/s latausyhteydessä harmaalla ja mustalla seuraavan sukupolven (NGA) markkinahäiriöalueella. Nämä alueet määritellään kartoituksen jälkeen;</w:t>
      </w:r>
    </w:p>
    <w:p w14:paraId="5F0DF0CF" w14:textId="6047E46B" w:rsidR="00E42B18" w:rsidRDefault="009629C4">
      <w:pPr>
        <w:pStyle w:val="P68B1DB1-ListParagraph36"/>
        <w:numPr>
          <w:ilvl w:val="0"/>
          <w:numId w:val="50"/>
        </w:numPr>
        <w:spacing w:after="0" w:line="240" w:lineRule="auto"/>
        <w:jc w:val="both"/>
        <w:rPr>
          <w:rFonts w:eastAsiaTheme="minorEastAsia" w:hint="default"/>
          <w:noProof/>
        </w:rPr>
      </w:pPr>
      <w:r>
        <w:rPr>
          <w:noProof/>
        </w:rPr>
        <w:t>”</w:t>
      </w:r>
      <w:r>
        <w:rPr>
          <w:noProof/>
        </w:rPr>
        <w:t>Italia 5G, joka tarjoaa 5G-yhteyksiä markkinoiden toimintapuutteisiin kuuluvilla alueilla, joilla matkaviestinverkkoja ei ole otettu käyttöön; tai käytettävissä on vain 3G-verkkoja, eikä lähitulevaisuudessa ole suunnitteilla 4G- ja/tai 5G-matkaviestinverkkoja; tai on osoitettu, että markkinoilla on toimintapuute;</w:t>
      </w:r>
    </w:p>
    <w:p w14:paraId="34DC1269" w14:textId="100D6445" w:rsidR="00E42B18" w:rsidRDefault="009629C4">
      <w:pPr>
        <w:pStyle w:val="P68B1DB1-ListParagraph36"/>
        <w:numPr>
          <w:ilvl w:val="0"/>
          <w:numId w:val="50"/>
        </w:numPr>
        <w:spacing w:after="0" w:line="240" w:lineRule="auto"/>
        <w:jc w:val="both"/>
        <w:rPr>
          <w:rFonts w:eastAsiaTheme="minorEastAsia" w:hint="default"/>
          <w:noProof/>
        </w:rPr>
      </w:pPr>
      <w:r>
        <w:rPr>
          <w:noProof/>
        </w:rPr>
        <w:t>”</w:t>
      </w:r>
      <w:r>
        <w:rPr>
          <w:noProof/>
        </w:rPr>
        <w:t>Yhteenliitetyt koulut</w:t>
      </w:r>
      <w:r>
        <w:rPr>
          <w:noProof/>
        </w:rPr>
        <w:t>”</w:t>
      </w:r>
      <w:r>
        <w:rPr>
          <w:noProof/>
        </w:rPr>
        <w:t>, jotka tarjoavat koulurakennuksille yhden gigabit/s laajakaistayhteyden;</w:t>
      </w:r>
    </w:p>
    <w:p w14:paraId="79BB1E7B" w14:textId="77777777" w:rsidR="00E42B18" w:rsidRDefault="009629C4">
      <w:pPr>
        <w:pStyle w:val="P68B1DB1-ListParagraph36"/>
        <w:numPr>
          <w:ilvl w:val="0"/>
          <w:numId w:val="50"/>
        </w:numPr>
        <w:spacing w:after="0" w:line="240" w:lineRule="auto"/>
        <w:jc w:val="both"/>
        <w:rPr>
          <w:rFonts w:eastAsiaTheme="minorEastAsia" w:hint="default"/>
          <w:noProof/>
        </w:rPr>
      </w:pPr>
      <w:r>
        <w:rPr>
          <w:noProof/>
        </w:rPr>
        <w:t>”</w:t>
      </w:r>
      <w:r>
        <w:rPr>
          <w:noProof/>
        </w:rPr>
        <w:t>Yhteenliitetyt terveydenhuoltopalvelut</w:t>
      </w:r>
      <w:r>
        <w:rPr>
          <w:noProof/>
        </w:rPr>
        <w:t>”</w:t>
      </w:r>
      <w:r>
        <w:rPr>
          <w:noProof/>
        </w:rPr>
        <w:t>, jotka tarjoavat 1 gigabitti/s laajakaistayhteyden julkisiin terveydenhuoltolaitoksiin;</w:t>
      </w:r>
    </w:p>
    <w:p w14:paraId="1A8D5ACF" w14:textId="6CCC6968" w:rsidR="00E42B18" w:rsidRDefault="009629C4">
      <w:pPr>
        <w:pStyle w:val="P68B1DB1-ListParagraph36"/>
        <w:numPr>
          <w:ilvl w:val="0"/>
          <w:numId w:val="50"/>
        </w:numPr>
        <w:spacing w:after="0" w:line="240" w:lineRule="auto"/>
        <w:jc w:val="both"/>
        <w:rPr>
          <w:rFonts w:hint="default"/>
          <w:noProof/>
        </w:rPr>
      </w:pPr>
      <w:r>
        <w:rPr>
          <w:noProof/>
        </w:rPr>
        <w:t>”</w:t>
      </w:r>
      <w:r>
        <w:rPr>
          <w:noProof/>
        </w:rPr>
        <w:t>Yhteydellä olevat pienet saaret</w:t>
      </w:r>
      <w:r>
        <w:rPr>
          <w:noProof/>
        </w:rPr>
        <w:t>”</w:t>
      </w:r>
      <w:r>
        <w:rPr>
          <w:noProof/>
        </w:rPr>
        <w:t>, jotka tarjoavat ultralaajakaistayhteyksiä valituille pienille saarille, joilla ei ole kuituyhteyksiä mantereelle.</w:t>
      </w:r>
    </w:p>
    <w:p w14:paraId="3BE17012" w14:textId="77777777" w:rsidR="00E42B18" w:rsidRDefault="00E42B18">
      <w:pPr>
        <w:pStyle w:val="ListParagraph"/>
        <w:spacing w:after="0"/>
        <w:rPr>
          <w:noProof/>
        </w:rPr>
      </w:pPr>
    </w:p>
    <w:p w14:paraId="52953735" w14:textId="77777777" w:rsidR="00E42B18" w:rsidRDefault="009629C4">
      <w:pPr>
        <w:pStyle w:val="P68B1DB1-Normal5"/>
        <w:spacing w:before="120" w:after="120"/>
        <w:jc w:val="both"/>
        <w:rPr>
          <w:bCs/>
          <w:noProof/>
        </w:rPr>
      </w:pPr>
      <w:r>
        <w:rPr>
          <w:noProof/>
        </w:rPr>
        <w:t>Investointi 4: Satelliittiteknologia ja avaruustalous</w:t>
      </w:r>
    </w:p>
    <w:p w14:paraId="4173CFD5" w14:textId="7B7AB171" w:rsidR="00E42B18" w:rsidRDefault="009629C4">
      <w:pPr>
        <w:pStyle w:val="P68B1DB1-Normal7"/>
        <w:jc w:val="both"/>
        <w:rPr>
          <w:noProof/>
        </w:rPr>
      </w:pPr>
      <w:r>
        <w:rPr>
          <w:noProof/>
        </w:rPr>
        <w:t xml:space="preserve">Investoinnin tavoitteena on kehittää satelliittiyhteyksiä digitaalista ja vihreää siirtymää silmällä pitäen ja edistää avaruusalan kehitystä. </w:t>
      </w:r>
      <w:r>
        <w:rPr>
          <w:noProof/>
          <w:color w:val="000000" w:themeColor="text1"/>
        </w:rPr>
        <w:t xml:space="preserve">Investointi </w:t>
      </w:r>
      <w:r>
        <w:rPr>
          <w:noProof/>
        </w:rPr>
        <w:t>koostuu neljästä hankkeesta:</w:t>
      </w:r>
    </w:p>
    <w:p w14:paraId="12F90795" w14:textId="77777777" w:rsidR="00E42B18" w:rsidRDefault="009629C4">
      <w:pPr>
        <w:pStyle w:val="P68B1DB1-ListParagraph37"/>
        <w:numPr>
          <w:ilvl w:val="0"/>
          <w:numId w:val="52"/>
        </w:numPr>
        <w:spacing w:after="0" w:line="240" w:lineRule="auto"/>
        <w:jc w:val="both"/>
        <w:rPr>
          <w:rFonts w:eastAsiaTheme="minorEastAsia"/>
          <w:noProof/>
        </w:rPr>
      </w:pPr>
      <w:r>
        <w:rPr>
          <w:noProof/>
        </w:rPr>
        <w:t xml:space="preserve">SATCOM, </w:t>
      </w:r>
    </w:p>
    <w:p w14:paraId="76A49380" w14:textId="77777777" w:rsidR="00E42B18" w:rsidRDefault="009629C4">
      <w:pPr>
        <w:pStyle w:val="P68B1DB1-ListParagraph37"/>
        <w:numPr>
          <w:ilvl w:val="0"/>
          <w:numId w:val="52"/>
        </w:numPr>
        <w:spacing w:after="0" w:line="240" w:lineRule="auto"/>
        <w:jc w:val="both"/>
        <w:rPr>
          <w:rFonts w:eastAsiaTheme="minorEastAsia"/>
          <w:noProof/>
        </w:rPr>
      </w:pPr>
      <w:r>
        <w:rPr>
          <w:noProof/>
        </w:rPr>
        <w:t xml:space="preserve">Maanhavainnointi (EO), </w:t>
      </w:r>
    </w:p>
    <w:p w14:paraId="22BB946E" w14:textId="77777777" w:rsidR="00E42B18" w:rsidRDefault="009629C4">
      <w:pPr>
        <w:pStyle w:val="P68B1DB1-ListParagraph37"/>
        <w:numPr>
          <w:ilvl w:val="0"/>
          <w:numId w:val="52"/>
        </w:numPr>
        <w:spacing w:after="0" w:line="240" w:lineRule="auto"/>
        <w:jc w:val="both"/>
        <w:rPr>
          <w:rFonts w:eastAsiaTheme="minorEastAsia"/>
          <w:noProof/>
        </w:rPr>
      </w:pPr>
      <w:r>
        <w:rPr>
          <w:noProof/>
        </w:rPr>
        <w:t xml:space="preserve">Avaruustehdas, </w:t>
      </w:r>
    </w:p>
    <w:p w14:paraId="113A0E6A" w14:textId="77777777" w:rsidR="00E42B18" w:rsidRDefault="009629C4">
      <w:pPr>
        <w:pStyle w:val="P68B1DB1-ListParagraph37"/>
        <w:numPr>
          <w:ilvl w:val="0"/>
          <w:numId w:val="52"/>
        </w:numPr>
        <w:spacing w:after="0" w:line="240" w:lineRule="auto"/>
        <w:jc w:val="both"/>
        <w:rPr>
          <w:rFonts w:eastAsiaTheme="minorEastAsia"/>
          <w:noProof/>
        </w:rPr>
      </w:pPr>
      <w:r>
        <w:rPr>
          <w:noProof/>
        </w:rPr>
        <w:t>Kiertoradalla tapahtuva talous.</w:t>
      </w:r>
    </w:p>
    <w:p w14:paraId="7B47B2CC" w14:textId="77777777" w:rsidR="00E42B18" w:rsidRDefault="009629C4">
      <w:pPr>
        <w:pStyle w:val="P68B1DB1-Normal7"/>
        <w:spacing w:before="120" w:after="120"/>
        <w:jc w:val="both"/>
        <w:rPr>
          <w:noProof/>
        </w:rPr>
      </w:pPr>
      <w:r>
        <w:rPr>
          <w:noProof/>
        </w:rPr>
        <w:t>Tarkoituksena on, että investoinnilla ei ole sotilaallisia tavoitteita tai merkitystä puolustuksen alalla.</w:t>
      </w:r>
    </w:p>
    <w:p w14:paraId="08A34874" w14:textId="77777777" w:rsidR="00E42B18" w:rsidRDefault="009629C4">
      <w:pPr>
        <w:pStyle w:val="P68B1DB1-Normal5"/>
        <w:spacing w:before="120" w:after="120"/>
        <w:jc w:val="both"/>
        <w:rPr>
          <w:bCs/>
          <w:noProof/>
        </w:rPr>
      </w:pPr>
      <w:r>
        <w:rPr>
          <w:noProof/>
        </w:rPr>
        <w:t xml:space="preserve">Investointi 5: Teollista toimitusketjua koskevat politiikat ja kansainvälistyminen </w:t>
      </w:r>
    </w:p>
    <w:p w14:paraId="7B1F45DB" w14:textId="77777777" w:rsidR="00E42B18" w:rsidRDefault="009629C4">
      <w:pPr>
        <w:pStyle w:val="P68B1DB1-Normal7"/>
        <w:jc w:val="both"/>
        <w:rPr>
          <w:noProof/>
        </w:rPr>
      </w:pPr>
      <w:r>
        <w:rPr>
          <w:noProof/>
        </w:rPr>
        <w:t>Investoinnin tavoitteena on vahvistaa teollisuuden toimitusketjuja erityisesti helpottamalla rahoituksen saantia ja edistää yritysten (erityisesti pk-yritysten) kilpailukykyä erityisesti tukemalla niiden kansainvälistymistä ja vahvistamalla niiden häiriönsietokykyä covid-19-kriisin jälkeen.</w:t>
      </w:r>
    </w:p>
    <w:p w14:paraId="79C7D9D7" w14:textId="77777777" w:rsidR="00E42B18" w:rsidRDefault="009629C4">
      <w:pPr>
        <w:pStyle w:val="P68B1DB1-Normal7"/>
        <w:jc w:val="both"/>
        <w:rPr>
          <w:noProof/>
        </w:rPr>
      </w:pPr>
      <w:r>
        <w:rPr>
          <w:noProof/>
        </w:rPr>
        <w:t>Investointi koostuu kahdesta toimintalinjasta:</w:t>
      </w:r>
    </w:p>
    <w:p w14:paraId="02FD13E8" w14:textId="77777777" w:rsidR="00E42B18" w:rsidRDefault="009629C4">
      <w:pPr>
        <w:pStyle w:val="P68B1DB1-ListParagraph37"/>
        <w:numPr>
          <w:ilvl w:val="3"/>
          <w:numId w:val="58"/>
        </w:numPr>
        <w:spacing w:before="120" w:after="120" w:line="240" w:lineRule="auto"/>
        <w:ind w:left="1134"/>
        <w:jc w:val="both"/>
        <w:rPr>
          <w:rFonts w:eastAsiaTheme="minorEastAsia"/>
          <w:noProof/>
        </w:rPr>
      </w:pPr>
      <w:r>
        <w:rPr>
          <w:noProof/>
        </w:rPr>
        <w:t xml:space="preserve">SIMESTin hallinnoiman rahaston 394/81 jälleenrahoitus. Se koostuu nykyisen rahaston jälleenrahoituksesta, jota hallinnoi tällä hetkellä julkinen virasto SIMEST. Rahastosta myönnetään rahoitustukea yrityksille, erityisesti pk-yrityksille, niiden kansainvälistymisen tukemiseksi erilaisilla välineillä, kuten ulkomaisille markkinoille pääsyä koskevilla ohjelmilla ja sähköisen kaupankäynnin kehittämisellä. </w:t>
      </w:r>
    </w:p>
    <w:p w14:paraId="41F15611" w14:textId="77777777" w:rsidR="00E42B18" w:rsidRDefault="009629C4">
      <w:pPr>
        <w:pStyle w:val="P68B1DB1-ListParagraph37"/>
        <w:numPr>
          <w:ilvl w:val="3"/>
          <w:numId w:val="58"/>
        </w:numPr>
        <w:spacing w:before="120" w:after="120" w:line="240" w:lineRule="auto"/>
        <w:ind w:left="1134"/>
        <w:jc w:val="both"/>
        <w:rPr>
          <w:rFonts w:eastAsiaTheme="minorEastAsia"/>
          <w:noProof/>
        </w:rPr>
      </w:pPr>
      <w:r>
        <w:rPr>
          <w:noProof/>
        </w:rPr>
        <w:t xml:space="preserve">Toimitusketjujen kilpailukyky ja häiriönsietokyky. Se koostuu kehityssopimuksen välineen kautta yrityksille annettavasta taloudellisesta tuesta hankkeisiin, jotka liittyvät keskeisiin strategisiin arvoketjuihin, kuten teollisuuden kehittämisohjelmiin, ympäristönsuojelun kehittämisohjelmiin, kestävään liikkuvuuteen ja matkailuun. </w:t>
      </w:r>
    </w:p>
    <w:p w14:paraId="627F9927" w14:textId="77777777" w:rsidR="00E42B18" w:rsidRDefault="009629C4">
      <w:pPr>
        <w:pStyle w:val="P68B1DB1-Normal7"/>
        <w:spacing w:after="120"/>
        <w:jc w:val="both"/>
        <w:rPr>
          <w:noProof/>
        </w:rPr>
      </w:pPr>
      <w:r>
        <w:rPr>
          <w:noProof/>
        </w:rPr>
        <w:t>Edellä mainitut toimet toteutetaan investointipolitiikan mukaisesti asetuksen (EU) 2021/241 tavoitteiden mukaisesti, mukaan lukien ”ei merkittävää haittaa” -periaatteen soveltaminen, sellaisena kuin se on täsmennetty ”ei merkittävää haittaa” -periaatetta koskevissa teknisissä ohjeissa (2021/C58/01).</w:t>
      </w:r>
    </w:p>
    <w:p w14:paraId="542348E1" w14:textId="77777777" w:rsidR="00E42B18" w:rsidRDefault="009629C4">
      <w:pPr>
        <w:pStyle w:val="P68B1DB1-Normal7"/>
        <w:spacing w:after="120"/>
        <w:jc w:val="both"/>
        <w:rPr>
          <w:noProof/>
        </w:rPr>
      </w:pPr>
      <w:r>
        <w:rPr>
          <w:noProof/>
        </w:rPr>
        <w:t xml:space="preserve">Sen varmistamiseksi, että toimenpide on ”ei merkittävää haittaa” -periaatetta koskevien teknisten ohjeiden (2021/C58/01) mukainen, Italian ja rahoitusvälineestä vastaavan yhteisön tai rahoituksen välittäjän välisen oikeudellisen sopimuksen ja rahoitusvälineen myöhemmän sijoituspolitiikan on </w:t>
      </w:r>
    </w:p>
    <w:p w14:paraId="68AFC62A" w14:textId="77777777" w:rsidR="00E42B18" w:rsidRDefault="009629C4">
      <w:pPr>
        <w:pStyle w:val="P68B1DB1-ListParagraph36"/>
        <w:numPr>
          <w:ilvl w:val="0"/>
          <w:numId w:val="51"/>
        </w:numPr>
        <w:spacing w:after="0" w:line="240" w:lineRule="auto"/>
        <w:jc w:val="both"/>
        <w:rPr>
          <w:rFonts w:eastAsiaTheme="minorEastAsia" w:hint="default"/>
          <w:noProof/>
        </w:rPr>
      </w:pPr>
      <w:r>
        <w:rPr>
          <w:noProof/>
        </w:rPr>
        <w:t>edellyttää, että InvestEU-rahaston kestävyysarviointia koskevia komission teknisiä ohjeita sovelletaan; ja</w:t>
      </w:r>
    </w:p>
    <w:p w14:paraId="3A521EB6" w14:textId="77777777" w:rsidR="00E42B18" w:rsidRDefault="009629C4">
      <w:pPr>
        <w:pStyle w:val="P68B1DB1-ListParagraph37"/>
        <w:numPr>
          <w:ilvl w:val="0"/>
          <w:numId w:val="51"/>
        </w:numPr>
        <w:spacing w:after="0" w:line="240" w:lineRule="auto"/>
        <w:jc w:val="both"/>
        <w:rPr>
          <w:rFonts w:eastAsiaTheme="minorEastAsia"/>
          <w:noProof/>
        </w:rPr>
      </w:pPr>
      <w:r>
        <w:rPr>
          <w:noProof/>
        </w:rPr>
        <w:t>jätettävä tukikelpoisuuden ulkopuolelle seuraava luettelo toiminnoista ja omaisuuseristä:</w:t>
      </w:r>
      <w:r>
        <w:rPr>
          <w:noProof/>
          <w:color w:val="FF0000"/>
        </w:rPr>
        <w:t xml:space="preserve"> </w:t>
      </w:r>
      <w:r>
        <w:rPr>
          <w:noProof/>
        </w:rPr>
        <w:t>I) fossiilisiin polttoaineisiin liittyvät toiminnot ja varat, mukaan lukien käyttö tuotantoketjun loppupäässä</w:t>
      </w:r>
      <w:r>
        <w:rPr>
          <w:noProof/>
        </w:rPr>
        <w:footnoteReference w:id="2"/>
      </w:r>
      <w:r>
        <w:rPr>
          <w:noProof/>
        </w:rPr>
        <w:t>; II) EU:n päästökauppajärjestelmään kuuluvat toiminnot ja varat, joiden avulla saavutetaan ennustetut kasvihuonekaasupäästöt, jotka eivät alita asiaankuuluvia vertailuarvoja</w:t>
      </w:r>
      <w:r>
        <w:rPr>
          <w:noProof/>
        </w:rPr>
        <w:footnoteReference w:id="3"/>
      </w:r>
      <w:r>
        <w:rPr>
          <w:noProof/>
        </w:rPr>
        <w:t>; III) kaatopaikkoihin, jätteenpolttolaitoksiin ja mekaanisiin biologisiin käsittelylaitoksiin liittyvä toiminta</w:t>
      </w:r>
      <w:r>
        <w:rPr>
          <w:noProof/>
        </w:rPr>
        <w:footnoteReference w:id="4"/>
      </w:r>
      <w:r>
        <w:rPr>
          <w:noProof/>
        </w:rPr>
        <w:t xml:space="preserve"> ja omaisuus</w:t>
      </w:r>
      <w:r>
        <w:rPr>
          <w:noProof/>
        </w:rPr>
        <w:footnoteReference w:id="5"/>
      </w:r>
      <w:r>
        <w:rPr>
          <w:noProof/>
        </w:rPr>
        <w:t>; ja iv) toiminnot ja omaisuuserät, joissa jätteen pitkäaikainen hävittäminen voi aiheuttaa vahinkoa ympäristölle; ja</w:t>
      </w:r>
    </w:p>
    <w:p w14:paraId="7B7103B4" w14:textId="77777777" w:rsidR="00E42B18" w:rsidRDefault="009629C4">
      <w:pPr>
        <w:pStyle w:val="P68B1DB1-ListParagraph37"/>
        <w:numPr>
          <w:ilvl w:val="0"/>
          <w:numId w:val="51"/>
        </w:numPr>
        <w:spacing w:after="0" w:line="240" w:lineRule="auto"/>
        <w:jc w:val="both"/>
        <w:rPr>
          <w:rFonts w:eastAsiaTheme="minorEastAsia"/>
          <w:noProof/>
        </w:rPr>
      </w:pPr>
      <w:r>
        <w:rPr>
          <w:noProof/>
        </w:rPr>
        <w:t>edellyttää, että yhteisö, jolle tehtäviä on siirretty, tai rahoituksen välittäjä todentaa, että hankkeet ovat asiaankuuluvan EU:n ja kansallisen ympäristölainsäädännön mukaisia kaikkien liiketoimien osalta, mukaan lukien kestävyysarvioinnista vapautetut liiketoimet.</w:t>
      </w:r>
    </w:p>
    <w:p w14:paraId="39A81D8E" w14:textId="77777777" w:rsidR="00E42B18" w:rsidRDefault="00E42B18">
      <w:pPr>
        <w:rPr>
          <w:rFonts w:ascii="Times New Roman" w:hAnsi="Times New Roman" w:cs="Times New Roman"/>
          <w:b/>
          <w:noProof/>
          <w:u w:val="single"/>
        </w:rPr>
      </w:pPr>
    </w:p>
    <w:p w14:paraId="0182B285" w14:textId="77777777" w:rsidR="00E42B18" w:rsidRDefault="009629C4">
      <w:pPr>
        <w:pStyle w:val="P68B1DB1-Normal5"/>
        <w:spacing w:before="120" w:after="120"/>
        <w:jc w:val="both"/>
        <w:rPr>
          <w:noProof/>
        </w:rPr>
      </w:pPr>
      <w:r>
        <w:rPr>
          <w:noProof/>
        </w:rPr>
        <w:t>Investointi 7: Kansallinen yhteenliitettävyysrahasto</w:t>
      </w:r>
    </w:p>
    <w:p w14:paraId="4B4681A6" w14:textId="77777777" w:rsidR="00E42B18" w:rsidRDefault="009629C4">
      <w:pPr>
        <w:pStyle w:val="P68B1DB1-Normal7"/>
        <w:spacing w:line="240" w:lineRule="auto"/>
        <w:jc w:val="both"/>
        <w:rPr>
          <w:rFonts w:eastAsia="Calibri"/>
          <w:noProof/>
        </w:rPr>
      </w:pPr>
      <w:r>
        <w:rPr>
          <w:noProof/>
        </w:rPr>
        <w:t>Tämä toimenpide koostuu julkisesta investoinnista avustusjärjestelmään ”Kansallinen yhteenliitettävyysrahasto”, jotta voidaan kannustaa yksityisiä investointeja ja parantaa rahoituksen saantia Italian ultralaajakaistaverkkoinfrastruktuurin alalla. Ohjelma toimii myöntämällä avustuksia suoraan yksityiselle sektorille.</w:t>
      </w:r>
    </w:p>
    <w:p w14:paraId="6AE89921" w14:textId="77777777" w:rsidR="00E42B18" w:rsidRDefault="009629C4">
      <w:pPr>
        <w:pStyle w:val="P68B1DB1-Normal38"/>
        <w:spacing w:line="240" w:lineRule="auto"/>
        <w:jc w:val="both"/>
        <w:rPr>
          <w:noProof/>
        </w:rPr>
      </w:pPr>
      <w:r>
        <w:rPr>
          <w:noProof/>
        </w:rPr>
        <w:t>Järjestelmää hallinnoi toteutuskumppanina toimiva Invitalia S.p.A.. Ohjelmaan on sisällyttävä seuraava tuotelinja:</w:t>
      </w:r>
    </w:p>
    <w:p w14:paraId="784764A5" w14:textId="77777777" w:rsidR="00E42B18" w:rsidRDefault="009629C4">
      <w:pPr>
        <w:pStyle w:val="P68B1DB1-Normal38"/>
        <w:keepNext/>
        <w:numPr>
          <w:ilvl w:val="0"/>
          <w:numId w:val="73"/>
        </w:numPr>
        <w:spacing w:line="240" w:lineRule="auto"/>
        <w:contextualSpacing/>
        <w:jc w:val="both"/>
        <w:rPr>
          <w:noProof/>
        </w:rPr>
      </w:pPr>
      <w:r>
        <w:rPr>
          <w:noProof/>
        </w:rPr>
        <w:t xml:space="preserve">Elinkelpoisuusvajeavustus, joka edellyttää vähintään 30:tä prosenttia yksityisestä yhteisrahoituksesta hankkeen kokonaiskustannuksista. </w:t>
      </w:r>
    </w:p>
    <w:p w14:paraId="65ED103D" w14:textId="77777777" w:rsidR="00E42B18" w:rsidRDefault="009629C4">
      <w:pPr>
        <w:pStyle w:val="P68B1DB1-Normal38"/>
        <w:spacing w:line="240" w:lineRule="auto"/>
        <w:jc w:val="both"/>
        <w:rPr>
          <w:noProof/>
        </w:rPr>
      </w:pPr>
      <w:r>
        <w:rPr>
          <w:noProof/>
        </w:rPr>
        <w:t>Ohjelmaan tehtävän investoinnin toteuttamiseksi Italian ja Invitalia S.p.A:n on allekirjoitettava täytäntöönpanosopimus, jonka sisältö on seuraava:</w:t>
      </w:r>
    </w:p>
    <w:p w14:paraId="5294EF91" w14:textId="77777777" w:rsidR="00E42B18" w:rsidRDefault="009629C4">
      <w:pPr>
        <w:pStyle w:val="P68B1DB1-ListParagraph39"/>
        <w:numPr>
          <w:ilvl w:val="0"/>
          <w:numId w:val="181"/>
        </w:numPr>
        <w:jc w:val="both"/>
        <w:rPr>
          <w:rFonts w:eastAsia="Times New Roman"/>
          <w:noProof/>
        </w:rPr>
      </w:pPr>
      <w:r>
        <w:rPr>
          <w:noProof/>
        </w:rPr>
        <w:t>Kuvaus ohjelman päätöksentekoprosessista: Lopullisen myöntämispäätöksen ohjelmassa tekee investointikomitea tai muu asianmukainen vastaava hallinnollinen elin ja päätös hyväksytään hallituksesta riippumattomien jäsenten ääntenenemmistöllä.</w:t>
      </w:r>
    </w:p>
    <w:p w14:paraId="36B76DBC" w14:textId="77777777" w:rsidR="00E42B18" w:rsidRDefault="009629C4">
      <w:pPr>
        <w:pStyle w:val="P68B1DB1-ListParagraph39"/>
        <w:numPr>
          <w:ilvl w:val="0"/>
          <w:numId w:val="181"/>
        </w:numPr>
        <w:jc w:val="both"/>
        <w:rPr>
          <w:noProof/>
        </w:rPr>
      </w:pPr>
      <w:r>
        <w:rPr>
          <w:noProof/>
        </w:rPr>
        <w:t>Avustuspolitiikan keskeiset vaatimukset,</w:t>
      </w:r>
      <w:r>
        <w:rPr>
          <w:b/>
          <w:noProof/>
        </w:rPr>
        <w:t xml:space="preserve"> </w:t>
      </w:r>
      <w:r>
        <w:rPr>
          <w:noProof/>
        </w:rPr>
        <w:t>joita ovat muun muassa seuraavat:</w:t>
      </w:r>
    </w:p>
    <w:p w14:paraId="43919C71" w14:textId="35D3368B" w:rsidR="00E42B18" w:rsidRDefault="009629C4">
      <w:pPr>
        <w:pStyle w:val="P68B1DB1-ListParagraph39"/>
        <w:numPr>
          <w:ilvl w:val="0"/>
          <w:numId w:val="183"/>
        </w:numPr>
        <w:jc w:val="both"/>
        <w:rPr>
          <w:noProof/>
        </w:rPr>
      </w:pPr>
      <w:r>
        <w:rPr>
          <w:noProof/>
        </w:rPr>
        <w:t xml:space="preserve">Kuvaus myönnetyistä avustuksista ja tukikelpoisista lopullisista edunsaajista. </w:t>
      </w:r>
    </w:p>
    <w:p w14:paraId="442B6202" w14:textId="77777777" w:rsidR="00E42B18" w:rsidRDefault="009629C4">
      <w:pPr>
        <w:pStyle w:val="P68B1DB1-ListParagraph39"/>
        <w:numPr>
          <w:ilvl w:val="0"/>
          <w:numId w:val="183"/>
        </w:numPr>
        <w:jc w:val="both"/>
        <w:rPr>
          <w:noProof/>
        </w:rPr>
      </w:pPr>
      <w:r>
        <w:rPr>
          <w:noProof/>
        </w:rPr>
        <w:t>Vaatimus siitä, että kaikki tuetut investoinnit ovat taloudellisesti elinkelpoisia.</w:t>
      </w:r>
    </w:p>
    <w:p w14:paraId="4F5BC117" w14:textId="77777777" w:rsidR="00E42B18" w:rsidRDefault="009629C4">
      <w:pPr>
        <w:pStyle w:val="P68B1DB1-ListParagraph40"/>
        <w:numPr>
          <w:ilvl w:val="0"/>
          <w:numId w:val="183"/>
        </w:numPr>
        <w:jc w:val="both"/>
        <w:rPr>
          <w:rFonts w:eastAsia="Calibri" w:cs="Times New Roman"/>
          <w:noProof/>
        </w:rPr>
      </w:pPr>
      <w:r>
        <w:rPr>
          <w:noProof/>
        </w:rPr>
        <w:t>”Ei merkittävää haittaa” -periaatteen noudattaminen teknisissä ohjeissa (2021/C58/01) vahvistetun ”ei merkittävää haittaa” -periaatteen mukaisesti: Avustuspolitiikassa suljetaan tukikelpoisuuden ulkopuolelle erityisesti seuraava luettelo toiminnoista ja omaisuuseristä: I) fossiilisiin polttoaineisiin liittyvät toiminnot ja omaisuuserät, mukaan lukien tuotantoketjun loppupään käyttö,</w:t>
      </w:r>
      <w:r>
        <w:rPr>
          <w:noProof/>
        </w:rPr>
        <w:footnoteReference w:id="6"/>
      </w:r>
      <w:r>
        <w:rPr>
          <w:noProof/>
        </w:rPr>
        <w:t>ii) EU:n päästökauppajärjestelmään kuuluvat toiminnot ja omaisuuserät, joiden avulla saavutetaan ennustetut kasvihuonekaasupäästöt, jotka eivät alita asiaankuuluvia vertailuarvoja</w:t>
      </w:r>
      <w:r>
        <w:rPr>
          <w:noProof/>
        </w:rPr>
        <w:footnoteReference w:id="7"/>
      </w:r>
      <w:r>
        <w:rPr>
          <w:noProof/>
        </w:rPr>
        <w:t>, iii) kaatopaikkoihin, polttolaitoksiin ja mekaanisiin biologisiin käsittelylaitoksiin liittyvät toiminnot</w:t>
      </w:r>
      <w:r>
        <w:rPr>
          <w:noProof/>
        </w:rPr>
        <w:footnoteReference w:id="8"/>
      </w:r>
      <w:r>
        <w:rPr>
          <w:noProof/>
        </w:rPr>
        <w:t xml:space="preserve"> ja varat</w:t>
      </w:r>
      <w:r>
        <w:rPr>
          <w:noProof/>
        </w:rPr>
        <w:footnoteReference w:id="9"/>
      </w:r>
      <w:r>
        <w:rPr>
          <w:noProof/>
        </w:rPr>
        <w:t xml:space="preserve">. </w:t>
      </w:r>
    </w:p>
    <w:p w14:paraId="0E0B6B72" w14:textId="77777777" w:rsidR="00E42B18" w:rsidRDefault="009629C4">
      <w:pPr>
        <w:pStyle w:val="P68B1DB1-ListParagraph39"/>
        <w:numPr>
          <w:ilvl w:val="0"/>
          <w:numId w:val="183"/>
        </w:numPr>
        <w:jc w:val="both"/>
        <w:rPr>
          <w:bCs/>
          <w:noProof/>
        </w:rPr>
      </w:pPr>
      <w:r>
        <w:rPr>
          <w:noProof/>
        </w:rPr>
        <w:t>Vaatimus siitä, että ohjelman lopulliset tuensaajat eivät saa tukea muista unionin välineistä samojen kustannusten kattamiseen.</w:t>
      </w:r>
    </w:p>
    <w:p w14:paraId="6725B0F4" w14:textId="77777777" w:rsidR="00E42B18" w:rsidRDefault="009629C4">
      <w:pPr>
        <w:pStyle w:val="P68B1DB1-ListParagraph39"/>
        <w:numPr>
          <w:ilvl w:val="0"/>
          <w:numId w:val="181"/>
        </w:numPr>
        <w:jc w:val="both"/>
        <w:rPr>
          <w:noProof/>
        </w:rPr>
      </w:pPr>
      <w:r>
        <w:rPr>
          <w:noProof/>
        </w:rPr>
        <w:t>Täytäntöönpanosopimuksen kattama määrä, maksurakenne toteutuskumppania varten sekä vaatimus käyttää järjestelmän käyttämättömät tuotot, myös vuoden 2026 jälkeen, samoihin poliittisiin tavoitteisiin.</w:t>
      </w:r>
    </w:p>
    <w:p w14:paraId="2C0277DA" w14:textId="77777777" w:rsidR="00E42B18" w:rsidRDefault="009629C4">
      <w:pPr>
        <w:pStyle w:val="P68B1DB1-ListParagraph39"/>
        <w:numPr>
          <w:ilvl w:val="0"/>
          <w:numId w:val="181"/>
        </w:numPr>
        <w:jc w:val="both"/>
        <w:rPr>
          <w:noProof/>
        </w:rPr>
      </w:pPr>
      <w:r>
        <w:rPr>
          <w:noProof/>
        </w:rPr>
        <w:t>Seuranta-, valvonta- ja tarkastusvaatimukset, joihin sisältyvät</w:t>
      </w:r>
    </w:p>
    <w:p w14:paraId="75BCBFA8" w14:textId="77777777" w:rsidR="00E42B18" w:rsidRDefault="009629C4">
      <w:pPr>
        <w:pStyle w:val="P68B1DB1-Normal38"/>
        <w:numPr>
          <w:ilvl w:val="0"/>
          <w:numId w:val="74"/>
        </w:numPr>
        <w:spacing w:line="240" w:lineRule="auto"/>
        <w:jc w:val="both"/>
        <w:rPr>
          <w:noProof/>
        </w:rPr>
      </w:pPr>
      <w:r>
        <w:rPr>
          <w:noProof/>
        </w:rPr>
        <w:t>Kuvaus toteutuskumppanin seurantajärjestelmästä, jolla raportoidaan käyttöön otetuista avustuksista.</w:t>
      </w:r>
    </w:p>
    <w:p w14:paraId="65118B96" w14:textId="77777777" w:rsidR="00E42B18" w:rsidRDefault="009629C4">
      <w:pPr>
        <w:pStyle w:val="P68B1DB1-Normal38"/>
        <w:numPr>
          <w:ilvl w:val="0"/>
          <w:numId w:val="74"/>
        </w:numPr>
        <w:jc w:val="both"/>
        <w:rPr>
          <w:noProof/>
        </w:rPr>
      </w:pPr>
      <w:r>
        <w:rPr>
          <w:noProof/>
        </w:rPr>
        <w:t xml:space="preserve">Kuvaus toteutuskumppanin menettelyistä, joilla varmistetaan petosten, lahjonnan ja eturistiriitojen ehkäiseminen, havaitseminen ja korjaaminen. </w:t>
      </w:r>
    </w:p>
    <w:p w14:paraId="6D24E78F" w14:textId="77777777" w:rsidR="00E42B18" w:rsidRDefault="009629C4">
      <w:pPr>
        <w:pStyle w:val="P68B1DB1-Normal38"/>
        <w:numPr>
          <w:ilvl w:val="0"/>
          <w:numId w:val="74"/>
        </w:numPr>
        <w:jc w:val="both"/>
        <w:rPr>
          <w:noProof/>
        </w:rPr>
      </w:pPr>
      <w:r>
        <w:rPr>
          <w:noProof/>
        </w:rPr>
        <w:t>Velvollisuus tarkistaa jokaisen toimen tukikelpoisuus täytäntöönpanosopimuksessa vahvistettujen vaatimusten mukaisesti ennen avustuksen myöntämistä toimelle.</w:t>
      </w:r>
    </w:p>
    <w:p w14:paraId="3BD452A2" w14:textId="77777777" w:rsidR="00E42B18" w:rsidRDefault="009629C4">
      <w:pPr>
        <w:numPr>
          <w:ilvl w:val="0"/>
          <w:numId w:val="74"/>
        </w:numPr>
        <w:spacing w:line="240" w:lineRule="auto"/>
        <w:jc w:val="both"/>
        <w:rPr>
          <w:rFonts w:ascii="Times New Roman" w:eastAsia="Calibri" w:hAnsi="Times New Roman" w:cs="Times New Roman"/>
          <w:noProof/>
        </w:rPr>
      </w:pPr>
      <w:r>
        <w:rPr>
          <w:rFonts w:ascii="Times New Roman" w:eastAsia="Calibri" w:hAnsi="Times New Roman" w:cs="Times New Roman"/>
          <w:noProof/>
        </w:rPr>
        <w:t>Velvollisuus suorittaa riskiperusteisia jälkitarkastuksia Invitalia S.p.A:n tarkastussuunnitelman mukaisesti.</w:t>
      </w:r>
      <w:r>
        <w:rPr>
          <w:rFonts w:ascii="Calibri" w:eastAsia="Calibri" w:hAnsi="Calibri" w:cs="Times New Roman"/>
          <w:noProof/>
        </w:rPr>
        <w:t xml:space="preserve"> </w:t>
      </w:r>
      <w:r>
        <w:rPr>
          <w:rFonts w:ascii="Times New Roman" w:eastAsia="Calibri" w:hAnsi="Times New Roman" w:cs="Times New Roman"/>
          <w:noProof/>
        </w:rPr>
        <w:t>Näissä tarkastuksissa on varmistettava i) valvontajärjestelmien tehokkuus, mukaan lukien petosten, lahjonnan ja eturistiriitojen havaitseminen; II) ”ei merkittävää haittaa” -periaatteen eli valtiontukisääntöjen noudattaminen; ja iii) noudatetaan vaatimusta, jonka mukaan järjestelmän lopulliset edunsaajat eivät ole saaneet tukea muista unionin välineistä samojen kustannusten kattamiseksi. Tarkastuksissa on myös todennettava toimien laillisuus ja se, että sovellettavan täytäntöönpanosopimuksen ja avustussopimusten ehtoja noudatetaan.</w:t>
      </w:r>
    </w:p>
    <w:p w14:paraId="5B72EA17" w14:textId="77777777" w:rsidR="00E42B18" w:rsidRDefault="00E42B18">
      <w:pPr>
        <w:spacing w:line="240" w:lineRule="auto"/>
        <w:ind w:left="1080"/>
        <w:jc w:val="both"/>
        <w:rPr>
          <w:rFonts w:ascii="Times New Roman" w:eastAsia="Calibri" w:hAnsi="Times New Roman" w:cs="Times New Roman"/>
          <w:noProof/>
        </w:rPr>
      </w:pPr>
    </w:p>
    <w:p w14:paraId="18598E38" w14:textId="77777777" w:rsidR="00E42B18" w:rsidRDefault="009629C4">
      <w:pPr>
        <w:pStyle w:val="P68B1DB1-Normal7"/>
        <w:rPr>
          <w:b/>
          <w:noProof/>
        </w:rPr>
      </w:pPr>
      <w:r>
        <w:rPr>
          <w:noProof/>
        </w:rPr>
        <w:br w:type="page"/>
      </w:r>
    </w:p>
    <w:p w14:paraId="628B5B01" w14:textId="26F822BE" w:rsidR="00E42B18" w:rsidRDefault="009629C4">
      <w:pPr>
        <w:pStyle w:val="P68B1DB1-Normal5"/>
        <w:spacing w:before="120" w:after="120"/>
        <w:jc w:val="both"/>
        <w:rPr>
          <w:noProof/>
        </w:rPr>
      </w:pPr>
      <w:r>
        <w:rPr>
          <w:noProof/>
        </w:rPr>
        <w:t>Investointi 8: InvestEU-ohjelman jäsenvaltiojako</w:t>
      </w:r>
    </w:p>
    <w:p w14:paraId="172F2FB9" w14:textId="255F4B5C" w:rsidR="00E42B18" w:rsidRDefault="009629C4">
      <w:pPr>
        <w:pStyle w:val="P68B1DB1-Normal7"/>
        <w:spacing w:after="120" w:line="276" w:lineRule="auto"/>
        <w:jc w:val="both"/>
        <w:rPr>
          <w:noProof/>
        </w:rPr>
      </w:pPr>
      <w:bookmarkStart w:id="10" w:name="_Hlk212036381"/>
      <w:r>
        <w:rPr>
          <w:noProof/>
        </w:rPr>
        <w:t>Tämä toimenpide koostuu InvestEU-ohjelman jäsenvaltio-osioon tehtävästä julkisesta investoinnista, jotta voidaan kannustaa yksityisiä investointeja ja parantaa rahoituksen saatavuutta aloilla, joihin voi sisältyä muun muassa valmistus ja rakentaminen. InvestEU-jäsenvaltio-osioon osoitettua rahoitusosuutta on käytettävä pk-yritysten, muiden yritysten ja koko Italian talouden kilpailukyvyn parantamiseen tukemalla esimerkiksi sosiaalisia ja kestäviä infrastruktuurihankkeita sekä tutkimusta, innovointia ja digitalisaatiota koskevia aloitteita. Tätä rahoitustuotetta on käytettävä esimerkiksi tarjoamalla takauksia, lainoja ja omaa pääomaa suoraan tai välittäjien kautta yksityiselle sektorille sekä vastaavaa toimintaa harjoittaville julkisyhteisöille ja julkisoikeudellisille laitoksille.</w:t>
      </w:r>
    </w:p>
    <w:p w14:paraId="08469770" w14:textId="77777777" w:rsidR="00E42B18" w:rsidRDefault="009629C4">
      <w:pPr>
        <w:pStyle w:val="P68B1DB1-Normal7"/>
        <w:spacing w:after="120" w:line="276" w:lineRule="auto"/>
        <w:jc w:val="both"/>
        <w:rPr>
          <w:noProof/>
        </w:rPr>
      </w:pPr>
      <w:r>
        <w:rPr>
          <w:noProof/>
        </w:rPr>
        <w:t xml:space="preserve">Komission ja yhden (tai useamman) toteutuskumppanin, jotka on valittu InvestEU-ohjelman perustamisesta ja asetuksen (EU) 2015/1017 muuttamisesta 24 päivänä maaliskuuta 2021 annetun Euroopan parlamentin ja neuvoston asetuksen (EU) 2021/523 asiaankuuluvien säännösten mukaisesti, välinen takuusopimus tulee voimaan. </w:t>
      </w:r>
    </w:p>
    <w:p w14:paraId="172C6541" w14:textId="77777777" w:rsidR="00E42B18" w:rsidRDefault="009629C4">
      <w:pPr>
        <w:pStyle w:val="P68B1DB1-Normal7"/>
        <w:spacing w:after="120" w:line="276" w:lineRule="auto"/>
        <w:jc w:val="both"/>
        <w:rPr>
          <w:noProof/>
        </w:rPr>
      </w:pPr>
      <w:r>
        <w:rPr>
          <w:noProof/>
        </w:rPr>
        <w:t>Italian on allekirjoitettava Euroopan komission kanssa rahoitusosuussopimus, joka sisältää</w:t>
      </w:r>
    </w:p>
    <w:p w14:paraId="73A7A3B7" w14:textId="77777777" w:rsidR="00E42B18" w:rsidRDefault="009629C4">
      <w:pPr>
        <w:pStyle w:val="P68B1DB1-ListParagraph37"/>
        <w:numPr>
          <w:ilvl w:val="0"/>
          <w:numId w:val="75"/>
        </w:numPr>
        <w:rPr>
          <w:noProof/>
        </w:rPr>
      </w:pPr>
      <w:r>
        <w:rPr>
          <w:noProof/>
        </w:rPr>
        <w:t xml:space="preserve">Ehdotettu toteutuskumppani (ehdotetut toteutuskumppanit). </w:t>
      </w:r>
    </w:p>
    <w:p w14:paraId="1A0AC24C" w14:textId="77777777" w:rsidR="00E42B18" w:rsidRDefault="009629C4">
      <w:pPr>
        <w:pStyle w:val="ListParagraph"/>
        <w:numPr>
          <w:ilvl w:val="0"/>
          <w:numId w:val="75"/>
        </w:numPr>
        <w:rPr>
          <w:rFonts w:ascii="Times New Roman" w:hAnsi="Times New Roman" w:cs="Times New Roman"/>
          <w:noProof/>
        </w:rPr>
      </w:pPr>
      <w:r>
        <w:rPr>
          <w:rFonts w:ascii="Times New Roman" w:hAnsi="Times New Roman" w:cs="Times New Roman"/>
          <w:noProof/>
        </w:rPr>
        <w:t>”Ei merkittävää haittaa” -periaatteen noudattamista koskeva vaatimus (2023/C111). Muutetuissa takaussopimuksissa suljetaan tarvittaessa tukikelpoisuuden ulkopuolelle seuraava luettelo toiminnoista ja omaisuuseristä: I) fossiilisiin polttoaineisiin liittyvät toiminnot ja varat, mukaan lukien käyttö tuotantoketjun loppupäässä</w:t>
      </w:r>
      <w:r>
        <w:rPr>
          <w:rStyle w:val="FootnoteReference"/>
          <w:rFonts w:ascii="Times New Roman" w:hAnsi="Times New Roman" w:cs="Times New Roman"/>
          <w:noProof/>
        </w:rPr>
        <w:footnoteReference w:id="10"/>
      </w:r>
      <w:r>
        <w:rPr>
          <w:rFonts w:ascii="Times New Roman" w:hAnsi="Times New Roman" w:cs="Times New Roman"/>
          <w:noProof/>
        </w:rPr>
        <w:t>; II) EU:n päästökauppajärjestelmään kuuluvat toiminnot ja varat, joiden avulla saavutetaan ennustetut kasvihuonekaasupäästöt, jotka eivät alita asiaankuuluvia vertailuarvoja</w:t>
      </w:r>
      <w:r>
        <w:rPr>
          <w:rStyle w:val="FootnoteReference"/>
          <w:rFonts w:ascii="Times New Roman" w:hAnsi="Times New Roman" w:cs="Times New Roman"/>
          <w:noProof/>
        </w:rPr>
        <w:footnoteReference w:id="11"/>
      </w:r>
      <w:r>
        <w:rPr>
          <w:rFonts w:ascii="Times New Roman" w:hAnsi="Times New Roman" w:cs="Times New Roman"/>
          <w:noProof/>
        </w:rPr>
        <w:t>; III) kaatopaikkoihin, jätteenpolttolaitoksiin ja mekaanisiin biologisiin käsittelylaitoksiin liittyvä toiminta</w:t>
      </w:r>
      <w:r>
        <w:rPr>
          <w:rStyle w:val="FootnoteReference"/>
          <w:rFonts w:ascii="Times New Roman" w:hAnsi="Times New Roman" w:cs="Times New Roman"/>
          <w:noProof/>
        </w:rPr>
        <w:footnoteReference w:id="12"/>
      </w:r>
      <w:r>
        <w:rPr>
          <w:rFonts w:ascii="Times New Roman" w:hAnsi="Times New Roman" w:cs="Times New Roman"/>
          <w:noProof/>
        </w:rPr>
        <w:t xml:space="preserve"> ja omaisuus</w:t>
      </w:r>
      <w:r>
        <w:rPr>
          <w:rStyle w:val="FootnoteReference"/>
          <w:rFonts w:ascii="Times New Roman" w:hAnsi="Times New Roman" w:cs="Times New Roman"/>
          <w:noProof/>
        </w:rPr>
        <w:footnoteReference w:id="13"/>
      </w:r>
      <w:r>
        <w:rPr>
          <w:rFonts w:ascii="Times New Roman" w:hAnsi="Times New Roman" w:cs="Times New Roman"/>
          <w:noProof/>
        </w:rPr>
        <w:t>.</w:t>
      </w:r>
    </w:p>
    <w:p w14:paraId="29CCA58B" w14:textId="77777777" w:rsidR="00E42B18" w:rsidRDefault="009629C4">
      <w:pPr>
        <w:pStyle w:val="P68B1DB1-ListParagraph37"/>
        <w:numPr>
          <w:ilvl w:val="0"/>
          <w:numId w:val="75"/>
        </w:numPr>
        <w:spacing w:after="120" w:line="276" w:lineRule="auto"/>
        <w:jc w:val="both"/>
        <w:rPr>
          <w:noProof/>
        </w:rPr>
      </w:pPr>
      <w:r>
        <w:rPr>
          <w:noProof/>
        </w:rPr>
        <w:t>Kuvaus seurantajärjestelmästä, jota käytetään raportoitaessa käyttöön otettavista varoista.</w:t>
      </w:r>
    </w:p>
    <w:bookmarkEnd w:id="10"/>
    <w:p w14:paraId="2AF7875C" w14:textId="77777777" w:rsidR="00E42B18" w:rsidRDefault="00E42B18">
      <w:pPr>
        <w:spacing w:line="240" w:lineRule="auto"/>
        <w:jc w:val="both"/>
        <w:rPr>
          <w:rFonts w:ascii="Times New Roman" w:eastAsia="Calibri" w:hAnsi="Times New Roman" w:cs="Times New Roman"/>
          <w:noProof/>
        </w:rPr>
      </w:pPr>
    </w:p>
    <w:p w14:paraId="7510A14C" w14:textId="455C9A2A" w:rsidR="00E42B18" w:rsidRDefault="009629C4">
      <w:pPr>
        <w:pStyle w:val="P68B1DB1-Normal5"/>
        <w:spacing w:before="120" w:after="120"/>
        <w:jc w:val="both"/>
        <w:rPr>
          <w:bCs/>
          <w:i/>
          <w:iCs/>
          <w:noProof/>
        </w:rPr>
      </w:pPr>
      <w:r>
        <w:rPr>
          <w:noProof/>
        </w:rPr>
        <w:t xml:space="preserve">Investointi 9: Laajennettu toimenpide: Siirtymä 4.0 </w:t>
      </w:r>
    </w:p>
    <w:p w14:paraId="1A08C863" w14:textId="0D1890E1" w:rsidR="00E42B18" w:rsidRDefault="009629C4">
      <w:pPr>
        <w:pStyle w:val="P68B1DB1-Normal7"/>
        <w:spacing w:before="120" w:after="120"/>
        <w:jc w:val="both"/>
        <w:rPr>
          <w:noProof/>
        </w:rPr>
        <w:sectPr w:rsidR="00E42B18" w:rsidSect="005F11B9">
          <w:headerReference w:type="even" r:id="rId48"/>
          <w:headerReference w:type="default" r:id="rId49"/>
          <w:footerReference w:type="even" r:id="rId50"/>
          <w:footerReference w:type="default" r:id="rId51"/>
          <w:headerReference w:type="first" r:id="rId52"/>
          <w:footerReference w:type="first" r:id="rId53"/>
          <w:pgSz w:w="11907" w:h="16838" w:code="12"/>
          <w:pgMar w:top="1134" w:right="1134" w:bottom="1134" w:left="1134" w:header="567" w:footer="567" w:gutter="0"/>
          <w:cols w:space="720"/>
          <w:docGrid w:linePitch="360"/>
        </w:sectPr>
      </w:pPr>
      <w:r>
        <w:rPr>
          <w:noProof/>
        </w:rPr>
        <w:t>Toimenpiteen tavoitteena on tukea yritysten digitalisaatiota kannustamalla yksityisiä investointeja digitalisaatiota tukeviin omaisuuseriin ja toimiin. Toimenpide koostuu verohyvitysjärjestelmästä.</w:t>
      </w:r>
    </w:p>
    <w:p w14:paraId="5DFC4778" w14:textId="77777777" w:rsidR="00E42B18" w:rsidRDefault="009629C4">
      <w:pPr>
        <w:pStyle w:val="P68B1DB1-Heading39"/>
        <w:numPr>
          <w:ilvl w:val="2"/>
          <w:numId w:val="0"/>
        </w:numPr>
        <w:ind w:left="850" w:hanging="850"/>
        <w:rPr>
          <w:b/>
          <w:bCs/>
          <w:i/>
          <w:iCs/>
          <w:noProof/>
          <w:u w:val="single"/>
        </w:rPr>
      </w:pPr>
      <w:r>
        <w:rPr>
          <w:b/>
          <w:noProof/>
          <w:u w:val="single"/>
        </w:rPr>
        <w:t xml:space="preserve">B.4 </w:t>
      </w:r>
      <w:r>
        <w:rPr>
          <w:noProof/>
        </w:rPr>
        <w:t xml:space="preserve"> </w:t>
      </w:r>
      <w:r>
        <w:rPr>
          <w:b/>
          <w:noProof/>
          <w:u w:val="single"/>
        </w:rPr>
        <w:t xml:space="preserve">Lainamuotoisen tuen seurantaa ja täytäntöönpanoa koskevat välitavoitteet, tavoitteet, indikaattorit ja aikataulu </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985"/>
        <w:gridCol w:w="1275"/>
        <w:gridCol w:w="1276"/>
        <w:gridCol w:w="1276"/>
        <w:gridCol w:w="1134"/>
        <w:gridCol w:w="1163"/>
        <w:gridCol w:w="992"/>
        <w:gridCol w:w="850"/>
        <w:gridCol w:w="709"/>
        <w:gridCol w:w="3232"/>
      </w:tblGrid>
      <w:tr w:rsidR="00E42B18" w14:paraId="5BA5649F" w14:textId="77777777">
        <w:trPr>
          <w:trHeight w:val="315"/>
          <w:tblHeader/>
        </w:trPr>
        <w:tc>
          <w:tcPr>
            <w:tcW w:w="1418" w:type="dxa"/>
            <w:vMerge w:val="restart"/>
            <w:shd w:val="clear" w:color="auto" w:fill="BDD7EE"/>
            <w:vAlign w:val="center"/>
          </w:tcPr>
          <w:p w14:paraId="324EA7B4" w14:textId="77777777" w:rsidR="00E42B18" w:rsidRDefault="009629C4">
            <w:pPr>
              <w:pStyle w:val="P68B1DB1-Normal10"/>
              <w:spacing w:before="120" w:after="120"/>
              <w:jc w:val="center"/>
              <w:rPr>
                <w:noProof/>
                <w:color w:val="006100"/>
                <w:szCs w:val="20"/>
              </w:rPr>
            </w:pPr>
            <w:r>
              <w:rPr>
                <w:noProof/>
              </w:rPr>
              <w:t>Juokseva numero</w:t>
            </w:r>
          </w:p>
        </w:tc>
        <w:tc>
          <w:tcPr>
            <w:tcW w:w="1985" w:type="dxa"/>
            <w:vMerge w:val="restart"/>
            <w:shd w:val="clear" w:color="auto" w:fill="BDD7EE"/>
            <w:vAlign w:val="center"/>
          </w:tcPr>
          <w:p w14:paraId="0E846774" w14:textId="77777777" w:rsidR="00E42B18" w:rsidRDefault="009629C4">
            <w:pPr>
              <w:pStyle w:val="P68B1DB1-Normal10"/>
              <w:spacing w:before="120" w:after="120"/>
              <w:jc w:val="center"/>
              <w:rPr>
                <w:noProof/>
                <w:color w:val="006100"/>
                <w:szCs w:val="20"/>
              </w:rPr>
            </w:pPr>
            <w:r>
              <w:rPr>
                <w:noProof/>
              </w:rPr>
              <w:t>Toimenpide</w:t>
            </w:r>
          </w:p>
        </w:tc>
        <w:tc>
          <w:tcPr>
            <w:tcW w:w="1275" w:type="dxa"/>
            <w:vMerge w:val="restart"/>
            <w:shd w:val="clear" w:color="auto" w:fill="BDD7EE"/>
            <w:vAlign w:val="center"/>
          </w:tcPr>
          <w:p w14:paraId="0881966D" w14:textId="77777777" w:rsidR="00E42B18" w:rsidRDefault="009629C4">
            <w:pPr>
              <w:pStyle w:val="P68B1DB1-Normal10"/>
              <w:spacing w:before="120" w:after="120"/>
              <w:jc w:val="center"/>
              <w:rPr>
                <w:noProof/>
                <w:color w:val="006100"/>
                <w:szCs w:val="20"/>
              </w:rPr>
            </w:pPr>
            <w:r>
              <w:rPr>
                <w:noProof/>
              </w:rPr>
              <w:t>Välitavoite/tavoite</w:t>
            </w:r>
          </w:p>
        </w:tc>
        <w:tc>
          <w:tcPr>
            <w:tcW w:w="1276" w:type="dxa"/>
            <w:vMerge w:val="restart"/>
            <w:shd w:val="clear" w:color="auto" w:fill="BDD7EE"/>
            <w:vAlign w:val="center"/>
          </w:tcPr>
          <w:p w14:paraId="6E74796F" w14:textId="77777777" w:rsidR="00E42B18" w:rsidRDefault="009629C4">
            <w:pPr>
              <w:pStyle w:val="P68B1DB1-Normal10"/>
              <w:spacing w:before="120" w:after="120"/>
              <w:jc w:val="center"/>
              <w:rPr>
                <w:noProof/>
                <w:color w:val="006100"/>
                <w:szCs w:val="20"/>
              </w:rPr>
            </w:pPr>
            <w:r>
              <w:rPr>
                <w:noProof/>
              </w:rPr>
              <w:t>Nimi</w:t>
            </w:r>
          </w:p>
        </w:tc>
        <w:tc>
          <w:tcPr>
            <w:tcW w:w="1276" w:type="dxa"/>
            <w:vMerge w:val="restart"/>
            <w:shd w:val="clear" w:color="auto" w:fill="BDD7EE"/>
            <w:vAlign w:val="center"/>
          </w:tcPr>
          <w:p w14:paraId="05638D1E" w14:textId="0C930BA3" w:rsidR="00E42B18" w:rsidRDefault="009629C4">
            <w:pPr>
              <w:spacing w:before="120" w:after="120"/>
              <w:jc w:val="center"/>
              <w:rPr>
                <w:rFonts w:ascii="Arial Narrow" w:hAnsi="Arial Narrow"/>
                <w:noProof/>
                <w:color w:val="006100"/>
                <w:sz w:val="20"/>
                <w:szCs w:val="20"/>
              </w:rPr>
            </w:pPr>
            <w:r>
              <w:rPr>
                <w:rFonts w:ascii="Arial Narrow" w:hAnsi="Arial Narrow"/>
                <w:b/>
                <w:noProof/>
                <w:sz w:val="20"/>
              </w:rPr>
              <w:t>Laadulliset indikaattorit</w:t>
            </w:r>
            <w:r>
              <w:rPr>
                <w:noProof/>
              </w:rPr>
              <w:t xml:space="preserve"> </w:t>
            </w:r>
            <w:r>
              <w:rPr>
                <w:noProof/>
              </w:rPr>
              <w:br/>
            </w:r>
            <w:r>
              <w:rPr>
                <w:rFonts w:ascii="Arial Narrow" w:hAnsi="Arial Narrow"/>
                <w:b/>
                <w:noProof/>
                <w:sz w:val="20"/>
              </w:rPr>
              <w:t>(välitavoitteiden osalta)</w:t>
            </w:r>
          </w:p>
        </w:tc>
        <w:tc>
          <w:tcPr>
            <w:tcW w:w="3289" w:type="dxa"/>
            <w:gridSpan w:val="3"/>
            <w:shd w:val="clear" w:color="auto" w:fill="BDD7EE"/>
            <w:vAlign w:val="center"/>
          </w:tcPr>
          <w:p w14:paraId="572959B1" w14:textId="1DF0DB3C" w:rsidR="00E42B18" w:rsidRDefault="009629C4">
            <w:pPr>
              <w:spacing w:before="120" w:after="120"/>
              <w:jc w:val="center"/>
              <w:rPr>
                <w:rFonts w:ascii="Arial Narrow" w:hAnsi="Arial Narrow"/>
                <w:noProof/>
                <w:color w:val="006100"/>
                <w:sz w:val="20"/>
                <w:szCs w:val="20"/>
              </w:rPr>
            </w:pPr>
            <w:r>
              <w:rPr>
                <w:rFonts w:ascii="Arial Narrow" w:hAnsi="Arial Narrow"/>
                <w:b/>
                <w:noProof/>
                <w:sz w:val="20"/>
              </w:rPr>
              <w:t>Määrälliset indikaattorit</w:t>
            </w:r>
            <w:r>
              <w:rPr>
                <w:rFonts w:ascii="Arial Narrow" w:hAnsi="Arial Narrow"/>
                <w:noProof/>
              </w:rPr>
              <w:t xml:space="preserve"> </w:t>
            </w:r>
            <w:r>
              <w:rPr>
                <w:noProof/>
              </w:rPr>
              <w:t xml:space="preserve"> </w:t>
            </w:r>
            <w:r>
              <w:rPr>
                <w:noProof/>
              </w:rPr>
              <w:br/>
            </w:r>
            <w:r>
              <w:rPr>
                <w:rFonts w:ascii="Arial Narrow" w:hAnsi="Arial Narrow"/>
                <w:b/>
                <w:noProof/>
                <w:sz w:val="20"/>
              </w:rPr>
              <w:t>(tavoitteiden osalta)</w:t>
            </w:r>
          </w:p>
        </w:tc>
        <w:tc>
          <w:tcPr>
            <w:tcW w:w="1559" w:type="dxa"/>
            <w:gridSpan w:val="2"/>
            <w:shd w:val="clear" w:color="auto" w:fill="BDD7EE"/>
            <w:vAlign w:val="center"/>
          </w:tcPr>
          <w:p w14:paraId="6862B211" w14:textId="77777777" w:rsidR="00E42B18" w:rsidRDefault="009629C4">
            <w:pPr>
              <w:pStyle w:val="P68B1DB1-Normal10"/>
              <w:spacing w:before="120" w:after="120"/>
              <w:jc w:val="center"/>
              <w:rPr>
                <w:noProof/>
                <w:color w:val="006100"/>
                <w:szCs w:val="20"/>
              </w:rPr>
            </w:pPr>
            <w:r>
              <w:rPr>
                <w:noProof/>
              </w:rPr>
              <w:t>Alustava toteutusaikataulu</w:t>
            </w:r>
          </w:p>
        </w:tc>
        <w:tc>
          <w:tcPr>
            <w:tcW w:w="3232" w:type="dxa"/>
            <w:vMerge w:val="restart"/>
            <w:shd w:val="clear" w:color="auto" w:fill="BDD7EE"/>
            <w:vAlign w:val="center"/>
          </w:tcPr>
          <w:p w14:paraId="2D561D0E" w14:textId="77777777" w:rsidR="00E42B18" w:rsidRDefault="009629C4">
            <w:pPr>
              <w:pStyle w:val="P68B1DB1-Normal10"/>
              <w:spacing w:before="120" w:after="120"/>
              <w:jc w:val="center"/>
              <w:rPr>
                <w:bCs/>
                <w:noProof/>
                <w:szCs w:val="20"/>
              </w:rPr>
            </w:pPr>
            <w:r>
              <w:rPr>
                <w:noProof/>
              </w:rPr>
              <w:t>Kunkin välitavoitteen ja tavoitteen kuvaus</w:t>
            </w:r>
          </w:p>
        </w:tc>
      </w:tr>
      <w:tr w:rsidR="00E42B18" w14:paraId="29BA27AD" w14:textId="77777777">
        <w:trPr>
          <w:trHeight w:val="315"/>
          <w:tblHeader/>
        </w:trPr>
        <w:tc>
          <w:tcPr>
            <w:tcW w:w="1418" w:type="dxa"/>
            <w:vMerge/>
            <w:vAlign w:val="center"/>
          </w:tcPr>
          <w:p w14:paraId="73120CFD" w14:textId="77777777" w:rsidR="00E42B18" w:rsidRDefault="00E42B18">
            <w:pPr>
              <w:spacing w:before="120" w:after="120"/>
              <w:jc w:val="center"/>
              <w:rPr>
                <w:rFonts w:ascii="Arial Narrow" w:hAnsi="Arial Narrow"/>
                <w:noProof/>
                <w:color w:val="006100"/>
                <w:sz w:val="20"/>
                <w:szCs w:val="20"/>
              </w:rPr>
            </w:pPr>
          </w:p>
        </w:tc>
        <w:tc>
          <w:tcPr>
            <w:tcW w:w="1985" w:type="dxa"/>
            <w:vMerge/>
            <w:vAlign w:val="center"/>
          </w:tcPr>
          <w:p w14:paraId="16892EF6" w14:textId="77777777" w:rsidR="00E42B18" w:rsidRDefault="00E42B18">
            <w:pPr>
              <w:spacing w:before="120" w:after="120"/>
              <w:jc w:val="center"/>
              <w:rPr>
                <w:rFonts w:ascii="Arial Narrow" w:hAnsi="Arial Narrow"/>
                <w:noProof/>
                <w:color w:val="006100"/>
                <w:sz w:val="20"/>
                <w:szCs w:val="20"/>
              </w:rPr>
            </w:pPr>
          </w:p>
        </w:tc>
        <w:tc>
          <w:tcPr>
            <w:tcW w:w="1275" w:type="dxa"/>
            <w:vMerge/>
            <w:vAlign w:val="center"/>
          </w:tcPr>
          <w:p w14:paraId="27DB6052" w14:textId="77777777" w:rsidR="00E42B18" w:rsidRDefault="00E42B18">
            <w:pPr>
              <w:spacing w:before="120" w:after="120"/>
              <w:jc w:val="center"/>
              <w:rPr>
                <w:rFonts w:ascii="Arial Narrow" w:hAnsi="Arial Narrow"/>
                <w:noProof/>
                <w:color w:val="006100"/>
                <w:sz w:val="20"/>
                <w:szCs w:val="20"/>
              </w:rPr>
            </w:pPr>
          </w:p>
        </w:tc>
        <w:tc>
          <w:tcPr>
            <w:tcW w:w="1276" w:type="dxa"/>
            <w:vMerge/>
            <w:vAlign w:val="center"/>
          </w:tcPr>
          <w:p w14:paraId="260AF22C" w14:textId="77777777" w:rsidR="00E42B18" w:rsidRDefault="00E42B18">
            <w:pPr>
              <w:spacing w:before="120" w:after="120"/>
              <w:jc w:val="center"/>
              <w:rPr>
                <w:rFonts w:ascii="Arial Narrow" w:hAnsi="Arial Narrow"/>
                <w:noProof/>
                <w:color w:val="006100"/>
                <w:sz w:val="20"/>
                <w:szCs w:val="20"/>
              </w:rPr>
            </w:pPr>
          </w:p>
        </w:tc>
        <w:tc>
          <w:tcPr>
            <w:tcW w:w="1276" w:type="dxa"/>
            <w:vMerge/>
            <w:vAlign w:val="center"/>
          </w:tcPr>
          <w:p w14:paraId="0CF9474C" w14:textId="77777777" w:rsidR="00E42B18" w:rsidRDefault="00E42B18">
            <w:pPr>
              <w:spacing w:before="120" w:after="120"/>
              <w:jc w:val="center"/>
              <w:rPr>
                <w:rFonts w:ascii="Arial Narrow" w:hAnsi="Arial Narrow"/>
                <w:noProof/>
                <w:color w:val="006100"/>
                <w:sz w:val="20"/>
                <w:szCs w:val="20"/>
              </w:rPr>
            </w:pPr>
          </w:p>
        </w:tc>
        <w:tc>
          <w:tcPr>
            <w:tcW w:w="1134" w:type="dxa"/>
            <w:shd w:val="clear" w:color="auto" w:fill="BDD7EE"/>
            <w:vAlign w:val="center"/>
          </w:tcPr>
          <w:p w14:paraId="5230E2C2" w14:textId="77777777" w:rsidR="00E42B18" w:rsidRDefault="009629C4">
            <w:pPr>
              <w:pStyle w:val="P68B1DB1-Normal10"/>
              <w:spacing w:before="120" w:after="120"/>
              <w:jc w:val="center"/>
              <w:rPr>
                <w:noProof/>
                <w:color w:val="006100"/>
                <w:szCs w:val="20"/>
              </w:rPr>
            </w:pPr>
            <w:r>
              <w:rPr>
                <w:noProof/>
              </w:rPr>
              <w:t>Mitta-yksikkö</w:t>
            </w:r>
          </w:p>
        </w:tc>
        <w:tc>
          <w:tcPr>
            <w:tcW w:w="1163" w:type="dxa"/>
            <w:shd w:val="clear" w:color="auto" w:fill="BDD7EE"/>
            <w:vAlign w:val="center"/>
          </w:tcPr>
          <w:p w14:paraId="38781680" w14:textId="77777777" w:rsidR="00E42B18" w:rsidRDefault="009629C4">
            <w:pPr>
              <w:pStyle w:val="P68B1DB1-Normal10"/>
              <w:spacing w:before="120" w:after="120"/>
              <w:jc w:val="center"/>
              <w:rPr>
                <w:noProof/>
                <w:color w:val="006100"/>
                <w:szCs w:val="20"/>
              </w:rPr>
            </w:pPr>
            <w:r>
              <w:rPr>
                <w:noProof/>
              </w:rPr>
              <w:t>Lähtötilanne</w:t>
            </w:r>
          </w:p>
        </w:tc>
        <w:tc>
          <w:tcPr>
            <w:tcW w:w="992" w:type="dxa"/>
            <w:shd w:val="clear" w:color="auto" w:fill="BDD7EE"/>
            <w:vAlign w:val="center"/>
          </w:tcPr>
          <w:p w14:paraId="72040729" w14:textId="77777777" w:rsidR="00E42B18" w:rsidRDefault="009629C4">
            <w:pPr>
              <w:pStyle w:val="P68B1DB1-Normal10"/>
              <w:spacing w:before="120" w:after="120"/>
              <w:jc w:val="center"/>
              <w:rPr>
                <w:noProof/>
                <w:color w:val="006100"/>
                <w:szCs w:val="20"/>
              </w:rPr>
            </w:pPr>
            <w:r>
              <w:rPr>
                <w:noProof/>
              </w:rPr>
              <w:t>Päämäärä</w:t>
            </w:r>
          </w:p>
        </w:tc>
        <w:tc>
          <w:tcPr>
            <w:tcW w:w="850" w:type="dxa"/>
            <w:shd w:val="clear" w:color="auto" w:fill="BDD7EE"/>
            <w:vAlign w:val="center"/>
          </w:tcPr>
          <w:p w14:paraId="1F93A7DB" w14:textId="77777777" w:rsidR="00E42B18" w:rsidRDefault="009629C4">
            <w:pPr>
              <w:pStyle w:val="P68B1DB1-Normal10"/>
              <w:spacing w:before="120" w:after="120"/>
              <w:jc w:val="center"/>
              <w:rPr>
                <w:noProof/>
                <w:color w:val="006100"/>
                <w:szCs w:val="20"/>
              </w:rPr>
            </w:pPr>
            <w:r>
              <w:rPr>
                <w:noProof/>
              </w:rPr>
              <w:t>Neljännes</w:t>
            </w:r>
          </w:p>
        </w:tc>
        <w:tc>
          <w:tcPr>
            <w:tcW w:w="709" w:type="dxa"/>
            <w:shd w:val="clear" w:color="auto" w:fill="BDD7EE"/>
            <w:vAlign w:val="center"/>
          </w:tcPr>
          <w:p w14:paraId="7E9B4F0D" w14:textId="77777777" w:rsidR="00E42B18" w:rsidRDefault="009629C4">
            <w:pPr>
              <w:pStyle w:val="P68B1DB1-Normal10"/>
              <w:spacing w:before="120" w:after="120"/>
              <w:jc w:val="center"/>
              <w:rPr>
                <w:noProof/>
                <w:color w:val="006100"/>
                <w:szCs w:val="20"/>
              </w:rPr>
            </w:pPr>
            <w:r>
              <w:rPr>
                <w:noProof/>
              </w:rPr>
              <w:t>Vuosi</w:t>
            </w:r>
          </w:p>
        </w:tc>
        <w:tc>
          <w:tcPr>
            <w:tcW w:w="3232" w:type="dxa"/>
            <w:vMerge/>
            <w:vAlign w:val="center"/>
          </w:tcPr>
          <w:p w14:paraId="2734A567" w14:textId="77777777" w:rsidR="00E42B18" w:rsidRDefault="00E42B18">
            <w:pPr>
              <w:spacing w:before="120" w:after="120"/>
              <w:rPr>
                <w:rFonts w:ascii="Arial Narrow" w:hAnsi="Arial Narrow"/>
                <w:noProof/>
                <w:color w:val="006100"/>
                <w:sz w:val="20"/>
                <w:szCs w:val="20"/>
              </w:rPr>
            </w:pPr>
          </w:p>
        </w:tc>
      </w:tr>
      <w:tr w:rsidR="00E42B18" w14:paraId="57EB5263" w14:textId="77777777">
        <w:trPr>
          <w:trHeight w:val="315"/>
        </w:trPr>
        <w:tc>
          <w:tcPr>
            <w:tcW w:w="1418" w:type="dxa"/>
            <w:shd w:val="clear" w:color="auto" w:fill="C6EFCE"/>
            <w:vAlign w:val="center"/>
          </w:tcPr>
          <w:p w14:paraId="6590E7B8" w14:textId="77777777" w:rsidR="00E42B18" w:rsidRDefault="009629C4">
            <w:pPr>
              <w:pStyle w:val="P68B1DB1-Normal12"/>
              <w:spacing w:before="120" w:after="120"/>
              <w:jc w:val="center"/>
              <w:rPr>
                <w:noProof/>
              </w:rPr>
            </w:pPr>
            <w:r>
              <w:rPr>
                <w:noProof/>
              </w:rPr>
              <w:t>M1C2–15</w:t>
            </w:r>
          </w:p>
        </w:tc>
        <w:tc>
          <w:tcPr>
            <w:tcW w:w="1985" w:type="dxa"/>
            <w:shd w:val="clear" w:color="auto" w:fill="C6EFCE"/>
            <w:vAlign w:val="center"/>
          </w:tcPr>
          <w:p w14:paraId="03166FD0" w14:textId="77777777" w:rsidR="00E42B18" w:rsidRDefault="009629C4">
            <w:pPr>
              <w:pStyle w:val="P68B1DB1-Normal11"/>
              <w:spacing w:before="120" w:after="120"/>
              <w:jc w:val="center"/>
              <w:rPr>
                <w:noProof/>
                <w:szCs w:val="20"/>
              </w:rPr>
            </w:pPr>
            <w:r>
              <w:rPr>
                <w:noProof/>
              </w:rPr>
              <w:t>Investointi 2: Mikroelektroniikan innovointi ja teknologia</w:t>
            </w:r>
          </w:p>
        </w:tc>
        <w:tc>
          <w:tcPr>
            <w:tcW w:w="1275" w:type="dxa"/>
            <w:shd w:val="clear" w:color="auto" w:fill="C6EFCE"/>
            <w:vAlign w:val="center"/>
          </w:tcPr>
          <w:p w14:paraId="0ECC3C9B" w14:textId="77777777" w:rsidR="00E42B18" w:rsidRDefault="009629C4">
            <w:pPr>
              <w:pStyle w:val="P68B1DB1-Normal11"/>
              <w:spacing w:before="120" w:after="120"/>
              <w:jc w:val="center"/>
              <w:rPr>
                <w:noProof/>
                <w:szCs w:val="20"/>
              </w:rPr>
            </w:pPr>
            <w:r>
              <w:rPr>
                <w:noProof/>
              </w:rPr>
              <w:t>Kohde</w:t>
            </w:r>
          </w:p>
        </w:tc>
        <w:tc>
          <w:tcPr>
            <w:tcW w:w="1276" w:type="dxa"/>
            <w:shd w:val="clear" w:color="auto" w:fill="C6EFCE"/>
            <w:vAlign w:val="center"/>
          </w:tcPr>
          <w:p w14:paraId="4C3DC912" w14:textId="77777777" w:rsidR="00E42B18" w:rsidRDefault="009629C4">
            <w:pPr>
              <w:pStyle w:val="P68B1DB1-Normal11"/>
              <w:spacing w:before="120" w:after="120"/>
              <w:jc w:val="center"/>
              <w:rPr>
                <w:noProof/>
                <w:szCs w:val="20"/>
              </w:rPr>
            </w:pPr>
            <w:r>
              <w:rPr>
                <w:noProof/>
              </w:rPr>
              <w:t>Piikarbide-alustojen tuotantokapasiteetti</w:t>
            </w:r>
          </w:p>
        </w:tc>
        <w:tc>
          <w:tcPr>
            <w:tcW w:w="1276" w:type="dxa"/>
            <w:shd w:val="clear" w:color="auto" w:fill="C6EFCE"/>
            <w:vAlign w:val="center"/>
          </w:tcPr>
          <w:p w14:paraId="7957A24F" w14:textId="77777777" w:rsidR="00E42B18" w:rsidRDefault="009629C4">
            <w:pPr>
              <w:pStyle w:val="P68B1DB1-Normal11"/>
              <w:spacing w:before="120" w:after="120"/>
              <w:jc w:val="center"/>
              <w:rPr>
                <w:noProof/>
                <w:szCs w:val="20"/>
              </w:rPr>
            </w:pPr>
            <w:r>
              <w:rPr>
                <w:noProof/>
              </w:rPr>
              <w:t>EI OLE</w:t>
            </w:r>
          </w:p>
        </w:tc>
        <w:tc>
          <w:tcPr>
            <w:tcW w:w="1134" w:type="dxa"/>
            <w:shd w:val="clear" w:color="auto" w:fill="C6EFCE"/>
            <w:vAlign w:val="center"/>
          </w:tcPr>
          <w:p w14:paraId="31FAAAAF" w14:textId="77777777" w:rsidR="00E42B18" w:rsidRDefault="009629C4">
            <w:pPr>
              <w:pStyle w:val="P68B1DB1-Normal11"/>
              <w:spacing w:before="120" w:after="120"/>
              <w:jc w:val="center"/>
              <w:rPr>
                <w:noProof/>
                <w:szCs w:val="20"/>
              </w:rPr>
            </w:pPr>
            <w:r>
              <w:rPr>
                <w:noProof/>
              </w:rPr>
              <w:t>Numero</w:t>
            </w:r>
          </w:p>
        </w:tc>
        <w:tc>
          <w:tcPr>
            <w:tcW w:w="1163" w:type="dxa"/>
            <w:shd w:val="clear" w:color="auto" w:fill="C6EFCE"/>
            <w:vAlign w:val="center"/>
          </w:tcPr>
          <w:p w14:paraId="7872CA52" w14:textId="77777777" w:rsidR="00E42B18" w:rsidRDefault="009629C4">
            <w:pPr>
              <w:pStyle w:val="P68B1DB1-Normal11"/>
              <w:spacing w:before="120" w:after="120"/>
              <w:jc w:val="center"/>
              <w:rPr>
                <w:noProof/>
                <w:szCs w:val="20"/>
              </w:rPr>
            </w:pPr>
            <w:r>
              <w:rPr>
                <w:noProof/>
              </w:rPr>
              <w:t>0</w:t>
            </w:r>
          </w:p>
        </w:tc>
        <w:tc>
          <w:tcPr>
            <w:tcW w:w="992" w:type="dxa"/>
            <w:shd w:val="clear" w:color="auto" w:fill="C6EFCE"/>
            <w:vAlign w:val="center"/>
          </w:tcPr>
          <w:p w14:paraId="66C8A851" w14:textId="77777777" w:rsidR="00E42B18" w:rsidRDefault="009629C4">
            <w:pPr>
              <w:pStyle w:val="P68B1DB1-Normal12"/>
              <w:spacing w:before="120" w:after="120"/>
              <w:jc w:val="center"/>
              <w:rPr>
                <w:noProof/>
              </w:rPr>
            </w:pPr>
            <w:r>
              <w:rPr>
                <w:noProof/>
              </w:rPr>
              <w:t xml:space="preserve">197 028 </w:t>
            </w:r>
          </w:p>
        </w:tc>
        <w:tc>
          <w:tcPr>
            <w:tcW w:w="850" w:type="dxa"/>
            <w:shd w:val="clear" w:color="auto" w:fill="C6EFCE"/>
            <w:vAlign w:val="center"/>
          </w:tcPr>
          <w:p w14:paraId="3AEE276F" w14:textId="77777777" w:rsidR="00E42B18" w:rsidRDefault="009629C4">
            <w:pPr>
              <w:pStyle w:val="P68B1DB1-Normal11"/>
              <w:spacing w:before="120" w:after="120"/>
              <w:jc w:val="center"/>
              <w:rPr>
                <w:noProof/>
                <w:szCs w:val="20"/>
              </w:rPr>
            </w:pPr>
            <w:r>
              <w:rPr>
                <w:noProof/>
              </w:rPr>
              <w:t>Q2</w:t>
            </w:r>
          </w:p>
        </w:tc>
        <w:tc>
          <w:tcPr>
            <w:tcW w:w="709" w:type="dxa"/>
            <w:shd w:val="clear" w:color="auto" w:fill="C6EFCE"/>
            <w:vAlign w:val="center"/>
          </w:tcPr>
          <w:p w14:paraId="5D6B9867" w14:textId="77777777" w:rsidR="00E42B18" w:rsidRDefault="009629C4">
            <w:pPr>
              <w:pStyle w:val="P68B1DB1-Normal11"/>
              <w:spacing w:before="120" w:after="120"/>
              <w:jc w:val="center"/>
              <w:rPr>
                <w:noProof/>
                <w:szCs w:val="20"/>
              </w:rPr>
            </w:pPr>
            <w:r>
              <w:rPr>
                <w:noProof/>
              </w:rPr>
              <w:t>2026</w:t>
            </w:r>
          </w:p>
        </w:tc>
        <w:tc>
          <w:tcPr>
            <w:tcW w:w="3232" w:type="dxa"/>
            <w:shd w:val="clear" w:color="auto" w:fill="C6EFCE"/>
            <w:vAlign w:val="center"/>
          </w:tcPr>
          <w:p w14:paraId="03C28169" w14:textId="4F88E30B" w:rsidR="00E42B18" w:rsidRDefault="009629C4">
            <w:pPr>
              <w:pStyle w:val="P68B1DB1-Normal12"/>
              <w:spacing w:before="120" w:after="120"/>
              <w:rPr>
                <w:noProof/>
              </w:rPr>
            </w:pPr>
            <w:r>
              <w:rPr>
                <w:noProof/>
              </w:rPr>
              <w:t>Vähintään 197 028 8 tuuman piikarbidesubstraattien lisätuotantokapasiteetin toteuttaminen vuodessa.</w:t>
            </w:r>
          </w:p>
        </w:tc>
      </w:tr>
      <w:tr w:rsidR="00E42B18" w14:paraId="3A0ABC22" w14:textId="77777777">
        <w:trPr>
          <w:trHeight w:val="315"/>
        </w:trPr>
        <w:tc>
          <w:tcPr>
            <w:tcW w:w="1418" w:type="dxa"/>
            <w:shd w:val="clear" w:color="auto" w:fill="C6EFCE"/>
            <w:vAlign w:val="center"/>
          </w:tcPr>
          <w:p w14:paraId="79C49779" w14:textId="77777777" w:rsidR="00E42B18" w:rsidRDefault="009629C4">
            <w:pPr>
              <w:pStyle w:val="P68B1DB1-Normal11"/>
              <w:spacing w:before="120" w:after="120"/>
              <w:jc w:val="center"/>
              <w:rPr>
                <w:noProof/>
                <w:szCs w:val="20"/>
              </w:rPr>
            </w:pPr>
            <w:r>
              <w:rPr>
                <w:noProof/>
              </w:rPr>
              <w:t>M1C2–16</w:t>
            </w:r>
          </w:p>
        </w:tc>
        <w:tc>
          <w:tcPr>
            <w:tcW w:w="1985" w:type="dxa"/>
            <w:shd w:val="clear" w:color="auto" w:fill="C6EFCE"/>
            <w:vAlign w:val="center"/>
          </w:tcPr>
          <w:p w14:paraId="05F3F24C" w14:textId="77777777" w:rsidR="00E42B18" w:rsidRDefault="009629C4">
            <w:pPr>
              <w:pStyle w:val="P68B1DB1-Normal11"/>
              <w:spacing w:before="120" w:after="120"/>
              <w:jc w:val="center"/>
              <w:rPr>
                <w:noProof/>
                <w:szCs w:val="20"/>
              </w:rPr>
            </w:pPr>
            <w:r>
              <w:rPr>
                <w:noProof/>
              </w:rPr>
              <w:t>Investointi 3: Nopeat internetyhteydet (laajakaista ja 5G)</w:t>
            </w:r>
          </w:p>
        </w:tc>
        <w:tc>
          <w:tcPr>
            <w:tcW w:w="1275" w:type="dxa"/>
            <w:shd w:val="clear" w:color="auto" w:fill="C6EFCE"/>
            <w:vAlign w:val="center"/>
          </w:tcPr>
          <w:p w14:paraId="7AA31277" w14:textId="77777777" w:rsidR="00E42B18" w:rsidRDefault="009629C4">
            <w:pPr>
              <w:pStyle w:val="P68B1DB1-Normal11"/>
              <w:spacing w:before="120" w:after="120"/>
              <w:jc w:val="center"/>
              <w:rPr>
                <w:noProof/>
                <w:szCs w:val="20"/>
              </w:rPr>
            </w:pPr>
            <w:r>
              <w:rPr>
                <w:noProof/>
              </w:rPr>
              <w:t>Virstanpylväs</w:t>
            </w:r>
          </w:p>
        </w:tc>
        <w:tc>
          <w:tcPr>
            <w:tcW w:w="1276" w:type="dxa"/>
            <w:shd w:val="clear" w:color="auto" w:fill="C6EFCE"/>
            <w:vAlign w:val="center"/>
          </w:tcPr>
          <w:p w14:paraId="5D085CA9" w14:textId="77777777" w:rsidR="00E42B18" w:rsidRDefault="009629C4">
            <w:pPr>
              <w:pStyle w:val="P68B1DB1-Normal11"/>
              <w:spacing w:before="120" w:after="120"/>
              <w:jc w:val="center"/>
              <w:rPr>
                <w:noProof/>
                <w:szCs w:val="20"/>
              </w:rPr>
            </w:pPr>
            <w:r>
              <w:rPr>
                <w:noProof/>
              </w:rPr>
              <w:t>Kaikkien julkisia hankintoja koskevien sopimusten tekeminen nopeampien liitäntähankkeiden osalta</w:t>
            </w:r>
          </w:p>
        </w:tc>
        <w:tc>
          <w:tcPr>
            <w:tcW w:w="1276" w:type="dxa"/>
            <w:shd w:val="clear" w:color="auto" w:fill="C6EFCE"/>
            <w:vAlign w:val="center"/>
          </w:tcPr>
          <w:p w14:paraId="24D79BEF" w14:textId="77777777" w:rsidR="00E42B18" w:rsidRDefault="009629C4">
            <w:pPr>
              <w:pStyle w:val="P68B1DB1-Normal11"/>
              <w:spacing w:before="120" w:after="120"/>
              <w:jc w:val="center"/>
              <w:rPr>
                <w:noProof/>
                <w:szCs w:val="20"/>
              </w:rPr>
            </w:pPr>
            <w:r>
              <w:rPr>
                <w:noProof/>
              </w:rPr>
              <w:t>Ilmoitus kaikkien julkisia hankintoja koskevien sopimusten tekemisestä nopeampien liitäntähankkeiden osalta</w:t>
            </w:r>
          </w:p>
        </w:tc>
        <w:tc>
          <w:tcPr>
            <w:tcW w:w="1134" w:type="dxa"/>
            <w:shd w:val="clear" w:color="auto" w:fill="C6EFCE"/>
            <w:vAlign w:val="center"/>
          </w:tcPr>
          <w:p w14:paraId="7E85DFCF" w14:textId="77777777" w:rsidR="00E42B18" w:rsidRDefault="009629C4">
            <w:pPr>
              <w:pStyle w:val="P68B1DB1-Normal11"/>
              <w:spacing w:before="120" w:after="120"/>
              <w:jc w:val="center"/>
              <w:rPr>
                <w:noProof/>
                <w:szCs w:val="20"/>
              </w:rPr>
            </w:pPr>
            <w:r>
              <w:rPr>
                <w:noProof/>
              </w:rPr>
              <w:t>EI OLE</w:t>
            </w:r>
          </w:p>
        </w:tc>
        <w:tc>
          <w:tcPr>
            <w:tcW w:w="1163" w:type="dxa"/>
            <w:shd w:val="clear" w:color="auto" w:fill="C6EFCE"/>
            <w:vAlign w:val="center"/>
          </w:tcPr>
          <w:p w14:paraId="70E80D0B" w14:textId="77777777" w:rsidR="00E42B18" w:rsidRDefault="009629C4">
            <w:pPr>
              <w:pStyle w:val="P68B1DB1-Normal11"/>
              <w:spacing w:before="120" w:after="120"/>
              <w:jc w:val="center"/>
              <w:rPr>
                <w:noProof/>
                <w:szCs w:val="20"/>
              </w:rPr>
            </w:pPr>
            <w:r>
              <w:rPr>
                <w:noProof/>
              </w:rPr>
              <w:t>EI OLE</w:t>
            </w:r>
          </w:p>
        </w:tc>
        <w:tc>
          <w:tcPr>
            <w:tcW w:w="992" w:type="dxa"/>
            <w:shd w:val="clear" w:color="auto" w:fill="C6EFCE"/>
            <w:vAlign w:val="center"/>
          </w:tcPr>
          <w:p w14:paraId="11496126" w14:textId="77777777" w:rsidR="00E42B18" w:rsidRDefault="009629C4">
            <w:pPr>
              <w:pStyle w:val="P68B1DB1-Normal11"/>
              <w:spacing w:before="120" w:after="120"/>
              <w:jc w:val="center"/>
              <w:rPr>
                <w:noProof/>
                <w:szCs w:val="20"/>
              </w:rPr>
            </w:pPr>
            <w:r>
              <w:rPr>
                <w:noProof/>
              </w:rPr>
              <w:t>EI OLE</w:t>
            </w:r>
          </w:p>
        </w:tc>
        <w:tc>
          <w:tcPr>
            <w:tcW w:w="850" w:type="dxa"/>
            <w:shd w:val="clear" w:color="auto" w:fill="C6EFCE"/>
            <w:vAlign w:val="center"/>
          </w:tcPr>
          <w:p w14:paraId="4720B5E9" w14:textId="77777777" w:rsidR="00E42B18" w:rsidRDefault="009629C4">
            <w:pPr>
              <w:pStyle w:val="P68B1DB1-Normal11"/>
              <w:spacing w:before="120" w:after="120"/>
              <w:jc w:val="center"/>
              <w:rPr>
                <w:noProof/>
                <w:szCs w:val="20"/>
              </w:rPr>
            </w:pPr>
            <w:r>
              <w:rPr>
                <w:noProof/>
              </w:rPr>
              <w:t>Q2</w:t>
            </w:r>
          </w:p>
        </w:tc>
        <w:tc>
          <w:tcPr>
            <w:tcW w:w="709" w:type="dxa"/>
            <w:shd w:val="clear" w:color="auto" w:fill="C6EFCE"/>
            <w:vAlign w:val="center"/>
          </w:tcPr>
          <w:p w14:paraId="4CEF93F2" w14:textId="77777777" w:rsidR="00E42B18" w:rsidRDefault="009629C4">
            <w:pPr>
              <w:pStyle w:val="P68B1DB1-Normal11"/>
              <w:spacing w:before="120" w:after="120"/>
              <w:jc w:val="center"/>
              <w:rPr>
                <w:noProof/>
                <w:szCs w:val="20"/>
              </w:rPr>
            </w:pPr>
            <w:r>
              <w:rPr>
                <w:noProof/>
              </w:rPr>
              <w:t>2022</w:t>
            </w:r>
          </w:p>
        </w:tc>
        <w:tc>
          <w:tcPr>
            <w:tcW w:w="3232" w:type="dxa"/>
            <w:shd w:val="clear" w:color="auto" w:fill="C6EFCE"/>
            <w:vAlign w:val="center"/>
          </w:tcPr>
          <w:p w14:paraId="1E0B7EC3" w14:textId="77777777" w:rsidR="00E42B18" w:rsidRDefault="009629C4">
            <w:pPr>
              <w:pStyle w:val="P68B1DB1-Normal11"/>
              <w:spacing w:before="120" w:after="120"/>
              <w:rPr>
                <w:noProof/>
                <w:szCs w:val="20"/>
              </w:rPr>
            </w:pPr>
            <w:r>
              <w:rPr>
                <w:noProof/>
              </w:rPr>
              <w:t>Ilmoitus kaikkien sellaisten julkisia hankintoja koskevien sopimusten tekemisestä, jotka koskevat nopeampia liitäntähankkeita ja joihin kuuluvat i) ”Italia a 1 gga”, ii) ”Italia 5G”, (iii) ”Verkko-oppilaitokset” ja iv) ”Terveydenhuoltopalvelut”; ja v) ”pienten saarten yhteydet”.</w:t>
            </w:r>
          </w:p>
        </w:tc>
      </w:tr>
      <w:tr w:rsidR="00E42B18" w14:paraId="521189F1" w14:textId="77777777">
        <w:trPr>
          <w:trHeight w:val="315"/>
        </w:trPr>
        <w:tc>
          <w:tcPr>
            <w:tcW w:w="1418" w:type="dxa"/>
            <w:shd w:val="clear" w:color="auto" w:fill="C6EFCE"/>
            <w:vAlign w:val="center"/>
          </w:tcPr>
          <w:p w14:paraId="48E02E28" w14:textId="77777777" w:rsidR="00E42B18" w:rsidRDefault="009629C4">
            <w:pPr>
              <w:pStyle w:val="P68B1DB1-Normal12"/>
              <w:spacing w:before="120" w:after="120"/>
              <w:jc w:val="center"/>
              <w:rPr>
                <w:noProof/>
              </w:rPr>
            </w:pPr>
            <w:r>
              <w:rPr>
                <w:noProof/>
              </w:rPr>
              <w:t>M1C2–17</w:t>
            </w:r>
          </w:p>
        </w:tc>
        <w:tc>
          <w:tcPr>
            <w:tcW w:w="1985" w:type="dxa"/>
            <w:shd w:val="clear" w:color="auto" w:fill="C6EFCE"/>
            <w:vAlign w:val="center"/>
          </w:tcPr>
          <w:p w14:paraId="5B578B26" w14:textId="77777777" w:rsidR="00E42B18" w:rsidRDefault="009629C4">
            <w:pPr>
              <w:pStyle w:val="P68B1DB1-Normal11"/>
              <w:spacing w:before="120" w:after="120"/>
              <w:jc w:val="center"/>
              <w:rPr>
                <w:noProof/>
                <w:szCs w:val="20"/>
              </w:rPr>
            </w:pPr>
            <w:r>
              <w:rPr>
                <w:noProof/>
              </w:rPr>
              <w:t>Investointi 3: Nopeat internetyhteydet (laajakaista ja 5G)</w:t>
            </w:r>
          </w:p>
        </w:tc>
        <w:tc>
          <w:tcPr>
            <w:tcW w:w="1275" w:type="dxa"/>
            <w:shd w:val="clear" w:color="auto" w:fill="C6EFCE"/>
            <w:vAlign w:val="center"/>
          </w:tcPr>
          <w:p w14:paraId="488209BF" w14:textId="77777777" w:rsidR="00E42B18" w:rsidRDefault="009629C4">
            <w:pPr>
              <w:pStyle w:val="P68B1DB1-Normal11"/>
              <w:spacing w:before="120" w:after="120"/>
              <w:jc w:val="center"/>
              <w:rPr>
                <w:noProof/>
                <w:szCs w:val="20"/>
              </w:rPr>
            </w:pPr>
            <w:r>
              <w:rPr>
                <w:noProof/>
              </w:rPr>
              <w:t>Kohde</w:t>
            </w:r>
          </w:p>
        </w:tc>
        <w:tc>
          <w:tcPr>
            <w:tcW w:w="1276" w:type="dxa"/>
            <w:shd w:val="clear" w:color="auto" w:fill="C6EFCE"/>
            <w:vAlign w:val="center"/>
          </w:tcPr>
          <w:p w14:paraId="3FBCAF2A" w14:textId="77777777" w:rsidR="00E42B18" w:rsidRDefault="009629C4">
            <w:pPr>
              <w:pStyle w:val="P68B1DB1-Normal11"/>
              <w:spacing w:before="120" w:after="120"/>
              <w:jc w:val="center"/>
              <w:rPr>
                <w:noProof/>
                <w:szCs w:val="20"/>
              </w:rPr>
            </w:pPr>
            <w:r>
              <w:rPr>
                <w:noProof/>
              </w:rPr>
              <w:t>Talojen numerot, joissa on 1 Gbit/s:n yhteydet</w:t>
            </w:r>
          </w:p>
        </w:tc>
        <w:tc>
          <w:tcPr>
            <w:tcW w:w="1276" w:type="dxa"/>
            <w:shd w:val="clear" w:color="auto" w:fill="C6EFCE"/>
            <w:vAlign w:val="center"/>
          </w:tcPr>
          <w:p w14:paraId="4498C2BD" w14:textId="77777777" w:rsidR="00E42B18" w:rsidRDefault="009629C4">
            <w:pPr>
              <w:pStyle w:val="P68B1DB1-Normal11"/>
              <w:spacing w:before="120" w:after="120"/>
              <w:jc w:val="center"/>
              <w:rPr>
                <w:noProof/>
                <w:szCs w:val="20"/>
              </w:rPr>
            </w:pPr>
            <w:r>
              <w:rPr>
                <w:noProof/>
              </w:rPr>
              <w:t>EI OLE</w:t>
            </w:r>
          </w:p>
        </w:tc>
        <w:tc>
          <w:tcPr>
            <w:tcW w:w="1134" w:type="dxa"/>
            <w:shd w:val="clear" w:color="auto" w:fill="C6EFCE"/>
            <w:vAlign w:val="center"/>
          </w:tcPr>
          <w:p w14:paraId="33739664" w14:textId="77777777" w:rsidR="00E42B18" w:rsidRDefault="009629C4">
            <w:pPr>
              <w:pStyle w:val="P68B1DB1-Normal11"/>
              <w:spacing w:before="120" w:after="120"/>
              <w:jc w:val="center"/>
              <w:rPr>
                <w:noProof/>
                <w:szCs w:val="20"/>
              </w:rPr>
            </w:pPr>
            <w:r>
              <w:rPr>
                <w:noProof/>
              </w:rPr>
              <w:t>Numero</w:t>
            </w:r>
          </w:p>
        </w:tc>
        <w:tc>
          <w:tcPr>
            <w:tcW w:w="1163" w:type="dxa"/>
            <w:shd w:val="clear" w:color="auto" w:fill="C6EFCE"/>
            <w:vAlign w:val="center"/>
          </w:tcPr>
          <w:p w14:paraId="745D49F9" w14:textId="77777777" w:rsidR="00E42B18" w:rsidRDefault="009629C4">
            <w:pPr>
              <w:pStyle w:val="P68B1DB1-Normal11"/>
              <w:spacing w:before="120" w:after="120"/>
              <w:jc w:val="center"/>
              <w:rPr>
                <w:noProof/>
                <w:szCs w:val="20"/>
              </w:rPr>
            </w:pPr>
            <w:r>
              <w:rPr>
                <w:noProof/>
              </w:rPr>
              <w:t>0</w:t>
            </w:r>
          </w:p>
        </w:tc>
        <w:tc>
          <w:tcPr>
            <w:tcW w:w="992" w:type="dxa"/>
            <w:shd w:val="clear" w:color="auto" w:fill="C6EFCE"/>
            <w:vAlign w:val="center"/>
          </w:tcPr>
          <w:p w14:paraId="39EBD8E2" w14:textId="5804872E" w:rsidR="00E42B18" w:rsidRDefault="009629C4">
            <w:pPr>
              <w:pStyle w:val="P68B1DB1-Normal11"/>
              <w:spacing w:before="120" w:after="120"/>
              <w:jc w:val="center"/>
              <w:rPr>
                <w:noProof/>
                <w:szCs w:val="20"/>
              </w:rPr>
            </w:pPr>
            <w:r>
              <w:rPr>
                <w:noProof/>
              </w:rPr>
              <w:t>2 692 905</w:t>
            </w:r>
          </w:p>
        </w:tc>
        <w:tc>
          <w:tcPr>
            <w:tcW w:w="850" w:type="dxa"/>
            <w:shd w:val="clear" w:color="auto" w:fill="C6EFCE"/>
            <w:vAlign w:val="center"/>
          </w:tcPr>
          <w:p w14:paraId="27EC20A8" w14:textId="77777777" w:rsidR="00E42B18" w:rsidRDefault="009629C4">
            <w:pPr>
              <w:pStyle w:val="P68B1DB1-Normal11"/>
              <w:spacing w:before="120" w:after="120"/>
              <w:jc w:val="center"/>
              <w:rPr>
                <w:noProof/>
                <w:szCs w:val="20"/>
              </w:rPr>
            </w:pPr>
            <w:r>
              <w:rPr>
                <w:noProof/>
              </w:rPr>
              <w:t>Q2</w:t>
            </w:r>
          </w:p>
        </w:tc>
        <w:tc>
          <w:tcPr>
            <w:tcW w:w="709" w:type="dxa"/>
            <w:shd w:val="clear" w:color="auto" w:fill="C6EFCE"/>
            <w:vAlign w:val="center"/>
          </w:tcPr>
          <w:p w14:paraId="28AD9C9B" w14:textId="77777777" w:rsidR="00E42B18" w:rsidRDefault="009629C4">
            <w:pPr>
              <w:pStyle w:val="P68B1DB1-Normal11"/>
              <w:spacing w:before="120" w:after="120"/>
              <w:jc w:val="center"/>
              <w:rPr>
                <w:noProof/>
                <w:szCs w:val="20"/>
              </w:rPr>
            </w:pPr>
            <w:r>
              <w:rPr>
                <w:noProof/>
              </w:rPr>
              <w:t>2026</w:t>
            </w:r>
          </w:p>
        </w:tc>
        <w:tc>
          <w:tcPr>
            <w:tcW w:w="3232" w:type="dxa"/>
            <w:shd w:val="clear" w:color="auto" w:fill="C6EFCE"/>
            <w:vAlign w:val="center"/>
          </w:tcPr>
          <w:p w14:paraId="275DBC67" w14:textId="4DE365B9" w:rsidR="00E42B18" w:rsidRDefault="009629C4">
            <w:pPr>
              <w:pStyle w:val="P68B1DB1-Normal11"/>
              <w:rPr>
                <w:noProof/>
                <w:szCs w:val="20"/>
              </w:rPr>
            </w:pPr>
            <w:r>
              <w:rPr>
                <w:noProof/>
                <w:szCs w:val="20"/>
              </w:rPr>
              <w:t>Vähintään 2692905 talon</w:t>
            </w:r>
            <w:r>
              <w:rPr>
                <w:noProof/>
              </w:rPr>
              <w:t xml:space="preserve">  numeroa (joista vähintään 266782 hajanaista kotitaloutta, eli ne sijaitsevat syrjäisillä alueilla), jotka ovat yhteydessä vähintään 1 Gbit/s:n yhteenliitettävyyteen Fiber-the-the-B-rakennuksen (FTTH/B) ja kiinteän langattoman yhteyden (FWA) kautta </w:t>
            </w:r>
          </w:p>
        </w:tc>
      </w:tr>
      <w:tr w:rsidR="00E42B18" w14:paraId="177D2AA3" w14:textId="77777777">
        <w:trPr>
          <w:trHeight w:val="315"/>
        </w:trPr>
        <w:tc>
          <w:tcPr>
            <w:tcW w:w="1418" w:type="dxa"/>
            <w:shd w:val="clear" w:color="auto" w:fill="C6EFCE"/>
            <w:vAlign w:val="center"/>
          </w:tcPr>
          <w:p w14:paraId="05E5CA2E" w14:textId="77777777" w:rsidR="00E42B18" w:rsidRDefault="009629C4">
            <w:pPr>
              <w:pStyle w:val="P68B1DB1-Normal11"/>
              <w:spacing w:before="120" w:after="120"/>
              <w:jc w:val="center"/>
              <w:rPr>
                <w:noProof/>
                <w:szCs w:val="20"/>
              </w:rPr>
            </w:pPr>
            <w:r>
              <w:rPr>
                <w:noProof/>
              </w:rPr>
              <w:t>M1C2–18</w:t>
            </w:r>
          </w:p>
        </w:tc>
        <w:tc>
          <w:tcPr>
            <w:tcW w:w="1985" w:type="dxa"/>
            <w:shd w:val="clear" w:color="auto" w:fill="C6EFCE"/>
            <w:vAlign w:val="center"/>
          </w:tcPr>
          <w:p w14:paraId="5B8A0234" w14:textId="77777777" w:rsidR="00E42B18" w:rsidRDefault="009629C4">
            <w:pPr>
              <w:pStyle w:val="P68B1DB1-Normal11"/>
              <w:spacing w:before="120" w:after="120"/>
              <w:jc w:val="center"/>
              <w:rPr>
                <w:noProof/>
                <w:szCs w:val="20"/>
              </w:rPr>
            </w:pPr>
            <w:r>
              <w:rPr>
                <w:noProof/>
              </w:rPr>
              <w:t>Investointi 3: Nopeat internetyhteydet (laajakaista ja 5G)</w:t>
            </w:r>
          </w:p>
        </w:tc>
        <w:tc>
          <w:tcPr>
            <w:tcW w:w="1275" w:type="dxa"/>
            <w:shd w:val="clear" w:color="auto" w:fill="C6EFCE"/>
            <w:vAlign w:val="center"/>
          </w:tcPr>
          <w:p w14:paraId="58836745" w14:textId="77777777" w:rsidR="00E42B18" w:rsidRDefault="009629C4">
            <w:pPr>
              <w:pStyle w:val="P68B1DB1-Normal11"/>
              <w:spacing w:before="120" w:after="120"/>
              <w:jc w:val="center"/>
              <w:rPr>
                <w:noProof/>
                <w:szCs w:val="20"/>
              </w:rPr>
            </w:pPr>
            <w:r>
              <w:rPr>
                <w:noProof/>
              </w:rPr>
              <w:t>Kohde</w:t>
            </w:r>
          </w:p>
        </w:tc>
        <w:tc>
          <w:tcPr>
            <w:tcW w:w="1276" w:type="dxa"/>
            <w:shd w:val="clear" w:color="auto" w:fill="C6EFCE"/>
            <w:vAlign w:val="center"/>
          </w:tcPr>
          <w:p w14:paraId="441DAEDD" w14:textId="77777777" w:rsidR="00E42B18" w:rsidRDefault="009629C4">
            <w:pPr>
              <w:pStyle w:val="P68B1DB1-Normal11"/>
              <w:spacing w:before="120" w:after="120"/>
              <w:jc w:val="center"/>
              <w:rPr>
                <w:noProof/>
                <w:szCs w:val="20"/>
              </w:rPr>
            </w:pPr>
            <w:r>
              <w:rPr>
                <w:noProof/>
              </w:rPr>
              <w:t>Koulurakennukset ja terveydenhuoltopalvelut, joissa on 1 Gbit/s:n yhteydet</w:t>
            </w:r>
          </w:p>
        </w:tc>
        <w:tc>
          <w:tcPr>
            <w:tcW w:w="1276" w:type="dxa"/>
            <w:shd w:val="clear" w:color="auto" w:fill="C6EFCE"/>
            <w:vAlign w:val="center"/>
          </w:tcPr>
          <w:p w14:paraId="41CA243C" w14:textId="77777777" w:rsidR="00E42B18" w:rsidRDefault="009629C4">
            <w:pPr>
              <w:pStyle w:val="P68B1DB1-Normal11"/>
              <w:spacing w:before="120" w:after="120"/>
              <w:jc w:val="center"/>
              <w:rPr>
                <w:noProof/>
                <w:szCs w:val="20"/>
              </w:rPr>
            </w:pPr>
            <w:r>
              <w:rPr>
                <w:noProof/>
              </w:rPr>
              <w:t>EI OLE</w:t>
            </w:r>
          </w:p>
        </w:tc>
        <w:tc>
          <w:tcPr>
            <w:tcW w:w="1134" w:type="dxa"/>
            <w:shd w:val="clear" w:color="auto" w:fill="C6EFCE"/>
            <w:vAlign w:val="center"/>
          </w:tcPr>
          <w:p w14:paraId="02DCE45F" w14:textId="77777777" w:rsidR="00E42B18" w:rsidRDefault="009629C4">
            <w:pPr>
              <w:pStyle w:val="P68B1DB1-Normal11"/>
              <w:spacing w:before="120" w:after="120"/>
              <w:jc w:val="center"/>
              <w:rPr>
                <w:noProof/>
                <w:szCs w:val="20"/>
              </w:rPr>
            </w:pPr>
            <w:r>
              <w:rPr>
                <w:noProof/>
              </w:rPr>
              <w:t>Numero</w:t>
            </w:r>
          </w:p>
        </w:tc>
        <w:tc>
          <w:tcPr>
            <w:tcW w:w="1163" w:type="dxa"/>
            <w:shd w:val="clear" w:color="auto" w:fill="C6EFCE"/>
            <w:vAlign w:val="center"/>
          </w:tcPr>
          <w:p w14:paraId="6F31CA6E" w14:textId="77777777" w:rsidR="00E42B18" w:rsidRDefault="009629C4">
            <w:pPr>
              <w:pStyle w:val="P68B1DB1-Normal11"/>
              <w:spacing w:before="120" w:after="120"/>
              <w:jc w:val="center"/>
              <w:rPr>
                <w:noProof/>
                <w:szCs w:val="20"/>
              </w:rPr>
            </w:pPr>
            <w:r>
              <w:rPr>
                <w:noProof/>
              </w:rPr>
              <w:t>0</w:t>
            </w:r>
          </w:p>
        </w:tc>
        <w:tc>
          <w:tcPr>
            <w:tcW w:w="992" w:type="dxa"/>
            <w:shd w:val="clear" w:color="auto" w:fill="C6EFCE"/>
            <w:vAlign w:val="center"/>
          </w:tcPr>
          <w:p w14:paraId="642FC776" w14:textId="77777777" w:rsidR="00E42B18" w:rsidRDefault="009629C4">
            <w:pPr>
              <w:pStyle w:val="P68B1DB1-Normal11"/>
              <w:spacing w:before="120" w:after="120"/>
              <w:jc w:val="center"/>
              <w:rPr>
                <w:noProof/>
                <w:szCs w:val="20"/>
              </w:rPr>
            </w:pPr>
            <w:r>
              <w:rPr>
                <w:noProof/>
              </w:rPr>
              <w:t>17 700</w:t>
            </w:r>
          </w:p>
        </w:tc>
        <w:tc>
          <w:tcPr>
            <w:tcW w:w="850" w:type="dxa"/>
            <w:shd w:val="clear" w:color="auto" w:fill="C6EFCE"/>
            <w:vAlign w:val="center"/>
          </w:tcPr>
          <w:p w14:paraId="1803E132" w14:textId="77777777" w:rsidR="00E42B18" w:rsidRDefault="009629C4">
            <w:pPr>
              <w:pStyle w:val="P68B1DB1-Normal11"/>
              <w:spacing w:before="120" w:after="120"/>
              <w:jc w:val="center"/>
              <w:rPr>
                <w:noProof/>
                <w:szCs w:val="20"/>
              </w:rPr>
            </w:pPr>
            <w:r>
              <w:rPr>
                <w:noProof/>
              </w:rPr>
              <w:t>Q2</w:t>
            </w:r>
          </w:p>
        </w:tc>
        <w:tc>
          <w:tcPr>
            <w:tcW w:w="709" w:type="dxa"/>
            <w:shd w:val="clear" w:color="auto" w:fill="C6EFCE"/>
            <w:vAlign w:val="center"/>
          </w:tcPr>
          <w:p w14:paraId="67E30125" w14:textId="77777777" w:rsidR="00E42B18" w:rsidRDefault="009629C4">
            <w:pPr>
              <w:pStyle w:val="P68B1DB1-Normal11"/>
              <w:spacing w:before="120" w:after="120"/>
              <w:jc w:val="center"/>
              <w:rPr>
                <w:noProof/>
                <w:szCs w:val="20"/>
              </w:rPr>
            </w:pPr>
            <w:r>
              <w:rPr>
                <w:noProof/>
              </w:rPr>
              <w:t>2026</w:t>
            </w:r>
          </w:p>
        </w:tc>
        <w:tc>
          <w:tcPr>
            <w:tcW w:w="3232" w:type="dxa"/>
            <w:shd w:val="clear" w:color="auto" w:fill="C6EFCE"/>
            <w:vAlign w:val="center"/>
          </w:tcPr>
          <w:p w14:paraId="0AAFDB4F" w14:textId="77777777" w:rsidR="00E42B18" w:rsidRDefault="009629C4">
            <w:pPr>
              <w:pStyle w:val="P68B1DB1-Normal11"/>
              <w:spacing w:before="120" w:after="120"/>
              <w:rPr>
                <w:noProof/>
                <w:szCs w:val="20"/>
              </w:rPr>
            </w:pPr>
            <w:r>
              <w:rPr>
                <w:noProof/>
              </w:rPr>
              <w:t>Vähintään 9000 koulua ja 8700 julkista terveydenhuoltolaitosta, joissa on vähintään 1 Gbit/s:n yhteydet.</w:t>
            </w:r>
          </w:p>
        </w:tc>
      </w:tr>
      <w:tr w:rsidR="00E42B18" w14:paraId="1397F3B4" w14:textId="77777777">
        <w:trPr>
          <w:trHeight w:val="315"/>
        </w:trPr>
        <w:tc>
          <w:tcPr>
            <w:tcW w:w="1418" w:type="dxa"/>
            <w:shd w:val="clear" w:color="auto" w:fill="C6EFCE"/>
            <w:vAlign w:val="center"/>
          </w:tcPr>
          <w:p w14:paraId="37D966E3" w14:textId="77777777" w:rsidR="00E42B18" w:rsidRDefault="009629C4">
            <w:pPr>
              <w:pStyle w:val="P68B1DB1-Normal11"/>
              <w:spacing w:before="120" w:after="120"/>
              <w:jc w:val="center"/>
              <w:rPr>
                <w:noProof/>
                <w:szCs w:val="20"/>
              </w:rPr>
            </w:pPr>
            <w:r>
              <w:rPr>
                <w:noProof/>
              </w:rPr>
              <w:t>M1C2–19</w:t>
            </w:r>
          </w:p>
        </w:tc>
        <w:tc>
          <w:tcPr>
            <w:tcW w:w="1985" w:type="dxa"/>
            <w:shd w:val="clear" w:color="auto" w:fill="C6EFCE"/>
            <w:vAlign w:val="center"/>
          </w:tcPr>
          <w:p w14:paraId="2A4CEABB" w14:textId="77777777" w:rsidR="00E42B18" w:rsidRDefault="009629C4">
            <w:pPr>
              <w:pStyle w:val="P68B1DB1-Normal11"/>
              <w:spacing w:before="120" w:after="120"/>
              <w:jc w:val="center"/>
              <w:rPr>
                <w:noProof/>
                <w:szCs w:val="20"/>
              </w:rPr>
            </w:pPr>
            <w:r>
              <w:rPr>
                <w:noProof/>
              </w:rPr>
              <w:t>Investointi 3: Nopeat internetyhteydet (laajakaista ja 5G)</w:t>
            </w:r>
          </w:p>
        </w:tc>
        <w:tc>
          <w:tcPr>
            <w:tcW w:w="1275" w:type="dxa"/>
            <w:shd w:val="clear" w:color="auto" w:fill="C6EFCE"/>
            <w:vAlign w:val="center"/>
          </w:tcPr>
          <w:p w14:paraId="63D5E0B9" w14:textId="77777777" w:rsidR="00E42B18" w:rsidRDefault="009629C4">
            <w:pPr>
              <w:pStyle w:val="P68B1DB1-Normal11"/>
              <w:spacing w:before="120" w:after="120"/>
              <w:jc w:val="center"/>
              <w:rPr>
                <w:noProof/>
                <w:szCs w:val="20"/>
              </w:rPr>
            </w:pPr>
            <w:r>
              <w:rPr>
                <w:noProof/>
              </w:rPr>
              <w:t>Kohde</w:t>
            </w:r>
          </w:p>
        </w:tc>
        <w:tc>
          <w:tcPr>
            <w:tcW w:w="1276" w:type="dxa"/>
            <w:shd w:val="clear" w:color="auto" w:fill="C6EFCE"/>
            <w:vAlign w:val="center"/>
          </w:tcPr>
          <w:p w14:paraId="1F1AFC6A" w14:textId="77777777" w:rsidR="00E42B18" w:rsidRDefault="009629C4">
            <w:pPr>
              <w:pStyle w:val="P68B1DB1-Normal11"/>
              <w:spacing w:before="120" w:after="120"/>
              <w:jc w:val="center"/>
              <w:rPr>
                <w:noProof/>
                <w:szCs w:val="20"/>
              </w:rPr>
            </w:pPr>
            <w:r>
              <w:rPr>
                <w:noProof/>
              </w:rPr>
              <w:t>Saaret, joilla on ultralaajakaistayhteydet</w:t>
            </w:r>
          </w:p>
        </w:tc>
        <w:tc>
          <w:tcPr>
            <w:tcW w:w="1276" w:type="dxa"/>
            <w:shd w:val="clear" w:color="auto" w:fill="C6EFCE"/>
            <w:vAlign w:val="center"/>
          </w:tcPr>
          <w:p w14:paraId="695234DD" w14:textId="77777777" w:rsidR="00E42B18" w:rsidRDefault="009629C4">
            <w:pPr>
              <w:pStyle w:val="P68B1DB1-Normal11"/>
              <w:spacing w:before="120" w:after="120"/>
              <w:jc w:val="center"/>
              <w:rPr>
                <w:noProof/>
                <w:szCs w:val="20"/>
              </w:rPr>
            </w:pPr>
            <w:r>
              <w:rPr>
                <w:noProof/>
              </w:rPr>
              <w:t>EI OLE</w:t>
            </w:r>
          </w:p>
        </w:tc>
        <w:tc>
          <w:tcPr>
            <w:tcW w:w="1134" w:type="dxa"/>
            <w:shd w:val="clear" w:color="auto" w:fill="C6EFCE"/>
            <w:vAlign w:val="center"/>
          </w:tcPr>
          <w:p w14:paraId="11C2F1A2" w14:textId="77777777" w:rsidR="00E42B18" w:rsidRDefault="009629C4">
            <w:pPr>
              <w:pStyle w:val="P68B1DB1-Normal11"/>
              <w:spacing w:before="120" w:after="120"/>
              <w:jc w:val="center"/>
              <w:rPr>
                <w:noProof/>
                <w:szCs w:val="20"/>
              </w:rPr>
            </w:pPr>
            <w:r>
              <w:rPr>
                <w:noProof/>
              </w:rPr>
              <w:t>Numero</w:t>
            </w:r>
          </w:p>
        </w:tc>
        <w:tc>
          <w:tcPr>
            <w:tcW w:w="1163" w:type="dxa"/>
            <w:shd w:val="clear" w:color="auto" w:fill="C6EFCE"/>
            <w:vAlign w:val="center"/>
          </w:tcPr>
          <w:p w14:paraId="7EBC842D" w14:textId="77777777" w:rsidR="00E42B18" w:rsidRDefault="009629C4">
            <w:pPr>
              <w:pStyle w:val="P68B1DB1-Normal11"/>
              <w:spacing w:before="120" w:after="120"/>
              <w:jc w:val="center"/>
              <w:rPr>
                <w:noProof/>
                <w:szCs w:val="20"/>
              </w:rPr>
            </w:pPr>
            <w:r>
              <w:rPr>
                <w:noProof/>
              </w:rPr>
              <w:t>0</w:t>
            </w:r>
          </w:p>
        </w:tc>
        <w:tc>
          <w:tcPr>
            <w:tcW w:w="992" w:type="dxa"/>
            <w:shd w:val="clear" w:color="auto" w:fill="C6EFCE"/>
            <w:vAlign w:val="center"/>
          </w:tcPr>
          <w:p w14:paraId="2127B89F" w14:textId="77777777" w:rsidR="00E42B18" w:rsidRDefault="009629C4">
            <w:pPr>
              <w:pStyle w:val="P68B1DB1-Normal11"/>
              <w:spacing w:before="120" w:after="120"/>
              <w:jc w:val="center"/>
              <w:rPr>
                <w:noProof/>
                <w:szCs w:val="20"/>
              </w:rPr>
            </w:pPr>
            <w:r>
              <w:rPr>
                <w:noProof/>
              </w:rPr>
              <w:t>18</w:t>
            </w:r>
          </w:p>
        </w:tc>
        <w:tc>
          <w:tcPr>
            <w:tcW w:w="850" w:type="dxa"/>
            <w:shd w:val="clear" w:color="auto" w:fill="C6EFCE"/>
            <w:vAlign w:val="center"/>
          </w:tcPr>
          <w:p w14:paraId="0BE2726C" w14:textId="77777777" w:rsidR="00E42B18" w:rsidRDefault="009629C4">
            <w:pPr>
              <w:pStyle w:val="P68B1DB1-Normal11"/>
              <w:spacing w:before="120" w:after="120"/>
              <w:jc w:val="center"/>
              <w:rPr>
                <w:noProof/>
                <w:szCs w:val="20"/>
              </w:rPr>
            </w:pPr>
            <w:r>
              <w:rPr>
                <w:noProof/>
              </w:rPr>
              <w:t>Q4</w:t>
            </w:r>
          </w:p>
        </w:tc>
        <w:tc>
          <w:tcPr>
            <w:tcW w:w="709" w:type="dxa"/>
            <w:shd w:val="clear" w:color="auto" w:fill="C6EFCE"/>
            <w:vAlign w:val="center"/>
          </w:tcPr>
          <w:p w14:paraId="094C57BA" w14:textId="77777777" w:rsidR="00E42B18" w:rsidRDefault="009629C4">
            <w:pPr>
              <w:pStyle w:val="P68B1DB1-Normal11"/>
              <w:spacing w:before="120" w:after="120"/>
              <w:jc w:val="center"/>
              <w:rPr>
                <w:noProof/>
                <w:szCs w:val="20"/>
              </w:rPr>
            </w:pPr>
            <w:r>
              <w:rPr>
                <w:noProof/>
              </w:rPr>
              <w:t>2024</w:t>
            </w:r>
          </w:p>
        </w:tc>
        <w:tc>
          <w:tcPr>
            <w:tcW w:w="3232" w:type="dxa"/>
            <w:shd w:val="clear" w:color="auto" w:fill="C6EFCE"/>
            <w:vAlign w:val="center"/>
          </w:tcPr>
          <w:p w14:paraId="50CE40C7" w14:textId="77777777" w:rsidR="00E42B18" w:rsidRDefault="009629C4">
            <w:pPr>
              <w:pStyle w:val="P68B1DB1-Normal11"/>
              <w:spacing w:before="120" w:after="120"/>
              <w:rPr>
                <w:noProof/>
                <w:szCs w:val="20"/>
              </w:rPr>
            </w:pPr>
            <w:r>
              <w:rPr>
                <w:noProof/>
              </w:rPr>
              <w:t>Ainakin 18 muulla saarella, joilla ei ole kuituyhteyksiä mantereelle, on ultralaajakaistayhteydet uuden optisen runkoyhteyden avulla.</w:t>
            </w:r>
          </w:p>
        </w:tc>
      </w:tr>
      <w:tr w:rsidR="00E42B18" w14:paraId="484C4603" w14:textId="77777777">
        <w:trPr>
          <w:trHeight w:val="315"/>
        </w:trPr>
        <w:tc>
          <w:tcPr>
            <w:tcW w:w="1418" w:type="dxa"/>
            <w:shd w:val="clear" w:color="auto" w:fill="C6EFCE"/>
            <w:vAlign w:val="center"/>
          </w:tcPr>
          <w:p w14:paraId="476CF8F6" w14:textId="77777777" w:rsidR="00E42B18" w:rsidRDefault="009629C4">
            <w:pPr>
              <w:pStyle w:val="P68B1DB1-Normal11"/>
              <w:spacing w:before="120" w:after="120"/>
              <w:jc w:val="center"/>
              <w:rPr>
                <w:noProof/>
                <w:szCs w:val="20"/>
              </w:rPr>
            </w:pPr>
            <w:r>
              <w:rPr>
                <w:noProof/>
              </w:rPr>
              <w:t>M1C2–20</w:t>
            </w:r>
          </w:p>
        </w:tc>
        <w:tc>
          <w:tcPr>
            <w:tcW w:w="1985" w:type="dxa"/>
            <w:shd w:val="clear" w:color="auto" w:fill="C6EFCE"/>
            <w:vAlign w:val="center"/>
          </w:tcPr>
          <w:p w14:paraId="3A97D487" w14:textId="77777777" w:rsidR="00E42B18" w:rsidRDefault="009629C4">
            <w:pPr>
              <w:pStyle w:val="P68B1DB1-Normal11"/>
              <w:spacing w:before="120" w:after="120"/>
              <w:jc w:val="center"/>
              <w:rPr>
                <w:noProof/>
                <w:szCs w:val="20"/>
              </w:rPr>
            </w:pPr>
            <w:r>
              <w:rPr>
                <w:noProof/>
              </w:rPr>
              <w:t>Investointi 3: Nopeat internetyhteydet (laajakaista ja 5G)</w:t>
            </w:r>
          </w:p>
        </w:tc>
        <w:tc>
          <w:tcPr>
            <w:tcW w:w="1275" w:type="dxa"/>
            <w:shd w:val="clear" w:color="auto" w:fill="C6EFCE"/>
            <w:vAlign w:val="center"/>
          </w:tcPr>
          <w:p w14:paraId="6DC10CBE" w14:textId="77777777" w:rsidR="00E42B18" w:rsidRDefault="009629C4">
            <w:pPr>
              <w:pStyle w:val="P68B1DB1-Normal11"/>
              <w:spacing w:before="120" w:after="120"/>
              <w:jc w:val="center"/>
              <w:rPr>
                <w:noProof/>
                <w:szCs w:val="20"/>
              </w:rPr>
            </w:pPr>
            <w:r>
              <w:rPr>
                <w:noProof/>
              </w:rPr>
              <w:t>Kohde</w:t>
            </w:r>
          </w:p>
        </w:tc>
        <w:tc>
          <w:tcPr>
            <w:tcW w:w="1276" w:type="dxa"/>
            <w:shd w:val="clear" w:color="auto" w:fill="C6EFCE"/>
            <w:vAlign w:val="center"/>
          </w:tcPr>
          <w:p w14:paraId="2212BCBA" w14:textId="77777777" w:rsidR="00E42B18" w:rsidRDefault="009629C4">
            <w:pPr>
              <w:pStyle w:val="P68B1DB1-Normal11"/>
              <w:spacing w:before="120" w:after="120"/>
              <w:jc w:val="center"/>
              <w:rPr>
                <w:noProof/>
                <w:szCs w:val="20"/>
              </w:rPr>
            </w:pPr>
            <w:r>
              <w:rPr>
                <w:noProof/>
              </w:rPr>
              <w:t>Kaupunkien ulkopuoliset tiet ja käytävät, joissa on 5G-kattavuus</w:t>
            </w:r>
          </w:p>
        </w:tc>
        <w:tc>
          <w:tcPr>
            <w:tcW w:w="1276" w:type="dxa"/>
            <w:shd w:val="clear" w:color="auto" w:fill="C6EFCE"/>
            <w:vAlign w:val="center"/>
          </w:tcPr>
          <w:p w14:paraId="43DEEE08" w14:textId="77777777" w:rsidR="00E42B18" w:rsidRDefault="009629C4">
            <w:pPr>
              <w:pStyle w:val="P68B1DB1-Normal11"/>
              <w:spacing w:before="120" w:after="120"/>
              <w:jc w:val="center"/>
              <w:rPr>
                <w:noProof/>
                <w:szCs w:val="20"/>
              </w:rPr>
            </w:pPr>
            <w:r>
              <w:rPr>
                <w:noProof/>
              </w:rPr>
              <w:t>EI OLE</w:t>
            </w:r>
          </w:p>
        </w:tc>
        <w:tc>
          <w:tcPr>
            <w:tcW w:w="1134" w:type="dxa"/>
            <w:shd w:val="clear" w:color="auto" w:fill="C6EFCE"/>
            <w:vAlign w:val="center"/>
          </w:tcPr>
          <w:p w14:paraId="5A5E872A" w14:textId="77777777" w:rsidR="00E42B18" w:rsidRDefault="009629C4">
            <w:pPr>
              <w:pStyle w:val="P68B1DB1-Normal11"/>
              <w:spacing w:before="120" w:after="120"/>
              <w:jc w:val="center"/>
              <w:rPr>
                <w:noProof/>
                <w:szCs w:val="20"/>
              </w:rPr>
            </w:pPr>
            <w:r>
              <w:rPr>
                <w:noProof/>
              </w:rPr>
              <w:t>Numero</w:t>
            </w:r>
          </w:p>
        </w:tc>
        <w:tc>
          <w:tcPr>
            <w:tcW w:w="1163" w:type="dxa"/>
            <w:shd w:val="clear" w:color="auto" w:fill="C6EFCE"/>
            <w:vAlign w:val="center"/>
          </w:tcPr>
          <w:p w14:paraId="7774436D" w14:textId="77777777" w:rsidR="00E42B18" w:rsidRDefault="009629C4">
            <w:pPr>
              <w:pStyle w:val="P68B1DB1-Normal11"/>
              <w:spacing w:before="120" w:after="120"/>
              <w:jc w:val="center"/>
              <w:rPr>
                <w:noProof/>
                <w:szCs w:val="20"/>
              </w:rPr>
            </w:pPr>
            <w:r>
              <w:rPr>
                <w:noProof/>
              </w:rPr>
              <w:t>0</w:t>
            </w:r>
          </w:p>
        </w:tc>
        <w:tc>
          <w:tcPr>
            <w:tcW w:w="992" w:type="dxa"/>
            <w:shd w:val="clear" w:color="auto" w:fill="C6EFCE"/>
            <w:vAlign w:val="center"/>
          </w:tcPr>
          <w:p w14:paraId="424B9F63" w14:textId="77777777" w:rsidR="00E42B18" w:rsidRDefault="009629C4">
            <w:pPr>
              <w:pStyle w:val="P68B1DB1-Normal11"/>
              <w:spacing w:before="120" w:line="257" w:lineRule="auto"/>
              <w:jc w:val="center"/>
              <w:rPr>
                <w:noProof/>
                <w:szCs w:val="20"/>
              </w:rPr>
            </w:pPr>
            <w:r>
              <w:rPr>
                <w:noProof/>
              </w:rPr>
              <w:t>12 600</w:t>
            </w:r>
          </w:p>
        </w:tc>
        <w:tc>
          <w:tcPr>
            <w:tcW w:w="850" w:type="dxa"/>
            <w:shd w:val="clear" w:color="auto" w:fill="C6EFCE"/>
            <w:vAlign w:val="center"/>
          </w:tcPr>
          <w:p w14:paraId="6A2E7D4B" w14:textId="77777777" w:rsidR="00E42B18" w:rsidRDefault="009629C4">
            <w:pPr>
              <w:pStyle w:val="P68B1DB1-Normal11"/>
              <w:spacing w:before="120" w:after="120"/>
              <w:jc w:val="center"/>
              <w:rPr>
                <w:noProof/>
                <w:szCs w:val="20"/>
              </w:rPr>
            </w:pPr>
            <w:r>
              <w:rPr>
                <w:noProof/>
              </w:rPr>
              <w:t>Q2</w:t>
            </w:r>
          </w:p>
        </w:tc>
        <w:tc>
          <w:tcPr>
            <w:tcW w:w="709" w:type="dxa"/>
            <w:shd w:val="clear" w:color="auto" w:fill="C6EFCE"/>
            <w:vAlign w:val="center"/>
          </w:tcPr>
          <w:p w14:paraId="14898868" w14:textId="77777777" w:rsidR="00E42B18" w:rsidRDefault="009629C4">
            <w:pPr>
              <w:pStyle w:val="P68B1DB1-Normal11"/>
              <w:spacing w:before="120" w:after="120"/>
              <w:jc w:val="center"/>
              <w:rPr>
                <w:noProof/>
                <w:szCs w:val="20"/>
              </w:rPr>
            </w:pPr>
            <w:r>
              <w:rPr>
                <w:noProof/>
              </w:rPr>
              <w:t>2026</w:t>
            </w:r>
          </w:p>
        </w:tc>
        <w:tc>
          <w:tcPr>
            <w:tcW w:w="3232" w:type="dxa"/>
            <w:shd w:val="clear" w:color="auto" w:fill="C6EFCE"/>
            <w:vAlign w:val="center"/>
          </w:tcPr>
          <w:p w14:paraId="7B42AF4E" w14:textId="77777777" w:rsidR="00E42B18" w:rsidRDefault="009629C4">
            <w:pPr>
              <w:pStyle w:val="P68B1DB1-Normal11"/>
              <w:spacing w:before="120" w:after="120"/>
              <w:rPr>
                <w:noProof/>
                <w:szCs w:val="20"/>
              </w:rPr>
            </w:pPr>
            <w:r>
              <w:rPr>
                <w:noProof/>
              </w:rPr>
              <w:t>Vähintään 12600 kilometriä kaupunkien ulkopuolisia teitä ja käytäviä, jotka mahdollistavat 5G-kattavuuden.</w:t>
            </w:r>
          </w:p>
        </w:tc>
      </w:tr>
      <w:tr w:rsidR="00E42B18" w14:paraId="3AD10E37" w14:textId="77777777">
        <w:trPr>
          <w:trHeight w:val="315"/>
        </w:trPr>
        <w:tc>
          <w:tcPr>
            <w:tcW w:w="1418" w:type="dxa"/>
            <w:shd w:val="clear" w:color="auto" w:fill="C6EFCE"/>
            <w:vAlign w:val="center"/>
          </w:tcPr>
          <w:p w14:paraId="3126B28A" w14:textId="77777777" w:rsidR="00E42B18" w:rsidRDefault="009629C4">
            <w:pPr>
              <w:pStyle w:val="P68B1DB1-Normal11"/>
              <w:spacing w:before="120" w:after="120"/>
              <w:jc w:val="center"/>
              <w:rPr>
                <w:noProof/>
                <w:szCs w:val="20"/>
              </w:rPr>
            </w:pPr>
            <w:r>
              <w:rPr>
                <w:noProof/>
              </w:rPr>
              <w:t>M1C2–21</w:t>
            </w:r>
          </w:p>
        </w:tc>
        <w:tc>
          <w:tcPr>
            <w:tcW w:w="1985" w:type="dxa"/>
            <w:shd w:val="clear" w:color="auto" w:fill="C6EFCE"/>
            <w:vAlign w:val="center"/>
          </w:tcPr>
          <w:p w14:paraId="349C1C9E" w14:textId="77777777" w:rsidR="00E42B18" w:rsidRDefault="009629C4">
            <w:pPr>
              <w:pStyle w:val="P68B1DB1-Normal11"/>
              <w:spacing w:before="120" w:after="120"/>
              <w:jc w:val="center"/>
              <w:rPr>
                <w:noProof/>
                <w:szCs w:val="20"/>
              </w:rPr>
            </w:pPr>
            <w:r>
              <w:rPr>
                <w:noProof/>
              </w:rPr>
              <w:t>Investointi 3: Nopeat internetyhteydet (laajakaista ja 5G)</w:t>
            </w:r>
          </w:p>
        </w:tc>
        <w:tc>
          <w:tcPr>
            <w:tcW w:w="1275" w:type="dxa"/>
            <w:shd w:val="clear" w:color="auto" w:fill="C6EFCE"/>
            <w:vAlign w:val="center"/>
          </w:tcPr>
          <w:p w14:paraId="6402B3FC" w14:textId="77777777" w:rsidR="00E42B18" w:rsidRDefault="009629C4">
            <w:pPr>
              <w:pStyle w:val="P68B1DB1-Normal11"/>
              <w:spacing w:before="120" w:after="120"/>
              <w:jc w:val="center"/>
              <w:rPr>
                <w:noProof/>
                <w:szCs w:val="20"/>
              </w:rPr>
            </w:pPr>
            <w:r>
              <w:rPr>
                <w:noProof/>
              </w:rPr>
              <w:t>Kohde</w:t>
            </w:r>
          </w:p>
        </w:tc>
        <w:tc>
          <w:tcPr>
            <w:tcW w:w="1276" w:type="dxa"/>
            <w:shd w:val="clear" w:color="auto" w:fill="C6EFCE"/>
            <w:vAlign w:val="center"/>
          </w:tcPr>
          <w:p w14:paraId="56BFBB8A" w14:textId="77777777" w:rsidR="00E42B18" w:rsidRDefault="009629C4">
            <w:pPr>
              <w:pStyle w:val="P68B1DB1-Normal11"/>
              <w:spacing w:before="120" w:after="120"/>
              <w:jc w:val="center"/>
              <w:rPr>
                <w:noProof/>
                <w:szCs w:val="20"/>
              </w:rPr>
            </w:pPr>
            <w:r>
              <w:rPr>
                <w:noProof/>
              </w:rPr>
              <w:t>5G-verkon piiriin kuuluvat markkinoiden toimintapuutteet</w:t>
            </w:r>
          </w:p>
        </w:tc>
        <w:tc>
          <w:tcPr>
            <w:tcW w:w="1276" w:type="dxa"/>
            <w:shd w:val="clear" w:color="auto" w:fill="C6EFCE"/>
            <w:vAlign w:val="center"/>
          </w:tcPr>
          <w:p w14:paraId="148A73AE" w14:textId="77777777" w:rsidR="00E42B18" w:rsidRDefault="009629C4">
            <w:pPr>
              <w:pStyle w:val="P68B1DB1-Normal11"/>
              <w:spacing w:before="120" w:after="120"/>
              <w:jc w:val="center"/>
              <w:rPr>
                <w:noProof/>
                <w:szCs w:val="20"/>
              </w:rPr>
            </w:pPr>
            <w:r>
              <w:rPr>
                <w:noProof/>
              </w:rPr>
              <w:t>EI OLE</w:t>
            </w:r>
          </w:p>
        </w:tc>
        <w:tc>
          <w:tcPr>
            <w:tcW w:w="1134" w:type="dxa"/>
            <w:shd w:val="clear" w:color="auto" w:fill="C6EFCE"/>
            <w:vAlign w:val="center"/>
          </w:tcPr>
          <w:p w14:paraId="1E8485D2" w14:textId="77777777" w:rsidR="00E42B18" w:rsidRDefault="009629C4">
            <w:pPr>
              <w:pStyle w:val="P68B1DB1-Normal11"/>
              <w:spacing w:before="120" w:after="120"/>
              <w:jc w:val="center"/>
              <w:rPr>
                <w:noProof/>
                <w:szCs w:val="20"/>
              </w:rPr>
            </w:pPr>
            <w:r>
              <w:rPr>
                <w:noProof/>
              </w:rPr>
              <w:t>Numero</w:t>
            </w:r>
          </w:p>
        </w:tc>
        <w:tc>
          <w:tcPr>
            <w:tcW w:w="1163" w:type="dxa"/>
            <w:shd w:val="clear" w:color="auto" w:fill="C6EFCE"/>
            <w:vAlign w:val="center"/>
          </w:tcPr>
          <w:p w14:paraId="5D0E9830" w14:textId="77777777" w:rsidR="00E42B18" w:rsidRDefault="009629C4">
            <w:pPr>
              <w:pStyle w:val="P68B1DB1-Normal11"/>
              <w:spacing w:before="120" w:after="120"/>
              <w:jc w:val="center"/>
              <w:rPr>
                <w:noProof/>
                <w:szCs w:val="20"/>
              </w:rPr>
            </w:pPr>
            <w:r>
              <w:rPr>
                <w:noProof/>
              </w:rPr>
              <w:t>0</w:t>
            </w:r>
          </w:p>
        </w:tc>
        <w:tc>
          <w:tcPr>
            <w:tcW w:w="992" w:type="dxa"/>
            <w:shd w:val="clear" w:color="auto" w:fill="C6EFCE"/>
            <w:vAlign w:val="center"/>
          </w:tcPr>
          <w:p w14:paraId="13F14D8B" w14:textId="77777777" w:rsidR="00E42B18" w:rsidRDefault="009629C4">
            <w:pPr>
              <w:pStyle w:val="P68B1DB1-Normal11"/>
              <w:spacing w:before="120" w:after="120"/>
              <w:jc w:val="center"/>
              <w:rPr>
                <w:noProof/>
                <w:szCs w:val="20"/>
              </w:rPr>
            </w:pPr>
            <w:r>
              <w:rPr>
                <w:noProof/>
              </w:rPr>
              <w:t>1 400</w:t>
            </w:r>
          </w:p>
        </w:tc>
        <w:tc>
          <w:tcPr>
            <w:tcW w:w="850" w:type="dxa"/>
            <w:shd w:val="clear" w:color="auto" w:fill="C6EFCE"/>
            <w:vAlign w:val="center"/>
          </w:tcPr>
          <w:p w14:paraId="2B389AC0" w14:textId="77777777" w:rsidR="00E42B18" w:rsidRDefault="009629C4">
            <w:pPr>
              <w:pStyle w:val="P68B1DB1-Normal11"/>
              <w:spacing w:before="120" w:after="120"/>
              <w:jc w:val="center"/>
              <w:rPr>
                <w:noProof/>
                <w:szCs w:val="20"/>
              </w:rPr>
            </w:pPr>
            <w:r>
              <w:rPr>
                <w:noProof/>
              </w:rPr>
              <w:t>Q2</w:t>
            </w:r>
          </w:p>
        </w:tc>
        <w:tc>
          <w:tcPr>
            <w:tcW w:w="709" w:type="dxa"/>
            <w:shd w:val="clear" w:color="auto" w:fill="C6EFCE"/>
            <w:vAlign w:val="center"/>
          </w:tcPr>
          <w:p w14:paraId="359575A4" w14:textId="77777777" w:rsidR="00E42B18" w:rsidRDefault="009629C4">
            <w:pPr>
              <w:pStyle w:val="P68B1DB1-Normal11"/>
              <w:spacing w:before="120" w:after="120"/>
              <w:jc w:val="center"/>
              <w:rPr>
                <w:noProof/>
                <w:szCs w:val="20"/>
              </w:rPr>
            </w:pPr>
            <w:r>
              <w:rPr>
                <w:noProof/>
              </w:rPr>
              <w:t>2026</w:t>
            </w:r>
          </w:p>
        </w:tc>
        <w:tc>
          <w:tcPr>
            <w:tcW w:w="3232" w:type="dxa"/>
            <w:shd w:val="clear" w:color="auto" w:fill="C6EFCE"/>
            <w:vAlign w:val="center"/>
          </w:tcPr>
          <w:p w14:paraId="41CEEFC4" w14:textId="77777777" w:rsidR="00E42B18" w:rsidRDefault="009629C4">
            <w:pPr>
              <w:pStyle w:val="P68B1DB1-Normal11"/>
              <w:spacing w:before="120" w:after="120"/>
              <w:rPr>
                <w:noProof/>
                <w:szCs w:val="20"/>
              </w:rPr>
            </w:pPr>
            <w:r>
              <w:rPr>
                <w:noProof/>
              </w:rPr>
              <w:t>Vähintään 1400 neliökilometriä markkinahäiriöalueilla, joilla on 5G-kattavuus ja joista vähintään 500 neliökilometriä on 5G-kattavuutta.</w:t>
            </w:r>
          </w:p>
        </w:tc>
      </w:tr>
      <w:tr w:rsidR="00E42B18" w14:paraId="4936033D" w14:textId="77777777">
        <w:trPr>
          <w:trHeight w:val="315"/>
        </w:trPr>
        <w:tc>
          <w:tcPr>
            <w:tcW w:w="1418" w:type="dxa"/>
            <w:shd w:val="clear" w:color="auto" w:fill="C6EFCE"/>
            <w:vAlign w:val="center"/>
          </w:tcPr>
          <w:p w14:paraId="011B2FEC" w14:textId="77777777" w:rsidR="00E42B18" w:rsidRDefault="009629C4">
            <w:pPr>
              <w:pStyle w:val="P68B1DB1-Normal11"/>
              <w:spacing w:before="120" w:after="120"/>
              <w:jc w:val="center"/>
              <w:rPr>
                <w:noProof/>
                <w:szCs w:val="20"/>
              </w:rPr>
            </w:pPr>
            <w:r>
              <w:rPr>
                <w:noProof/>
              </w:rPr>
              <w:t>M1C2–22</w:t>
            </w:r>
          </w:p>
        </w:tc>
        <w:tc>
          <w:tcPr>
            <w:tcW w:w="1985" w:type="dxa"/>
            <w:shd w:val="clear" w:color="auto" w:fill="C6EFCE"/>
            <w:vAlign w:val="center"/>
          </w:tcPr>
          <w:p w14:paraId="0B0A1F58" w14:textId="77777777" w:rsidR="00E42B18" w:rsidRDefault="009629C4">
            <w:pPr>
              <w:pStyle w:val="P68B1DB1-Normal11"/>
              <w:spacing w:before="120" w:after="120"/>
              <w:jc w:val="center"/>
              <w:rPr>
                <w:noProof/>
                <w:szCs w:val="20"/>
              </w:rPr>
            </w:pPr>
            <w:r>
              <w:rPr>
                <w:noProof/>
              </w:rPr>
              <w:t>Investointi 4: Satelliittiteknologia ja avaruustalous</w:t>
            </w:r>
          </w:p>
        </w:tc>
        <w:tc>
          <w:tcPr>
            <w:tcW w:w="1275" w:type="dxa"/>
            <w:shd w:val="clear" w:color="auto" w:fill="C6EFCE"/>
            <w:vAlign w:val="center"/>
          </w:tcPr>
          <w:p w14:paraId="1E6125B3" w14:textId="77777777" w:rsidR="00E42B18" w:rsidRDefault="009629C4">
            <w:pPr>
              <w:pStyle w:val="P68B1DB1-Normal11"/>
              <w:spacing w:before="120" w:after="120"/>
              <w:jc w:val="center"/>
              <w:rPr>
                <w:noProof/>
                <w:szCs w:val="20"/>
              </w:rPr>
            </w:pPr>
            <w:r>
              <w:rPr>
                <w:noProof/>
              </w:rPr>
              <w:t>Virstanpylväs</w:t>
            </w:r>
          </w:p>
        </w:tc>
        <w:tc>
          <w:tcPr>
            <w:tcW w:w="1276" w:type="dxa"/>
            <w:shd w:val="clear" w:color="auto" w:fill="C6EFCE"/>
            <w:vAlign w:val="center"/>
          </w:tcPr>
          <w:p w14:paraId="0FF001E2" w14:textId="77777777" w:rsidR="00E42B18" w:rsidRDefault="009629C4">
            <w:pPr>
              <w:pStyle w:val="P68B1DB1-Normal11"/>
              <w:spacing w:before="120" w:after="120"/>
              <w:jc w:val="center"/>
              <w:rPr>
                <w:noProof/>
                <w:szCs w:val="20"/>
              </w:rPr>
            </w:pPr>
            <w:r>
              <w:rPr>
                <w:noProof/>
              </w:rPr>
              <w:t>Kaikkien satelliittiteknologia- ja avaruushankkeita koskevien julkisten hankintasopimusten tekeminen</w:t>
            </w:r>
          </w:p>
        </w:tc>
        <w:tc>
          <w:tcPr>
            <w:tcW w:w="1276" w:type="dxa"/>
            <w:shd w:val="clear" w:color="auto" w:fill="C6EFCE"/>
            <w:vAlign w:val="center"/>
          </w:tcPr>
          <w:p w14:paraId="0584FFA1" w14:textId="77777777" w:rsidR="00E42B18" w:rsidRDefault="009629C4">
            <w:pPr>
              <w:pStyle w:val="P68B1DB1-Normal11"/>
              <w:spacing w:before="120" w:after="120"/>
              <w:jc w:val="center"/>
              <w:rPr>
                <w:noProof/>
                <w:szCs w:val="20"/>
              </w:rPr>
            </w:pPr>
            <w:r>
              <w:rPr>
                <w:noProof/>
              </w:rPr>
              <w:t>Ilmoitus kaikkien satelliittiteknologia- ja avaruushankkeita koskevien julkisten hankintasopimusten tekemisestä</w:t>
            </w:r>
          </w:p>
        </w:tc>
        <w:tc>
          <w:tcPr>
            <w:tcW w:w="1134" w:type="dxa"/>
            <w:shd w:val="clear" w:color="auto" w:fill="C6EFCE"/>
            <w:vAlign w:val="center"/>
          </w:tcPr>
          <w:p w14:paraId="5A4F6804" w14:textId="77777777" w:rsidR="00E42B18" w:rsidRDefault="009629C4">
            <w:pPr>
              <w:pStyle w:val="P68B1DB1-Normal11"/>
              <w:spacing w:before="120" w:after="120"/>
              <w:jc w:val="center"/>
              <w:rPr>
                <w:noProof/>
                <w:szCs w:val="20"/>
              </w:rPr>
            </w:pPr>
            <w:r>
              <w:rPr>
                <w:noProof/>
              </w:rPr>
              <w:t>EI OLE</w:t>
            </w:r>
          </w:p>
        </w:tc>
        <w:tc>
          <w:tcPr>
            <w:tcW w:w="1163" w:type="dxa"/>
            <w:shd w:val="clear" w:color="auto" w:fill="C6EFCE"/>
            <w:vAlign w:val="center"/>
          </w:tcPr>
          <w:p w14:paraId="33563D34" w14:textId="77777777" w:rsidR="00E42B18" w:rsidRDefault="009629C4">
            <w:pPr>
              <w:pStyle w:val="P68B1DB1-Normal11"/>
              <w:spacing w:before="120" w:after="120"/>
              <w:jc w:val="center"/>
              <w:rPr>
                <w:noProof/>
                <w:szCs w:val="20"/>
              </w:rPr>
            </w:pPr>
            <w:r>
              <w:rPr>
                <w:noProof/>
              </w:rPr>
              <w:t>EI OLE</w:t>
            </w:r>
          </w:p>
        </w:tc>
        <w:tc>
          <w:tcPr>
            <w:tcW w:w="992" w:type="dxa"/>
            <w:shd w:val="clear" w:color="auto" w:fill="C6EFCE"/>
            <w:vAlign w:val="center"/>
          </w:tcPr>
          <w:p w14:paraId="0E76CAA9" w14:textId="77777777" w:rsidR="00E42B18" w:rsidRDefault="009629C4">
            <w:pPr>
              <w:pStyle w:val="P68B1DB1-Normal11"/>
              <w:spacing w:before="120" w:after="120"/>
              <w:jc w:val="center"/>
              <w:rPr>
                <w:noProof/>
                <w:szCs w:val="20"/>
              </w:rPr>
            </w:pPr>
            <w:r>
              <w:rPr>
                <w:noProof/>
              </w:rPr>
              <w:t>EI OLE</w:t>
            </w:r>
          </w:p>
        </w:tc>
        <w:tc>
          <w:tcPr>
            <w:tcW w:w="850" w:type="dxa"/>
            <w:shd w:val="clear" w:color="auto" w:fill="C6EFCE"/>
            <w:vAlign w:val="center"/>
          </w:tcPr>
          <w:p w14:paraId="7E4975E8" w14:textId="77777777" w:rsidR="00E42B18" w:rsidRDefault="009629C4">
            <w:pPr>
              <w:pStyle w:val="P68B1DB1-Normal11"/>
              <w:spacing w:before="120" w:after="120"/>
              <w:jc w:val="center"/>
              <w:rPr>
                <w:noProof/>
                <w:szCs w:val="20"/>
              </w:rPr>
            </w:pPr>
            <w:r>
              <w:rPr>
                <w:noProof/>
              </w:rPr>
              <w:t>Q1</w:t>
            </w:r>
          </w:p>
        </w:tc>
        <w:tc>
          <w:tcPr>
            <w:tcW w:w="709" w:type="dxa"/>
            <w:shd w:val="clear" w:color="auto" w:fill="C6EFCE"/>
            <w:vAlign w:val="center"/>
          </w:tcPr>
          <w:p w14:paraId="633D2E2E" w14:textId="77777777" w:rsidR="00E42B18" w:rsidRDefault="009629C4">
            <w:pPr>
              <w:pStyle w:val="P68B1DB1-Normal11"/>
              <w:spacing w:before="120" w:after="120"/>
              <w:jc w:val="center"/>
              <w:rPr>
                <w:noProof/>
                <w:szCs w:val="20"/>
              </w:rPr>
            </w:pPr>
            <w:r>
              <w:rPr>
                <w:noProof/>
              </w:rPr>
              <w:t>2023</w:t>
            </w:r>
          </w:p>
        </w:tc>
        <w:tc>
          <w:tcPr>
            <w:tcW w:w="3232" w:type="dxa"/>
            <w:shd w:val="clear" w:color="auto" w:fill="C6EFCE"/>
            <w:vAlign w:val="center"/>
          </w:tcPr>
          <w:p w14:paraId="3D217FF1" w14:textId="77777777" w:rsidR="00E42B18" w:rsidRDefault="009629C4">
            <w:pPr>
              <w:pStyle w:val="P68B1DB1-Normal11"/>
              <w:spacing w:before="120" w:after="120"/>
              <w:rPr>
                <w:noProof/>
                <w:szCs w:val="20"/>
              </w:rPr>
            </w:pPr>
            <w:r>
              <w:rPr>
                <w:noProof/>
              </w:rPr>
              <w:t>Ilmoitus kaikkien sellaisten satelliittiteknologia- ja avaruushankkeita koskevien julkisten hankintasopimusten tekemisestä, joihin kuuluvat i) Satcom, ii) maanhavainnointi, iii) avaruustehdas ja iv) kiertoradalla tapahtuva talous.</w:t>
            </w:r>
          </w:p>
        </w:tc>
      </w:tr>
      <w:tr w:rsidR="00E42B18" w14:paraId="7D2AE63D" w14:textId="77777777">
        <w:trPr>
          <w:trHeight w:val="315"/>
        </w:trPr>
        <w:tc>
          <w:tcPr>
            <w:tcW w:w="1418" w:type="dxa"/>
            <w:shd w:val="clear" w:color="auto" w:fill="C6EFCE"/>
            <w:vAlign w:val="center"/>
          </w:tcPr>
          <w:p w14:paraId="382707F6" w14:textId="77777777" w:rsidR="00E42B18" w:rsidRDefault="009629C4">
            <w:pPr>
              <w:pStyle w:val="P68B1DB1-Normal12"/>
              <w:spacing w:before="120" w:after="120"/>
              <w:jc w:val="center"/>
              <w:rPr>
                <w:noProof/>
              </w:rPr>
            </w:pPr>
            <w:r>
              <w:rPr>
                <w:noProof/>
              </w:rPr>
              <w:t>M1C2–23 a</w:t>
            </w:r>
          </w:p>
        </w:tc>
        <w:tc>
          <w:tcPr>
            <w:tcW w:w="1985" w:type="dxa"/>
            <w:shd w:val="clear" w:color="auto" w:fill="C6EFCE"/>
            <w:vAlign w:val="center"/>
          </w:tcPr>
          <w:p w14:paraId="4C69492D" w14:textId="77777777" w:rsidR="00E42B18" w:rsidRDefault="009629C4">
            <w:pPr>
              <w:pStyle w:val="P68B1DB1-Normal11"/>
              <w:spacing w:before="120" w:after="120"/>
              <w:jc w:val="center"/>
              <w:rPr>
                <w:noProof/>
              </w:rPr>
            </w:pPr>
            <w:r>
              <w:rPr>
                <w:noProof/>
              </w:rPr>
              <w:t>Investointi 4: Satelliittiteknologia ja avaruustalous</w:t>
            </w:r>
          </w:p>
        </w:tc>
        <w:tc>
          <w:tcPr>
            <w:tcW w:w="1275" w:type="dxa"/>
            <w:shd w:val="clear" w:color="auto" w:fill="C6EFCE"/>
            <w:vAlign w:val="center"/>
          </w:tcPr>
          <w:p w14:paraId="7E2910E5" w14:textId="77777777" w:rsidR="00E42B18" w:rsidRDefault="009629C4">
            <w:pPr>
              <w:pStyle w:val="P68B1DB1-Normal11"/>
              <w:spacing w:before="120" w:after="120"/>
              <w:jc w:val="center"/>
              <w:rPr>
                <w:noProof/>
              </w:rPr>
            </w:pPr>
            <w:r>
              <w:rPr>
                <w:noProof/>
              </w:rPr>
              <w:t>Virstanpylväs</w:t>
            </w:r>
          </w:p>
        </w:tc>
        <w:tc>
          <w:tcPr>
            <w:tcW w:w="1276" w:type="dxa"/>
            <w:shd w:val="clear" w:color="auto" w:fill="C6EFCE"/>
            <w:vAlign w:val="center"/>
          </w:tcPr>
          <w:p w14:paraId="087A2153" w14:textId="707F9726" w:rsidR="00E42B18" w:rsidRDefault="009629C4">
            <w:pPr>
              <w:pStyle w:val="P68B1DB1-Normal11"/>
              <w:spacing w:before="120" w:after="120"/>
              <w:jc w:val="center"/>
              <w:rPr>
                <w:noProof/>
              </w:rPr>
            </w:pPr>
            <w:r>
              <w:rPr>
                <w:noProof/>
              </w:rPr>
              <w:t>Ssatellite-teknologia- ja avaruushankkeet</w:t>
            </w:r>
          </w:p>
        </w:tc>
        <w:tc>
          <w:tcPr>
            <w:tcW w:w="1276" w:type="dxa"/>
            <w:shd w:val="clear" w:color="auto" w:fill="C6EFCE"/>
            <w:vAlign w:val="center"/>
          </w:tcPr>
          <w:p w14:paraId="505D11A4" w14:textId="69D69300" w:rsidR="00E42B18" w:rsidRDefault="009629C4">
            <w:pPr>
              <w:pStyle w:val="P68B1DB1-Normal11"/>
              <w:spacing w:before="120" w:after="120"/>
              <w:jc w:val="center"/>
              <w:rPr>
                <w:noProof/>
              </w:rPr>
            </w:pPr>
            <w:r>
              <w:rPr>
                <w:noProof/>
              </w:rPr>
              <w:t>Satelliittiteknologia- ja avaruushankkeiden loppuraportit ja todiste siirrosta</w:t>
            </w:r>
          </w:p>
        </w:tc>
        <w:tc>
          <w:tcPr>
            <w:tcW w:w="1134" w:type="dxa"/>
            <w:shd w:val="clear" w:color="auto" w:fill="C6EFCE"/>
            <w:vAlign w:val="center"/>
          </w:tcPr>
          <w:p w14:paraId="1D7AAC07" w14:textId="77777777" w:rsidR="00E42B18" w:rsidRDefault="009629C4">
            <w:pPr>
              <w:pStyle w:val="P68B1DB1-Normal11"/>
              <w:spacing w:before="120" w:after="120"/>
              <w:jc w:val="center"/>
              <w:rPr>
                <w:noProof/>
              </w:rPr>
            </w:pPr>
            <w:r>
              <w:rPr>
                <w:noProof/>
              </w:rPr>
              <w:t>EI OLE</w:t>
            </w:r>
          </w:p>
        </w:tc>
        <w:tc>
          <w:tcPr>
            <w:tcW w:w="1163" w:type="dxa"/>
            <w:shd w:val="clear" w:color="auto" w:fill="C6EFCE"/>
            <w:vAlign w:val="center"/>
          </w:tcPr>
          <w:p w14:paraId="06264E28" w14:textId="77777777" w:rsidR="00E42B18" w:rsidRDefault="009629C4">
            <w:pPr>
              <w:pStyle w:val="P68B1DB1-Normal11"/>
              <w:spacing w:before="120" w:after="120"/>
              <w:jc w:val="center"/>
              <w:rPr>
                <w:noProof/>
              </w:rPr>
            </w:pPr>
            <w:r>
              <w:rPr>
                <w:noProof/>
              </w:rPr>
              <w:t>EI OLE</w:t>
            </w:r>
          </w:p>
        </w:tc>
        <w:tc>
          <w:tcPr>
            <w:tcW w:w="992" w:type="dxa"/>
            <w:shd w:val="clear" w:color="auto" w:fill="C6EFCE"/>
            <w:vAlign w:val="center"/>
          </w:tcPr>
          <w:p w14:paraId="0690FE32" w14:textId="77777777" w:rsidR="00E42B18" w:rsidRDefault="009629C4">
            <w:pPr>
              <w:pStyle w:val="P68B1DB1-Normal11"/>
              <w:spacing w:before="120" w:after="120"/>
              <w:jc w:val="center"/>
              <w:rPr>
                <w:noProof/>
              </w:rPr>
            </w:pPr>
            <w:r>
              <w:rPr>
                <w:noProof/>
              </w:rPr>
              <w:t>EI OLE</w:t>
            </w:r>
          </w:p>
        </w:tc>
        <w:tc>
          <w:tcPr>
            <w:tcW w:w="850" w:type="dxa"/>
            <w:shd w:val="clear" w:color="auto" w:fill="C6EFCE"/>
            <w:vAlign w:val="center"/>
          </w:tcPr>
          <w:p w14:paraId="03747758" w14:textId="77777777" w:rsidR="00E42B18" w:rsidRDefault="009629C4">
            <w:pPr>
              <w:pStyle w:val="P68B1DB1-Normal11"/>
              <w:spacing w:before="120" w:after="120"/>
              <w:jc w:val="center"/>
              <w:rPr>
                <w:noProof/>
              </w:rPr>
            </w:pPr>
            <w:r>
              <w:rPr>
                <w:noProof/>
              </w:rPr>
              <w:t>Q2</w:t>
            </w:r>
          </w:p>
        </w:tc>
        <w:tc>
          <w:tcPr>
            <w:tcW w:w="709" w:type="dxa"/>
            <w:shd w:val="clear" w:color="auto" w:fill="C6EFCE"/>
            <w:vAlign w:val="center"/>
          </w:tcPr>
          <w:p w14:paraId="261320C5" w14:textId="77777777" w:rsidR="00E42B18" w:rsidRDefault="009629C4">
            <w:pPr>
              <w:pStyle w:val="P68B1DB1-Normal11"/>
              <w:spacing w:before="120" w:after="120"/>
              <w:jc w:val="center"/>
              <w:rPr>
                <w:noProof/>
              </w:rPr>
            </w:pPr>
            <w:r>
              <w:rPr>
                <w:noProof/>
              </w:rPr>
              <w:t>2026</w:t>
            </w:r>
          </w:p>
        </w:tc>
        <w:tc>
          <w:tcPr>
            <w:tcW w:w="3232" w:type="dxa"/>
            <w:shd w:val="clear" w:color="auto" w:fill="C6EFCE"/>
            <w:vAlign w:val="center"/>
          </w:tcPr>
          <w:p w14:paraId="46DCE914" w14:textId="4208D90E" w:rsidR="00E42B18" w:rsidRDefault="009629C4">
            <w:pPr>
              <w:pStyle w:val="P68B1DB1-Normal12"/>
              <w:spacing w:before="120" w:after="120"/>
              <w:rPr>
                <w:noProof/>
              </w:rPr>
            </w:pPr>
            <w:r>
              <w:rPr>
                <w:noProof/>
              </w:rPr>
              <w:t xml:space="preserve">Loppuraportit toimitetaan seuraavista toimista: </w:t>
            </w:r>
          </w:p>
          <w:p w14:paraId="23E670FF" w14:textId="77777777" w:rsidR="00E42B18" w:rsidRDefault="009629C4">
            <w:pPr>
              <w:pStyle w:val="P68B1DB1-Normal12"/>
              <w:spacing w:before="120" w:after="120"/>
              <w:ind w:left="313" w:hanging="313"/>
              <w:rPr>
                <w:noProof/>
              </w:rPr>
            </w:pPr>
            <w:r>
              <w:rPr>
                <w:noProof/>
              </w:rPr>
              <w:t>1.</w:t>
            </w:r>
            <w:r>
              <w:rPr>
                <w:noProof/>
              </w:rPr>
              <w:tab/>
              <w:t xml:space="preserve">SATCOM: sellaisten kaksikäyttöteknologioiden ja -järjestelmien luominen, joita käytetään valtion käyttöön tarkoitettujen erittäin turvallisten satelliittiviestintäpalvelujen tarjoamiseen. </w:t>
            </w:r>
          </w:p>
          <w:p w14:paraId="5A899A1C" w14:textId="6D44BCB4" w:rsidR="00E42B18" w:rsidRDefault="009629C4">
            <w:pPr>
              <w:spacing w:before="120" w:after="120"/>
              <w:ind w:left="313" w:hanging="313"/>
              <w:rPr>
                <w:rFonts w:ascii="Arial Narrow" w:hAnsi="Arial Narrow"/>
                <w:noProof/>
                <w:color w:val="006100"/>
                <w:sz w:val="20"/>
                <w:szCs w:val="20"/>
              </w:rPr>
            </w:pPr>
            <w:r>
              <w:rPr>
                <w:rFonts w:ascii="Arial Narrow" w:hAnsi="Arial Narrow"/>
                <w:noProof/>
                <w:color w:val="006100"/>
                <w:sz w:val="20"/>
                <w:szCs w:val="20"/>
              </w:rPr>
              <w:t>2.</w:t>
            </w:r>
            <w:r>
              <w:rPr>
                <w:noProof/>
              </w:rPr>
              <w:tab/>
            </w:r>
            <w:r>
              <w:rPr>
                <w:rFonts w:ascii="Arial Narrow" w:hAnsi="Arial Narrow"/>
                <w:noProof/>
                <w:color w:val="006100"/>
                <w:sz w:val="20"/>
                <w:szCs w:val="20"/>
              </w:rPr>
              <w:t>Maanhavainnointi (EO), joka koostuu i) tuotantoketjun alkupään toiminnoista: mukaan lukien kaukokartoituksen (Synthetic Aperture Radar (SAR), hyperspektrinen ja optinen) monisensorisen kokoonpanon määrittely, suunnittelu ja valmistus sekä maa-, meri- ja ilmakehän seurantaan keskittyvien laukaisujen hankinta; vähintään yksi konstellaatio tai todiste konstellaatioiden käsitteestä on kiertoradalla ii) tuotantoketjun loppupään toiminnoissa: Cyber Italy -hanke, Marketplace ja siihen liittyvät palvelut.</w:t>
            </w:r>
          </w:p>
          <w:p w14:paraId="6BEA1C34" w14:textId="77777777" w:rsidR="00E42B18" w:rsidRDefault="009629C4">
            <w:pPr>
              <w:pStyle w:val="P68B1DB1-Normal12"/>
              <w:spacing w:before="120" w:after="120"/>
              <w:ind w:left="313" w:hanging="313"/>
              <w:rPr>
                <w:noProof/>
              </w:rPr>
            </w:pPr>
            <w:r>
              <w:rPr>
                <w:noProof/>
              </w:rPr>
              <w:t>3.</w:t>
            </w:r>
            <w:r>
              <w:rPr>
                <w:noProof/>
              </w:rPr>
              <w:tab/>
              <w:t>Avaruustehdas, joka koostuu kahdesta alahankkeesta: I) Avaruustehdas 4.0: (pienten satelliittien valmistus-, kokoonpano-, integrointi- ja testauslinjat (M-AIT)); II) Avaruuteen pääsy: Tutkimus ja kehitys sekä prototyyppien luominen vihreän teknologian toteuttamiseksi työntövoima- ja kantorakettien tulevaa sukupolvea varten.</w:t>
            </w:r>
          </w:p>
          <w:p w14:paraId="667FA26A" w14:textId="01082694" w:rsidR="00E42B18" w:rsidRDefault="009629C4">
            <w:pPr>
              <w:spacing w:before="120" w:after="120"/>
              <w:ind w:left="313" w:hanging="313"/>
              <w:rPr>
                <w:rFonts w:ascii="Arial Narrow" w:hAnsi="Arial Narrow"/>
                <w:noProof/>
                <w:color w:val="006100"/>
                <w:sz w:val="20"/>
                <w:szCs w:val="20"/>
              </w:rPr>
            </w:pPr>
            <w:r>
              <w:rPr>
                <w:rFonts w:ascii="Arial Narrow" w:hAnsi="Arial Narrow"/>
                <w:noProof/>
                <w:color w:val="006100"/>
                <w:sz w:val="20"/>
                <w:szCs w:val="20"/>
              </w:rPr>
              <w:t>4.</w:t>
            </w:r>
            <w:r>
              <w:rPr>
                <w:noProof/>
              </w:rPr>
              <w:tab/>
            </w:r>
            <w:r>
              <w:rPr>
                <w:rFonts w:ascii="Arial Narrow" w:hAnsi="Arial Narrow"/>
                <w:noProof/>
                <w:color w:val="006100"/>
                <w:sz w:val="20"/>
                <w:szCs w:val="20"/>
              </w:rPr>
              <w:t>Kiertoradalla tapahtuva talous: kiertoradan huoltoteknologioiden demonstrointitoimet; kansallisen avaruusvalvonnan ja -seurannan (SST) kapasiteetin lisääminen; avaruusliikenteen hallintatoimia tukevan datapalvelun hankintaan, hallintaan ja tarjoamiseen tarvittavan omaisuuden suunnittelu ja valmistus.</w:t>
            </w:r>
          </w:p>
          <w:p w14:paraId="0F48F6A6" w14:textId="773CA1B3" w:rsidR="00E42B18" w:rsidRDefault="009629C4">
            <w:pPr>
              <w:pStyle w:val="P68B1DB1-Normal11"/>
              <w:spacing w:before="120" w:after="120"/>
              <w:rPr>
                <w:noProof/>
                <w:szCs w:val="20"/>
              </w:rPr>
            </w:pPr>
            <w:r>
              <w:rPr>
                <w:noProof/>
                <w:szCs w:val="20"/>
              </w:rPr>
              <w:t>Täytäntöönpanoelimille annetaan maksumääräyksiä yhteensä vähintään 1340000000 euroa.</w:t>
            </w:r>
          </w:p>
        </w:tc>
      </w:tr>
      <w:tr w:rsidR="00E42B18" w14:paraId="7D9152BB" w14:textId="77777777">
        <w:trPr>
          <w:trHeight w:val="315"/>
        </w:trPr>
        <w:tc>
          <w:tcPr>
            <w:tcW w:w="1418" w:type="dxa"/>
            <w:shd w:val="clear" w:color="auto" w:fill="C6EFCE"/>
            <w:vAlign w:val="center"/>
          </w:tcPr>
          <w:p w14:paraId="7D615C75" w14:textId="77777777" w:rsidR="00E42B18" w:rsidRDefault="009629C4">
            <w:pPr>
              <w:pStyle w:val="P68B1DB1-Normal11"/>
              <w:spacing w:before="120" w:after="120"/>
              <w:jc w:val="center"/>
              <w:rPr>
                <w:noProof/>
                <w:szCs w:val="20"/>
              </w:rPr>
            </w:pPr>
            <w:r>
              <w:rPr>
                <w:noProof/>
              </w:rPr>
              <w:t>M1C2–26</w:t>
            </w:r>
          </w:p>
        </w:tc>
        <w:tc>
          <w:tcPr>
            <w:tcW w:w="1985" w:type="dxa"/>
            <w:shd w:val="clear" w:color="auto" w:fill="C6EFCE"/>
            <w:vAlign w:val="center"/>
          </w:tcPr>
          <w:p w14:paraId="1B24F3CF" w14:textId="77777777" w:rsidR="00E42B18" w:rsidRDefault="009629C4">
            <w:pPr>
              <w:pStyle w:val="P68B1DB1-Normal11"/>
              <w:spacing w:before="120" w:after="120"/>
              <w:jc w:val="center"/>
              <w:rPr>
                <w:noProof/>
                <w:szCs w:val="20"/>
              </w:rPr>
            </w:pPr>
            <w:r>
              <w:rPr>
                <w:noProof/>
              </w:rPr>
              <w:t>Investointi 5.1: SIMESTin hallinnoiman rahaston 394/81 jälleenrahoitus ja uudistaminen</w:t>
            </w:r>
          </w:p>
        </w:tc>
        <w:tc>
          <w:tcPr>
            <w:tcW w:w="1275" w:type="dxa"/>
            <w:shd w:val="clear" w:color="auto" w:fill="C6EFCE"/>
            <w:vAlign w:val="center"/>
          </w:tcPr>
          <w:p w14:paraId="73AA170D" w14:textId="77777777" w:rsidR="00E42B18" w:rsidRDefault="009629C4">
            <w:pPr>
              <w:pStyle w:val="P68B1DB1-Normal11"/>
              <w:spacing w:before="120" w:after="120"/>
              <w:jc w:val="center"/>
              <w:rPr>
                <w:noProof/>
                <w:szCs w:val="20"/>
              </w:rPr>
            </w:pPr>
            <w:r>
              <w:rPr>
                <w:noProof/>
              </w:rPr>
              <w:t>Virstanpylväs</w:t>
            </w:r>
          </w:p>
        </w:tc>
        <w:tc>
          <w:tcPr>
            <w:tcW w:w="1276" w:type="dxa"/>
            <w:shd w:val="clear" w:color="auto" w:fill="C6EFCE"/>
            <w:vAlign w:val="center"/>
          </w:tcPr>
          <w:p w14:paraId="5F43392B" w14:textId="77777777" w:rsidR="00E42B18" w:rsidRDefault="009629C4">
            <w:pPr>
              <w:pStyle w:val="P68B1DB1-Normal11"/>
              <w:spacing w:before="120" w:after="120"/>
              <w:jc w:val="center"/>
              <w:rPr>
                <w:noProof/>
                <w:szCs w:val="20"/>
              </w:rPr>
            </w:pPr>
            <w:r>
              <w:rPr>
                <w:noProof/>
              </w:rPr>
              <w:t>Rahaston 394/81 jälleenrahoituksen voimaantulo ja investointipolitiikan hyväksyminen</w:t>
            </w:r>
          </w:p>
        </w:tc>
        <w:tc>
          <w:tcPr>
            <w:tcW w:w="1276" w:type="dxa"/>
            <w:shd w:val="clear" w:color="auto" w:fill="C6EFCE"/>
            <w:vAlign w:val="center"/>
          </w:tcPr>
          <w:p w14:paraId="30F512BE" w14:textId="77777777" w:rsidR="00E42B18" w:rsidRDefault="009629C4">
            <w:pPr>
              <w:pStyle w:val="P68B1DB1-Normal11"/>
              <w:spacing w:before="120" w:after="120"/>
              <w:jc w:val="center"/>
              <w:rPr>
                <w:noProof/>
                <w:szCs w:val="20"/>
              </w:rPr>
            </w:pPr>
            <w:r>
              <w:rPr>
                <w:noProof/>
              </w:rPr>
              <w:t>Lakiin sisältyvä säännös, joka koskee rahaston 394/81 avustus- ja lainaosuuden jälleenrahoittamista koskevan lain (asetusten) voimaantuloa</w:t>
            </w:r>
          </w:p>
          <w:p w14:paraId="44DCE0FC" w14:textId="77777777" w:rsidR="00E42B18" w:rsidRDefault="009629C4">
            <w:pPr>
              <w:pStyle w:val="P68B1DB1-Normal11"/>
              <w:spacing w:before="120" w:after="120"/>
              <w:jc w:val="center"/>
              <w:rPr>
                <w:noProof/>
                <w:szCs w:val="20"/>
              </w:rPr>
            </w:pPr>
            <w:r>
              <w:rPr>
                <w:noProof/>
              </w:rPr>
              <w:t>Rahoitettavien hankkeiden valintaperusteita koskevan johtokunnan päätöksen hyväksyminen</w:t>
            </w:r>
          </w:p>
        </w:tc>
        <w:tc>
          <w:tcPr>
            <w:tcW w:w="1134" w:type="dxa"/>
            <w:shd w:val="clear" w:color="auto" w:fill="C6EFCE"/>
            <w:vAlign w:val="center"/>
          </w:tcPr>
          <w:p w14:paraId="68AFF4D8" w14:textId="77777777" w:rsidR="00E42B18" w:rsidRDefault="009629C4">
            <w:pPr>
              <w:pStyle w:val="P68B1DB1-Normal11"/>
              <w:spacing w:before="120" w:after="120"/>
              <w:jc w:val="center"/>
              <w:rPr>
                <w:noProof/>
                <w:szCs w:val="20"/>
              </w:rPr>
            </w:pPr>
            <w:r>
              <w:rPr>
                <w:noProof/>
              </w:rPr>
              <w:t>EI OLE</w:t>
            </w:r>
          </w:p>
        </w:tc>
        <w:tc>
          <w:tcPr>
            <w:tcW w:w="1163" w:type="dxa"/>
            <w:shd w:val="clear" w:color="auto" w:fill="C6EFCE"/>
            <w:vAlign w:val="center"/>
          </w:tcPr>
          <w:p w14:paraId="4150DF61" w14:textId="77777777" w:rsidR="00E42B18" w:rsidRDefault="009629C4">
            <w:pPr>
              <w:pStyle w:val="P68B1DB1-Normal11"/>
              <w:spacing w:before="120" w:after="120"/>
              <w:jc w:val="center"/>
              <w:rPr>
                <w:noProof/>
                <w:szCs w:val="20"/>
              </w:rPr>
            </w:pPr>
            <w:r>
              <w:rPr>
                <w:noProof/>
              </w:rPr>
              <w:t>EI OLE</w:t>
            </w:r>
          </w:p>
        </w:tc>
        <w:tc>
          <w:tcPr>
            <w:tcW w:w="992" w:type="dxa"/>
            <w:shd w:val="clear" w:color="auto" w:fill="C6EFCE"/>
            <w:vAlign w:val="center"/>
          </w:tcPr>
          <w:p w14:paraId="56966F11" w14:textId="77777777" w:rsidR="00E42B18" w:rsidRDefault="009629C4">
            <w:pPr>
              <w:pStyle w:val="P68B1DB1-Normal11"/>
              <w:spacing w:before="120" w:after="120"/>
              <w:jc w:val="center"/>
              <w:rPr>
                <w:noProof/>
                <w:szCs w:val="20"/>
              </w:rPr>
            </w:pPr>
            <w:r>
              <w:rPr>
                <w:noProof/>
              </w:rPr>
              <w:t>EI OLE</w:t>
            </w:r>
          </w:p>
        </w:tc>
        <w:tc>
          <w:tcPr>
            <w:tcW w:w="850" w:type="dxa"/>
            <w:shd w:val="clear" w:color="auto" w:fill="C6EFCE"/>
            <w:vAlign w:val="center"/>
          </w:tcPr>
          <w:p w14:paraId="642FCF6B" w14:textId="77777777" w:rsidR="00E42B18" w:rsidRDefault="009629C4">
            <w:pPr>
              <w:pStyle w:val="P68B1DB1-Normal11"/>
              <w:spacing w:before="120" w:after="120"/>
              <w:jc w:val="center"/>
              <w:rPr>
                <w:noProof/>
                <w:szCs w:val="20"/>
              </w:rPr>
            </w:pPr>
            <w:r>
              <w:rPr>
                <w:noProof/>
              </w:rPr>
              <w:t>Q3</w:t>
            </w:r>
          </w:p>
        </w:tc>
        <w:tc>
          <w:tcPr>
            <w:tcW w:w="709" w:type="dxa"/>
            <w:shd w:val="clear" w:color="auto" w:fill="C6EFCE"/>
            <w:vAlign w:val="center"/>
          </w:tcPr>
          <w:p w14:paraId="19351976" w14:textId="77777777" w:rsidR="00E42B18" w:rsidRDefault="009629C4">
            <w:pPr>
              <w:pStyle w:val="P68B1DB1-Normal11"/>
              <w:spacing w:before="120" w:after="120"/>
              <w:jc w:val="center"/>
              <w:rPr>
                <w:noProof/>
                <w:szCs w:val="20"/>
              </w:rPr>
            </w:pPr>
            <w:r>
              <w:rPr>
                <w:noProof/>
              </w:rPr>
              <w:t>2021</w:t>
            </w:r>
          </w:p>
        </w:tc>
        <w:tc>
          <w:tcPr>
            <w:tcW w:w="3232" w:type="dxa"/>
            <w:shd w:val="clear" w:color="auto" w:fill="C6EFCE"/>
            <w:vAlign w:val="center"/>
          </w:tcPr>
          <w:p w14:paraId="251E7253" w14:textId="77777777" w:rsidR="00E42B18" w:rsidRDefault="009629C4">
            <w:pPr>
              <w:pStyle w:val="P68B1DB1-Normal11"/>
              <w:spacing w:before="120"/>
              <w:rPr>
                <w:noProof/>
                <w:szCs w:val="20"/>
              </w:rPr>
            </w:pPr>
            <w:r>
              <w:rPr>
                <w:noProof/>
              </w:rPr>
              <w:t>Asetuksessa (säädöksissä) säädetään rahaston 394/81 avustus- ja lainaosuuden jälleenrahoituksesta. Rahaston johtokunta hyväksyy päätöksen sijoituspolitiikan vahvistamisesta.</w:t>
            </w:r>
          </w:p>
          <w:p w14:paraId="1C14A54F" w14:textId="77777777" w:rsidR="00E42B18" w:rsidRDefault="009629C4">
            <w:pPr>
              <w:pStyle w:val="P68B1DB1-Normal11"/>
              <w:spacing w:before="120"/>
              <w:rPr>
                <w:noProof/>
                <w:szCs w:val="20"/>
              </w:rPr>
            </w:pPr>
            <w:r>
              <w:rPr>
                <w:noProof/>
              </w:rPr>
              <w:t>Rahaston 394/81 jälleenrahoitukseen liittyvässä investointipolitiikassa on määriteltävä vähintään: I) tuettujen hankkeiden luonne ja laajuus, joiden on oltava asetuksen (EU) 2021/241 tavoitteiden mukaisia; tehtävänmääritykseen on sisällyttävä tukikelpoisuuskriteerit, joilla varmistetaan tämän toimenpiteen nojalla tuettujen hankkeiden ”ei merkittävää haittaa” -periaatetta koskevien teknisten ohjeiden (2021/C58/01) noudattaminen käyttämällä kestävyysarviointia, poissulkemisluetteloa ja vaatimusta noudattaa asiaankuuluvaa EU:n ja kansallista ympäristölainsäädäntöä, ii) tuettavien toimien tyyppi, iii) kohteena olevat tuensaajat, joissa on paljon pk-yrityksiä, ja niiden tukikelpoisuuskriteerit, iv) säännökset mahdollisten takaisin saatujen varojen uudelleeninvestoinnista vastaaviin toimintapoliittisiin tavoitteisiin myös vuoden 2026 jälkeen, jos niitä ei käytetä uudelleen asetuksen (EU) 2021/241 nojalla myönnetyistä lainoista peräisin oleviin uudelleenmaksettaviin korkoihin.</w:t>
            </w:r>
          </w:p>
          <w:p w14:paraId="5F16824B" w14:textId="77777777" w:rsidR="00E42B18" w:rsidRDefault="009629C4">
            <w:pPr>
              <w:pStyle w:val="P68B1DB1-Normal11"/>
              <w:spacing w:before="120"/>
              <w:rPr>
                <w:noProof/>
                <w:szCs w:val="20"/>
              </w:rPr>
            </w:pPr>
            <w:r>
              <w:rPr>
                <w:noProof/>
              </w:rPr>
              <w:t>Toimeksiannon saaneen yhteisön tai rahoituksen välittäjän kanssa tehdyssä sopimuksessa on edellytettävä ”ei merkittävää haittaa” -periaatetta koskevien teknisten ohjeiden (2021/C58/01) käyttöä.</w:t>
            </w:r>
          </w:p>
        </w:tc>
      </w:tr>
      <w:tr w:rsidR="00E42B18" w14:paraId="6A390C78" w14:textId="77777777">
        <w:trPr>
          <w:trHeight w:val="315"/>
        </w:trPr>
        <w:tc>
          <w:tcPr>
            <w:tcW w:w="1418" w:type="dxa"/>
            <w:shd w:val="clear" w:color="auto" w:fill="C6EFCE"/>
            <w:vAlign w:val="center"/>
          </w:tcPr>
          <w:p w14:paraId="4B1FC7D2" w14:textId="77777777" w:rsidR="00E42B18" w:rsidRDefault="009629C4">
            <w:pPr>
              <w:pStyle w:val="P68B1DB1-Normal11"/>
              <w:spacing w:before="120" w:after="120"/>
              <w:jc w:val="center"/>
              <w:rPr>
                <w:noProof/>
                <w:szCs w:val="20"/>
              </w:rPr>
            </w:pPr>
            <w:r>
              <w:rPr>
                <w:noProof/>
              </w:rPr>
              <w:t>M1C2–27</w:t>
            </w:r>
          </w:p>
        </w:tc>
        <w:tc>
          <w:tcPr>
            <w:tcW w:w="1985" w:type="dxa"/>
            <w:shd w:val="clear" w:color="auto" w:fill="C6EFCE"/>
            <w:vAlign w:val="center"/>
          </w:tcPr>
          <w:p w14:paraId="1D418EBF" w14:textId="77777777" w:rsidR="00E42B18" w:rsidRDefault="009629C4">
            <w:pPr>
              <w:pStyle w:val="P68B1DB1-Normal11"/>
              <w:spacing w:before="120" w:after="120"/>
              <w:jc w:val="center"/>
              <w:rPr>
                <w:noProof/>
                <w:szCs w:val="20"/>
              </w:rPr>
            </w:pPr>
            <w:r>
              <w:rPr>
                <w:noProof/>
              </w:rPr>
              <w:t>Investointi 5.1: SIMESTin hallinnoiman rahaston 394/81 jälleenrahoitus ja uudistaminen</w:t>
            </w:r>
          </w:p>
        </w:tc>
        <w:tc>
          <w:tcPr>
            <w:tcW w:w="1275" w:type="dxa"/>
            <w:shd w:val="clear" w:color="auto" w:fill="C6EFCE"/>
            <w:vAlign w:val="center"/>
          </w:tcPr>
          <w:p w14:paraId="770DE57D" w14:textId="77777777" w:rsidR="00E42B18" w:rsidRDefault="009629C4">
            <w:pPr>
              <w:pStyle w:val="P68B1DB1-Normal11"/>
              <w:spacing w:before="120" w:after="120"/>
              <w:jc w:val="center"/>
              <w:rPr>
                <w:noProof/>
                <w:szCs w:val="20"/>
              </w:rPr>
            </w:pPr>
            <w:r>
              <w:rPr>
                <w:noProof/>
              </w:rPr>
              <w:t>Kohde</w:t>
            </w:r>
          </w:p>
        </w:tc>
        <w:tc>
          <w:tcPr>
            <w:tcW w:w="1276" w:type="dxa"/>
            <w:shd w:val="clear" w:color="auto" w:fill="C6EFCE"/>
            <w:vAlign w:val="center"/>
          </w:tcPr>
          <w:p w14:paraId="6B29DDC6" w14:textId="77777777" w:rsidR="00E42B18" w:rsidRDefault="009629C4">
            <w:pPr>
              <w:pStyle w:val="P68B1DB1-Normal11"/>
              <w:spacing w:before="120" w:after="120"/>
              <w:jc w:val="center"/>
              <w:rPr>
                <w:noProof/>
                <w:szCs w:val="20"/>
              </w:rPr>
            </w:pPr>
            <w:r>
              <w:rPr>
                <w:noProof/>
              </w:rPr>
              <w:t>Rahastosta 394/81 tukea saaneet pk-yritykset</w:t>
            </w:r>
          </w:p>
        </w:tc>
        <w:tc>
          <w:tcPr>
            <w:tcW w:w="1276" w:type="dxa"/>
            <w:shd w:val="clear" w:color="auto" w:fill="C6EFCE"/>
            <w:vAlign w:val="center"/>
          </w:tcPr>
          <w:p w14:paraId="402DEE64" w14:textId="77777777" w:rsidR="00E42B18" w:rsidRDefault="009629C4">
            <w:pPr>
              <w:pStyle w:val="P68B1DB1-Normal11"/>
              <w:spacing w:before="120" w:after="120"/>
              <w:jc w:val="center"/>
              <w:rPr>
                <w:noProof/>
                <w:szCs w:val="20"/>
              </w:rPr>
            </w:pPr>
            <w:r>
              <w:rPr>
                <w:noProof/>
              </w:rPr>
              <w:t>EI OLE</w:t>
            </w:r>
          </w:p>
        </w:tc>
        <w:tc>
          <w:tcPr>
            <w:tcW w:w="1134" w:type="dxa"/>
            <w:shd w:val="clear" w:color="auto" w:fill="C6EFCE"/>
            <w:vAlign w:val="center"/>
          </w:tcPr>
          <w:p w14:paraId="3D1F36BD" w14:textId="77777777" w:rsidR="00E42B18" w:rsidRDefault="009629C4">
            <w:pPr>
              <w:pStyle w:val="P68B1DB1-Normal11"/>
              <w:spacing w:before="120" w:after="120"/>
              <w:jc w:val="center"/>
              <w:rPr>
                <w:noProof/>
                <w:szCs w:val="20"/>
              </w:rPr>
            </w:pPr>
            <w:r>
              <w:rPr>
                <w:noProof/>
              </w:rPr>
              <w:t>Numero</w:t>
            </w:r>
          </w:p>
        </w:tc>
        <w:tc>
          <w:tcPr>
            <w:tcW w:w="1163" w:type="dxa"/>
            <w:shd w:val="clear" w:color="auto" w:fill="C6EFCE"/>
            <w:vAlign w:val="center"/>
          </w:tcPr>
          <w:p w14:paraId="7183C447" w14:textId="77777777" w:rsidR="00E42B18" w:rsidRDefault="009629C4">
            <w:pPr>
              <w:pStyle w:val="P68B1DB1-Normal11"/>
              <w:spacing w:before="120" w:after="120"/>
              <w:jc w:val="center"/>
              <w:rPr>
                <w:noProof/>
                <w:szCs w:val="20"/>
              </w:rPr>
            </w:pPr>
            <w:r>
              <w:rPr>
                <w:noProof/>
              </w:rPr>
              <w:t>0</w:t>
            </w:r>
          </w:p>
        </w:tc>
        <w:tc>
          <w:tcPr>
            <w:tcW w:w="992" w:type="dxa"/>
            <w:shd w:val="clear" w:color="auto" w:fill="C6EFCE"/>
            <w:vAlign w:val="center"/>
          </w:tcPr>
          <w:p w14:paraId="670DCCE7" w14:textId="77777777" w:rsidR="00E42B18" w:rsidRDefault="009629C4">
            <w:pPr>
              <w:pStyle w:val="P68B1DB1-Normal11"/>
              <w:spacing w:before="120" w:after="120"/>
              <w:jc w:val="center"/>
              <w:rPr>
                <w:noProof/>
                <w:szCs w:val="20"/>
              </w:rPr>
            </w:pPr>
            <w:r>
              <w:rPr>
                <w:noProof/>
              </w:rPr>
              <w:t>4 000</w:t>
            </w:r>
          </w:p>
        </w:tc>
        <w:tc>
          <w:tcPr>
            <w:tcW w:w="850" w:type="dxa"/>
            <w:shd w:val="clear" w:color="auto" w:fill="C6EFCE"/>
            <w:vAlign w:val="center"/>
          </w:tcPr>
          <w:p w14:paraId="177AB687" w14:textId="77777777" w:rsidR="00E42B18" w:rsidRDefault="009629C4">
            <w:pPr>
              <w:pStyle w:val="P68B1DB1-Normal11"/>
              <w:spacing w:before="120" w:after="120"/>
              <w:jc w:val="center"/>
              <w:rPr>
                <w:noProof/>
                <w:szCs w:val="20"/>
              </w:rPr>
            </w:pPr>
            <w:r>
              <w:rPr>
                <w:noProof/>
              </w:rPr>
              <w:t>Q4</w:t>
            </w:r>
          </w:p>
        </w:tc>
        <w:tc>
          <w:tcPr>
            <w:tcW w:w="709" w:type="dxa"/>
            <w:shd w:val="clear" w:color="auto" w:fill="C6EFCE"/>
            <w:vAlign w:val="center"/>
          </w:tcPr>
          <w:p w14:paraId="59B90F24" w14:textId="77777777" w:rsidR="00E42B18" w:rsidRDefault="009629C4">
            <w:pPr>
              <w:pStyle w:val="P68B1DB1-Normal11"/>
              <w:spacing w:before="120" w:after="120"/>
              <w:jc w:val="center"/>
              <w:rPr>
                <w:noProof/>
                <w:szCs w:val="20"/>
              </w:rPr>
            </w:pPr>
            <w:r>
              <w:rPr>
                <w:noProof/>
              </w:rPr>
              <w:t>2021</w:t>
            </w:r>
          </w:p>
        </w:tc>
        <w:tc>
          <w:tcPr>
            <w:tcW w:w="3232" w:type="dxa"/>
            <w:shd w:val="clear" w:color="auto" w:fill="C6EFCE"/>
            <w:vAlign w:val="center"/>
          </w:tcPr>
          <w:p w14:paraId="2B86B777" w14:textId="77777777" w:rsidR="00E42B18" w:rsidRDefault="009629C4">
            <w:pPr>
              <w:pStyle w:val="P68B1DB1-Normal11"/>
              <w:spacing w:before="120" w:after="120"/>
              <w:rPr>
                <w:noProof/>
                <w:szCs w:val="20"/>
              </w:rPr>
            </w:pPr>
            <w:r>
              <w:rPr>
                <w:noProof/>
              </w:rPr>
              <w:t>Vähintään 4000 pk-yritystä sai tukea rahastosta 394/81 1. tammikuuta 2021 alkaen.</w:t>
            </w:r>
          </w:p>
        </w:tc>
      </w:tr>
      <w:tr w:rsidR="00E42B18" w14:paraId="11BF1FAE" w14:textId="77777777">
        <w:trPr>
          <w:trHeight w:val="315"/>
        </w:trPr>
        <w:tc>
          <w:tcPr>
            <w:tcW w:w="1418" w:type="dxa"/>
            <w:shd w:val="clear" w:color="auto" w:fill="C6EFCE"/>
            <w:vAlign w:val="center"/>
          </w:tcPr>
          <w:p w14:paraId="29A0594C" w14:textId="77777777" w:rsidR="00E42B18" w:rsidRDefault="009629C4">
            <w:pPr>
              <w:pStyle w:val="P68B1DB1-Normal11"/>
              <w:spacing w:before="120" w:after="120"/>
              <w:jc w:val="center"/>
              <w:rPr>
                <w:noProof/>
                <w:szCs w:val="20"/>
              </w:rPr>
            </w:pPr>
            <w:r>
              <w:rPr>
                <w:noProof/>
              </w:rPr>
              <w:t>M1C2–28</w:t>
            </w:r>
          </w:p>
        </w:tc>
        <w:tc>
          <w:tcPr>
            <w:tcW w:w="1985" w:type="dxa"/>
            <w:shd w:val="clear" w:color="auto" w:fill="C6EFCE"/>
            <w:vAlign w:val="center"/>
          </w:tcPr>
          <w:p w14:paraId="078E7C33" w14:textId="77777777" w:rsidR="00E42B18" w:rsidRDefault="009629C4">
            <w:pPr>
              <w:pStyle w:val="P68B1DB1-Normal11"/>
              <w:spacing w:before="120" w:after="120"/>
              <w:jc w:val="center"/>
              <w:rPr>
                <w:noProof/>
                <w:szCs w:val="20"/>
              </w:rPr>
            </w:pPr>
            <w:r>
              <w:rPr>
                <w:noProof/>
              </w:rPr>
              <w:t>Investointi 5.2: Toimitusketjujen kilpailukyky ja häiriönsietokyky</w:t>
            </w:r>
          </w:p>
        </w:tc>
        <w:tc>
          <w:tcPr>
            <w:tcW w:w="1275" w:type="dxa"/>
            <w:shd w:val="clear" w:color="auto" w:fill="C6EFCE"/>
            <w:vAlign w:val="center"/>
          </w:tcPr>
          <w:p w14:paraId="003F5DDD" w14:textId="77777777" w:rsidR="00E42B18" w:rsidRDefault="009629C4">
            <w:pPr>
              <w:pStyle w:val="P68B1DB1-Normal11"/>
              <w:spacing w:before="120" w:after="120"/>
              <w:jc w:val="center"/>
              <w:rPr>
                <w:noProof/>
                <w:szCs w:val="20"/>
              </w:rPr>
            </w:pPr>
            <w:r>
              <w:rPr>
                <w:noProof/>
              </w:rPr>
              <w:t>Virstanpylväs</w:t>
            </w:r>
          </w:p>
        </w:tc>
        <w:tc>
          <w:tcPr>
            <w:tcW w:w="1276" w:type="dxa"/>
            <w:shd w:val="clear" w:color="auto" w:fill="C6EFCE"/>
            <w:vAlign w:val="center"/>
          </w:tcPr>
          <w:p w14:paraId="1A0096A4" w14:textId="77777777" w:rsidR="00E42B18" w:rsidRDefault="009629C4">
            <w:pPr>
              <w:pStyle w:val="P68B1DB1-Normal11"/>
              <w:spacing w:before="120" w:after="120"/>
              <w:jc w:val="center"/>
              <w:rPr>
                <w:noProof/>
                <w:szCs w:val="20"/>
              </w:rPr>
            </w:pPr>
            <w:r>
              <w:rPr>
                <w:noProof/>
              </w:rPr>
              <w:t>Kehittämissopimusten investointipolitiikkaa koskevan asetuksen voimaantulo</w:t>
            </w:r>
          </w:p>
        </w:tc>
        <w:tc>
          <w:tcPr>
            <w:tcW w:w="1276" w:type="dxa"/>
            <w:shd w:val="clear" w:color="auto" w:fill="C6EFCE"/>
            <w:vAlign w:val="center"/>
          </w:tcPr>
          <w:p w14:paraId="239FE3A1" w14:textId="77777777" w:rsidR="00E42B18" w:rsidRDefault="009629C4">
            <w:pPr>
              <w:pStyle w:val="P68B1DB1-Normal11"/>
              <w:spacing w:before="120" w:after="120"/>
              <w:jc w:val="center"/>
              <w:rPr>
                <w:noProof/>
                <w:szCs w:val="20"/>
              </w:rPr>
            </w:pPr>
            <w:r>
              <w:rPr>
                <w:noProof/>
              </w:rPr>
              <w:t>Lain säännös, josta käy ilmi asetuksen voimaantulo</w:t>
            </w:r>
          </w:p>
        </w:tc>
        <w:tc>
          <w:tcPr>
            <w:tcW w:w="1134" w:type="dxa"/>
            <w:shd w:val="clear" w:color="auto" w:fill="C6EFCE"/>
            <w:vAlign w:val="center"/>
          </w:tcPr>
          <w:p w14:paraId="47EC555C" w14:textId="77777777" w:rsidR="00E42B18" w:rsidRDefault="009629C4">
            <w:pPr>
              <w:pStyle w:val="P68B1DB1-Normal11"/>
              <w:spacing w:before="120" w:after="120"/>
              <w:jc w:val="center"/>
              <w:rPr>
                <w:noProof/>
                <w:szCs w:val="20"/>
              </w:rPr>
            </w:pPr>
            <w:r>
              <w:rPr>
                <w:noProof/>
              </w:rPr>
              <w:t>EI OLE</w:t>
            </w:r>
          </w:p>
        </w:tc>
        <w:tc>
          <w:tcPr>
            <w:tcW w:w="1163" w:type="dxa"/>
            <w:shd w:val="clear" w:color="auto" w:fill="C6EFCE"/>
            <w:vAlign w:val="center"/>
          </w:tcPr>
          <w:p w14:paraId="50938D7A" w14:textId="77777777" w:rsidR="00E42B18" w:rsidRDefault="009629C4">
            <w:pPr>
              <w:pStyle w:val="P68B1DB1-Normal11"/>
              <w:spacing w:before="120" w:after="120"/>
              <w:jc w:val="center"/>
              <w:rPr>
                <w:noProof/>
                <w:szCs w:val="20"/>
              </w:rPr>
            </w:pPr>
            <w:r>
              <w:rPr>
                <w:noProof/>
              </w:rPr>
              <w:t>EI OLE</w:t>
            </w:r>
          </w:p>
        </w:tc>
        <w:tc>
          <w:tcPr>
            <w:tcW w:w="992" w:type="dxa"/>
            <w:shd w:val="clear" w:color="auto" w:fill="C6EFCE"/>
            <w:vAlign w:val="center"/>
          </w:tcPr>
          <w:p w14:paraId="47A7601B" w14:textId="77777777" w:rsidR="00E42B18" w:rsidRDefault="009629C4">
            <w:pPr>
              <w:pStyle w:val="P68B1DB1-Normal11"/>
              <w:spacing w:before="120" w:after="120"/>
              <w:jc w:val="center"/>
              <w:rPr>
                <w:noProof/>
                <w:szCs w:val="20"/>
              </w:rPr>
            </w:pPr>
            <w:r>
              <w:rPr>
                <w:noProof/>
              </w:rPr>
              <w:t>EI OLE</w:t>
            </w:r>
          </w:p>
        </w:tc>
        <w:tc>
          <w:tcPr>
            <w:tcW w:w="850" w:type="dxa"/>
            <w:shd w:val="clear" w:color="auto" w:fill="C6EFCE"/>
            <w:vAlign w:val="center"/>
          </w:tcPr>
          <w:p w14:paraId="7B1EBD07" w14:textId="77777777" w:rsidR="00E42B18" w:rsidRDefault="009629C4">
            <w:pPr>
              <w:pStyle w:val="P68B1DB1-Normal11"/>
              <w:spacing w:before="120" w:after="120"/>
              <w:jc w:val="center"/>
              <w:rPr>
                <w:noProof/>
                <w:szCs w:val="20"/>
              </w:rPr>
            </w:pPr>
            <w:r>
              <w:rPr>
                <w:noProof/>
              </w:rPr>
              <w:t>Q1</w:t>
            </w:r>
          </w:p>
        </w:tc>
        <w:tc>
          <w:tcPr>
            <w:tcW w:w="709" w:type="dxa"/>
            <w:shd w:val="clear" w:color="auto" w:fill="C6EFCE"/>
            <w:vAlign w:val="center"/>
          </w:tcPr>
          <w:p w14:paraId="6546B1D9" w14:textId="77777777" w:rsidR="00E42B18" w:rsidRDefault="009629C4">
            <w:pPr>
              <w:pStyle w:val="P68B1DB1-Normal11"/>
              <w:spacing w:before="120" w:after="120"/>
              <w:jc w:val="center"/>
              <w:rPr>
                <w:noProof/>
                <w:szCs w:val="20"/>
              </w:rPr>
            </w:pPr>
            <w:r>
              <w:rPr>
                <w:noProof/>
              </w:rPr>
              <w:t>2022</w:t>
            </w:r>
          </w:p>
        </w:tc>
        <w:tc>
          <w:tcPr>
            <w:tcW w:w="3232" w:type="dxa"/>
            <w:shd w:val="clear" w:color="auto" w:fill="C6EFCE"/>
            <w:vAlign w:val="center"/>
          </w:tcPr>
          <w:p w14:paraId="6421B8DB" w14:textId="77777777" w:rsidR="00E42B18" w:rsidRDefault="009629C4">
            <w:pPr>
              <w:pStyle w:val="P68B1DB1-Normal11"/>
              <w:rPr>
                <w:noProof/>
                <w:szCs w:val="20"/>
              </w:rPr>
            </w:pPr>
            <w:r>
              <w:rPr>
                <w:noProof/>
              </w:rPr>
              <w:t>Kehityssopimusten investointipolitiikassa on määriteltävä vähintään: I) tuettujen hankkeiden luonne ja laajuus, joiden on oltava asetuksen (EU) 2021/241 tavoitteiden mukaisia; tehtävänmääritykseen on sisällyttävä tukikelpoisuuskriteerit, joilla varmistetaan tämän toimenpiteen nojalla tuettujen hankkeiden ”ei merkittävää haittaa” -periaatetta koskevien teknisten ohjeiden (2021/C58/01) noudattaminen käyttämällä kestävyysarviointia, poissulkemisluetteloa ja vaatimusta asiaa koskevan EU:n ja kansallisen ympäristölainsäädännön noudattamisesta, ii) tuettujen toimien tyyppi, iii) kohteena olevat tuensaajat ja niiden tukikelpoisuuskriteerit, iv) säännökset, joiden mukaan mahdolliset takaisin saadut varat investoidaan uudelleen samankaltaisiin toimintapoliittisiin tavoitteisiin myös vuoden 2026 jälkeen, jos niitä ei käytetä uudelleen asetuksen (EU) 2021/241 nojalla myönnettyjen lainojen korkotasoihin.</w:t>
            </w:r>
          </w:p>
          <w:p w14:paraId="7CBDA064" w14:textId="77777777" w:rsidR="00E42B18" w:rsidRDefault="009629C4">
            <w:pPr>
              <w:pStyle w:val="P68B1DB1-Normal11"/>
              <w:rPr>
                <w:noProof/>
                <w:szCs w:val="20"/>
              </w:rPr>
            </w:pPr>
            <w:r>
              <w:rPr>
                <w:noProof/>
              </w:rPr>
              <w:t>Toimeksiannon saaneen yhteisön tai rahoituksen välittäjän kanssa tehdyssä sopimuksessa on edellytettävä ”ei merkittävää haittaa” -periaatetta koskevien teknisten ohjeiden (2021/C58/01) käyttöä.</w:t>
            </w:r>
          </w:p>
        </w:tc>
      </w:tr>
      <w:tr w:rsidR="00E42B18" w14:paraId="2CFBC3AF" w14:textId="77777777">
        <w:trPr>
          <w:trHeight w:val="315"/>
        </w:trPr>
        <w:tc>
          <w:tcPr>
            <w:tcW w:w="1418" w:type="dxa"/>
            <w:shd w:val="clear" w:color="auto" w:fill="C6EFCE"/>
            <w:vAlign w:val="center"/>
          </w:tcPr>
          <w:p w14:paraId="6C2F19B8" w14:textId="77777777" w:rsidR="00E42B18" w:rsidRDefault="009629C4">
            <w:pPr>
              <w:pStyle w:val="P68B1DB1-Normal11"/>
              <w:spacing w:before="120" w:after="120"/>
              <w:jc w:val="center"/>
              <w:rPr>
                <w:noProof/>
                <w:szCs w:val="20"/>
              </w:rPr>
            </w:pPr>
            <w:r>
              <w:rPr>
                <w:noProof/>
              </w:rPr>
              <w:t>M1C2–29</w:t>
            </w:r>
          </w:p>
        </w:tc>
        <w:tc>
          <w:tcPr>
            <w:tcW w:w="1985" w:type="dxa"/>
            <w:shd w:val="clear" w:color="auto" w:fill="C6EFCE"/>
            <w:vAlign w:val="center"/>
          </w:tcPr>
          <w:p w14:paraId="65FA9AEE" w14:textId="77777777" w:rsidR="00E42B18" w:rsidRDefault="009629C4">
            <w:pPr>
              <w:pStyle w:val="P68B1DB1-Normal11"/>
              <w:spacing w:before="120" w:after="120"/>
              <w:jc w:val="center"/>
              <w:rPr>
                <w:noProof/>
                <w:szCs w:val="20"/>
              </w:rPr>
            </w:pPr>
            <w:r>
              <w:rPr>
                <w:noProof/>
              </w:rPr>
              <w:t>Investointi 5.2: Toimitusketjujen kilpailukyky ja häiriönsietokyky</w:t>
            </w:r>
          </w:p>
        </w:tc>
        <w:tc>
          <w:tcPr>
            <w:tcW w:w="1275" w:type="dxa"/>
            <w:shd w:val="clear" w:color="auto" w:fill="C6EFCE"/>
            <w:vAlign w:val="center"/>
          </w:tcPr>
          <w:p w14:paraId="5A169CA9" w14:textId="77777777" w:rsidR="00E42B18" w:rsidRDefault="009629C4">
            <w:pPr>
              <w:pStyle w:val="P68B1DB1-Normal11"/>
              <w:spacing w:before="120" w:after="120"/>
              <w:jc w:val="center"/>
              <w:rPr>
                <w:noProof/>
                <w:szCs w:val="20"/>
              </w:rPr>
            </w:pPr>
            <w:r>
              <w:rPr>
                <w:noProof/>
              </w:rPr>
              <w:t>Kohde</w:t>
            </w:r>
          </w:p>
        </w:tc>
        <w:tc>
          <w:tcPr>
            <w:tcW w:w="1276" w:type="dxa"/>
            <w:shd w:val="clear" w:color="auto" w:fill="C6EFCE"/>
            <w:vAlign w:val="center"/>
          </w:tcPr>
          <w:p w14:paraId="3084F76E" w14:textId="77777777" w:rsidR="00E42B18" w:rsidRDefault="009629C4">
            <w:pPr>
              <w:pStyle w:val="P68B1DB1-Normal11"/>
              <w:spacing w:before="120" w:after="120"/>
              <w:jc w:val="center"/>
              <w:rPr>
                <w:noProof/>
                <w:szCs w:val="20"/>
              </w:rPr>
            </w:pPr>
            <w:r>
              <w:rPr>
                <w:noProof/>
              </w:rPr>
              <w:t>Kehityssopimukset hyväksytty</w:t>
            </w:r>
          </w:p>
        </w:tc>
        <w:tc>
          <w:tcPr>
            <w:tcW w:w="1276" w:type="dxa"/>
            <w:shd w:val="clear" w:color="auto" w:fill="C6EFCE"/>
            <w:vAlign w:val="center"/>
          </w:tcPr>
          <w:p w14:paraId="78151059" w14:textId="77777777" w:rsidR="00E42B18" w:rsidRDefault="009629C4">
            <w:pPr>
              <w:pStyle w:val="P68B1DB1-Normal11"/>
              <w:jc w:val="center"/>
              <w:rPr>
                <w:noProof/>
                <w:szCs w:val="20"/>
              </w:rPr>
            </w:pPr>
            <w:r>
              <w:rPr>
                <w:noProof/>
              </w:rPr>
              <w:t>EI OLE</w:t>
            </w:r>
          </w:p>
        </w:tc>
        <w:tc>
          <w:tcPr>
            <w:tcW w:w="1134" w:type="dxa"/>
            <w:shd w:val="clear" w:color="auto" w:fill="C6EFCE"/>
            <w:vAlign w:val="center"/>
          </w:tcPr>
          <w:p w14:paraId="5B211AEB" w14:textId="77777777" w:rsidR="00E42B18" w:rsidRDefault="009629C4">
            <w:pPr>
              <w:pStyle w:val="P68B1DB1-Normal11"/>
              <w:jc w:val="center"/>
              <w:rPr>
                <w:noProof/>
                <w:szCs w:val="20"/>
              </w:rPr>
            </w:pPr>
            <w:r>
              <w:rPr>
                <w:noProof/>
              </w:rPr>
              <w:t>Numero</w:t>
            </w:r>
          </w:p>
        </w:tc>
        <w:tc>
          <w:tcPr>
            <w:tcW w:w="1163" w:type="dxa"/>
            <w:shd w:val="clear" w:color="auto" w:fill="C6EFCE"/>
            <w:vAlign w:val="center"/>
          </w:tcPr>
          <w:p w14:paraId="20129B7D" w14:textId="77777777" w:rsidR="00E42B18" w:rsidRDefault="009629C4">
            <w:pPr>
              <w:pStyle w:val="P68B1DB1-Normal11"/>
              <w:jc w:val="center"/>
              <w:rPr>
                <w:noProof/>
              </w:rPr>
            </w:pPr>
            <w:r>
              <w:rPr>
                <w:noProof/>
              </w:rPr>
              <w:t>0</w:t>
            </w:r>
          </w:p>
        </w:tc>
        <w:tc>
          <w:tcPr>
            <w:tcW w:w="992" w:type="dxa"/>
            <w:shd w:val="clear" w:color="auto" w:fill="C6EFCE"/>
            <w:vAlign w:val="center"/>
          </w:tcPr>
          <w:p w14:paraId="04E3D664" w14:textId="77777777" w:rsidR="00E42B18" w:rsidRDefault="009629C4">
            <w:pPr>
              <w:pStyle w:val="P68B1DB1-Normal11"/>
              <w:jc w:val="center"/>
              <w:rPr>
                <w:noProof/>
              </w:rPr>
            </w:pPr>
            <w:r>
              <w:rPr>
                <w:noProof/>
              </w:rPr>
              <w:t>40</w:t>
            </w:r>
          </w:p>
        </w:tc>
        <w:tc>
          <w:tcPr>
            <w:tcW w:w="850" w:type="dxa"/>
            <w:shd w:val="clear" w:color="auto" w:fill="C6EFCE"/>
            <w:vAlign w:val="center"/>
          </w:tcPr>
          <w:p w14:paraId="33A474D9" w14:textId="77777777" w:rsidR="00E42B18" w:rsidRDefault="009629C4">
            <w:pPr>
              <w:pStyle w:val="P68B1DB1-Normal11"/>
              <w:jc w:val="center"/>
              <w:rPr>
                <w:noProof/>
                <w:szCs w:val="20"/>
              </w:rPr>
            </w:pPr>
            <w:r>
              <w:rPr>
                <w:noProof/>
              </w:rPr>
              <w:t>Q4</w:t>
            </w:r>
          </w:p>
        </w:tc>
        <w:tc>
          <w:tcPr>
            <w:tcW w:w="709" w:type="dxa"/>
            <w:shd w:val="clear" w:color="auto" w:fill="C6EFCE"/>
            <w:vAlign w:val="center"/>
          </w:tcPr>
          <w:p w14:paraId="47237D5A" w14:textId="77777777" w:rsidR="00E42B18" w:rsidRDefault="009629C4">
            <w:pPr>
              <w:pStyle w:val="P68B1DB1-Normal11"/>
              <w:spacing w:before="120" w:after="120"/>
              <w:jc w:val="center"/>
              <w:rPr>
                <w:noProof/>
                <w:szCs w:val="20"/>
              </w:rPr>
            </w:pPr>
            <w:r>
              <w:rPr>
                <w:noProof/>
              </w:rPr>
              <w:t>2023</w:t>
            </w:r>
          </w:p>
        </w:tc>
        <w:tc>
          <w:tcPr>
            <w:tcW w:w="3232" w:type="dxa"/>
            <w:shd w:val="clear" w:color="auto" w:fill="C6EFCE"/>
            <w:vAlign w:val="center"/>
          </w:tcPr>
          <w:p w14:paraId="378CBB57" w14:textId="77777777" w:rsidR="00E42B18" w:rsidRDefault="009629C4">
            <w:pPr>
              <w:pStyle w:val="P68B1DB1-Normal11"/>
              <w:spacing w:before="120" w:after="120"/>
              <w:rPr>
                <w:noProof/>
                <w:szCs w:val="20"/>
              </w:rPr>
            </w:pPr>
            <w:r>
              <w:rPr>
                <w:noProof/>
              </w:rPr>
              <w:t>Vähintään 40 hyväksyttyä kehityssopimusta investointipolitiikkansa mukaisesti. Tavoitteen tyydyttävä saavuttaminen riippuu myös vähintään 1500 miljoonan euron investointien aktivoinnista.</w:t>
            </w:r>
          </w:p>
        </w:tc>
      </w:tr>
      <w:tr w:rsidR="00E42B18" w14:paraId="7340B532" w14:textId="77777777">
        <w:trPr>
          <w:trHeight w:val="315"/>
        </w:trPr>
        <w:tc>
          <w:tcPr>
            <w:tcW w:w="1418" w:type="dxa"/>
            <w:shd w:val="clear" w:color="auto" w:fill="C6EFCE"/>
            <w:vAlign w:val="center"/>
          </w:tcPr>
          <w:p w14:paraId="518EEA90" w14:textId="77777777" w:rsidR="00E42B18" w:rsidRDefault="009629C4">
            <w:pPr>
              <w:pStyle w:val="P68B1DB1-Normal11"/>
              <w:spacing w:before="120" w:after="120"/>
              <w:jc w:val="center"/>
              <w:rPr>
                <w:noProof/>
              </w:rPr>
            </w:pPr>
            <w:r>
              <w:rPr>
                <w:noProof/>
              </w:rPr>
              <w:t>M1C2–30</w:t>
            </w:r>
          </w:p>
        </w:tc>
        <w:tc>
          <w:tcPr>
            <w:tcW w:w="1985" w:type="dxa"/>
            <w:shd w:val="clear" w:color="auto" w:fill="C6EFCE"/>
            <w:vAlign w:val="center"/>
          </w:tcPr>
          <w:p w14:paraId="72C975EB" w14:textId="77777777" w:rsidR="00E42B18" w:rsidRDefault="009629C4">
            <w:pPr>
              <w:pStyle w:val="P68B1DB1-Normal11"/>
              <w:spacing w:before="120" w:after="120"/>
              <w:jc w:val="center"/>
              <w:rPr>
                <w:noProof/>
              </w:rPr>
            </w:pPr>
            <w:r>
              <w:rPr>
                <w:noProof/>
              </w:rPr>
              <w:t>Investointi 7: Kansallinen yhteenliitettävyysrahasto</w:t>
            </w:r>
          </w:p>
        </w:tc>
        <w:tc>
          <w:tcPr>
            <w:tcW w:w="1275" w:type="dxa"/>
            <w:shd w:val="clear" w:color="auto" w:fill="C6EFCE"/>
            <w:vAlign w:val="center"/>
          </w:tcPr>
          <w:p w14:paraId="35BDAFE2" w14:textId="77777777" w:rsidR="00E42B18" w:rsidRDefault="009629C4">
            <w:pPr>
              <w:pStyle w:val="P68B1DB1-Normal11"/>
              <w:spacing w:before="120" w:after="120"/>
              <w:jc w:val="center"/>
              <w:rPr>
                <w:noProof/>
              </w:rPr>
            </w:pPr>
            <w:r>
              <w:rPr>
                <w:noProof/>
              </w:rPr>
              <w:t>Virstanpylväs</w:t>
            </w:r>
          </w:p>
        </w:tc>
        <w:tc>
          <w:tcPr>
            <w:tcW w:w="1276" w:type="dxa"/>
            <w:shd w:val="clear" w:color="auto" w:fill="C6EFCE"/>
          </w:tcPr>
          <w:p w14:paraId="49114027" w14:textId="77777777" w:rsidR="00E42B18" w:rsidRDefault="009629C4">
            <w:pPr>
              <w:pStyle w:val="P68B1DB1-Normal11"/>
              <w:spacing w:before="120" w:after="120"/>
              <w:jc w:val="center"/>
              <w:rPr>
                <w:noProof/>
              </w:rPr>
            </w:pPr>
            <w:r>
              <w:rPr>
                <w:noProof/>
              </w:rPr>
              <w:t>Täytäntöönpanosopimus</w:t>
            </w:r>
          </w:p>
        </w:tc>
        <w:tc>
          <w:tcPr>
            <w:tcW w:w="1276" w:type="dxa"/>
            <w:shd w:val="clear" w:color="auto" w:fill="C6EFCE"/>
          </w:tcPr>
          <w:p w14:paraId="35D6E3D9" w14:textId="77777777" w:rsidR="00E42B18" w:rsidRDefault="009629C4">
            <w:pPr>
              <w:pStyle w:val="P68B1DB1-Normal11"/>
              <w:jc w:val="center"/>
              <w:rPr>
                <w:noProof/>
              </w:rPr>
            </w:pPr>
            <w:r>
              <w:rPr>
                <w:noProof/>
              </w:rPr>
              <w:t>Täytäntöönpanosopimuksen voimaantulo</w:t>
            </w:r>
          </w:p>
        </w:tc>
        <w:tc>
          <w:tcPr>
            <w:tcW w:w="1134" w:type="dxa"/>
            <w:shd w:val="clear" w:color="auto" w:fill="C6EFCE"/>
            <w:vAlign w:val="center"/>
          </w:tcPr>
          <w:p w14:paraId="0FEFC0D8" w14:textId="77777777" w:rsidR="00E42B18" w:rsidRDefault="009629C4">
            <w:pPr>
              <w:pStyle w:val="P68B1DB1-Normal11"/>
              <w:jc w:val="center"/>
              <w:rPr>
                <w:noProof/>
              </w:rPr>
            </w:pPr>
            <w:r>
              <w:rPr>
                <w:noProof/>
              </w:rPr>
              <w:t>EI OLE</w:t>
            </w:r>
          </w:p>
        </w:tc>
        <w:tc>
          <w:tcPr>
            <w:tcW w:w="1163" w:type="dxa"/>
            <w:shd w:val="clear" w:color="auto" w:fill="C6EFCE"/>
            <w:vAlign w:val="center"/>
          </w:tcPr>
          <w:p w14:paraId="7BC5DD1B" w14:textId="77777777" w:rsidR="00E42B18" w:rsidRDefault="009629C4">
            <w:pPr>
              <w:pStyle w:val="P68B1DB1-Normal11"/>
              <w:jc w:val="center"/>
              <w:rPr>
                <w:noProof/>
              </w:rPr>
            </w:pPr>
            <w:r>
              <w:rPr>
                <w:noProof/>
              </w:rPr>
              <w:t>EI OLE</w:t>
            </w:r>
          </w:p>
        </w:tc>
        <w:tc>
          <w:tcPr>
            <w:tcW w:w="992" w:type="dxa"/>
            <w:shd w:val="clear" w:color="auto" w:fill="C6EFCE"/>
            <w:vAlign w:val="center"/>
          </w:tcPr>
          <w:p w14:paraId="70C04F50" w14:textId="77777777" w:rsidR="00E42B18" w:rsidRDefault="009629C4">
            <w:pPr>
              <w:pStyle w:val="P68B1DB1-Normal11"/>
              <w:jc w:val="center"/>
              <w:rPr>
                <w:noProof/>
              </w:rPr>
            </w:pPr>
            <w:r>
              <w:rPr>
                <w:noProof/>
              </w:rPr>
              <w:t>EI OLE</w:t>
            </w:r>
          </w:p>
        </w:tc>
        <w:tc>
          <w:tcPr>
            <w:tcW w:w="850" w:type="dxa"/>
            <w:shd w:val="clear" w:color="auto" w:fill="C6EFCE"/>
            <w:vAlign w:val="center"/>
          </w:tcPr>
          <w:p w14:paraId="1CAFAFAB" w14:textId="77777777" w:rsidR="00E42B18" w:rsidRDefault="009629C4">
            <w:pPr>
              <w:pStyle w:val="P68B1DB1-Normal11"/>
              <w:jc w:val="center"/>
              <w:rPr>
                <w:noProof/>
              </w:rPr>
            </w:pPr>
            <w:r>
              <w:rPr>
                <w:noProof/>
              </w:rPr>
              <w:t>Q4</w:t>
            </w:r>
          </w:p>
        </w:tc>
        <w:tc>
          <w:tcPr>
            <w:tcW w:w="709" w:type="dxa"/>
            <w:shd w:val="clear" w:color="auto" w:fill="C6EFCE"/>
            <w:vAlign w:val="center"/>
          </w:tcPr>
          <w:p w14:paraId="1AF2F37D" w14:textId="77777777" w:rsidR="00E42B18" w:rsidRDefault="009629C4">
            <w:pPr>
              <w:pStyle w:val="P68B1DB1-Normal11"/>
              <w:spacing w:before="120" w:after="120"/>
              <w:jc w:val="center"/>
              <w:rPr>
                <w:noProof/>
              </w:rPr>
            </w:pPr>
            <w:r>
              <w:rPr>
                <w:noProof/>
              </w:rPr>
              <w:t>2025</w:t>
            </w:r>
          </w:p>
        </w:tc>
        <w:tc>
          <w:tcPr>
            <w:tcW w:w="3232" w:type="dxa"/>
            <w:shd w:val="clear" w:color="auto" w:fill="C6EFCE"/>
          </w:tcPr>
          <w:p w14:paraId="7573B702" w14:textId="77777777" w:rsidR="00E42B18" w:rsidRDefault="009629C4">
            <w:pPr>
              <w:pStyle w:val="P68B1DB1-Normal11"/>
              <w:spacing w:before="120" w:after="120"/>
              <w:rPr>
                <w:noProof/>
              </w:rPr>
            </w:pPr>
            <w:r>
              <w:rPr>
                <w:noProof/>
              </w:rPr>
              <w:t>Täytäntöönpanosopimus tulee voimaan.</w:t>
            </w:r>
          </w:p>
        </w:tc>
      </w:tr>
      <w:tr w:rsidR="00E42B18" w14:paraId="5B1E8EC8" w14:textId="77777777">
        <w:trPr>
          <w:trHeight w:val="315"/>
        </w:trPr>
        <w:tc>
          <w:tcPr>
            <w:tcW w:w="1418" w:type="dxa"/>
            <w:shd w:val="clear" w:color="auto" w:fill="C6EFCE"/>
            <w:vAlign w:val="center"/>
          </w:tcPr>
          <w:p w14:paraId="1474278B" w14:textId="77777777" w:rsidR="00E42B18" w:rsidRDefault="009629C4">
            <w:pPr>
              <w:pStyle w:val="P68B1DB1-Normal11"/>
              <w:spacing w:before="120" w:after="120"/>
              <w:jc w:val="center"/>
              <w:rPr>
                <w:noProof/>
              </w:rPr>
            </w:pPr>
            <w:r>
              <w:rPr>
                <w:noProof/>
              </w:rPr>
              <w:t>M1C2–31</w:t>
            </w:r>
          </w:p>
        </w:tc>
        <w:tc>
          <w:tcPr>
            <w:tcW w:w="1985" w:type="dxa"/>
            <w:shd w:val="clear" w:color="auto" w:fill="C6EFCE"/>
            <w:vAlign w:val="center"/>
          </w:tcPr>
          <w:p w14:paraId="471DB405" w14:textId="77777777" w:rsidR="00E42B18" w:rsidRDefault="009629C4">
            <w:pPr>
              <w:pStyle w:val="P68B1DB1-Normal11"/>
              <w:spacing w:before="120" w:after="120"/>
              <w:jc w:val="center"/>
              <w:rPr>
                <w:noProof/>
              </w:rPr>
            </w:pPr>
            <w:r>
              <w:rPr>
                <w:noProof/>
              </w:rPr>
              <w:t>Investointi 7: Kansallinen yhteenliitettävyysrahasto</w:t>
            </w:r>
          </w:p>
        </w:tc>
        <w:tc>
          <w:tcPr>
            <w:tcW w:w="1275" w:type="dxa"/>
            <w:shd w:val="clear" w:color="auto" w:fill="C6EFCE"/>
            <w:vAlign w:val="center"/>
          </w:tcPr>
          <w:p w14:paraId="59900A51" w14:textId="77777777" w:rsidR="00E42B18" w:rsidRDefault="009629C4">
            <w:pPr>
              <w:pStyle w:val="P68B1DB1-Normal11"/>
              <w:spacing w:before="120" w:after="120"/>
              <w:jc w:val="center"/>
              <w:rPr>
                <w:noProof/>
              </w:rPr>
            </w:pPr>
            <w:r>
              <w:rPr>
                <w:noProof/>
              </w:rPr>
              <w:t>Virstanpylväs</w:t>
            </w:r>
          </w:p>
        </w:tc>
        <w:tc>
          <w:tcPr>
            <w:tcW w:w="1276" w:type="dxa"/>
            <w:shd w:val="clear" w:color="auto" w:fill="C6EFCE"/>
          </w:tcPr>
          <w:p w14:paraId="05E8B1DA" w14:textId="77777777" w:rsidR="00E42B18" w:rsidRDefault="009629C4">
            <w:pPr>
              <w:pStyle w:val="P68B1DB1-Normal11"/>
              <w:spacing w:before="120" w:after="120"/>
              <w:jc w:val="center"/>
              <w:rPr>
                <w:noProof/>
              </w:rPr>
            </w:pPr>
            <w:r>
              <w:rPr>
                <w:noProof/>
              </w:rPr>
              <w:t>Lopullisten edunsaajien kanssa allekirjoitetut oikeudelliset sopimukset ja investointien loppuun saattaminen</w:t>
            </w:r>
          </w:p>
        </w:tc>
        <w:tc>
          <w:tcPr>
            <w:tcW w:w="1276" w:type="dxa"/>
            <w:shd w:val="clear" w:color="auto" w:fill="C6EFCE"/>
          </w:tcPr>
          <w:p w14:paraId="4AFBA54D" w14:textId="77777777" w:rsidR="00E42B18" w:rsidRDefault="009629C4">
            <w:pPr>
              <w:pStyle w:val="P68B1DB1-Normal11"/>
              <w:jc w:val="center"/>
              <w:rPr>
                <w:noProof/>
              </w:rPr>
            </w:pPr>
            <w:r>
              <w:rPr>
                <w:noProof/>
              </w:rPr>
              <w:t>Allekirjoitetut oikeudelliset sopimukset ja siirtotodistus</w:t>
            </w:r>
          </w:p>
        </w:tc>
        <w:tc>
          <w:tcPr>
            <w:tcW w:w="1134" w:type="dxa"/>
            <w:shd w:val="clear" w:color="auto" w:fill="C6EFCE"/>
            <w:vAlign w:val="center"/>
          </w:tcPr>
          <w:p w14:paraId="33016226" w14:textId="77777777" w:rsidR="00E42B18" w:rsidRDefault="009629C4">
            <w:pPr>
              <w:pStyle w:val="P68B1DB1-Normal11"/>
              <w:jc w:val="center"/>
              <w:rPr>
                <w:noProof/>
              </w:rPr>
            </w:pPr>
            <w:r>
              <w:rPr>
                <w:noProof/>
              </w:rPr>
              <w:t>EI OLE</w:t>
            </w:r>
          </w:p>
        </w:tc>
        <w:tc>
          <w:tcPr>
            <w:tcW w:w="1163" w:type="dxa"/>
            <w:shd w:val="clear" w:color="auto" w:fill="C6EFCE"/>
            <w:vAlign w:val="center"/>
          </w:tcPr>
          <w:p w14:paraId="571F2A37" w14:textId="77777777" w:rsidR="00E42B18" w:rsidRDefault="009629C4">
            <w:pPr>
              <w:pStyle w:val="P68B1DB1-Normal11"/>
              <w:jc w:val="center"/>
              <w:rPr>
                <w:noProof/>
              </w:rPr>
            </w:pPr>
            <w:r>
              <w:rPr>
                <w:noProof/>
              </w:rPr>
              <w:t>EI OLE</w:t>
            </w:r>
          </w:p>
        </w:tc>
        <w:tc>
          <w:tcPr>
            <w:tcW w:w="992" w:type="dxa"/>
            <w:shd w:val="clear" w:color="auto" w:fill="C6EFCE"/>
            <w:vAlign w:val="center"/>
          </w:tcPr>
          <w:p w14:paraId="61A354B9" w14:textId="77777777" w:rsidR="00E42B18" w:rsidRDefault="009629C4">
            <w:pPr>
              <w:pStyle w:val="P68B1DB1-Normal11"/>
              <w:jc w:val="center"/>
              <w:rPr>
                <w:noProof/>
              </w:rPr>
            </w:pPr>
            <w:r>
              <w:rPr>
                <w:noProof/>
              </w:rPr>
              <w:t>EI OLE</w:t>
            </w:r>
          </w:p>
        </w:tc>
        <w:tc>
          <w:tcPr>
            <w:tcW w:w="850" w:type="dxa"/>
            <w:shd w:val="clear" w:color="auto" w:fill="C6EFCE"/>
            <w:vAlign w:val="center"/>
          </w:tcPr>
          <w:p w14:paraId="51F627C1" w14:textId="77777777" w:rsidR="00E42B18" w:rsidRDefault="009629C4">
            <w:pPr>
              <w:pStyle w:val="P68B1DB1-Normal11"/>
              <w:jc w:val="center"/>
              <w:rPr>
                <w:noProof/>
              </w:rPr>
            </w:pPr>
            <w:r>
              <w:rPr>
                <w:noProof/>
              </w:rPr>
              <w:t>Q2</w:t>
            </w:r>
          </w:p>
        </w:tc>
        <w:tc>
          <w:tcPr>
            <w:tcW w:w="709" w:type="dxa"/>
            <w:shd w:val="clear" w:color="auto" w:fill="C6EFCE"/>
            <w:vAlign w:val="center"/>
          </w:tcPr>
          <w:p w14:paraId="6B5FFC30" w14:textId="77777777" w:rsidR="00E42B18" w:rsidRDefault="009629C4">
            <w:pPr>
              <w:pStyle w:val="P68B1DB1-Normal11"/>
              <w:spacing w:before="120" w:after="120"/>
              <w:jc w:val="center"/>
              <w:rPr>
                <w:noProof/>
              </w:rPr>
            </w:pPr>
            <w:r>
              <w:rPr>
                <w:noProof/>
              </w:rPr>
              <w:t>2026</w:t>
            </w:r>
          </w:p>
        </w:tc>
        <w:tc>
          <w:tcPr>
            <w:tcW w:w="3232" w:type="dxa"/>
            <w:shd w:val="clear" w:color="auto" w:fill="C6EFCE"/>
          </w:tcPr>
          <w:p w14:paraId="5C5ABEEA" w14:textId="77777777" w:rsidR="00E42B18" w:rsidRDefault="009629C4">
            <w:pPr>
              <w:pStyle w:val="P68B1DB1-Normal11"/>
              <w:spacing w:line="240" w:lineRule="auto"/>
              <w:jc w:val="both"/>
              <w:rPr>
                <w:noProof/>
              </w:rPr>
            </w:pPr>
            <w:r>
              <w:rPr>
                <w:noProof/>
              </w:rPr>
              <w:t xml:space="preserve">Invitalia S.p.A. on tehnyt lopullisten edunsaajien kanssa oikeudellisia avustussopimuksia määrästä, joka tarvitaan, jotta elpymis- ja palautumistukivälineen investoinneista voidaan käyttää 100 prosenttia järjestelmään (hallinnointipalkkiot huomioon ottaen). </w:t>
            </w:r>
          </w:p>
          <w:p w14:paraId="205AEC0E" w14:textId="0784C4E8" w:rsidR="00E42B18" w:rsidRDefault="009629C4">
            <w:pPr>
              <w:pStyle w:val="P68B1DB1-Normal11"/>
              <w:spacing w:before="120" w:after="120"/>
              <w:rPr>
                <w:noProof/>
              </w:rPr>
            </w:pPr>
            <w:r>
              <w:rPr>
                <w:noProof/>
              </w:rPr>
              <w:t>Italia siirtää 733402818 euroa Invitalia S.p.A:lle tukivälinettä varten.</w:t>
            </w:r>
          </w:p>
        </w:tc>
      </w:tr>
      <w:tr w:rsidR="00E42B18" w14:paraId="098ED12A" w14:textId="77777777">
        <w:trPr>
          <w:trHeight w:val="315"/>
        </w:trPr>
        <w:tc>
          <w:tcPr>
            <w:tcW w:w="1418" w:type="dxa"/>
            <w:shd w:val="clear" w:color="auto" w:fill="C6EFCE"/>
            <w:vAlign w:val="center"/>
          </w:tcPr>
          <w:p w14:paraId="3E586340" w14:textId="77777777" w:rsidR="00E42B18" w:rsidRDefault="009629C4">
            <w:pPr>
              <w:pStyle w:val="P68B1DB1-Normal11"/>
              <w:spacing w:before="120" w:after="120"/>
              <w:jc w:val="center"/>
              <w:rPr>
                <w:noProof/>
              </w:rPr>
            </w:pPr>
            <w:r>
              <w:rPr>
                <w:noProof/>
              </w:rPr>
              <w:t>M1C2–32</w:t>
            </w:r>
          </w:p>
        </w:tc>
        <w:tc>
          <w:tcPr>
            <w:tcW w:w="1985" w:type="dxa"/>
            <w:shd w:val="clear" w:color="auto" w:fill="C6EFCE"/>
            <w:vAlign w:val="center"/>
          </w:tcPr>
          <w:p w14:paraId="5FE46ADC" w14:textId="77777777" w:rsidR="00E42B18" w:rsidRDefault="009629C4">
            <w:pPr>
              <w:pStyle w:val="P68B1DB1-Normal11"/>
              <w:spacing w:before="120" w:after="120"/>
              <w:jc w:val="center"/>
              <w:rPr>
                <w:noProof/>
              </w:rPr>
            </w:pPr>
            <w:r>
              <w:rPr>
                <w:noProof/>
              </w:rPr>
              <w:t>Investointi 8: InvestEU-ohjelman jäsenvaltiojako</w:t>
            </w:r>
          </w:p>
          <w:p w14:paraId="58E4673E" w14:textId="77777777" w:rsidR="00E42B18" w:rsidRDefault="00E42B18">
            <w:pPr>
              <w:spacing w:before="120" w:after="120"/>
              <w:jc w:val="center"/>
              <w:rPr>
                <w:rFonts w:ascii="Arial Narrow" w:hAnsi="Arial Narrow"/>
                <w:noProof/>
                <w:color w:val="006100"/>
                <w:sz w:val="20"/>
              </w:rPr>
            </w:pPr>
          </w:p>
        </w:tc>
        <w:tc>
          <w:tcPr>
            <w:tcW w:w="1275" w:type="dxa"/>
            <w:shd w:val="clear" w:color="auto" w:fill="C6EFCE"/>
            <w:vAlign w:val="center"/>
          </w:tcPr>
          <w:p w14:paraId="4D598FE3" w14:textId="77777777" w:rsidR="00E42B18" w:rsidRDefault="009629C4">
            <w:pPr>
              <w:pStyle w:val="P68B1DB1-Normal11"/>
              <w:spacing w:before="120" w:after="120"/>
              <w:jc w:val="center"/>
              <w:rPr>
                <w:noProof/>
              </w:rPr>
            </w:pPr>
            <w:r>
              <w:rPr>
                <w:noProof/>
              </w:rPr>
              <w:t>Virstanpylväs</w:t>
            </w:r>
          </w:p>
        </w:tc>
        <w:tc>
          <w:tcPr>
            <w:tcW w:w="1276" w:type="dxa"/>
            <w:shd w:val="clear" w:color="auto" w:fill="C6EFCE"/>
            <w:vAlign w:val="center"/>
          </w:tcPr>
          <w:p w14:paraId="7B4DAB20" w14:textId="77777777" w:rsidR="00E42B18" w:rsidRDefault="009629C4">
            <w:pPr>
              <w:pStyle w:val="P68B1DB1-Normal11"/>
              <w:spacing w:before="120" w:after="120"/>
              <w:jc w:val="center"/>
              <w:rPr>
                <w:noProof/>
              </w:rPr>
            </w:pPr>
            <w:r>
              <w:rPr>
                <w:noProof/>
              </w:rPr>
              <w:t>Italian hallituksen ja Euroopan komission välisen rahoitusosuussopimuksen allekirjoittaminen</w:t>
            </w:r>
          </w:p>
        </w:tc>
        <w:tc>
          <w:tcPr>
            <w:tcW w:w="1276" w:type="dxa"/>
            <w:shd w:val="clear" w:color="auto" w:fill="C6EFCE"/>
            <w:vAlign w:val="center"/>
          </w:tcPr>
          <w:p w14:paraId="6DAAE1D5" w14:textId="77777777" w:rsidR="00E42B18" w:rsidRDefault="009629C4">
            <w:pPr>
              <w:pStyle w:val="P68B1DB1-Normal11"/>
              <w:jc w:val="center"/>
              <w:rPr>
                <w:noProof/>
              </w:rPr>
            </w:pPr>
            <w:r>
              <w:rPr>
                <w:noProof/>
              </w:rPr>
              <w:t>Rahoitusosuussopimuksen allekirjoittaminen</w:t>
            </w:r>
          </w:p>
        </w:tc>
        <w:tc>
          <w:tcPr>
            <w:tcW w:w="1134" w:type="dxa"/>
            <w:shd w:val="clear" w:color="auto" w:fill="C6EFCE"/>
            <w:vAlign w:val="center"/>
          </w:tcPr>
          <w:p w14:paraId="4FA6A848" w14:textId="77777777" w:rsidR="00E42B18" w:rsidRDefault="009629C4">
            <w:pPr>
              <w:pStyle w:val="P68B1DB1-Normal11"/>
              <w:jc w:val="center"/>
              <w:rPr>
                <w:noProof/>
              </w:rPr>
            </w:pPr>
            <w:r>
              <w:rPr>
                <w:noProof/>
              </w:rPr>
              <w:t>EI OLE</w:t>
            </w:r>
          </w:p>
        </w:tc>
        <w:tc>
          <w:tcPr>
            <w:tcW w:w="1163" w:type="dxa"/>
            <w:shd w:val="clear" w:color="auto" w:fill="C6EFCE"/>
            <w:vAlign w:val="center"/>
          </w:tcPr>
          <w:p w14:paraId="4792AE65" w14:textId="77777777" w:rsidR="00E42B18" w:rsidRDefault="009629C4">
            <w:pPr>
              <w:pStyle w:val="P68B1DB1-Normal11"/>
              <w:spacing w:before="120" w:after="120"/>
              <w:jc w:val="center"/>
              <w:rPr>
                <w:noProof/>
              </w:rPr>
            </w:pPr>
            <w:r>
              <w:rPr>
                <w:noProof/>
              </w:rPr>
              <w:t>EI OLE</w:t>
            </w:r>
          </w:p>
        </w:tc>
        <w:tc>
          <w:tcPr>
            <w:tcW w:w="992" w:type="dxa"/>
            <w:shd w:val="clear" w:color="auto" w:fill="C6EFCE"/>
            <w:vAlign w:val="center"/>
          </w:tcPr>
          <w:p w14:paraId="6139232B" w14:textId="77777777" w:rsidR="00E42B18" w:rsidRDefault="009629C4">
            <w:pPr>
              <w:pStyle w:val="P68B1DB1-Normal11"/>
              <w:jc w:val="center"/>
              <w:rPr>
                <w:noProof/>
              </w:rPr>
            </w:pPr>
            <w:r>
              <w:rPr>
                <w:noProof/>
              </w:rPr>
              <w:t>EI OLE</w:t>
            </w:r>
          </w:p>
        </w:tc>
        <w:tc>
          <w:tcPr>
            <w:tcW w:w="850" w:type="dxa"/>
            <w:shd w:val="clear" w:color="auto" w:fill="C6EFCE"/>
            <w:vAlign w:val="center"/>
          </w:tcPr>
          <w:p w14:paraId="68071796" w14:textId="77777777" w:rsidR="00E42B18" w:rsidRDefault="009629C4">
            <w:pPr>
              <w:pStyle w:val="P68B1DB1-Normal11"/>
              <w:jc w:val="center"/>
              <w:rPr>
                <w:noProof/>
              </w:rPr>
            </w:pPr>
            <w:r>
              <w:rPr>
                <w:noProof/>
              </w:rPr>
              <w:t>Q1</w:t>
            </w:r>
          </w:p>
        </w:tc>
        <w:tc>
          <w:tcPr>
            <w:tcW w:w="709" w:type="dxa"/>
            <w:shd w:val="clear" w:color="auto" w:fill="C6EFCE"/>
            <w:vAlign w:val="center"/>
          </w:tcPr>
          <w:p w14:paraId="7320D611" w14:textId="77777777" w:rsidR="00E42B18" w:rsidRDefault="009629C4">
            <w:pPr>
              <w:pStyle w:val="P68B1DB1-Normal11"/>
              <w:spacing w:before="120" w:after="120"/>
              <w:jc w:val="center"/>
              <w:rPr>
                <w:noProof/>
              </w:rPr>
            </w:pPr>
            <w:r>
              <w:rPr>
                <w:noProof/>
              </w:rPr>
              <w:t>2026</w:t>
            </w:r>
          </w:p>
        </w:tc>
        <w:tc>
          <w:tcPr>
            <w:tcW w:w="3232" w:type="dxa"/>
            <w:shd w:val="clear" w:color="auto" w:fill="C6EFCE"/>
            <w:vAlign w:val="center"/>
          </w:tcPr>
          <w:p w14:paraId="4DC13EB0" w14:textId="25037650" w:rsidR="00E42B18" w:rsidRDefault="009629C4">
            <w:pPr>
              <w:pStyle w:val="P68B1DB1-Normal11"/>
              <w:spacing w:line="240" w:lineRule="auto"/>
              <w:jc w:val="both"/>
              <w:rPr>
                <w:noProof/>
              </w:rPr>
            </w:pPr>
            <w:r>
              <w:rPr>
                <w:noProof/>
              </w:rPr>
              <w:t xml:space="preserve">Italian hallituksen ja Euroopan komission välinen 500000000 euron rahoitusosuussopimus allekirjoitetaan. </w:t>
            </w:r>
          </w:p>
        </w:tc>
      </w:tr>
      <w:tr w:rsidR="00E42B18" w14:paraId="6243DCB5" w14:textId="77777777">
        <w:trPr>
          <w:trHeight w:val="315"/>
        </w:trPr>
        <w:tc>
          <w:tcPr>
            <w:tcW w:w="1418" w:type="dxa"/>
            <w:shd w:val="clear" w:color="auto" w:fill="C6EFCE"/>
            <w:vAlign w:val="center"/>
          </w:tcPr>
          <w:p w14:paraId="46FAE8F6" w14:textId="77777777" w:rsidR="00E42B18" w:rsidRDefault="009629C4">
            <w:pPr>
              <w:pStyle w:val="P68B1DB1-Normal11"/>
              <w:spacing w:before="120" w:after="120"/>
              <w:jc w:val="center"/>
              <w:rPr>
                <w:noProof/>
              </w:rPr>
            </w:pPr>
            <w:r>
              <w:rPr>
                <w:noProof/>
              </w:rPr>
              <w:t>M1C2–33</w:t>
            </w:r>
          </w:p>
        </w:tc>
        <w:tc>
          <w:tcPr>
            <w:tcW w:w="1985" w:type="dxa"/>
            <w:shd w:val="clear" w:color="auto" w:fill="C6EFCE"/>
            <w:vAlign w:val="center"/>
          </w:tcPr>
          <w:p w14:paraId="22C801C2" w14:textId="77777777" w:rsidR="00E42B18" w:rsidRDefault="009629C4">
            <w:pPr>
              <w:pStyle w:val="P68B1DB1-Normal11"/>
              <w:spacing w:before="120" w:after="120"/>
              <w:jc w:val="center"/>
              <w:rPr>
                <w:noProof/>
              </w:rPr>
            </w:pPr>
            <w:r>
              <w:rPr>
                <w:noProof/>
              </w:rPr>
              <w:t>Investointi 8: InvestEU-ohjelman jäsenvaltiojako</w:t>
            </w:r>
          </w:p>
        </w:tc>
        <w:tc>
          <w:tcPr>
            <w:tcW w:w="1275" w:type="dxa"/>
            <w:shd w:val="clear" w:color="auto" w:fill="C6EFCE"/>
            <w:vAlign w:val="center"/>
          </w:tcPr>
          <w:p w14:paraId="6DF82187" w14:textId="77777777" w:rsidR="00E42B18" w:rsidRDefault="009629C4">
            <w:pPr>
              <w:pStyle w:val="P68B1DB1-Normal12"/>
              <w:spacing w:before="120" w:after="120"/>
              <w:jc w:val="center"/>
              <w:rPr>
                <w:noProof/>
              </w:rPr>
            </w:pPr>
            <w:r>
              <w:rPr>
                <w:noProof/>
              </w:rPr>
              <w:t>Kohde</w:t>
            </w:r>
          </w:p>
        </w:tc>
        <w:tc>
          <w:tcPr>
            <w:tcW w:w="1276" w:type="dxa"/>
            <w:shd w:val="clear" w:color="auto" w:fill="C6EFCE"/>
            <w:vAlign w:val="center"/>
          </w:tcPr>
          <w:p w14:paraId="632B1EC5" w14:textId="77777777" w:rsidR="00E42B18" w:rsidRDefault="009629C4">
            <w:pPr>
              <w:pStyle w:val="P68B1DB1-Normal12"/>
              <w:spacing w:before="120" w:after="120"/>
              <w:jc w:val="center"/>
              <w:rPr>
                <w:noProof/>
              </w:rPr>
            </w:pPr>
            <w:r>
              <w:rPr>
                <w:noProof/>
              </w:rPr>
              <w:t>InvestEU-investointikomitean hyväksymät rahoitus- tai investointitoimet.</w:t>
            </w:r>
          </w:p>
        </w:tc>
        <w:tc>
          <w:tcPr>
            <w:tcW w:w="1276" w:type="dxa"/>
            <w:shd w:val="clear" w:color="auto" w:fill="C6EFCE"/>
            <w:vAlign w:val="center"/>
          </w:tcPr>
          <w:p w14:paraId="0848469C" w14:textId="77777777" w:rsidR="00E42B18" w:rsidRDefault="009629C4">
            <w:pPr>
              <w:pStyle w:val="P68B1DB1-Normal12"/>
              <w:jc w:val="center"/>
              <w:rPr>
                <w:noProof/>
              </w:rPr>
            </w:pPr>
            <w:r>
              <w:rPr>
                <w:noProof/>
              </w:rPr>
              <w:t>EI OLE</w:t>
            </w:r>
          </w:p>
        </w:tc>
        <w:tc>
          <w:tcPr>
            <w:tcW w:w="1134" w:type="dxa"/>
            <w:shd w:val="clear" w:color="auto" w:fill="C6EFCE"/>
            <w:vAlign w:val="center"/>
          </w:tcPr>
          <w:p w14:paraId="57C97662" w14:textId="77777777" w:rsidR="00E42B18" w:rsidRDefault="009629C4">
            <w:pPr>
              <w:pStyle w:val="P68B1DB1-Normal12"/>
              <w:jc w:val="center"/>
              <w:rPr>
                <w:noProof/>
              </w:rPr>
            </w:pPr>
            <w:r>
              <w:rPr>
                <w:noProof/>
              </w:rPr>
              <w:t>Prosenttiosuus</w:t>
            </w:r>
          </w:p>
        </w:tc>
        <w:tc>
          <w:tcPr>
            <w:tcW w:w="1163" w:type="dxa"/>
            <w:shd w:val="clear" w:color="auto" w:fill="C6EFCE"/>
            <w:vAlign w:val="center"/>
          </w:tcPr>
          <w:p w14:paraId="66CF71C7" w14:textId="77777777" w:rsidR="00E42B18" w:rsidRDefault="009629C4">
            <w:pPr>
              <w:pStyle w:val="P68B1DB1-Normal12"/>
              <w:jc w:val="center"/>
              <w:rPr>
                <w:noProof/>
              </w:rPr>
            </w:pPr>
            <w:r>
              <w:rPr>
                <w:noProof/>
              </w:rPr>
              <w:t>0</w:t>
            </w:r>
          </w:p>
        </w:tc>
        <w:tc>
          <w:tcPr>
            <w:tcW w:w="992" w:type="dxa"/>
            <w:shd w:val="clear" w:color="auto" w:fill="C6EFCE"/>
            <w:vAlign w:val="center"/>
          </w:tcPr>
          <w:p w14:paraId="3F4CD9E0" w14:textId="77777777" w:rsidR="00E42B18" w:rsidRDefault="009629C4">
            <w:pPr>
              <w:pStyle w:val="P68B1DB1-Normal12"/>
              <w:jc w:val="center"/>
              <w:rPr>
                <w:noProof/>
              </w:rPr>
            </w:pPr>
            <w:r>
              <w:rPr>
                <w:noProof/>
              </w:rPr>
              <w:t>100</w:t>
            </w:r>
          </w:p>
        </w:tc>
        <w:tc>
          <w:tcPr>
            <w:tcW w:w="850" w:type="dxa"/>
            <w:shd w:val="clear" w:color="auto" w:fill="C6EFCE"/>
            <w:vAlign w:val="center"/>
          </w:tcPr>
          <w:p w14:paraId="024F4683" w14:textId="77777777" w:rsidR="00E42B18" w:rsidRDefault="009629C4">
            <w:pPr>
              <w:pStyle w:val="P68B1DB1-Normal12"/>
              <w:jc w:val="center"/>
              <w:rPr>
                <w:noProof/>
              </w:rPr>
            </w:pPr>
            <w:r>
              <w:rPr>
                <w:noProof/>
              </w:rPr>
              <w:t>Q2</w:t>
            </w:r>
          </w:p>
        </w:tc>
        <w:tc>
          <w:tcPr>
            <w:tcW w:w="709" w:type="dxa"/>
            <w:shd w:val="clear" w:color="auto" w:fill="C6EFCE"/>
            <w:vAlign w:val="center"/>
          </w:tcPr>
          <w:p w14:paraId="3650C4CA" w14:textId="77777777" w:rsidR="00E42B18" w:rsidRDefault="009629C4">
            <w:pPr>
              <w:pStyle w:val="P68B1DB1-Normal12"/>
              <w:spacing w:before="120" w:after="120"/>
              <w:jc w:val="center"/>
              <w:rPr>
                <w:noProof/>
              </w:rPr>
            </w:pPr>
            <w:r>
              <w:rPr>
                <w:noProof/>
              </w:rPr>
              <w:t>2026</w:t>
            </w:r>
          </w:p>
        </w:tc>
        <w:tc>
          <w:tcPr>
            <w:tcW w:w="3232" w:type="dxa"/>
            <w:shd w:val="clear" w:color="auto" w:fill="C6EFCE"/>
            <w:vAlign w:val="center"/>
          </w:tcPr>
          <w:p w14:paraId="539A51E0" w14:textId="77777777" w:rsidR="00E42B18" w:rsidRDefault="009629C4">
            <w:pPr>
              <w:pStyle w:val="P68B1DB1-Normal12"/>
              <w:spacing w:line="240" w:lineRule="auto"/>
              <w:jc w:val="both"/>
              <w:rPr>
                <w:noProof/>
              </w:rPr>
            </w:pPr>
            <w:r>
              <w:rPr>
                <w:noProof/>
              </w:rPr>
              <w:t>InvestEU-investointikomitean on hyväksyttävä rahoitus- tai investointitoimet, joiden määrä on 100 prosenttia välineelle osoitetuista elpymis- ja palautumistukivälineen kokonaismäärästä.</w:t>
            </w:r>
          </w:p>
        </w:tc>
      </w:tr>
      <w:tr w:rsidR="00E42B18" w14:paraId="703454DD" w14:textId="77777777">
        <w:trPr>
          <w:trHeight w:val="315"/>
        </w:trPr>
        <w:tc>
          <w:tcPr>
            <w:tcW w:w="1418" w:type="dxa"/>
            <w:shd w:val="clear" w:color="auto" w:fill="C6EFCE"/>
            <w:vAlign w:val="center"/>
          </w:tcPr>
          <w:p w14:paraId="6076FFE4" w14:textId="77777777" w:rsidR="00E42B18" w:rsidRDefault="009629C4">
            <w:pPr>
              <w:pStyle w:val="P68B1DB1-Normal11"/>
              <w:spacing w:before="120" w:after="120"/>
              <w:jc w:val="center"/>
              <w:rPr>
                <w:noProof/>
              </w:rPr>
            </w:pPr>
            <w:r>
              <w:rPr>
                <w:noProof/>
              </w:rPr>
              <w:t>M1C2–34</w:t>
            </w:r>
          </w:p>
        </w:tc>
        <w:tc>
          <w:tcPr>
            <w:tcW w:w="1985" w:type="dxa"/>
            <w:shd w:val="clear" w:color="auto" w:fill="C6EFCE"/>
            <w:vAlign w:val="center"/>
          </w:tcPr>
          <w:p w14:paraId="5043BC7F" w14:textId="5AEA94FA" w:rsidR="00E42B18" w:rsidRDefault="009629C4">
            <w:pPr>
              <w:pStyle w:val="P68B1DB1-Normal11"/>
              <w:spacing w:before="120" w:after="120"/>
              <w:jc w:val="center"/>
              <w:rPr>
                <w:noProof/>
              </w:rPr>
            </w:pPr>
            <w:r>
              <w:rPr>
                <w:noProof/>
              </w:rPr>
              <w:t>Investointi 9: Laajennettu toimenpide: Siirtymä 4.0</w:t>
            </w:r>
          </w:p>
        </w:tc>
        <w:tc>
          <w:tcPr>
            <w:tcW w:w="1275" w:type="dxa"/>
            <w:shd w:val="clear" w:color="auto" w:fill="C6EFCE"/>
            <w:vAlign w:val="center"/>
          </w:tcPr>
          <w:p w14:paraId="51A338D7" w14:textId="77777777" w:rsidR="00E42B18" w:rsidRDefault="009629C4">
            <w:pPr>
              <w:pStyle w:val="P68B1DB1-Normal11"/>
              <w:spacing w:before="120" w:after="120"/>
              <w:jc w:val="center"/>
              <w:rPr>
                <w:rFonts w:cs="Times New Roman"/>
                <w:noProof/>
                <w:szCs w:val="20"/>
              </w:rPr>
            </w:pPr>
            <w:r>
              <w:rPr>
                <w:noProof/>
              </w:rPr>
              <w:t>Kohde</w:t>
            </w:r>
          </w:p>
        </w:tc>
        <w:tc>
          <w:tcPr>
            <w:tcW w:w="1276" w:type="dxa"/>
            <w:shd w:val="clear" w:color="auto" w:fill="C6EFCE"/>
            <w:vAlign w:val="center"/>
          </w:tcPr>
          <w:p w14:paraId="7DC86EBD" w14:textId="77777777" w:rsidR="00E42B18" w:rsidRDefault="009629C4">
            <w:pPr>
              <w:pStyle w:val="P68B1DB1-Normal11"/>
              <w:spacing w:before="120" w:after="120"/>
              <w:jc w:val="center"/>
              <w:rPr>
                <w:rFonts w:cs="Times New Roman"/>
                <w:noProof/>
                <w:szCs w:val="20"/>
              </w:rPr>
            </w:pPr>
            <w:r>
              <w:rPr>
                <w:noProof/>
              </w:rPr>
              <w:t>Siirtymä 4.0 yrityksille vuosina 2021–2026 esitettyjen asiakirjojen perusteella myönnetyt verohyvitykset</w:t>
            </w:r>
          </w:p>
        </w:tc>
        <w:tc>
          <w:tcPr>
            <w:tcW w:w="1276" w:type="dxa"/>
            <w:shd w:val="clear" w:color="auto" w:fill="C6EFCE"/>
            <w:vAlign w:val="center"/>
          </w:tcPr>
          <w:p w14:paraId="0D4D3250" w14:textId="77777777" w:rsidR="00E42B18" w:rsidRDefault="009629C4">
            <w:pPr>
              <w:pStyle w:val="P68B1DB1-Normal11"/>
              <w:jc w:val="center"/>
              <w:rPr>
                <w:rFonts w:cs="Times New Roman"/>
                <w:noProof/>
                <w:szCs w:val="20"/>
              </w:rPr>
            </w:pPr>
            <w:r>
              <w:rPr>
                <w:noProof/>
              </w:rPr>
              <w:t>EI OLE</w:t>
            </w:r>
          </w:p>
        </w:tc>
        <w:tc>
          <w:tcPr>
            <w:tcW w:w="1134" w:type="dxa"/>
            <w:shd w:val="clear" w:color="auto" w:fill="C6EFCE"/>
            <w:vAlign w:val="center"/>
          </w:tcPr>
          <w:p w14:paraId="658FDF08" w14:textId="77777777" w:rsidR="00E42B18" w:rsidRDefault="009629C4">
            <w:pPr>
              <w:pStyle w:val="P68B1DB1-Normal11"/>
              <w:jc w:val="center"/>
              <w:rPr>
                <w:rFonts w:cs="Times New Roman"/>
                <w:noProof/>
                <w:szCs w:val="20"/>
              </w:rPr>
            </w:pPr>
            <w:r>
              <w:rPr>
                <w:noProof/>
              </w:rPr>
              <w:t>Numero</w:t>
            </w:r>
          </w:p>
        </w:tc>
        <w:tc>
          <w:tcPr>
            <w:tcW w:w="1163" w:type="dxa"/>
            <w:shd w:val="clear" w:color="auto" w:fill="C6EFCE"/>
            <w:vAlign w:val="center"/>
          </w:tcPr>
          <w:p w14:paraId="5B6C2A0B" w14:textId="77777777" w:rsidR="00E42B18" w:rsidRDefault="009629C4">
            <w:pPr>
              <w:pStyle w:val="P68B1DB1-Normal11"/>
              <w:jc w:val="center"/>
              <w:rPr>
                <w:rFonts w:cs="Times New Roman"/>
                <w:noProof/>
                <w:szCs w:val="20"/>
              </w:rPr>
            </w:pPr>
            <w:r>
              <w:rPr>
                <w:noProof/>
              </w:rPr>
              <w:t>0</w:t>
            </w:r>
          </w:p>
        </w:tc>
        <w:tc>
          <w:tcPr>
            <w:tcW w:w="992" w:type="dxa"/>
            <w:shd w:val="clear" w:color="auto" w:fill="C6EFCE"/>
            <w:vAlign w:val="center"/>
          </w:tcPr>
          <w:p w14:paraId="5F95D6AA" w14:textId="2A5D7B7F" w:rsidR="00E42B18" w:rsidRDefault="009629C4">
            <w:pPr>
              <w:pStyle w:val="P68B1DB1-Normal11"/>
              <w:jc w:val="center"/>
              <w:rPr>
                <w:rFonts w:cs="Times New Roman"/>
                <w:noProof/>
                <w:szCs w:val="20"/>
              </w:rPr>
            </w:pPr>
            <w:r>
              <w:rPr>
                <w:noProof/>
              </w:rPr>
              <w:t>50 942</w:t>
            </w:r>
          </w:p>
        </w:tc>
        <w:tc>
          <w:tcPr>
            <w:tcW w:w="850" w:type="dxa"/>
            <w:shd w:val="clear" w:color="auto" w:fill="C6EFCE"/>
            <w:vAlign w:val="center"/>
          </w:tcPr>
          <w:p w14:paraId="12591C77" w14:textId="3F81E489" w:rsidR="00E42B18" w:rsidRDefault="009629C4">
            <w:pPr>
              <w:pStyle w:val="P68B1DB1-Normal11"/>
              <w:jc w:val="center"/>
              <w:rPr>
                <w:rFonts w:cs="Times New Roman"/>
                <w:noProof/>
                <w:szCs w:val="20"/>
              </w:rPr>
            </w:pPr>
            <w:r>
              <w:rPr>
                <w:noProof/>
              </w:rPr>
              <w:t>Q2</w:t>
            </w:r>
          </w:p>
        </w:tc>
        <w:tc>
          <w:tcPr>
            <w:tcW w:w="709" w:type="dxa"/>
            <w:shd w:val="clear" w:color="auto" w:fill="C6EFCE"/>
            <w:vAlign w:val="center"/>
          </w:tcPr>
          <w:p w14:paraId="7FA5B980" w14:textId="4A6D42A9" w:rsidR="00E42B18" w:rsidRDefault="009629C4">
            <w:pPr>
              <w:pStyle w:val="P68B1DB1-Normal11"/>
              <w:spacing w:before="120" w:after="120"/>
              <w:jc w:val="center"/>
              <w:rPr>
                <w:rFonts w:cs="Times New Roman"/>
                <w:noProof/>
                <w:szCs w:val="20"/>
              </w:rPr>
            </w:pPr>
            <w:r>
              <w:rPr>
                <w:noProof/>
              </w:rPr>
              <w:t>2026</w:t>
            </w:r>
          </w:p>
        </w:tc>
        <w:tc>
          <w:tcPr>
            <w:tcW w:w="3232" w:type="dxa"/>
            <w:shd w:val="clear" w:color="auto" w:fill="C6EFCE"/>
            <w:vAlign w:val="center"/>
          </w:tcPr>
          <w:p w14:paraId="13CA4D27" w14:textId="31120B7C" w:rsidR="00E42B18" w:rsidRDefault="009629C4">
            <w:pPr>
              <w:pStyle w:val="P68B1DB1-Normal11"/>
              <w:rPr>
                <w:noProof/>
                <w:szCs w:val="20"/>
              </w:rPr>
            </w:pPr>
            <w:r>
              <w:rPr>
                <w:noProof/>
                <w:szCs w:val="20"/>
              </w:rPr>
              <w:t xml:space="preserve">Yrityksille on myönnetty vähintään 50942 siirtymäkauden 4.0 verohyvitystä, jotka liittyvät 4.0 aineellisiin tuotantohyödykkeisiin, 4.0 aineettomiin tuotantohyödykkeisiin, tavanomaisiin aineettomiin pääomahyödykkeisiin sekä tutkimus-, kehitys- ja innovointitoimintaan. Verohyvitys katsotaan myönnetyksi, kun esitetään veroilmoitus tai Gestore Servizi </w:t>
            </w:r>
            <w:r>
              <w:rPr>
                <w:noProof/>
              </w:rPr>
              <w:t>Energeticille, jäljempänä ’GSE’, vuosien 2024 ja 2025 täyttölomakkeet</w:t>
            </w:r>
            <w:r>
              <w:rPr>
                <w:noProof/>
                <w:szCs w:val="20"/>
              </w:rPr>
              <w:t>. Veroilmoitukset on annettava 1 päivän tammikuuta 2021 ja 31 päivän joulukuuta 2024 välisenä aikana. Niiden yritysten osalta, joiden verovuosi ei vastaa kalenterivuotta, kaikkiin edellä mainittuihin verohyvityksiin liittyvien veroilmoitusten esittämisen tarkastelujakson päättymistä jatketaan 31 päivästä joulukuuta 2024 30 päivään marraskuuta 2025.</w:t>
            </w:r>
          </w:p>
          <w:p w14:paraId="52FE8923" w14:textId="77777777" w:rsidR="00E42B18" w:rsidRDefault="009629C4">
            <w:pPr>
              <w:pStyle w:val="P68B1DB1-Normal11"/>
              <w:rPr>
                <w:noProof/>
                <w:szCs w:val="20"/>
              </w:rPr>
            </w:pPr>
            <w:r>
              <w:rPr>
                <w:noProof/>
              </w:rPr>
              <w:t>Täyttölomakkeet on esitettävä GSE:lle viimeistään 31 päivänä tammikuuta 2026.</w:t>
            </w:r>
          </w:p>
          <w:p w14:paraId="09DFF7DB" w14:textId="7AB97DFE" w:rsidR="00E42B18" w:rsidRDefault="009629C4">
            <w:pPr>
              <w:pStyle w:val="P68B1DB1-Normal12"/>
              <w:spacing w:line="240" w:lineRule="auto"/>
              <w:jc w:val="both"/>
              <w:rPr>
                <w:rFonts w:cs="Times New Roman"/>
                <w:noProof/>
              </w:rPr>
            </w:pPr>
            <w:r>
              <w:rPr>
                <w:noProof/>
              </w:rPr>
              <w:t>Tavoitetta varten ei oteta huomioon yrityksiä, jotka toimivat ATECO-koodeilla 05, 06, 07 ja 09 määritellyillä toimialoilla. Kun kyseessä ovat investoinnit aineellisiin tuotantohyödykkeisiin 4.0 eikä kehitys- ja innovointitoimintaan, yksikään yritys ei toimi ATECO-koodien 30 mukaisilla toimialoilla. Tavoitteen osalta on otettava huomioon 22, 29, 38, 41, 42, 43, 17, 01, 50, 19, 20, 51, 24, 49, 23 ja 35.</w:t>
            </w:r>
          </w:p>
        </w:tc>
      </w:tr>
    </w:tbl>
    <w:p w14:paraId="2942058E" w14:textId="77777777" w:rsidR="00E42B18" w:rsidRDefault="00E42B18">
      <w:pPr>
        <w:spacing w:before="120" w:after="120"/>
        <w:jc w:val="both"/>
        <w:rPr>
          <w:b/>
          <w:noProof/>
        </w:rPr>
        <w:sectPr w:rsidR="00E42B18" w:rsidSect="005A558B">
          <w:headerReference w:type="even" r:id="rId54"/>
          <w:headerReference w:type="default" r:id="rId55"/>
          <w:footerReference w:type="even" r:id="rId56"/>
          <w:footerReference w:type="default" r:id="rId57"/>
          <w:headerReference w:type="first" r:id="rId58"/>
          <w:footerReference w:type="first" r:id="rId59"/>
          <w:pgSz w:w="16838" w:h="11906" w:orient="landscape"/>
          <w:pgMar w:top="1440" w:right="1440" w:bottom="1440" w:left="1440" w:header="708" w:footer="708" w:gutter="0"/>
          <w:cols w:space="708"/>
          <w:docGrid w:linePitch="360"/>
        </w:sectPr>
      </w:pPr>
    </w:p>
    <w:p w14:paraId="2F00BD3E" w14:textId="77777777" w:rsidR="00E42B18" w:rsidRDefault="009629C4">
      <w:pPr>
        <w:pStyle w:val="P68B1DB1-Heading23"/>
        <w:ind w:left="1080"/>
        <w:rPr>
          <w:noProof/>
          <w:u w:val="single"/>
        </w:rPr>
      </w:pPr>
      <w:r>
        <w:rPr>
          <w:noProof/>
        </w:rPr>
        <w:t xml:space="preserve">C. MISSION 1 KOMPONENTTI 3: Matkailu ja kulttuuri 4.0. </w:t>
      </w:r>
    </w:p>
    <w:p w14:paraId="4A68B1F0" w14:textId="77777777" w:rsidR="00E42B18" w:rsidRDefault="009629C4">
      <w:pPr>
        <w:pStyle w:val="P68B1DB1-Normal8"/>
        <w:spacing w:before="120" w:after="120"/>
        <w:jc w:val="both"/>
        <w:rPr>
          <w:noProof/>
        </w:rPr>
      </w:pPr>
      <w:r>
        <w:rPr>
          <w:noProof/>
        </w:rPr>
        <w:t xml:space="preserve">Italian elpymis- ja palautumissuunnitelman tässä osiossa keskitytään kahden covid-19-kriisin voimakkaasti koetteleman alan uudelleenkäynnistämiseen: kulttuuri ja matkailu. Kulttuurialaan liittyvillä toimenpiteillä pyritään parantamaan kulttuurikohteiden saavutettavuutta sekä digitaalisesti että fyysisesti, energiatehokkaampia ja turvallisempia luonnonkatastrofien varalta sekä tukemaan kulttuurialan ja luovien toimialojen elpymistä muun muassa tukemalla pienten kulttuurikohteiden ja maaseutuarkkitehtuurin houkuttelevuutta, myös alueellisen yhteenkuuluvuuden lisäämiseksi. Suunnitteilla on kolme toimenpidekokonaisuutta: toimet kulttuuriperinnön kehittämiseksi seuraavaa sukupolvea varten, mukaan lukien investoinnit digitaaliseen siirtymään ja kulttuurikohteiden energiatehokkuuden parantamiseen, ii) kulttuurivetoinen pienten historiallisten kohteiden sekä uskonnollisen ja maaseutuperinnön elvyttäminen; kulttuurialaa ja luovia toimialoja koskevat toimet 4.0. Matkailuun liittyvillä toimenpiteillä pyritään parantamaan alan kilpailukykyä muun muassa vähentämällä alan hajanaisuutta ja lisäämällä mittakaavaetuja, parantamalla ja parantamalla hotelli- ja ravintola-alan standardeja, kannustamalla digitaalista innovointia ja uusien teknologioiden käyttöön toimijoita sekä tukemalla alan vihreää siirtymää. Tältä osin suunnitellaan toimenpiteitä matkailualalla toimivien yritysten, myös pk-yritysten, ja matkailualan toimijoiden tukemiseksi muun muassa investoimalla digitaalisiin välineisiin. </w:t>
      </w:r>
    </w:p>
    <w:p w14:paraId="2D7F29CB" w14:textId="77777777" w:rsidR="00E42B18" w:rsidRDefault="009629C4">
      <w:pPr>
        <w:pStyle w:val="P68B1DB1-Normal8"/>
        <w:spacing w:before="120" w:after="120"/>
        <w:jc w:val="both"/>
        <w:rPr>
          <w:noProof/>
        </w:rPr>
      </w:pPr>
      <w:r>
        <w:rPr>
          <w:noProof/>
        </w:rPr>
        <w:t xml:space="preserve">Tämän osa-alueen investoinneilla ja uudistuksilla edistetään Italialle osoitettujen maakohtaisten suositusten noudattamista, erityisesti tarvetta edistää yksityisiä investointeja talouden elpymisen edistämiseksi ja investointien keskittämiseksi vihreään ja digitaaliseen siirtymään (maakohtainen suositus 3, 2020). Ne tukevat myös sosiaalista ja alueellista yhteenkuuluvuutta ja Italian talouden kilpailukykyä ja edistävät samalla matkailualan digitalisaatiota ja kestävyyttä. </w:t>
      </w:r>
    </w:p>
    <w:p w14:paraId="02730FEA" w14:textId="77777777" w:rsidR="00E42B18" w:rsidRDefault="009629C4">
      <w:pPr>
        <w:pStyle w:val="P68B1DB1-Heading341"/>
        <w:ind w:left="850" w:hanging="850"/>
        <w:rPr>
          <w:rFonts w:ascii="Times New Roman" w:eastAsia="Times New Roman" w:hAnsi="Times New Roman" w:cs="Times New Roman"/>
          <w:b/>
          <w:bCs/>
          <w:i/>
          <w:iCs/>
          <w:noProof/>
          <w:u w:val="single"/>
        </w:rPr>
      </w:pPr>
      <w:r>
        <w:rPr>
          <w:rFonts w:ascii="Times New Roman" w:eastAsia="Times New Roman" w:hAnsi="Times New Roman" w:cs="Times New Roman"/>
          <w:b/>
          <w:noProof/>
          <w:u w:val="single"/>
        </w:rPr>
        <w:t xml:space="preserve">C.1 </w:t>
      </w:r>
      <w:r>
        <w:rPr>
          <w:rFonts w:ascii="Times New Roman" w:hAnsi="Times New Roman" w:cs="Times New Roman"/>
          <w:noProof/>
        </w:rPr>
        <w:t xml:space="preserve"> </w:t>
      </w:r>
      <w:r>
        <w:rPr>
          <w:rFonts w:ascii="Times New Roman" w:eastAsia="Times New Roman" w:hAnsi="Times New Roman" w:cs="Times New Roman"/>
          <w:b/>
          <w:noProof/>
          <w:u w:val="single"/>
        </w:rPr>
        <w:t>Kuvaus uudistuksista ja investoinneista, joita rahoitetaan rahoitustuella, jota ei makseta takaisin</w:t>
      </w:r>
    </w:p>
    <w:p w14:paraId="13363C35" w14:textId="77777777" w:rsidR="00E42B18" w:rsidRDefault="009629C4">
      <w:pPr>
        <w:pStyle w:val="P68B1DB1-Normal29"/>
        <w:spacing w:before="120" w:after="120"/>
        <w:jc w:val="both"/>
        <w:rPr>
          <w:bCs/>
          <w:noProof/>
        </w:rPr>
      </w:pPr>
      <w:r>
        <w:rPr>
          <w:noProof/>
        </w:rPr>
        <w:t xml:space="preserve">Investointi 1.1 Digitaalistrategia ja kulttuuriperintöä koskevat foorumit </w:t>
      </w:r>
    </w:p>
    <w:p w14:paraId="22B07993" w14:textId="2C1201FB" w:rsidR="00E42B18" w:rsidRDefault="009629C4">
      <w:pPr>
        <w:pStyle w:val="P68B1DB1-Normal8"/>
        <w:spacing w:before="120" w:after="120"/>
        <w:jc w:val="both"/>
        <w:rPr>
          <w:noProof/>
        </w:rPr>
      </w:pPr>
      <w:r>
        <w:rPr>
          <w:noProof/>
        </w:rPr>
        <w:t>Toimenpiteen tavoitteena on digitalisoida Italian kulttuuriperintö ja tarjota pääsy kulttuuriresursseihin ja digitaalisiin palveluihin. Toimenpiteellä luodaan digitaalinen infrastruktuuri digitaalisten resurssien keräämistä, integrointia ja säilyttämistä varten ja asetetaan ne yleisön saataville erityisten alustojen kautta.</w:t>
      </w:r>
    </w:p>
    <w:p w14:paraId="6734CF59" w14:textId="77777777" w:rsidR="00E42B18" w:rsidRDefault="009629C4">
      <w:pPr>
        <w:pStyle w:val="P68B1DB1-Normal29"/>
        <w:spacing w:before="120" w:after="120"/>
        <w:jc w:val="both"/>
        <w:rPr>
          <w:bCs/>
          <w:noProof/>
        </w:rPr>
      </w:pPr>
      <w:r>
        <w:rPr>
          <w:noProof/>
        </w:rPr>
        <w:t>Investointi 1.2: Fyysisten ja kognitiivisten esteiden poistaminen museoista, kirjastoista ja arkistoista kulttuuriin osallistumisen ja laajemman saatavuuden mahdollistamiseksi</w:t>
      </w:r>
    </w:p>
    <w:p w14:paraId="70036617" w14:textId="5A85E535" w:rsidR="00E42B18" w:rsidRDefault="009629C4">
      <w:pPr>
        <w:pStyle w:val="P68B1DB1-Normal8"/>
        <w:spacing w:before="120" w:after="120"/>
        <w:jc w:val="both"/>
        <w:rPr>
          <w:noProof/>
        </w:rPr>
      </w:pPr>
      <w:r>
        <w:rPr>
          <w:noProof/>
        </w:rPr>
        <w:t>Tämän toimenpiteen tavoitteena on mahdollistaa fyysinen ja kognitiivinen pääsy useisiin italialaisiin kulttuurilaitoksiin. Toimenpiteellä poistetaan arkkitehtonisia ja kognitiivisia esteitä italialaisissa kulttuurilaitoksissa.</w:t>
      </w:r>
    </w:p>
    <w:p w14:paraId="4D707B9D" w14:textId="77777777" w:rsidR="00E42B18" w:rsidRDefault="009629C4">
      <w:pPr>
        <w:pStyle w:val="P68B1DB1-Normal8"/>
        <w:rPr>
          <w:b/>
          <w:bCs/>
          <w:noProof/>
        </w:rPr>
      </w:pPr>
      <w:r>
        <w:rPr>
          <w:noProof/>
        </w:rPr>
        <w:br w:type="page"/>
      </w:r>
    </w:p>
    <w:p w14:paraId="6F43083B" w14:textId="77777777" w:rsidR="00E42B18" w:rsidRDefault="009629C4">
      <w:pPr>
        <w:pStyle w:val="P68B1DB1-Normal29"/>
        <w:spacing w:before="120" w:after="120"/>
        <w:jc w:val="both"/>
        <w:rPr>
          <w:bCs/>
          <w:noProof/>
        </w:rPr>
      </w:pPr>
      <w:r>
        <w:rPr>
          <w:noProof/>
        </w:rPr>
        <w:t>Investointi 1.3: Energiatehokkuuden parantaminen elokuvateattereissa, teattereissa ja museoissa</w:t>
      </w:r>
    </w:p>
    <w:p w14:paraId="799FA33C" w14:textId="5DB71112" w:rsidR="00E42B18" w:rsidRDefault="009629C4">
      <w:pPr>
        <w:pStyle w:val="P68B1DB1-Normal8"/>
        <w:spacing w:before="120" w:after="120"/>
        <w:jc w:val="both"/>
        <w:rPr>
          <w:noProof/>
        </w:rPr>
      </w:pPr>
      <w:r>
        <w:rPr>
          <w:noProof/>
        </w:rPr>
        <w:t>Toimenpiteen tavoitteena on parantaa kulttuuri- ja luovien alojen tilojen, kuten julkisten ja yksityisten museoiden, elokuvateatterien ja teatterien, energiatehokkuutta. Toimenpide koostuu energiatehokkuustoimista kulttuurialan ja luovien toimialojen tiloissa.</w:t>
      </w:r>
    </w:p>
    <w:p w14:paraId="7C4632E6" w14:textId="77777777" w:rsidR="00E42B18" w:rsidRDefault="009629C4">
      <w:pPr>
        <w:pStyle w:val="P68B1DB1-Normal29"/>
        <w:spacing w:before="120" w:after="120"/>
        <w:jc w:val="both"/>
        <w:rPr>
          <w:noProof/>
        </w:rPr>
      </w:pPr>
      <w:r>
        <w:rPr>
          <w:noProof/>
        </w:rPr>
        <w:t>Uudistus 3.1: Kulttuuritapahtumia koskevien ympäristöä koskevien vähimmäisvaatimusten hyväksyminen</w:t>
      </w:r>
    </w:p>
    <w:p w14:paraId="2C1B965F" w14:textId="77777777" w:rsidR="00E42B18" w:rsidRDefault="009629C4">
      <w:pPr>
        <w:pStyle w:val="P68B1DB1-Normal8"/>
        <w:spacing w:before="120" w:after="120"/>
        <w:jc w:val="both"/>
        <w:rPr>
          <w:noProof/>
        </w:rPr>
      </w:pPr>
      <w:r>
        <w:rPr>
          <w:noProof/>
        </w:rPr>
        <w:t>Uudistuksen tavoitteena on parantaa kulttuuritapahtumien (kuten näyttelyiden, festivaalien, kulttuuritapahtumien ja musiikkitapahtumien) ekologista jalanjälkeä sisällyttämällä sosiaaliset ja ympäristöön liittyvät kriteerit viranomaisten rahoittamien, edistämien tai järjestämien kulttuuritapahtumien julkisiin hankintoihin.</w:t>
      </w:r>
    </w:p>
    <w:p w14:paraId="396474E2" w14:textId="77777777" w:rsidR="00E42B18" w:rsidRDefault="009629C4">
      <w:pPr>
        <w:pStyle w:val="P68B1DB1-Normal42"/>
        <w:spacing w:before="120" w:after="120"/>
        <w:jc w:val="both"/>
        <w:rPr>
          <w:noProof/>
        </w:rPr>
      </w:pPr>
      <w:r>
        <w:rPr>
          <w:noProof/>
        </w:rPr>
        <w:t xml:space="preserve">Investointi 3.3: Kulttuurialan toimijoiden valmiuksien kehittäminen digitaalisen ja vihreän siirtymän hallitsemiseksi </w:t>
      </w:r>
    </w:p>
    <w:p w14:paraId="5DE4C8AF" w14:textId="77777777" w:rsidR="00E42B18" w:rsidRDefault="009629C4">
      <w:pPr>
        <w:pStyle w:val="P68B1DB1-Normal8"/>
        <w:spacing w:before="120" w:after="120"/>
        <w:jc w:val="both"/>
        <w:rPr>
          <w:noProof/>
        </w:rPr>
      </w:pPr>
      <w:r>
        <w:rPr>
          <w:noProof/>
        </w:rPr>
        <w:t xml:space="preserve">Investoinnin yleisenä tavoitteena on tukea kulttuurialan ja luovien toimialojen elpymistä. Tämä koostuu kahdesta tukitoimesta. </w:t>
      </w:r>
    </w:p>
    <w:p w14:paraId="2CF3BF76" w14:textId="77777777" w:rsidR="00E42B18" w:rsidRDefault="009629C4">
      <w:pPr>
        <w:pStyle w:val="P68B1DB1-Normal7"/>
        <w:spacing w:before="120" w:after="120"/>
        <w:jc w:val="both"/>
        <w:rPr>
          <w:rFonts w:eastAsia="Times New Roman"/>
          <w:noProof/>
        </w:rPr>
      </w:pPr>
      <w:r>
        <w:rPr>
          <w:noProof/>
        </w:rPr>
        <w:t>Ensimmäisellä toimella (kulttuuritoiminnan elpymisen tukeminen edistämällä innovointia ja digitaaliteknologian käyttöä koko arvoketjussa) pyritään tukemaan kulttuurialan ja luovien toimialojen toimijoita digitaalisten strategioiden täytäntöönpanossa ja niiden hallinnointivalmiuksien lisäämisessä.</w:t>
      </w:r>
    </w:p>
    <w:p w14:paraId="1E04DC33" w14:textId="77777777" w:rsidR="00E42B18" w:rsidRDefault="009629C4">
      <w:pPr>
        <w:pStyle w:val="P68B1DB1-Normal7"/>
        <w:spacing w:before="120" w:after="120"/>
        <w:jc w:val="both"/>
        <w:rPr>
          <w:rFonts w:eastAsia="Times New Roman"/>
          <w:noProof/>
        </w:rPr>
      </w:pPr>
      <w:r>
        <w:rPr>
          <w:noProof/>
        </w:rPr>
        <w:t>Toisella toimella (vihreän lähestymistavan edistäminen koko kulttuuriketjussa ja luovan alan ketjussa) pyritään edistämään ympäristön kannalta kestävää lähestymistapaa koko ketjussa, pienentämään ekologista jalanjälkeä sekä edistämään innovatiivista ja osallistavaa ekologista suunnittelua, myös kiertotalouden yhteydessä, jotta voidaan ohjata yleisöä vastuullisempaan ympäristökäyttäytymiseen.</w:t>
      </w:r>
    </w:p>
    <w:p w14:paraId="3B804B32" w14:textId="77777777" w:rsidR="00E42B18" w:rsidRDefault="009629C4">
      <w:pPr>
        <w:jc w:val="both"/>
        <w:rPr>
          <w:rFonts w:ascii="Times New Roman" w:eastAsia="Times New Roman" w:hAnsi="Times New Roman" w:cs="Times New Roman"/>
          <w:noProof/>
        </w:rPr>
      </w:pPr>
      <w:r>
        <w:rPr>
          <w:rFonts w:ascii="Times New Roman" w:eastAsia="Times New Roman" w:hAnsi="Times New Roman" w:cs="Times New Roman"/>
          <w:noProof/>
        </w:rPr>
        <w:t>Sen varmistamiseksi, että toimenpide noudattaa teknistä ohjetta ”ei merkittävää haittaa” (2021/C58/01), tulevien hankepyyntöjen tehtävänmääritykseen sisältyviin tukikelpoisuusperusteisiin ei lueta seuraavia toimintoja: I) fossiilisiin polttoaineisiin liittyvä toiminta, mukaan lukien käyttö tuotantoketjun loppupäässä</w:t>
      </w:r>
      <w:r>
        <w:rPr>
          <w:rStyle w:val="FootnoteReference"/>
          <w:rFonts w:ascii="Times New Roman" w:eastAsia="Times New Roman" w:hAnsi="Times New Roman" w:cs="Times New Roman"/>
          <w:noProof/>
        </w:rPr>
        <w:footnoteReference w:id="14"/>
      </w:r>
      <w:r>
        <w:rPr>
          <w:rFonts w:ascii="Times New Roman" w:eastAsia="Times New Roman" w:hAnsi="Times New Roman" w:cs="Times New Roman"/>
          <w:noProof/>
        </w:rPr>
        <w:t>; II) EU:n päästökauppajärjestelmään kuuluvat toimet, joilla saavutetaan ennustetut kasvihuonekaasupäästöt, jotka eivät alita asiaankuuluvia vertailuarvoja</w:t>
      </w:r>
      <w:r>
        <w:rPr>
          <w:rStyle w:val="FootnoteReference"/>
          <w:rFonts w:ascii="Times New Roman" w:eastAsia="Times New Roman" w:hAnsi="Times New Roman" w:cs="Times New Roman"/>
          <w:noProof/>
        </w:rPr>
        <w:footnoteReference w:id="15"/>
      </w:r>
      <w:r>
        <w:rPr>
          <w:rFonts w:ascii="Times New Roman" w:eastAsia="Times New Roman" w:hAnsi="Times New Roman" w:cs="Times New Roman"/>
          <w:noProof/>
        </w:rPr>
        <w:t>; III) jätteen kaatopaikkoihin, polttolaitoksiin</w:t>
      </w:r>
      <w:r>
        <w:rPr>
          <w:rStyle w:val="FootnoteReference"/>
          <w:rFonts w:ascii="Times New Roman" w:eastAsia="Times New Roman" w:hAnsi="Times New Roman" w:cs="Times New Roman"/>
          <w:noProof/>
        </w:rPr>
        <w:footnoteReference w:id="16"/>
      </w:r>
      <w:r>
        <w:rPr>
          <w:rFonts w:ascii="Times New Roman" w:eastAsia="Times New Roman" w:hAnsi="Times New Roman" w:cs="Times New Roman"/>
          <w:noProof/>
        </w:rPr>
        <w:t xml:space="preserve"> ja mekaanisiin biologisiin käsittelylaitoksiin liittyvät toiminnot</w:t>
      </w:r>
      <w:r>
        <w:rPr>
          <w:rStyle w:val="FootnoteReference"/>
          <w:rFonts w:ascii="Times New Roman" w:eastAsia="Times New Roman" w:hAnsi="Times New Roman" w:cs="Times New Roman"/>
          <w:noProof/>
        </w:rPr>
        <w:footnoteReference w:id="17"/>
      </w:r>
      <w:r>
        <w:rPr>
          <w:rFonts w:ascii="Times New Roman" w:eastAsia="Times New Roman" w:hAnsi="Times New Roman" w:cs="Times New Roman"/>
          <w:noProof/>
        </w:rPr>
        <w:t>; ja iv) toiminnot, joissa jätteiden pitkän aikavälin loppukäsittely voi aiheuttaa haittaa ympäristölle. Tehtävänkuvauksessa edellytetään lisäksi, että voidaan valita ainoastaan toimintoja, jotka ovat asiaa koskevan EU:n ja kansallisen ympäristölainsäädännön mukaisia.</w:t>
      </w:r>
    </w:p>
    <w:p w14:paraId="2C2758AA" w14:textId="630736E2" w:rsidR="00E42B18" w:rsidRDefault="00E42B18">
      <w:pPr>
        <w:pStyle w:val="P68B1DB1-Normal8"/>
        <w:rPr>
          <w:b/>
          <w:noProof/>
        </w:rPr>
      </w:pPr>
      <w:bookmarkStart w:id="11" w:name="_Hlk160472807"/>
    </w:p>
    <w:p w14:paraId="43D19F9F" w14:textId="0388A4CF" w:rsidR="00E42B18" w:rsidRDefault="009629C4">
      <w:pPr>
        <w:pStyle w:val="P68B1DB1-Normal29"/>
        <w:rPr>
          <w:i/>
          <w:noProof/>
        </w:rPr>
      </w:pPr>
      <w:r>
        <w:rPr>
          <w:noProof/>
        </w:rPr>
        <w:t>Investointi 4.1: Digitaalisen matkailun keskus</w:t>
      </w:r>
    </w:p>
    <w:bookmarkEnd w:id="11"/>
    <w:p w14:paraId="5BE56429" w14:textId="22F2A0D8" w:rsidR="00E42B18" w:rsidRDefault="009629C4">
      <w:pPr>
        <w:pStyle w:val="P68B1DB1-Normal8"/>
        <w:spacing w:before="120" w:after="120"/>
        <w:jc w:val="both"/>
        <w:rPr>
          <w:rStyle w:val="eop"/>
          <w:rFonts w:eastAsiaTheme="majorEastAsia"/>
          <w:noProof/>
          <w:snapToGrid w:val="0"/>
          <w:color w:val="000000"/>
          <w:sz w:val="0"/>
          <w:szCs w:val="0"/>
          <w:u w:color="000000"/>
          <w:bdr w:val="none" w:sz="0" w:space="0" w:color="000000"/>
          <w:shd w:val="clear" w:color="000000" w:fill="000000"/>
        </w:rPr>
      </w:pPr>
      <w:r>
        <w:rPr>
          <w:noProof/>
        </w:rPr>
        <w:t>Tämän toimenpiteen tavoitteena on antaa koko matkailuekosysteemille mahdollisuus lisätä, integroida ja levittää omaa tarjontaansa. Toimenpiteellä perustetaan digitaalinen matkailukeskus, joka on käytettävissä asiaa käsittelevän verkkoalustan kautta.</w:t>
      </w:r>
    </w:p>
    <w:p w14:paraId="0A406B17" w14:textId="77777777" w:rsidR="00E42B18" w:rsidRDefault="009629C4">
      <w:pPr>
        <w:pStyle w:val="P68B1DB1-Normal42"/>
        <w:jc w:val="both"/>
        <w:rPr>
          <w:noProof/>
        </w:rPr>
      </w:pPr>
      <w:r>
        <w:rPr>
          <w:noProof/>
        </w:rPr>
        <w:t>Uudistus 4.1: Asetus matkaoppaiden ammattien määräämisestä</w:t>
      </w:r>
    </w:p>
    <w:p w14:paraId="6458FDF0" w14:textId="77777777" w:rsidR="00E42B18" w:rsidRDefault="009629C4">
      <w:pPr>
        <w:spacing w:before="120" w:after="120"/>
        <w:jc w:val="both"/>
        <w:rPr>
          <w:rFonts w:eastAsiaTheme="majorEastAsia" w:cstheme="majorBidi"/>
          <w:b/>
          <w:noProof/>
          <w:color w:val="0F4761" w:themeColor="accent1" w:themeShade="BF"/>
          <w:sz w:val="28"/>
          <w:szCs w:val="28"/>
          <w:u w:val="single"/>
        </w:rPr>
      </w:pPr>
      <w:r>
        <w:rPr>
          <w:noProof/>
        </w:rPr>
        <w:t xml:space="preserve">Digitaaliseen matkailukeskukseen </w:t>
      </w:r>
      <w:r>
        <w:rPr>
          <w:rFonts w:ascii="Times New Roman" w:eastAsia="Times New Roman" w:hAnsi="Times New Roman" w:cs="Times New Roman"/>
          <w:noProof/>
        </w:rPr>
        <w:t>tehtäviä investointeja täydennetään uudistuksella, jolla virtaviivaistetaan matkailuoppaita koskevia säännöksiä. Toimenpide tarjoaa paikallisen sääntelyn asianmukaisesti huomioon ottaen matkailuoppaiden ja niiden lähtöalueen ammattialajärjestön. Uudistuksen järjestelmällinen ja yhdenmukainen soveltaminen mahdollistaisi ammatin perusperiaatteiden sääntelemisen ja palvelujen tarjonnan tason yhdenmukaistamisen koko jäsenvaltion alueella, mikä vaikuttaisi myönteisesti markkinoihin. Uudistukseen on sisällyttävä koulutusta ja jatkokoulutusta, jotta tarjousta voidaan tukea parhaalla mahdollisella tavalla.</w:t>
      </w:r>
    </w:p>
    <w:p w14:paraId="4512BCF3" w14:textId="77777777" w:rsidR="00E42B18" w:rsidRDefault="00E42B18">
      <w:pPr>
        <w:pStyle w:val="Heading3"/>
        <w:ind w:left="850" w:hanging="850"/>
        <w:rPr>
          <w:b/>
          <w:noProof/>
          <w:u w:val="single"/>
        </w:rPr>
        <w:sectPr w:rsidR="00E42B18" w:rsidSect="005F11B9">
          <w:headerReference w:type="default" r:id="rId60"/>
          <w:footerReference w:type="default" r:id="rId61"/>
          <w:pgSz w:w="11906" w:h="16838"/>
          <w:pgMar w:top="1440" w:right="1440" w:bottom="1440" w:left="1440" w:header="708" w:footer="708" w:gutter="0"/>
          <w:cols w:space="708"/>
          <w:docGrid w:linePitch="360"/>
        </w:sectPr>
      </w:pPr>
    </w:p>
    <w:p w14:paraId="7AE78B2B" w14:textId="77777777" w:rsidR="00E42B18" w:rsidRDefault="009629C4">
      <w:pPr>
        <w:pStyle w:val="P68B1DB1-Heading39"/>
        <w:ind w:left="850" w:hanging="850"/>
        <w:rPr>
          <w:b/>
          <w:bCs/>
          <w:i/>
          <w:iCs/>
          <w:noProof/>
          <w:u w:val="single"/>
        </w:rPr>
      </w:pPr>
      <w:r>
        <w:rPr>
          <w:b/>
          <w:noProof/>
          <w:u w:val="single"/>
        </w:rPr>
        <w:t xml:space="preserve">C.2 </w:t>
      </w:r>
      <w:r>
        <w:rPr>
          <w:noProof/>
        </w:rPr>
        <w:t xml:space="preserve"> </w:t>
      </w:r>
      <w:r>
        <w:rPr>
          <w:b/>
          <w:noProof/>
          <w:u w:val="single"/>
        </w:rPr>
        <w:t>Seurantaa ja täytäntöönpanoa koskevat välitavoitteet, tavoitteet, indikaattorit ja aikataulu – rahoitustuki, jota ei makseta takaisin</w:t>
      </w:r>
    </w:p>
    <w:tbl>
      <w:tblPr>
        <w:tblW w:w="15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8"/>
        <w:gridCol w:w="1705"/>
        <w:gridCol w:w="990"/>
        <w:gridCol w:w="1563"/>
        <w:gridCol w:w="1243"/>
        <w:gridCol w:w="1135"/>
        <w:gridCol w:w="1307"/>
        <w:gridCol w:w="1132"/>
        <w:gridCol w:w="848"/>
        <w:gridCol w:w="694"/>
        <w:gridCol w:w="3672"/>
      </w:tblGrid>
      <w:tr w:rsidR="00E42B18" w14:paraId="7D4E2920" w14:textId="77777777">
        <w:trPr>
          <w:trHeight w:val="1013"/>
          <w:tblHeader/>
          <w:jc w:val="center"/>
        </w:trPr>
        <w:tc>
          <w:tcPr>
            <w:tcW w:w="366" w:type="pct"/>
            <w:vMerge w:val="restart"/>
            <w:shd w:val="clear" w:color="auto" w:fill="BDD7EE"/>
            <w:vAlign w:val="center"/>
          </w:tcPr>
          <w:p w14:paraId="1FD2E91C" w14:textId="77777777" w:rsidR="00E42B18" w:rsidRDefault="009629C4">
            <w:pPr>
              <w:pStyle w:val="P68B1DB1-Normal10"/>
              <w:spacing w:after="200" w:line="276" w:lineRule="auto"/>
              <w:rPr>
                <w:bCs/>
                <w:noProof/>
                <w:szCs w:val="20"/>
              </w:rPr>
            </w:pPr>
            <w:r>
              <w:rPr>
                <w:noProof/>
              </w:rPr>
              <w:t>Juokseva numero</w:t>
            </w:r>
          </w:p>
        </w:tc>
        <w:tc>
          <w:tcPr>
            <w:tcW w:w="553" w:type="pct"/>
            <w:vMerge w:val="restart"/>
            <w:shd w:val="clear" w:color="auto" w:fill="BDD7EE"/>
            <w:vAlign w:val="center"/>
          </w:tcPr>
          <w:p w14:paraId="79458DA4" w14:textId="77777777" w:rsidR="00E42B18" w:rsidRDefault="009629C4">
            <w:pPr>
              <w:pStyle w:val="P68B1DB1-Normal10"/>
              <w:jc w:val="center"/>
              <w:rPr>
                <w:noProof/>
                <w:szCs w:val="20"/>
              </w:rPr>
            </w:pPr>
            <w:r>
              <w:rPr>
                <w:noProof/>
              </w:rPr>
              <w:t>Toimenpide</w:t>
            </w:r>
          </w:p>
        </w:tc>
        <w:tc>
          <w:tcPr>
            <w:tcW w:w="321" w:type="pct"/>
            <w:vMerge w:val="restart"/>
            <w:shd w:val="clear" w:color="auto" w:fill="BDD7EE"/>
            <w:vAlign w:val="center"/>
          </w:tcPr>
          <w:p w14:paraId="7C57CECD" w14:textId="77777777" w:rsidR="00E42B18" w:rsidRDefault="009629C4">
            <w:pPr>
              <w:pStyle w:val="P68B1DB1-Normal10"/>
              <w:jc w:val="center"/>
              <w:rPr>
                <w:noProof/>
                <w:szCs w:val="20"/>
              </w:rPr>
            </w:pPr>
            <w:r>
              <w:rPr>
                <w:noProof/>
              </w:rPr>
              <w:t>Välitavoite/tavoite</w:t>
            </w:r>
          </w:p>
        </w:tc>
        <w:tc>
          <w:tcPr>
            <w:tcW w:w="507" w:type="pct"/>
            <w:vMerge w:val="restart"/>
            <w:shd w:val="clear" w:color="auto" w:fill="BDD7EE"/>
            <w:vAlign w:val="center"/>
          </w:tcPr>
          <w:p w14:paraId="4FA582FC" w14:textId="77777777" w:rsidR="00E42B18" w:rsidRDefault="009629C4">
            <w:pPr>
              <w:pStyle w:val="P68B1DB1-Normal10"/>
              <w:jc w:val="center"/>
              <w:rPr>
                <w:noProof/>
                <w:szCs w:val="20"/>
              </w:rPr>
            </w:pPr>
            <w:r>
              <w:rPr>
                <w:noProof/>
              </w:rPr>
              <w:t>Nimi</w:t>
            </w:r>
          </w:p>
        </w:tc>
        <w:tc>
          <w:tcPr>
            <w:tcW w:w="403" w:type="pct"/>
            <w:vMerge w:val="restart"/>
            <w:shd w:val="clear" w:color="auto" w:fill="BDD7EE"/>
            <w:vAlign w:val="center"/>
          </w:tcPr>
          <w:p w14:paraId="1B9EE8C6" w14:textId="36AF51D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t xml:space="preserve"> </w:t>
            </w:r>
            <w:r>
              <w:rPr>
                <w:noProof/>
              </w:rPr>
              <w:br/>
            </w:r>
            <w:r>
              <w:rPr>
                <w:rFonts w:ascii="Arial Narrow" w:hAnsi="Arial Narrow"/>
                <w:b/>
                <w:noProof/>
                <w:sz w:val="20"/>
              </w:rPr>
              <w:t>(välitavoitteiden osalta)</w:t>
            </w:r>
          </w:p>
        </w:tc>
        <w:tc>
          <w:tcPr>
            <w:tcW w:w="1159" w:type="pct"/>
            <w:gridSpan w:val="3"/>
            <w:shd w:val="clear" w:color="auto" w:fill="BDD7EE"/>
            <w:vAlign w:val="center"/>
          </w:tcPr>
          <w:p w14:paraId="3A54A4A2" w14:textId="0D955196"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t xml:space="preserve"> </w:t>
            </w:r>
            <w:r>
              <w:rPr>
                <w:noProof/>
              </w:rPr>
              <w:br/>
            </w:r>
            <w:r>
              <w:rPr>
                <w:rFonts w:ascii="Arial Narrow" w:hAnsi="Arial Narrow"/>
                <w:b/>
                <w:noProof/>
                <w:sz w:val="20"/>
              </w:rPr>
              <w:t>(tavoitteiden osalta)</w:t>
            </w:r>
          </w:p>
        </w:tc>
        <w:tc>
          <w:tcPr>
            <w:tcW w:w="500" w:type="pct"/>
            <w:gridSpan w:val="2"/>
            <w:shd w:val="clear" w:color="auto" w:fill="BDD7EE"/>
            <w:vAlign w:val="center"/>
          </w:tcPr>
          <w:p w14:paraId="5C3CB73D" w14:textId="77777777" w:rsidR="00E42B18" w:rsidRDefault="009629C4">
            <w:pPr>
              <w:pStyle w:val="P68B1DB1-Normal10"/>
              <w:jc w:val="center"/>
              <w:rPr>
                <w:noProof/>
                <w:szCs w:val="20"/>
              </w:rPr>
            </w:pPr>
            <w:r>
              <w:rPr>
                <w:noProof/>
              </w:rPr>
              <w:t>Alustava toteutusaikataulu</w:t>
            </w:r>
          </w:p>
        </w:tc>
        <w:tc>
          <w:tcPr>
            <w:tcW w:w="1191" w:type="pct"/>
            <w:vMerge w:val="restart"/>
            <w:shd w:val="clear" w:color="auto" w:fill="BDD7EE"/>
            <w:vAlign w:val="center"/>
          </w:tcPr>
          <w:p w14:paraId="204E7794" w14:textId="77777777" w:rsidR="00E42B18" w:rsidRDefault="009629C4">
            <w:pPr>
              <w:pStyle w:val="P68B1DB1-Normal10"/>
              <w:rPr>
                <w:noProof/>
                <w:szCs w:val="20"/>
              </w:rPr>
            </w:pPr>
            <w:r>
              <w:rPr>
                <w:noProof/>
              </w:rPr>
              <w:t>Kunkin välitavoitteen ja tavoitteen kuvaus</w:t>
            </w:r>
          </w:p>
        </w:tc>
      </w:tr>
      <w:tr w:rsidR="00E42B18" w14:paraId="46AD13C3" w14:textId="77777777">
        <w:trPr>
          <w:trHeight w:val="363"/>
          <w:tblHeader/>
          <w:jc w:val="center"/>
        </w:trPr>
        <w:tc>
          <w:tcPr>
            <w:tcW w:w="366" w:type="pct"/>
            <w:vMerge/>
            <w:vAlign w:val="center"/>
            <w:hideMark/>
          </w:tcPr>
          <w:p w14:paraId="3A8CB1F4" w14:textId="77777777" w:rsidR="00E42B18" w:rsidRDefault="00E42B18">
            <w:pPr>
              <w:spacing w:after="200" w:line="276" w:lineRule="auto"/>
              <w:rPr>
                <w:rFonts w:ascii="Arial Narrow" w:hAnsi="Arial Narrow"/>
                <w:b/>
                <w:noProof/>
                <w:sz w:val="20"/>
                <w:szCs w:val="20"/>
              </w:rPr>
            </w:pPr>
          </w:p>
        </w:tc>
        <w:tc>
          <w:tcPr>
            <w:tcW w:w="553" w:type="pct"/>
            <w:vMerge/>
            <w:vAlign w:val="center"/>
            <w:hideMark/>
          </w:tcPr>
          <w:p w14:paraId="4293A4E6" w14:textId="77777777" w:rsidR="00E42B18" w:rsidRDefault="00E42B18">
            <w:pPr>
              <w:jc w:val="center"/>
              <w:rPr>
                <w:rFonts w:ascii="Arial Narrow" w:hAnsi="Arial Narrow"/>
                <w:b/>
                <w:noProof/>
                <w:sz w:val="20"/>
                <w:szCs w:val="20"/>
              </w:rPr>
            </w:pPr>
          </w:p>
        </w:tc>
        <w:tc>
          <w:tcPr>
            <w:tcW w:w="321" w:type="pct"/>
            <w:vMerge/>
            <w:vAlign w:val="center"/>
            <w:hideMark/>
          </w:tcPr>
          <w:p w14:paraId="3529DB6E" w14:textId="77777777" w:rsidR="00E42B18" w:rsidRDefault="00E42B18">
            <w:pPr>
              <w:jc w:val="center"/>
              <w:rPr>
                <w:rFonts w:ascii="Arial Narrow" w:hAnsi="Arial Narrow"/>
                <w:b/>
                <w:noProof/>
                <w:sz w:val="20"/>
                <w:szCs w:val="20"/>
              </w:rPr>
            </w:pPr>
          </w:p>
        </w:tc>
        <w:tc>
          <w:tcPr>
            <w:tcW w:w="507" w:type="pct"/>
            <w:vMerge/>
            <w:vAlign w:val="center"/>
            <w:hideMark/>
          </w:tcPr>
          <w:p w14:paraId="21D3D691" w14:textId="77777777" w:rsidR="00E42B18" w:rsidRDefault="00E42B18">
            <w:pPr>
              <w:jc w:val="center"/>
              <w:rPr>
                <w:rFonts w:ascii="Arial Narrow" w:hAnsi="Arial Narrow"/>
                <w:b/>
                <w:noProof/>
                <w:sz w:val="20"/>
                <w:szCs w:val="20"/>
              </w:rPr>
            </w:pPr>
          </w:p>
        </w:tc>
        <w:tc>
          <w:tcPr>
            <w:tcW w:w="403" w:type="pct"/>
            <w:vMerge/>
            <w:vAlign w:val="center"/>
            <w:hideMark/>
          </w:tcPr>
          <w:p w14:paraId="56DB36B7" w14:textId="77777777" w:rsidR="00E42B18" w:rsidRDefault="00E42B18">
            <w:pPr>
              <w:jc w:val="center"/>
              <w:rPr>
                <w:rFonts w:ascii="Arial Narrow" w:hAnsi="Arial Narrow"/>
                <w:b/>
                <w:noProof/>
                <w:sz w:val="20"/>
                <w:szCs w:val="20"/>
              </w:rPr>
            </w:pPr>
          </w:p>
        </w:tc>
        <w:tc>
          <w:tcPr>
            <w:tcW w:w="368" w:type="pct"/>
            <w:shd w:val="clear" w:color="auto" w:fill="BDD7EE"/>
            <w:vAlign w:val="center"/>
            <w:hideMark/>
          </w:tcPr>
          <w:p w14:paraId="32CEF39B" w14:textId="77777777" w:rsidR="00E42B18" w:rsidRDefault="009629C4">
            <w:pPr>
              <w:pStyle w:val="P68B1DB1-Normal10"/>
              <w:jc w:val="center"/>
              <w:rPr>
                <w:noProof/>
                <w:szCs w:val="20"/>
              </w:rPr>
            </w:pPr>
            <w:r>
              <w:rPr>
                <w:noProof/>
              </w:rPr>
              <w:t>Mitta-yksikkö</w:t>
            </w:r>
          </w:p>
        </w:tc>
        <w:tc>
          <w:tcPr>
            <w:tcW w:w="424" w:type="pct"/>
            <w:shd w:val="clear" w:color="auto" w:fill="BDD7EE"/>
            <w:vAlign w:val="center"/>
            <w:hideMark/>
          </w:tcPr>
          <w:p w14:paraId="48645514" w14:textId="77777777" w:rsidR="00E42B18" w:rsidRDefault="009629C4">
            <w:pPr>
              <w:pStyle w:val="P68B1DB1-Normal10"/>
              <w:jc w:val="center"/>
              <w:rPr>
                <w:noProof/>
                <w:szCs w:val="20"/>
              </w:rPr>
            </w:pPr>
            <w:r>
              <w:rPr>
                <w:noProof/>
              </w:rPr>
              <w:t>Lähtötilanne</w:t>
            </w:r>
          </w:p>
        </w:tc>
        <w:tc>
          <w:tcPr>
            <w:tcW w:w="367" w:type="pct"/>
            <w:shd w:val="clear" w:color="auto" w:fill="BDD7EE"/>
            <w:vAlign w:val="center"/>
            <w:hideMark/>
          </w:tcPr>
          <w:p w14:paraId="4C20BCF4" w14:textId="77777777" w:rsidR="00E42B18" w:rsidRDefault="009629C4">
            <w:pPr>
              <w:pStyle w:val="P68B1DB1-Normal10"/>
              <w:jc w:val="center"/>
              <w:rPr>
                <w:noProof/>
                <w:szCs w:val="20"/>
              </w:rPr>
            </w:pPr>
            <w:r>
              <w:rPr>
                <w:noProof/>
              </w:rPr>
              <w:t>Päämäärä</w:t>
            </w:r>
          </w:p>
        </w:tc>
        <w:tc>
          <w:tcPr>
            <w:tcW w:w="275" w:type="pct"/>
            <w:shd w:val="clear" w:color="auto" w:fill="BDD7EE"/>
            <w:vAlign w:val="center"/>
            <w:hideMark/>
          </w:tcPr>
          <w:p w14:paraId="1EFDAA92" w14:textId="77777777" w:rsidR="00E42B18" w:rsidRDefault="009629C4">
            <w:pPr>
              <w:pStyle w:val="P68B1DB1-Normal10"/>
              <w:jc w:val="center"/>
              <w:rPr>
                <w:noProof/>
                <w:szCs w:val="20"/>
              </w:rPr>
            </w:pPr>
            <w:r>
              <w:rPr>
                <w:noProof/>
              </w:rPr>
              <w:t>Neljännes</w:t>
            </w:r>
          </w:p>
        </w:tc>
        <w:tc>
          <w:tcPr>
            <w:tcW w:w="225" w:type="pct"/>
            <w:shd w:val="clear" w:color="auto" w:fill="BDD7EE"/>
            <w:vAlign w:val="center"/>
            <w:hideMark/>
          </w:tcPr>
          <w:p w14:paraId="048552EC" w14:textId="77777777" w:rsidR="00E42B18" w:rsidRDefault="009629C4">
            <w:pPr>
              <w:pStyle w:val="P68B1DB1-Normal10"/>
              <w:jc w:val="center"/>
              <w:rPr>
                <w:noProof/>
                <w:szCs w:val="20"/>
              </w:rPr>
            </w:pPr>
            <w:r>
              <w:rPr>
                <w:noProof/>
              </w:rPr>
              <w:t>Vuosi</w:t>
            </w:r>
          </w:p>
        </w:tc>
        <w:tc>
          <w:tcPr>
            <w:tcW w:w="1191" w:type="pct"/>
            <w:vMerge/>
            <w:vAlign w:val="center"/>
            <w:hideMark/>
          </w:tcPr>
          <w:p w14:paraId="09CADDD6" w14:textId="77777777" w:rsidR="00E42B18" w:rsidRDefault="00E42B18">
            <w:pPr>
              <w:rPr>
                <w:rFonts w:ascii="Arial Narrow" w:hAnsi="Arial Narrow"/>
                <w:b/>
                <w:noProof/>
                <w:sz w:val="20"/>
                <w:szCs w:val="20"/>
              </w:rPr>
            </w:pPr>
          </w:p>
        </w:tc>
      </w:tr>
      <w:tr w:rsidR="00E42B18" w14:paraId="75EFAF18" w14:textId="77777777">
        <w:trPr>
          <w:trHeight w:val="309"/>
          <w:jc w:val="center"/>
        </w:trPr>
        <w:tc>
          <w:tcPr>
            <w:tcW w:w="366" w:type="pct"/>
            <w:shd w:val="clear" w:color="auto" w:fill="C6EFCE"/>
            <w:noWrap/>
            <w:vAlign w:val="center"/>
            <w:hideMark/>
          </w:tcPr>
          <w:p w14:paraId="78DC0271" w14:textId="77777777" w:rsidR="00E42B18" w:rsidRDefault="009629C4">
            <w:pPr>
              <w:pStyle w:val="P68B1DB1-Normal12"/>
              <w:jc w:val="center"/>
              <w:rPr>
                <w:noProof/>
              </w:rPr>
            </w:pPr>
            <w:r>
              <w:rPr>
                <w:noProof/>
              </w:rPr>
              <w:t>M1C3–2</w:t>
            </w:r>
          </w:p>
        </w:tc>
        <w:tc>
          <w:tcPr>
            <w:tcW w:w="553" w:type="pct"/>
            <w:shd w:val="clear" w:color="auto" w:fill="C6EFCE"/>
            <w:noWrap/>
            <w:vAlign w:val="center"/>
            <w:hideMark/>
          </w:tcPr>
          <w:p w14:paraId="2B56AAC1" w14:textId="77777777" w:rsidR="00E42B18" w:rsidRDefault="009629C4">
            <w:pPr>
              <w:pStyle w:val="P68B1DB1-Normal11"/>
              <w:jc w:val="center"/>
              <w:rPr>
                <w:noProof/>
                <w:szCs w:val="20"/>
              </w:rPr>
            </w:pPr>
            <w:r>
              <w:rPr>
                <w:noProof/>
              </w:rPr>
              <w:t>Investoinnit – 1.1 Digitaalistrategia ja kulttuuriperinnön foorumit</w:t>
            </w:r>
          </w:p>
        </w:tc>
        <w:tc>
          <w:tcPr>
            <w:tcW w:w="321" w:type="pct"/>
            <w:shd w:val="clear" w:color="auto" w:fill="C6EFCE"/>
            <w:noWrap/>
            <w:vAlign w:val="center"/>
            <w:hideMark/>
          </w:tcPr>
          <w:p w14:paraId="36E171C6" w14:textId="77777777" w:rsidR="00E42B18" w:rsidRDefault="009629C4">
            <w:pPr>
              <w:pStyle w:val="P68B1DB1-Normal11"/>
              <w:jc w:val="center"/>
              <w:rPr>
                <w:noProof/>
                <w:szCs w:val="20"/>
              </w:rPr>
            </w:pPr>
            <w:r>
              <w:rPr>
                <w:noProof/>
              </w:rPr>
              <w:t>Kohde</w:t>
            </w:r>
          </w:p>
        </w:tc>
        <w:tc>
          <w:tcPr>
            <w:tcW w:w="507" w:type="pct"/>
            <w:shd w:val="clear" w:color="auto" w:fill="C6EFCE"/>
            <w:noWrap/>
            <w:vAlign w:val="center"/>
            <w:hideMark/>
          </w:tcPr>
          <w:p w14:paraId="01D69399" w14:textId="0D2A4DD8" w:rsidR="00E42B18" w:rsidRDefault="009629C4">
            <w:pPr>
              <w:pStyle w:val="P68B1DB1-Normal11"/>
              <w:jc w:val="center"/>
              <w:rPr>
                <w:noProof/>
                <w:szCs w:val="20"/>
              </w:rPr>
            </w:pPr>
            <w:r>
              <w:rPr>
                <w:noProof/>
              </w:rPr>
              <w:t>Julkaistut digitaaliset ja mediaresurssit</w:t>
            </w:r>
          </w:p>
        </w:tc>
        <w:tc>
          <w:tcPr>
            <w:tcW w:w="403" w:type="pct"/>
            <w:shd w:val="clear" w:color="auto" w:fill="C6EFCE"/>
            <w:noWrap/>
            <w:vAlign w:val="center"/>
            <w:hideMark/>
          </w:tcPr>
          <w:p w14:paraId="1FE8FFD1" w14:textId="77777777" w:rsidR="00E42B18" w:rsidRDefault="009629C4">
            <w:pPr>
              <w:pStyle w:val="P68B1DB1-Normal11"/>
              <w:jc w:val="center"/>
              <w:rPr>
                <w:noProof/>
                <w:szCs w:val="20"/>
              </w:rPr>
            </w:pPr>
            <w:r>
              <w:rPr>
                <w:noProof/>
              </w:rPr>
              <w:t>EI OLE</w:t>
            </w:r>
          </w:p>
        </w:tc>
        <w:tc>
          <w:tcPr>
            <w:tcW w:w="368" w:type="pct"/>
            <w:shd w:val="clear" w:color="auto" w:fill="C6EFCE"/>
            <w:noWrap/>
            <w:vAlign w:val="center"/>
            <w:hideMark/>
          </w:tcPr>
          <w:p w14:paraId="48AAC759" w14:textId="77777777" w:rsidR="00E42B18" w:rsidRDefault="009629C4">
            <w:pPr>
              <w:pStyle w:val="P68B1DB1-Normal11"/>
              <w:jc w:val="center"/>
              <w:rPr>
                <w:noProof/>
                <w:szCs w:val="20"/>
              </w:rPr>
            </w:pPr>
            <w:r>
              <w:rPr>
                <w:noProof/>
              </w:rPr>
              <w:t>Numero</w:t>
            </w:r>
          </w:p>
        </w:tc>
        <w:tc>
          <w:tcPr>
            <w:tcW w:w="424" w:type="pct"/>
            <w:shd w:val="clear" w:color="auto" w:fill="C6EFCE"/>
            <w:noWrap/>
            <w:vAlign w:val="center"/>
            <w:hideMark/>
          </w:tcPr>
          <w:p w14:paraId="5AAE8AAE" w14:textId="77777777" w:rsidR="00E42B18" w:rsidRDefault="009629C4">
            <w:pPr>
              <w:pStyle w:val="P68B1DB1-Normal11"/>
              <w:jc w:val="center"/>
              <w:rPr>
                <w:noProof/>
                <w:szCs w:val="20"/>
              </w:rPr>
            </w:pPr>
            <w:r>
              <w:rPr>
                <w:noProof/>
              </w:rPr>
              <w:t>0</w:t>
            </w:r>
          </w:p>
        </w:tc>
        <w:tc>
          <w:tcPr>
            <w:tcW w:w="367" w:type="pct"/>
            <w:shd w:val="clear" w:color="auto" w:fill="C6EFCE"/>
            <w:noWrap/>
            <w:vAlign w:val="center"/>
            <w:hideMark/>
          </w:tcPr>
          <w:p w14:paraId="750B1DE2" w14:textId="77777777" w:rsidR="00E42B18" w:rsidRDefault="009629C4">
            <w:pPr>
              <w:pStyle w:val="P68B1DB1-Normal11"/>
              <w:jc w:val="center"/>
              <w:rPr>
                <w:noProof/>
                <w:szCs w:val="20"/>
              </w:rPr>
            </w:pPr>
            <w:r>
              <w:rPr>
                <w:noProof/>
              </w:rPr>
              <w:t>65 000 000</w:t>
            </w:r>
          </w:p>
        </w:tc>
        <w:tc>
          <w:tcPr>
            <w:tcW w:w="275" w:type="pct"/>
            <w:shd w:val="clear" w:color="auto" w:fill="C6EFCE"/>
            <w:noWrap/>
            <w:vAlign w:val="center"/>
            <w:hideMark/>
          </w:tcPr>
          <w:p w14:paraId="46865DCA" w14:textId="77777777" w:rsidR="00E42B18" w:rsidRDefault="009629C4">
            <w:pPr>
              <w:pStyle w:val="P68B1DB1-Normal11"/>
              <w:jc w:val="center"/>
              <w:rPr>
                <w:noProof/>
                <w:szCs w:val="20"/>
              </w:rPr>
            </w:pPr>
            <w:r>
              <w:rPr>
                <w:noProof/>
              </w:rPr>
              <w:t>Q4</w:t>
            </w:r>
          </w:p>
        </w:tc>
        <w:tc>
          <w:tcPr>
            <w:tcW w:w="225" w:type="pct"/>
            <w:shd w:val="clear" w:color="auto" w:fill="C6EFCE"/>
            <w:noWrap/>
            <w:vAlign w:val="center"/>
            <w:hideMark/>
          </w:tcPr>
          <w:p w14:paraId="61F0665F" w14:textId="474A164B" w:rsidR="00E42B18" w:rsidRDefault="009629C4">
            <w:pPr>
              <w:pStyle w:val="P68B1DB1-Normal11"/>
              <w:jc w:val="center"/>
              <w:rPr>
                <w:noProof/>
                <w:szCs w:val="20"/>
              </w:rPr>
            </w:pPr>
            <w:r>
              <w:rPr>
                <w:noProof/>
              </w:rPr>
              <w:t>2025</w:t>
            </w:r>
          </w:p>
        </w:tc>
        <w:tc>
          <w:tcPr>
            <w:tcW w:w="1191" w:type="pct"/>
            <w:shd w:val="clear" w:color="auto" w:fill="C6EFCE"/>
            <w:noWrap/>
            <w:vAlign w:val="center"/>
            <w:hideMark/>
          </w:tcPr>
          <w:p w14:paraId="5E942F83" w14:textId="54CBFA77" w:rsidR="00E42B18" w:rsidRDefault="009629C4">
            <w:pPr>
              <w:pStyle w:val="P68B1DB1-Normal11"/>
              <w:rPr>
                <w:noProof/>
                <w:szCs w:val="20"/>
              </w:rPr>
            </w:pPr>
            <w:r>
              <w:rPr>
                <w:noProof/>
              </w:rPr>
              <w:t>Vähintään 65000000 digitaalisen median resurssia on julkaistava.</w:t>
            </w:r>
          </w:p>
        </w:tc>
      </w:tr>
      <w:tr w:rsidR="00E42B18" w14:paraId="2A98186A" w14:textId="77777777">
        <w:trPr>
          <w:trHeight w:val="309"/>
          <w:jc w:val="center"/>
        </w:trPr>
        <w:tc>
          <w:tcPr>
            <w:tcW w:w="366" w:type="pct"/>
            <w:shd w:val="clear" w:color="auto" w:fill="C6EFCE"/>
            <w:noWrap/>
            <w:vAlign w:val="center"/>
            <w:hideMark/>
          </w:tcPr>
          <w:p w14:paraId="071D2B40" w14:textId="77777777" w:rsidR="00E42B18" w:rsidRDefault="009629C4">
            <w:pPr>
              <w:pStyle w:val="P68B1DB1-Normal12"/>
              <w:jc w:val="center"/>
              <w:rPr>
                <w:noProof/>
              </w:rPr>
            </w:pPr>
            <w:r>
              <w:rPr>
                <w:noProof/>
              </w:rPr>
              <w:t>M1C3–3</w:t>
            </w:r>
          </w:p>
        </w:tc>
        <w:tc>
          <w:tcPr>
            <w:tcW w:w="553" w:type="pct"/>
            <w:shd w:val="clear" w:color="auto" w:fill="C6EFCE"/>
            <w:noWrap/>
            <w:vAlign w:val="center"/>
            <w:hideMark/>
          </w:tcPr>
          <w:p w14:paraId="0510EFB9" w14:textId="77777777" w:rsidR="00E42B18" w:rsidRDefault="009629C4">
            <w:pPr>
              <w:pStyle w:val="P68B1DB1-Normal11"/>
              <w:jc w:val="center"/>
              <w:rPr>
                <w:noProof/>
                <w:szCs w:val="20"/>
              </w:rPr>
            </w:pPr>
            <w:r>
              <w:rPr>
                <w:noProof/>
              </w:rPr>
              <w:t>Investoinnit – 1.2 Fyysisten ja kognitiivisten esteiden poistaminen museoista, kirjastoista ja arkistoista kulttuurin laajemman saatavuuden ja siihen osallistumisen mahdollistamiseksi</w:t>
            </w:r>
          </w:p>
        </w:tc>
        <w:tc>
          <w:tcPr>
            <w:tcW w:w="321" w:type="pct"/>
            <w:shd w:val="clear" w:color="auto" w:fill="C6EFCE"/>
            <w:noWrap/>
            <w:vAlign w:val="center"/>
            <w:hideMark/>
          </w:tcPr>
          <w:p w14:paraId="75C94BE5" w14:textId="77777777" w:rsidR="00E42B18" w:rsidRDefault="009629C4">
            <w:pPr>
              <w:pStyle w:val="P68B1DB1-Normal11"/>
              <w:jc w:val="center"/>
              <w:rPr>
                <w:noProof/>
                <w:szCs w:val="20"/>
              </w:rPr>
            </w:pPr>
            <w:r>
              <w:rPr>
                <w:noProof/>
              </w:rPr>
              <w:t>Kohde</w:t>
            </w:r>
          </w:p>
        </w:tc>
        <w:tc>
          <w:tcPr>
            <w:tcW w:w="507" w:type="pct"/>
            <w:shd w:val="clear" w:color="auto" w:fill="C6EFCE"/>
            <w:noWrap/>
            <w:vAlign w:val="center"/>
            <w:hideMark/>
          </w:tcPr>
          <w:p w14:paraId="4671792A" w14:textId="77777777" w:rsidR="00E42B18" w:rsidRDefault="009629C4">
            <w:pPr>
              <w:pStyle w:val="P68B1DB1-Normal11"/>
              <w:jc w:val="center"/>
              <w:rPr>
                <w:noProof/>
                <w:szCs w:val="20"/>
              </w:rPr>
            </w:pPr>
            <w:r>
              <w:rPr>
                <w:noProof/>
              </w:rPr>
              <w:t xml:space="preserve">Toimet fyysisten ja kognitiivisten esteiden poistamiseksi </w:t>
            </w:r>
            <w:r>
              <w:rPr>
                <w:noProof/>
                <w:szCs w:val="20"/>
              </w:rPr>
              <w:t>museoista, muistomerkeistä, arkeologisista alueista ja puistoista, arkistoista ja kirjastoista</w:t>
            </w:r>
          </w:p>
        </w:tc>
        <w:tc>
          <w:tcPr>
            <w:tcW w:w="403" w:type="pct"/>
            <w:shd w:val="clear" w:color="auto" w:fill="C6EFCE"/>
            <w:noWrap/>
            <w:vAlign w:val="center"/>
            <w:hideMark/>
          </w:tcPr>
          <w:p w14:paraId="0A422C88" w14:textId="77777777" w:rsidR="00E42B18" w:rsidRDefault="009629C4">
            <w:pPr>
              <w:pStyle w:val="P68B1DB1-Normal11"/>
              <w:jc w:val="center"/>
              <w:rPr>
                <w:noProof/>
                <w:szCs w:val="20"/>
              </w:rPr>
            </w:pPr>
            <w:r>
              <w:rPr>
                <w:noProof/>
              </w:rPr>
              <w:t>EI OLE</w:t>
            </w:r>
          </w:p>
        </w:tc>
        <w:tc>
          <w:tcPr>
            <w:tcW w:w="368" w:type="pct"/>
            <w:shd w:val="clear" w:color="auto" w:fill="C6EFCE"/>
            <w:noWrap/>
            <w:vAlign w:val="center"/>
            <w:hideMark/>
          </w:tcPr>
          <w:p w14:paraId="27B322F1" w14:textId="77777777" w:rsidR="00E42B18" w:rsidRDefault="009629C4">
            <w:pPr>
              <w:pStyle w:val="P68B1DB1-Normal11"/>
              <w:jc w:val="center"/>
              <w:rPr>
                <w:noProof/>
                <w:szCs w:val="20"/>
              </w:rPr>
            </w:pPr>
            <w:r>
              <w:rPr>
                <w:noProof/>
              </w:rPr>
              <w:t>Numero</w:t>
            </w:r>
          </w:p>
        </w:tc>
        <w:tc>
          <w:tcPr>
            <w:tcW w:w="424" w:type="pct"/>
            <w:shd w:val="clear" w:color="auto" w:fill="C6EFCE"/>
            <w:noWrap/>
            <w:vAlign w:val="center"/>
            <w:hideMark/>
          </w:tcPr>
          <w:p w14:paraId="1E50409C" w14:textId="77777777" w:rsidR="00E42B18" w:rsidRDefault="009629C4">
            <w:pPr>
              <w:pStyle w:val="P68B1DB1-Normal11"/>
              <w:jc w:val="center"/>
              <w:rPr>
                <w:noProof/>
                <w:szCs w:val="20"/>
              </w:rPr>
            </w:pPr>
            <w:r>
              <w:rPr>
                <w:noProof/>
              </w:rPr>
              <w:t>0</w:t>
            </w:r>
          </w:p>
        </w:tc>
        <w:tc>
          <w:tcPr>
            <w:tcW w:w="367" w:type="pct"/>
            <w:shd w:val="clear" w:color="auto" w:fill="C6EFCE"/>
            <w:noWrap/>
            <w:vAlign w:val="center"/>
            <w:hideMark/>
          </w:tcPr>
          <w:p w14:paraId="07CB57F9" w14:textId="77777777" w:rsidR="00E42B18" w:rsidRDefault="009629C4">
            <w:pPr>
              <w:pStyle w:val="P68B1DB1-Normal11"/>
              <w:jc w:val="center"/>
              <w:rPr>
                <w:noProof/>
                <w:szCs w:val="20"/>
              </w:rPr>
            </w:pPr>
            <w:r>
              <w:rPr>
                <w:noProof/>
              </w:rPr>
              <w:t>617</w:t>
            </w:r>
          </w:p>
        </w:tc>
        <w:tc>
          <w:tcPr>
            <w:tcW w:w="275" w:type="pct"/>
            <w:shd w:val="clear" w:color="auto" w:fill="C6EFCE"/>
            <w:noWrap/>
            <w:vAlign w:val="center"/>
            <w:hideMark/>
          </w:tcPr>
          <w:p w14:paraId="1EFAA0E2" w14:textId="77777777" w:rsidR="00E42B18" w:rsidRDefault="009629C4">
            <w:pPr>
              <w:pStyle w:val="P68B1DB1-Normal11"/>
              <w:jc w:val="center"/>
              <w:rPr>
                <w:noProof/>
                <w:szCs w:val="20"/>
              </w:rPr>
            </w:pPr>
            <w:r>
              <w:rPr>
                <w:noProof/>
              </w:rPr>
              <w:t>Q2</w:t>
            </w:r>
          </w:p>
        </w:tc>
        <w:tc>
          <w:tcPr>
            <w:tcW w:w="225" w:type="pct"/>
            <w:shd w:val="clear" w:color="auto" w:fill="C6EFCE"/>
            <w:noWrap/>
            <w:vAlign w:val="center"/>
            <w:hideMark/>
          </w:tcPr>
          <w:p w14:paraId="0FFAC523" w14:textId="77777777" w:rsidR="00E42B18" w:rsidRDefault="009629C4">
            <w:pPr>
              <w:pStyle w:val="P68B1DB1-Normal11"/>
              <w:jc w:val="center"/>
              <w:rPr>
                <w:noProof/>
                <w:szCs w:val="20"/>
              </w:rPr>
            </w:pPr>
            <w:r>
              <w:rPr>
                <w:noProof/>
              </w:rPr>
              <w:t>2026</w:t>
            </w:r>
          </w:p>
        </w:tc>
        <w:tc>
          <w:tcPr>
            <w:tcW w:w="1191" w:type="pct"/>
            <w:shd w:val="clear" w:color="auto" w:fill="C6EFCE"/>
            <w:noWrap/>
            <w:vAlign w:val="center"/>
            <w:hideMark/>
          </w:tcPr>
          <w:p w14:paraId="45FA338A" w14:textId="79DF277A" w:rsidR="00E42B18" w:rsidRDefault="009629C4">
            <w:pPr>
              <w:pStyle w:val="P68B1DB1-Normal12"/>
              <w:rPr>
                <w:noProof/>
              </w:rPr>
            </w:pPr>
            <w:r>
              <w:rPr>
                <w:noProof/>
              </w:rPr>
              <w:t>Todistus töiden valmistumisesta on annettava vähintään 617 museolle, monumentille, arkeologisille alueille ja puistoille, arkistoille ja kirjastoille.</w:t>
            </w:r>
          </w:p>
        </w:tc>
      </w:tr>
      <w:tr w:rsidR="00E42B18" w14:paraId="463F85FC" w14:textId="77777777">
        <w:trPr>
          <w:trHeight w:val="309"/>
          <w:jc w:val="center"/>
        </w:trPr>
        <w:tc>
          <w:tcPr>
            <w:tcW w:w="366" w:type="pct"/>
            <w:shd w:val="clear" w:color="auto" w:fill="C6EFCE"/>
            <w:noWrap/>
            <w:vAlign w:val="center"/>
            <w:hideMark/>
          </w:tcPr>
          <w:p w14:paraId="27ED67D6" w14:textId="77777777" w:rsidR="00E42B18" w:rsidRDefault="009629C4">
            <w:pPr>
              <w:pStyle w:val="P68B1DB1-Normal11"/>
              <w:jc w:val="center"/>
              <w:rPr>
                <w:noProof/>
                <w:szCs w:val="20"/>
              </w:rPr>
            </w:pPr>
            <w:r>
              <w:rPr>
                <w:noProof/>
              </w:rPr>
              <w:t>M1C3–4</w:t>
            </w:r>
          </w:p>
        </w:tc>
        <w:tc>
          <w:tcPr>
            <w:tcW w:w="553" w:type="pct"/>
            <w:shd w:val="clear" w:color="auto" w:fill="C6EFCE"/>
            <w:noWrap/>
            <w:vAlign w:val="center"/>
            <w:hideMark/>
          </w:tcPr>
          <w:p w14:paraId="59B5419A" w14:textId="77777777" w:rsidR="00E42B18" w:rsidRDefault="009629C4">
            <w:pPr>
              <w:pStyle w:val="P68B1DB1-Normal11"/>
              <w:jc w:val="center"/>
              <w:rPr>
                <w:noProof/>
                <w:szCs w:val="20"/>
              </w:rPr>
            </w:pPr>
            <w:r>
              <w:rPr>
                <w:noProof/>
              </w:rPr>
              <w:t>Investoinnit – 1.3 Teatterien, teatterien ja museoiden energiatehokkuuden parantaminen</w:t>
            </w:r>
          </w:p>
        </w:tc>
        <w:tc>
          <w:tcPr>
            <w:tcW w:w="321" w:type="pct"/>
            <w:shd w:val="clear" w:color="auto" w:fill="C6EFCE"/>
            <w:noWrap/>
            <w:vAlign w:val="center"/>
            <w:hideMark/>
          </w:tcPr>
          <w:p w14:paraId="19A28804" w14:textId="77777777" w:rsidR="00E42B18" w:rsidRDefault="009629C4">
            <w:pPr>
              <w:pStyle w:val="P68B1DB1-Normal11"/>
              <w:jc w:val="center"/>
              <w:rPr>
                <w:noProof/>
                <w:szCs w:val="20"/>
              </w:rPr>
            </w:pPr>
            <w:r>
              <w:rPr>
                <w:noProof/>
              </w:rPr>
              <w:t>Kohde</w:t>
            </w:r>
          </w:p>
        </w:tc>
        <w:tc>
          <w:tcPr>
            <w:tcW w:w="507" w:type="pct"/>
            <w:shd w:val="clear" w:color="auto" w:fill="C6EFCE"/>
            <w:noWrap/>
            <w:vAlign w:val="center"/>
            <w:hideMark/>
          </w:tcPr>
          <w:p w14:paraId="0B48B77B" w14:textId="20B929AD" w:rsidR="00E42B18" w:rsidRDefault="009629C4">
            <w:pPr>
              <w:pStyle w:val="P68B1DB1-Normal11"/>
              <w:jc w:val="center"/>
              <w:rPr>
                <w:noProof/>
                <w:szCs w:val="20"/>
              </w:rPr>
            </w:pPr>
            <w:r>
              <w:rPr>
                <w:noProof/>
              </w:rPr>
              <w:t>Valtion museoita ja kulttuurikohteita, teatterihalleja ja elokuvateattereita koskevat toimet saatiin päätökseen (ensimmäinen erä)</w:t>
            </w:r>
          </w:p>
        </w:tc>
        <w:tc>
          <w:tcPr>
            <w:tcW w:w="403" w:type="pct"/>
            <w:shd w:val="clear" w:color="auto" w:fill="C6EFCE"/>
            <w:noWrap/>
            <w:vAlign w:val="center"/>
            <w:hideMark/>
          </w:tcPr>
          <w:p w14:paraId="7FB39BBB" w14:textId="77777777" w:rsidR="00E42B18" w:rsidRDefault="009629C4">
            <w:pPr>
              <w:pStyle w:val="P68B1DB1-Normal11"/>
              <w:jc w:val="center"/>
              <w:rPr>
                <w:noProof/>
                <w:szCs w:val="20"/>
              </w:rPr>
            </w:pPr>
            <w:r>
              <w:rPr>
                <w:noProof/>
              </w:rPr>
              <w:t>EI OLE</w:t>
            </w:r>
          </w:p>
        </w:tc>
        <w:tc>
          <w:tcPr>
            <w:tcW w:w="368" w:type="pct"/>
            <w:shd w:val="clear" w:color="auto" w:fill="C6EFCE"/>
            <w:noWrap/>
            <w:vAlign w:val="center"/>
            <w:hideMark/>
          </w:tcPr>
          <w:p w14:paraId="286A6206" w14:textId="77777777" w:rsidR="00E42B18" w:rsidRDefault="009629C4">
            <w:pPr>
              <w:pStyle w:val="P68B1DB1-Normal11"/>
              <w:jc w:val="center"/>
              <w:rPr>
                <w:noProof/>
                <w:szCs w:val="20"/>
              </w:rPr>
            </w:pPr>
            <w:r>
              <w:rPr>
                <w:noProof/>
              </w:rPr>
              <w:t>Numero</w:t>
            </w:r>
          </w:p>
        </w:tc>
        <w:tc>
          <w:tcPr>
            <w:tcW w:w="424" w:type="pct"/>
            <w:shd w:val="clear" w:color="auto" w:fill="C6EFCE"/>
            <w:noWrap/>
            <w:vAlign w:val="center"/>
            <w:hideMark/>
          </w:tcPr>
          <w:p w14:paraId="143F5B38" w14:textId="77777777" w:rsidR="00E42B18" w:rsidRDefault="009629C4">
            <w:pPr>
              <w:pStyle w:val="P68B1DB1-Normal11"/>
              <w:jc w:val="center"/>
              <w:rPr>
                <w:noProof/>
                <w:szCs w:val="20"/>
              </w:rPr>
            </w:pPr>
            <w:r>
              <w:rPr>
                <w:noProof/>
              </w:rPr>
              <w:t>0</w:t>
            </w:r>
          </w:p>
        </w:tc>
        <w:tc>
          <w:tcPr>
            <w:tcW w:w="367" w:type="pct"/>
            <w:shd w:val="clear" w:color="auto" w:fill="C6EFCE"/>
            <w:noWrap/>
            <w:vAlign w:val="center"/>
            <w:hideMark/>
          </w:tcPr>
          <w:p w14:paraId="5D9B416B" w14:textId="77777777" w:rsidR="00E42B18" w:rsidRDefault="009629C4">
            <w:pPr>
              <w:pStyle w:val="P68B1DB1-Normal11"/>
              <w:jc w:val="center"/>
              <w:rPr>
                <w:noProof/>
                <w:szCs w:val="20"/>
              </w:rPr>
            </w:pPr>
            <w:r>
              <w:rPr>
                <w:noProof/>
              </w:rPr>
              <w:t>80</w:t>
            </w:r>
          </w:p>
        </w:tc>
        <w:tc>
          <w:tcPr>
            <w:tcW w:w="275" w:type="pct"/>
            <w:shd w:val="clear" w:color="auto" w:fill="C6EFCE"/>
            <w:noWrap/>
            <w:vAlign w:val="center"/>
            <w:hideMark/>
          </w:tcPr>
          <w:p w14:paraId="28298A0D" w14:textId="77777777" w:rsidR="00E42B18" w:rsidRDefault="009629C4">
            <w:pPr>
              <w:pStyle w:val="P68B1DB1-Normal11"/>
              <w:jc w:val="center"/>
              <w:rPr>
                <w:noProof/>
                <w:szCs w:val="20"/>
              </w:rPr>
            </w:pPr>
            <w:r>
              <w:rPr>
                <w:noProof/>
              </w:rPr>
              <w:t>Q3</w:t>
            </w:r>
          </w:p>
        </w:tc>
        <w:tc>
          <w:tcPr>
            <w:tcW w:w="225" w:type="pct"/>
            <w:shd w:val="clear" w:color="auto" w:fill="C6EFCE"/>
            <w:noWrap/>
            <w:vAlign w:val="center"/>
            <w:hideMark/>
          </w:tcPr>
          <w:p w14:paraId="5CA1E8F1" w14:textId="77777777" w:rsidR="00E42B18" w:rsidRDefault="009629C4">
            <w:pPr>
              <w:pStyle w:val="P68B1DB1-Normal11"/>
              <w:jc w:val="center"/>
              <w:rPr>
                <w:noProof/>
                <w:szCs w:val="20"/>
              </w:rPr>
            </w:pPr>
            <w:r>
              <w:rPr>
                <w:noProof/>
              </w:rPr>
              <w:t>2023</w:t>
            </w:r>
          </w:p>
        </w:tc>
        <w:tc>
          <w:tcPr>
            <w:tcW w:w="1191" w:type="pct"/>
            <w:shd w:val="clear" w:color="auto" w:fill="C6EFCE"/>
            <w:noWrap/>
            <w:vAlign w:val="center"/>
            <w:hideMark/>
          </w:tcPr>
          <w:p w14:paraId="4A7245AF" w14:textId="77777777" w:rsidR="00E42B18" w:rsidRDefault="009629C4">
            <w:pPr>
              <w:pStyle w:val="P68B1DB1-Normal11"/>
              <w:rPr>
                <w:noProof/>
                <w:szCs w:val="20"/>
              </w:rPr>
            </w:pPr>
            <w:r>
              <w:rPr>
                <w:noProof/>
              </w:rPr>
              <w:t>Indikaattori viittaa päätettyjen interventioiden lukumäärään, mikä käy ilmi töiden säännöllisen toteuttamisen todentamisesta.</w:t>
            </w:r>
          </w:p>
          <w:p w14:paraId="1CE82624" w14:textId="77777777" w:rsidR="00E42B18" w:rsidRDefault="009629C4">
            <w:pPr>
              <w:pStyle w:val="P68B1DB1-Normal11"/>
              <w:rPr>
                <w:noProof/>
                <w:szCs w:val="20"/>
              </w:rPr>
            </w:pPr>
            <w:r>
              <w:rPr>
                <w:noProof/>
              </w:rPr>
              <w:t>Täytettäviä tukitoimityyppejä ovat muun muassa seuraavat:</w:t>
            </w:r>
          </w:p>
          <w:p w14:paraId="110BE535" w14:textId="77777777" w:rsidR="00E42B18" w:rsidRDefault="009629C4">
            <w:pPr>
              <w:ind w:left="315" w:hanging="315"/>
              <w:rPr>
                <w:rFonts w:ascii="Arial Narrow" w:hAnsi="Arial Narrow"/>
                <w:noProof/>
                <w:color w:val="006100"/>
                <w:sz w:val="20"/>
                <w:szCs w:val="20"/>
              </w:rPr>
            </w:pPr>
            <w:r>
              <w:rPr>
                <w:rFonts w:ascii="Arial Narrow" w:hAnsi="Arial Narrow"/>
                <w:noProof/>
                <w:color w:val="003A00"/>
                <w:sz w:val="20"/>
              </w:rPr>
              <w:t>-</w:t>
            </w:r>
            <w:r>
              <w:rPr>
                <w:noProof/>
                <w:color w:val="003A00"/>
              </w:rPr>
              <w:t xml:space="preserve"> </w:t>
            </w:r>
            <w:r>
              <w:rPr>
                <w:rFonts w:ascii="Arial Narrow" w:hAnsi="Arial Narrow"/>
                <w:noProof/>
                <w:color w:val="006100"/>
                <w:sz w:val="20"/>
              </w:rPr>
              <w:t>tekninen, taloudellinen ja rahoituksellinen suunnittelu, energiakatselmukset, alustavat ympäristöanalyysit, ympäristövaikutusten arviointi, häiriöt ja arvioinnit, joiden tarkoituksena on tunnistaa kriittiset kysymykset, sekä niiden toimenpiteiden yksilöinti, joilla parannetaan energiatehokkuutta;</w:t>
            </w:r>
          </w:p>
          <w:p w14:paraId="1064E997" w14:textId="77777777" w:rsidR="00E42B18" w:rsidRDefault="009629C4">
            <w:pPr>
              <w:ind w:left="315" w:hanging="315"/>
              <w:rPr>
                <w:rFonts w:ascii="Arial Narrow" w:hAnsi="Arial Narrow"/>
                <w:noProof/>
                <w:color w:val="006100"/>
                <w:sz w:val="20"/>
                <w:szCs w:val="20"/>
              </w:rPr>
            </w:pPr>
            <w:r>
              <w:rPr>
                <w:rFonts w:ascii="Arial Narrow" w:hAnsi="Arial Narrow"/>
                <w:noProof/>
                <w:color w:val="003A00"/>
                <w:sz w:val="20"/>
              </w:rPr>
              <w:t>-</w:t>
            </w:r>
            <w:r>
              <w:rPr>
                <w:noProof/>
                <w:color w:val="003A00"/>
              </w:rPr>
              <w:t xml:space="preserve"> </w:t>
            </w:r>
            <w:r>
              <w:rPr>
                <w:rFonts w:ascii="Arial Narrow" w:hAnsi="Arial Narrow"/>
                <w:noProof/>
                <w:color w:val="006100"/>
                <w:sz w:val="20"/>
              </w:rPr>
              <w:t>rakennusten vaippaa koskevat toimet;</w:t>
            </w:r>
          </w:p>
          <w:p w14:paraId="0A61F656" w14:textId="77777777" w:rsidR="00E42B18" w:rsidRDefault="009629C4">
            <w:pPr>
              <w:ind w:left="315" w:hanging="315"/>
              <w:rPr>
                <w:rFonts w:ascii="Arial Narrow" w:hAnsi="Arial Narrow"/>
                <w:noProof/>
                <w:color w:val="006100"/>
                <w:sz w:val="20"/>
                <w:szCs w:val="20"/>
              </w:rPr>
            </w:pPr>
            <w:r>
              <w:rPr>
                <w:rFonts w:ascii="Arial Narrow" w:hAnsi="Arial Narrow"/>
                <w:noProof/>
                <w:color w:val="003A00"/>
                <w:sz w:val="20"/>
              </w:rPr>
              <w:t>-</w:t>
            </w:r>
            <w:r>
              <w:rPr>
                <w:noProof/>
                <w:color w:val="003A00"/>
              </w:rPr>
              <w:t xml:space="preserve"> </w:t>
            </w:r>
            <w:r>
              <w:rPr>
                <w:rFonts w:ascii="Arial Narrow" w:hAnsi="Arial Narrow"/>
                <w:noProof/>
                <w:color w:val="006100"/>
                <w:sz w:val="20"/>
              </w:rPr>
              <w:t>laitteiden, työkalujen, järjestelmien, laitteiden ja digitaalisten sovellusohjelmistojen korvaamiseen/hankintaan liittyvät toimet sekä niiden käyttöön, patenttien, lisenssien ja taitotiedon hankintaan liittyvät oheisvälineet;</w:t>
            </w:r>
          </w:p>
          <w:p w14:paraId="6B3408B9" w14:textId="77777777" w:rsidR="00E42B18" w:rsidRDefault="009629C4">
            <w:pPr>
              <w:ind w:left="315" w:hanging="315"/>
              <w:rPr>
                <w:rFonts w:ascii="Arial Narrow" w:hAnsi="Arial Narrow"/>
                <w:noProof/>
                <w:color w:val="006100"/>
                <w:sz w:val="20"/>
                <w:szCs w:val="20"/>
              </w:rPr>
            </w:pPr>
            <w:r>
              <w:rPr>
                <w:rFonts w:ascii="Arial Narrow" w:hAnsi="Arial Narrow"/>
                <w:noProof/>
                <w:color w:val="006100"/>
                <w:sz w:val="20"/>
              </w:rPr>
              <w:t>-</w:t>
            </w:r>
            <w:r>
              <w:rPr>
                <w:noProof/>
                <w:color w:val="003A00"/>
              </w:rPr>
              <w:t xml:space="preserve"> </w:t>
            </w:r>
            <w:r>
              <w:rPr>
                <w:rFonts w:ascii="Arial Narrow" w:hAnsi="Arial Narrow"/>
                <w:noProof/>
                <w:color w:val="006100"/>
                <w:sz w:val="20"/>
              </w:rPr>
              <w:t>älykkäiden järjestelmien asentaminen energiankulutuksen (älykkäät rakennukset) ja saastuttavien päästöjen kaukosäätöä, sääntelyä, hallintaa, seurantaa ja optimointia varten myös käyttämällä teknologiayhdistelmiä.</w:t>
            </w:r>
          </w:p>
        </w:tc>
      </w:tr>
      <w:tr w:rsidR="00E42B18" w14:paraId="2FF17127" w14:textId="77777777">
        <w:trPr>
          <w:trHeight w:val="309"/>
          <w:jc w:val="center"/>
        </w:trPr>
        <w:tc>
          <w:tcPr>
            <w:tcW w:w="366" w:type="pct"/>
            <w:shd w:val="clear" w:color="auto" w:fill="C6EFCE"/>
            <w:noWrap/>
            <w:vAlign w:val="center"/>
            <w:hideMark/>
          </w:tcPr>
          <w:p w14:paraId="0E03FA3A" w14:textId="77777777" w:rsidR="00E42B18" w:rsidRDefault="009629C4">
            <w:pPr>
              <w:pStyle w:val="P68B1DB1-Normal11"/>
              <w:jc w:val="center"/>
              <w:rPr>
                <w:noProof/>
                <w:szCs w:val="20"/>
              </w:rPr>
            </w:pPr>
            <w:r>
              <w:rPr>
                <w:noProof/>
              </w:rPr>
              <w:t>M1C3–5</w:t>
            </w:r>
          </w:p>
        </w:tc>
        <w:tc>
          <w:tcPr>
            <w:tcW w:w="553" w:type="pct"/>
            <w:shd w:val="clear" w:color="auto" w:fill="C6EFCE"/>
            <w:noWrap/>
            <w:vAlign w:val="center"/>
            <w:hideMark/>
          </w:tcPr>
          <w:p w14:paraId="49A34934" w14:textId="77777777" w:rsidR="00E42B18" w:rsidRDefault="009629C4">
            <w:pPr>
              <w:pStyle w:val="P68B1DB1-Normal11"/>
              <w:jc w:val="center"/>
              <w:rPr>
                <w:noProof/>
                <w:szCs w:val="20"/>
              </w:rPr>
            </w:pPr>
            <w:r>
              <w:rPr>
                <w:noProof/>
              </w:rPr>
              <w:t>Investoinnit – 1.3 Teatterien, teatterien ja museoiden energiatehokkuuden parantaminen</w:t>
            </w:r>
          </w:p>
        </w:tc>
        <w:tc>
          <w:tcPr>
            <w:tcW w:w="321" w:type="pct"/>
            <w:shd w:val="clear" w:color="auto" w:fill="C6EFCE"/>
            <w:noWrap/>
            <w:vAlign w:val="center"/>
            <w:hideMark/>
          </w:tcPr>
          <w:p w14:paraId="183C2A55" w14:textId="77777777" w:rsidR="00E42B18" w:rsidRDefault="009629C4">
            <w:pPr>
              <w:pStyle w:val="P68B1DB1-Normal11"/>
              <w:jc w:val="center"/>
              <w:rPr>
                <w:noProof/>
                <w:szCs w:val="20"/>
              </w:rPr>
            </w:pPr>
            <w:r>
              <w:rPr>
                <w:noProof/>
              </w:rPr>
              <w:t>Kohde</w:t>
            </w:r>
          </w:p>
        </w:tc>
        <w:tc>
          <w:tcPr>
            <w:tcW w:w="507" w:type="pct"/>
            <w:shd w:val="clear" w:color="auto" w:fill="C6EFCE"/>
            <w:noWrap/>
            <w:vAlign w:val="center"/>
            <w:hideMark/>
          </w:tcPr>
          <w:p w14:paraId="5730BB92" w14:textId="126454CC" w:rsidR="00E42B18" w:rsidRDefault="009629C4">
            <w:pPr>
              <w:pStyle w:val="P68B1DB1-Normal11"/>
              <w:jc w:val="center"/>
              <w:rPr>
                <w:noProof/>
                <w:szCs w:val="20"/>
              </w:rPr>
            </w:pPr>
            <w:r>
              <w:rPr>
                <w:noProof/>
              </w:rPr>
              <w:t>Valtion museoita ja kulttuurikohteita, teatterihalleja ja elokuvateattereita koskevat toimet saatetaan päätökseen (toinen erä)</w:t>
            </w:r>
          </w:p>
        </w:tc>
        <w:tc>
          <w:tcPr>
            <w:tcW w:w="403" w:type="pct"/>
            <w:shd w:val="clear" w:color="auto" w:fill="C6EFCE"/>
            <w:noWrap/>
            <w:vAlign w:val="center"/>
            <w:hideMark/>
          </w:tcPr>
          <w:p w14:paraId="0398AED4" w14:textId="77777777" w:rsidR="00E42B18" w:rsidRDefault="009629C4">
            <w:pPr>
              <w:pStyle w:val="P68B1DB1-Normal11"/>
              <w:jc w:val="center"/>
              <w:rPr>
                <w:noProof/>
                <w:szCs w:val="20"/>
              </w:rPr>
            </w:pPr>
            <w:r>
              <w:rPr>
                <w:noProof/>
              </w:rPr>
              <w:t>EI OLE</w:t>
            </w:r>
          </w:p>
        </w:tc>
        <w:tc>
          <w:tcPr>
            <w:tcW w:w="368" w:type="pct"/>
            <w:shd w:val="clear" w:color="auto" w:fill="C6EFCE"/>
            <w:noWrap/>
            <w:vAlign w:val="center"/>
            <w:hideMark/>
          </w:tcPr>
          <w:p w14:paraId="1377A5E1" w14:textId="77777777" w:rsidR="00E42B18" w:rsidRDefault="009629C4">
            <w:pPr>
              <w:pStyle w:val="P68B1DB1-Normal11"/>
              <w:jc w:val="center"/>
              <w:rPr>
                <w:noProof/>
                <w:szCs w:val="20"/>
              </w:rPr>
            </w:pPr>
            <w:r>
              <w:rPr>
                <w:noProof/>
              </w:rPr>
              <w:t>Numero</w:t>
            </w:r>
          </w:p>
        </w:tc>
        <w:tc>
          <w:tcPr>
            <w:tcW w:w="424" w:type="pct"/>
            <w:shd w:val="clear" w:color="auto" w:fill="C6EFCE"/>
            <w:noWrap/>
            <w:vAlign w:val="center"/>
            <w:hideMark/>
          </w:tcPr>
          <w:p w14:paraId="70235851" w14:textId="77777777" w:rsidR="00E42B18" w:rsidRDefault="009629C4">
            <w:pPr>
              <w:pStyle w:val="P68B1DB1-Normal11"/>
              <w:jc w:val="center"/>
              <w:rPr>
                <w:noProof/>
                <w:szCs w:val="20"/>
              </w:rPr>
            </w:pPr>
            <w:r>
              <w:rPr>
                <w:noProof/>
              </w:rPr>
              <w:t>80</w:t>
            </w:r>
          </w:p>
        </w:tc>
        <w:tc>
          <w:tcPr>
            <w:tcW w:w="367" w:type="pct"/>
            <w:shd w:val="clear" w:color="auto" w:fill="C6EFCE"/>
            <w:noWrap/>
            <w:vAlign w:val="center"/>
            <w:hideMark/>
          </w:tcPr>
          <w:p w14:paraId="17000261" w14:textId="77777777" w:rsidR="00E42B18" w:rsidRDefault="009629C4">
            <w:pPr>
              <w:pStyle w:val="P68B1DB1-Normal12"/>
              <w:jc w:val="center"/>
              <w:rPr>
                <w:noProof/>
              </w:rPr>
            </w:pPr>
            <w:r>
              <w:rPr>
                <w:noProof/>
              </w:rPr>
              <w:t>420</w:t>
            </w:r>
          </w:p>
        </w:tc>
        <w:tc>
          <w:tcPr>
            <w:tcW w:w="275" w:type="pct"/>
            <w:shd w:val="clear" w:color="auto" w:fill="C6EFCE"/>
            <w:noWrap/>
            <w:vAlign w:val="center"/>
            <w:hideMark/>
          </w:tcPr>
          <w:p w14:paraId="76680CE4" w14:textId="77777777" w:rsidR="00E42B18" w:rsidRDefault="009629C4">
            <w:pPr>
              <w:pStyle w:val="P68B1DB1-Normal11"/>
              <w:jc w:val="center"/>
              <w:rPr>
                <w:noProof/>
                <w:szCs w:val="20"/>
              </w:rPr>
            </w:pPr>
            <w:r>
              <w:rPr>
                <w:noProof/>
              </w:rPr>
              <w:t>Q4</w:t>
            </w:r>
          </w:p>
        </w:tc>
        <w:tc>
          <w:tcPr>
            <w:tcW w:w="225" w:type="pct"/>
            <w:shd w:val="clear" w:color="auto" w:fill="C6EFCE"/>
            <w:noWrap/>
            <w:vAlign w:val="center"/>
            <w:hideMark/>
          </w:tcPr>
          <w:p w14:paraId="10C375E0" w14:textId="77777777" w:rsidR="00E42B18" w:rsidRDefault="009629C4">
            <w:pPr>
              <w:pStyle w:val="P68B1DB1-Normal11"/>
              <w:jc w:val="center"/>
              <w:rPr>
                <w:noProof/>
                <w:szCs w:val="20"/>
              </w:rPr>
            </w:pPr>
            <w:r>
              <w:rPr>
                <w:noProof/>
              </w:rPr>
              <w:t>2025</w:t>
            </w:r>
          </w:p>
        </w:tc>
        <w:tc>
          <w:tcPr>
            <w:tcW w:w="1191" w:type="pct"/>
            <w:shd w:val="clear" w:color="auto" w:fill="C6EFCE"/>
            <w:noWrap/>
            <w:vAlign w:val="center"/>
            <w:hideMark/>
          </w:tcPr>
          <w:p w14:paraId="1C0B80F0" w14:textId="6CE4E192" w:rsidR="00E42B18" w:rsidRDefault="009629C4">
            <w:pPr>
              <w:pStyle w:val="P68B1DB1-Normal11"/>
              <w:rPr>
                <w:noProof/>
                <w:szCs w:val="20"/>
              </w:rPr>
            </w:pPr>
            <w:r>
              <w:rPr>
                <w:noProof/>
                <w:szCs w:val="20"/>
              </w:rPr>
              <w:t xml:space="preserve">Todistus </w:t>
            </w:r>
            <w:r>
              <w:rPr>
                <w:noProof/>
              </w:rPr>
              <w:t>töiden valmistumisesta on annettava vähintään 340 tukitoimen osalta, mukaan lukien seuraavat:</w:t>
            </w:r>
          </w:p>
          <w:p w14:paraId="005E341C" w14:textId="791CAEC1" w:rsidR="00E42B18" w:rsidRDefault="009629C4">
            <w:pPr>
              <w:pStyle w:val="P68B1DB1-ListParagraph15"/>
              <w:numPr>
                <w:ilvl w:val="0"/>
                <w:numId w:val="171"/>
              </w:numPr>
              <w:rPr>
                <w:noProof/>
                <w:szCs w:val="20"/>
              </w:rPr>
            </w:pPr>
            <w:r>
              <w:rPr>
                <w:noProof/>
              </w:rPr>
              <w:t>tekninen, taloudellinen ja rahoituksellinen suunnittelu, energiakatselmukset, alustavat ympäristöanalyysit, ympäristövaikutusten arviointi, häiriöt ja arvioinnit, joiden tarkoituksena on tunnistaa kriittiset kysymykset, sekä niiden toimenpiteiden yksilöinti, joilla parannetaan energiatehokkuutta;</w:t>
            </w:r>
          </w:p>
          <w:p w14:paraId="3901BD23" w14:textId="490B671A" w:rsidR="00E42B18" w:rsidRDefault="009629C4">
            <w:pPr>
              <w:pStyle w:val="P68B1DB1-ListParagraph15"/>
              <w:numPr>
                <w:ilvl w:val="0"/>
                <w:numId w:val="171"/>
              </w:numPr>
              <w:rPr>
                <w:noProof/>
                <w:szCs w:val="20"/>
              </w:rPr>
            </w:pPr>
            <w:r>
              <w:rPr>
                <w:noProof/>
              </w:rPr>
              <w:t>rakennusten vaippaa koskevat toimet;</w:t>
            </w:r>
          </w:p>
          <w:p w14:paraId="12C1AC94" w14:textId="0821BFBE" w:rsidR="00E42B18" w:rsidRDefault="009629C4">
            <w:pPr>
              <w:pStyle w:val="P68B1DB1-ListParagraph15"/>
              <w:numPr>
                <w:ilvl w:val="0"/>
                <w:numId w:val="171"/>
              </w:numPr>
              <w:rPr>
                <w:noProof/>
                <w:szCs w:val="20"/>
              </w:rPr>
            </w:pPr>
            <w:r>
              <w:rPr>
                <w:noProof/>
              </w:rPr>
              <w:t>laitteiden, työkalujen, järjestelmien, laitteiden ja digitaalisten sovellusohjelmistojen korvaamiseen/hankintaan liittyvät toimet sekä niiden käyttöön, patenttien, lisenssien ja taitotiedon hankintaan liittyvät oheisvälineet;</w:t>
            </w:r>
          </w:p>
          <w:p w14:paraId="2B0668DB" w14:textId="625E5BD6" w:rsidR="00E42B18" w:rsidRDefault="009629C4">
            <w:pPr>
              <w:pStyle w:val="P68B1DB1-ListParagraph15"/>
              <w:numPr>
                <w:ilvl w:val="0"/>
                <w:numId w:val="171"/>
              </w:numPr>
              <w:rPr>
                <w:noProof/>
                <w:szCs w:val="20"/>
              </w:rPr>
            </w:pPr>
            <w:r>
              <w:rPr>
                <w:noProof/>
              </w:rPr>
              <w:t>älykkäiden järjestelmien asentaminen energiankulutuksen (älykkäät rakennukset) ja saastuttavien päästöjen kaukosäätöä, sääntelyä, hallintaa, seurantaa ja optimointia varten myös käyttämällä teknologiayhdistelmiä.</w:t>
            </w:r>
          </w:p>
        </w:tc>
      </w:tr>
      <w:tr w:rsidR="00E42B18" w14:paraId="368B173B" w14:textId="77777777">
        <w:trPr>
          <w:trHeight w:val="309"/>
          <w:jc w:val="center"/>
        </w:trPr>
        <w:tc>
          <w:tcPr>
            <w:tcW w:w="366" w:type="pct"/>
            <w:shd w:val="clear" w:color="auto" w:fill="C6EFCE"/>
            <w:noWrap/>
            <w:vAlign w:val="center"/>
          </w:tcPr>
          <w:p w14:paraId="5C8EA59B" w14:textId="77777777" w:rsidR="00E42B18" w:rsidRDefault="009629C4">
            <w:pPr>
              <w:pStyle w:val="P68B1DB1-Normal11"/>
              <w:jc w:val="center"/>
              <w:rPr>
                <w:noProof/>
              </w:rPr>
            </w:pPr>
            <w:r>
              <w:rPr>
                <w:noProof/>
              </w:rPr>
              <w:t>M1C3–6</w:t>
            </w:r>
          </w:p>
        </w:tc>
        <w:tc>
          <w:tcPr>
            <w:tcW w:w="553" w:type="pct"/>
            <w:shd w:val="clear" w:color="auto" w:fill="C6EFCE"/>
            <w:noWrap/>
            <w:vAlign w:val="center"/>
          </w:tcPr>
          <w:p w14:paraId="67740D3D" w14:textId="58F601B3" w:rsidR="00E42B18" w:rsidRDefault="009629C4">
            <w:pPr>
              <w:pStyle w:val="P68B1DB1-Normal11"/>
              <w:jc w:val="center"/>
              <w:rPr>
                <w:noProof/>
              </w:rPr>
            </w:pPr>
            <w:r>
              <w:rPr>
                <w:noProof/>
              </w:rPr>
              <w:t>Uudistus – 3.1 Kulttuuritapahtumia koskevat vähimmäisympäristökriteerit</w:t>
            </w:r>
          </w:p>
        </w:tc>
        <w:tc>
          <w:tcPr>
            <w:tcW w:w="321" w:type="pct"/>
            <w:shd w:val="clear" w:color="auto" w:fill="C6EFCE"/>
            <w:noWrap/>
            <w:vAlign w:val="center"/>
          </w:tcPr>
          <w:p w14:paraId="6A2CC682" w14:textId="77777777" w:rsidR="00E42B18" w:rsidRDefault="009629C4">
            <w:pPr>
              <w:pStyle w:val="P68B1DB1-Normal11"/>
              <w:jc w:val="center"/>
              <w:rPr>
                <w:noProof/>
              </w:rPr>
            </w:pPr>
            <w:r>
              <w:rPr>
                <w:noProof/>
              </w:rPr>
              <w:t>Virstanpylväs</w:t>
            </w:r>
          </w:p>
        </w:tc>
        <w:tc>
          <w:tcPr>
            <w:tcW w:w="507" w:type="pct"/>
            <w:shd w:val="clear" w:color="auto" w:fill="C6EFCE"/>
            <w:noWrap/>
            <w:vAlign w:val="center"/>
          </w:tcPr>
          <w:p w14:paraId="52C851E7" w14:textId="77777777" w:rsidR="00E42B18" w:rsidRDefault="009629C4">
            <w:pPr>
              <w:pStyle w:val="P68B1DB1-Normal11"/>
              <w:jc w:val="center"/>
              <w:rPr>
                <w:noProof/>
              </w:rPr>
            </w:pPr>
            <w:r>
              <w:rPr>
                <w:noProof/>
              </w:rPr>
              <w:t>Julkisin varoin rahoitettuja kulttuuritapahtumia koskevien julkisten tarjouskilpailujen sosiaalisia ja ympäristöön liittyviä perusteita koskevan asetuksen voimaantulo</w:t>
            </w:r>
          </w:p>
        </w:tc>
        <w:tc>
          <w:tcPr>
            <w:tcW w:w="403" w:type="pct"/>
            <w:shd w:val="clear" w:color="auto" w:fill="C6EFCE"/>
            <w:noWrap/>
            <w:vAlign w:val="center"/>
          </w:tcPr>
          <w:p w14:paraId="69FADB3D" w14:textId="77777777" w:rsidR="00E42B18" w:rsidRDefault="009629C4">
            <w:pPr>
              <w:pStyle w:val="P68B1DB1-Normal11"/>
              <w:jc w:val="center"/>
              <w:rPr>
                <w:noProof/>
              </w:rPr>
            </w:pPr>
            <w:r>
              <w:rPr>
                <w:noProof/>
              </w:rPr>
              <w:t>Asetuksen säännös, jossa mainitaan kulttuuritapahtumien ympäristöä koskevien vähimmäisvaatimusten vahvistamista koskevan asetuksen voimaantulo</w:t>
            </w:r>
          </w:p>
        </w:tc>
        <w:tc>
          <w:tcPr>
            <w:tcW w:w="368" w:type="pct"/>
            <w:shd w:val="clear" w:color="auto" w:fill="C6EFCE"/>
            <w:noWrap/>
            <w:vAlign w:val="center"/>
          </w:tcPr>
          <w:p w14:paraId="57B9A892" w14:textId="77777777" w:rsidR="00E42B18" w:rsidRDefault="009629C4">
            <w:pPr>
              <w:pStyle w:val="P68B1DB1-Normal11"/>
              <w:jc w:val="center"/>
              <w:rPr>
                <w:noProof/>
              </w:rPr>
            </w:pPr>
            <w:r>
              <w:rPr>
                <w:noProof/>
              </w:rPr>
              <w:t>EI OLE</w:t>
            </w:r>
          </w:p>
        </w:tc>
        <w:tc>
          <w:tcPr>
            <w:tcW w:w="424" w:type="pct"/>
            <w:shd w:val="clear" w:color="auto" w:fill="C6EFCE"/>
            <w:noWrap/>
            <w:vAlign w:val="center"/>
          </w:tcPr>
          <w:p w14:paraId="0884DB15" w14:textId="77777777" w:rsidR="00E42B18" w:rsidRDefault="009629C4">
            <w:pPr>
              <w:pStyle w:val="P68B1DB1-Normal11"/>
              <w:jc w:val="center"/>
              <w:rPr>
                <w:noProof/>
              </w:rPr>
            </w:pPr>
            <w:r>
              <w:rPr>
                <w:noProof/>
              </w:rPr>
              <w:t>EI OLE</w:t>
            </w:r>
          </w:p>
        </w:tc>
        <w:tc>
          <w:tcPr>
            <w:tcW w:w="367" w:type="pct"/>
            <w:shd w:val="clear" w:color="auto" w:fill="C6EFCE"/>
            <w:noWrap/>
            <w:vAlign w:val="center"/>
          </w:tcPr>
          <w:p w14:paraId="6BD579A3" w14:textId="77777777" w:rsidR="00E42B18" w:rsidRDefault="009629C4">
            <w:pPr>
              <w:pStyle w:val="P68B1DB1-Normal11"/>
              <w:jc w:val="center"/>
              <w:rPr>
                <w:noProof/>
              </w:rPr>
            </w:pPr>
            <w:r>
              <w:rPr>
                <w:noProof/>
              </w:rPr>
              <w:t>EI OLE</w:t>
            </w:r>
          </w:p>
        </w:tc>
        <w:tc>
          <w:tcPr>
            <w:tcW w:w="275" w:type="pct"/>
            <w:shd w:val="clear" w:color="auto" w:fill="C6EFCE"/>
            <w:noWrap/>
            <w:vAlign w:val="center"/>
          </w:tcPr>
          <w:p w14:paraId="77A84737" w14:textId="77777777" w:rsidR="00E42B18" w:rsidRDefault="009629C4">
            <w:pPr>
              <w:pStyle w:val="P68B1DB1-Normal11"/>
              <w:jc w:val="center"/>
              <w:rPr>
                <w:noProof/>
              </w:rPr>
            </w:pPr>
            <w:r>
              <w:rPr>
                <w:noProof/>
              </w:rPr>
              <w:t>Q4</w:t>
            </w:r>
          </w:p>
        </w:tc>
        <w:tc>
          <w:tcPr>
            <w:tcW w:w="225" w:type="pct"/>
            <w:shd w:val="clear" w:color="auto" w:fill="C6EFCE"/>
            <w:noWrap/>
            <w:vAlign w:val="center"/>
          </w:tcPr>
          <w:p w14:paraId="0DC1037E" w14:textId="77777777" w:rsidR="00E42B18" w:rsidRDefault="009629C4">
            <w:pPr>
              <w:pStyle w:val="P68B1DB1-Normal11"/>
              <w:jc w:val="center"/>
              <w:rPr>
                <w:noProof/>
              </w:rPr>
            </w:pPr>
            <w:r>
              <w:rPr>
                <w:noProof/>
              </w:rPr>
              <w:t>2022</w:t>
            </w:r>
          </w:p>
        </w:tc>
        <w:tc>
          <w:tcPr>
            <w:tcW w:w="1191" w:type="pct"/>
            <w:shd w:val="clear" w:color="auto" w:fill="C6EFCE"/>
            <w:noWrap/>
            <w:vAlign w:val="center"/>
          </w:tcPr>
          <w:p w14:paraId="40AFABA6" w14:textId="77777777" w:rsidR="00E42B18" w:rsidRDefault="009629C4">
            <w:pPr>
              <w:pStyle w:val="P68B1DB1-Normal11"/>
              <w:rPr>
                <w:noProof/>
                <w:szCs w:val="20"/>
              </w:rPr>
            </w:pPr>
            <w:r>
              <w:rPr>
                <w:noProof/>
              </w:rPr>
              <w:t>Perusteet vahvistetaan seuraaville näkökohdille: paperin ja painotuotteiden käytön vähentäminen, ympäristöystävällisten materiaalien käyttö, kierrätetyistä ja uudelleenkäytetyistä materiaaleista ja kestävistä kalusteista tehty vaihejärjestely, vähäiset ympäristövaikutukset, biologisen monimuotoisuuden suojeluun perustuva sijaintipaikan valinta, ateriapalvelut, joiden ympäristövaikutukset ovat vähäiset, kuljetukset tapahtumaan ja materiaalien kuljetus, energiankulutus tapahtuman järjestämistä varten.</w:t>
            </w:r>
          </w:p>
          <w:p w14:paraId="2E58E5F5" w14:textId="77777777" w:rsidR="00E42B18" w:rsidRDefault="009629C4">
            <w:pPr>
              <w:pStyle w:val="P68B1DB1-Normal11"/>
              <w:rPr>
                <w:noProof/>
                <w:szCs w:val="20"/>
              </w:rPr>
            </w:pPr>
            <w:r>
              <w:rPr>
                <w:noProof/>
              </w:rPr>
              <w:t>Esteettömyyttä ja osallisuutta edistäviin sosiaalisiin perusteisiin kuuluvat seuraavat: vammaisten henkilöiden esteettömyyden edistäminen; nuorten, pitkäaikaistyöttömien, muita heikommassa asemassa oleviin ryhmiin kuuluvien henkilöiden (kuten siirtotyöläisten ja etnisten vähemmistöjen) ja vammaisten työllistymismahdollisuuksien edistäminen; varmistetaan tasavertainen pääsy hankintoihin yrityksille, joiden omistajat tai työntekijät kuuluvat etnisiin tai vähemmistöryhmiin, kuten osuuskunnille, yhteiskunnallisille yrityksille ja voittoa tavoittelemattomille järjestöille; ihmisarvoisen työn edistäminen, jolla tarkoitetaan oikeutta tuottavaan ja vapaasti valittuun työhön, työelämän perusperiaatteisiin ja -oikeuksiin, ihmisarvoiseen palkkaan, sosiaaliseen suojeluun ja työmarkkinaosapuolten vuoropuheluun.</w:t>
            </w:r>
          </w:p>
          <w:p w14:paraId="237ABC00" w14:textId="77777777" w:rsidR="00E42B18" w:rsidRDefault="009629C4">
            <w:pPr>
              <w:pStyle w:val="P68B1DB1-Normal11"/>
              <w:rPr>
                <w:noProof/>
              </w:rPr>
            </w:pPr>
            <w:r>
              <w:rPr>
                <w:noProof/>
              </w:rPr>
              <w:t>Uudistus kattaa kulttuuritapahtumat, kuten näyttelyt, festivaalit ja esittävät taidetapahtumat.</w:t>
            </w:r>
          </w:p>
        </w:tc>
      </w:tr>
      <w:tr w:rsidR="00E42B18" w14:paraId="2BB5FE4C" w14:textId="77777777">
        <w:trPr>
          <w:trHeight w:val="309"/>
          <w:jc w:val="center"/>
        </w:trPr>
        <w:tc>
          <w:tcPr>
            <w:tcW w:w="366" w:type="pct"/>
            <w:shd w:val="clear" w:color="auto" w:fill="C6EFCE"/>
            <w:noWrap/>
            <w:vAlign w:val="center"/>
            <w:hideMark/>
          </w:tcPr>
          <w:p w14:paraId="1106F400" w14:textId="77777777" w:rsidR="00E42B18" w:rsidRDefault="009629C4">
            <w:pPr>
              <w:pStyle w:val="P68B1DB1-Normal11"/>
              <w:jc w:val="center"/>
              <w:rPr>
                <w:noProof/>
                <w:szCs w:val="20"/>
              </w:rPr>
            </w:pPr>
            <w:r>
              <w:rPr>
                <w:noProof/>
              </w:rPr>
              <w:t>M1C3–7</w:t>
            </w:r>
          </w:p>
        </w:tc>
        <w:tc>
          <w:tcPr>
            <w:tcW w:w="553" w:type="pct"/>
            <w:shd w:val="clear" w:color="auto" w:fill="C6EFCE"/>
            <w:noWrap/>
            <w:vAlign w:val="center"/>
            <w:hideMark/>
          </w:tcPr>
          <w:p w14:paraId="52CB5501" w14:textId="77777777" w:rsidR="00E42B18" w:rsidRDefault="009629C4">
            <w:pPr>
              <w:pStyle w:val="P68B1DB1-Normal11"/>
              <w:jc w:val="center"/>
              <w:rPr>
                <w:noProof/>
                <w:szCs w:val="20"/>
              </w:rPr>
            </w:pPr>
            <w:r>
              <w:rPr>
                <w:noProof/>
              </w:rPr>
              <w:t>Investoinnit – 3.3 Kulttuurialan toimijoiden valmiuksien kehittäminen digitaalisen ja vihreän siirtymän hallitsemiseksi.</w:t>
            </w:r>
          </w:p>
        </w:tc>
        <w:tc>
          <w:tcPr>
            <w:tcW w:w="321" w:type="pct"/>
            <w:shd w:val="clear" w:color="auto" w:fill="C6EFCE"/>
            <w:noWrap/>
            <w:vAlign w:val="center"/>
            <w:hideMark/>
          </w:tcPr>
          <w:p w14:paraId="5D88D942" w14:textId="77777777" w:rsidR="00E42B18" w:rsidRDefault="009629C4">
            <w:pPr>
              <w:pStyle w:val="P68B1DB1-Normal11"/>
              <w:jc w:val="center"/>
              <w:rPr>
                <w:noProof/>
                <w:szCs w:val="20"/>
              </w:rPr>
            </w:pPr>
            <w:r>
              <w:rPr>
                <w:noProof/>
              </w:rPr>
              <w:t>Virstanpylväs</w:t>
            </w:r>
          </w:p>
        </w:tc>
        <w:tc>
          <w:tcPr>
            <w:tcW w:w="507" w:type="pct"/>
            <w:shd w:val="clear" w:color="auto" w:fill="C6EFCE"/>
            <w:noWrap/>
            <w:vAlign w:val="center"/>
            <w:hideMark/>
          </w:tcPr>
          <w:p w14:paraId="6603A745" w14:textId="70AC0B83" w:rsidR="00E42B18" w:rsidRDefault="009629C4">
            <w:pPr>
              <w:pStyle w:val="P68B1DB1-Normal11"/>
              <w:jc w:val="center"/>
              <w:rPr>
                <w:noProof/>
                <w:szCs w:val="20"/>
              </w:rPr>
            </w:pPr>
            <w:r>
              <w:rPr>
                <w:noProof/>
              </w:rPr>
              <w:t>Kaikkien julkisten hankintasopimusten tekeminen täytäntöönpanevan organisaation/tuensaajien kanssa kaikista toimista, joilla hallinnoidaan kulttuurialan toimijoiden digitaalista ja vihreää siirtymää</w:t>
            </w:r>
          </w:p>
        </w:tc>
        <w:tc>
          <w:tcPr>
            <w:tcW w:w="403" w:type="pct"/>
            <w:shd w:val="clear" w:color="auto" w:fill="C6EFCE"/>
            <w:noWrap/>
            <w:vAlign w:val="center"/>
            <w:hideMark/>
          </w:tcPr>
          <w:p w14:paraId="3534EA4B" w14:textId="77777777" w:rsidR="00E42B18" w:rsidRDefault="009629C4">
            <w:pPr>
              <w:pStyle w:val="P68B1DB1-Normal11"/>
              <w:jc w:val="center"/>
              <w:rPr>
                <w:noProof/>
                <w:szCs w:val="20"/>
              </w:rPr>
            </w:pPr>
            <w:r>
              <w:rPr>
                <w:noProof/>
              </w:rPr>
              <w:t>Ilmoitus kaikkien sellaisten organisaatioiden ja verkostojen julkisten hankintasopimusten tekemisestä, jotka vastaavat valmiuksien kehittämistoimien toteuttamisesta</w:t>
            </w:r>
          </w:p>
        </w:tc>
        <w:tc>
          <w:tcPr>
            <w:tcW w:w="368" w:type="pct"/>
            <w:shd w:val="clear" w:color="auto" w:fill="C6EFCE"/>
            <w:noWrap/>
            <w:vAlign w:val="center"/>
            <w:hideMark/>
          </w:tcPr>
          <w:p w14:paraId="4A0D0C1F" w14:textId="77777777" w:rsidR="00E42B18" w:rsidRDefault="009629C4">
            <w:pPr>
              <w:pStyle w:val="P68B1DB1-Normal11"/>
              <w:jc w:val="center"/>
              <w:rPr>
                <w:noProof/>
                <w:szCs w:val="20"/>
              </w:rPr>
            </w:pPr>
            <w:r>
              <w:rPr>
                <w:noProof/>
              </w:rPr>
              <w:t>EI OLE</w:t>
            </w:r>
          </w:p>
        </w:tc>
        <w:tc>
          <w:tcPr>
            <w:tcW w:w="424" w:type="pct"/>
            <w:shd w:val="clear" w:color="auto" w:fill="C6EFCE"/>
            <w:noWrap/>
            <w:vAlign w:val="center"/>
            <w:hideMark/>
          </w:tcPr>
          <w:p w14:paraId="7196E909" w14:textId="77777777" w:rsidR="00E42B18" w:rsidRDefault="009629C4">
            <w:pPr>
              <w:pStyle w:val="P68B1DB1-Normal11"/>
              <w:jc w:val="center"/>
              <w:rPr>
                <w:noProof/>
                <w:szCs w:val="20"/>
              </w:rPr>
            </w:pPr>
            <w:r>
              <w:rPr>
                <w:noProof/>
              </w:rPr>
              <w:t>EI OLE</w:t>
            </w:r>
          </w:p>
        </w:tc>
        <w:tc>
          <w:tcPr>
            <w:tcW w:w="367" w:type="pct"/>
            <w:shd w:val="clear" w:color="auto" w:fill="C6EFCE"/>
            <w:noWrap/>
            <w:vAlign w:val="center"/>
            <w:hideMark/>
          </w:tcPr>
          <w:p w14:paraId="4576EE10" w14:textId="77777777" w:rsidR="00E42B18" w:rsidRDefault="009629C4">
            <w:pPr>
              <w:pStyle w:val="P68B1DB1-Normal11"/>
              <w:jc w:val="center"/>
              <w:rPr>
                <w:noProof/>
                <w:szCs w:val="20"/>
              </w:rPr>
            </w:pPr>
            <w:r>
              <w:rPr>
                <w:noProof/>
              </w:rPr>
              <w:t>EI OLE</w:t>
            </w:r>
          </w:p>
        </w:tc>
        <w:tc>
          <w:tcPr>
            <w:tcW w:w="275" w:type="pct"/>
            <w:shd w:val="clear" w:color="auto" w:fill="C6EFCE"/>
            <w:noWrap/>
            <w:vAlign w:val="center"/>
            <w:hideMark/>
          </w:tcPr>
          <w:p w14:paraId="7E97B5F3" w14:textId="77777777" w:rsidR="00E42B18" w:rsidRDefault="009629C4">
            <w:pPr>
              <w:pStyle w:val="P68B1DB1-Normal11"/>
              <w:jc w:val="center"/>
              <w:rPr>
                <w:noProof/>
                <w:szCs w:val="20"/>
              </w:rPr>
            </w:pPr>
            <w:r>
              <w:rPr>
                <w:noProof/>
              </w:rPr>
              <w:t>Q4</w:t>
            </w:r>
          </w:p>
        </w:tc>
        <w:tc>
          <w:tcPr>
            <w:tcW w:w="225" w:type="pct"/>
            <w:shd w:val="clear" w:color="auto" w:fill="C6EFCE"/>
            <w:noWrap/>
            <w:vAlign w:val="center"/>
            <w:hideMark/>
          </w:tcPr>
          <w:p w14:paraId="1D2C18D3" w14:textId="77777777" w:rsidR="00E42B18" w:rsidRDefault="009629C4">
            <w:pPr>
              <w:pStyle w:val="P68B1DB1-Normal11"/>
              <w:jc w:val="center"/>
              <w:rPr>
                <w:noProof/>
                <w:szCs w:val="20"/>
              </w:rPr>
            </w:pPr>
            <w:r>
              <w:rPr>
                <w:noProof/>
              </w:rPr>
              <w:t>2023</w:t>
            </w:r>
          </w:p>
        </w:tc>
        <w:tc>
          <w:tcPr>
            <w:tcW w:w="1191" w:type="pct"/>
            <w:shd w:val="clear" w:color="auto" w:fill="C6EFCE"/>
            <w:noWrap/>
            <w:vAlign w:val="center"/>
            <w:hideMark/>
          </w:tcPr>
          <w:p w14:paraId="3FC11FB5" w14:textId="77777777" w:rsidR="00E42B18" w:rsidRDefault="009629C4">
            <w:pPr>
              <w:pStyle w:val="P68B1DB1-Normal11"/>
              <w:rPr>
                <w:noProof/>
                <w:szCs w:val="20"/>
              </w:rPr>
            </w:pPr>
            <w:r>
              <w:rPr>
                <w:noProof/>
              </w:rPr>
              <w:t>Valittujen täytäntöönpanoelinten on oltava erikoistuneita organisaatioita tai verkostoja, joilla on osaamista ja kokemusta sekä koulutuksen että kulttuurituotannon, ympäristön, kulttuurin hallinnan ja koulutuksen alalla.</w:t>
            </w:r>
          </w:p>
          <w:p w14:paraId="6EEA4069" w14:textId="1342987A" w:rsidR="00E42B18" w:rsidRDefault="009629C4">
            <w:pPr>
              <w:pStyle w:val="P68B1DB1-Normal11"/>
              <w:rPr>
                <w:noProof/>
                <w:szCs w:val="20"/>
              </w:rPr>
            </w:pPr>
            <w:r>
              <w:rPr>
                <w:noProof/>
              </w:rPr>
              <w:t>Kaikkien kilpailuun perustuvien ehdotuspyyntöjen perusteella valittujen hankkeiden julkisia hankintoja koskevien sopimusten tekemisestä on ilmoitettava ”ei merkittävää haittaa” -periaatetta koskevien teknisten ohjeiden (2021/C58/01) mukaisesti käyttämällä poissulkemisluetteloa ja vaatimusta noudattaa asiaankuuluvaa EU:n ja kansallista ympäristölainsäädäntöä.</w:t>
            </w:r>
          </w:p>
        </w:tc>
      </w:tr>
      <w:tr w:rsidR="00E42B18" w14:paraId="3FF8D711" w14:textId="77777777">
        <w:trPr>
          <w:trHeight w:val="309"/>
          <w:jc w:val="center"/>
        </w:trPr>
        <w:tc>
          <w:tcPr>
            <w:tcW w:w="366" w:type="pct"/>
            <w:shd w:val="clear" w:color="auto" w:fill="C6EFCE"/>
            <w:noWrap/>
            <w:vAlign w:val="center"/>
          </w:tcPr>
          <w:p w14:paraId="7FE970B6" w14:textId="77777777" w:rsidR="00E42B18" w:rsidRDefault="009629C4">
            <w:pPr>
              <w:pStyle w:val="P68B1DB1-Normal11"/>
              <w:jc w:val="center"/>
              <w:rPr>
                <w:noProof/>
              </w:rPr>
            </w:pPr>
            <w:r>
              <w:rPr>
                <w:noProof/>
              </w:rPr>
              <w:t>M1C3–8</w:t>
            </w:r>
          </w:p>
        </w:tc>
        <w:tc>
          <w:tcPr>
            <w:tcW w:w="553" w:type="pct"/>
            <w:shd w:val="clear" w:color="auto" w:fill="C6EFCE"/>
            <w:noWrap/>
            <w:vAlign w:val="center"/>
          </w:tcPr>
          <w:p w14:paraId="399604C8" w14:textId="77777777" w:rsidR="00E42B18" w:rsidRDefault="009629C4">
            <w:pPr>
              <w:pStyle w:val="P68B1DB1-Normal11"/>
              <w:jc w:val="center"/>
              <w:rPr>
                <w:noProof/>
              </w:rPr>
            </w:pPr>
            <w:r>
              <w:rPr>
                <w:noProof/>
              </w:rPr>
              <w:t>Investoinnit – 4.1 Digitaalisen matkailun keskus</w:t>
            </w:r>
          </w:p>
        </w:tc>
        <w:tc>
          <w:tcPr>
            <w:tcW w:w="321" w:type="pct"/>
            <w:shd w:val="clear" w:color="auto" w:fill="C6EFCE"/>
            <w:noWrap/>
            <w:vAlign w:val="center"/>
          </w:tcPr>
          <w:p w14:paraId="4B424080" w14:textId="77777777" w:rsidR="00E42B18" w:rsidRDefault="009629C4">
            <w:pPr>
              <w:pStyle w:val="P68B1DB1-Normal11"/>
              <w:jc w:val="center"/>
              <w:rPr>
                <w:noProof/>
              </w:rPr>
            </w:pPr>
            <w:r>
              <w:rPr>
                <w:noProof/>
              </w:rPr>
              <w:t>Virstanpylväs</w:t>
            </w:r>
          </w:p>
        </w:tc>
        <w:tc>
          <w:tcPr>
            <w:tcW w:w="507" w:type="pct"/>
            <w:shd w:val="clear" w:color="auto" w:fill="C6EFCE"/>
            <w:noWrap/>
            <w:vAlign w:val="center"/>
          </w:tcPr>
          <w:p w14:paraId="47B15228" w14:textId="77777777" w:rsidR="00E42B18" w:rsidRDefault="009629C4">
            <w:pPr>
              <w:pStyle w:val="P68B1DB1-Normal11"/>
              <w:spacing w:line="276" w:lineRule="auto"/>
              <w:jc w:val="center"/>
              <w:rPr>
                <w:noProof/>
              </w:rPr>
            </w:pPr>
            <w:r>
              <w:rPr>
                <w:noProof/>
              </w:rPr>
              <w:t>Sopimusten tekeminen matkailun digitaalisen portaalin kehittämiseksi</w:t>
            </w:r>
          </w:p>
        </w:tc>
        <w:tc>
          <w:tcPr>
            <w:tcW w:w="403" w:type="pct"/>
            <w:shd w:val="clear" w:color="auto" w:fill="C6EFCE"/>
            <w:noWrap/>
            <w:vAlign w:val="center"/>
          </w:tcPr>
          <w:p w14:paraId="78A99255" w14:textId="77777777" w:rsidR="00E42B18" w:rsidRDefault="009629C4">
            <w:pPr>
              <w:pStyle w:val="P68B1DB1-Normal11"/>
              <w:jc w:val="center"/>
              <w:rPr>
                <w:noProof/>
              </w:rPr>
            </w:pPr>
            <w:r>
              <w:rPr>
                <w:noProof/>
              </w:rPr>
              <w:t>Ilmoitus kaikkien matkailun digitaalisen portaalin kehittämistä koskevien julkisten hankintasopimusten tekemisestä</w:t>
            </w:r>
          </w:p>
        </w:tc>
        <w:tc>
          <w:tcPr>
            <w:tcW w:w="368" w:type="pct"/>
            <w:shd w:val="clear" w:color="auto" w:fill="C6EFCE"/>
            <w:noWrap/>
            <w:vAlign w:val="center"/>
          </w:tcPr>
          <w:p w14:paraId="1C5FC3DD" w14:textId="77777777" w:rsidR="00E42B18" w:rsidRDefault="009629C4">
            <w:pPr>
              <w:pStyle w:val="P68B1DB1-Normal11"/>
              <w:jc w:val="center"/>
              <w:rPr>
                <w:noProof/>
              </w:rPr>
            </w:pPr>
            <w:r>
              <w:rPr>
                <w:noProof/>
              </w:rPr>
              <w:t>EI OLE</w:t>
            </w:r>
          </w:p>
        </w:tc>
        <w:tc>
          <w:tcPr>
            <w:tcW w:w="424" w:type="pct"/>
            <w:shd w:val="clear" w:color="auto" w:fill="C6EFCE"/>
            <w:noWrap/>
            <w:vAlign w:val="center"/>
          </w:tcPr>
          <w:p w14:paraId="20E9A7DD" w14:textId="77777777" w:rsidR="00E42B18" w:rsidRDefault="009629C4">
            <w:pPr>
              <w:pStyle w:val="P68B1DB1-Normal11"/>
              <w:jc w:val="center"/>
              <w:rPr>
                <w:noProof/>
              </w:rPr>
            </w:pPr>
            <w:r>
              <w:rPr>
                <w:noProof/>
              </w:rPr>
              <w:t>EI OLE</w:t>
            </w:r>
          </w:p>
        </w:tc>
        <w:tc>
          <w:tcPr>
            <w:tcW w:w="367" w:type="pct"/>
            <w:shd w:val="clear" w:color="auto" w:fill="C6EFCE"/>
            <w:noWrap/>
            <w:vAlign w:val="center"/>
          </w:tcPr>
          <w:p w14:paraId="3ED99410" w14:textId="77777777" w:rsidR="00E42B18" w:rsidRDefault="009629C4">
            <w:pPr>
              <w:pStyle w:val="P68B1DB1-Normal11"/>
              <w:jc w:val="center"/>
              <w:rPr>
                <w:noProof/>
              </w:rPr>
            </w:pPr>
            <w:r>
              <w:rPr>
                <w:noProof/>
              </w:rPr>
              <w:t>EI OLE</w:t>
            </w:r>
          </w:p>
        </w:tc>
        <w:tc>
          <w:tcPr>
            <w:tcW w:w="275" w:type="pct"/>
            <w:shd w:val="clear" w:color="auto" w:fill="C6EFCE"/>
            <w:noWrap/>
            <w:vAlign w:val="center"/>
          </w:tcPr>
          <w:p w14:paraId="3C120E4B" w14:textId="77777777" w:rsidR="00E42B18" w:rsidRDefault="009629C4">
            <w:pPr>
              <w:pStyle w:val="P68B1DB1-Normal11"/>
              <w:jc w:val="center"/>
              <w:rPr>
                <w:noProof/>
              </w:rPr>
            </w:pPr>
            <w:r>
              <w:rPr>
                <w:noProof/>
              </w:rPr>
              <w:t>Q4</w:t>
            </w:r>
          </w:p>
        </w:tc>
        <w:tc>
          <w:tcPr>
            <w:tcW w:w="225" w:type="pct"/>
            <w:shd w:val="clear" w:color="auto" w:fill="C6EFCE"/>
            <w:noWrap/>
            <w:vAlign w:val="center"/>
          </w:tcPr>
          <w:p w14:paraId="1BBB1CFA" w14:textId="77777777" w:rsidR="00E42B18" w:rsidRDefault="009629C4">
            <w:pPr>
              <w:pStyle w:val="P68B1DB1-Normal11"/>
              <w:jc w:val="center"/>
              <w:rPr>
                <w:noProof/>
              </w:rPr>
            </w:pPr>
            <w:r>
              <w:rPr>
                <w:noProof/>
              </w:rPr>
              <w:t>2021</w:t>
            </w:r>
          </w:p>
        </w:tc>
        <w:tc>
          <w:tcPr>
            <w:tcW w:w="1191" w:type="pct"/>
            <w:shd w:val="clear" w:color="auto" w:fill="C6EFCE"/>
            <w:noWrap/>
            <w:vAlign w:val="center"/>
          </w:tcPr>
          <w:p w14:paraId="74537277" w14:textId="77777777" w:rsidR="00E42B18" w:rsidRDefault="009629C4">
            <w:pPr>
              <w:pStyle w:val="P68B1DB1-Normal11"/>
              <w:rPr>
                <w:noProof/>
                <w:szCs w:val="20"/>
              </w:rPr>
            </w:pPr>
            <w:r>
              <w:rPr>
                <w:noProof/>
              </w:rPr>
              <w:t>Ilmoitus (kaikkien) julkisia hankintoja koskevien sopimusten tekemisestä digitaalisen matkailuportaalin kehittämiseksi.</w:t>
            </w:r>
          </w:p>
          <w:p w14:paraId="405B42A8" w14:textId="77777777" w:rsidR="00E42B18" w:rsidRDefault="009629C4">
            <w:pPr>
              <w:pStyle w:val="P68B1DB1-Normal11"/>
              <w:rPr>
                <w:noProof/>
                <w:szCs w:val="20"/>
              </w:rPr>
            </w:pPr>
            <w:r>
              <w:rPr>
                <w:noProof/>
              </w:rPr>
              <w:t>Digitaalinen matkailuportaali päivittää nykyistä Italia.it-portaalia ottamalla käyttöön pilvipalvelun ja avoimen arkkitehtuurin, mikä suosii suuresti yhteyksiä ekosysteemiin. Päivitettyyn portaaliin on sisällyttävä uuden etuliitäntä- ja navigointipuun luominen; jaksojen, sivujen ja artikkeleiden ulkoasun, rakenteen ja toimintojen tarkastelu; karttojen käyttöönotto; monikielinen hallinnointi (siirron yhteydessä portaali esitetään italiaksi ja englanniksi). Muiden tällä hetkellä tuettujen kielten integroinnin odotetaan tapahtuvan käyttöönottoa välittömästi seuraavina kuukausina.</w:t>
            </w:r>
          </w:p>
          <w:p w14:paraId="0818F197" w14:textId="7CE04BC5" w:rsidR="00E42B18" w:rsidRDefault="009629C4">
            <w:pPr>
              <w:pStyle w:val="P68B1DB1-Normal11"/>
              <w:rPr>
                <w:noProof/>
              </w:rPr>
            </w:pPr>
            <w:r>
              <w:rPr>
                <w:noProof/>
              </w:rPr>
              <w:t>Sopimusten tekeminen kilpailuun perustuvien ehdotuspyyntöjen perusteella valittujen hankkeiden kanssa noudattaen ”ei merkittävää haittaa” -periaatetta koskevia teknisiä ohjeita (2021/C58/01) käyttämällä poissulkemisluetteloa ja vaatimusta noudattaa asiaankuuluvaa EU:n ja kansallista ympäristölainsäädäntöä.</w:t>
            </w:r>
          </w:p>
        </w:tc>
      </w:tr>
      <w:tr w:rsidR="00E42B18" w14:paraId="1EB0A82B" w14:textId="77777777">
        <w:trPr>
          <w:trHeight w:val="309"/>
          <w:jc w:val="center"/>
        </w:trPr>
        <w:tc>
          <w:tcPr>
            <w:tcW w:w="366" w:type="pct"/>
            <w:shd w:val="clear" w:color="auto" w:fill="C6EFCE"/>
            <w:noWrap/>
            <w:vAlign w:val="center"/>
          </w:tcPr>
          <w:p w14:paraId="485F7D45" w14:textId="77777777" w:rsidR="00E42B18" w:rsidRDefault="009629C4">
            <w:pPr>
              <w:pStyle w:val="P68B1DB1-Normal11"/>
              <w:jc w:val="center"/>
              <w:rPr>
                <w:noProof/>
              </w:rPr>
            </w:pPr>
            <w:r>
              <w:rPr>
                <w:noProof/>
              </w:rPr>
              <w:t>M1C3–9</w:t>
            </w:r>
          </w:p>
        </w:tc>
        <w:tc>
          <w:tcPr>
            <w:tcW w:w="553" w:type="pct"/>
            <w:shd w:val="clear" w:color="auto" w:fill="C6EFCE"/>
            <w:noWrap/>
            <w:vAlign w:val="center"/>
          </w:tcPr>
          <w:p w14:paraId="12558E98" w14:textId="43C7C166" w:rsidR="00E42B18" w:rsidRDefault="009629C4">
            <w:pPr>
              <w:pStyle w:val="P68B1DB1-Normal11"/>
              <w:jc w:val="center"/>
              <w:rPr>
                <w:noProof/>
              </w:rPr>
            </w:pPr>
            <w:r>
              <w:rPr>
                <w:noProof/>
              </w:rPr>
              <w:t>Investointi 4.1 Digitaalisen matkailun keskus</w:t>
            </w:r>
          </w:p>
        </w:tc>
        <w:tc>
          <w:tcPr>
            <w:tcW w:w="321" w:type="pct"/>
            <w:shd w:val="clear" w:color="auto" w:fill="C6EFCE"/>
            <w:noWrap/>
            <w:vAlign w:val="center"/>
          </w:tcPr>
          <w:p w14:paraId="774C1E7A" w14:textId="77777777" w:rsidR="00E42B18" w:rsidRDefault="009629C4">
            <w:pPr>
              <w:pStyle w:val="P68B1DB1-Normal11"/>
              <w:jc w:val="center"/>
              <w:rPr>
                <w:noProof/>
              </w:rPr>
            </w:pPr>
            <w:r>
              <w:rPr>
                <w:noProof/>
              </w:rPr>
              <w:t>Kohde</w:t>
            </w:r>
          </w:p>
        </w:tc>
        <w:tc>
          <w:tcPr>
            <w:tcW w:w="507" w:type="pct"/>
            <w:shd w:val="clear" w:color="auto" w:fill="C6EFCE"/>
            <w:noWrap/>
            <w:vAlign w:val="center"/>
          </w:tcPr>
          <w:p w14:paraId="3E3A368A" w14:textId="77777777" w:rsidR="00E42B18" w:rsidRDefault="009629C4">
            <w:pPr>
              <w:pStyle w:val="P68B1DB1-Normal11"/>
              <w:spacing w:line="276" w:lineRule="auto"/>
              <w:jc w:val="center"/>
              <w:rPr>
                <w:noProof/>
              </w:rPr>
            </w:pPr>
            <w:r>
              <w:rPr>
                <w:noProof/>
              </w:rPr>
              <w:t>Matkailualan toimijoiden rekisteröinti digitaalisen matkailun keskukseen</w:t>
            </w:r>
          </w:p>
        </w:tc>
        <w:tc>
          <w:tcPr>
            <w:tcW w:w="403" w:type="pct"/>
            <w:shd w:val="clear" w:color="auto" w:fill="C6EFCE"/>
            <w:noWrap/>
            <w:vAlign w:val="center"/>
          </w:tcPr>
          <w:p w14:paraId="5A4B2EAA" w14:textId="77777777" w:rsidR="00E42B18" w:rsidRDefault="009629C4">
            <w:pPr>
              <w:pStyle w:val="P68B1DB1-Normal11"/>
              <w:jc w:val="center"/>
              <w:rPr>
                <w:noProof/>
              </w:rPr>
            </w:pPr>
            <w:r>
              <w:rPr>
                <w:noProof/>
              </w:rPr>
              <w:t>EI OLE</w:t>
            </w:r>
          </w:p>
        </w:tc>
        <w:tc>
          <w:tcPr>
            <w:tcW w:w="368" w:type="pct"/>
            <w:shd w:val="clear" w:color="auto" w:fill="C6EFCE"/>
            <w:noWrap/>
            <w:vAlign w:val="center"/>
          </w:tcPr>
          <w:p w14:paraId="114A0421" w14:textId="77777777" w:rsidR="00E42B18" w:rsidRDefault="009629C4">
            <w:pPr>
              <w:pStyle w:val="P68B1DB1-Normal11"/>
              <w:jc w:val="center"/>
              <w:rPr>
                <w:noProof/>
              </w:rPr>
            </w:pPr>
            <w:r>
              <w:rPr>
                <w:noProof/>
              </w:rPr>
              <w:t>Numero</w:t>
            </w:r>
          </w:p>
        </w:tc>
        <w:tc>
          <w:tcPr>
            <w:tcW w:w="424" w:type="pct"/>
            <w:shd w:val="clear" w:color="auto" w:fill="C6EFCE"/>
            <w:noWrap/>
            <w:vAlign w:val="center"/>
          </w:tcPr>
          <w:p w14:paraId="5F8D2DB1" w14:textId="77777777" w:rsidR="00E42B18" w:rsidRDefault="009629C4">
            <w:pPr>
              <w:pStyle w:val="P68B1DB1-Normal11"/>
              <w:jc w:val="center"/>
              <w:rPr>
                <w:noProof/>
              </w:rPr>
            </w:pPr>
            <w:r>
              <w:rPr>
                <w:noProof/>
              </w:rPr>
              <w:t>0</w:t>
            </w:r>
          </w:p>
        </w:tc>
        <w:tc>
          <w:tcPr>
            <w:tcW w:w="367" w:type="pct"/>
            <w:shd w:val="clear" w:color="auto" w:fill="C6EFCE"/>
            <w:noWrap/>
            <w:vAlign w:val="center"/>
          </w:tcPr>
          <w:p w14:paraId="461ED8FC" w14:textId="77777777" w:rsidR="00E42B18" w:rsidRDefault="009629C4">
            <w:pPr>
              <w:pStyle w:val="P68B1DB1-Normal11"/>
              <w:jc w:val="center"/>
              <w:rPr>
                <w:noProof/>
              </w:rPr>
            </w:pPr>
            <w:r>
              <w:rPr>
                <w:noProof/>
              </w:rPr>
              <w:t>20 000</w:t>
            </w:r>
          </w:p>
        </w:tc>
        <w:tc>
          <w:tcPr>
            <w:tcW w:w="275" w:type="pct"/>
            <w:shd w:val="clear" w:color="auto" w:fill="C6EFCE"/>
            <w:noWrap/>
            <w:vAlign w:val="center"/>
          </w:tcPr>
          <w:p w14:paraId="287714CA" w14:textId="77777777" w:rsidR="00E42B18" w:rsidRDefault="009629C4">
            <w:pPr>
              <w:pStyle w:val="P68B1DB1-Normal11"/>
              <w:jc w:val="center"/>
              <w:rPr>
                <w:noProof/>
              </w:rPr>
            </w:pPr>
            <w:r>
              <w:rPr>
                <w:noProof/>
              </w:rPr>
              <w:t>Q2</w:t>
            </w:r>
          </w:p>
        </w:tc>
        <w:tc>
          <w:tcPr>
            <w:tcW w:w="225" w:type="pct"/>
            <w:shd w:val="clear" w:color="auto" w:fill="C6EFCE"/>
            <w:noWrap/>
            <w:vAlign w:val="center"/>
          </w:tcPr>
          <w:p w14:paraId="7B6549AB" w14:textId="77777777" w:rsidR="00E42B18" w:rsidRDefault="009629C4">
            <w:pPr>
              <w:pStyle w:val="P68B1DB1-Normal11"/>
              <w:jc w:val="center"/>
              <w:rPr>
                <w:noProof/>
              </w:rPr>
            </w:pPr>
            <w:r>
              <w:rPr>
                <w:noProof/>
              </w:rPr>
              <w:t>2024</w:t>
            </w:r>
          </w:p>
        </w:tc>
        <w:tc>
          <w:tcPr>
            <w:tcW w:w="1191" w:type="pct"/>
            <w:shd w:val="clear" w:color="auto" w:fill="C6EFCE"/>
            <w:noWrap/>
            <w:vAlign w:val="center"/>
          </w:tcPr>
          <w:p w14:paraId="77C81F7A" w14:textId="77777777" w:rsidR="00E42B18" w:rsidRDefault="009629C4">
            <w:pPr>
              <w:pStyle w:val="P68B1DB1-Normal11"/>
              <w:spacing w:line="256" w:lineRule="auto"/>
              <w:jc w:val="both"/>
              <w:rPr>
                <w:rFonts w:eastAsia="Arial Narrow" w:cs="Arial Narrow"/>
                <w:noProof/>
                <w:szCs w:val="20"/>
              </w:rPr>
            </w:pPr>
            <w:r>
              <w:rPr>
                <w:noProof/>
              </w:rPr>
              <w:t>Keskukseen rekisteröityjen matkailualan toimijoiden lukumäärä (johon voi sisältyä muun muassa hotelli, matkanjärjestäjä ja ATECO-koodien 55.00.00 mukaisesti määritellyt yritykset); 56.00.00.00; 79.00.00.00 ja muut alalle kuuluvat rakenteet) on oltava vähintään 20000.</w:t>
            </w:r>
          </w:p>
          <w:p w14:paraId="536C7CFC" w14:textId="77777777" w:rsidR="00E42B18" w:rsidRDefault="009629C4">
            <w:pPr>
              <w:pStyle w:val="P68B1DB1-Normal11"/>
              <w:spacing w:line="256" w:lineRule="auto"/>
              <w:jc w:val="both"/>
              <w:rPr>
                <w:rFonts w:eastAsia="Arial Narrow" w:cs="Arial Narrow"/>
                <w:noProof/>
                <w:szCs w:val="20"/>
              </w:rPr>
            </w:pPr>
            <w:r>
              <w:rPr>
                <w:noProof/>
              </w:rPr>
              <w:t>Etelässä on oltava vähintään 7400 matkailualan toimijaa (eli 37 prosenttia 20000:sta).</w:t>
            </w:r>
          </w:p>
          <w:p w14:paraId="0403BE85" w14:textId="77777777" w:rsidR="00E42B18" w:rsidRDefault="00E42B18">
            <w:pPr>
              <w:rPr>
                <w:rFonts w:ascii="Arial Narrow" w:hAnsi="Arial Narrow"/>
                <w:noProof/>
                <w:color w:val="006100"/>
                <w:sz w:val="20"/>
              </w:rPr>
            </w:pPr>
          </w:p>
        </w:tc>
      </w:tr>
      <w:tr w:rsidR="00E42B18" w14:paraId="1698F795" w14:textId="77777777">
        <w:trPr>
          <w:trHeight w:val="309"/>
          <w:jc w:val="center"/>
        </w:trPr>
        <w:tc>
          <w:tcPr>
            <w:tcW w:w="366" w:type="pct"/>
            <w:shd w:val="clear" w:color="auto" w:fill="C6EFCE"/>
            <w:noWrap/>
            <w:vAlign w:val="center"/>
          </w:tcPr>
          <w:p w14:paraId="369AFEAF" w14:textId="77777777" w:rsidR="00E42B18" w:rsidRDefault="009629C4">
            <w:pPr>
              <w:pStyle w:val="P68B1DB1-Normal11"/>
              <w:jc w:val="center"/>
              <w:rPr>
                <w:noProof/>
              </w:rPr>
            </w:pPr>
            <w:r>
              <w:rPr>
                <w:noProof/>
              </w:rPr>
              <w:t>M1C3–10</w:t>
            </w:r>
          </w:p>
        </w:tc>
        <w:tc>
          <w:tcPr>
            <w:tcW w:w="553" w:type="pct"/>
            <w:shd w:val="clear" w:color="auto" w:fill="C6EFCE"/>
            <w:noWrap/>
            <w:vAlign w:val="center"/>
          </w:tcPr>
          <w:p w14:paraId="732955AA" w14:textId="77777777" w:rsidR="00E42B18" w:rsidRDefault="009629C4">
            <w:pPr>
              <w:pStyle w:val="P68B1DB1-Normal11"/>
              <w:jc w:val="center"/>
              <w:rPr>
                <w:noProof/>
                <w:szCs w:val="20"/>
              </w:rPr>
            </w:pPr>
            <w:r>
              <w:rPr>
                <w:noProof/>
              </w:rPr>
              <w:t>Uudistus 4.1 Matkaoppaiden ammatteja koskeva sääntely.</w:t>
            </w:r>
          </w:p>
          <w:p w14:paraId="13C84FA6" w14:textId="77777777" w:rsidR="00E42B18" w:rsidRDefault="00E42B18">
            <w:pPr>
              <w:jc w:val="center"/>
              <w:rPr>
                <w:rFonts w:ascii="Arial Narrow" w:hAnsi="Arial Narrow"/>
                <w:noProof/>
                <w:color w:val="006100"/>
                <w:sz w:val="20"/>
              </w:rPr>
            </w:pPr>
          </w:p>
        </w:tc>
        <w:tc>
          <w:tcPr>
            <w:tcW w:w="321" w:type="pct"/>
            <w:shd w:val="clear" w:color="auto" w:fill="C6EFCE"/>
            <w:noWrap/>
            <w:vAlign w:val="center"/>
          </w:tcPr>
          <w:p w14:paraId="06A45492" w14:textId="77777777" w:rsidR="00E42B18" w:rsidRDefault="009629C4">
            <w:pPr>
              <w:pStyle w:val="P68B1DB1-Normal11"/>
              <w:jc w:val="center"/>
              <w:rPr>
                <w:noProof/>
              </w:rPr>
            </w:pPr>
            <w:r>
              <w:rPr>
                <w:noProof/>
              </w:rPr>
              <w:t>Virstanpylväs</w:t>
            </w:r>
          </w:p>
        </w:tc>
        <w:tc>
          <w:tcPr>
            <w:tcW w:w="507" w:type="pct"/>
            <w:shd w:val="clear" w:color="auto" w:fill="C6EFCE"/>
            <w:noWrap/>
            <w:vAlign w:val="center"/>
          </w:tcPr>
          <w:p w14:paraId="694D2088" w14:textId="77777777" w:rsidR="00E42B18" w:rsidRDefault="009629C4">
            <w:pPr>
              <w:pStyle w:val="P68B1DB1-Normal11"/>
              <w:spacing w:line="276" w:lineRule="auto"/>
              <w:jc w:val="center"/>
              <w:rPr>
                <w:noProof/>
              </w:rPr>
            </w:pPr>
            <w:r>
              <w:rPr>
                <w:noProof/>
              </w:rPr>
              <w:t>Matkaoppaita koskevan kansallisen standardin määrittely</w:t>
            </w:r>
          </w:p>
        </w:tc>
        <w:tc>
          <w:tcPr>
            <w:tcW w:w="403" w:type="pct"/>
            <w:shd w:val="clear" w:color="auto" w:fill="C6EFCE"/>
            <w:noWrap/>
            <w:vAlign w:val="center"/>
          </w:tcPr>
          <w:p w14:paraId="4EE5E3C9" w14:textId="77777777" w:rsidR="00E42B18" w:rsidRDefault="009629C4">
            <w:pPr>
              <w:pStyle w:val="P68B1DB1-Normal11"/>
              <w:jc w:val="center"/>
              <w:rPr>
                <w:noProof/>
              </w:rPr>
            </w:pPr>
            <w:r>
              <w:rPr>
                <w:noProof/>
              </w:rPr>
              <w:t>Kansallisen vähimmäisvaatimuksen määrittely ei merkitse uuden säännellyn ammatin luomista.</w:t>
            </w:r>
          </w:p>
        </w:tc>
        <w:tc>
          <w:tcPr>
            <w:tcW w:w="368" w:type="pct"/>
            <w:shd w:val="clear" w:color="auto" w:fill="C6EFCE"/>
            <w:noWrap/>
            <w:vAlign w:val="center"/>
          </w:tcPr>
          <w:p w14:paraId="646082D0" w14:textId="77777777" w:rsidR="00E42B18" w:rsidRDefault="009629C4">
            <w:pPr>
              <w:pStyle w:val="P68B1DB1-Normal11"/>
              <w:jc w:val="center"/>
              <w:rPr>
                <w:noProof/>
              </w:rPr>
            </w:pPr>
            <w:r>
              <w:rPr>
                <w:noProof/>
              </w:rPr>
              <w:t>EI OLE</w:t>
            </w:r>
          </w:p>
        </w:tc>
        <w:tc>
          <w:tcPr>
            <w:tcW w:w="424" w:type="pct"/>
            <w:shd w:val="clear" w:color="auto" w:fill="C6EFCE"/>
            <w:noWrap/>
            <w:vAlign w:val="center"/>
          </w:tcPr>
          <w:p w14:paraId="65875BDF" w14:textId="77777777" w:rsidR="00E42B18" w:rsidRDefault="009629C4">
            <w:pPr>
              <w:pStyle w:val="P68B1DB1-Normal11"/>
              <w:jc w:val="center"/>
              <w:rPr>
                <w:noProof/>
              </w:rPr>
            </w:pPr>
            <w:r>
              <w:rPr>
                <w:noProof/>
              </w:rPr>
              <w:t>EI OLE</w:t>
            </w:r>
          </w:p>
        </w:tc>
        <w:tc>
          <w:tcPr>
            <w:tcW w:w="367" w:type="pct"/>
            <w:shd w:val="clear" w:color="auto" w:fill="C6EFCE"/>
            <w:noWrap/>
            <w:vAlign w:val="center"/>
          </w:tcPr>
          <w:p w14:paraId="14DC72F3" w14:textId="77777777" w:rsidR="00E42B18" w:rsidRDefault="009629C4">
            <w:pPr>
              <w:pStyle w:val="P68B1DB1-Normal11"/>
              <w:jc w:val="center"/>
              <w:rPr>
                <w:noProof/>
              </w:rPr>
            </w:pPr>
            <w:r>
              <w:rPr>
                <w:noProof/>
              </w:rPr>
              <w:t>EI OLE</w:t>
            </w:r>
          </w:p>
        </w:tc>
        <w:tc>
          <w:tcPr>
            <w:tcW w:w="275" w:type="pct"/>
            <w:shd w:val="clear" w:color="auto" w:fill="C6EFCE"/>
            <w:noWrap/>
            <w:vAlign w:val="center"/>
          </w:tcPr>
          <w:p w14:paraId="68328E32" w14:textId="77777777" w:rsidR="00E42B18" w:rsidRDefault="009629C4">
            <w:pPr>
              <w:pStyle w:val="P68B1DB1-Normal11"/>
              <w:jc w:val="center"/>
              <w:rPr>
                <w:noProof/>
                <w:szCs w:val="20"/>
              </w:rPr>
            </w:pPr>
            <w:r>
              <w:rPr>
                <w:noProof/>
              </w:rPr>
              <w:t>Q2</w:t>
            </w:r>
          </w:p>
          <w:p w14:paraId="7685FDA9" w14:textId="77777777" w:rsidR="00E42B18" w:rsidRDefault="00E42B18">
            <w:pPr>
              <w:jc w:val="center"/>
              <w:rPr>
                <w:rFonts w:ascii="Arial Narrow" w:hAnsi="Arial Narrow"/>
                <w:noProof/>
                <w:color w:val="006100"/>
                <w:sz w:val="20"/>
              </w:rPr>
            </w:pPr>
          </w:p>
        </w:tc>
        <w:tc>
          <w:tcPr>
            <w:tcW w:w="225" w:type="pct"/>
            <w:shd w:val="clear" w:color="auto" w:fill="C6EFCE"/>
            <w:noWrap/>
            <w:vAlign w:val="center"/>
          </w:tcPr>
          <w:p w14:paraId="0D613302" w14:textId="77777777" w:rsidR="00E42B18" w:rsidRDefault="009629C4">
            <w:pPr>
              <w:pStyle w:val="P68B1DB1-Normal11"/>
              <w:jc w:val="center"/>
              <w:rPr>
                <w:noProof/>
                <w:szCs w:val="20"/>
              </w:rPr>
            </w:pPr>
            <w:r>
              <w:rPr>
                <w:noProof/>
              </w:rPr>
              <w:t>2024</w:t>
            </w:r>
          </w:p>
          <w:p w14:paraId="64EE9BE1" w14:textId="77777777" w:rsidR="00E42B18" w:rsidRDefault="00E42B18">
            <w:pPr>
              <w:jc w:val="center"/>
              <w:rPr>
                <w:rFonts w:ascii="Arial Narrow" w:hAnsi="Arial Narrow"/>
                <w:noProof/>
                <w:color w:val="006100"/>
                <w:sz w:val="20"/>
              </w:rPr>
            </w:pPr>
          </w:p>
        </w:tc>
        <w:tc>
          <w:tcPr>
            <w:tcW w:w="1191" w:type="pct"/>
            <w:shd w:val="clear" w:color="auto" w:fill="C6EFCE"/>
            <w:noWrap/>
            <w:vAlign w:val="center"/>
          </w:tcPr>
          <w:p w14:paraId="30DF03DF" w14:textId="77777777" w:rsidR="00E42B18" w:rsidRDefault="009629C4">
            <w:pPr>
              <w:pStyle w:val="P68B1DB1-Normal11"/>
              <w:rPr>
                <w:noProof/>
                <w:szCs w:val="20"/>
              </w:rPr>
            </w:pPr>
            <w:r>
              <w:rPr>
                <w:noProof/>
              </w:rPr>
              <w:t>Kansallisen vähimmäisvaatimuksen määrittely ei merkitse uuden säännellyn ammatin luomista.</w:t>
            </w:r>
          </w:p>
          <w:p w14:paraId="76A44286" w14:textId="77777777" w:rsidR="00E42B18" w:rsidRDefault="009629C4">
            <w:pPr>
              <w:pStyle w:val="P68B1DB1-Normal11"/>
              <w:rPr>
                <w:noProof/>
              </w:rPr>
            </w:pPr>
            <w:r>
              <w:rPr>
                <w:noProof/>
              </w:rPr>
              <w:t>Uudistuksessa säädetään myös koulutuksesta ja ammattitaidon päivittämisestä, jotta tarjousta voidaan tukea paremmin. Uudistus katsotaan menetelmäksi, jolla hankitaan ainutkertainen ammattipätevyys, joka on hyväksytty yhdenmukaisin normein kansallisella tasolla kansallisen lain ja myöhemmin täytäntöönpantavien valtiollisten alueiden ministeriön asetusten avulla.</w:t>
            </w:r>
          </w:p>
        </w:tc>
      </w:tr>
      <w:tr w:rsidR="00E42B18" w14:paraId="65763C2F" w14:textId="77777777">
        <w:trPr>
          <w:trHeight w:val="309"/>
          <w:jc w:val="center"/>
        </w:trPr>
        <w:tc>
          <w:tcPr>
            <w:tcW w:w="366" w:type="pct"/>
            <w:shd w:val="clear" w:color="auto" w:fill="C6EFCE"/>
            <w:noWrap/>
            <w:vAlign w:val="center"/>
          </w:tcPr>
          <w:p w14:paraId="055ECDFF" w14:textId="77777777" w:rsidR="00E42B18" w:rsidRDefault="009629C4">
            <w:pPr>
              <w:pStyle w:val="P68B1DB1-Normal11"/>
              <w:jc w:val="center"/>
              <w:rPr>
                <w:noProof/>
                <w:szCs w:val="20"/>
              </w:rPr>
            </w:pPr>
            <w:r>
              <w:rPr>
                <w:noProof/>
              </w:rPr>
              <w:t>M1C3–11</w:t>
            </w:r>
          </w:p>
        </w:tc>
        <w:tc>
          <w:tcPr>
            <w:tcW w:w="553" w:type="pct"/>
            <w:shd w:val="clear" w:color="auto" w:fill="C6EFCE"/>
            <w:noWrap/>
            <w:vAlign w:val="center"/>
          </w:tcPr>
          <w:p w14:paraId="21117253" w14:textId="77777777" w:rsidR="00E42B18" w:rsidRDefault="009629C4">
            <w:pPr>
              <w:pStyle w:val="P68B1DB1-Normal11"/>
              <w:jc w:val="center"/>
              <w:rPr>
                <w:noProof/>
                <w:szCs w:val="20"/>
              </w:rPr>
            </w:pPr>
            <w:r>
              <w:rPr>
                <w:noProof/>
              </w:rPr>
              <w:t>Investointi 1.3 – Teatterien, teatterien ja museoiden energiatehokkuuden parantaminen</w:t>
            </w:r>
          </w:p>
        </w:tc>
        <w:tc>
          <w:tcPr>
            <w:tcW w:w="321" w:type="pct"/>
            <w:shd w:val="clear" w:color="auto" w:fill="C6EFCE"/>
            <w:noWrap/>
            <w:vAlign w:val="center"/>
          </w:tcPr>
          <w:p w14:paraId="355BA6F4" w14:textId="77777777" w:rsidR="00E42B18" w:rsidRDefault="009629C4">
            <w:pPr>
              <w:pStyle w:val="P68B1DB1-Normal11"/>
              <w:jc w:val="center"/>
              <w:rPr>
                <w:noProof/>
                <w:szCs w:val="20"/>
              </w:rPr>
            </w:pPr>
            <w:r>
              <w:rPr>
                <w:noProof/>
              </w:rPr>
              <w:t>Virstanpylväs</w:t>
            </w:r>
          </w:p>
        </w:tc>
        <w:tc>
          <w:tcPr>
            <w:tcW w:w="507" w:type="pct"/>
            <w:shd w:val="clear" w:color="auto" w:fill="C6EFCE"/>
            <w:noWrap/>
            <w:vAlign w:val="center"/>
          </w:tcPr>
          <w:p w14:paraId="1820BF73" w14:textId="77777777" w:rsidR="00E42B18" w:rsidRDefault="009629C4">
            <w:pPr>
              <w:pStyle w:val="P68B1DB1-Normal11"/>
              <w:spacing w:line="276" w:lineRule="auto"/>
              <w:jc w:val="center"/>
              <w:rPr>
                <w:noProof/>
                <w:szCs w:val="20"/>
              </w:rPr>
            </w:pPr>
            <w:r>
              <w:rPr>
                <w:noProof/>
              </w:rPr>
              <w:t>Kulttuuriministeriön asetus varojen jakamisesta tulee voimaan:</w:t>
            </w:r>
          </w:p>
          <w:p w14:paraId="3B5D6C54" w14:textId="77777777" w:rsidR="00E42B18" w:rsidRDefault="009629C4">
            <w:pPr>
              <w:pStyle w:val="P68B1DB1-Normal11"/>
              <w:spacing w:line="276" w:lineRule="auto"/>
              <w:jc w:val="center"/>
              <w:rPr>
                <w:noProof/>
                <w:szCs w:val="20"/>
              </w:rPr>
            </w:pPr>
            <w:r>
              <w:rPr>
                <w:noProof/>
              </w:rPr>
              <w:t>parantaa kulttuuripaikkojen energiatehokkuutta</w:t>
            </w:r>
          </w:p>
          <w:p w14:paraId="0A11AC49" w14:textId="77777777" w:rsidR="00E42B18" w:rsidRDefault="00E42B18">
            <w:pPr>
              <w:jc w:val="center"/>
              <w:rPr>
                <w:rFonts w:ascii="Arial Narrow" w:hAnsi="Arial Narrow"/>
                <w:noProof/>
                <w:color w:val="006100"/>
                <w:sz w:val="20"/>
                <w:szCs w:val="20"/>
              </w:rPr>
            </w:pPr>
          </w:p>
        </w:tc>
        <w:tc>
          <w:tcPr>
            <w:tcW w:w="403" w:type="pct"/>
            <w:shd w:val="clear" w:color="auto" w:fill="C6EFCE"/>
            <w:noWrap/>
            <w:vAlign w:val="center"/>
          </w:tcPr>
          <w:p w14:paraId="630B10DC" w14:textId="77777777" w:rsidR="00E42B18" w:rsidRDefault="009629C4">
            <w:pPr>
              <w:pStyle w:val="P68B1DB1-Normal11"/>
              <w:jc w:val="center"/>
              <w:rPr>
                <w:noProof/>
                <w:szCs w:val="20"/>
              </w:rPr>
            </w:pPr>
            <w:r>
              <w:rPr>
                <w:noProof/>
              </w:rPr>
              <w:t>Kulttuuriministeriön (MIC) asetuksen voimaantuloa koskeva säännös, joka koskee resurssien jakamista kulttuuripaikkojen energiatehokkuuden parantamiseksi</w:t>
            </w:r>
          </w:p>
          <w:p w14:paraId="3A92A56F" w14:textId="77777777" w:rsidR="00E42B18" w:rsidRDefault="00E42B18">
            <w:pPr>
              <w:jc w:val="center"/>
              <w:rPr>
                <w:rFonts w:ascii="Arial Narrow" w:hAnsi="Arial Narrow"/>
                <w:noProof/>
                <w:color w:val="006100"/>
                <w:sz w:val="20"/>
                <w:szCs w:val="20"/>
              </w:rPr>
            </w:pPr>
          </w:p>
        </w:tc>
        <w:tc>
          <w:tcPr>
            <w:tcW w:w="368" w:type="pct"/>
            <w:shd w:val="clear" w:color="auto" w:fill="C6EFCE"/>
            <w:noWrap/>
            <w:vAlign w:val="center"/>
          </w:tcPr>
          <w:p w14:paraId="26E1612D" w14:textId="77777777" w:rsidR="00E42B18" w:rsidRDefault="009629C4">
            <w:pPr>
              <w:pStyle w:val="P68B1DB1-Normal11"/>
              <w:jc w:val="center"/>
              <w:rPr>
                <w:noProof/>
                <w:szCs w:val="20"/>
              </w:rPr>
            </w:pPr>
            <w:r>
              <w:rPr>
                <w:noProof/>
              </w:rPr>
              <w:t>EI OLE</w:t>
            </w:r>
          </w:p>
        </w:tc>
        <w:tc>
          <w:tcPr>
            <w:tcW w:w="424" w:type="pct"/>
            <w:shd w:val="clear" w:color="auto" w:fill="C6EFCE"/>
            <w:noWrap/>
            <w:vAlign w:val="center"/>
          </w:tcPr>
          <w:p w14:paraId="2F59CAA0" w14:textId="77777777" w:rsidR="00E42B18" w:rsidRDefault="009629C4">
            <w:pPr>
              <w:pStyle w:val="P68B1DB1-Normal11"/>
              <w:jc w:val="center"/>
              <w:rPr>
                <w:noProof/>
                <w:szCs w:val="20"/>
              </w:rPr>
            </w:pPr>
            <w:r>
              <w:rPr>
                <w:noProof/>
              </w:rPr>
              <w:t>EI OLE</w:t>
            </w:r>
          </w:p>
        </w:tc>
        <w:tc>
          <w:tcPr>
            <w:tcW w:w="367" w:type="pct"/>
            <w:shd w:val="clear" w:color="auto" w:fill="C6EFCE"/>
            <w:noWrap/>
            <w:vAlign w:val="center"/>
          </w:tcPr>
          <w:p w14:paraId="22BF1659" w14:textId="77777777" w:rsidR="00E42B18" w:rsidRDefault="009629C4">
            <w:pPr>
              <w:pStyle w:val="P68B1DB1-Normal11"/>
              <w:jc w:val="center"/>
              <w:rPr>
                <w:noProof/>
                <w:szCs w:val="20"/>
              </w:rPr>
            </w:pPr>
            <w:r>
              <w:rPr>
                <w:noProof/>
              </w:rPr>
              <w:t>EI OLE</w:t>
            </w:r>
          </w:p>
        </w:tc>
        <w:tc>
          <w:tcPr>
            <w:tcW w:w="275" w:type="pct"/>
            <w:shd w:val="clear" w:color="auto" w:fill="C6EFCE"/>
            <w:noWrap/>
            <w:vAlign w:val="center"/>
          </w:tcPr>
          <w:p w14:paraId="17C90CFB" w14:textId="77777777" w:rsidR="00E42B18" w:rsidRDefault="009629C4">
            <w:pPr>
              <w:pStyle w:val="P68B1DB1-Normal11"/>
              <w:jc w:val="center"/>
              <w:rPr>
                <w:noProof/>
                <w:szCs w:val="20"/>
              </w:rPr>
            </w:pPr>
            <w:r>
              <w:rPr>
                <w:noProof/>
              </w:rPr>
              <w:t>Q2</w:t>
            </w:r>
          </w:p>
        </w:tc>
        <w:tc>
          <w:tcPr>
            <w:tcW w:w="225" w:type="pct"/>
            <w:shd w:val="clear" w:color="auto" w:fill="C6EFCE"/>
            <w:noWrap/>
            <w:vAlign w:val="center"/>
          </w:tcPr>
          <w:p w14:paraId="1703B8F3" w14:textId="77777777" w:rsidR="00E42B18" w:rsidRDefault="009629C4">
            <w:pPr>
              <w:pStyle w:val="P68B1DB1-Normal11"/>
              <w:jc w:val="center"/>
              <w:rPr>
                <w:noProof/>
                <w:szCs w:val="20"/>
              </w:rPr>
            </w:pPr>
            <w:r>
              <w:rPr>
                <w:noProof/>
              </w:rPr>
              <w:t>2022</w:t>
            </w:r>
          </w:p>
        </w:tc>
        <w:tc>
          <w:tcPr>
            <w:tcW w:w="1191" w:type="pct"/>
            <w:shd w:val="clear" w:color="auto" w:fill="C6EFCE"/>
            <w:noWrap/>
            <w:vAlign w:val="center"/>
          </w:tcPr>
          <w:p w14:paraId="04DB0BDC" w14:textId="77777777" w:rsidR="00E42B18" w:rsidRDefault="009629C4">
            <w:pPr>
              <w:pStyle w:val="P68B1DB1-Normal11"/>
              <w:rPr>
                <w:noProof/>
                <w:szCs w:val="20"/>
              </w:rPr>
            </w:pPr>
            <w:r>
              <w:rPr>
                <w:noProof/>
              </w:rPr>
              <w:t>Kulttuuripaikoilla tarkoitetaan elokuvateattereita, teatteria ja museoita.</w:t>
            </w:r>
          </w:p>
          <w:p w14:paraId="6262B8A2" w14:textId="2E15DF2A" w:rsidR="00E42B18" w:rsidRDefault="009629C4">
            <w:pPr>
              <w:pStyle w:val="P68B1DB1-Normal11"/>
              <w:rPr>
                <w:noProof/>
                <w:szCs w:val="20"/>
              </w:rPr>
            </w:pPr>
            <w:r>
              <w:rPr>
                <w:noProof/>
              </w:rPr>
              <w:t>(INV. Energiatehokkuutta parantavien museoiden ja kulttuuripaikkojen osalta toimenpide toteutetaan tunnustamalla hanke-ehdotukset valtion kulttuuriministeriössä (MiC) tavoitteen 1 tapauksessa. Muussa tapauksessa tavoite 2- ja tavoite 3 -tapauksissa valtiosta riippumattomat laitokset määritetään tarjouspyyntöjen avulla.</w:t>
            </w:r>
          </w:p>
          <w:p w14:paraId="00520429" w14:textId="61533135" w:rsidR="00E42B18" w:rsidRDefault="009629C4">
            <w:pPr>
              <w:pStyle w:val="P68B1DB1-Normal11"/>
              <w:rPr>
                <w:noProof/>
                <w:szCs w:val="20"/>
              </w:rPr>
            </w:pPr>
            <w:r>
              <w:rPr>
                <w:noProof/>
              </w:rPr>
              <w:t>Sopimusten myöntämisessä kilpailuun perustuvien ehdotuspyyntöjen perusteella valittujen hankkeiden kanssa on noudatettava ”ei merkittävää haittaa” -periaatetta koskevia teknisiä ohjeita (2021/C58/01) käyttämällä poissulkemisluetteloa ja vaatimusta asiaa koskevan EU:n ja kansallisen ympäristölainsäädännön noudattamisesta.</w:t>
            </w:r>
          </w:p>
        </w:tc>
      </w:tr>
    </w:tbl>
    <w:p w14:paraId="03EFC620" w14:textId="77777777" w:rsidR="00E42B18" w:rsidRDefault="00E42B18">
      <w:pPr>
        <w:spacing w:before="120" w:after="120"/>
        <w:ind w:left="709"/>
        <w:jc w:val="both"/>
        <w:rPr>
          <w:noProof/>
        </w:rPr>
      </w:pPr>
    </w:p>
    <w:p w14:paraId="20905C78" w14:textId="77777777" w:rsidR="00E42B18" w:rsidRDefault="00E42B18">
      <w:pPr>
        <w:spacing w:before="120" w:after="120"/>
        <w:ind w:left="709"/>
        <w:jc w:val="both"/>
        <w:rPr>
          <w:noProof/>
        </w:rPr>
        <w:sectPr w:rsidR="00E42B18" w:rsidSect="005F11B9">
          <w:headerReference w:type="default" r:id="rId62"/>
          <w:footerReference w:type="default" r:id="rId63"/>
          <w:pgSz w:w="16839" w:h="11907" w:orient="landscape"/>
          <w:pgMar w:top="1134" w:right="1134" w:bottom="1134" w:left="1134" w:header="567" w:footer="567" w:gutter="0"/>
          <w:cols w:space="720"/>
          <w:docGrid w:linePitch="360"/>
        </w:sectPr>
      </w:pPr>
    </w:p>
    <w:p w14:paraId="5D382CD3" w14:textId="4F939F36" w:rsidR="00E42B18" w:rsidRDefault="009629C4">
      <w:pPr>
        <w:pStyle w:val="P68B1DB1-Heading39"/>
        <w:ind w:left="850" w:hanging="850"/>
        <w:rPr>
          <w:b/>
          <w:bCs/>
          <w:i/>
          <w:iCs/>
          <w:noProof/>
          <w:u w:val="single"/>
        </w:rPr>
      </w:pPr>
      <w:r>
        <w:rPr>
          <w:b/>
          <w:noProof/>
          <w:u w:val="single"/>
        </w:rPr>
        <w:t xml:space="preserve">C3. </w:t>
      </w:r>
      <w:r>
        <w:rPr>
          <w:noProof/>
        </w:rPr>
        <w:t xml:space="preserve"> </w:t>
      </w:r>
      <w:r>
        <w:rPr>
          <w:b/>
          <w:noProof/>
          <w:u w:val="single"/>
        </w:rPr>
        <w:t xml:space="preserve">Kuvaus lainamuotoisella tuella rahoitettavista uudistuksista ja investoinneista </w:t>
      </w:r>
    </w:p>
    <w:p w14:paraId="4F1C948F" w14:textId="77777777" w:rsidR="00E42B18" w:rsidRDefault="00E42B18">
      <w:pPr>
        <w:jc w:val="both"/>
        <w:rPr>
          <w:rFonts w:ascii="Times New Roman" w:hAnsi="Times New Roman" w:cs="Times New Roman"/>
          <w:b/>
          <w:noProof/>
        </w:rPr>
      </w:pPr>
    </w:p>
    <w:p w14:paraId="167C2019" w14:textId="77777777" w:rsidR="00E42B18" w:rsidRDefault="009629C4">
      <w:pPr>
        <w:pStyle w:val="P68B1DB1-Normal29"/>
        <w:rPr>
          <w:i/>
          <w:noProof/>
        </w:rPr>
      </w:pPr>
      <w:r>
        <w:rPr>
          <w:noProof/>
        </w:rPr>
        <w:t>Investointi 4.1: Digitaalisen matkailun keskus</w:t>
      </w:r>
    </w:p>
    <w:p w14:paraId="32E81302" w14:textId="2BCC3B12" w:rsidR="00E42B18" w:rsidRDefault="009629C4">
      <w:pPr>
        <w:pStyle w:val="P68B1DB1-Normal8"/>
        <w:spacing w:before="120" w:after="120"/>
        <w:jc w:val="both"/>
        <w:rPr>
          <w:rFonts w:eastAsiaTheme="majorEastAsia"/>
          <w:noProof/>
          <w:snapToGrid w:val="0"/>
          <w:color w:val="000000"/>
          <w:sz w:val="0"/>
          <w:szCs w:val="0"/>
          <w:u w:color="000000"/>
          <w:bdr w:val="none" w:sz="0" w:space="0" w:color="000000"/>
          <w:shd w:val="clear" w:color="000000" w:fill="000000"/>
        </w:rPr>
      </w:pPr>
      <w:r>
        <w:rPr>
          <w:noProof/>
        </w:rPr>
        <w:t>Tämän toimenpiteen tavoitteena on antaa koko matkailuekosysteemille mahdollisuus lisätä, integroida ja levittää omaa tarjontaansa. Toimenpiteellä perustetaan digitaalinen matkailukeskus, joka on käytettävissä asiaa käsittelevän verkkoalustan kautta.</w:t>
      </w:r>
    </w:p>
    <w:p w14:paraId="0C2E08D9" w14:textId="77777777" w:rsidR="00E42B18" w:rsidRDefault="009629C4">
      <w:pPr>
        <w:pStyle w:val="P68B1DB1-Normal5"/>
        <w:jc w:val="both"/>
        <w:rPr>
          <w:noProof/>
        </w:rPr>
      </w:pPr>
      <w:r>
        <w:rPr>
          <w:noProof/>
        </w:rPr>
        <w:t>Investointi 2.1: Pienten historiallisten kaupunkien houkuttelevuus</w:t>
      </w:r>
    </w:p>
    <w:p w14:paraId="5D162D7E" w14:textId="5502F250" w:rsidR="00E42B18" w:rsidRDefault="009629C4">
      <w:pPr>
        <w:pStyle w:val="P68B1DB1-Normal7"/>
        <w:jc w:val="both"/>
        <w:rPr>
          <w:noProof/>
        </w:rPr>
      </w:pPr>
      <w:r>
        <w:rPr>
          <w:noProof/>
        </w:rPr>
        <w:t xml:space="preserve">Toimenpiteen tavoitteena on tukea epäedullisessa asemassa olevien alueiden taloudellista ja sosiaalista kehitystä pienten kaupunkien kulttuurin elvyttämisen ja erityisesti paikallisen talouden ja matkailun kasvun avulla. Investointi koostuu kulttuuri-, sosiaali- ja matkailualan infrastruktuurin, palvelujen ja toimintojen tukemisesta. </w:t>
      </w:r>
    </w:p>
    <w:p w14:paraId="36DC319C" w14:textId="77777777" w:rsidR="00E42B18" w:rsidRDefault="009629C4">
      <w:pPr>
        <w:pStyle w:val="P68B1DB1-Normal5"/>
        <w:spacing w:after="120"/>
        <w:jc w:val="both"/>
        <w:rPr>
          <w:bCs/>
          <w:noProof/>
        </w:rPr>
      </w:pPr>
      <w:r>
        <w:rPr>
          <w:noProof/>
        </w:rPr>
        <w:t xml:space="preserve">Investointi 2.2: Maaseudun arkkitehtuurin ja maiseman suojelu ja parantaminen </w:t>
      </w:r>
    </w:p>
    <w:p w14:paraId="38680AA9" w14:textId="1BD97C44" w:rsidR="00E42B18" w:rsidRDefault="009629C4">
      <w:pPr>
        <w:pStyle w:val="P68B1DB1-Normal7"/>
        <w:spacing w:after="120"/>
        <w:jc w:val="both"/>
        <w:rPr>
          <w:noProof/>
        </w:rPr>
      </w:pPr>
      <w:r>
        <w:rPr>
          <w:noProof/>
        </w:rPr>
        <w:t>Tämän toimenpiteen tavoitteena on parantaa maaseutu- ja maaseutuympäristöä. Toimenpiteellä tuetaan yksityisten maaseuturakennusten kunnostamista.</w:t>
      </w:r>
    </w:p>
    <w:p w14:paraId="0A6DB8D5" w14:textId="77777777" w:rsidR="00E42B18" w:rsidRDefault="009629C4">
      <w:pPr>
        <w:pStyle w:val="P68B1DB1-Normal5"/>
        <w:spacing w:after="120"/>
        <w:jc w:val="both"/>
        <w:rPr>
          <w:noProof/>
        </w:rPr>
      </w:pPr>
      <w:r>
        <w:rPr>
          <w:noProof/>
        </w:rPr>
        <w:t xml:space="preserve">Investointi 2.3: Ohjelmat paikkojen, puistojen ja historiallisten puutarhojen identiteetin parantamiseksi </w:t>
      </w:r>
    </w:p>
    <w:p w14:paraId="2E588923" w14:textId="06524A22" w:rsidR="00E42B18" w:rsidRDefault="009629C4">
      <w:pPr>
        <w:pStyle w:val="P68B1DB1-Normal7"/>
        <w:spacing w:after="120"/>
        <w:jc w:val="both"/>
        <w:rPr>
          <w:noProof/>
        </w:rPr>
      </w:pPr>
      <w:r>
        <w:rPr>
          <w:noProof/>
        </w:rPr>
        <w:t>Tämän toimenpiteen tavoitteena on säilyttää ja parantaa historiallisia puistoja ja puutarhoja, suojella niiden kulttuuriperintöä ja historiallista perintöä sekä parantaa saavutettavuutta, turvallisuutta ja yleistä nauttimista. Toimenpiteellä uudistetaan historiallisia puistoja ja puutarhoja, tuetaan ennallistamista, kestävää hoitoa ja ammatillista koulutusta, varmistetaan pitkän aikavälin säilyttäminen ja vahvistetaan niiden kulttuuri-, koulutus- ja ympäristöroolia.</w:t>
      </w:r>
    </w:p>
    <w:p w14:paraId="1591E1AE" w14:textId="77777777" w:rsidR="00E42B18" w:rsidRDefault="009629C4">
      <w:pPr>
        <w:pStyle w:val="P68B1DB1-Normal5"/>
        <w:spacing w:after="120"/>
        <w:jc w:val="both"/>
        <w:rPr>
          <w:noProof/>
        </w:rPr>
      </w:pPr>
      <w:r>
        <w:rPr>
          <w:noProof/>
        </w:rPr>
        <w:t>Investointi 2.4: Uskonnonharjoituspaikkojen seisminen turvallisuus, FEC-perinnön ennallistaminen ja taideteosten suojat (elvytystaide)</w:t>
      </w:r>
    </w:p>
    <w:p w14:paraId="188B7B26" w14:textId="1DF29D7F" w:rsidR="00E42B18" w:rsidRDefault="009629C4">
      <w:pPr>
        <w:pStyle w:val="P68B1DB1-Normal7"/>
        <w:spacing w:after="120"/>
        <w:jc w:val="both"/>
        <w:rPr>
          <w:b/>
          <w:noProof/>
          <w:u w:val="single"/>
        </w:rPr>
      </w:pPr>
      <w:r>
        <w:rPr>
          <w:noProof/>
        </w:rPr>
        <w:t>Tämän toimenpiteen tavoitteena on vähentää uskonnonharjoittamispaikkojen maanjäristysriskiä. Investointi koostuu maanjäristysten ennaltaehkäisyä koskevan suunnitelman laatimisesta, uskonnonharjoittamisrakennusten seismisen jälkiasennuksen toteuttamisesta, FEC:n (</w:t>
      </w:r>
      <w:r>
        <w:rPr>
          <w:i/>
          <w:noProof/>
        </w:rPr>
        <w:t>Fondo Edifici di Culto</w:t>
      </w:r>
      <w:r>
        <w:rPr>
          <w:noProof/>
        </w:rPr>
        <w:t>) kulttuuriperintöomaisuuden palauttamisesta ja taideteosten suojien rakentamisesta.</w:t>
      </w:r>
    </w:p>
    <w:p w14:paraId="3A00175A" w14:textId="77777777" w:rsidR="00E42B18" w:rsidRDefault="009629C4">
      <w:pPr>
        <w:pStyle w:val="P68B1DB1-Normal5"/>
        <w:spacing w:after="120"/>
        <w:jc w:val="both"/>
        <w:rPr>
          <w:noProof/>
        </w:rPr>
      </w:pPr>
      <w:r>
        <w:rPr>
          <w:noProof/>
        </w:rPr>
        <w:t>Investointi 4.2: Matkailualan yritysten kilpailukykyyn tarkoitetut rahastot</w:t>
      </w:r>
    </w:p>
    <w:p w14:paraId="308CBA87" w14:textId="77777777" w:rsidR="00E42B18" w:rsidRDefault="009629C4">
      <w:pPr>
        <w:pStyle w:val="P68B1DB1-Normal7"/>
        <w:spacing w:after="120"/>
        <w:jc w:val="both"/>
        <w:rPr>
          <w:noProof/>
        </w:rPr>
      </w:pPr>
      <w:r>
        <w:rPr>
          <w:noProof/>
        </w:rPr>
        <w:t>Toimenpiteen tarkoituksena on tukea matkailualalla toimivia yrityksiä. Se sisältää verohyvityksen majoituspalvelujen parantamiseen tähtääville töille, takuurahaston, jolla helpotetaan alan yritysten luotonsaantia (pk-yritysten takuurahaston erityisen osan kautta), EIP:n matkailualan temaattisen rahaston aktivoinnin innovatiivisten investointien tukemiseksi alalla sekä pääomarahaston (kansallinen matkailurahasto) sellaisten kiinteistöjen kunnostamista varten, joilla on suuri matkailupotentiaali. Lisärahoitusvälineellä (Fondo Rotativo) täydennetään edellä mainittuja toimenpiteitä matkailualalla toimivien yritysten tukemiseksi. Edellä mainitut toimet toteutetaan investointipolitiikan mukaisesti asetuksen (EU) 2021/241 tavoitteiden mukaisesti, myös suhteessa ”ei merkittävää haittaa” -periaatteen soveltamiseen, sellaisena kuin se on täsmennetty elpymis- ja palautumistukivälinettä koskevan asetuksen (2021/C58/01) mukaisissa ”ei merkittävää haittaa” -periaatteen soveltamista koskevissa teknisissä ohjeissa.</w:t>
      </w:r>
    </w:p>
    <w:p w14:paraId="5AA675FB" w14:textId="77777777" w:rsidR="00E42B18" w:rsidRDefault="009629C4">
      <w:pPr>
        <w:pStyle w:val="P68B1DB1-Text143"/>
        <w:spacing w:before="0"/>
        <w:ind w:left="0"/>
        <w:rPr>
          <w:noProof/>
        </w:rPr>
      </w:pPr>
      <w:r>
        <w:rPr>
          <w:noProof/>
        </w:rPr>
        <w:t xml:space="preserve">Sen varmistamiseksi, että toimenpide on ”ei merkittävää haittaa” -periaatetta koskevien teknisten ohjeiden (2021/C58/01) mukainen, rahoitusvälineitä koskevan oikeudellisen sopimuksen ja sitä seuraavan sijoituspolitiikan on oltava </w:t>
      </w:r>
    </w:p>
    <w:p w14:paraId="2696B952" w14:textId="77777777" w:rsidR="00E42B18" w:rsidRDefault="009629C4">
      <w:pPr>
        <w:pStyle w:val="P68B1DB1-Text143"/>
        <w:numPr>
          <w:ilvl w:val="0"/>
          <w:numId w:val="53"/>
        </w:numPr>
        <w:spacing w:before="0"/>
        <w:ind w:left="567" w:hanging="283"/>
        <w:rPr>
          <w:noProof/>
        </w:rPr>
      </w:pPr>
      <w:r>
        <w:rPr>
          <w:noProof/>
        </w:rPr>
        <w:t>edellyttää, että InvestEU-rahaston kestävyysarviointia koskevia komission teknisiä ohjeita sovelletaan; ja</w:t>
      </w:r>
    </w:p>
    <w:p w14:paraId="7F50539B" w14:textId="77777777" w:rsidR="00E42B18" w:rsidRDefault="009629C4">
      <w:pPr>
        <w:pStyle w:val="Text1"/>
        <w:numPr>
          <w:ilvl w:val="0"/>
          <w:numId w:val="53"/>
        </w:numPr>
        <w:spacing w:before="0"/>
        <w:ind w:left="567" w:hanging="283"/>
        <w:rPr>
          <w:noProof/>
          <w:sz w:val="22"/>
          <w:szCs w:val="22"/>
        </w:rPr>
      </w:pPr>
      <w:r>
        <w:rPr>
          <w:noProof/>
          <w:sz w:val="22"/>
          <w:szCs w:val="22"/>
        </w:rPr>
        <w:t>sulkee pois seuraavat toiminnot: I) fossiilisiin polttoaineisiin liittyvä toiminta, mukaan lukien käyttö tuotantoketjun loppupäässä</w:t>
      </w:r>
      <w:r>
        <w:rPr>
          <w:rStyle w:val="FootnoteReference"/>
          <w:noProof/>
          <w:sz w:val="22"/>
          <w:szCs w:val="22"/>
        </w:rPr>
        <w:footnoteReference w:id="18"/>
      </w:r>
      <w:r>
        <w:rPr>
          <w:noProof/>
          <w:sz w:val="22"/>
          <w:szCs w:val="22"/>
        </w:rPr>
        <w:t>; II) EU:n päästökauppajärjestelmään kuuluvat toimet, joilla saavutetaan ennustetut kasvihuonekaasupäästöt, jotka eivät alita asiaankuuluvia vertailuarvoja</w:t>
      </w:r>
      <w:r>
        <w:rPr>
          <w:rStyle w:val="FootnoteReference"/>
          <w:noProof/>
          <w:sz w:val="22"/>
          <w:szCs w:val="22"/>
        </w:rPr>
        <w:footnoteReference w:id="19"/>
      </w:r>
      <w:r>
        <w:rPr>
          <w:noProof/>
          <w:sz w:val="22"/>
          <w:szCs w:val="22"/>
        </w:rPr>
        <w:t>; III) jätteen kaatopaikkoihin, polttolaitoksiin</w:t>
      </w:r>
      <w:r>
        <w:rPr>
          <w:rStyle w:val="FootnoteReference"/>
          <w:noProof/>
          <w:sz w:val="22"/>
          <w:szCs w:val="22"/>
        </w:rPr>
        <w:footnoteReference w:id="20"/>
      </w:r>
      <w:r>
        <w:rPr>
          <w:noProof/>
          <w:sz w:val="22"/>
          <w:szCs w:val="22"/>
        </w:rPr>
        <w:t xml:space="preserve"> ja mekaanisiin biologisiin käsittelylaitoksiin liittyvät toiminnot</w:t>
      </w:r>
      <w:r>
        <w:rPr>
          <w:rStyle w:val="FootnoteReference"/>
          <w:noProof/>
          <w:sz w:val="22"/>
          <w:szCs w:val="22"/>
        </w:rPr>
        <w:footnoteReference w:id="21"/>
      </w:r>
      <w:r>
        <w:rPr>
          <w:noProof/>
          <w:sz w:val="22"/>
          <w:szCs w:val="22"/>
        </w:rPr>
        <w:t>; ja iv) toimet, joissa jätteen pitkäaikainen loppukäsittely voi aiheuttaa vahinkoa ympäristölle; ja</w:t>
      </w:r>
    </w:p>
    <w:p w14:paraId="47A452D3" w14:textId="77777777" w:rsidR="00E42B18" w:rsidRDefault="009629C4">
      <w:pPr>
        <w:pStyle w:val="P68B1DB1-Text143"/>
        <w:numPr>
          <w:ilvl w:val="0"/>
          <w:numId w:val="53"/>
        </w:numPr>
        <w:spacing w:before="0"/>
        <w:ind w:left="567" w:hanging="283"/>
        <w:rPr>
          <w:noProof/>
        </w:rPr>
      </w:pPr>
      <w:r>
        <w:rPr>
          <w:noProof/>
        </w:rPr>
        <w:t>edellyttää, että yhteisö, jolle tehtäviä on siirretty, tai rahoituksen välittäjä todentaa, että hankkeet ovat asiaankuuluvan EU:n ja kansallisen ympäristölainsäädännön mukaisia kaikkien liiketoimien osalta, mukaan lukien kestävyysarvioinnista vapautetut liiketoimet.</w:t>
      </w:r>
    </w:p>
    <w:p w14:paraId="060A49B0" w14:textId="77777777" w:rsidR="00E42B18" w:rsidRDefault="009629C4">
      <w:pPr>
        <w:pStyle w:val="P68B1DB1-Normal5"/>
        <w:spacing w:after="120"/>
        <w:jc w:val="both"/>
        <w:rPr>
          <w:bCs/>
          <w:noProof/>
        </w:rPr>
      </w:pPr>
      <w:r>
        <w:rPr>
          <w:noProof/>
        </w:rPr>
        <w:t>Investointi 3.2: Elokuvateollisuuden kehittäminen (Cinecittà-hanke)</w:t>
      </w:r>
    </w:p>
    <w:p w14:paraId="53B9A107" w14:textId="7F90CBE0" w:rsidR="00E42B18" w:rsidRDefault="009629C4">
      <w:pPr>
        <w:pStyle w:val="P68B1DB1-Normal7"/>
        <w:spacing w:after="120"/>
        <w:jc w:val="both"/>
        <w:rPr>
          <w:noProof/>
        </w:rPr>
      </w:pPr>
      <w:r>
        <w:rPr>
          <w:noProof/>
        </w:rPr>
        <w:t>Toimenpiteen tavoitteena on parantaa Italian elokuva- ja audiovisuaalialan kilpailukykyä. Investointi koostuu studioiden kunnostamisesta ja uusien rakentamisesta sekä tuotantotoiminnan parantamisesta. Tähän voi sisältyä muun muassa uusien teknologioiden käyttö, audiovisuaalisen perinnön säilyttäminen ja digitalisointi elokuvatutkimuskeskuksessa sekä alan ammattiprofiilien ja -taitojen vahvistaminen Cinecittàn ja Cinematografian koekeskuksen toteuttamien koulutustoimien avulla.</w:t>
      </w:r>
    </w:p>
    <w:p w14:paraId="13637D4F" w14:textId="77777777" w:rsidR="00E42B18" w:rsidRDefault="009629C4">
      <w:pPr>
        <w:pStyle w:val="P68B1DB1-Normal29"/>
        <w:spacing w:after="120"/>
        <w:jc w:val="both"/>
        <w:rPr>
          <w:bCs/>
          <w:noProof/>
        </w:rPr>
      </w:pPr>
      <w:r>
        <w:rPr>
          <w:noProof/>
        </w:rPr>
        <w:t>Investointi 4.3: Caput Mundi Next Generation EU -väline matkailun suurtapahtumia varten.</w:t>
      </w:r>
    </w:p>
    <w:p w14:paraId="0687DB3F" w14:textId="70EA6029" w:rsidR="00E42B18" w:rsidRDefault="009629C4">
      <w:pPr>
        <w:pStyle w:val="P68B1DB1-Normal8"/>
        <w:tabs>
          <w:tab w:val="left" w:pos="1340"/>
          <w:tab w:val="left" w:pos="1341"/>
        </w:tabs>
        <w:spacing w:after="120"/>
        <w:ind w:right="-7"/>
        <w:jc w:val="both"/>
        <w:rPr>
          <w:noProof/>
        </w:rPr>
      </w:pPr>
      <w:r>
        <w:rPr>
          <w:noProof/>
        </w:rPr>
        <w:t>Tämän toimenpiteen tavoitteena on parantaa matkailun suurtapahtumista saatuja kokemuksia ja matkailun kestävyyttä muistomerkkien kunnostamisen, turisti- ja kulttuurivaihtoehtojen luomisen ruuhkautuneille alueille, kulttuuri- ja matkailupalvelujen digitalisoinnin sekä viheralueiden vahvistamisen avulla. Investointi koostuu Caput Mundi -ohjelman hyväksymisestä ja täytäntöönpanosta, johon kuuluu kulttuuri- ja historiallisen omaisuuden ennallistaminen, viheralueiden ja historiallisten tilojen kunnostaminen sekä digitaalisten palvelujen luominen matkailua varten.</w:t>
      </w:r>
    </w:p>
    <w:p w14:paraId="6ACB0B86" w14:textId="1F27D7B8" w:rsidR="00E42B18" w:rsidRDefault="00E42B18">
      <w:pPr>
        <w:tabs>
          <w:tab w:val="left" w:pos="1340"/>
          <w:tab w:val="left" w:pos="1341"/>
        </w:tabs>
        <w:spacing w:after="120"/>
        <w:ind w:right="-7"/>
        <w:jc w:val="both"/>
        <w:rPr>
          <w:noProof/>
        </w:rPr>
        <w:sectPr w:rsidR="00E42B18" w:rsidSect="005F11B9">
          <w:headerReference w:type="even" r:id="rId64"/>
          <w:headerReference w:type="default" r:id="rId65"/>
          <w:footerReference w:type="even" r:id="rId66"/>
          <w:footerReference w:type="default" r:id="rId67"/>
          <w:headerReference w:type="first" r:id="rId68"/>
          <w:footerReference w:type="first" r:id="rId69"/>
          <w:pgSz w:w="11907" w:h="16839"/>
          <w:pgMar w:top="1134" w:right="1134" w:bottom="1134" w:left="1134" w:header="567" w:footer="567" w:gutter="0"/>
          <w:cols w:space="720"/>
          <w:docGrid w:linePitch="360"/>
        </w:sectPr>
      </w:pPr>
    </w:p>
    <w:p w14:paraId="0A860CFE" w14:textId="77777777" w:rsidR="00E42B18" w:rsidRDefault="009629C4">
      <w:pPr>
        <w:pStyle w:val="P68B1DB1-Heading39"/>
        <w:ind w:left="850" w:hanging="850"/>
        <w:rPr>
          <w:b/>
          <w:bCs/>
          <w:i/>
          <w:iCs/>
          <w:noProof/>
          <w:u w:val="single"/>
        </w:rPr>
      </w:pPr>
      <w:r>
        <w:rPr>
          <w:b/>
          <w:noProof/>
          <w:u w:val="single"/>
        </w:rPr>
        <w:t xml:space="preserve">C.4 </w:t>
      </w:r>
      <w:r>
        <w:rPr>
          <w:noProof/>
        </w:rPr>
        <w:t xml:space="preserve"> </w:t>
      </w:r>
      <w:r>
        <w:rPr>
          <w:b/>
          <w:noProof/>
          <w:u w:val="single"/>
        </w:rPr>
        <w:t xml:space="preserve">Lainamuotoisen tuen seurantaa ja täytäntöönpanoa koskevat välitavoitteet, tavoitteet, indikaattorit ja aikataulu </w:t>
      </w: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518"/>
        <w:gridCol w:w="1103"/>
        <w:gridCol w:w="1518"/>
        <w:gridCol w:w="1518"/>
        <w:gridCol w:w="966"/>
        <w:gridCol w:w="969"/>
        <w:gridCol w:w="1238"/>
        <w:gridCol w:w="969"/>
        <w:gridCol w:w="642"/>
        <w:gridCol w:w="3053"/>
      </w:tblGrid>
      <w:tr w:rsidR="00E42B18" w14:paraId="4B130771" w14:textId="77777777">
        <w:trPr>
          <w:trHeight w:val="313"/>
          <w:tblHeader/>
          <w:jc w:val="center"/>
        </w:trPr>
        <w:tc>
          <w:tcPr>
            <w:tcW w:w="377" w:type="pct"/>
            <w:vMerge w:val="restart"/>
            <w:shd w:val="clear" w:color="auto" w:fill="BDD7EE"/>
            <w:noWrap/>
            <w:vAlign w:val="center"/>
          </w:tcPr>
          <w:p w14:paraId="53AD22BF" w14:textId="77777777" w:rsidR="00E42B18" w:rsidRDefault="00E42B18">
            <w:pPr>
              <w:jc w:val="center"/>
              <w:rPr>
                <w:rFonts w:ascii="Arial Narrow" w:hAnsi="Arial Narrow"/>
                <w:noProof/>
                <w:sz w:val="20"/>
                <w:szCs w:val="20"/>
              </w:rPr>
            </w:pPr>
          </w:p>
          <w:p w14:paraId="341AD540" w14:textId="77777777" w:rsidR="00E42B18" w:rsidRDefault="009629C4">
            <w:pPr>
              <w:pStyle w:val="P68B1DB1-Normal10"/>
              <w:jc w:val="center"/>
              <w:rPr>
                <w:noProof/>
                <w:szCs w:val="20"/>
              </w:rPr>
            </w:pPr>
            <w:r>
              <w:rPr>
                <w:noProof/>
              </w:rPr>
              <w:t>Juokseva numero</w:t>
            </w:r>
          </w:p>
        </w:tc>
        <w:tc>
          <w:tcPr>
            <w:tcW w:w="520" w:type="pct"/>
            <w:vMerge w:val="restart"/>
            <w:shd w:val="clear" w:color="auto" w:fill="BDD7EE"/>
            <w:noWrap/>
            <w:vAlign w:val="center"/>
          </w:tcPr>
          <w:p w14:paraId="0473C641" w14:textId="77777777" w:rsidR="00E42B18" w:rsidRDefault="009629C4">
            <w:pPr>
              <w:pStyle w:val="P68B1DB1-Normal10"/>
              <w:jc w:val="center"/>
              <w:rPr>
                <w:noProof/>
                <w:szCs w:val="20"/>
              </w:rPr>
            </w:pPr>
            <w:r>
              <w:rPr>
                <w:noProof/>
              </w:rPr>
              <w:t>Toimenpide (uudistus tai investointi)</w:t>
            </w:r>
          </w:p>
        </w:tc>
        <w:tc>
          <w:tcPr>
            <w:tcW w:w="378" w:type="pct"/>
            <w:vMerge w:val="restart"/>
            <w:shd w:val="clear" w:color="auto" w:fill="BDD7EE"/>
            <w:noWrap/>
            <w:vAlign w:val="center"/>
          </w:tcPr>
          <w:p w14:paraId="68896275" w14:textId="77777777" w:rsidR="00E42B18" w:rsidRDefault="009629C4">
            <w:pPr>
              <w:pStyle w:val="P68B1DB1-Normal10"/>
              <w:jc w:val="center"/>
              <w:rPr>
                <w:noProof/>
                <w:szCs w:val="20"/>
              </w:rPr>
            </w:pPr>
            <w:r>
              <w:rPr>
                <w:noProof/>
              </w:rPr>
              <w:t>Välitavoite/tavoite</w:t>
            </w:r>
          </w:p>
        </w:tc>
        <w:tc>
          <w:tcPr>
            <w:tcW w:w="520" w:type="pct"/>
            <w:vMerge w:val="restart"/>
            <w:shd w:val="clear" w:color="auto" w:fill="BDD7EE"/>
            <w:noWrap/>
            <w:vAlign w:val="center"/>
          </w:tcPr>
          <w:p w14:paraId="79932134" w14:textId="77777777" w:rsidR="00E42B18" w:rsidRDefault="009629C4">
            <w:pPr>
              <w:pStyle w:val="P68B1DB1-Normal10"/>
              <w:jc w:val="center"/>
              <w:rPr>
                <w:noProof/>
                <w:szCs w:val="20"/>
              </w:rPr>
            </w:pPr>
            <w:r>
              <w:rPr>
                <w:noProof/>
              </w:rPr>
              <w:t>Nimi</w:t>
            </w:r>
          </w:p>
        </w:tc>
        <w:tc>
          <w:tcPr>
            <w:tcW w:w="520" w:type="pct"/>
            <w:vMerge w:val="restart"/>
            <w:shd w:val="clear" w:color="auto" w:fill="BDD7EE"/>
            <w:noWrap/>
            <w:vAlign w:val="center"/>
          </w:tcPr>
          <w:p w14:paraId="1C6DCE04" w14:textId="16EFFE49"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1087" w:type="pct"/>
            <w:gridSpan w:val="3"/>
            <w:shd w:val="clear" w:color="auto" w:fill="BDD7EE"/>
            <w:noWrap/>
            <w:vAlign w:val="center"/>
          </w:tcPr>
          <w:p w14:paraId="3B852853" w14:textId="77777777" w:rsidR="00E42B18" w:rsidRDefault="009629C4">
            <w:pPr>
              <w:jc w:val="center"/>
              <w:rPr>
                <w:rFonts w:ascii="Arial Narrow" w:hAnsi="Arial Narrow"/>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552" w:type="pct"/>
            <w:gridSpan w:val="2"/>
            <w:shd w:val="clear" w:color="auto" w:fill="BDD7EE"/>
            <w:noWrap/>
            <w:vAlign w:val="center"/>
          </w:tcPr>
          <w:p w14:paraId="7E68CCD1" w14:textId="77777777" w:rsidR="00E42B18" w:rsidRDefault="009629C4">
            <w:pPr>
              <w:pStyle w:val="P68B1DB1-Normal10"/>
              <w:jc w:val="center"/>
              <w:rPr>
                <w:noProof/>
                <w:szCs w:val="20"/>
              </w:rPr>
            </w:pPr>
            <w:r>
              <w:rPr>
                <w:noProof/>
              </w:rPr>
              <w:t>Alustava toteutusaikataulu</w:t>
            </w:r>
          </w:p>
        </w:tc>
        <w:tc>
          <w:tcPr>
            <w:tcW w:w="1046" w:type="pct"/>
            <w:vMerge w:val="restart"/>
            <w:shd w:val="clear" w:color="auto" w:fill="BDD7EE"/>
            <w:noWrap/>
            <w:vAlign w:val="center"/>
          </w:tcPr>
          <w:p w14:paraId="158677DF" w14:textId="77777777" w:rsidR="00E42B18" w:rsidRDefault="00E42B18">
            <w:pPr>
              <w:jc w:val="center"/>
              <w:rPr>
                <w:rFonts w:ascii="Arial Narrow" w:eastAsia="Calibri" w:hAnsi="Arial Narrow"/>
                <w:noProof/>
                <w:color w:val="006100"/>
                <w:sz w:val="20"/>
                <w:szCs w:val="20"/>
              </w:rPr>
            </w:pPr>
          </w:p>
          <w:p w14:paraId="62B168EC" w14:textId="77777777" w:rsidR="00E42B18" w:rsidRDefault="009629C4">
            <w:pPr>
              <w:pStyle w:val="P68B1DB1-Normal10"/>
              <w:jc w:val="center"/>
              <w:rPr>
                <w:rFonts w:eastAsia="Calibri"/>
                <w:noProof/>
                <w:color w:val="006100"/>
                <w:szCs w:val="20"/>
              </w:rPr>
            </w:pPr>
            <w:r>
              <w:rPr>
                <w:noProof/>
              </w:rPr>
              <w:t>Kunkin välitavoitteen ja tavoitteen kuvaus</w:t>
            </w:r>
          </w:p>
        </w:tc>
      </w:tr>
      <w:tr w:rsidR="00E42B18" w14:paraId="482EC076" w14:textId="77777777">
        <w:trPr>
          <w:trHeight w:val="313"/>
          <w:tblHeader/>
          <w:jc w:val="center"/>
        </w:trPr>
        <w:tc>
          <w:tcPr>
            <w:tcW w:w="377" w:type="pct"/>
            <w:vMerge/>
            <w:noWrap/>
            <w:vAlign w:val="center"/>
          </w:tcPr>
          <w:p w14:paraId="34114E7F" w14:textId="77777777" w:rsidR="00E42B18" w:rsidRDefault="00E42B18">
            <w:pPr>
              <w:jc w:val="center"/>
              <w:rPr>
                <w:rFonts w:ascii="Arial Narrow" w:hAnsi="Arial Narrow"/>
                <w:noProof/>
                <w:sz w:val="20"/>
                <w:szCs w:val="20"/>
              </w:rPr>
            </w:pPr>
          </w:p>
        </w:tc>
        <w:tc>
          <w:tcPr>
            <w:tcW w:w="520" w:type="pct"/>
            <w:vMerge/>
            <w:noWrap/>
            <w:vAlign w:val="center"/>
          </w:tcPr>
          <w:p w14:paraId="16FD2CD0" w14:textId="77777777" w:rsidR="00E42B18" w:rsidRDefault="00E42B18">
            <w:pPr>
              <w:jc w:val="center"/>
              <w:rPr>
                <w:rFonts w:ascii="Arial Narrow" w:hAnsi="Arial Narrow"/>
                <w:noProof/>
                <w:sz w:val="20"/>
                <w:szCs w:val="20"/>
              </w:rPr>
            </w:pPr>
          </w:p>
        </w:tc>
        <w:tc>
          <w:tcPr>
            <w:tcW w:w="378" w:type="pct"/>
            <w:vMerge/>
            <w:noWrap/>
            <w:vAlign w:val="center"/>
          </w:tcPr>
          <w:p w14:paraId="09ACF6C4" w14:textId="77777777" w:rsidR="00E42B18" w:rsidRDefault="00E42B18">
            <w:pPr>
              <w:jc w:val="center"/>
              <w:rPr>
                <w:rFonts w:ascii="Arial Narrow" w:hAnsi="Arial Narrow"/>
                <w:noProof/>
                <w:sz w:val="20"/>
                <w:szCs w:val="20"/>
              </w:rPr>
            </w:pPr>
          </w:p>
        </w:tc>
        <w:tc>
          <w:tcPr>
            <w:tcW w:w="520" w:type="pct"/>
            <w:vMerge/>
            <w:noWrap/>
            <w:vAlign w:val="center"/>
          </w:tcPr>
          <w:p w14:paraId="4B837074" w14:textId="77777777" w:rsidR="00E42B18" w:rsidRDefault="00E42B18">
            <w:pPr>
              <w:jc w:val="center"/>
              <w:rPr>
                <w:rFonts w:ascii="Arial Narrow" w:hAnsi="Arial Narrow"/>
                <w:noProof/>
                <w:sz w:val="20"/>
                <w:szCs w:val="20"/>
              </w:rPr>
            </w:pPr>
          </w:p>
        </w:tc>
        <w:tc>
          <w:tcPr>
            <w:tcW w:w="520" w:type="pct"/>
            <w:vMerge/>
            <w:noWrap/>
            <w:vAlign w:val="center"/>
          </w:tcPr>
          <w:p w14:paraId="0C7DF546" w14:textId="77777777" w:rsidR="00E42B18" w:rsidRDefault="00E42B18">
            <w:pPr>
              <w:jc w:val="center"/>
              <w:rPr>
                <w:rFonts w:ascii="Arial Narrow" w:eastAsia="Calibri" w:hAnsi="Arial Narrow"/>
                <w:noProof/>
                <w:sz w:val="20"/>
                <w:szCs w:val="20"/>
              </w:rPr>
            </w:pPr>
          </w:p>
        </w:tc>
        <w:tc>
          <w:tcPr>
            <w:tcW w:w="331" w:type="pct"/>
            <w:shd w:val="clear" w:color="auto" w:fill="BDD7EE"/>
            <w:noWrap/>
            <w:vAlign w:val="center"/>
          </w:tcPr>
          <w:p w14:paraId="57373DD1" w14:textId="77777777" w:rsidR="00E42B18" w:rsidRDefault="009629C4">
            <w:pPr>
              <w:pStyle w:val="P68B1DB1-Normal10"/>
              <w:jc w:val="center"/>
              <w:rPr>
                <w:noProof/>
                <w:szCs w:val="20"/>
              </w:rPr>
            </w:pPr>
            <w:r>
              <w:rPr>
                <w:noProof/>
              </w:rPr>
              <w:t>Mitta-yksikkö</w:t>
            </w:r>
          </w:p>
        </w:tc>
        <w:tc>
          <w:tcPr>
            <w:tcW w:w="332" w:type="pct"/>
            <w:shd w:val="clear" w:color="auto" w:fill="BDD7EE"/>
            <w:noWrap/>
            <w:vAlign w:val="center"/>
          </w:tcPr>
          <w:p w14:paraId="7D4B6E63" w14:textId="77777777" w:rsidR="00E42B18" w:rsidRDefault="009629C4">
            <w:pPr>
              <w:pStyle w:val="P68B1DB1-Normal10"/>
              <w:jc w:val="center"/>
              <w:rPr>
                <w:noProof/>
                <w:szCs w:val="20"/>
              </w:rPr>
            </w:pPr>
            <w:r>
              <w:rPr>
                <w:noProof/>
              </w:rPr>
              <w:t>Lähtötilanne</w:t>
            </w:r>
          </w:p>
        </w:tc>
        <w:tc>
          <w:tcPr>
            <w:tcW w:w="424" w:type="pct"/>
            <w:shd w:val="clear" w:color="auto" w:fill="BDD7EE"/>
            <w:noWrap/>
            <w:vAlign w:val="center"/>
          </w:tcPr>
          <w:p w14:paraId="51D6C8A5" w14:textId="77777777" w:rsidR="00E42B18" w:rsidRDefault="009629C4">
            <w:pPr>
              <w:pStyle w:val="P68B1DB1-Normal10"/>
              <w:jc w:val="center"/>
              <w:rPr>
                <w:noProof/>
                <w:szCs w:val="20"/>
              </w:rPr>
            </w:pPr>
            <w:r>
              <w:rPr>
                <w:noProof/>
              </w:rPr>
              <w:t>Päämäärä</w:t>
            </w:r>
          </w:p>
        </w:tc>
        <w:tc>
          <w:tcPr>
            <w:tcW w:w="332" w:type="pct"/>
            <w:shd w:val="clear" w:color="auto" w:fill="BDD7EE"/>
            <w:noWrap/>
            <w:vAlign w:val="center"/>
          </w:tcPr>
          <w:p w14:paraId="37DC455F" w14:textId="77777777" w:rsidR="00E42B18" w:rsidRDefault="009629C4">
            <w:pPr>
              <w:pStyle w:val="P68B1DB1-Normal10"/>
              <w:jc w:val="center"/>
              <w:rPr>
                <w:noProof/>
                <w:szCs w:val="20"/>
              </w:rPr>
            </w:pPr>
            <w:r>
              <w:rPr>
                <w:noProof/>
              </w:rPr>
              <w:t>Neljännes</w:t>
            </w:r>
          </w:p>
        </w:tc>
        <w:tc>
          <w:tcPr>
            <w:tcW w:w="220" w:type="pct"/>
            <w:shd w:val="clear" w:color="auto" w:fill="BDD7EE"/>
            <w:noWrap/>
            <w:vAlign w:val="center"/>
          </w:tcPr>
          <w:p w14:paraId="185E28C7" w14:textId="77777777" w:rsidR="00E42B18" w:rsidRDefault="009629C4">
            <w:pPr>
              <w:pStyle w:val="P68B1DB1-Normal10"/>
              <w:jc w:val="center"/>
              <w:rPr>
                <w:noProof/>
                <w:szCs w:val="20"/>
              </w:rPr>
            </w:pPr>
            <w:r>
              <w:rPr>
                <w:noProof/>
              </w:rPr>
              <w:t>Vuosi</w:t>
            </w:r>
          </w:p>
        </w:tc>
        <w:tc>
          <w:tcPr>
            <w:tcW w:w="1046" w:type="pct"/>
            <w:vMerge/>
            <w:noWrap/>
            <w:vAlign w:val="center"/>
          </w:tcPr>
          <w:p w14:paraId="6F4F16E8" w14:textId="77777777" w:rsidR="00E42B18" w:rsidRDefault="00E42B18">
            <w:pPr>
              <w:jc w:val="center"/>
              <w:rPr>
                <w:rFonts w:ascii="Arial Narrow" w:eastAsia="Calibri" w:hAnsi="Arial Narrow"/>
                <w:noProof/>
                <w:color w:val="006100"/>
                <w:sz w:val="20"/>
                <w:szCs w:val="20"/>
              </w:rPr>
            </w:pPr>
          </w:p>
        </w:tc>
      </w:tr>
      <w:tr w:rsidR="00E42B18" w14:paraId="655A0098"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9A4436" w14:textId="77777777" w:rsidR="00E42B18" w:rsidRDefault="009629C4">
            <w:pPr>
              <w:pStyle w:val="P68B1DB1-Normal11"/>
              <w:jc w:val="center"/>
              <w:rPr>
                <w:noProof/>
              </w:rPr>
            </w:pPr>
            <w:r>
              <w:rPr>
                <w:noProof/>
              </w:rPr>
              <w:t>M1C3–9bis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D37A12F" w14:textId="0FFAE26E" w:rsidR="00E42B18" w:rsidRDefault="009629C4">
            <w:pPr>
              <w:pStyle w:val="P68B1DB1-Normal11"/>
              <w:jc w:val="center"/>
              <w:rPr>
                <w:noProof/>
              </w:rPr>
            </w:pPr>
            <w:r>
              <w:rPr>
                <w:noProof/>
              </w:rPr>
              <w:t>Investointi 4.1 Digitaalisen matkailun keskus</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2F728D" w14:textId="77777777" w:rsidR="00E42B18" w:rsidRDefault="009629C4">
            <w:pPr>
              <w:pStyle w:val="P68B1DB1-Normal11"/>
              <w:jc w:val="center"/>
              <w:rPr>
                <w:noProof/>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4A430B" w14:textId="26CD5A5F" w:rsidR="00E42B18" w:rsidRDefault="009629C4">
            <w:pPr>
              <w:pStyle w:val="P68B1DB1-Normal11"/>
              <w:jc w:val="center"/>
              <w:rPr>
                <w:noProof/>
              </w:rPr>
            </w:pPr>
            <w:r>
              <w:rPr>
                <w:noProof/>
              </w:rPr>
              <w:t xml:space="preserve">Matkailualan toimijoiden rekisteröinti digitaaliseen matkailukeskukseen ja pääsy keskuksen tarjoamiin palveluihin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0FAE334" w14:textId="77777777" w:rsidR="00E42B18" w:rsidRDefault="009629C4">
            <w:pPr>
              <w:pStyle w:val="P68B1DB1-Normal11"/>
              <w:jc w:val="center"/>
              <w:rPr>
                <w:noProof/>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EAEC14" w14:textId="77777777" w:rsidR="00E42B18" w:rsidRDefault="009629C4">
            <w:pPr>
              <w:pStyle w:val="P68B1DB1-Normal11"/>
              <w:jc w:val="center"/>
              <w:rPr>
                <w:noProof/>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66F78DB" w14:textId="77777777" w:rsidR="00E42B18" w:rsidRDefault="009629C4">
            <w:pPr>
              <w:pStyle w:val="P68B1DB1-Normal11"/>
              <w:jc w:val="center"/>
              <w:rPr>
                <w:noProof/>
              </w:rPr>
            </w:pPr>
            <w:r>
              <w:rPr>
                <w:noProof/>
              </w:rPr>
              <w:t>20 000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7C4F3C" w14:textId="77777777" w:rsidR="00E42B18" w:rsidRDefault="009629C4">
            <w:pPr>
              <w:pStyle w:val="P68B1DB1-Normal11"/>
              <w:jc w:val="center"/>
              <w:rPr>
                <w:noProof/>
              </w:rPr>
            </w:pPr>
            <w:r>
              <w:rPr>
                <w:noProof/>
              </w:rPr>
              <w:t>35 000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4F89D4C" w14:textId="77777777" w:rsidR="00E42B18" w:rsidRDefault="009629C4">
            <w:pPr>
              <w:pStyle w:val="P68B1DB1-Normal11"/>
              <w:jc w:val="center"/>
              <w:rPr>
                <w:noProof/>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B720AF" w14:textId="77777777" w:rsidR="00E42B18" w:rsidRDefault="009629C4">
            <w:pPr>
              <w:pStyle w:val="P68B1DB1-Normal11"/>
              <w:jc w:val="center"/>
              <w:rPr>
                <w:noProof/>
              </w:rPr>
            </w:pPr>
            <w:r>
              <w:rPr>
                <w:noProof/>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C6DBCA2" w14:textId="6BD5043B" w:rsidR="00E42B18" w:rsidRDefault="009629C4">
            <w:pPr>
              <w:pStyle w:val="P68B1DB1-Normal11"/>
              <w:rPr>
                <w:rFonts w:eastAsia="Arial Narrow" w:cs="Arial Narrow"/>
                <w:noProof/>
                <w:szCs w:val="20"/>
              </w:rPr>
            </w:pPr>
            <w:r>
              <w:rPr>
                <w:noProof/>
              </w:rPr>
              <w:t xml:space="preserve">Keskukseen on rekisteröitävä vähintään 35000 matkailualan toimijaa (joihin voivat kuulua muun muassa hotellit, matkanjärjestäjät ja yritykset, sellaisina kuin ne on määritelty ATECO-koodissa 55.00; 56.00.00.00; 79.00.00.00 ja muut toimialaan kuuluvat rakenteet). </w:t>
            </w:r>
          </w:p>
          <w:p w14:paraId="38EA4B46" w14:textId="77777777" w:rsidR="00E42B18" w:rsidRDefault="009629C4">
            <w:pPr>
              <w:pStyle w:val="P68B1DB1-Normal12"/>
              <w:rPr>
                <w:noProof/>
              </w:rPr>
            </w:pPr>
            <w:r>
              <w:rPr>
                <w:noProof/>
              </w:rPr>
              <w:t xml:space="preserve">Digitaaliseen matkailukeskukseen rekisteröityneiden matkailualan toimijoiden on oltava seuraavien palvelujen saatavilla: </w:t>
            </w:r>
          </w:p>
          <w:p w14:paraId="0F568DA8" w14:textId="2F10C222" w:rsidR="00E42B18" w:rsidRDefault="009629C4">
            <w:pPr>
              <w:pStyle w:val="P68B1DB1-ListParagraph23"/>
              <w:numPr>
                <w:ilvl w:val="0"/>
                <w:numId w:val="76"/>
              </w:numPr>
              <w:spacing w:line="278" w:lineRule="auto"/>
              <w:rPr>
                <w:noProof/>
              </w:rPr>
            </w:pPr>
            <w:r>
              <w:rPr>
                <w:noProof/>
              </w:rPr>
              <w:t xml:space="preserve">Viestintäpalvelut, joiden avulla matkailualan toimijat voivat tehdä tarjouksensa;  </w:t>
            </w:r>
          </w:p>
          <w:p w14:paraId="0685159D" w14:textId="30F4611A" w:rsidR="00E42B18" w:rsidRDefault="009629C4">
            <w:pPr>
              <w:pStyle w:val="P68B1DB1-ListParagraph15"/>
              <w:numPr>
                <w:ilvl w:val="0"/>
                <w:numId w:val="76"/>
              </w:numPr>
              <w:spacing w:line="278" w:lineRule="auto"/>
              <w:rPr>
                <w:noProof/>
              </w:rPr>
            </w:pPr>
            <w:r>
              <w:rPr>
                <w:noProof/>
              </w:rPr>
              <w:t xml:space="preserve">Data-analyysivälineet ja ennakoivat mallit datavetoisen päätöksenteon tueksi; </w:t>
            </w:r>
          </w:p>
          <w:p w14:paraId="3A9AE8A0" w14:textId="77777777" w:rsidR="00E42B18" w:rsidRDefault="009629C4">
            <w:pPr>
              <w:pStyle w:val="P68B1DB1-ListParagraph23"/>
              <w:numPr>
                <w:ilvl w:val="0"/>
                <w:numId w:val="76"/>
              </w:numPr>
              <w:spacing w:line="278" w:lineRule="auto"/>
              <w:rPr>
                <w:noProof/>
              </w:rPr>
            </w:pPr>
            <w:r>
              <w:rPr>
                <w:noProof/>
              </w:rPr>
              <w:t xml:space="preserve">Täydennys- ja uudelleenkoulutusta koskeva koulutus; </w:t>
            </w:r>
          </w:p>
          <w:p w14:paraId="63DB0BA1" w14:textId="77777777" w:rsidR="00E42B18" w:rsidRDefault="009629C4">
            <w:pPr>
              <w:pStyle w:val="P68B1DB1-ListParagraph13"/>
              <w:numPr>
                <w:ilvl w:val="0"/>
                <w:numId w:val="76"/>
              </w:numPr>
              <w:spacing w:line="278" w:lineRule="auto"/>
              <w:rPr>
                <w:noProof/>
              </w:rPr>
            </w:pPr>
            <w:r>
              <w:rPr>
                <w:noProof/>
              </w:rPr>
              <w:t>Matkailualan pk-yritysten innovaatiotoimintaa tukevat palvelut.</w:t>
            </w:r>
          </w:p>
        </w:tc>
      </w:tr>
      <w:tr w:rsidR="00E42B18" w14:paraId="1DA0EB9E"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D5B0A5" w14:textId="77777777" w:rsidR="00E42B18" w:rsidRDefault="009629C4">
            <w:pPr>
              <w:pStyle w:val="P68B1DB1-Normal11"/>
              <w:jc w:val="center"/>
              <w:rPr>
                <w:noProof/>
                <w:szCs w:val="20"/>
              </w:rPr>
            </w:pPr>
            <w:r>
              <w:rPr>
                <w:noProof/>
              </w:rPr>
              <w:t>M1C3–12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E67339" w14:textId="77777777" w:rsidR="00E42B18" w:rsidRDefault="009629C4">
            <w:pPr>
              <w:pStyle w:val="P68B1DB1-Normal11"/>
              <w:jc w:val="center"/>
              <w:rPr>
                <w:noProof/>
                <w:szCs w:val="20"/>
              </w:rPr>
            </w:pPr>
            <w:r>
              <w:rPr>
                <w:noProof/>
              </w:rPr>
              <w:t>Investointi 2.1 – Pienen historiallisen kaupungin houkuttelevuus</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BDF1DE9"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98B4311" w14:textId="77777777" w:rsidR="00E42B18" w:rsidRDefault="009629C4">
            <w:pPr>
              <w:pStyle w:val="P68B1DB1-Normal11"/>
              <w:jc w:val="center"/>
              <w:rPr>
                <w:noProof/>
                <w:szCs w:val="20"/>
              </w:rPr>
            </w:pPr>
            <w:r>
              <w:rPr>
                <w:noProof/>
              </w:rPr>
              <w:t>Kulttuuriministeriön asetus varojen jakamisesta kunnille pienten historiallisten kaupunkien houkuttelevuuden lisäämiseksi tulee voimaan</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E98D1B1" w14:textId="77777777" w:rsidR="00E42B18" w:rsidRDefault="009629C4">
            <w:pPr>
              <w:pStyle w:val="P68B1DB1-Normal11"/>
              <w:jc w:val="center"/>
              <w:rPr>
                <w:noProof/>
                <w:szCs w:val="20"/>
              </w:rPr>
            </w:pPr>
            <w:r>
              <w:rPr>
                <w:noProof/>
              </w:rPr>
              <w:t>Asetus, jossa mainitaan kulttuuriministeriön asetuksen voimaantulo ja joka koskee varojen jakamista kunnille pienten historiallisten kaupunkien houkuttelevuuden lisäämiseksi</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B1706E" w14:textId="77777777" w:rsidR="00E42B18" w:rsidRDefault="009629C4">
            <w:pPr>
              <w:pStyle w:val="P68B1DB1-Normal11"/>
              <w:jc w:val="center"/>
              <w:rPr>
                <w:noProof/>
                <w:szCs w:val="20"/>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D3312FC" w14:textId="77777777" w:rsidR="00E42B18" w:rsidRDefault="009629C4">
            <w:pPr>
              <w:pStyle w:val="P68B1DB1-Normal11"/>
              <w:jc w:val="center"/>
              <w:rPr>
                <w:noProof/>
                <w:szCs w:val="20"/>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B6C4462" w14:textId="77777777" w:rsidR="00E42B18" w:rsidRDefault="009629C4">
            <w:pPr>
              <w:pStyle w:val="P68B1DB1-Normal11"/>
              <w:jc w:val="center"/>
              <w:rPr>
                <w:noProof/>
                <w:szCs w:val="20"/>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8840BC" w14:textId="77777777" w:rsidR="00E42B18" w:rsidRDefault="009629C4">
            <w:pPr>
              <w:pStyle w:val="P68B1DB1-Normal11"/>
              <w:jc w:val="center"/>
              <w:rPr>
                <w:noProof/>
                <w:szCs w:val="20"/>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D286408" w14:textId="77777777" w:rsidR="00E42B18" w:rsidRDefault="009629C4">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926AF0" w14:textId="77777777" w:rsidR="00E42B18" w:rsidRDefault="009629C4">
            <w:pPr>
              <w:pStyle w:val="P68B1DB1-Normal11"/>
              <w:rPr>
                <w:noProof/>
                <w:szCs w:val="20"/>
              </w:rPr>
            </w:pPr>
            <w:r>
              <w:rPr>
                <w:noProof/>
              </w:rPr>
              <w:t>Kulttuuriministeriön asetuksella myönnetään varoja kunnille pienten historiallisten kaupunkien houkuttelevuuden lisäämiseksi.</w:t>
            </w:r>
          </w:p>
          <w:p w14:paraId="091D3F79" w14:textId="77777777" w:rsidR="00E42B18" w:rsidRDefault="009629C4">
            <w:pPr>
              <w:pStyle w:val="P68B1DB1-Normal11"/>
              <w:rPr>
                <w:noProof/>
                <w:szCs w:val="20"/>
              </w:rPr>
            </w:pPr>
            <w:r>
              <w:rPr>
                <w:noProof/>
              </w:rPr>
              <w:t>Pienten historiallisten kaupunkien houkuttelevuuden lisäämiseksi mukana olevat kunnat viittaavat 250 kuntaan/kyliin, jotka ovat toimittaneet interventio-ohjelmat kulttuuriministeriölle.</w:t>
            </w:r>
          </w:p>
          <w:p w14:paraId="4218C6F8" w14:textId="77777777" w:rsidR="00E42B18" w:rsidRDefault="009629C4">
            <w:pPr>
              <w:pStyle w:val="P68B1DB1-Normal44"/>
              <w:rPr>
                <w:rFonts w:hAnsi="Arial Narrow"/>
                <w:noProof/>
                <w:szCs w:val="20"/>
              </w:rPr>
            </w:pPr>
            <w:r>
              <w:rPr>
                <w:noProof/>
              </w:rPr>
              <w:t>Kriteerit 250 kyl</w:t>
            </w:r>
            <w:r>
              <w:rPr>
                <w:noProof/>
              </w:rPr>
              <w:t>ä</w:t>
            </w:r>
            <w:r>
              <w:rPr>
                <w:noProof/>
              </w:rPr>
              <w:t>n valitsemiseksi (Inv. 2.1) jaetaan MiC:n, alueiden, ANCI:n ja sis</w:t>
            </w:r>
            <w:r>
              <w:rPr>
                <w:noProof/>
              </w:rPr>
              <w:t>ä</w:t>
            </w:r>
            <w:r>
              <w:rPr>
                <w:noProof/>
              </w:rPr>
              <w:t>isten alueiden kesken; niiden on alustavasti yksil</w:t>
            </w:r>
            <w:r>
              <w:rPr>
                <w:noProof/>
              </w:rPr>
              <w:t>ö</w:t>
            </w:r>
            <w:r>
              <w:rPr>
                <w:noProof/>
              </w:rPr>
              <w:t>it</w:t>
            </w:r>
            <w:r>
              <w:rPr>
                <w:noProof/>
              </w:rPr>
              <w:t>ä</w:t>
            </w:r>
            <w:r>
              <w:rPr>
                <w:noProof/>
              </w:rPr>
              <w:t>v</w:t>
            </w:r>
            <w:r>
              <w:rPr>
                <w:noProof/>
              </w:rPr>
              <w:t>ä</w:t>
            </w:r>
            <w:r>
              <w:rPr>
                <w:noProof/>
              </w:rPr>
              <w:t xml:space="preserve"> alueet, joille voidaan my</w:t>
            </w:r>
            <w:r>
              <w:rPr>
                <w:noProof/>
              </w:rPr>
              <w:t>ö</w:t>
            </w:r>
            <w:r>
              <w:rPr>
                <w:noProof/>
              </w:rPr>
              <w:t>nt</w:t>
            </w:r>
            <w:r>
              <w:rPr>
                <w:noProof/>
              </w:rPr>
              <w:t>ää</w:t>
            </w:r>
            <w:r>
              <w:rPr>
                <w:noProof/>
              </w:rPr>
              <w:t xml:space="preserve"> tukea (Inv2.1) eri ohjelmien keskin</w:t>
            </w:r>
            <w:r>
              <w:rPr>
                <w:noProof/>
              </w:rPr>
              <w:t>ä</w:t>
            </w:r>
            <w:r>
              <w:rPr>
                <w:noProof/>
              </w:rPr>
              <w:t>isen t</w:t>
            </w:r>
            <w:r>
              <w:rPr>
                <w:noProof/>
              </w:rPr>
              <w:t>ä</w:t>
            </w:r>
            <w:r>
              <w:rPr>
                <w:noProof/>
              </w:rPr>
              <w:t>ydent</w:t>
            </w:r>
            <w:r>
              <w:rPr>
                <w:noProof/>
              </w:rPr>
              <w:t>ä</w:t>
            </w:r>
            <w:r>
              <w:rPr>
                <w:noProof/>
              </w:rPr>
              <w:t>vyyden vuoksi. T</w:t>
            </w:r>
            <w:r>
              <w:rPr>
                <w:noProof/>
              </w:rPr>
              <w:t>ä</w:t>
            </w:r>
            <w:r>
              <w:rPr>
                <w:noProof/>
              </w:rPr>
              <w:t>m</w:t>
            </w:r>
            <w:r>
              <w:rPr>
                <w:noProof/>
              </w:rPr>
              <w:t>ä</w:t>
            </w:r>
            <w:r>
              <w:rPr>
                <w:noProof/>
              </w:rPr>
              <w:t>n j</w:t>
            </w:r>
            <w:r>
              <w:rPr>
                <w:noProof/>
              </w:rPr>
              <w:t>ä</w:t>
            </w:r>
            <w:r>
              <w:rPr>
                <w:noProof/>
              </w:rPr>
              <w:t>lkeen kyl</w:t>
            </w:r>
            <w:r>
              <w:rPr>
                <w:noProof/>
              </w:rPr>
              <w:t>ä</w:t>
            </w:r>
            <w:r>
              <w:rPr>
                <w:noProof/>
              </w:rPr>
              <w:t>t valitaan a) alueellisten, taloudellisten ja sosiaalisten kriteerien (tilastoindikaattorit) perusteella b) hankkeen kyky vaikuttaa matkailun houkuttelevuuteen ja lis</w:t>
            </w:r>
            <w:r>
              <w:rPr>
                <w:noProof/>
              </w:rPr>
              <w:t>ä</w:t>
            </w:r>
            <w:r>
              <w:rPr>
                <w:noProof/>
              </w:rPr>
              <w:t>t</w:t>
            </w:r>
            <w:r>
              <w:rPr>
                <w:noProof/>
              </w:rPr>
              <w:t>ä</w:t>
            </w:r>
            <w:r>
              <w:rPr>
                <w:noProof/>
              </w:rPr>
              <w:t xml:space="preserve"> kulttuuriin osallistumista. Huomioon otetaan seuraavat tilastolliset indikaattorit: demografinen koko (kunnat, joissa on pontta. &amp; 5000 inhab.) ja suuntaus; matkailijavirrat, museovieraat; matkailutarjonnan johdonmukaisuus (hotellit ja muut hotellit, b &amp; B-hotellit, huoneet ja vuokramajoitus) kunnan v</w:t>
            </w:r>
            <w:r>
              <w:rPr>
                <w:noProof/>
              </w:rPr>
              <w:t>ä</w:t>
            </w:r>
            <w:r>
              <w:rPr>
                <w:noProof/>
              </w:rPr>
              <w:t>est</w:t>
            </w:r>
            <w:r>
              <w:rPr>
                <w:noProof/>
              </w:rPr>
              <w:t>ö</w:t>
            </w:r>
            <w:r>
              <w:rPr>
                <w:noProof/>
              </w:rPr>
              <w:t>kehitys; v</w:t>
            </w:r>
            <w:r>
              <w:rPr>
                <w:noProof/>
              </w:rPr>
              <w:t>ä</w:t>
            </w:r>
            <w:r>
              <w:rPr>
                <w:noProof/>
              </w:rPr>
              <w:t>est</w:t>
            </w:r>
            <w:r>
              <w:rPr>
                <w:noProof/>
              </w:rPr>
              <w:t>ö</w:t>
            </w:r>
            <w:r>
              <w:rPr>
                <w:noProof/>
              </w:rPr>
              <w:t>n osallistuminen kulttuuriin; kulttuurialan, luovien toimialojen ja matkailualan yritysten (voittoa tavoittelemattomat ja voittoa tavoittelemattomat yritykset) ja niihin liittyvien ty</w:t>
            </w:r>
            <w:r>
              <w:rPr>
                <w:noProof/>
              </w:rPr>
              <w:t>ö</w:t>
            </w:r>
            <w:r>
              <w:rPr>
                <w:noProof/>
              </w:rPr>
              <w:t>ntekij</w:t>
            </w:r>
            <w:r>
              <w:rPr>
                <w:noProof/>
              </w:rPr>
              <w:t>ö</w:t>
            </w:r>
            <w:r>
              <w:rPr>
                <w:noProof/>
              </w:rPr>
              <w:t>iden johdonmukaisuus.</w:t>
            </w:r>
          </w:p>
          <w:p w14:paraId="4B95F2E8" w14:textId="2A3DF89D" w:rsidR="00E42B18" w:rsidRDefault="009629C4">
            <w:pPr>
              <w:pStyle w:val="P68B1DB1-Normal11"/>
              <w:rPr>
                <w:noProof/>
                <w:szCs w:val="20"/>
              </w:rPr>
            </w:pPr>
            <w:r>
              <w:rPr>
                <w:noProof/>
              </w:rPr>
              <w:t xml:space="preserve">Kilpailuun perustuvien ehdotuspyyntöjen perusteella valittujen hankkeiden kanssa tehtävien sopimusten on sisällettävä seuraavat: </w:t>
            </w:r>
          </w:p>
          <w:p w14:paraId="52948DD0" w14:textId="77777777" w:rsidR="00E42B18" w:rsidRDefault="009629C4">
            <w:pPr>
              <w:pStyle w:val="P68B1DB1-Normal11"/>
              <w:rPr>
                <w:noProof/>
                <w:szCs w:val="20"/>
              </w:rPr>
            </w:pPr>
            <w:r>
              <w:rPr>
                <w:noProof/>
              </w:rPr>
              <w:t xml:space="preserve">a) Tukikelpoisuuskriteerit, joilla varmistetaan, että valitut hankkeet ovat ”ei merkittävää haittaa” -periaatetta koskevien teknisten ohjeiden (2021/C58/01) mukaisia, käyttämällä poissulkemisluetteloa ja vaatimusta asiaa koskevan EU:n ja kansallisen ympäristölainsäädännön noudattamisesta. </w:t>
            </w:r>
          </w:p>
          <w:p w14:paraId="2811551B" w14:textId="77777777" w:rsidR="00E42B18" w:rsidRDefault="009629C4">
            <w:pPr>
              <w:pStyle w:val="P68B1DB1-Normal11"/>
              <w:rPr>
                <w:noProof/>
                <w:szCs w:val="20"/>
              </w:rPr>
            </w:pPr>
            <w:r>
              <w:rPr>
                <w:noProof/>
              </w:rPr>
              <w:t xml:space="preserve">b) Sitoumus siitä, että asetuksen (EU) 2021/241 liitteessä VI esitetyn menetelmän mukainen investoinnin ilmastorahoitusosuus on vähintään 25 prosenttia elpymis- ja palautumistukivälineestä tuetun investoinnin kokonaiskustannuksista. </w:t>
            </w:r>
          </w:p>
          <w:p w14:paraId="3BFABFE8" w14:textId="77777777" w:rsidR="00E42B18" w:rsidRDefault="009629C4">
            <w:pPr>
              <w:pStyle w:val="P68B1DB1-Normal11"/>
              <w:rPr>
                <w:noProof/>
                <w:szCs w:val="20"/>
              </w:rPr>
            </w:pPr>
            <w:r>
              <w:rPr>
                <w:noProof/>
              </w:rPr>
              <w:t>sitoumus raportoida toimenpiteen täytäntöönpanosta järjestelmän elinkaaren puolivälissä ja ohjelman päättyessä.</w:t>
            </w:r>
          </w:p>
        </w:tc>
      </w:tr>
      <w:tr w:rsidR="00E42B18" w14:paraId="6C49B51E"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17BD90D" w14:textId="77777777" w:rsidR="00E42B18" w:rsidRDefault="009629C4">
            <w:pPr>
              <w:pStyle w:val="P68B1DB1-Normal11"/>
              <w:jc w:val="center"/>
              <w:rPr>
                <w:noProof/>
                <w:szCs w:val="20"/>
              </w:rPr>
            </w:pPr>
            <w:r>
              <w:rPr>
                <w:noProof/>
              </w:rPr>
              <w:t>M1C3–13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429A98" w14:textId="77777777" w:rsidR="00E42B18" w:rsidRDefault="009629C4">
            <w:pPr>
              <w:pStyle w:val="P68B1DB1-Normal11"/>
              <w:jc w:val="center"/>
              <w:rPr>
                <w:noProof/>
                <w:szCs w:val="20"/>
              </w:rPr>
            </w:pPr>
            <w:r>
              <w:rPr>
                <w:noProof/>
              </w:rPr>
              <w:t>Investointi 2.2 – Maaseudun arkkitehtuurin ja maiseman suojelu ja parantaminen</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1318F03"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FA9C08D" w14:textId="1D918A91" w:rsidR="00E42B18" w:rsidRDefault="009629C4">
            <w:pPr>
              <w:pStyle w:val="P68B1DB1-Normal11"/>
              <w:jc w:val="center"/>
              <w:rPr>
                <w:noProof/>
                <w:szCs w:val="20"/>
              </w:rPr>
            </w:pPr>
            <w:r>
              <w:rPr>
                <w:noProof/>
              </w:rPr>
              <w:t>Maaseudun arkkitehtuurin ja maiseman suojeluun ja parantamiseen tarkoitettujen varojen jakamista koskevan kulttuuriministeriön asetuksen voimaantulo</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6AF92B" w14:textId="06EB866F" w:rsidR="00E42B18" w:rsidRDefault="009629C4">
            <w:pPr>
              <w:pStyle w:val="P68B1DB1-Normal11"/>
              <w:jc w:val="center"/>
              <w:rPr>
                <w:noProof/>
                <w:szCs w:val="20"/>
              </w:rPr>
            </w:pPr>
            <w:r>
              <w:rPr>
                <w:noProof/>
              </w:rPr>
              <w:t>Asetuksen säännös, joka koskee maaseudun arkkitehtuurin ja maiseman suojeluun ja parantamiseen tarkoitettujen varojen jakamista kulttuuriministeriön (MIC) asetuksen voimaantulosta</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E5C0AF" w14:textId="77777777" w:rsidR="00E42B18" w:rsidRDefault="009629C4">
            <w:pPr>
              <w:pStyle w:val="P68B1DB1-Normal11"/>
              <w:jc w:val="center"/>
              <w:rPr>
                <w:noProof/>
                <w:szCs w:val="20"/>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1DE027" w14:textId="77777777" w:rsidR="00E42B18" w:rsidRDefault="009629C4">
            <w:pPr>
              <w:pStyle w:val="P68B1DB1-Normal11"/>
              <w:jc w:val="center"/>
              <w:rPr>
                <w:noProof/>
                <w:szCs w:val="20"/>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F2D0532" w14:textId="77777777" w:rsidR="00E42B18" w:rsidRDefault="009629C4">
            <w:pPr>
              <w:pStyle w:val="P68B1DB1-Normal11"/>
              <w:jc w:val="center"/>
              <w:rPr>
                <w:noProof/>
                <w:szCs w:val="20"/>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2D1E83" w14:textId="77777777" w:rsidR="00E42B18" w:rsidRDefault="009629C4">
            <w:pPr>
              <w:pStyle w:val="P68B1DB1-Normal11"/>
              <w:jc w:val="center"/>
              <w:rPr>
                <w:noProof/>
                <w:szCs w:val="20"/>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6F86F25" w14:textId="77777777" w:rsidR="00E42B18" w:rsidRDefault="009629C4">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A2EF43B" w14:textId="7EE4B228" w:rsidR="00E42B18" w:rsidRDefault="009629C4">
            <w:pPr>
              <w:pStyle w:val="P68B1DB1-Normal11"/>
              <w:rPr>
                <w:noProof/>
                <w:szCs w:val="20"/>
              </w:rPr>
            </w:pPr>
            <w:r>
              <w:rPr>
                <w:noProof/>
              </w:rPr>
              <w:t xml:space="preserve">Kulttuuriministeriön asetuksella osoitetaan varat maaseudun arkkitehtuurin ja maiseman suojeluun ja parantamiseen. </w:t>
            </w:r>
          </w:p>
          <w:p w14:paraId="565C67DB" w14:textId="77777777" w:rsidR="00E42B18" w:rsidRDefault="009629C4">
            <w:pPr>
              <w:pStyle w:val="P68B1DB1-Normal11"/>
              <w:rPr>
                <w:noProof/>
                <w:szCs w:val="20"/>
              </w:rPr>
            </w:pPr>
            <w:r>
              <w:rPr>
                <w:noProof/>
              </w:rPr>
              <w:t>Maaseudun arkkitehtuurin ja maiseman suojelemiseksi ja parantamiseksi (Inv 2.2) palautettavien omaisuuserien valinnassa on asetettava etusijalle investoinnin kyky vaikuttaa maisema-arvojen suojelutavoitteisiin. Etusijalle on asetettava:</w:t>
            </w:r>
          </w:p>
          <w:p w14:paraId="32091008" w14:textId="26777488" w:rsidR="00E42B18" w:rsidRDefault="009629C4">
            <w:pPr>
              <w:pStyle w:val="P68B1DB1-Normal11"/>
              <w:rPr>
                <w:noProof/>
                <w:szCs w:val="20"/>
              </w:rPr>
            </w:pPr>
            <w:r>
              <w:rPr>
                <w:noProof/>
              </w:rPr>
              <w:t>— omaisuudelle, joka sijaitsee alueilla, joilla on suuri maisema-arvo (maisema-alueilla tai merkittävän yleisen edun kannalta tärkeillä alueilla sijaitsevat varat (DLgs 42/2004:n 124–139 §), Unescon tunnustamilla maisemilla, FAO GIAHS;</w:t>
            </w:r>
          </w:p>
          <w:p w14:paraId="20B8C3B9" w14:textId="77777777" w:rsidR="00E42B18" w:rsidRDefault="009629C4">
            <w:pPr>
              <w:pStyle w:val="P68B1DB1-Normal11"/>
              <w:rPr>
                <w:noProof/>
                <w:szCs w:val="20"/>
              </w:rPr>
            </w:pPr>
            <w:r>
              <w:rPr>
                <w:noProof/>
              </w:rPr>
              <w:t>— julkiseen käyttöön jo saatavilla olevaan omaisuuteen tai siihen, että omistaja suostuu siihen, että se on saatavilla myös paikallisissa ja integroiduissa piireissä ja verkoissa;</w:t>
            </w:r>
          </w:p>
          <w:p w14:paraId="6B394840" w14:textId="77777777" w:rsidR="00E42B18" w:rsidRDefault="009629C4">
            <w:pPr>
              <w:pStyle w:val="P68B1DB1-Normal11"/>
              <w:rPr>
                <w:noProof/>
                <w:szCs w:val="20"/>
              </w:rPr>
            </w:pPr>
            <w:r>
              <w:rPr>
                <w:noProof/>
              </w:rPr>
              <w:t>— ”pinta-alahankkeet”, jotka esitetään aggregoitujen aiheiden mukaan ja joilla voidaan tehokkaammin varmistaa maiseman kehittämistavoitteiden saavuttaminen;</w:t>
            </w:r>
          </w:p>
          <w:p w14:paraId="0F95BA5C" w14:textId="77777777" w:rsidR="00E42B18" w:rsidRDefault="009629C4">
            <w:pPr>
              <w:pStyle w:val="P68B1DB1-Normal11"/>
              <w:rPr>
                <w:noProof/>
                <w:szCs w:val="20"/>
              </w:rPr>
            </w:pPr>
            <w:r>
              <w:rPr>
                <w:noProof/>
              </w:rPr>
              <w:t>— hankkeet, jotka toteutetaan aloilla, jotka lisäävät integrointia ja synergiaa muiden PNR-rekisteriä hakevien kanssa ja muiden luonteeltaan alueellisten suunnitelmien/hankkeiden kanssa, joita tukee kansallinen ohjelmasuunnittelu (kulttuuriministeriö).</w:t>
            </w:r>
          </w:p>
          <w:p w14:paraId="7E1B1FAE" w14:textId="77777777" w:rsidR="00E42B18" w:rsidRDefault="009629C4">
            <w:pPr>
              <w:pStyle w:val="P68B1DB1-Normal11"/>
              <w:rPr>
                <w:noProof/>
                <w:szCs w:val="20"/>
              </w:rPr>
            </w:pPr>
            <w:r>
              <w:rPr>
                <w:noProof/>
              </w:rPr>
              <w:t>Toimenpiteen kohteena olevien maaseutuarkkitehtuurityyppien määrittelemiseksi voidaan käyttää MiBAC:n 6.10.2005 antamaa asetusta (jolla pannaan täytäntöön 24.12.2003 annettu laki nro 378 – maaseutuarkkitehtuurin suojelu ja parantaminen). Alustavasti perusteet voivat koskea seuraavia: varojen suojelun tila, käyttötasot ja niiden rooli alueellisissa ja kaupunkiympäristöissä.</w:t>
            </w:r>
          </w:p>
          <w:p w14:paraId="719B4241" w14:textId="4FBE428C" w:rsidR="00E42B18" w:rsidRDefault="009629C4">
            <w:pPr>
              <w:pStyle w:val="P68B1DB1-Normal11"/>
              <w:rPr>
                <w:noProof/>
                <w:szCs w:val="20"/>
              </w:rPr>
            </w:pPr>
            <w:r>
              <w:rPr>
                <w:noProof/>
              </w:rPr>
              <w:t>Sopimusten myöntämisessä kilpailuun perustuvien ehdotuspyyntöjen perusteella valittujen hankkeiden kanssa on noudatettava ”ei merkittävää haittaa” -periaatetta koskevia teknisiä ohjeita (2021/C58/01) käyttämällä poissulkemisluetteloa ja vaatimusta asiaa koskevan EU:n ja kansallisen ympäristölainsäädännön noudattamisesta.</w:t>
            </w:r>
          </w:p>
        </w:tc>
      </w:tr>
      <w:tr w:rsidR="00E42B18" w14:paraId="0356F0BB"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2B62354" w14:textId="77777777" w:rsidR="00E42B18" w:rsidRDefault="009629C4">
            <w:pPr>
              <w:pStyle w:val="P68B1DB1-Normal11"/>
              <w:jc w:val="center"/>
              <w:rPr>
                <w:noProof/>
                <w:szCs w:val="20"/>
              </w:rPr>
            </w:pPr>
            <w:r>
              <w:rPr>
                <w:noProof/>
              </w:rPr>
              <w:t>M1C3–14</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07628DB" w14:textId="77777777" w:rsidR="00E42B18" w:rsidRDefault="009629C4">
            <w:pPr>
              <w:pStyle w:val="P68B1DB1-Normal11"/>
              <w:jc w:val="center"/>
              <w:rPr>
                <w:noProof/>
                <w:szCs w:val="20"/>
              </w:rPr>
            </w:pPr>
            <w:r>
              <w:rPr>
                <w:noProof/>
              </w:rPr>
              <w:t>Investointi 2.3 – Ohjelmat paikkojen, puistojen ja historiallisten puutarhojen identiteetin parantamiseksi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0A1D25"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0CE824" w14:textId="77777777" w:rsidR="00E42B18" w:rsidRDefault="009629C4">
            <w:pPr>
              <w:pStyle w:val="P68B1DB1-Normal11"/>
              <w:jc w:val="center"/>
              <w:rPr>
                <w:noProof/>
                <w:szCs w:val="20"/>
              </w:rPr>
            </w:pPr>
            <w:r>
              <w:rPr>
                <w:noProof/>
              </w:rPr>
              <w:t>Kulttuuriministeriön asetus varojen jakamisesta tulee voimaan: hankkeet paikkojen, puistojen ja historiallisten puutarhojen identiteetin parantamiseksi</w:t>
            </w:r>
          </w:p>
          <w:p w14:paraId="1D3267E6" w14:textId="77777777" w:rsidR="00E42B18" w:rsidRDefault="00E42B18">
            <w:pPr>
              <w:jc w:val="center"/>
              <w:rPr>
                <w:rFonts w:ascii="Arial Narrow" w:hAnsi="Arial Narrow"/>
                <w:noProof/>
                <w:color w:val="006100"/>
                <w:sz w:val="20"/>
                <w:szCs w:val="20"/>
              </w:rPr>
            </w:pP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C8AC96" w14:textId="77777777" w:rsidR="00E42B18" w:rsidRDefault="009629C4">
            <w:pPr>
              <w:pStyle w:val="P68B1DB1-Normal11"/>
              <w:jc w:val="center"/>
              <w:rPr>
                <w:noProof/>
                <w:szCs w:val="20"/>
              </w:rPr>
            </w:pPr>
            <w:r>
              <w:rPr>
                <w:noProof/>
              </w:rPr>
              <w:t>Kulttuuriministeriön asetuksen voimaantuloa koskeva säännös, joka koskee varojen jakamista paikkojen, puistojen ja historiallisten puutarhojen identiteetin parantamiseen tähtääviin hankkeisiin</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A91BBA6" w14:textId="77777777" w:rsidR="00E42B18" w:rsidRDefault="009629C4">
            <w:pPr>
              <w:pStyle w:val="P68B1DB1-Normal11"/>
              <w:jc w:val="center"/>
              <w:rPr>
                <w:noProof/>
                <w:szCs w:val="20"/>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3D8C23F" w14:textId="77777777" w:rsidR="00E42B18" w:rsidRDefault="009629C4">
            <w:pPr>
              <w:pStyle w:val="P68B1DB1-Normal11"/>
              <w:jc w:val="center"/>
              <w:rPr>
                <w:noProof/>
                <w:szCs w:val="20"/>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DA0B6F0" w14:textId="77777777" w:rsidR="00E42B18" w:rsidRDefault="009629C4">
            <w:pPr>
              <w:pStyle w:val="P68B1DB1-Normal11"/>
              <w:jc w:val="center"/>
              <w:rPr>
                <w:noProof/>
                <w:szCs w:val="20"/>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996FD0A" w14:textId="77777777" w:rsidR="00E42B18" w:rsidRDefault="009629C4">
            <w:pPr>
              <w:pStyle w:val="P68B1DB1-Normal11"/>
              <w:jc w:val="center"/>
              <w:rPr>
                <w:noProof/>
                <w:szCs w:val="20"/>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076392E" w14:textId="77777777" w:rsidR="00E42B18" w:rsidRDefault="009629C4">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27C7DAB" w14:textId="77777777" w:rsidR="00E42B18" w:rsidRDefault="009629C4">
            <w:pPr>
              <w:pStyle w:val="P68B1DB1-Normal11"/>
              <w:rPr>
                <w:noProof/>
                <w:szCs w:val="20"/>
              </w:rPr>
            </w:pPr>
            <w:r>
              <w:rPr>
                <w:noProof/>
              </w:rPr>
              <w:t>Kulttuuriministeriön asetuksella osoitetaan toimivaltaisille viranomaisille resurssit paikkojen, puistojen ja historiallisten puutarhojen identiteetin parantamiseen tähtääviin hankkeisiin.</w:t>
            </w:r>
          </w:p>
          <w:p w14:paraId="4CEDC86F" w14:textId="77777777" w:rsidR="00E42B18" w:rsidRDefault="009629C4">
            <w:pPr>
              <w:pStyle w:val="P68B1DB1-Normal11"/>
              <w:rPr>
                <w:noProof/>
                <w:szCs w:val="20"/>
              </w:rPr>
            </w:pPr>
            <w:r>
              <w:rPr>
                <w:noProof/>
              </w:rPr>
              <w:t>Historialliset puistot ja puutarhat (Inv. 2.3) toimenpide koskee yksinomaan suojeltua kulttuuriomaisuutta, jonka osalta on ilmoitettu taiteellisesta tai historiallisesta kiinnostuksesta. Ne voivat kuulua sekä valtion kulttuuriministeriöön että valtiosta riippumattomiin omaisuuseriin. Valinta tehdään teknis-tieteellisen koordinointiryhmän määrittelemien perusteiden mukaisesti. Ryhmä koostuu MiC:n, yliopiston, ANCI:n ja alakohtaisten yhdistysten edustajista.</w:t>
            </w:r>
          </w:p>
          <w:p w14:paraId="592F36D2" w14:textId="510BD717" w:rsidR="00E42B18" w:rsidRDefault="009629C4">
            <w:pPr>
              <w:pStyle w:val="P68B1DB1-Normal11"/>
              <w:rPr>
                <w:noProof/>
                <w:szCs w:val="20"/>
              </w:rPr>
            </w:pPr>
            <w:r>
              <w:rPr>
                <w:noProof/>
              </w:rPr>
              <w:t>Sopimusten myöntämisessä kilpailuun perustuvien ehdotuspyyntöjen perusteella valittujen hankkeiden kanssa on noudatettava ”ei merkittävää haittaa” -periaatetta koskevia teknisiä ohjeita (2021/C58/01) käyttämällä poissulkemisluetteloa ja vaatimusta asiaa koskevan EU:n ja kansallisen ympäristölainsäädännön noudattamisesta.</w:t>
            </w:r>
          </w:p>
        </w:tc>
      </w:tr>
      <w:tr w:rsidR="00E42B18" w14:paraId="70D4F0EC"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5DF2A0" w14:textId="77777777" w:rsidR="00E42B18" w:rsidRDefault="009629C4">
            <w:pPr>
              <w:pStyle w:val="P68B1DB1-Normal11"/>
              <w:jc w:val="center"/>
              <w:rPr>
                <w:noProof/>
                <w:szCs w:val="20"/>
              </w:rPr>
            </w:pPr>
            <w:r>
              <w:rPr>
                <w:noProof/>
              </w:rPr>
              <w:t>M1C3–15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431C2E8" w14:textId="77777777" w:rsidR="00E42B18" w:rsidRDefault="009629C4">
            <w:pPr>
              <w:pStyle w:val="P68B1DB1-Normal11"/>
              <w:jc w:val="center"/>
              <w:rPr>
                <w:noProof/>
                <w:szCs w:val="20"/>
              </w:rPr>
            </w:pPr>
            <w:r>
              <w:rPr>
                <w:noProof/>
              </w:rPr>
              <w:t>Investointi 2.4 – Uskontopaikkojen seisminen turvallisuus, FEC-perinnön ennallistaminen ja taideteosten suojat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40F35DD"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7D096CF" w14:textId="33E88D20" w:rsidR="00E42B18" w:rsidRDefault="009629C4">
            <w:pPr>
              <w:pStyle w:val="P68B1DB1-Normal11"/>
              <w:jc w:val="center"/>
              <w:rPr>
                <w:noProof/>
                <w:szCs w:val="20"/>
              </w:rPr>
            </w:pPr>
            <w:r>
              <w:rPr>
                <w:noProof/>
              </w:rPr>
              <w:t>Kulttuuriministeriön asetus, joka koskee varojen jakamista seismiseen turvallisuuteen uskonnonharjoittamisen sijasta ja FEC:n (Fondo Edifici di Culto) perinnön restaurointiin</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297680" w14:textId="6FCDDC18" w:rsidR="00E42B18" w:rsidRDefault="009629C4">
            <w:pPr>
              <w:pStyle w:val="P68B1DB1-Normal11"/>
              <w:jc w:val="center"/>
              <w:rPr>
                <w:noProof/>
                <w:szCs w:val="20"/>
              </w:rPr>
            </w:pPr>
            <w:r>
              <w:rPr>
                <w:noProof/>
              </w:rPr>
              <w:t>Asetuksen säännös, jossa ilmoitetaan kulttuuriministeriön asetuksen voimaantulosta maanjäristysturvallisuuden ja FEC:n (Fondo Edifici di Culto) restauroinnin sijasta</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B3CF90" w14:textId="77777777" w:rsidR="00E42B18" w:rsidRDefault="009629C4">
            <w:pPr>
              <w:pStyle w:val="P68B1DB1-Normal11"/>
              <w:jc w:val="center"/>
              <w:rPr>
                <w:noProof/>
                <w:szCs w:val="20"/>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2E9097" w14:textId="77777777" w:rsidR="00E42B18" w:rsidRDefault="009629C4">
            <w:pPr>
              <w:pStyle w:val="P68B1DB1-Normal11"/>
              <w:jc w:val="center"/>
              <w:rPr>
                <w:noProof/>
                <w:szCs w:val="20"/>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56DE36C" w14:textId="77777777" w:rsidR="00E42B18" w:rsidRDefault="009629C4">
            <w:pPr>
              <w:pStyle w:val="P68B1DB1-Normal11"/>
              <w:jc w:val="center"/>
              <w:rPr>
                <w:noProof/>
                <w:szCs w:val="20"/>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BA75AA" w14:textId="77777777" w:rsidR="00E42B18" w:rsidRDefault="009629C4">
            <w:pPr>
              <w:pStyle w:val="P68B1DB1-Normal11"/>
              <w:jc w:val="center"/>
              <w:rPr>
                <w:noProof/>
                <w:szCs w:val="20"/>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3409C8D" w14:textId="77777777" w:rsidR="00E42B18" w:rsidRDefault="009629C4">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1A07C9" w14:textId="35AADBD6" w:rsidR="00E42B18" w:rsidRDefault="009629C4">
            <w:pPr>
              <w:pStyle w:val="P68B1DB1-Normal11"/>
              <w:rPr>
                <w:noProof/>
                <w:szCs w:val="20"/>
              </w:rPr>
            </w:pPr>
            <w:r>
              <w:rPr>
                <w:noProof/>
              </w:rPr>
              <w:t>Kulttuuriministeriön asetuksessa määritetään toimien kohteena olevien rakennusten täytäntöönpanosta vastaava yksikkö sekä niiden tukikelpoisuus ja rahoitus.</w:t>
            </w:r>
          </w:p>
          <w:p w14:paraId="6FA992EB" w14:textId="77777777" w:rsidR="00E42B18" w:rsidRDefault="009629C4">
            <w:pPr>
              <w:pStyle w:val="P68B1DB1-Normal11"/>
              <w:rPr>
                <w:noProof/>
                <w:szCs w:val="20"/>
              </w:rPr>
            </w:pPr>
            <w:r>
              <w:rPr>
                <w:noProof/>
              </w:rPr>
              <w:t>(INV 2.4) Uskonnonharjoittamispaikkojen maanjäristys- ja turvallisuustoimenpiteet koskevat Italian alueilla vuodesta 2009 lähtien tapahtuneiden useiden maanjäristysten koettelemia alueita (Abruzzo, Lazio, Marche ja Umbria).</w:t>
            </w:r>
          </w:p>
          <w:p w14:paraId="57763210" w14:textId="77777777" w:rsidR="00E42B18" w:rsidRDefault="009629C4">
            <w:pPr>
              <w:pStyle w:val="P68B1DB1-Normal11"/>
              <w:rPr>
                <w:noProof/>
                <w:szCs w:val="20"/>
              </w:rPr>
            </w:pPr>
            <w:r>
              <w:rPr>
                <w:noProof/>
              </w:rPr>
              <w:t>FEC:n (Fondo Edifici di Culto) toimet valitaan FEC:n (Fondo Edifici di Culto) perinnön suojelutilanteen perusteella.</w:t>
            </w:r>
          </w:p>
          <w:p w14:paraId="6C6B70D8" w14:textId="4E476C37" w:rsidR="00E42B18" w:rsidRDefault="009629C4">
            <w:pPr>
              <w:pStyle w:val="P68B1DB1-Normal11"/>
              <w:rPr>
                <w:noProof/>
                <w:szCs w:val="20"/>
              </w:rPr>
            </w:pPr>
            <w:r>
              <w:rPr>
                <w:noProof/>
              </w:rPr>
              <w:t>Sopimusten myöntämisessä kilpailuun perustuvien ehdotuspyyntöjen perusteella valittujen hankkeiden kanssa on noudatettava ”ei merkittävää haittaa” -periaatetta koskevia teknisiä ohjeita (2021/C58/01) käyttämällä poissulkemisluetteloa ja vaatimusta asiaa koskevan EU:n ja kansallisen ympäristölainsäädännön noudattamisesta.</w:t>
            </w:r>
          </w:p>
        </w:tc>
      </w:tr>
      <w:tr w:rsidR="00E42B18" w14:paraId="06926804" w14:textId="77777777">
        <w:trPr>
          <w:trHeight w:val="313"/>
          <w:jc w:val="center"/>
        </w:trPr>
        <w:tc>
          <w:tcPr>
            <w:tcW w:w="377" w:type="pct"/>
            <w:shd w:val="clear" w:color="auto" w:fill="C6EFCE"/>
            <w:noWrap/>
            <w:vAlign w:val="center"/>
            <w:hideMark/>
          </w:tcPr>
          <w:p w14:paraId="342B81A6" w14:textId="77777777" w:rsidR="00E42B18" w:rsidRDefault="009629C4">
            <w:pPr>
              <w:pStyle w:val="P68B1DB1-Normal11"/>
              <w:jc w:val="center"/>
              <w:rPr>
                <w:noProof/>
                <w:szCs w:val="20"/>
              </w:rPr>
            </w:pPr>
            <w:r>
              <w:rPr>
                <w:noProof/>
              </w:rPr>
              <w:t>M1C3–16</w:t>
            </w:r>
          </w:p>
        </w:tc>
        <w:tc>
          <w:tcPr>
            <w:tcW w:w="520" w:type="pct"/>
            <w:shd w:val="clear" w:color="auto" w:fill="C6EFCE"/>
            <w:noWrap/>
            <w:vAlign w:val="center"/>
          </w:tcPr>
          <w:p w14:paraId="04199726" w14:textId="77777777" w:rsidR="00E42B18" w:rsidRDefault="009629C4">
            <w:pPr>
              <w:pStyle w:val="P68B1DB1-Normal11"/>
              <w:jc w:val="center"/>
              <w:rPr>
                <w:noProof/>
                <w:szCs w:val="20"/>
              </w:rPr>
            </w:pPr>
            <w:r>
              <w:rPr>
                <w:noProof/>
              </w:rPr>
              <w:t>Investoinnit – 2.1 Pienten historiallisten kaupunkien houkuttelevuus</w:t>
            </w:r>
          </w:p>
        </w:tc>
        <w:tc>
          <w:tcPr>
            <w:tcW w:w="378" w:type="pct"/>
            <w:shd w:val="clear" w:color="auto" w:fill="C6EFCE"/>
            <w:noWrap/>
            <w:vAlign w:val="center"/>
            <w:hideMark/>
          </w:tcPr>
          <w:p w14:paraId="64C8381C" w14:textId="77777777" w:rsidR="00E42B18" w:rsidRDefault="009629C4">
            <w:pPr>
              <w:pStyle w:val="P68B1DB1-Normal11"/>
              <w:jc w:val="center"/>
              <w:rPr>
                <w:noProof/>
                <w:szCs w:val="20"/>
              </w:rPr>
            </w:pPr>
            <w:r>
              <w:rPr>
                <w:noProof/>
              </w:rPr>
              <w:t>Virstanpylväs</w:t>
            </w:r>
          </w:p>
        </w:tc>
        <w:tc>
          <w:tcPr>
            <w:tcW w:w="520" w:type="pct"/>
            <w:shd w:val="clear" w:color="auto" w:fill="C6EFCE"/>
            <w:noWrap/>
            <w:vAlign w:val="center"/>
          </w:tcPr>
          <w:p w14:paraId="701D89EC" w14:textId="2E7D0A3E" w:rsidR="00E42B18" w:rsidRDefault="009629C4">
            <w:pPr>
              <w:pStyle w:val="P68B1DB1-Normal12"/>
              <w:jc w:val="center"/>
              <w:rPr>
                <w:noProof/>
              </w:rPr>
            </w:pPr>
            <w:r>
              <w:rPr>
                <w:noProof/>
              </w:rPr>
              <w:t>Sellaisten asetusten hyväksyminen, joissa luetellaan tukea saaneet yritykset pienissä historiallisissa kaupungeissa</w:t>
            </w:r>
          </w:p>
        </w:tc>
        <w:tc>
          <w:tcPr>
            <w:tcW w:w="520" w:type="pct"/>
            <w:shd w:val="clear" w:color="auto" w:fill="C6EFCE"/>
            <w:noWrap/>
            <w:vAlign w:val="center"/>
            <w:hideMark/>
          </w:tcPr>
          <w:p w14:paraId="38411753" w14:textId="0DFEB907" w:rsidR="00E42B18" w:rsidRDefault="009629C4">
            <w:pPr>
              <w:pStyle w:val="P68B1DB1-Normal11"/>
              <w:jc w:val="center"/>
              <w:rPr>
                <w:noProof/>
                <w:szCs w:val="20"/>
              </w:rPr>
            </w:pPr>
            <w:r>
              <w:rPr>
                <w:noProof/>
              </w:rPr>
              <w:t>Sellaisten asetusten antaminen, joissa luetellaan tuetut yritykset</w:t>
            </w:r>
          </w:p>
        </w:tc>
        <w:tc>
          <w:tcPr>
            <w:tcW w:w="331" w:type="pct"/>
            <w:shd w:val="clear" w:color="auto" w:fill="C6EFCE"/>
            <w:noWrap/>
            <w:vAlign w:val="center"/>
            <w:hideMark/>
          </w:tcPr>
          <w:p w14:paraId="342896E8" w14:textId="77777777" w:rsidR="00E42B18" w:rsidRDefault="009629C4">
            <w:pPr>
              <w:pStyle w:val="P68B1DB1-Normal11"/>
              <w:jc w:val="center"/>
              <w:rPr>
                <w:noProof/>
                <w:szCs w:val="20"/>
              </w:rPr>
            </w:pPr>
            <w:r>
              <w:rPr>
                <w:noProof/>
              </w:rPr>
              <w:t>EI OLE</w:t>
            </w:r>
          </w:p>
        </w:tc>
        <w:tc>
          <w:tcPr>
            <w:tcW w:w="332" w:type="pct"/>
            <w:shd w:val="clear" w:color="auto" w:fill="C6EFCE"/>
            <w:noWrap/>
            <w:vAlign w:val="center"/>
          </w:tcPr>
          <w:p w14:paraId="14320E43" w14:textId="77777777" w:rsidR="00E42B18" w:rsidRDefault="009629C4">
            <w:pPr>
              <w:pStyle w:val="P68B1DB1-Normal11"/>
              <w:jc w:val="center"/>
              <w:rPr>
                <w:noProof/>
                <w:szCs w:val="20"/>
              </w:rPr>
            </w:pPr>
            <w:r>
              <w:rPr>
                <w:noProof/>
              </w:rPr>
              <w:t>EI OLE</w:t>
            </w:r>
          </w:p>
        </w:tc>
        <w:tc>
          <w:tcPr>
            <w:tcW w:w="424" w:type="pct"/>
            <w:shd w:val="clear" w:color="auto" w:fill="C6EFCE"/>
            <w:noWrap/>
            <w:vAlign w:val="center"/>
          </w:tcPr>
          <w:p w14:paraId="5F59DADB" w14:textId="77777777" w:rsidR="00E42B18" w:rsidRDefault="009629C4">
            <w:pPr>
              <w:pStyle w:val="P68B1DB1-Normal11"/>
              <w:jc w:val="center"/>
              <w:rPr>
                <w:noProof/>
                <w:szCs w:val="20"/>
              </w:rPr>
            </w:pPr>
            <w:r>
              <w:rPr>
                <w:noProof/>
              </w:rPr>
              <w:t>EI OLE</w:t>
            </w:r>
          </w:p>
        </w:tc>
        <w:tc>
          <w:tcPr>
            <w:tcW w:w="332" w:type="pct"/>
            <w:shd w:val="clear" w:color="auto" w:fill="C6EFCE"/>
            <w:noWrap/>
            <w:vAlign w:val="center"/>
            <w:hideMark/>
          </w:tcPr>
          <w:p w14:paraId="152DFE72" w14:textId="77777777" w:rsidR="00E42B18" w:rsidRDefault="009629C4">
            <w:pPr>
              <w:pStyle w:val="P68B1DB1-Normal11"/>
              <w:jc w:val="center"/>
              <w:rPr>
                <w:noProof/>
                <w:szCs w:val="20"/>
              </w:rPr>
            </w:pPr>
            <w:r>
              <w:rPr>
                <w:noProof/>
              </w:rPr>
              <w:t>Q2</w:t>
            </w:r>
          </w:p>
        </w:tc>
        <w:tc>
          <w:tcPr>
            <w:tcW w:w="220" w:type="pct"/>
            <w:shd w:val="clear" w:color="auto" w:fill="C6EFCE"/>
            <w:noWrap/>
            <w:vAlign w:val="center"/>
            <w:hideMark/>
          </w:tcPr>
          <w:p w14:paraId="20870AB2" w14:textId="77777777" w:rsidR="00E42B18" w:rsidRDefault="009629C4">
            <w:pPr>
              <w:pStyle w:val="P68B1DB1-Normal11"/>
              <w:jc w:val="center"/>
              <w:rPr>
                <w:noProof/>
                <w:szCs w:val="20"/>
              </w:rPr>
            </w:pPr>
            <w:r>
              <w:rPr>
                <w:noProof/>
              </w:rPr>
              <w:t>2025</w:t>
            </w:r>
          </w:p>
        </w:tc>
        <w:tc>
          <w:tcPr>
            <w:tcW w:w="1046" w:type="pct"/>
            <w:shd w:val="clear" w:color="auto" w:fill="C6EFCE"/>
            <w:noWrap/>
            <w:vAlign w:val="center"/>
            <w:hideMark/>
          </w:tcPr>
          <w:p w14:paraId="77B219BD" w14:textId="36E136A5" w:rsidR="00E42B18" w:rsidRDefault="009629C4">
            <w:pPr>
              <w:pStyle w:val="P68B1DB1-Normal11"/>
              <w:rPr>
                <w:noProof/>
                <w:szCs w:val="20"/>
              </w:rPr>
            </w:pPr>
            <w:r>
              <w:rPr>
                <w:noProof/>
                <w:szCs w:val="20"/>
              </w:rPr>
              <w:t>Sellaisten asetusten antaminen, joissa luetellaan vähintään 1800</w:t>
            </w:r>
            <w:r>
              <w:rPr>
                <w:noProof/>
              </w:rPr>
              <w:t xml:space="preserve"> </w:t>
            </w:r>
            <w:r>
              <w:rPr>
                <w:noProof/>
                <w:szCs w:val="20"/>
              </w:rPr>
              <w:t>tukea saavaa yritystä pienissä historiallisissa kaupungeissa.</w:t>
            </w:r>
          </w:p>
        </w:tc>
      </w:tr>
      <w:tr w:rsidR="00E42B18" w14:paraId="19ADE278"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AD1AC6" w14:textId="77777777" w:rsidR="00E42B18" w:rsidRDefault="009629C4">
            <w:pPr>
              <w:pStyle w:val="P68B1DB1-Normal11"/>
              <w:jc w:val="center"/>
              <w:rPr>
                <w:noProof/>
              </w:rPr>
            </w:pPr>
            <w:bookmarkStart w:id="12" w:name="_Hlk212582527"/>
            <w:r>
              <w:rPr>
                <w:noProof/>
              </w:rPr>
              <w:t>M1C3–16bis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0E8F60C" w14:textId="77777777" w:rsidR="00E42B18" w:rsidRDefault="009629C4">
            <w:pPr>
              <w:pStyle w:val="P68B1DB1-Normal11"/>
              <w:jc w:val="center"/>
              <w:rPr>
                <w:noProof/>
              </w:rPr>
            </w:pPr>
            <w:r>
              <w:rPr>
                <w:noProof/>
              </w:rPr>
              <w:t>Investoinnit – 2.1 Pienten historiallisten kaupunkien houkuttelevuus</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33F536" w14:textId="77777777" w:rsidR="00E42B18" w:rsidRDefault="009629C4">
            <w:pPr>
              <w:pStyle w:val="P68B1DB1-Normal11"/>
              <w:jc w:val="center"/>
              <w:rPr>
                <w:noProof/>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8530411" w14:textId="6EEDF39C" w:rsidR="00E42B18" w:rsidRDefault="009629C4">
            <w:pPr>
              <w:pStyle w:val="P68B1DB1-Normal12"/>
              <w:jc w:val="center"/>
              <w:rPr>
                <w:noProof/>
              </w:rPr>
            </w:pPr>
            <w:r>
              <w:rPr>
                <w:noProof/>
              </w:rPr>
              <w:t>Toimet pienten historiallisten kaupunkien kulttuurin elvyttämiseksi</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3CFC5C9" w14:textId="77777777" w:rsidR="00E42B18" w:rsidRDefault="009629C4">
            <w:pPr>
              <w:pStyle w:val="P68B1DB1-Normal11"/>
              <w:jc w:val="center"/>
              <w:rPr>
                <w:noProof/>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E3800C" w14:textId="77777777" w:rsidR="00E42B18" w:rsidRDefault="009629C4">
            <w:pPr>
              <w:pStyle w:val="P68B1DB1-Normal11"/>
              <w:jc w:val="center"/>
              <w:rPr>
                <w:noProof/>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6B3FF88" w14:textId="77777777" w:rsidR="00E42B18" w:rsidRDefault="009629C4">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5F06EE" w14:textId="41E5B80D" w:rsidR="00E42B18" w:rsidRDefault="009629C4">
            <w:pPr>
              <w:pStyle w:val="P68B1DB1-Normal11"/>
              <w:jc w:val="center"/>
              <w:rPr>
                <w:noProof/>
              </w:rPr>
            </w:pPr>
            <w:r>
              <w:rPr>
                <w:noProof/>
              </w:rPr>
              <w:t>3 250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299C27C" w14:textId="77777777" w:rsidR="00E42B18" w:rsidRDefault="009629C4">
            <w:pPr>
              <w:pStyle w:val="P68B1DB1-Normal11"/>
              <w:jc w:val="center"/>
              <w:rPr>
                <w:noProof/>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C6E9CA" w14:textId="77777777" w:rsidR="00E42B18" w:rsidRDefault="009629C4">
            <w:pPr>
              <w:pStyle w:val="P68B1DB1-Normal11"/>
              <w:jc w:val="center"/>
              <w:rPr>
                <w:noProof/>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E9AF4CA" w14:textId="2E9B9F64" w:rsidR="00E42B18" w:rsidRDefault="009629C4">
            <w:pPr>
              <w:pStyle w:val="P68B1DB1-Normal12"/>
              <w:rPr>
                <w:noProof/>
              </w:rPr>
            </w:pPr>
            <w:r>
              <w:rPr>
                <w:noProof/>
              </w:rPr>
              <w:t>Todistus töiden valmistumisesta tai todistus palvelujen tai tavaroiden toimittamisesta on annettava vähintään 3250 interventiolle, joista 400 kohdan A mukaisesti.</w:t>
            </w:r>
          </w:p>
        </w:tc>
      </w:tr>
      <w:bookmarkEnd w:id="12"/>
      <w:tr w:rsidR="00E42B18" w14:paraId="16E08C99"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ED5DD73" w14:textId="77777777" w:rsidR="00E42B18" w:rsidRDefault="009629C4">
            <w:pPr>
              <w:pStyle w:val="P68B1DB1-Normal11"/>
              <w:jc w:val="center"/>
              <w:rPr>
                <w:noProof/>
                <w:szCs w:val="20"/>
              </w:rPr>
            </w:pPr>
            <w:r>
              <w:rPr>
                <w:noProof/>
              </w:rPr>
              <w:t>M1C3–17</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9D6609" w14:textId="77777777" w:rsidR="00E42B18" w:rsidRDefault="009629C4">
            <w:pPr>
              <w:pStyle w:val="P68B1DB1-Normal11"/>
              <w:jc w:val="center"/>
              <w:rPr>
                <w:noProof/>
                <w:szCs w:val="20"/>
              </w:rPr>
            </w:pPr>
            <w:r>
              <w:rPr>
                <w:noProof/>
              </w:rPr>
              <w:t>Investoinnit – 2.2 Maaseudun arkkitehtuurin ja maiseman suojelu ja parantaminen</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603845" w14:textId="77777777" w:rsidR="00E42B18" w:rsidRDefault="009629C4">
            <w:pPr>
              <w:pStyle w:val="P68B1DB1-Normal11"/>
              <w:jc w:val="center"/>
              <w:rPr>
                <w:noProof/>
                <w:szCs w:val="20"/>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5B701B" w14:textId="528F73D9" w:rsidR="00E42B18" w:rsidRDefault="009629C4">
            <w:pPr>
              <w:pStyle w:val="P68B1DB1-Normal11"/>
              <w:jc w:val="center"/>
              <w:rPr>
                <w:noProof/>
                <w:szCs w:val="20"/>
              </w:rPr>
            </w:pPr>
            <w:r>
              <w:rPr>
                <w:noProof/>
              </w:rPr>
              <w:t>Maaseudun arkkitehtuurin ja maiseman suojelua ja parantamista koskevat toimet</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E888C2" w14:textId="77777777" w:rsidR="00E42B18" w:rsidRDefault="009629C4">
            <w:pPr>
              <w:pStyle w:val="P68B1DB1-Normal11"/>
              <w:jc w:val="center"/>
              <w:rPr>
                <w:noProof/>
                <w:szCs w:val="20"/>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1D36939" w14:textId="77777777" w:rsidR="00E42B18" w:rsidRDefault="009629C4">
            <w:pPr>
              <w:pStyle w:val="P68B1DB1-Normal11"/>
              <w:jc w:val="center"/>
              <w:rPr>
                <w:noProof/>
                <w:szCs w:val="20"/>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787505" w14:textId="77777777" w:rsidR="00E42B18" w:rsidRDefault="009629C4">
            <w:pPr>
              <w:pStyle w:val="P68B1DB1-Normal11"/>
              <w:jc w:val="center"/>
              <w:rPr>
                <w:noProof/>
                <w:szCs w:val="20"/>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62DF4F8" w14:textId="77777777" w:rsidR="00E42B18" w:rsidRDefault="009629C4">
            <w:pPr>
              <w:pStyle w:val="P68B1DB1-Normal11"/>
              <w:jc w:val="center"/>
              <w:rPr>
                <w:noProof/>
                <w:szCs w:val="20"/>
              </w:rPr>
            </w:pPr>
            <w:r>
              <w:rPr>
                <w:noProof/>
              </w:rPr>
              <w:t>3 900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1B91C1" w14:textId="77777777" w:rsidR="00E42B18" w:rsidRDefault="009629C4">
            <w:pPr>
              <w:pStyle w:val="P68B1DB1-Normal12"/>
              <w:jc w:val="center"/>
              <w:rPr>
                <w:noProof/>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B373C6" w14:textId="77777777" w:rsidR="00E42B18" w:rsidRDefault="009629C4">
            <w:pPr>
              <w:pStyle w:val="P68B1DB1-Normal12"/>
              <w:jc w:val="center"/>
              <w:rPr>
                <w:noProof/>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AA7F40" w14:textId="1FA50961" w:rsidR="00E42B18" w:rsidRDefault="009629C4">
            <w:pPr>
              <w:pStyle w:val="P68B1DB1-Normal11"/>
              <w:rPr>
                <w:noProof/>
                <w:szCs w:val="20"/>
              </w:rPr>
            </w:pPr>
            <w:r>
              <w:rPr>
                <w:noProof/>
              </w:rPr>
              <w:t>Vähintään 3900 omaisuuserää koskevien interventiotöiden valmistumisesta on annettava todistus.</w:t>
            </w:r>
          </w:p>
        </w:tc>
      </w:tr>
      <w:tr w:rsidR="00E42B18" w14:paraId="4364A278" w14:textId="77777777">
        <w:trPr>
          <w:trHeight w:val="364"/>
          <w:jc w:val="center"/>
        </w:trPr>
        <w:tc>
          <w:tcPr>
            <w:tcW w:w="377" w:type="pct"/>
            <w:shd w:val="clear" w:color="auto" w:fill="C6EFCE"/>
            <w:noWrap/>
            <w:vAlign w:val="center"/>
            <w:hideMark/>
          </w:tcPr>
          <w:p w14:paraId="3F7E94F6" w14:textId="77777777" w:rsidR="00E42B18" w:rsidRDefault="009629C4">
            <w:pPr>
              <w:pStyle w:val="P68B1DB1-Normal12"/>
              <w:jc w:val="center"/>
              <w:rPr>
                <w:noProof/>
              </w:rPr>
            </w:pPr>
            <w:r>
              <w:rPr>
                <w:noProof/>
              </w:rPr>
              <w:t>M1C3–18</w:t>
            </w:r>
          </w:p>
        </w:tc>
        <w:tc>
          <w:tcPr>
            <w:tcW w:w="520" w:type="pct"/>
            <w:shd w:val="clear" w:color="auto" w:fill="C6EFCE"/>
            <w:noWrap/>
            <w:vAlign w:val="center"/>
            <w:hideMark/>
          </w:tcPr>
          <w:p w14:paraId="762570DD" w14:textId="77777777" w:rsidR="00E42B18" w:rsidRDefault="009629C4">
            <w:pPr>
              <w:pStyle w:val="P68B1DB1-Normal12"/>
              <w:jc w:val="center"/>
              <w:rPr>
                <w:noProof/>
              </w:rPr>
            </w:pPr>
            <w:r>
              <w:rPr>
                <w:noProof/>
              </w:rPr>
              <w:t>Investointi 2.3 Ohjelmat paikkojen, puistojen ja historiallisten puutarhojen identiteetin parantamiseksi</w:t>
            </w:r>
          </w:p>
        </w:tc>
        <w:tc>
          <w:tcPr>
            <w:tcW w:w="378" w:type="pct"/>
            <w:shd w:val="clear" w:color="auto" w:fill="C6EFCE"/>
            <w:noWrap/>
            <w:vAlign w:val="center"/>
            <w:hideMark/>
          </w:tcPr>
          <w:p w14:paraId="1567C3C7" w14:textId="77777777" w:rsidR="00E42B18" w:rsidRDefault="009629C4">
            <w:pPr>
              <w:pStyle w:val="P68B1DB1-Normal11"/>
              <w:jc w:val="center"/>
              <w:rPr>
                <w:noProof/>
                <w:szCs w:val="20"/>
              </w:rPr>
            </w:pPr>
            <w:r>
              <w:rPr>
                <w:noProof/>
              </w:rPr>
              <w:t>Kohde</w:t>
            </w:r>
          </w:p>
        </w:tc>
        <w:tc>
          <w:tcPr>
            <w:tcW w:w="520" w:type="pct"/>
            <w:shd w:val="clear" w:color="auto" w:fill="C6EFCE"/>
            <w:noWrap/>
            <w:vAlign w:val="center"/>
            <w:hideMark/>
          </w:tcPr>
          <w:p w14:paraId="48CE5593" w14:textId="77777777" w:rsidR="00E42B18" w:rsidRDefault="009629C4">
            <w:pPr>
              <w:pStyle w:val="P68B1DB1-Normal11"/>
              <w:jc w:val="center"/>
              <w:rPr>
                <w:noProof/>
                <w:szCs w:val="20"/>
              </w:rPr>
            </w:pPr>
            <w:r>
              <w:rPr>
                <w:noProof/>
              </w:rPr>
              <w:t>Uudelleen hyväksyttyjen puistojen ja historiallisten puutarhojen lukumäärä</w:t>
            </w:r>
          </w:p>
        </w:tc>
        <w:tc>
          <w:tcPr>
            <w:tcW w:w="520" w:type="pct"/>
            <w:shd w:val="clear" w:color="auto" w:fill="C6EFCE"/>
            <w:noWrap/>
            <w:vAlign w:val="center"/>
            <w:hideMark/>
          </w:tcPr>
          <w:p w14:paraId="2EB5CFA8" w14:textId="77777777" w:rsidR="00E42B18" w:rsidRDefault="009629C4">
            <w:pPr>
              <w:pStyle w:val="P68B1DB1-Normal11"/>
              <w:jc w:val="center"/>
              <w:rPr>
                <w:noProof/>
                <w:szCs w:val="20"/>
              </w:rPr>
            </w:pPr>
            <w:r>
              <w:rPr>
                <w:noProof/>
              </w:rPr>
              <w:t>EI OLE</w:t>
            </w:r>
          </w:p>
        </w:tc>
        <w:tc>
          <w:tcPr>
            <w:tcW w:w="331" w:type="pct"/>
            <w:shd w:val="clear" w:color="auto" w:fill="C6EFCE"/>
            <w:noWrap/>
            <w:vAlign w:val="center"/>
            <w:hideMark/>
          </w:tcPr>
          <w:p w14:paraId="0FEC1F0D" w14:textId="77777777" w:rsidR="00E42B18" w:rsidRDefault="009629C4">
            <w:pPr>
              <w:pStyle w:val="P68B1DB1-Normal11"/>
              <w:jc w:val="center"/>
              <w:rPr>
                <w:noProof/>
                <w:szCs w:val="20"/>
              </w:rPr>
            </w:pPr>
            <w:r>
              <w:rPr>
                <w:noProof/>
              </w:rPr>
              <w:t>Numero</w:t>
            </w:r>
          </w:p>
        </w:tc>
        <w:tc>
          <w:tcPr>
            <w:tcW w:w="332" w:type="pct"/>
            <w:shd w:val="clear" w:color="auto" w:fill="C6EFCE"/>
            <w:noWrap/>
            <w:vAlign w:val="center"/>
            <w:hideMark/>
          </w:tcPr>
          <w:p w14:paraId="706FDFFB" w14:textId="77777777" w:rsidR="00E42B18" w:rsidRDefault="009629C4">
            <w:pPr>
              <w:pStyle w:val="P68B1DB1-Normal11"/>
              <w:jc w:val="center"/>
              <w:rPr>
                <w:noProof/>
                <w:szCs w:val="20"/>
              </w:rPr>
            </w:pPr>
            <w:r>
              <w:rPr>
                <w:noProof/>
              </w:rPr>
              <w:t>0</w:t>
            </w:r>
          </w:p>
        </w:tc>
        <w:tc>
          <w:tcPr>
            <w:tcW w:w="424" w:type="pct"/>
            <w:shd w:val="clear" w:color="auto" w:fill="C6EFCE"/>
            <w:noWrap/>
            <w:vAlign w:val="center"/>
            <w:hideMark/>
          </w:tcPr>
          <w:p w14:paraId="0EF08B1C" w14:textId="77777777" w:rsidR="00E42B18" w:rsidRDefault="009629C4">
            <w:pPr>
              <w:pStyle w:val="P68B1DB1-Normal12"/>
              <w:jc w:val="center"/>
              <w:rPr>
                <w:noProof/>
              </w:rPr>
            </w:pPr>
            <w:r>
              <w:rPr>
                <w:noProof/>
              </w:rPr>
              <w:t>100</w:t>
            </w:r>
          </w:p>
        </w:tc>
        <w:tc>
          <w:tcPr>
            <w:tcW w:w="332" w:type="pct"/>
            <w:shd w:val="clear" w:color="auto" w:fill="C6EFCE"/>
            <w:noWrap/>
            <w:vAlign w:val="center"/>
            <w:hideMark/>
          </w:tcPr>
          <w:p w14:paraId="3D156C71" w14:textId="77777777" w:rsidR="00E42B18" w:rsidRDefault="009629C4">
            <w:pPr>
              <w:pStyle w:val="P68B1DB1-Normal12"/>
              <w:jc w:val="center"/>
              <w:rPr>
                <w:noProof/>
              </w:rPr>
            </w:pPr>
            <w:r>
              <w:rPr>
                <w:noProof/>
              </w:rPr>
              <w:t>Q4</w:t>
            </w:r>
          </w:p>
        </w:tc>
        <w:tc>
          <w:tcPr>
            <w:tcW w:w="220" w:type="pct"/>
            <w:shd w:val="clear" w:color="auto" w:fill="C6EFCE"/>
            <w:noWrap/>
            <w:vAlign w:val="center"/>
            <w:hideMark/>
          </w:tcPr>
          <w:p w14:paraId="79EDF886" w14:textId="77777777" w:rsidR="00E42B18" w:rsidRDefault="009629C4">
            <w:pPr>
              <w:pStyle w:val="P68B1DB1-Normal12"/>
              <w:jc w:val="center"/>
              <w:rPr>
                <w:noProof/>
              </w:rPr>
            </w:pPr>
            <w:r>
              <w:rPr>
                <w:noProof/>
              </w:rPr>
              <w:t>2025</w:t>
            </w:r>
          </w:p>
        </w:tc>
        <w:tc>
          <w:tcPr>
            <w:tcW w:w="1046" w:type="pct"/>
            <w:shd w:val="clear" w:color="auto" w:fill="C6EFCE"/>
            <w:noWrap/>
            <w:vAlign w:val="center"/>
            <w:hideMark/>
          </w:tcPr>
          <w:p w14:paraId="520C7801" w14:textId="6009C63C" w:rsidR="00E42B18" w:rsidRDefault="009629C4">
            <w:pPr>
              <w:pStyle w:val="P68B1DB1-Normal12"/>
              <w:rPr>
                <w:noProof/>
              </w:rPr>
            </w:pPr>
            <w:r>
              <w:rPr>
                <w:noProof/>
              </w:rPr>
              <w:t>Todistus vähintään 100 puiston ja historiallisen puutarhan uudelleenvalintatöistä on annettava.</w:t>
            </w:r>
          </w:p>
        </w:tc>
      </w:tr>
      <w:tr w:rsidR="00E42B18" w14:paraId="79A9B41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B9A2D9" w14:textId="77777777" w:rsidR="00E42B18" w:rsidRDefault="009629C4">
            <w:pPr>
              <w:pStyle w:val="P68B1DB1-Normal11"/>
              <w:jc w:val="center"/>
              <w:rPr>
                <w:noProof/>
                <w:szCs w:val="20"/>
              </w:rPr>
            </w:pPr>
            <w:r>
              <w:rPr>
                <w:noProof/>
              </w:rPr>
              <w:t>M1C3–19</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A91CBA" w14:textId="77777777" w:rsidR="00E42B18" w:rsidRDefault="009629C4">
            <w:pPr>
              <w:pStyle w:val="P68B1DB1-Normal11"/>
              <w:jc w:val="center"/>
              <w:rPr>
                <w:noProof/>
                <w:szCs w:val="20"/>
              </w:rPr>
            </w:pPr>
            <w:r>
              <w:rPr>
                <w:noProof/>
              </w:rPr>
              <w:t>Investointi – 2.4 Uskontopaikkojen seisminen turvallisuus, FEC-perinnön (Fondo Edifici di Culto) ennallistaminen ja taideteosten suojat (elvytystaide)</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BFC065" w14:textId="77777777" w:rsidR="00E42B18" w:rsidRDefault="009629C4">
            <w:pPr>
              <w:pStyle w:val="P68B1DB1-Normal11"/>
              <w:jc w:val="center"/>
              <w:rPr>
                <w:noProof/>
                <w:szCs w:val="20"/>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B44BEB4" w14:textId="7206E52E" w:rsidR="00E42B18" w:rsidRDefault="009629C4">
            <w:pPr>
              <w:pStyle w:val="P68B1DB1-Normal11"/>
              <w:jc w:val="center"/>
              <w:rPr>
                <w:noProof/>
                <w:szCs w:val="20"/>
              </w:rPr>
            </w:pPr>
            <w:r>
              <w:rPr>
                <w:noProof/>
              </w:rPr>
              <w:t xml:space="preserve">Toimet uskonnonharjoituspaikkojen seismisen turvallisuuden varmistamiseksi, FEC:n (Fondo Edifici di Culto) perinnön restaurointi ja taideteosten suojat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54DB55" w14:textId="77777777" w:rsidR="00E42B18" w:rsidRDefault="009629C4">
            <w:pPr>
              <w:pStyle w:val="P68B1DB1-Normal11"/>
              <w:jc w:val="center"/>
              <w:rPr>
                <w:noProof/>
                <w:szCs w:val="20"/>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6EFA7C" w14:textId="77777777" w:rsidR="00E42B18" w:rsidRDefault="009629C4">
            <w:pPr>
              <w:pStyle w:val="P68B1DB1-Normal11"/>
              <w:jc w:val="center"/>
              <w:rPr>
                <w:noProof/>
                <w:szCs w:val="20"/>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8C4024" w14:textId="77777777" w:rsidR="00E42B18" w:rsidRDefault="009629C4">
            <w:pPr>
              <w:pStyle w:val="P68B1DB1-Normal11"/>
              <w:jc w:val="center"/>
              <w:rPr>
                <w:noProof/>
                <w:szCs w:val="20"/>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85576D" w14:textId="77777777" w:rsidR="00E42B18" w:rsidRDefault="009629C4">
            <w:pPr>
              <w:pStyle w:val="P68B1DB1-Normal11"/>
              <w:jc w:val="center"/>
              <w:rPr>
                <w:noProof/>
                <w:szCs w:val="20"/>
              </w:rPr>
            </w:pPr>
            <w:r>
              <w:rPr>
                <w:noProof/>
              </w:rPr>
              <w:t>700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77F333" w14:textId="77777777" w:rsidR="00E42B18" w:rsidRDefault="009629C4">
            <w:pPr>
              <w:pStyle w:val="P68B1DB1-Normal11"/>
              <w:jc w:val="center"/>
              <w:rPr>
                <w:noProof/>
                <w:szCs w:val="20"/>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B9B616" w14:textId="77777777" w:rsidR="00E42B18" w:rsidRDefault="009629C4">
            <w:pPr>
              <w:pStyle w:val="P68B1DB1-Normal11"/>
              <w:jc w:val="center"/>
              <w:rPr>
                <w:noProof/>
                <w:szCs w:val="20"/>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6C87FC" w14:textId="0D92F972" w:rsidR="00E42B18" w:rsidRDefault="009629C4">
            <w:pPr>
              <w:pStyle w:val="P68B1DB1-Normal12"/>
              <w:rPr>
                <w:noProof/>
              </w:rPr>
            </w:pPr>
            <w:r>
              <w:rPr>
                <w:noProof/>
              </w:rPr>
              <w:t>Todistus teosten valmistumisesta on annettava vähintään 700:lle toimenpiteelle, joista vähintään kolme suojaa taideteoksille.</w:t>
            </w:r>
          </w:p>
        </w:tc>
      </w:tr>
      <w:tr w:rsidR="00E42B18" w14:paraId="0DA051CB"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6E1B75" w14:textId="77777777" w:rsidR="00E42B18" w:rsidRDefault="009629C4">
            <w:pPr>
              <w:pStyle w:val="P68B1DB1-Normal11"/>
              <w:jc w:val="center"/>
              <w:rPr>
                <w:noProof/>
                <w:szCs w:val="20"/>
              </w:rPr>
            </w:pPr>
            <w:r>
              <w:rPr>
                <w:noProof/>
              </w:rPr>
              <w:t>M1C3–20</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2060B2" w14:textId="77777777" w:rsidR="00E42B18" w:rsidRDefault="009629C4">
            <w:pPr>
              <w:pStyle w:val="P68B1DB1-Normal11"/>
              <w:jc w:val="center"/>
              <w:rPr>
                <w:noProof/>
                <w:szCs w:val="20"/>
              </w:rPr>
            </w:pPr>
            <w:r>
              <w:rPr>
                <w:noProof/>
              </w:rPr>
              <w:t>”Investointi 3.2: Elokuvateollisuuden kehittäminen (Cinecittà-hanke)</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22A7CFC"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098DBD" w14:textId="77777777" w:rsidR="00E42B18" w:rsidRDefault="009629C4">
            <w:pPr>
              <w:pStyle w:val="P68B1DB1-Normal11"/>
              <w:jc w:val="center"/>
              <w:rPr>
                <w:noProof/>
                <w:szCs w:val="20"/>
              </w:rPr>
            </w:pPr>
            <w:r>
              <w:rPr>
                <w:noProof/>
              </w:rPr>
              <w:t>Täytäntöönpanevan yksikön Cinecittà SPA ja yhtiöiden välisten sopimusten allekirjoittaminen yhdeksän studion rakentamisesta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8F5C5C" w14:textId="77777777" w:rsidR="00E42B18" w:rsidRDefault="009629C4">
            <w:pPr>
              <w:pStyle w:val="P68B1DB1-Normal11"/>
              <w:jc w:val="center"/>
              <w:rPr>
                <w:noProof/>
                <w:szCs w:val="20"/>
              </w:rPr>
            </w:pPr>
            <w:r>
              <w:rPr>
                <w:noProof/>
              </w:rPr>
              <w:t>Sopimusten allekirjoittaminen</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D700F3" w14:textId="77777777" w:rsidR="00E42B18" w:rsidRDefault="009629C4">
            <w:pPr>
              <w:pStyle w:val="P68B1DB1-Normal11"/>
              <w:spacing w:before="120" w:after="120"/>
              <w:jc w:val="center"/>
              <w:rPr>
                <w:noProof/>
                <w:szCs w:val="20"/>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4C47B7" w14:textId="77777777" w:rsidR="00E42B18" w:rsidRDefault="009629C4">
            <w:pPr>
              <w:pStyle w:val="P68B1DB1-Normal11"/>
              <w:jc w:val="center"/>
              <w:rPr>
                <w:noProof/>
                <w:szCs w:val="20"/>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667FE5D" w14:textId="77777777" w:rsidR="00E42B18" w:rsidRDefault="009629C4">
            <w:pPr>
              <w:pStyle w:val="P68B1DB1-Normal11"/>
              <w:jc w:val="center"/>
              <w:rPr>
                <w:noProof/>
                <w:szCs w:val="20"/>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96092E" w14:textId="77777777" w:rsidR="00E42B18" w:rsidRDefault="009629C4">
            <w:pPr>
              <w:pStyle w:val="P68B1DB1-Normal11"/>
              <w:jc w:val="center"/>
              <w:rPr>
                <w:noProof/>
                <w:szCs w:val="20"/>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EB09EB" w14:textId="77777777" w:rsidR="00E42B18" w:rsidRDefault="009629C4">
            <w:pPr>
              <w:pStyle w:val="P68B1DB1-Normal11"/>
              <w:jc w:val="center"/>
              <w:rPr>
                <w:noProof/>
                <w:szCs w:val="20"/>
              </w:rPr>
            </w:pPr>
            <w:r>
              <w:rPr>
                <w:noProof/>
              </w:rPr>
              <w:t>2023</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E85EE8" w14:textId="77777777" w:rsidR="00E42B18" w:rsidRDefault="009629C4">
            <w:pPr>
              <w:pStyle w:val="P68B1DB1-Normal11"/>
              <w:rPr>
                <w:noProof/>
                <w:szCs w:val="20"/>
              </w:rPr>
            </w:pPr>
            <w:r>
              <w:rPr>
                <w:noProof/>
              </w:rPr>
              <w:t xml:space="preserve">Täytäntöönpanoelimen Cinecittà SPA:n ja yhtiöiden välisten sopimusten allekirjoittaminen yhdeksän studion rakentamisesta. </w:t>
            </w:r>
          </w:p>
          <w:p w14:paraId="608D985C" w14:textId="77777777" w:rsidR="00E42B18" w:rsidRDefault="009629C4">
            <w:pPr>
              <w:pStyle w:val="P68B1DB1-Normal11"/>
              <w:rPr>
                <w:noProof/>
                <w:szCs w:val="20"/>
              </w:rPr>
            </w:pPr>
            <w:r>
              <w:rPr>
                <w:noProof/>
              </w:rPr>
              <w:t>Tähän toimenpiteeseen kuuluu uusien studioiden rakentaminen, olemassa olevien studioiden kunnostaminen, investoinnit uusiin digitaaliteknologioihin, järjestelmiin ja palveluihin, joiden tarkoituksena on vahvistaa Cinecittà SPA:n hallinnoimia Cinecittà-elokuvastudioita.</w:t>
            </w:r>
          </w:p>
          <w:p w14:paraId="331AF676" w14:textId="77777777" w:rsidR="00E42B18" w:rsidRDefault="009629C4">
            <w:pPr>
              <w:pStyle w:val="P68B1DB1-Normal11"/>
              <w:rPr>
                <w:noProof/>
                <w:szCs w:val="20"/>
              </w:rPr>
            </w:pPr>
            <w:r>
              <w:rPr>
                <w:noProof/>
              </w:rPr>
              <w:t>Hankkeen toteuttavan organisaation Cinecittà SPA:n ja yritysten välisen sopimuksen on sisällettävä valinta- ja tukikelpoisuuskriteerit, joiden perusteella tuettujen omaisuuserien/toimintojen ja/tai yritysten on noudatettava ”ei merkittävää haittaa” -teknisiä ohjeita (2021/C58/01).</w:t>
            </w:r>
          </w:p>
          <w:p w14:paraId="2C6DDC11" w14:textId="77777777" w:rsidR="00E42B18" w:rsidRDefault="009629C4">
            <w:pPr>
              <w:pStyle w:val="P68B1DB1-Normal11"/>
              <w:rPr>
                <w:noProof/>
              </w:rPr>
            </w:pPr>
            <w:r>
              <w:rPr>
                <w:noProof/>
              </w:rPr>
              <w:t>Sitoumus/tavoite investoida 20 prosenttia omaisuuseriin/toimintoihin ja/tai yrityksiin, jotka täyttävät digitaalisia tunnisteita koskevat valintakriteerit, ja 70 prosenttia ilmastoseurantaa koskevat valintakriteerit.</w:t>
            </w:r>
          </w:p>
        </w:tc>
      </w:tr>
      <w:tr w:rsidR="00E42B18" w14:paraId="556F0A5D"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6E9583" w14:textId="77777777" w:rsidR="00E42B18" w:rsidRDefault="009629C4">
            <w:pPr>
              <w:pStyle w:val="P68B1DB1-Normal11"/>
              <w:jc w:val="center"/>
              <w:rPr>
                <w:noProof/>
                <w:szCs w:val="20"/>
              </w:rPr>
            </w:pPr>
            <w:r>
              <w:rPr>
                <w:noProof/>
              </w:rPr>
              <w:t>M1C3–21</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F6AA857" w14:textId="77777777" w:rsidR="00E42B18" w:rsidRDefault="009629C4">
            <w:pPr>
              <w:pStyle w:val="P68B1DB1-Normal12"/>
              <w:jc w:val="center"/>
              <w:rPr>
                <w:noProof/>
              </w:rPr>
            </w:pPr>
            <w:r>
              <w:rPr>
                <w:noProof/>
              </w:rPr>
              <w:t>”Investointi 3.2: Elokuvateollisuuden kehittäminen (Cinecittà-hanke)</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C90513" w14:textId="77777777" w:rsidR="00E42B18" w:rsidRDefault="009629C4">
            <w:pPr>
              <w:pStyle w:val="P68B1DB1-Normal12"/>
              <w:jc w:val="center"/>
              <w:rPr>
                <w:noProof/>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D459DB" w14:textId="77777777" w:rsidR="00E42B18" w:rsidRDefault="009629C4">
            <w:pPr>
              <w:pStyle w:val="P68B1DB1-Normal12"/>
              <w:jc w:val="center"/>
              <w:rPr>
                <w:noProof/>
              </w:rPr>
            </w:pPr>
            <w:r>
              <w:rPr>
                <w:noProof/>
              </w:rPr>
              <w:t>Rakennettujen tai kunnostettujen studioiden lukumäärä</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08809FE" w14:textId="77777777" w:rsidR="00E42B18" w:rsidRDefault="009629C4">
            <w:pPr>
              <w:pStyle w:val="P68B1DB1-Normal11"/>
              <w:jc w:val="center"/>
              <w:rPr>
                <w:noProof/>
                <w:szCs w:val="20"/>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F40A2D" w14:textId="77777777" w:rsidR="00E42B18" w:rsidRDefault="009629C4">
            <w:pPr>
              <w:pStyle w:val="P68B1DB1-Normal11"/>
              <w:jc w:val="center"/>
              <w:rPr>
                <w:noProof/>
                <w:szCs w:val="20"/>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6371CF7" w14:textId="77777777" w:rsidR="00E42B18" w:rsidRDefault="009629C4">
            <w:pPr>
              <w:pStyle w:val="P68B1DB1-Normal11"/>
              <w:jc w:val="center"/>
              <w:rPr>
                <w:noProof/>
                <w:szCs w:val="20"/>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B5F078B" w14:textId="77777777" w:rsidR="00E42B18" w:rsidRDefault="009629C4">
            <w:pPr>
              <w:pStyle w:val="P68B1DB1-Normal11"/>
              <w:jc w:val="center"/>
              <w:rPr>
                <w:noProof/>
                <w:szCs w:val="20"/>
              </w:rPr>
            </w:pPr>
            <w:r>
              <w:rPr>
                <w:noProof/>
              </w:rPr>
              <w:t>9</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B15B35" w14:textId="77777777" w:rsidR="00E42B18" w:rsidRDefault="009629C4">
            <w:pPr>
              <w:pStyle w:val="P68B1DB1-Normal12"/>
              <w:jc w:val="center"/>
              <w:rPr>
                <w:noProof/>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A04AF89" w14:textId="77777777" w:rsidR="00E42B18" w:rsidRDefault="009629C4">
            <w:pPr>
              <w:pStyle w:val="P68B1DB1-Normal12"/>
              <w:jc w:val="center"/>
              <w:rPr>
                <w:noProof/>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CEE5D9" w14:textId="714D04B0" w:rsidR="00E42B18" w:rsidRDefault="009629C4">
            <w:pPr>
              <w:pStyle w:val="P68B1DB1-Normal12"/>
              <w:spacing w:line="257" w:lineRule="auto"/>
              <w:rPr>
                <w:noProof/>
              </w:rPr>
            </w:pPr>
            <w:r>
              <w:rPr>
                <w:noProof/>
              </w:rPr>
              <w:t xml:space="preserve">Todistukset töiden valmistumisesta on annettava vähintään yhdeksän studion rakentamista tai kunnostamista varten. </w:t>
            </w:r>
          </w:p>
          <w:p w14:paraId="4C2C2AB4" w14:textId="794EB0E4" w:rsidR="00E42B18" w:rsidRDefault="009629C4">
            <w:pPr>
              <w:spacing w:line="257" w:lineRule="auto"/>
              <w:rPr>
                <w:rFonts w:ascii="Arial Narrow" w:hAnsi="Arial Narrow"/>
                <w:noProof/>
                <w:color w:val="006100"/>
                <w:sz w:val="20"/>
                <w:szCs w:val="20"/>
              </w:rPr>
            </w:pPr>
            <w:r>
              <w:rPr>
                <w:rFonts w:ascii="Arial Narrow" w:hAnsi="Arial Narrow"/>
                <w:noProof/>
                <w:color w:val="006100"/>
                <w:sz w:val="20"/>
                <w:szCs w:val="20"/>
              </w:rPr>
              <w:t>Tavaroiden, palvelujen ja urakoiden toimittaminen koeanalyysikeskukselle seuraavilla linjoilla:</w:t>
            </w:r>
            <w:r>
              <w:rPr>
                <w:noProof/>
              </w:rPr>
              <w:t xml:space="preserve"> </w:t>
            </w:r>
            <w:r>
              <w:rPr>
                <w:rFonts w:ascii="Arial Narrow" w:hAnsi="Arial Narrow"/>
                <w:noProof/>
                <w:color w:val="006100"/>
                <w:sz w:val="20"/>
                <w:szCs w:val="20"/>
              </w:rPr>
              <w:t>I) virtuaalisen suoratoiston luominen; II) elokuvan verkko-opiskelualusta; III) oppimis- ja opetustoiminnan digitalisointi; IV) audiovisuaalisen omaisuuden digitalisointi ja säilyttäminen.</w:t>
            </w:r>
          </w:p>
        </w:tc>
      </w:tr>
      <w:tr w:rsidR="00E42B18" w14:paraId="0E69411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ED7CDC" w14:textId="77777777" w:rsidR="00E42B18" w:rsidRDefault="009629C4">
            <w:pPr>
              <w:pStyle w:val="P68B1DB1-Normal11"/>
              <w:jc w:val="center"/>
              <w:rPr>
                <w:noProof/>
              </w:rPr>
            </w:pPr>
            <w:r>
              <w:rPr>
                <w:noProof/>
              </w:rPr>
              <w:t>M1C3–22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4DBCD0D" w14:textId="5AE50A78" w:rsidR="00E42B18" w:rsidRDefault="009629C4">
            <w:pPr>
              <w:pStyle w:val="P68B1DB1-Normal11"/>
              <w:jc w:val="center"/>
              <w:rPr>
                <w:noProof/>
                <w:szCs w:val="20"/>
              </w:rPr>
            </w:pPr>
            <w:r>
              <w:rPr>
                <w:noProof/>
              </w:rPr>
              <w:t>Investointi 4.2 Rahastot matkailualan yritysten kilpailukykyä varten</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56505A"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D556470" w14:textId="77777777" w:rsidR="00E42B18" w:rsidRDefault="009629C4">
            <w:pPr>
              <w:pStyle w:val="P68B1DB1-Normal11"/>
              <w:jc w:val="center"/>
              <w:rPr>
                <w:noProof/>
                <w:szCs w:val="20"/>
              </w:rPr>
            </w:pPr>
            <w:r>
              <w:rPr>
                <w:noProof/>
              </w:rPr>
              <w:t>Investointipolitiikka:</w:t>
            </w:r>
          </w:p>
          <w:p w14:paraId="6FFAEB0F" w14:textId="1FCF9050" w:rsidR="00E42B18" w:rsidRDefault="009629C4">
            <w:pPr>
              <w:pStyle w:val="P68B1DB1-Normal11"/>
              <w:jc w:val="center"/>
              <w:rPr>
                <w:noProof/>
                <w:szCs w:val="20"/>
              </w:rPr>
            </w:pPr>
            <w:r>
              <w:rPr>
                <w:noProof/>
              </w:rPr>
              <w:t>Euroopan investointipankin temaattinen rahasto;</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8189E81" w14:textId="77777777" w:rsidR="00E42B18" w:rsidRDefault="009629C4">
            <w:pPr>
              <w:pStyle w:val="P68B1DB1-Normal11"/>
              <w:jc w:val="center"/>
              <w:rPr>
                <w:noProof/>
              </w:rPr>
            </w:pPr>
            <w:r>
              <w:rPr>
                <w:noProof/>
              </w:rPr>
              <w:t>Sijoituspolitiikan hyväksyminen</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857EAD"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3597516" w14:textId="77777777" w:rsidR="00E42B18" w:rsidRDefault="009629C4">
            <w:pPr>
              <w:pStyle w:val="P68B1DB1-Normal11"/>
              <w:jc w:val="center"/>
              <w:rPr>
                <w:noProof/>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ED9659"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AADA780"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2FFCB2B" w14:textId="77777777" w:rsidR="00E42B18" w:rsidRDefault="009629C4">
            <w:pPr>
              <w:pStyle w:val="P68B1DB1-Normal11"/>
              <w:jc w:val="center"/>
              <w:rPr>
                <w:noProof/>
                <w:szCs w:val="20"/>
              </w:rPr>
            </w:pPr>
            <w:r>
              <w:rPr>
                <w:noProof/>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A21F927" w14:textId="77777777" w:rsidR="00E42B18" w:rsidRDefault="009629C4">
            <w:pPr>
              <w:pStyle w:val="P68B1DB1-Normal12"/>
              <w:spacing w:line="257" w:lineRule="auto"/>
              <w:rPr>
                <w:noProof/>
              </w:rPr>
            </w:pPr>
            <w:r>
              <w:rPr>
                <w:noProof/>
              </w:rPr>
              <w:t>Sijoituspolitiikassa on määriteltävä vähintään: tuettujen toimien luonne, laajuus ja tuettavat toimet, kohteena olevat edunsaajat, rahoituksen saajien tukikelpoisuusperusteet ja niiden valinta avoimella ehdotuspyynnöllä; ja määräykset mahdollisten takaisin saatujen varojen sijoittamisesta uudelleen samoihin toimintapoliittisiin tavoitteisiin.</w:t>
            </w:r>
          </w:p>
          <w:p w14:paraId="1460206B" w14:textId="7B7AE3EE" w:rsidR="00E42B18" w:rsidRDefault="009629C4">
            <w:pPr>
              <w:pStyle w:val="P68B1DB1-Normal12"/>
              <w:spacing w:line="257" w:lineRule="auto"/>
              <w:rPr>
                <w:noProof/>
              </w:rPr>
            </w:pPr>
            <w:r>
              <w:rPr>
                <w:noProof/>
              </w:rPr>
              <w:t>Investointipolitiikan mukaan 50 prosenttia rahastosta osoitetaan energiatehokkuustoimenpiteisiin.</w:t>
            </w:r>
          </w:p>
          <w:p w14:paraId="46C854C7" w14:textId="77777777" w:rsidR="00E42B18" w:rsidRDefault="009629C4">
            <w:pPr>
              <w:pStyle w:val="P68B1DB1-Normal12"/>
              <w:spacing w:line="257" w:lineRule="auto"/>
              <w:rPr>
                <w:noProof/>
              </w:rPr>
            </w:pPr>
            <w:r>
              <w:rPr>
                <w:noProof/>
              </w:rPr>
              <w:t>Investointipolitiikkaan on sisällyttävä valintaperusteet, joilla varmistetaan tämän toimenpiteen nojalla tuettujen liiketoimien ”ei merkittävää haittaa” -periaatetta koskevien teknisten ohjeiden (2021/C58/01) noudattaminen käyttämällä kestävyysarviointia, poissulkemisluetteloa ja vaatimusta asiaa koskevan EU:n ja kansallisen ympäristölainsäädännön noudattamisesta.</w:t>
            </w:r>
          </w:p>
        </w:tc>
      </w:tr>
      <w:tr w:rsidR="00E42B18" w14:paraId="121B83FE"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6F1FCCB" w14:textId="77777777" w:rsidR="00E42B18" w:rsidRDefault="009629C4">
            <w:pPr>
              <w:pStyle w:val="P68B1DB1-Normal11"/>
              <w:jc w:val="center"/>
              <w:rPr>
                <w:noProof/>
              </w:rPr>
            </w:pPr>
            <w:r>
              <w:rPr>
                <w:noProof/>
              </w:rPr>
              <w:t>M1C3–23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C7BECDC" w14:textId="450899BA" w:rsidR="00E42B18" w:rsidRDefault="009629C4">
            <w:pPr>
              <w:pStyle w:val="P68B1DB1-Normal11"/>
              <w:jc w:val="center"/>
              <w:rPr>
                <w:noProof/>
                <w:szCs w:val="20"/>
              </w:rPr>
            </w:pPr>
            <w:r>
              <w:rPr>
                <w:noProof/>
              </w:rPr>
              <w:t>Investointi 4.2: Matkailualan yritysten kilpailukykyyn tarkoitetut rahastot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3A8A29"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5D349B8" w14:textId="77777777" w:rsidR="00E42B18" w:rsidRDefault="009629C4">
            <w:pPr>
              <w:pStyle w:val="P68B1DB1-Normal11"/>
              <w:jc w:val="center"/>
              <w:rPr>
                <w:noProof/>
                <w:szCs w:val="20"/>
              </w:rPr>
            </w:pPr>
            <w:r>
              <w:rPr>
                <w:noProof/>
              </w:rPr>
              <w:t>Kansallisen matkailurahaston investointipolitiikka,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5BFF761" w14:textId="77777777" w:rsidR="00E42B18" w:rsidRDefault="009629C4">
            <w:pPr>
              <w:pStyle w:val="P68B1DB1-Normal11"/>
              <w:jc w:val="center"/>
              <w:rPr>
                <w:noProof/>
              </w:rPr>
            </w:pPr>
            <w:r>
              <w:rPr>
                <w:noProof/>
              </w:rPr>
              <w:t>Sijoituspolitiikan hyväksyminen</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820E6B"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6FF1F8" w14:textId="77777777" w:rsidR="00E42B18" w:rsidRDefault="009629C4">
            <w:pPr>
              <w:pStyle w:val="P68B1DB1-Normal11"/>
              <w:jc w:val="center"/>
              <w:rPr>
                <w:noProof/>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9A27B6D"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965F79E"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7D914E7" w14:textId="77777777" w:rsidR="00E42B18" w:rsidRDefault="009629C4">
            <w:pPr>
              <w:pStyle w:val="P68B1DB1-Normal11"/>
              <w:jc w:val="center"/>
              <w:rPr>
                <w:noProof/>
                <w:szCs w:val="20"/>
              </w:rPr>
            </w:pPr>
            <w:r>
              <w:rPr>
                <w:noProof/>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03DE13" w14:textId="77777777" w:rsidR="00E42B18" w:rsidRDefault="009629C4">
            <w:pPr>
              <w:pStyle w:val="P68B1DB1-Normal11"/>
              <w:rPr>
                <w:noProof/>
                <w:szCs w:val="20"/>
              </w:rPr>
            </w:pPr>
            <w:r>
              <w:rPr>
                <w:noProof/>
              </w:rPr>
              <w:t xml:space="preserve">Rahasto on tarkoitettu italialaisten kiinteistöjen hankintaan, rakenneuudistukseen ja uudelleenkoulutukseen, jotta voidaan tukea matkailun kehittämistä kriisin pahiten koettelemilla alueilla tai syrjäisillä alueilla (rannikkoalueet, pienet saaret, syrjäisimmät alueet sekä maaseutu- ja vuoristoalueet). </w:t>
            </w:r>
          </w:p>
          <w:p w14:paraId="556B57FE" w14:textId="77777777" w:rsidR="00E42B18" w:rsidRDefault="009629C4">
            <w:pPr>
              <w:pStyle w:val="P68B1DB1-Normal11"/>
              <w:spacing w:line="257" w:lineRule="auto"/>
              <w:rPr>
                <w:noProof/>
                <w:szCs w:val="20"/>
              </w:rPr>
            </w:pPr>
            <w:r>
              <w:rPr>
                <w:noProof/>
              </w:rPr>
              <w:t>Investointipolitiikkaan on sisällyttävä valintaperusteet, joilla varmistetaan tämän toimenpiteen nojalla tuettujen liiketoimien ”ei merkittävää haittaa” -periaatetta koskevien teknisten ohjeiden (2021/C58/01) noudattaminen käyttämällä kestävyysarviointia, poissulkemisluetteloa ja vaatimusta asiaa koskevan EU:n ja kansallisen ympäristölainsäädännön noudattamisesta.</w:t>
            </w:r>
          </w:p>
        </w:tc>
      </w:tr>
      <w:tr w:rsidR="00E42B18" w14:paraId="1292A384"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A35D26" w14:textId="77777777" w:rsidR="00E42B18" w:rsidRDefault="009629C4">
            <w:pPr>
              <w:pStyle w:val="P68B1DB1-Normal11"/>
              <w:jc w:val="center"/>
              <w:rPr>
                <w:noProof/>
              </w:rPr>
            </w:pPr>
            <w:r>
              <w:rPr>
                <w:noProof/>
              </w:rPr>
              <w:t>M1C3–24</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A394548" w14:textId="75FE4C29" w:rsidR="00E42B18" w:rsidRDefault="009629C4">
            <w:pPr>
              <w:pStyle w:val="P68B1DB1-Normal11"/>
              <w:jc w:val="center"/>
              <w:rPr>
                <w:noProof/>
                <w:szCs w:val="20"/>
              </w:rPr>
            </w:pPr>
            <w:r>
              <w:rPr>
                <w:noProof/>
              </w:rPr>
              <w:t>Investointi 4.2 Rahastot matkailuyritysten kilpailukykyä varten</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223CA21"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20E07D8" w14:textId="77777777" w:rsidR="00E42B18" w:rsidRDefault="009629C4">
            <w:pPr>
              <w:pStyle w:val="P68B1DB1-Normal11"/>
              <w:jc w:val="center"/>
              <w:rPr>
                <w:noProof/>
                <w:szCs w:val="20"/>
              </w:rPr>
            </w:pPr>
            <w:r>
              <w:rPr>
                <w:noProof/>
              </w:rPr>
              <w:t>Investointipolitiikka: Pk-yritysten takuurahasto,</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F4F9141" w14:textId="77777777" w:rsidR="00E42B18" w:rsidRDefault="009629C4">
            <w:pPr>
              <w:pStyle w:val="P68B1DB1-Normal11"/>
              <w:jc w:val="center"/>
              <w:rPr>
                <w:noProof/>
              </w:rPr>
            </w:pPr>
            <w:r>
              <w:rPr>
                <w:noProof/>
              </w:rPr>
              <w:t>Sijoituspolitiikan hyväksyminen</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A8455C3"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DB0105" w14:textId="77777777" w:rsidR="00E42B18" w:rsidRDefault="009629C4">
            <w:pPr>
              <w:pStyle w:val="P68B1DB1-Normal11"/>
              <w:jc w:val="center"/>
              <w:rPr>
                <w:noProof/>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9C2D4DC"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6CF707"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4DB217" w14:textId="77777777" w:rsidR="00E42B18" w:rsidRDefault="009629C4">
            <w:pPr>
              <w:pStyle w:val="P68B1DB1-Normal11"/>
              <w:jc w:val="center"/>
              <w:rPr>
                <w:noProof/>
                <w:szCs w:val="20"/>
              </w:rPr>
            </w:pPr>
            <w:r>
              <w:rPr>
                <w:noProof/>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B60196" w14:textId="34872376" w:rsidR="00E42B18" w:rsidRDefault="009629C4">
            <w:pPr>
              <w:pStyle w:val="P68B1DB1-Normal11"/>
              <w:rPr>
                <w:noProof/>
                <w:szCs w:val="20"/>
              </w:rPr>
            </w:pPr>
            <w:r>
              <w:rPr>
                <w:noProof/>
              </w:rPr>
              <w:t>Investointipolitiikan mukaan 50 prosenttia rahastosta osoitetaan energiatehokkuustoimenpiteisiin.</w:t>
            </w:r>
          </w:p>
          <w:p w14:paraId="25679A2E" w14:textId="77777777" w:rsidR="00E42B18" w:rsidRDefault="009629C4">
            <w:pPr>
              <w:pStyle w:val="P68B1DB1-Normal11"/>
              <w:spacing w:line="257" w:lineRule="auto"/>
              <w:rPr>
                <w:noProof/>
                <w:szCs w:val="20"/>
              </w:rPr>
            </w:pPr>
            <w:r>
              <w:rPr>
                <w:noProof/>
              </w:rPr>
              <w:t>Investointipolitiikkaan on sisällyttävä valintaperusteet, joilla varmistetaan tämän toimenpiteen nojalla tuettujen liiketoimien ”ei merkittävää haittaa” -periaatetta koskevien teknisten ohjeiden (2021/C58/01) noudattaminen käyttämällä kestävyysarviointia, poissulkemisluetteloa ja vaatimusta asiaa koskevan EU:n ja kansallisen ympäristölainsäädännön noudattamisesta.</w:t>
            </w:r>
          </w:p>
        </w:tc>
      </w:tr>
      <w:tr w:rsidR="00E42B18" w14:paraId="5EE8F5C9"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E97B966" w14:textId="77777777" w:rsidR="00E42B18" w:rsidRDefault="009629C4">
            <w:pPr>
              <w:pStyle w:val="P68B1DB1-Normal11"/>
              <w:jc w:val="center"/>
              <w:rPr>
                <w:noProof/>
              </w:rPr>
            </w:pPr>
            <w:r>
              <w:rPr>
                <w:noProof/>
              </w:rPr>
              <w:t>M1C3–25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B04B9B" w14:textId="5B7A3998" w:rsidR="00E42B18" w:rsidRDefault="009629C4">
            <w:pPr>
              <w:pStyle w:val="P68B1DB1-Normal11"/>
              <w:jc w:val="center"/>
              <w:rPr>
                <w:noProof/>
                <w:szCs w:val="20"/>
              </w:rPr>
            </w:pPr>
            <w:r>
              <w:rPr>
                <w:noProof/>
              </w:rPr>
              <w:t>Investointi 4.2: Matkailualan yritysten kilpailukykyyn tarkoitetut rahastot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515313"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ECCA9B" w14:textId="77777777" w:rsidR="00E42B18" w:rsidRDefault="009629C4">
            <w:pPr>
              <w:pStyle w:val="P68B1DB1-Normal11"/>
              <w:jc w:val="center"/>
              <w:rPr>
                <w:noProof/>
                <w:szCs w:val="20"/>
              </w:rPr>
            </w:pPr>
            <w:r>
              <w:rPr>
                <w:noProof/>
              </w:rPr>
              <w:t>Fondo Rotativon investointipolitiikka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02579D1" w14:textId="77777777" w:rsidR="00E42B18" w:rsidRDefault="009629C4">
            <w:pPr>
              <w:pStyle w:val="P68B1DB1-Normal11"/>
              <w:jc w:val="center"/>
              <w:rPr>
                <w:noProof/>
              </w:rPr>
            </w:pPr>
            <w:r>
              <w:rPr>
                <w:noProof/>
              </w:rPr>
              <w:t>Sijoituspolitiikan hyväksyminen</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8BF3B24"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B4CA359" w14:textId="77777777" w:rsidR="00E42B18" w:rsidRDefault="009629C4">
            <w:pPr>
              <w:pStyle w:val="P68B1DB1-Normal11"/>
              <w:jc w:val="center"/>
              <w:rPr>
                <w:noProof/>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239447"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FC46E0"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37EC79" w14:textId="77777777" w:rsidR="00E42B18" w:rsidRDefault="009629C4">
            <w:pPr>
              <w:pStyle w:val="P68B1DB1-Normal11"/>
              <w:jc w:val="center"/>
              <w:rPr>
                <w:noProof/>
                <w:szCs w:val="20"/>
              </w:rPr>
            </w:pPr>
            <w:r>
              <w:rPr>
                <w:noProof/>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77A36B" w14:textId="3F684567" w:rsidR="00E42B18" w:rsidRDefault="009629C4">
            <w:pPr>
              <w:pStyle w:val="P68B1DB1-Normal11"/>
              <w:rPr>
                <w:noProof/>
                <w:szCs w:val="20"/>
              </w:rPr>
            </w:pPr>
            <w:r>
              <w:rPr>
                <w:noProof/>
              </w:rPr>
              <w:t>Investointipolitiikan mukaan 50 prosenttia rahastosta osoitetaan energiatehokkuustoimenpiteisiin.</w:t>
            </w:r>
          </w:p>
          <w:p w14:paraId="56C501F5" w14:textId="77777777" w:rsidR="00E42B18" w:rsidRDefault="009629C4">
            <w:pPr>
              <w:pStyle w:val="P68B1DB1-Normal11"/>
              <w:spacing w:line="257" w:lineRule="auto"/>
              <w:rPr>
                <w:noProof/>
                <w:szCs w:val="20"/>
              </w:rPr>
            </w:pPr>
            <w:r>
              <w:rPr>
                <w:noProof/>
              </w:rPr>
              <w:t>Investointipolitiikkaan on sisällyttävä valintaperusteet, joilla varmistetaan tämän toimenpiteen nojalla tuettujen liiketoimien ”ei merkittävää haittaa” -periaatetta koskevien teknisten ohjeiden (2021/C58/01) noudattaminen käyttämällä kestävyysarviointia, poissulkemisluetteloa ja vaatimusta asiaa koskevan EU:n ja kansallisen ympäristölainsäädännön noudattamisesta.</w:t>
            </w:r>
          </w:p>
        </w:tc>
      </w:tr>
      <w:tr w:rsidR="00E42B18" w14:paraId="573441B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A29FB6F" w14:textId="77777777" w:rsidR="00E42B18" w:rsidRDefault="009629C4">
            <w:pPr>
              <w:pStyle w:val="P68B1DB1-Normal11"/>
              <w:jc w:val="center"/>
              <w:rPr>
                <w:noProof/>
              </w:rPr>
            </w:pPr>
            <w:r>
              <w:rPr>
                <w:noProof/>
              </w:rPr>
              <w:t>M1C3–26</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79F9BE1" w14:textId="59455459" w:rsidR="00E42B18" w:rsidRDefault="009629C4">
            <w:pPr>
              <w:pStyle w:val="P68B1DB1-Normal11"/>
              <w:jc w:val="center"/>
              <w:rPr>
                <w:noProof/>
                <w:szCs w:val="20"/>
              </w:rPr>
            </w:pPr>
            <w:r>
              <w:rPr>
                <w:noProof/>
              </w:rPr>
              <w:t>Investointi 4.2: Matkailualan yritysten kilpailukykyyn tarkoitetut rahastot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2BD650"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C99127" w14:textId="77777777" w:rsidR="00E42B18" w:rsidRDefault="009629C4">
            <w:pPr>
              <w:pStyle w:val="P68B1DB1-Normal11"/>
              <w:jc w:val="center"/>
              <w:rPr>
                <w:noProof/>
                <w:szCs w:val="20"/>
              </w:rPr>
            </w:pPr>
            <w:r>
              <w:rPr>
                <w:noProof/>
              </w:rPr>
              <w:t>Majoitustilojen kunnostamiseen tarkoitettua verohyvitystä koskeva täytäntöönpanoasetus tulee voimaan.</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D27A0E" w14:textId="77777777" w:rsidR="00E42B18" w:rsidRDefault="009629C4">
            <w:pPr>
              <w:pStyle w:val="P68B1DB1-Normal11"/>
              <w:jc w:val="center"/>
              <w:rPr>
                <w:noProof/>
              </w:rPr>
            </w:pPr>
            <w:r>
              <w:rPr>
                <w:noProof/>
              </w:rPr>
              <w:t>Lakiin sisältyvä säännös, joka koskee verohyvitysten mahdollistavan talousarviolain voimaantuloa, ja asiaa koskevien täytäntöönpanosäädösten säännös, josta käy ilmi niiden voimaantulo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A152B6"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CEEF1FA" w14:textId="77777777" w:rsidR="00E42B18" w:rsidRDefault="009629C4">
            <w:pPr>
              <w:pStyle w:val="P68B1DB1-Normal11"/>
              <w:jc w:val="center"/>
              <w:rPr>
                <w:noProof/>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5C5BFD7"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5D6189"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F73BB15" w14:textId="77777777" w:rsidR="00E42B18" w:rsidRDefault="009629C4">
            <w:pPr>
              <w:pStyle w:val="P68B1DB1-Normal11"/>
              <w:jc w:val="center"/>
              <w:rPr>
                <w:noProof/>
                <w:szCs w:val="20"/>
              </w:rPr>
            </w:pPr>
            <w:r>
              <w:rPr>
                <w:noProof/>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5DCE733" w14:textId="77777777" w:rsidR="00E42B18" w:rsidRDefault="009629C4">
            <w:pPr>
              <w:pStyle w:val="P68B1DB1-Normal11"/>
              <w:rPr>
                <w:noProof/>
                <w:szCs w:val="20"/>
              </w:rPr>
            </w:pPr>
            <w:r>
              <w:rPr>
                <w:noProof/>
              </w:rPr>
              <w:t>Verohyvityksen myöntämisen viitelainsäädäntö on 31. toukokuuta 2014 annettu laki nro 83, jolla otettiin käyttöön majoitusliikkeiden kunnostamiseen liittyvien toimenpiteiden yhteydessä myönnettävän verohyvityksen hyväksyminen.</w:t>
            </w:r>
          </w:p>
          <w:p w14:paraId="169E6FD0" w14:textId="77777777" w:rsidR="00E42B18" w:rsidRDefault="009629C4">
            <w:pPr>
              <w:pStyle w:val="P68B1DB1-Normal11"/>
              <w:spacing w:line="257" w:lineRule="auto"/>
              <w:rPr>
                <w:noProof/>
                <w:szCs w:val="20"/>
              </w:rPr>
            </w:pPr>
            <w:r>
              <w:rPr>
                <w:noProof/>
              </w:rPr>
              <w:t>Valinta-/tukikelpoisuusperusteet tuettuja omaisuuseriä/toimintoja ja edunsaajia koskevien ”ei merkittävää haittaa” -periaatteen mukaisten teknisten ohjeiden (2021/C58/01) noudattamiseksi, joissa edellytetään vähintään poissulkemisluettelon käyttöä ja tuettujen omaisuuserien/toimintojen ja edunsaajien asiaa koskevan EU:n ja kansallisen ympäristösäännöstön noudattamista ja joilla varmistetaan vaatimusten noudattaminen.</w:t>
            </w:r>
          </w:p>
        </w:tc>
      </w:tr>
      <w:tr w:rsidR="00E42B18" w14:paraId="7488B06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C94047" w14:textId="77777777" w:rsidR="00E42B18" w:rsidRDefault="009629C4">
            <w:pPr>
              <w:pStyle w:val="P68B1DB1-Normal11"/>
              <w:jc w:val="center"/>
              <w:rPr>
                <w:noProof/>
              </w:rPr>
            </w:pPr>
            <w:r>
              <w:rPr>
                <w:noProof/>
              </w:rPr>
              <w:t>M1C3–27</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5B3ABDF" w14:textId="77777777" w:rsidR="00E42B18" w:rsidRDefault="009629C4">
            <w:pPr>
              <w:pStyle w:val="P68B1DB1-Normal11"/>
              <w:jc w:val="center"/>
              <w:rPr>
                <w:noProof/>
                <w:szCs w:val="20"/>
              </w:rPr>
            </w:pPr>
            <w:r>
              <w:rPr>
                <w:noProof/>
              </w:rPr>
              <w:t>Investointi- 4.3 Caput Mundi-Next Generation EU -väline matkailun suurtapahtumia varten</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8D5802D" w14:textId="77777777" w:rsidR="00E42B18" w:rsidRDefault="009629C4">
            <w:pPr>
              <w:pStyle w:val="P68B1DB1-Normal11"/>
              <w:jc w:val="center"/>
              <w:rPr>
                <w:noProof/>
                <w:szCs w:val="20"/>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5B63FB6" w14:textId="68DA3C5F" w:rsidR="00E42B18" w:rsidRDefault="009629C4">
            <w:pPr>
              <w:pStyle w:val="P68B1DB1-Normal11"/>
              <w:jc w:val="center"/>
              <w:rPr>
                <w:noProof/>
                <w:szCs w:val="20"/>
              </w:rPr>
            </w:pPr>
            <w:r>
              <w:rPr>
                <w:noProof/>
              </w:rPr>
              <w:t>Niiden kulttuuri- ja matkailukohteiden määrä, joiden uudelleenkoulutus saavutti keskimäärin 50 prosenttia Stato Avanzamento Lavorista (SAL) (ensimmäinen erä)</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BB6EB95" w14:textId="77777777" w:rsidR="00E42B18" w:rsidRDefault="009629C4">
            <w:pPr>
              <w:pStyle w:val="P68B1DB1-Normal11"/>
              <w:jc w:val="center"/>
              <w:rPr>
                <w:noProof/>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786B08" w14:textId="77777777" w:rsidR="00E42B18" w:rsidRDefault="009629C4">
            <w:pPr>
              <w:pStyle w:val="P68B1DB1-Normal11"/>
              <w:jc w:val="center"/>
              <w:rPr>
                <w:noProof/>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AEB25A" w14:textId="77777777" w:rsidR="00E42B18" w:rsidRDefault="009629C4">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FCF31F" w14:textId="77777777" w:rsidR="00E42B18" w:rsidRDefault="009629C4">
            <w:pPr>
              <w:pStyle w:val="P68B1DB1-Normal11"/>
              <w:jc w:val="center"/>
              <w:rPr>
                <w:noProof/>
              </w:rPr>
            </w:pPr>
            <w:r>
              <w:rPr>
                <w:noProof/>
              </w:rPr>
              <w:t>100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007D098"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6DA1317" w14:textId="77777777" w:rsidR="00E42B18" w:rsidRDefault="009629C4">
            <w:pPr>
              <w:pStyle w:val="P68B1DB1-Normal11"/>
              <w:jc w:val="center"/>
              <w:rPr>
                <w:noProof/>
                <w:szCs w:val="20"/>
              </w:rPr>
            </w:pPr>
            <w:r>
              <w:rPr>
                <w:noProof/>
              </w:rPr>
              <w:t>2024</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1B11DA" w14:textId="77777777" w:rsidR="00E42B18" w:rsidRDefault="009629C4">
            <w:pPr>
              <w:pStyle w:val="P68B1DB1-Normal12"/>
              <w:spacing w:line="257" w:lineRule="auto"/>
              <w:rPr>
                <w:noProof/>
              </w:rPr>
            </w:pPr>
            <w:r>
              <w:rPr>
                <w:noProof/>
              </w:rPr>
              <w:t>Tavoite on saavutettava, kun 100 kulttuuri- ja matkailukohteen keskimääräinen uudelleenkoulutusaste saavuttaa 50 prosenttia Stato Avanzamento Lavorissa (SAL) ilmoitetusta etenemisestä.</w:t>
            </w:r>
          </w:p>
        </w:tc>
      </w:tr>
      <w:tr w:rsidR="00E42B18" w14:paraId="37F831A3"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AE397CA" w14:textId="77777777" w:rsidR="00E42B18" w:rsidRDefault="009629C4">
            <w:pPr>
              <w:pStyle w:val="P68B1DB1-Normal11"/>
              <w:jc w:val="center"/>
              <w:rPr>
                <w:noProof/>
              </w:rPr>
            </w:pPr>
            <w:r>
              <w:rPr>
                <w:noProof/>
              </w:rPr>
              <w:t>M1C3–28</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42E158" w14:textId="53C1D118" w:rsidR="00E42B18" w:rsidRDefault="009629C4">
            <w:pPr>
              <w:pStyle w:val="P68B1DB1-Normal11"/>
              <w:jc w:val="center"/>
              <w:rPr>
                <w:noProof/>
                <w:szCs w:val="20"/>
              </w:rPr>
            </w:pPr>
            <w:r>
              <w:rPr>
                <w:noProof/>
              </w:rPr>
              <w:t>Investointi 4.2: Matkailualan yritysten kilpailukykyyn tarkoitetut rahastot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CBD951" w14:textId="77777777" w:rsidR="00E42B18" w:rsidRDefault="009629C4">
            <w:pPr>
              <w:pStyle w:val="P68B1DB1-Normal11"/>
              <w:jc w:val="center"/>
              <w:rPr>
                <w:noProof/>
                <w:szCs w:val="20"/>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F5CC4ED" w14:textId="77777777" w:rsidR="00E42B18" w:rsidRDefault="009629C4">
            <w:pPr>
              <w:pStyle w:val="P68B1DB1-Normal12"/>
              <w:jc w:val="center"/>
              <w:rPr>
                <w:noProof/>
              </w:rPr>
            </w:pPr>
            <w:r>
              <w:rPr>
                <w:noProof/>
              </w:rPr>
              <w:t>Niiden yritysten lukumäärä, jotka saavat tukea infrastruktuurien ja/tai palvelujen avustuksesta ja/tai verohyvityksestä</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FBA365" w14:textId="77777777" w:rsidR="00E42B18" w:rsidRDefault="009629C4">
            <w:pPr>
              <w:pStyle w:val="P68B1DB1-Normal11"/>
              <w:jc w:val="center"/>
              <w:rPr>
                <w:noProof/>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B837BA" w14:textId="77777777" w:rsidR="00E42B18" w:rsidRDefault="009629C4">
            <w:pPr>
              <w:pStyle w:val="P68B1DB1-Normal11"/>
              <w:jc w:val="center"/>
              <w:rPr>
                <w:noProof/>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A3EB2D7" w14:textId="77777777" w:rsidR="00E42B18" w:rsidRDefault="009629C4">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5F9488" w14:textId="77777777" w:rsidR="00E42B18" w:rsidRDefault="009629C4">
            <w:pPr>
              <w:pStyle w:val="P68B1DB1-Normal11"/>
              <w:jc w:val="center"/>
              <w:rPr>
                <w:noProof/>
              </w:rPr>
            </w:pPr>
            <w:r>
              <w:rPr>
                <w:noProof/>
              </w:rPr>
              <w:t>2 700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D2089C"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A13565" w14:textId="77777777" w:rsidR="00E42B18" w:rsidRDefault="009629C4">
            <w:pPr>
              <w:pStyle w:val="P68B1DB1-Normal11"/>
              <w:jc w:val="center"/>
              <w:rPr>
                <w:noProof/>
                <w:szCs w:val="20"/>
              </w:rPr>
            </w:pPr>
            <w:r>
              <w:rPr>
                <w:noProof/>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C613341" w14:textId="7418F39F" w:rsidR="00E42B18" w:rsidRDefault="009629C4">
            <w:pPr>
              <w:pStyle w:val="P68B1DB1-Normal12"/>
              <w:rPr>
                <w:noProof/>
              </w:rPr>
            </w:pPr>
            <w:r>
              <w:rPr>
                <w:noProof/>
              </w:rPr>
              <w:t>Asetus (asetukset) verohyvityksen ja/tai avustuksen myöntämisestä vähintään 2700 yritykselle, jotka ovat investoineet infrastruktuuriin ja/tai palveluihin, mikä johtuu maksupyynnön hylkäämisestä.</w:t>
            </w:r>
          </w:p>
        </w:tc>
      </w:tr>
      <w:tr w:rsidR="00E42B18" w14:paraId="22C0C9B4"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94F8C8" w14:textId="77777777" w:rsidR="00E42B18" w:rsidRDefault="009629C4">
            <w:pPr>
              <w:pStyle w:val="P68B1DB1-Normal11"/>
              <w:jc w:val="center"/>
              <w:rPr>
                <w:noProof/>
              </w:rPr>
            </w:pPr>
            <w:r>
              <w:rPr>
                <w:noProof/>
              </w:rPr>
              <w:t>M1C3–29</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18DDD5" w14:textId="7C471C29" w:rsidR="00E42B18" w:rsidRDefault="009629C4">
            <w:pPr>
              <w:pStyle w:val="P68B1DB1-Normal11"/>
              <w:jc w:val="center"/>
              <w:rPr>
                <w:noProof/>
                <w:szCs w:val="20"/>
              </w:rPr>
            </w:pPr>
            <w:r>
              <w:rPr>
                <w:noProof/>
              </w:rPr>
              <w:t>Investointi 4.2: Matkailualan yritysten kilpailukykyyn tarkoitetut rahastot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0311AB" w14:textId="77777777" w:rsidR="00E42B18" w:rsidRDefault="009629C4">
            <w:pPr>
              <w:pStyle w:val="P68B1DB1-Normal11"/>
              <w:jc w:val="center"/>
              <w:rPr>
                <w:noProof/>
                <w:szCs w:val="20"/>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C98611" w14:textId="77777777" w:rsidR="00E42B18" w:rsidRDefault="009629C4">
            <w:pPr>
              <w:pStyle w:val="P68B1DB1-Normal11"/>
              <w:jc w:val="center"/>
              <w:rPr>
                <w:noProof/>
                <w:szCs w:val="20"/>
              </w:rPr>
            </w:pPr>
            <w:r>
              <w:rPr>
                <w:noProof/>
              </w:rPr>
              <w:t>Euroopan investointipankin temaattisista rahastoista tuettavien matkailuhankkeiden lukumäärä</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82915CF" w14:textId="77777777" w:rsidR="00E42B18" w:rsidRDefault="009629C4">
            <w:pPr>
              <w:pStyle w:val="P68B1DB1-Normal11"/>
              <w:jc w:val="center"/>
              <w:rPr>
                <w:noProof/>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36AC05" w14:textId="77777777" w:rsidR="00E42B18" w:rsidRDefault="009629C4">
            <w:pPr>
              <w:pStyle w:val="P68B1DB1-Normal11"/>
              <w:jc w:val="center"/>
              <w:rPr>
                <w:noProof/>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72258A" w14:textId="77777777" w:rsidR="00E42B18" w:rsidRDefault="009629C4">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5170449" w14:textId="77777777" w:rsidR="00E42B18" w:rsidRDefault="009629C4">
            <w:pPr>
              <w:pStyle w:val="P68B1DB1-Normal11"/>
              <w:jc w:val="center"/>
              <w:rPr>
                <w:noProof/>
              </w:rPr>
            </w:pPr>
            <w:r>
              <w:rPr>
                <w:noProof/>
              </w:rPr>
              <w:t>70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0C469A" w14:textId="77777777" w:rsidR="00E42B18" w:rsidRDefault="009629C4">
            <w:pPr>
              <w:pStyle w:val="P68B1DB1-Normal11"/>
              <w:jc w:val="center"/>
              <w:rPr>
                <w:noProof/>
                <w:szCs w:val="20"/>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FD52DE" w14:textId="77777777" w:rsidR="00E42B18" w:rsidRDefault="009629C4">
            <w:pPr>
              <w:pStyle w:val="P68B1DB1-Normal11"/>
              <w:jc w:val="center"/>
              <w:rPr>
                <w:noProof/>
                <w:szCs w:val="20"/>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560EF14" w14:textId="77777777" w:rsidR="00E42B18" w:rsidRDefault="009629C4">
            <w:pPr>
              <w:pStyle w:val="P68B1DB1-Normal12"/>
              <w:spacing w:line="257" w:lineRule="auto"/>
              <w:rPr>
                <w:noProof/>
              </w:rPr>
            </w:pPr>
            <w:r>
              <w:rPr>
                <w:noProof/>
              </w:rPr>
              <w:t>Valittujen rahoituksen välittäjien on tehtävä lopullisten edunsaajien kanssa oikeudelliset rahoitussopimukset vähintään 70 matkailuhankkeen tukemiseksi EIP:n aihekohtaisten rahastojen kautta.</w:t>
            </w:r>
          </w:p>
        </w:tc>
      </w:tr>
      <w:tr w:rsidR="00E42B18" w14:paraId="40FA489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06C68C" w14:textId="77777777" w:rsidR="00E42B18" w:rsidRDefault="009629C4">
            <w:pPr>
              <w:pStyle w:val="P68B1DB1-Normal11"/>
              <w:jc w:val="center"/>
              <w:rPr>
                <w:noProof/>
              </w:rPr>
            </w:pPr>
            <w:r>
              <w:rPr>
                <w:noProof/>
              </w:rPr>
              <w:t>M1C3–30</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FBBFA0" w14:textId="4F104568" w:rsidR="00E42B18" w:rsidRDefault="009629C4">
            <w:pPr>
              <w:pStyle w:val="P68B1DB1-Normal11"/>
              <w:jc w:val="center"/>
              <w:rPr>
                <w:noProof/>
                <w:szCs w:val="20"/>
              </w:rPr>
            </w:pPr>
            <w:r>
              <w:rPr>
                <w:noProof/>
              </w:rPr>
              <w:t>Investointi 4.2: Matkailualan kilpailukykyrahastot</w:t>
            </w:r>
          </w:p>
          <w:p w14:paraId="1BF34401" w14:textId="77777777" w:rsidR="00E42B18" w:rsidRDefault="009629C4">
            <w:pPr>
              <w:pStyle w:val="P68B1DB1-Normal11"/>
              <w:jc w:val="center"/>
              <w:rPr>
                <w:noProof/>
                <w:szCs w:val="20"/>
              </w:rPr>
            </w:pPr>
            <w:r>
              <w:rPr>
                <w:noProof/>
              </w:rPr>
              <w:t>yritysten</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849CF9" w14:textId="77777777" w:rsidR="00E42B18" w:rsidRDefault="009629C4">
            <w:pPr>
              <w:pStyle w:val="P68B1DB1-Normal11"/>
              <w:jc w:val="center"/>
              <w:rPr>
                <w:noProof/>
                <w:szCs w:val="20"/>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086E8A8" w14:textId="77777777" w:rsidR="00E42B18" w:rsidRDefault="009629C4">
            <w:pPr>
              <w:pStyle w:val="P68B1DB1-Normal11"/>
              <w:jc w:val="center"/>
              <w:rPr>
                <w:noProof/>
                <w:szCs w:val="20"/>
              </w:rPr>
            </w:pPr>
            <w:r>
              <w:rPr>
                <w:noProof/>
              </w:rPr>
              <w:t>Euroopan investointipankin temaattiset rahastot:</w:t>
            </w:r>
          </w:p>
          <w:p w14:paraId="72983398" w14:textId="4B286C2E" w:rsidR="00E42B18" w:rsidRDefault="009629C4">
            <w:pPr>
              <w:pStyle w:val="P68B1DB1-Normal44"/>
              <w:jc w:val="center"/>
              <w:rPr>
                <w:rFonts w:hAnsi="Arial Narrow"/>
                <w:noProof/>
                <w:szCs w:val="20"/>
              </w:rPr>
            </w:pPr>
            <w:r>
              <w:rPr>
                <w:noProof/>
              </w:rPr>
              <w:t>Yhteens</w:t>
            </w:r>
            <w:r>
              <w:rPr>
                <w:noProof/>
              </w:rPr>
              <w:t>ä</w:t>
            </w:r>
            <w:r>
              <w:rPr>
                <w:noProof/>
              </w:rPr>
              <w:t xml:space="preserve"> 350000000 euron maksu rahastoon</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0041C2" w14:textId="77777777" w:rsidR="00E42B18" w:rsidRDefault="009629C4">
            <w:pPr>
              <w:pStyle w:val="P68B1DB1-Normal11"/>
              <w:jc w:val="center"/>
              <w:rPr>
                <w:noProof/>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E78CEA" w14:textId="77777777" w:rsidR="00E42B18" w:rsidRDefault="009629C4">
            <w:pPr>
              <w:pStyle w:val="P68B1DB1-Normal11"/>
              <w:jc w:val="center"/>
              <w:rPr>
                <w:noProof/>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15B3E4" w14:textId="77777777" w:rsidR="00E42B18" w:rsidRDefault="009629C4">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9A3053A" w14:textId="77777777" w:rsidR="00E42B18" w:rsidRDefault="009629C4">
            <w:pPr>
              <w:pStyle w:val="P68B1DB1-Normal11"/>
              <w:jc w:val="center"/>
              <w:rPr>
                <w:noProof/>
              </w:rPr>
            </w:pPr>
            <w:r>
              <w:rPr>
                <w:noProof/>
              </w:rPr>
              <w:t>350 000 000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E0C3BEB"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63628A" w14:textId="77777777" w:rsidR="00E42B18" w:rsidRDefault="009629C4">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C81C81" w14:textId="77777777" w:rsidR="00E42B18" w:rsidRDefault="009629C4">
            <w:pPr>
              <w:pStyle w:val="P68B1DB1-Normal11"/>
              <w:spacing w:line="257" w:lineRule="auto"/>
              <w:rPr>
                <w:noProof/>
                <w:szCs w:val="20"/>
              </w:rPr>
            </w:pPr>
            <w:r>
              <w:rPr>
                <w:noProof/>
              </w:rPr>
              <w:t>Maksu suoritetaan välitavoitteessa määritellyn investointipolitiikan mukaisesti.</w:t>
            </w:r>
          </w:p>
        </w:tc>
      </w:tr>
      <w:tr w:rsidR="00E42B18" w14:paraId="43F1D047"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CBEDC5C" w14:textId="77777777" w:rsidR="00E42B18" w:rsidRDefault="009629C4">
            <w:pPr>
              <w:pStyle w:val="P68B1DB1-Normal11"/>
              <w:jc w:val="center"/>
              <w:rPr>
                <w:noProof/>
              </w:rPr>
            </w:pPr>
            <w:r>
              <w:rPr>
                <w:noProof/>
              </w:rPr>
              <w:t>M1C3–31</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188EAA" w14:textId="3E439201" w:rsidR="00E42B18" w:rsidRDefault="009629C4">
            <w:pPr>
              <w:pStyle w:val="P68B1DB1-Normal11"/>
              <w:jc w:val="center"/>
              <w:rPr>
                <w:noProof/>
                <w:szCs w:val="20"/>
              </w:rPr>
            </w:pPr>
            <w:r>
              <w:rPr>
                <w:noProof/>
              </w:rPr>
              <w:t>Investointi 4.2: Matkailualan yritysten kilpailukykyyn tarkoitetut rahastot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25D00C" w14:textId="77777777" w:rsidR="00E42B18" w:rsidRDefault="009629C4">
            <w:pPr>
              <w:pStyle w:val="P68B1DB1-Normal11"/>
              <w:jc w:val="center"/>
              <w:rPr>
                <w:noProof/>
                <w:szCs w:val="20"/>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AB305B" w14:textId="77777777" w:rsidR="00E42B18" w:rsidRDefault="00E42B18">
            <w:pPr>
              <w:jc w:val="center"/>
              <w:rPr>
                <w:rFonts w:ascii="Arial Narrow" w:hAnsi="Arial Narrow"/>
                <w:noProof/>
                <w:color w:val="006100"/>
                <w:sz w:val="20"/>
                <w:szCs w:val="20"/>
              </w:rPr>
            </w:pPr>
          </w:p>
          <w:p w14:paraId="496ADE49" w14:textId="77777777" w:rsidR="00E42B18" w:rsidRDefault="009629C4">
            <w:pPr>
              <w:pStyle w:val="P68B1DB1-Normal11"/>
              <w:jc w:val="center"/>
              <w:rPr>
                <w:noProof/>
                <w:szCs w:val="20"/>
              </w:rPr>
            </w:pPr>
            <w:r>
              <w:rPr>
                <w:noProof/>
              </w:rPr>
              <w:t>Kansallinen matkailurahasto:</w:t>
            </w:r>
          </w:p>
          <w:p w14:paraId="23DE7E72" w14:textId="5C0BA327" w:rsidR="00E42B18" w:rsidRDefault="009629C4">
            <w:pPr>
              <w:pStyle w:val="P68B1DB1-Normal21"/>
              <w:jc w:val="center"/>
              <w:rPr>
                <w:rFonts w:ascii="Arial Narrow" w:hAnsi="Arial Narrow"/>
                <w:noProof/>
                <w:szCs w:val="20"/>
              </w:rPr>
            </w:pPr>
            <w:r>
              <w:rPr>
                <w:rFonts w:ascii="Arial Narrow" w:hAnsi="Arial Narrow"/>
                <w:noProof/>
              </w:rPr>
              <w:t>Yhteensä 150000000 euron maksaminen rahastoon pääomatukea varten</w:t>
            </w:r>
            <w:r>
              <w:rPr>
                <w:rFonts w:ascii="Arial Narrow"/>
                <w:noProof/>
              </w:rPr>
              <w:t xml:space="preserve">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9A5B2C8" w14:textId="77777777" w:rsidR="00E42B18" w:rsidRDefault="009629C4">
            <w:pPr>
              <w:pStyle w:val="P68B1DB1-Normal11"/>
              <w:jc w:val="center"/>
              <w:rPr>
                <w:noProof/>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C8748D" w14:textId="77777777" w:rsidR="00E42B18" w:rsidRDefault="009629C4">
            <w:pPr>
              <w:pStyle w:val="P68B1DB1-Normal11"/>
              <w:jc w:val="center"/>
              <w:rPr>
                <w:noProof/>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92C3385" w14:textId="77777777" w:rsidR="00E42B18" w:rsidRDefault="009629C4">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C1372E" w14:textId="77777777" w:rsidR="00E42B18" w:rsidRDefault="009629C4">
            <w:pPr>
              <w:pStyle w:val="P68B1DB1-Normal11"/>
              <w:jc w:val="center"/>
              <w:rPr>
                <w:noProof/>
              </w:rPr>
            </w:pPr>
            <w:r>
              <w:rPr>
                <w:noProof/>
              </w:rPr>
              <w:t>150 000 000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26EAC96"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ADFDE44" w14:textId="77777777" w:rsidR="00E42B18" w:rsidRDefault="009629C4">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5EC67E" w14:textId="77777777" w:rsidR="00E42B18" w:rsidRDefault="009629C4">
            <w:pPr>
              <w:pStyle w:val="P68B1DB1-Normal11"/>
              <w:spacing w:line="257" w:lineRule="auto"/>
              <w:rPr>
                <w:noProof/>
                <w:szCs w:val="20"/>
              </w:rPr>
            </w:pPr>
            <w:r>
              <w:rPr>
                <w:noProof/>
              </w:rPr>
              <w:t>Maksu suoritetaan välitavoitteessa määritellyn investointipolitiikan mukaisesti.</w:t>
            </w:r>
          </w:p>
        </w:tc>
      </w:tr>
      <w:tr w:rsidR="00E42B18" w14:paraId="20CD9656"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ECFFB0D" w14:textId="77777777" w:rsidR="00E42B18" w:rsidRDefault="009629C4">
            <w:pPr>
              <w:pStyle w:val="P68B1DB1-Normal11"/>
              <w:jc w:val="center"/>
              <w:rPr>
                <w:noProof/>
              </w:rPr>
            </w:pPr>
            <w:r>
              <w:rPr>
                <w:noProof/>
              </w:rPr>
              <w:t>M1C3–32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BDEF198" w14:textId="4145076E" w:rsidR="00E42B18" w:rsidRDefault="009629C4">
            <w:pPr>
              <w:pStyle w:val="P68B1DB1-Normal11"/>
              <w:jc w:val="center"/>
              <w:rPr>
                <w:noProof/>
                <w:szCs w:val="20"/>
              </w:rPr>
            </w:pPr>
            <w:r>
              <w:rPr>
                <w:noProof/>
              </w:rPr>
              <w:t>Investointi 4.2: Matkailualan yritysten kilpailukykyyn tarkoitetut rahastot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E74630" w14:textId="77777777" w:rsidR="00E42B18" w:rsidRDefault="009629C4">
            <w:pPr>
              <w:pStyle w:val="P68B1DB1-Normal11"/>
              <w:jc w:val="center"/>
              <w:rPr>
                <w:noProof/>
                <w:szCs w:val="20"/>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1DDA50" w14:textId="77777777" w:rsidR="00E42B18" w:rsidRDefault="009629C4">
            <w:pPr>
              <w:pStyle w:val="P68B1DB1-Normal11"/>
              <w:jc w:val="center"/>
              <w:rPr>
                <w:noProof/>
                <w:szCs w:val="20"/>
              </w:rPr>
            </w:pPr>
            <w:r>
              <w:rPr>
                <w:noProof/>
              </w:rPr>
              <w:t>Pk-yritysten takuurahastosta tuettavien yritysten lukumäärä</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4D2513" w14:textId="77777777" w:rsidR="00E42B18" w:rsidRDefault="009629C4">
            <w:pPr>
              <w:pStyle w:val="P68B1DB1-Normal11"/>
              <w:jc w:val="center"/>
              <w:rPr>
                <w:noProof/>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9426F7" w14:textId="77777777" w:rsidR="00E42B18" w:rsidRDefault="009629C4">
            <w:pPr>
              <w:pStyle w:val="P68B1DB1-Normal11"/>
              <w:jc w:val="center"/>
              <w:rPr>
                <w:noProof/>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7A79C22" w14:textId="77777777" w:rsidR="00E42B18" w:rsidRDefault="009629C4">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41DAC59" w14:textId="77777777" w:rsidR="00E42B18" w:rsidRDefault="009629C4">
            <w:pPr>
              <w:pStyle w:val="P68B1DB1-Normal11"/>
              <w:jc w:val="center"/>
              <w:rPr>
                <w:noProof/>
              </w:rPr>
            </w:pPr>
            <w:r>
              <w:rPr>
                <w:noProof/>
              </w:rPr>
              <w:t>1 000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69D708"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6B1BC2" w14:textId="77777777" w:rsidR="00E42B18" w:rsidRDefault="009629C4">
            <w:pPr>
              <w:pStyle w:val="P68B1DB1-Normal11"/>
              <w:jc w:val="center"/>
              <w:rPr>
                <w:noProof/>
                <w:szCs w:val="20"/>
              </w:rPr>
            </w:pPr>
            <w:r>
              <w:rPr>
                <w:noProof/>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C14B0C0" w14:textId="4CE6D14F" w:rsidR="00E42B18" w:rsidRDefault="009629C4">
            <w:pPr>
              <w:pStyle w:val="P68B1DB1-Normal11"/>
              <w:spacing w:line="257" w:lineRule="auto"/>
              <w:rPr>
                <w:noProof/>
                <w:szCs w:val="20"/>
              </w:rPr>
            </w:pPr>
            <w:r>
              <w:rPr>
                <w:noProof/>
              </w:rPr>
              <w:t>Päätöskirje, jolla takaus myönnetään, on myönnettävä vähintään 1000 yritykselle.</w:t>
            </w:r>
          </w:p>
        </w:tc>
      </w:tr>
      <w:tr w:rsidR="00E42B18" w14:paraId="5A4524FC"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0D19E4" w14:textId="77777777" w:rsidR="00E42B18" w:rsidRDefault="009629C4">
            <w:pPr>
              <w:pStyle w:val="P68B1DB1-Normal11"/>
              <w:jc w:val="center"/>
              <w:rPr>
                <w:noProof/>
              </w:rPr>
            </w:pPr>
            <w:r>
              <w:rPr>
                <w:noProof/>
              </w:rPr>
              <w:t>M1C3–33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A6FF98" w14:textId="3E30A5BF" w:rsidR="00E42B18" w:rsidRDefault="009629C4">
            <w:pPr>
              <w:pStyle w:val="P68B1DB1-Normal11"/>
              <w:jc w:val="center"/>
              <w:rPr>
                <w:noProof/>
                <w:szCs w:val="20"/>
              </w:rPr>
            </w:pPr>
            <w:r>
              <w:rPr>
                <w:noProof/>
              </w:rPr>
              <w:t>Investointi 4.2 Rahastot matkailuyritysten kilpailukykyä varten</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A833CD" w14:textId="77777777" w:rsidR="00E42B18" w:rsidRDefault="009629C4">
            <w:pPr>
              <w:pStyle w:val="P68B1DB1-Normal11"/>
              <w:jc w:val="center"/>
              <w:rPr>
                <w:noProof/>
                <w:szCs w:val="20"/>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D8012F" w14:textId="6B53771C" w:rsidR="00E42B18" w:rsidRDefault="009629C4">
            <w:pPr>
              <w:jc w:val="center"/>
              <w:rPr>
                <w:rFonts w:ascii="Arial Narrow" w:hAnsi="Arial Narrow"/>
                <w:noProof/>
                <w:color w:val="006100"/>
                <w:sz w:val="20"/>
                <w:szCs w:val="20"/>
              </w:rPr>
            </w:pPr>
            <w:r>
              <w:rPr>
                <w:rFonts w:ascii="Arial Narrow" w:hAnsi="Arial Narrow"/>
                <w:noProof/>
                <w:color w:val="006100"/>
                <w:sz w:val="20"/>
                <w:szCs w:val="20"/>
              </w:rPr>
              <w:t xml:space="preserve">Fondo Rotativo: </w:t>
            </w:r>
            <w:r>
              <w:rPr>
                <w:noProof/>
              </w:rPr>
              <w:br/>
            </w:r>
            <w:r>
              <w:rPr>
                <w:rFonts w:ascii="Arial Narrow" w:hAnsi="Arial Narrow"/>
                <w:noProof/>
                <w:color w:val="006100"/>
                <w:sz w:val="20"/>
                <w:szCs w:val="20"/>
              </w:rPr>
              <w:t xml:space="preserve">Lopullisten tuensaajien kanssa allekirjoitetut oikeudelliset sopimukset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B24D61" w14:textId="77777777" w:rsidR="00E42B18" w:rsidRDefault="009629C4">
            <w:pPr>
              <w:pStyle w:val="P68B1DB1-Normal11"/>
              <w:jc w:val="center"/>
              <w:rPr>
                <w:noProof/>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74F4BE5" w14:textId="77777777" w:rsidR="00E42B18" w:rsidRDefault="009629C4">
            <w:pPr>
              <w:pStyle w:val="P68B1DB1-Normal11"/>
              <w:jc w:val="center"/>
              <w:rPr>
                <w:noProof/>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81F58DF" w14:textId="77777777" w:rsidR="00E42B18" w:rsidRDefault="009629C4">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5A14432" w14:textId="77777777" w:rsidR="00E42B18" w:rsidRDefault="009629C4">
            <w:pPr>
              <w:pStyle w:val="P68B1DB1-Normal11"/>
              <w:jc w:val="center"/>
              <w:rPr>
                <w:noProof/>
              </w:rPr>
            </w:pPr>
            <w:r>
              <w:rPr>
                <w:noProof/>
              </w:rPr>
              <w:t>300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C1FC31" w14:textId="77777777" w:rsidR="00E42B18" w:rsidRDefault="009629C4">
            <w:pPr>
              <w:pStyle w:val="P68B1DB1-Normal11"/>
              <w:jc w:val="center"/>
              <w:rPr>
                <w:noProof/>
                <w:szCs w:val="20"/>
              </w:rPr>
            </w:pPr>
            <w:r>
              <w:rPr>
                <w:noProof/>
              </w:rPr>
              <w:t>Q4</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AF4CF52" w14:textId="77777777" w:rsidR="00E42B18" w:rsidRDefault="009629C4">
            <w:pPr>
              <w:pStyle w:val="P68B1DB1-Normal11"/>
              <w:jc w:val="center"/>
              <w:rPr>
                <w:noProof/>
                <w:szCs w:val="20"/>
              </w:rPr>
            </w:pPr>
            <w:r>
              <w:rPr>
                <w:noProof/>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CC26FBB" w14:textId="7C0D6E7F" w:rsidR="00E42B18" w:rsidRDefault="009629C4">
            <w:pPr>
              <w:pStyle w:val="P68B1DB1-Normal11"/>
              <w:spacing w:line="257" w:lineRule="auto"/>
              <w:rPr>
                <w:noProof/>
                <w:szCs w:val="20"/>
              </w:rPr>
            </w:pPr>
            <w:r>
              <w:rPr>
                <w:noProof/>
                <w:szCs w:val="20"/>
              </w:rPr>
              <w:t>Oikeudelliset rahoitussopimukset, jotka on allekirjoitettu</w:t>
            </w:r>
            <w:r>
              <w:rPr>
                <w:noProof/>
              </w:rPr>
              <w:t xml:space="preserve"> Fondo Rotativon kautta vähintään 300 yrityksen tukemiseksi.</w:t>
            </w:r>
          </w:p>
        </w:tc>
      </w:tr>
      <w:tr w:rsidR="00E42B18" w14:paraId="25A0D830"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01BC95" w14:textId="77777777" w:rsidR="00E42B18" w:rsidRDefault="009629C4">
            <w:pPr>
              <w:pStyle w:val="P68B1DB1-Normal11"/>
              <w:jc w:val="center"/>
              <w:rPr>
                <w:noProof/>
              </w:rPr>
            </w:pPr>
            <w:r>
              <w:rPr>
                <w:noProof/>
              </w:rPr>
              <w:t>M1C3–35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AC5ED7" w14:textId="77777777" w:rsidR="00E42B18" w:rsidRDefault="009629C4">
            <w:pPr>
              <w:pStyle w:val="P68B1DB1-Normal11"/>
              <w:jc w:val="center"/>
              <w:rPr>
                <w:noProof/>
                <w:szCs w:val="20"/>
              </w:rPr>
            </w:pPr>
            <w:r>
              <w:rPr>
                <w:noProof/>
              </w:rPr>
              <w:t>Investoinnit – 4,3 Caput Mundi-Next Generation EU -väline matkailualan suurtapahtumia varten</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CBF5F94" w14:textId="77777777" w:rsidR="00E42B18" w:rsidRDefault="009629C4">
            <w:pPr>
              <w:pStyle w:val="P68B1DB1-Normal11"/>
              <w:jc w:val="center"/>
              <w:rPr>
                <w:noProof/>
                <w:szCs w:val="20"/>
              </w:rPr>
            </w:pPr>
            <w:r>
              <w:rPr>
                <w:noProof/>
              </w:rPr>
              <w:t>Virstanpylväs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C2AC2C" w14:textId="2A54EBC2" w:rsidR="00E42B18" w:rsidRDefault="009629C4">
            <w:pPr>
              <w:pStyle w:val="P68B1DB1-Normal11"/>
              <w:jc w:val="center"/>
              <w:rPr>
                <w:noProof/>
                <w:szCs w:val="20"/>
              </w:rPr>
            </w:pPr>
            <w:r>
              <w:rPr>
                <w:noProof/>
              </w:rPr>
              <w:t>Kunkin sopimuksen allekirjoittaminen kuudesta hankkeesta matkailuministeriön ja edunsaajien/täytäntöönpanoelinten välillä</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B53F41E" w14:textId="16E5416E" w:rsidR="00E42B18" w:rsidRDefault="009629C4">
            <w:pPr>
              <w:pStyle w:val="P68B1DB1-Normal11"/>
              <w:jc w:val="center"/>
              <w:rPr>
                <w:noProof/>
              </w:rPr>
            </w:pPr>
            <w:r>
              <w:rPr>
                <w:noProof/>
              </w:rPr>
              <w:t>Matkailuministeriön, Rooman pääkaupungin kunnan ja muiden asiaan liittyvien toimijoiden välisen ohjelmasopimuksen julkaiseminen</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EC8FE75"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D6CD5C" w14:textId="77777777" w:rsidR="00E42B18" w:rsidRDefault="009629C4">
            <w:pPr>
              <w:pStyle w:val="P68B1DB1-Normal11"/>
              <w:jc w:val="center"/>
              <w:rPr>
                <w:noProof/>
              </w:rPr>
            </w:pPr>
            <w:r>
              <w:rPr>
                <w:noProof/>
              </w:rPr>
              <w:t>EI OLE</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9109D4" w14:textId="77777777" w:rsidR="00E42B18" w:rsidRDefault="009629C4">
            <w:pPr>
              <w:pStyle w:val="P68B1DB1-Normal11"/>
              <w:jc w:val="center"/>
              <w:rPr>
                <w:noProof/>
              </w:rPr>
            </w:pPr>
            <w:r>
              <w:rPr>
                <w:noProof/>
              </w:rPr>
              <w:t>EI OLE</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D32E7D3" w14:textId="77777777" w:rsidR="00E42B18" w:rsidRDefault="009629C4">
            <w:pPr>
              <w:pStyle w:val="P68B1DB1-Normal11"/>
              <w:jc w:val="center"/>
              <w:rPr>
                <w:noProof/>
                <w:szCs w:val="20"/>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F47361" w14:textId="77777777" w:rsidR="00E42B18" w:rsidRDefault="009629C4">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FB0F1A" w14:textId="0297E2E8" w:rsidR="00E42B18" w:rsidRDefault="009629C4">
            <w:pPr>
              <w:rPr>
                <w:rFonts w:ascii="Arial Narrow" w:hAnsi="Arial Narrow"/>
                <w:noProof/>
                <w:color w:val="006100"/>
                <w:sz w:val="20"/>
                <w:szCs w:val="20"/>
              </w:rPr>
            </w:pPr>
            <w:r>
              <w:rPr>
                <w:rFonts w:ascii="Arial Narrow" w:hAnsi="Arial Narrow"/>
                <w:noProof/>
                <w:color w:val="006100"/>
                <w:sz w:val="20"/>
              </w:rPr>
              <w:t>Sopimukset allekirjoitetaan seuraavien kuuden hankkeen osalta:</w:t>
            </w:r>
            <w:r>
              <w:rPr>
                <w:rFonts w:ascii="Arial Narrow" w:hAnsi="Arial Narrow"/>
                <w:noProof/>
              </w:rPr>
              <w:t xml:space="preserve"> </w:t>
            </w:r>
            <w:r>
              <w:rPr>
                <w:noProof/>
              </w:rPr>
              <w:t xml:space="preserve"> </w:t>
            </w:r>
            <w:r>
              <w:rPr>
                <w:noProof/>
              </w:rPr>
              <w:br/>
            </w:r>
            <w:r>
              <w:rPr>
                <w:rFonts w:ascii="Arial Narrow" w:hAnsi="Arial Narrow"/>
                <w:noProof/>
                <w:color w:val="006100"/>
                <w:sz w:val="20"/>
              </w:rPr>
              <w:t>1) roomalainen kulttuuriperintö EU:n seuraavalle sukupolvelle; 2) Pagan Roomasta kristilliseen Roomaan – Jubilee-polut; 3) #Lacittàcondivisa; 4) #Mitingodiverde; 5) romanit 4.0; 6) #Amanotesa</w:t>
            </w:r>
          </w:p>
          <w:p w14:paraId="4A7F417F" w14:textId="17E8A17F" w:rsidR="00E42B18" w:rsidRDefault="009629C4">
            <w:pPr>
              <w:pStyle w:val="P68B1DB1-Normal11"/>
              <w:rPr>
                <w:noProof/>
                <w:szCs w:val="20"/>
              </w:rPr>
            </w:pPr>
            <w:r>
              <w:rPr>
                <w:noProof/>
              </w:rPr>
              <w:t>Tuensaajien/täytäntöönpanoelinten luetteloon on sisällyttävä Rooman pääkaupunki; Rooman kulttuuri-, ympäristö- ja maisemaperintö (MIC); Colosseumin arkeologinen puisto; Appia Antican arkeologinen puisto; Rooman diocese; Matkailuministeriö Lazion alue.</w:t>
            </w:r>
          </w:p>
          <w:p w14:paraId="0F0071F1" w14:textId="77777777" w:rsidR="00E42B18" w:rsidRDefault="009629C4">
            <w:pPr>
              <w:pStyle w:val="P68B1DB1-Normal11"/>
              <w:rPr>
                <w:noProof/>
                <w:szCs w:val="20"/>
              </w:rPr>
            </w:pPr>
            <w:r>
              <w:rPr>
                <w:noProof/>
              </w:rPr>
              <w:t>Ennen tarjouskilpailua on määriteltävä valinta- ja myöntämisperusteet sekä hankkeiden erityispiirteet asiaan liittyvien resurssien perusteella.</w:t>
            </w:r>
          </w:p>
          <w:p w14:paraId="1F1FE4FF" w14:textId="528835FE" w:rsidR="00E42B18" w:rsidRDefault="009629C4">
            <w:pPr>
              <w:pStyle w:val="P68B1DB1-Normal11"/>
              <w:spacing w:line="257" w:lineRule="auto"/>
              <w:rPr>
                <w:noProof/>
                <w:szCs w:val="20"/>
              </w:rPr>
            </w:pPr>
            <w:r>
              <w:rPr>
                <w:noProof/>
              </w:rPr>
              <w:t>Sopimusten myöntämisessä kilpailuun perustuvien ehdotuspyyntöjen perusteella valittujen hankkeiden kanssa on noudatettava ”ei merkittävää haittaa” -periaatetta koskevia teknisiä ohjeita (2021/C58/01) käyttämällä poissulkemisluetteloa ja vaatimusta asiaa koskevan EU:n ja kansallisen ympäristölainsäädännön noudattamisesta.</w:t>
            </w:r>
          </w:p>
        </w:tc>
      </w:tr>
      <w:tr w:rsidR="00E42B18" w14:paraId="05070697"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928334" w14:textId="77777777" w:rsidR="00E42B18" w:rsidRDefault="009629C4">
            <w:pPr>
              <w:pStyle w:val="P68B1DB1-Normal11"/>
              <w:jc w:val="center"/>
              <w:rPr>
                <w:noProof/>
              </w:rPr>
            </w:pPr>
            <w:r>
              <w:rPr>
                <w:noProof/>
              </w:rPr>
              <w:t>M1C3–36</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C02C98" w14:textId="4E8C2C3C" w:rsidR="00E42B18" w:rsidRDefault="009629C4">
            <w:pPr>
              <w:pStyle w:val="P68B1DB1-Normal11"/>
              <w:jc w:val="center"/>
              <w:rPr>
                <w:noProof/>
                <w:szCs w:val="20"/>
              </w:rPr>
            </w:pPr>
            <w:r>
              <w:rPr>
                <w:noProof/>
              </w:rPr>
              <w:t>Investoinnit – 4.3 EU:n elpymisväline (Caput Mundi-Next Generation EU) matkailun suurtapahtumia varten</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07BA0BB" w14:textId="77777777" w:rsidR="00E42B18" w:rsidRDefault="009629C4">
            <w:pPr>
              <w:pStyle w:val="P68B1DB1-Normal11"/>
              <w:jc w:val="center"/>
              <w:rPr>
                <w:noProof/>
                <w:szCs w:val="20"/>
              </w:rPr>
            </w:pPr>
            <w:r>
              <w:rPr>
                <w:noProof/>
              </w:rPr>
              <w:t>Kohde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1D1F3CA" w14:textId="77777777" w:rsidR="00E42B18" w:rsidRDefault="009629C4">
            <w:pPr>
              <w:pStyle w:val="P68B1DB1-Normal12"/>
              <w:jc w:val="center"/>
              <w:rPr>
                <w:noProof/>
              </w:rPr>
            </w:pPr>
            <w:r>
              <w:rPr>
                <w:noProof/>
              </w:rPr>
              <w:t>Toimien lukumäärä kulttuuri- ja matkailukohteissa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E82354B" w14:textId="77777777" w:rsidR="00E42B18" w:rsidRDefault="009629C4">
            <w:pPr>
              <w:pStyle w:val="P68B1DB1-Normal11"/>
              <w:jc w:val="center"/>
              <w:rPr>
                <w:noProof/>
              </w:rPr>
            </w:pPr>
            <w:r>
              <w:rPr>
                <w:noProof/>
              </w:rPr>
              <w:t>EI OLE</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435ED5" w14:textId="77777777" w:rsidR="00E42B18" w:rsidRDefault="009629C4">
            <w:pPr>
              <w:pStyle w:val="P68B1DB1-Normal11"/>
              <w:jc w:val="center"/>
              <w:rPr>
                <w:noProof/>
              </w:rPr>
            </w:pPr>
            <w:r>
              <w:rPr>
                <w:noProof/>
              </w:rPr>
              <w:t>Numero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99CA06" w14:textId="77777777" w:rsidR="00E42B18" w:rsidRDefault="009629C4">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E82E4E" w14:textId="77777777" w:rsidR="00E42B18" w:rsidRDefault="009629C4">
            <w:pPr>
              <w:pStyle w:val="P68B1DB1-Normal11"/>
              <w:jc w:val="center"/>
              <w:rPr>
                <w:noProof/>
              </w:rPr>
            </w:pPr>
            <w:r>
              <w:rPr>
                <w:noProof/>
              </w:rPr>
              <w:t>200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455647" w14:textId="77777777" w:rsidR="00E42B18" w:rsidRDefault="009629C4">
            <w:pPr>
              <w:pStyle w:val="P68B1DB1-Normal11"/>
              <w:jc w:val="center"/>
              <w:rPr>
                <w:noProof/>
                <w:szCs w:val="20"/>
              </w:rPr>
            </w:pPr>
            <w:r>
              <w:rPr>
                <w:noProof/>
              </w:rPr>
              <w:t>Q2</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0BCA05" w14:textId="77777777" w:rsidR="00E42B18" w:rsidRDefault="009629C4">
            <w:pPr>
              <w:pStyle w:val="P68B1DB1-Normal11"/>
              <w:jc w:val="center"/>
              <w:rPr>
                <w:noProof/>
                <w:szCs w:val="20"/>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41C3F2" w14:textId="7289E744" w:rsidR="00E42B18" w:rsidRDefault="009629C4">
            <w:pPr>
              <w:pStyle w:val="P68B1DB1-Normal12"/>
              <w:rPr>
                <w:noProof/>
              </w:rPr>
            </w:pPr>
            <w:r>
              <w:rPr>
                <w:noProof/>
              </w:rPr>
              <w:t>Todistukset töiden tai palvelujen suorittamisesta on annettava vähintään 200:lle Caput Mundi -ohjelmassa luetellulle interventiolle.</w:t>
            </w:r>
          </w:p>
        </w:tc>
      </w:tr>
    </w:tbl>
    <w:p w14:paraId="79948301" w14:textId="77777777" w:rsidR="00E42B18" w:rsidRDefault="00E42B18">
      <w:pPr>
        <w:tabs>
          <w:tab w:val="left" w:pos="4908"/>
        </w:tabs>
        <w:rPr>
          <w:noProof/>
        </w:rPr>
      </w:pPr>
    </w:p>
    <w:p w14:paraId="5CA6D409" w14:textId="77777777" w:rsidR="00E42B18" w:rsidRDefault="009629C4">
      <w:pPr>
        <w:tabs>
          <w:tab w:val="left" w:pos="2220"/>
        </w:tabs>
        <w:rPr>
          <w:noProof/>
        </w:rPr>
        <w:sectPr w:rsidR="00E42B18" w:rsidSect="005A558B">
          <w:headerReference w:type="even" r:id="rId70"/>
          <w:headerReference w:type="default" r:id="rId71"/>
          <w:footerReference w:type="even" r:id="rId72"/>
          <w:footerReference w:type="default" r:id="rId73"/>
          <w:headerReference w:type="first" r:id="rId74"/>
          <w:footerReference w:type="first" r:id="rId75"/>
          <w:pgSz w:w="16838" w:h="11906" w:orient="landscape"/>
          <w:pgMar w:top="1440" w:right="1440" w:bottom="1440" w:left="1440" w:header="709" w:footer="709" w:gutter="0"/>
          <w:cols w:space="708"/>
          <w:docGrid w:linePitch="360"/>
        </w:sectPr>
      </w:pPr>
      <w:r>
        <w:rPr>
          <w:noProof/>
        </w:rPr>
        <w:tab/>
      </w:r>
    </w:p>
    <w:p w14:paraId="0B5F1EA7" w14:textId="77777777" w:rsidR="00E42B18" w:rsidRDefault="009629C4">
      <w:pPr>
        <w:pStyle w:val="P68B1DB1-Heading23"/>
        <w:rPr>
          <w:bCs/>
          <w:noProof/>
        </w:rPr>
      </w:pPr>
      <w:r>
        <w:rPr>
          <w:noProof/>
        </w:rPr>
        <w:t>D. MISSION 2 KOMPONENTTI 1: Kiertotalous, maatalouselintarvikeala ja vihreä siirtymä </w:t>
      </w:r>
    </w:p>
    <w:p w14:paraId="5B27AD68" w14:textId="2F7A0401" w:rsidR="00E42B18" w:rsidRDefault="009629C4">
      <w:pPr>
        <w:pStyle w:val="P68B1DB1-Normal45"/>
        <w:spacing w:after="0" w:line="240" w:lineRule="auto"/>
        <w:jc w:val="both"/>
        <w:textAlignment w:val="baseline"/>
        <w:rPr>
          <w:rFonts w:ascii="Segoe UI" w:hAnsi="Segoe UI" w:cs="Segoe UI"/>
          <w:noProof/>
        </w:rPr>
      </w:pPr>
      <w:r>
        <w:rPr>
          <w:noProof/>
        </w:rPr>
        <w:t>Tämä Italian elpymis- ja palautumissuunnitelman komponentti kattaa investoinnit ja uudistukset jätehuoltoon, kiertotalouteen, maatalouselintarvikkeiden arvoketjujen tukemiseen ja vihreään siirtymään. Näitä uudistuksia ja investointeja täydennetään uudistuksilla, joilla lisätään kilpailua jätehuollossa ja paikallisissa julkisissa palveluissa liiketoimintaympäristön uudistuksen osa-alueella ja parannetaan maatalouden vedenkulutusta. Tällä osa-alueella vastataan maakohtaisiin suosituksiin, jotka koskevat investointien keskittämistä vihreään siirtymään, myös kiertotalouteen.  </w:t>
      </w:r>
    </w:p>
    <w:p w14:paraId="1C34463A" w14:textId="77777777" w:rsidR="00E42B18" w:rsidRDefault="009629C4">
      <w:pPr>
        <w:pStyle w:val="P68B1DB1-Normal45"/>
        <w:spacing w:after="0" w:line="240" w:lineRule="auto"/>
        <w:jc w:val="both"/>
        <w:textAlignment w:val="baseline"/>
        <w:rPr>
          <w:rFonts w:ascii="Segoe UI" w:hAnsi="Segoe UI" w:cs="Segoe UI"/>
          <w:noProof/>
        </w:rPr>
      </w:pPr>
      <w:r>
        <w:rPr>
          <w:noProof/>
        </w:rPr>
        <w:t>Tämän osa-alueen investoinneilla ja uudistuksilla edistetään Italialle vuosina 2020 ja 2019 annettujen maakohtaisten suositusten noudattamista. Suositukset koskevat tarvetta keskittää investoinnit vihreään siirtymään ja digitaaliseen muutokseen, erityisesti jäte- ja vesihuoltoon (maakohtainen suositus 3, 2020) ja ”keskittää investointeihin liittyvä talouspolitiikka [...] ja infrastruktuurin laatuun ottaen huomioon myös alueelliset erot” (maakohtainen suositus 3, 2019). </w:t>
      </w:r>
    </w:p>
    <w:p w14:paraId="7FDA1781" w14:textId="77777777" w:rsidR="00E42B18" w:rsidRDefault="009629C4">
      <w:pPr>
        <w:pStyle w:val="P68B1DB1-Normal45"/>
        <w:spacing w:after="0" w:line="240" w:lineRule="auto"/>
        <w:jc w:val="both"/>
        <w:textAlignment w:val="baseline"/>
        <w:rPr>
          <w:noProof/>
        </w:rPr>
      </w:pPr>
      <w:r>
        <w:rPr>
          <w:noProof/>
        </w:rPr>
        <w:t>Minkään tämän komponentin toimenpiteen ei odoteta aiheuttavan asetuksen (EU) 2020/852 17 artiklassa tarkoitettua merkittävää haittaa ympäristötavoitteille, kun otetaan huomioon ”ei merkittävää haittaa” -periaatteen soveltamista koskevien teknisten ohjeiden (2021/C58/01) mukaiset elpymis- ja palautumissuunnitelmassa esitettyjen toimenpiteiden kuvaus ja lieventävät toimet. </w:t>
      </w:r>
    </w:p>
    <w:p w14:paraId="1C76D193" w14:textId="33A8CAE9" w:rsidR="00E42B18" w:rsidRDefault="009629C4">
      <w:pPr>
        <w:pStyle w:val="P68B1DB1-Normal46"/>
        <w:spacing w:after="0" w:line="240" w:lineRule="auto"/>
        <w:jc w:val="both"/>
        <w:textAlignment w:val="baseline"/>
        <w:rPr>
          <w:rFonts w:ascii="Segoe UI" w:hAnsi="Segoe UI" w:cs="Segoe UI"/>
          <w:noProof/>
          <w:sz w:val="18"/>
          <w:szCs w:val="18"/>
        </w:rPr>
      </w:pPr>
      <w:r>
        <w:rPr>
          <w:noProof/>
        </w:rPr>
        <w:t xml:space="preserve"> </w:t>
      </w:r>
    </w:p>
    <w:p w14:paraId="1552B837" w14:textId="72D8D022" w:rsidR="00E42B18" w:rsidRDefault="009629C4">
      <w:pPr>
        <w:pStyle w:val="P68B1DB1-Heading347"/>
        <w:ind w:left="850" w:hanging="850"/>
        <w:rPr>
          <w:bCs/>
          <w:noProof/>
        </w:rPr>
      </w:pPr>
      <w:r>
        <w:rPr>
          <w:noProof/>
        </w:rPr>
        <w:t xml:space="preserve">D.1 </w:t>
      </w:r>
      <w:r>
        <w:rPr>
          <w:noProof/>
        </w:rPr>
        <w:tab/>
        <w:t xml:space="preserve">Kuvaus uudistuksista ja investoinneista, joita rahoitetaan rahoitustuella, jota ei makseta takaisin </w:t>
      </w:r>
    </w:p>
    <w:p w14:paraId="4DC36F08" w14:textId="77777777" w:rsidR="00E42B18" w:rsidRDefault="00E42B18">
      <w:pPr>
        <w:spacing w:after="0" w:line="240" w:lineRule="auto"/>
        <w:jc w:val="both"/>
        <w:textAlignment w:val="baseline"/>
        <w:rPr>
          <w:rFonts w:ascii="Times New Roman" w:eastAsia="Times New Roman" w:hAnsi="Times New Roman" w:cs="Times New Roman"/>
          <w:i/>
          <w:iCs/>
          <w:noProof/>
          <w:kern w:val="0"/>
          <w:sz w:val="24"/>
          <w:szCs w:val="24"/>
          <w14:ligatures w14:val="none"/>
        </w:rPr>
      </w:pPr>
    </w:p>
    <w:p w14:paraId="2171D838" w14:textId="0CB730DB" w:rsidR="00E42B18" w:rsidRDefault="009629C4">
      <w:pPr>
        <w:pStyle w:val="P68B1DB1-Normal48"/>
        <w:spacing w:after="0" w:line="240" w:lineRule="auto"/>
        <w:jc w:val="both"/>
        <w:textAlignment w:val="baseline"/>
        <w:rPr>
          <w:rFonts w:ascii="Segoe UI" w:hAnsi="Segoe UI" w:cs="Segoe UI"/>
          <w:iCs/>
          <w:noProof/>
          <w:sz w:val="18"/>
          <w:szCs w:val="18"/>
        </w:rPr>
      </w:pPr>
      <w:r>
        <w:rPr>
          <w:noProof/>
        </w:rPr>
        <w:t xml:space="preserve">Kierrätys-talous </w:t>
      </w:r>
    </w:p>
    <w:p w14:paraId="2B8E09C9" w14:textId="77777777" w:rsidR="00E42B18" w:rsidRDefault="00E42B18">
      <w:pPr>
        <w:spacing w:after="0" w:line="240" w:lineRule="auto"/>
        <w:jc w:val="both"/>
        <w:textAlignment w:val="baseline"/>
        <w:rPr>
          <w:rFonts w:ascii="Times New Roman" w:eastAsia="Times New Roman" w:hAnsi="Times New Roman" w:cs="Times New Roman"/>
          <w:b/>
          <w:bCs/>
          <w:noProof/>
          <w:kern w:val="0"/>
          <w:sz w:val="24"/>
          <w:szCs w:val="24"/>
          <w14:ligatures w14:val="none"/>
        </w:rPr>
      </w:pPr>
    </w:p>
    <w:p w14:paraId="2780A5B3" w14:textId="5D875328" w:rsidR="00E42B18" w:rsidRDefault="009629C4">
      <w:pPr>
        <w:pStyle w:val="P68B1DB1-Normal46"/>
        <w:spacing w:after="0" w:line="240" w:lineRule="auto"/>
        <w:jc w:val="both"/>
        <w:textAlignment w:val="baseline"/>
        <w:rPr>
          <w:rFonts w:ascii="Segoe UI" w:hAnsi="Segoe UI" w:cs="Segoe UI"/>
          <w:noProof/>
          <w:sz w:val="18"/>
          <w:szCs w:val="18"/>
        </w:rPr>
      </w:pPr>
      <w:r>
        <w:rPr>
          <w:b/>
          <w:noProof/>
        </w:rPr>
        <w:t>Uudistus 1.1 – Kiertotalousstrategia</w:t>
      </w:r>
      <w:r>
        <w:rPr>
          <w:noProof/>
        </w:rPr>
        <w:t> </w:t>
      </w:r>
    </w:p>
    <w:p w14:paraId="0D619733" w14:textId="77777777" w:rsidR="00E42B18" w:rsidRDefault="009629C4">
      <w:pPr>
        <w:pStyle w:val="P68B1DB1-Normal45"/>
        <w:spacing w:after="0" w:line="240" w:lineRule="auto"/>
        <w:jc w:val="both"/>
        <w:textAlignment w:val="baseline"/>
        <w:rPr>
          <w:rFonts w:ascii="Segoe UI" w:hAnsi="Segoe UI" w:cs="Segoe UI"/>
          <w:noProof/>
        </w:rPr>
      </w:pPr>
      <w:r>
        <w:rPr>
          <w:noProof/>
        </w:rPr>
        <w:t>Uudistuksessa hyväksytään laaja kansallinen kiertotalousstrategia, joka kattaa uuden digitaalisen jätteen jäljitettävyysjärjestelmän, kierrätystoimintaa ja uusioraaka-aineiden käyttöä tukevat verokannustimet, ympäristöverotuksen tarkistaminen, uudelleenkäyttö- ja korjausoikeus, laajennetun tuottajavastuun (laajennettu tuottajavastuu) ja konsortiojärjestelmän uudistaminen, nykyisten sääntelyvälineiden (kuten jätelainsäädännön lopettaminen ja ympäristöä säästävien julkisten hankintojen mukaiset ympäristöä koskevat vähimmäiskriteerit) tukeminen sekä teollista symbioosia koskevan hankkeen tukeminen. Laajennetun tuottajavastuun ja konsortioiden järjestelmän uudistuksessa on myös otettava huomioon tarve tehostaa ympäristöpanoksen käyttöä, jotta voidaan varmistaa avointen ja syrjimättömien kriteerien soveltaminen. Perustetaan erityinen valvontaelin, jonka tehtävänä on seurata konsortiojärjestelmien toimintaa ja tehokkuutta ekologisen siirtymän ministeriön (MITE) johdolla. Toimenpiteen on koskettava kaikkia konsortioita (ei ainoastaan CONAI-pakkausjärjestelmää). </w:t>
      </w:r>
    </w:p>
    <w:p w14:paraId="5172A763" w14:textId="77777777" w:rsidR="00E42B18" w:rsidRDefault="00E42B18">
      <w:pPr>
        <w:tabs>
          <w:tab w:val="left" w:pos="2220"/>
        </w:tabs>
        <w:rPr>
          <w:noProof/>
        </w:rPr>
      </w:pPr>
    </w:p>
    <w:p w14:paraId="2A835416" w14:textId="77777777" w:rsidR="00E42B18" w:rsidRDefault="009629C4">
      <w:pPr>
        <w:pStyle w:val="P68B1DB1-Normal46"/>
        <w:spacing w:after="0" w:line="240" w:lineRule="auto"/>
        <w:jc w:val="both"/>
        <w:textAlignment w:val="baseline"/>
        <w:rPr>
          <w:rFonts w:ascii="Segoe UI" w:hAnsi="Segoe UI" w:cs="Segoe UI"/>
          <w:noProof/>
          <w:sz w:val="18"/>
          <w:szCs w:val="18"/>
        </w:rPr>
      </w:pPr>
      <w:r>
        <w:rPr>
          <w:b/>
          <w:noProof/>
        </w:rPr>
        <w:t>Uudistus 1.3 – Tekninen tuki paikallisviranomaisille</w:t>
      </w:r>
      <w:r>
        <w:rPr>
          <w:noProof/>
        </w:rPr>
        <w:t> </w:t>
      </w:r>
    </w:p>
    <w:p w14:paraId="0B3D89C4" w14:textId="77777777" w:rsidR="00E42B18" w:rsidRDefault="009629C4">
      <w:pPr>
        <w:pStyle w:val="P68B1DB1-Normal45"/>
        <w:spacing w:after="0" w:line="240" w:lineRule="auto"/>
        <w:jc w:val="both"/>
        <w:textAlignment w:val="baseline"/>
        <w:rPr>
          <w:noProof/>
        </w:rPr>
      </w:pPr>
      <w:r>
        <w:rPr>
          <w:noProof/>
        </w:rPr>
        <w:t>Uudistus koostuu hallituksen antamasta teknisestä tuesta paikallisviranomaisille EU:n ja kansallisen ympäristölainsäädännön täytäntöönpanemiseksi sekä jätehuoltoa ja tarjouskilpailumenettelyjä koskevien suunnitelmien ja hankkeiden laatimisesta. Tarjouskilpailumenettelyille myönnettävällä tuella on varmistettava, että jätehuoltoa koskevat toimiluvat myönnetään avoimella ja syrjimättömällä tavalla, mikä lisää kilpailuprosesseja julkisten palvelujen parempien standardien saavuttamiseksi. Uudistus tukee näin ollen liiketoimintaympäristön uudistusta koskevassa osiossa ehdotettujen jätehuoltouudistusten toteuttamista. Tekninen tuki kattaa myös ympäristöä säästävät julkiset hankinnat. </w:t>
      </w:r>
    </w:p>
    <w:p w14:paraId="141314B5" w14:textId="77777777" w:rsidR="00E42B18" w:rsidRDefault="00E42B18">
      <w:pPr>
        <w:spacing w:after="0" w:line="240" w:lineRule="auto"/>
        <w:jc w:val="both"/>
        <w:textAlignment w:val="baseline"/>
        <w:rPr>
          <w:rFonts w:ascii="Segoe UI" w:eastAsia="Times New Roman" w:hAnsi="Segoe UI" w:cs="Segoe UI"/>
          <w:noProof/>
          <w:kern w:val="0"/>
          <w:sz w:val="18"/>
          <w:szCs w:val="18"/>
          <w14:ligatures w14:val="none"/>
        </w:rPr>
      </w:pPr>
    </w:p>
    <w:p w14:paraId="1B29C985" w14:textId="77777777" w:rsidR="00E42B18" w:rsidRDefault="009629C4">
      <w:pPr>
        <w:pStyle w:val="P68B1DB1-Normal46"/>
        <w:rPr>
          <w:b/>
          <w:bCs/>
          <w:noProof/>
        </w:rPr>
      </w:pPr>
      <w:r>
        <w:rPr>
          <w:noProof/>
        </w:rPr>
        <w:br w:type="page"/>
      </w:r>
    </w:p>
    <w:p w14:paraId="52DAD967" w14:textId="63D5C66A" w:rsidR="00E42B18" w:rsidRDefault="009629C4">
      <w:pPr>
        <w:pStyle w:val="P68B1DB1-Normal46"/>
        <w:spacing w:after="0" w:line="240" w:lineRule="auto"/>
        <w:jc w:val="both"/>
        <w:textAlignment w:val="baseline"/>
        <w:rPr>
          <w:rFonts w:ascii="Segoe UI" w:hAnsi="Segoe UI" w:cs="Segoe UI"/>
          <w:noProof/>
          <w:sz w:val="18"/>
          <w:szCs w:val="18"/>
        </w:rPr>
      </w:pPr>
      <w:r>
        <w:rPr>
          <w:b/>
          <w:noProof/>
        </w:rPr>
        <w:t>Investointi 2.1 – Maatalous-, kalastus- ja vesiviljelyalan, metsätalouden, kukkaviljelyn ja taimitarhan logistiikkasuunnitelma</w:t>
      </w:r>
      <w:r>
        <w:rPr>
          <w:noProof/>
        </w:rPr>
        <w:t> </w:t>
      </w:r>
    </w:p>
    <w:p w14:paraId="30D31CE9" w14:textId="46F35EED" w:rsidR="00E42B18" w:rsidRDefault="009629C4">
      <w:pPr>
        <w:pStyle w:val="P68B1DB1-Normal45"/>
        <w:spacing w:after="0" w:line="240" w:lineRule="auto"/>
        <w:jc w:val="both"/>
        <w:textAlignment w:val="baseline"/>
        <w:rPr>
          <w:noProof/>
        </w:rPr>
      </w:pPr>
      <w:r>
        <w:rPr>
          <w:noProof/>
        </w:rPr>
        <w:t xml:space="preserve">Tämän investoinnin tavoitteena on edistää päästöjen vähentämistä kuljetus- ja logistiikkavaiheissa maatalouselintarvikealalla edistämällä alan digitalisaatiota ja uusiutuvan energian käyttöä. Toimenpide koostuu tuen myöntämisestä aineellisille ja aineettomille investoinneille. </w:t>
      </w:r>
    </w:p>
    <w:p w14:paraId="65F89003" w14:textId="77777777" w:rsidR="00E42B18" w:rsidRDefault="00E42B18">
      <w:pPr>
        <w:spacing w:after="0" w:line="240" w:lineRule="auto"/>
        <w:jc w:val="both"/>
        <w:textAlignment w:val="baseline"/>
        <w:rPr>
          <w:rFonts w:ascii="Segoe UI" w:eastAsia="Times New Roman" w:hAnsi="Segoe UI" w:cs="Segoe UI"/>
          <w:noProof/>
          <w:kern w:val="0"/>
          <w:sz w:val="18"/>
          <w:szCs w:val="18"/>
          <w14:ligatures w14:val="none"/>
        </w:rPr>
      </w:pPr>
    </w:p>
    <w:p w14:paraId="2E08DDFA" w14:textId="77777777" w:rsidR="00E42B18" w:rsidRDefault="009629C4">
      <w:pPr>
        <w:pStyle w:val="P68B1DB1-Normal46"/>
        <w:spacing w:after="0" w:line="240" w:lineRule="auto"/>
        <w:jc w:val="both"/>
        <w:textAlignment w:val="baseline"/>
        <w:rPr>
          <w:rFonts w:ascii="Segoe UI" w:hAnsi="Segoe UI" w:cs="Segoe UI"/>
          <w:noProof/>
          <w:sz w:val="18"/>
          <w:szCs w:val="18"/>
        </w:rPr>
      </w:pPr>
      <w:r>
        <w:rPr>
          <w:b/>
          <w:noProof/>
        </w:rPr>
        <w:t>Investointi 2.2 – Maatalouden aurinkopuisto</w:t>
      </w:r>
      <w:r>
        <w:rPr>
          <w:noProof/>
        </w:rPr>
        <w:t> </w:t>
      </w:r>
    </w:p>
    <w:p w14:paraId="253896AA" w14:textId="77777777" w:rsidR="00E42B18" w:rsidRDefault="009629C4">
      <w:pPr>
        <w:pStyle w:val="P68B1DB1-Normal45"/>
        <w:spacing w:after="0" w:line="240" w:lineRule="auto"/>
        <w:jc w:val="both"/>
        <w:textAlignment w:val="baseline"/>
        <w:rPr>
          <w:noProof/>
        </w:rPr>
      </w:pPr>
      <w:r>
        <w:rPr>
          <w:noProof/>
        </w:rPr>
        <w:t>Tämän investoinnin tavoitteena on parantaa maatalousalan kestävyyttä ja kilpailukykyä. Tämä toimenpide koostuu tuen myöntämisestä investointeihin, jotka kohdistuvat maatalouden, kotieläintuotannon ja maatalousteollisuuden rakenteisiin aurinkopaneelien asentamiseksi, sekä täydentäviin tukitoimiin. </w:t>
      </w:r>
    </w:p>
    <w:p w14:paraId="224CC0BC" w14:textId="77777777" w:rsidR="00E42B18" w:rsidRDefault="00E42B18">
      <w:pPr>
        <w:spacing w:after="0" w:line="240" w:lineRule="auto"/>
        <w:jc w:val="both"/>
        <w:textAlignment w:val="baseline"/>
        <w:rPr>
          <w:rFonts w:ascii="Segoe UI" w:eastAsia="Times New Roman" w:hAnsi="Segoe UI" w:cs="Segoe UI"/>
          <w:noProof/>
          <w:kern w:val="0"/>
          <w:sz w:val="18"/>
          <w:szCs w:val="18"/>
          <w14:ligatures w14:val="none"/>
        </w:rPr>
      </w:pPr>
    </w:p>
    <w:p w14:paraId="06F8BF3E" w14:textId="2D339E0D" w:rsidR="00E42B18" w:rsidRDefault="009629C4">
      <w:pPr>
        <w:pStyle w:val="P68B1DB1-Normal46"/>
        <w:spacing w:after="0" w:line="240" w:lineRule="auto"/>
        <w:jc w:val="both"/>
        <w:textAlignment w:val="baseline"/>
        <w:rPr>
          <w:rFonts w:ascii="Segoe UI" w:hAnsi="Segoe UI" w:cs="Segoe UI"/>
          <w:noProof/>
          <w:sz w:val="18"/>
          <w:szCs w:val="18"/>
        </w:rPr>
      </w:pPr>
      <w:r>
        <w:rPr>
          <w:b/>
          <w:noProof/>
        </w:rPr>
        <w:t>Investointi 2.3 – Innovointi ja koneistaminen maatalous- ja elintarvikealalla</w:t>
      </w:r>
      <w:r>
        <w:rPr>
          <w:noProof/>
        </w:rPr>
        <w:t xml:space="preserve"> </w:t>
      </w:r>
    </w:p>
    <w:p w14:paraId="0FCD6BF1" w14:textId="1A00BDA1" w:rsidR="00E42B18" w:rsidRDefault="009629C4">
      <w:pPr>
        <w:pStyle w:val="P68B1DB1-Normal45"/>
        <w:spacing w:after="0" w:line="240" w:lineRule="auto"/>
        <w:jc w:val="both"/>
        <w:textAlignment w:val="baseline"/>
        <w:rPr>
          <w:noProof/>
        </w:rPr>
      </w:pPr>
      <w:r>
        <w:rPr>
          <w:noProof/>
        </w:rPr>
        <w:t xml:space="preserve">Tämän investoinnin tavoitteena on edistää innovointia maatalous- ja elintarvikealalla. Toimenpide koostuu tuen myöntämisestä aineelliseen ja aineettomaan omaisuuteen tehtäviin investointeihin. </w:t>
      </w:r>
    </w:p>
    <w:p w14:paraId="65001F7E" w14:textId="77777777" w:rsidR="00E42B18" w:rsidRDefault="00E42B18">
      <w:pPr>
        <w:spacing w:after="0" w:line="240" w:lineRule="auto"/>
        <w:jc w:val="both"/>
        <w:textAlignment w:val="baseline"/>
        <w:rPr>
          <w:rFonts w:ascii="Segoe UI" w:eastAsia="Times New Roman" w:hAnsi="Segoe UI" w:cs="Segoe UI"/>
          <w:noProof/>
          <w:kern w:val="0"/>
          <w:sz w:val="18"/>
          <w:szCs w:val="18"/>
          <w14:ligatures w14:val="none"/>
        </w:rPr>
      </w:pPr>
    </w:p>
    <w:p w14:paraId="56B2BBCA" w14:textId="77777777" w:rsidR="00E42B18" w:rsidRDefault="009629C4">
      <w:pPr>
        <w:pStyle w:val="P68B1DB1-Normal46"/>
        <w:spacing w:after="0" w:line="240" w:lineRule="auto"/>
        <w:textAlignment w:val="baseline"/>
        <w:rPr>
          <w:rFonts w:ascii="Segoe UI" w:hAnsi="Segoe UI" w:cs="Segoe UI"/>
          <w:noProof/>
          <w:sz w:val="18"/>
          <w:szCs w:val="18"/>
        </w:rPr>
      </w:pPr>
      <w:r>
        <w:rPr>
          <w:b/>
          <w:noProof/>
        </w:rPr>
        <w:t>Investointi 3.3 – Kulttuuri ja tietoisuus ympäristöaiheista ja -haasteista</w:t>
      </w:r>
      <w:r>
        <w:rPr>
          <w:noProof/>
        </w:rPr>
        <w:t> </w:t>
      </w:r>
    </w:p>
    <w:p w14:paraId="21DB19EA" w14:textId="0EEC83F9" w:rsidR="00E42B18" w:rsidRDefault="009629C4">
      <w:pPr>
        <w:pStyle w:val="P68B1DB1-Normal45"/>
        <w:spacing w:after="0" w:line="240" w:lineRule="auto"/>
        <w:jc w:val="both"/>
        <w:textAlignment w:val="baseline"/>
        <w:rPr>
          <w:noProof/>
        </w:rPr>
      </w:pPr>
      <w:r>
        <w:rPr>
          <w:noProof/>
        </w:rPr>
        <w:t xml:space="preserve">Tämän investoinnin tavoitteena on suunnitella ja tuottaa digitaalista sisältöä tietoisuuden lisäämiseksi ympäristö- ja ilmastohaasteista. Investointi koostuu tilauksesta vapaan verkkoalustan luomisesta ympäristöön liittyviä aiheita käsittelevän koulutus- ja virkistysmateriaalin tietokannan luomiseksi. </w:t>
      </w:r>
    </w:p>
    <w:p w14:paraId="2F31477F" w14:textId="77777777" w:rsidR="00E42B18" w:rsidRDefault="00E42B18">
      <w:pPr>
        <w:spacing w:after="0" w:line="240" w:lineRule="auto"/>
        <w:jc w:val="both"/>
        <w:textAlignment w:val="baseline"/>
        <w:rPr>
          <w:rFonts w:ascii="Times New Roman" w:eastAsia="Times New Roman" w:hAnsi="Times New Roman" w:cs="Times New Roman"/>
          <w:noProof/>
          <w:kern w:val="0"/>
          <w:sz w:val="24"/>
          <w:szCs w:val="24"/>
          <w14:ligatures w14:val="none"/>
        </w:rPr>
      </w:pPr>
    </w:p>
    <w:p w14:paraId="51ADAF0C" w14:textId="77777777" w:rsidR="00E42B18" w:rsidRDefault="00E42B18">
      <w:pPr>
        <w:spacing w:after="0" w:line="240" w:lineRule="auto"/>
        <w:jc w:val="both"/>
        <w:textAlignment w:val="baseline"/>
        <w:rPr>
          <w:rFonts w:ascii="Times New Roman" w:eastAsia="Times New Roman" w:hAnsi="Times New Roman" w:cs="Times New Roman"/>
          <w:noProof/>
          <w:kern w:val="0"/>
          <w:sz w:val="24"/>
          <w:szCs w:val="24"/>
          <w14:ligatures w14:val="none"/>
        </w:rPr>
        <w:sectPr w:rsidR="00E42B18" w:rsidSect="00726CF9">
          <w:headerReference w:type="default" r:id="rId76"/>
          <w:footerReference w:type="default" r:id="rId77"/>
          <w:pgSz w:w="11906" w:h="16838"/>
          <w:pgMar w:top="1440" w:right="1440" w:bottom="1440" w:left="1440" w:header="708" w:footer="708" w:gutter="0"/>
          <w:cols w:space="708"/>
          <w:docGrid w:linePitch="360"/>
        </w:sectPr>
      </w:pPr>
    </w:p>
    <w:p w14:paraId="333CFE1E" w14:textId="77777777" w:rsidR="00E42B18" w:rsidRDefault="00E42B18">
      <w:pPr>
        <w:spacing w:after="0" w:line="240" w:lineRule="auto"/>
        <w:jc w:val="both"/>
        <w:textAlignment w:val="baseline"/>
        <w:rPr>
          <w:rFonts w:ascii="Segoe UI" w:eastAsia="Times New Roman" w:hAnsi="Segoe UI" w:cs="Segoe UI"/>
          <w:noProof/>
          <w:kern w:val="0"/>
          <w:sz w:val="18"/>
          <w:szCs w:val="18"/>
          <w14:ligatures w14:val="none"/>
        </w:rPr>
      </w:pPr>
    </w:p>
    <w:p w14:paraId="58D88F4F" w14:textId="77777777" w:rsidR="00E42B18" w:rsidRDefault="009629C4">
      <w:pPr>
        <w:pStyle w:val="P68B1DB1-Heading347"/>
        <w:ind w:left="850" w:hanging="850"/>
        <w:rPr>
          <w:bCs/>
          <w:noProof/>
        </w:rPr>
      </w:pPr>
      <w:r>
        <w:rPr>
          <w:noProof/>
        </w:rPr>
        <w:t xml:space="preserve">D.2 </w:t>
      </w:r>
      <w:r>
        <w:rPr>
          <w:noProof/>
        </w:rPr>
        <w:tab/>
        <w:t>Seurantaa ja täytäntöönpanoa koskevat välitavoitteet, tavoitteet, indikaattorit ja aikataulu – rahoitustuki, jota ei makseta takaisin </w:t>
      </w:r>
    </w:p>
    <w:tbl>
      <w:tblPr>
        <w:tblW w:w="1516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35"/>
        <w:gridCol w:w="1652"/>
        <w:gridCol w:w="1451"/>
        <w:gridCol w:w="1752"/>
        <w:gridCol w:w="1596"/>
        <w:gridCol w:w="1141"/>
        <w:gridCol w:w="1037"/>
        <w:gridCol w:w="1026"/>
        <w:gridCol w:w="895"/>
        <w:gridCol w:w="569"/>
        <w:gridCol w:w="3014"/>
      </w:tblGrid>
      <w:tr w:rsidR="00E42B18" w14:paraId="4FFB539A" w14:textId="77777777">
        <w:trPr>
          <w:trHeight w:val="300"/>
          <w:tblHeader/>
        </w:trPr>
        <w:tc>
          <w:tcPr>
            <w:tcW w:w="1276" w:type="dxa"/>
            <w:vMerge w:val="restart"/>
            <w:shd w:val="clear" w:color="auto" w:fill="BDD7EE"/>
            <w:vAlign w:val="center"/>
            <w:hideMark/>
          </w:tcPr>
          <w:p w14:paraId="06FEAAE3"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Juokseva numero</w:t>
            </w:r>
            <w:r>
              <w:rPr>
                <w:noProof/>
              </w:rPr>
              <w:t> </w:t>
            </w:r>
          </w:p>
        </w:tc>
        <w:tc>
          <w:tcPr>
            <w:tcW w:w="1418" w:type="dxa"/>
            <w:vMerge w:val="restart"/>
            <w:shd w:val="clear" w:color="auto" w:fill="BDD7EE"/>
            <w:vAlign w:val="center"/>
            <w:hideMark/>
          </w:tcPr>
          <w:p w14:paraId="72EE6A21"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Toimenpide (uudistus tai investointi)</w:t>
            </w:r>
            <w:r>
              <w:rPr>
                <w:noProof/>
              </w:rPr>
              <w:t> </w:t>
            </w:r>
          </w:p>
        </w:tc>
        <w:tc>
          <w:tcPr>
            <w:tcW w:w="1276" w:type="dxa"/>
            <w:vMerge w:val="restart"/>
            <w:shd w:val="clear" w:color="auto" w:fill="BDD7EE"/>
            <w:vAlign w:val="center"/>
            <w:hideMark/>
          </w:tcPr>
          <w:p w14:paraId="3F6A5F83"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Välitavoite/tavoite</w:t>
            </w:r>
            <w:r>
              <w:rPr>
                <w:noProof/>
              </w:rPr>
              <w:t> </w:t>
            </w:r>
          </w:p>
        </w:tc>
        <w:tc>
          <w:tcPr>
            <w:tcW w:w="1701" w:type="dxa"/>
            <w:vMerge w:val="restart"/>
            <w:shd w:val="clear" w:color="auto" w:fill="BDD7EE"/>
            <w:vAlign w:val="center"/>
            <w:hideMark/>
          </w:tcPr>
          <w:p w14:paraId="6EDEF13D"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Nimi</w:t>
            </w:r>
            <w:r>
              <w:rPr>
                <w:noProof/>
              </w:rPr>
              <w:t> </w:t>
            </w:r>
          </w:p>
        </w:tc>
        <w:tc>
          <w:tcPr>
            <w:tcW w:w="1771" w:type="dxa"/>
            <w:vMerge w:val="restart"/>
            <w:shd w:val="clear" w:color="auto" w:fill="BDD7EE"/>
            <w:vAlign w:val="center"/>
            <w:hideMark/>
          </w:tcPr>
          <w:p w14:paraId="79D9AA64" w14:textId="7C373D79"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Laadulliset indikaattorit</w:t>
            </w:r>
            <w:r>
              <w:rPr>
                <w:noProof/>
              </w:rPr>
              <w:br/>
            </w:r>
            <w:r>
              <w:rPr>
                <w:b/>
                <w:noProof/>
              </w:rPr>
              <w:t>(välitavoitteiden osalta)</w:t>
            </w:r>
            <w:r>
              <w:rPr>
                <w:noProof/>
              </w:rPr>
              <w:t> </w:t>
            </w:r>
          </w:p>
        </w:tc>
        <w:tc>
          <w:tcPr>
            <w:tcW w:w="3338" w:type="dxa"/>
            <w:gridSpan w:val="3"/>
            <w:shd w:val="clear" w:color="auto" w:fill="BDD7EE"/>
            <w:vAlign w:val="center"/>
            <w:hideMark/>
          </w:tcPr>
          <w:p w14:paraId="2E6ABAA3" w14:textId="6612BE6F"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Määrälliset indikaattorit</w:t>
            </w:r>
            <w:r>
              <w:rPr>
                <w:noProof/>
              </w:rPr>
              <w:br/>
            </w:r>
            <w:r>
              <w:rPr>
                <w:b/>
                <w:noProof/>
              </w:rPr>
              <w:t>(tavoitteiden osalta)</w:t>
            </w:r>
            <w:r>
              <w:rPr>
                <w:noProof/>
              </w:rPr>
              <w:t> </w:t>
            </w:r>
          </w:p>
        </w:tc>
        <w:tc>
          <w:tcPr>
            <w:tcW w:w="1508" w:type="dxa"/>
            <w:gridSpan w:val="2"/>
            <w:shd w:val="clear" w:color="auto" w:fill="BDD7EE"/>
            <w:vAlign w:val="center"/>
            <w:hideMark/>
          </w:tcPr>
          <w:p w14:paraId="4F86BFE1"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Alustava toteutusaikataulu</w:t>
            </w:r>
            <w:r>
              <w:rPr>
                <w:noProof/>
              </w:rPr>
              <w:t> </w:t>
            </w:r>
          </w:p>
        </w:tc>
        <w:tc>
          <w:tcPr>
            <w:tcW w:w="2880" w:type="dxa"/>
            <w:vMerge w:val="restart"/>
            <w:shd w:val="clear" w:color="auto" w:fill="BDD7EE"/>
            <w:vAlign w:val="center"/>
            <w:hideMark/>
          </w:tcPr>
          <w:p w14:paraId="7F7BEB35" w14:textId="77777777" w:rsidR="00E42B18" w:rsidRDefault="009629C4">
            <w:pPr>
              <w:pStyle w:val="P68B1DB1-Normal49"/>
              <w:spacing w:after="0" w:line="240" w:lineRule="auto"/>
              <w:textAlignment w:val="baseline"/>
              <w:rPr>
                <w:rFonts w:ascii="Times New Roman" w:hAnsi="Times New Roman"/>
                <w:noProof/>
                <w:sz w:val="24"/>
                <w:szCs w:val="24"/>
              </w:rPr>
            </w:pPr>
            <w:r>
              <w:rPr>
                <w:b/>
                <w:noProof/>
              </w:rPr>
              <w:t>Kunkin välitavoitteen ja tavoitteen kuvaus</w:t>
            </w:r>
            <w:r>
              <w:rPr>
                <w:noProof/>
              </w:rPr>
              <w:t> </w:t>
            </w:r>
          </w:p>
        </w:tc>
      </w:tr>
      <w:tr w:rsidR="00E42B18" w14:paraId="5CC718B7" w14:textId="77777777">
        <w:trPr>
          <w:trHeight w:val="300"/>
          <w:tblHeader/>
        </w:trPr>
        <w:tc>
          <w:tcPr>
            <w:tcW w:w="1276" w:type="dxa"/>
            <w:vMerge/>
            <w:vAlign w:val="center"/>
            <w:hideMark/>
          </w:tcPr>
          <w:p w14:paraId="77C324D1"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c>
          <w:tcPr>
            <w:tcW w:w="1418" w:type="dxa"/>
            <w:vMerge/>
            <w:vAlign w:val="center"/>
            <w:hideMark/>
          </w:tcPr>
          <w:p w14:paraId="14685905"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c>
          <w:tcPr>
            <w:tcW w:w="1276" w:type="dxa"/>
            <w:vMerge/>
            <w:vAlign w:val="center"/>
            <w:hideMark/>
          </w:tcPr>
          <w:p w14:paraId="022BC84C"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c>
          <w:tcPr>
            <w:tcW w:w="1701" w:type="dxa"/>
            <w:vMerge/>
            <w:vAlign w:val="center"/>
            <w:hideMark/>
          </w:tcPr>
          <w:p w14:paraId="64AFB6EB"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c>
          <w:tcPr>
            <w:tcW w:w="1771" w:type="dxa"/>
            <w:vMerge/>
            <w:vAlign w:val="center"/>
            <w:hideMark/>
          </w:tcPr>
          <w:p w14:paraId="44092EC3"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c>
          <w:tcPr>
            <w:tcW w:w="1098" w:type="dxa"/>
            <w:shd w:val="clear" w:color="auto" w:fill="BDD7EE"/>
            <w:vAlign w:val="center"/>
            <w:hideMark/>
          </w:tcPr>
          <w:p w14:paraId="2F53D412"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Mitta-yksikkö</w:t>
            </w:r>
            <w:r>
              <w:rPr>
                <w:noProof/>
              </w:rPr>
              <w:t> </w:t>
            </w:r>
          </w:p>
        </w:tc>
        <w:tc>
          <w:tcPr>
            <w:tcW w:w="1043" w:type="dxa"/>
            <w:shd w:val="clear" w:color="auto" w:fill="BDD7EE"/>
            <w:vAlign w:val="center"/>
            <w:hideMark/>
          </w:tcPr>
          <w:p w14:paraId="3DFB793A"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Lähtötilanne</w:t>
            </w:r>
            <w:r>
              <w:rPr>
                <w:noProof/>
              </w:rPr>
              <w:t> </w:t>
            </w:r>
          </w:p>
        </w:tc>
        <w:tc>
          <w:tcPr>
            <w:tcW w:w="1197" w:type="dxa"/>
            <w:shd w:val="clear" w:color="auto" w:fill="BDD7EE"/>
            <w:vAlign w:val="center"/>
            <w:hideMark/>
          </w:tcPr>
          <w:p w14:paraId="736672DE"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Päämäärä</w:t>
            </w:r>
            <w:r>
              <w:rPr>
                <w:noProof/>
              </w:rPr>
              <w:t> </w:t>
            </w:r>
          </w:p>
        </w:tc>
        <w:tc>
          <w:tcPr>
            <w:tcW w:w="900" w:type="dxa"/>
            <w:shd w:val="clear" w:color="auto" w:fill="BDD7EE"/>
            <w:vAlign w:val="center"/>
            <w:hideMark/>
          </w:tcPr>
          <w:p w14:paraId="3C51B5D2"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Neljännes</w:t>
            </w:r>
            <w:r>
              <w:rPr>
                <w:noProof/>
              </w:rPr>
              <w:t> </w:t>
            </w:r>
          </w:p>
        </w:tc>
        <w:tc>
          <w:tcPr>
            <w:tcW w:w="608" w:type="dxa"/>
            <w:shd w:val="clear" w:color="auto" w:fill="BDD7EE"/>
            <w:vAlign w:val="center"/>
            <w:hideMark/>
          </w:tcPr>
          <w:p w14:paraId="25B906D7"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Vuosi</w:t>
            </w:r>
            <w:r>
              <w:rPr>
                <w:noProof/>
              </w:rPr>
              <w:t> </w:t>
            </w:r>
          </w:p>
        </w:tc>
        <w:tc>
          <w:tcPr>
            <w:tcW w:w="2880" w:type="dxa"/>
            <w:vMerge/>
            <w:vAlign w:val="center"/>
            <w:hideMark/>
          </w:tcPr>
          <w:p w14:paraId="46483FDF"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r>
      <w:tr w:rsidR="00E42B18" w14:paraId="029204D0" w14:textId="77777777">
        <w:trPr>
          <w:trHeight w:val="300"/>
        </w:trPr>
        <w:tc>
          <w:tcPr>
            <w:tcW w:w="1276" w:type="dxa"/>
            <w:shd w:val="clear" w:color="auto" w:fill="C6EFCE"/>
            <w:vAlign w:val="center"/>
            <w:hideMark/>
          </w:tcPr>
          <w:p w14:paraId="5D0C01F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 </w:t>
            </w:r>
          </w:p>
        </w:tc>
        <w:tc>
          <w:tcPr>
            <w:tcW w:w="1418" w:type="dxa"/>
            <w:shd w:val="clear" w:color="auto" w:fill="C6EFCE"/>
            <w:vAlign w:val="center"/>
            <w:hideMark/>
          </w:tcPr>
          <w:p w14:paraId="30B53B20"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Uudistus 1.1 – Kiertotalousstrategia </w:t>
            </w:r>
          </w:p>
        </w:tc>
        <w:tc>
          <w:tcPr>
            <w:tcW w:w="1276" w:type="dxa"/>
            <w:shd w:val="clear" w:color="auto" w:fill="C6EFCE"/>
            <w:vAlign w:val="center"/>
            <w:hideMark/>
          </w:tcPr>
          <w:p w14:paraId="33AA09E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701" w:type="dxa"/>
            <w:shd w:val="clear" w:color="auto" w:fill="C6EFCE"/>
            <w:vAlign w:val="center"/>
            <w:hideMark/>
          </w:tcPr>
          <w:p w14:paraId="1D4A9D2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Kansallisen kiertotalousstrategian hyväksymistä koskevan ministerin asetuksen voimaantulo </w:t>
            </w:r>
          </w:p>
        </w:tc>
        <w:tc>
          <w:tcPr>
            <w:tcW w:w="1771" w:type="dxa"/>
            <w:shd w:val="clear" w:color="auto" w:fill="C6EFCE"/>
            <w:vAlign w:val="center"/>
            <w:hideMark/>
          </w:tcPr>
          <w:p w14:paraId="527B26B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Ministeriön asetuksen voimaantuloa koskeva säännös </w:t>
            </w:r>
          </w:p>
        </w:tc>
        <w:tc>
          <w:tcPr>
            <w:tcW w:w="1098" w:type="dxa"/>
            <w:shd w:val="clear" w:color="auto" w:fill="C6EFCE"/>
            <w:vAlign w:val="center"/>
            <w:hideMark/>
          </w:tcPr>
          <w:p w14:paraId="59896D5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43" w:type="dxa"/>
            <w:shd w:val="clear" w:color="auto" w:fill="C6EFCE"/>
            <w:vAlign w:val="center"/>
            <w:hideMark/>
          </w:tcPr>
          <w:p w14:paraId="083445D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197" w:type="dxa"/>
            <w:shd w:val="clear" w:color="auto" w:fill="C6EFCE"/>
            <w:vAlign w:val="center"/>
            <w:hideMark/>
          </w:tcPr>
          <w:p w14:paraId="5867715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00" w:type="dxa"/>
            <w:shd w:val="clear" w:color="auto" w:fill="C6EFCE"/>
            <w:vAlign w:val="center"/>
            <w:hideMark/>
          </w:tcPr>
          <w:p w14:paraId="1374E21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08" w:type="dxa"/>
            <w:shd w:val="clear" w:color="auto" w:fill="C6EFCE"/>
            <w:vAlign w:val="center"/>
            <w:hideMark/>
          </w:tcPr>
          <w:p w14:paraId="0612560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2022 </w:t>
            </w:r>
          </w:p>
        </w:tc>
        <w:tc>
          <w:tcPr>
            <w:tcW w:w="2880" w:type="dxa"/>
            <w:shd w:val="clear" w:color="auto" w:fill="C6EFCE"/>
            <w:vAlign w:val="center"/>
            <w:hideMark/>
          </w:tcPr>
          <w:p w14:paraId="087A79C6"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Kansallisen kiertotalousstrategian hyväksymisestä annetun ministeriön asetuksen on sisällettävä ainakin seuraavat toimenpiteet: </w:t>
            </w:r>
          </w:p>
          <w:p w14:paraId="5D9E5BBF" w14:textId="77777777" w:rsidR="00E42B18" w:rsidRDefault="009629C4">
            <w:pPr>
              <w:pStyle w:val="P68B1DB1-ListParagraph51"/>
              <w:numPr>
                <w:ilvl w:val="0"/>
                <w:numId w:val="176"/>
              </w:numPr>
              <w:spacing w:after="0" w:line="240" w:lineRule="auto"/>
              <w:textAlignment w:val="baseline"/>
              <w:rPr>
                <w:noProof/>
              </w:rPr>
            </w:pPr>
            <w:r>
              <w:rPr>
                <w:noProof/>
              </w:rPr>
              <w:t>uusi digitaalinen jätteiden jäljitettävyysjärjestelmä, jolla tuetaan toisaalta raaka-aineiden jälkimarkkinoiden kehittämistä (luomalla selkeät puitteet uusioraaka-aineiden toimituksille) toisaalta valvontaviranomaisille laittoman jätehuollon ehkäisemiseksi ja torjumiseksi. </w:t>
            </w:r>
          </w:p>
          <w:p w14:paraId="1F329EC8" w14:textId="77777777" w:rsidR="00E42B18" w:rsidRDefault="009629C4">
            <w:pPr>
              <w:pStyle w:val="P68B1DB1-ListParagraph51"/>
              <w:numPr>
                <w:ilvl w:val="0"/>
                <w:numId w:val="176"/>
              </w:numPr>
              <w:spacing w:after="0" w:line="240" w:lineRule="auto"/>
              <w:textAlignment w:val="baseline"/>
              <w:rPr>
                <w:noProof/>
              </w:rPr>
            </w:pPr>
            <w:r>
              <w:rPr>
                <w:noProof/>
              </w:rPr>
              <w:t>verokannustimet kierrätystoiminnan ja uusioraaka-aineiden käytön tukemiseksi; </w:t>
            </w:r>
          </w:p>
          <w:p w14:paraId="740223D0" w14:textId="77777777" w:rsidR="00E42B18" w:rsidRDefault="009629C4">
            <w:pPr>
              <w:pStyle w:val="P68B1DB1-ListParagraph52"/>
              <w:numPr>
                <w:ilvl w:val="0"/>
                <w:numId w:val="176"/>
              </w:numPr>
              <w:spacing w:after="0" w:line="240" w:lineRule="auto"/>
              <w:textAlignment w:val="baseline"/>
              <w:rPr>
                <w:rFonts w:cs="Times New Roman"/>
                <w:noProof/>
              </w:rPr>
            </w:pPr>
            <w:r>
              <w:rPr>
                <w:noProof/>
              </w:rPr>
              <w:t>jätteiden ympäristöverotusjärjestelmän tarkistaminen, jotta kierrätys olisi kätevämpää kuin kaatopaikalle sijoittaminen ja polttaminen koko maan alueella; </w:t>
            </w:r>
          </w:p>
          <w:p w14:paraId="1124D581" w14:textId="77777777" w:rsidR="00E42B18" w:rsidRDefault="009629C4">
            <w:pPr>
              <w:pStyle w:val="P68B1DB1-ListParagraph51"/>
              <w:numPr>
                <w:ilvl w:val="0"/>
                <w:numId w:val="176"/>
              </w:numPr>
              <w:spacing w:after="0" w:line="240" w:lineRule="auto"/>
              <w:textAlignment w:val="baseline"/>
              <w:rPr>
                <w:noProof/>
              </w:rPr>
            </w:pPr>
            <w:r>
              <w:rPr>
                <w:noProof/>
              </w:rPr>
              <w:t>oikeus uudelleenkäyttöön ja korjaukseen; </w:t>
            </w:r>
          </w:p>
          <w:p w14:paraId="4D1F81EA" w14:textId="77777777" w:rsidR="00E42B18" w:rsidRDefault="009629C4">
            <w:pPr>
              <w:pStyle w:val="P68B1DB1-ListParagraph51"/>
              <w:numPr>
                <w:ilvl w:val="0"/>
                <w:numId w:val="176"/>
              </w:numPr>
              <w:spacing w:after="0" w:line="240" w:lineRule="auto"/>
              <w:textAlignment w:val="baseline"/>
              <w:rPr>
                <w:noProof/>
              </w:rPr>
            </w:pPr>
            <w:r>
              <w:rPr>
                <w:noProof/>
              </w:rPr>
              <w:t>laajennetun tuottajavastuun (laajennettu tuottajavastuu) ja konsortiojärjestelmän uudistaminen, jotta voidaan tukea EU:n tavoitteiden saavuttamista perustamalla MITE:n johdolla erityinen valvontaelin, jonka tavoitteena on seurata konsortiojärjestelmien toimintaa ja tehokkuutta; </w:t>
            </w:r>
          </w:p>
          <w:p w14:paraId="4CC7D5DC" w14:textId="78209471" w:rsidR="00E42B18" w:rsidRDefault="009629C4">
            <w:pPr>
              <w:pStyle w:val="P68B1DB1-ListParagraph51"/>
              <w:numPr>
                <w:ilvl w:val="0"/>
                <w:numId w:val="176"/>
              </w:numPr>
              <w:spacing w:after="0" w:line="240" w:lineRule="auto"/>
              <w:textAlignment w:val="baseline"/>
              <w:rPr>
                <w:noProof/>
              </w:rPr>
            </w:pPr>
            <w:r>
              <w:rPr>
                <w:noProof/>
              </w:rPr>
              <w:t>nykyisten sääntelyvälineiden tukeminen: Jätelainsäädännön päättyminen (kansallinen ja alueellinen), ympäristöä säästävien julkisten hankintojen mukaiset ympäristöä koskevat vähimmäiskriteerit (CAM). EOW:n ja CAM:n kehittäminen/päivittäminen koskee erityisesti rakentamista, tekstiilejä, muovia sekä sähkö- ja elektroniikkalaiteromua. </w:t>
            </w:r>
          </w:p>
          <w:p w14:paraId="29642952" w14:textId="77777777" w:rsidR="00E42B18" w:rsidRDefault="009629C4">
            <w:pPr>
              <w:pStyle w:val="P68B1DB1-ListParagraph51"/>
              <w:numPr>
                <w:ilvl w:val="0"/>
                <w:numId w:val="176"/>
              </w:numPr>
              <w:spacing w:after="0" w:line="240" w:lineRule="auto"/>
              <w:textAlignment w:val="baseline"/>
              <w:rPr>
                <w:noProof/>
              </w:rPr>
            </w:pPr>
            <w:r>
              <w:rPr>
                <w:noProof/>
              </w:rPr>
              <w:t>teollista symbioosia koskevan hankkeen tukeminen sääntely- ja rahoitusvälineiden avulla.) </w:t>
            </w:r>
          </w:p>
        </w:tc>
      </w:tr>
      <w:tr w:rsidR="00E42B18" w14:paraId="4383217E" w14:textId="77777777">
        <w:trPr>
          <w:trHeight w:val="300"/>
        </w:trPr>
        <w:tc>
          <w:tcPr>
            <w:tcW w:w="1276" w:type="dxa"/>
            <w:shd w:val="clear" w:color="auto" w:fill="C6EFCE"/>
            <w:vAlign w:val="center"/>
            <w:hideMark/>
          </w:tcPr>
          <w:p w14:paraId="36CF40C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M2C1–2 </w:t>
            </w:r>
          </w:p>
        </w:tc>
        <w:tc>
          <w:tcPr>
            <w:tcW w:w="1418" w:type="dxa"/>
            <w:shd w:val="clear" w:color="auto" w:fill="C6EFCE"/>
            <w:vAlign w:val="center"/>
            <w:hideMark/>
          </w:tcPr>
          <w:p w14:paraId="47F417D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Uudistus 1.3 – Tekninen tuki paikallisviranomaisille </w:t>
            </w:r>
          </w:p>
        </w:tc>
        <w:tc>
          <w:tcPr>
            <w:tcW w:w="1276" w:type="dxa"/>
            <w:shd w:val="clear" w:color="auto" w:fill="C6EFCE"/>
            <w:vAlign w:val="center"/>
            <w:hideMark/>
          </w:tcPr>
          <w:p w14:paraId="7A444B6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701" w:type="dxa"/>
            <w:shd w:val="clear" w:color="auto" w:fill="C6EFCE"/>
            <w:vAlign w:val="center"/>
            <w:hideMark/>
          </w:tcPr>
          <w:p w14:paraId="290DB19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Paikallisten viranomaisten tukemiseen tähtäävän valmiuksien kehittämistä koskevan toimintasuunnitelman kehittämistä koskevan sopimuksen hyväksyminen </w:t>
            </w:r>
          </w:p>
        </w:tc>
        <w:tc>
          <w:tcPr>
            <w:tcW w:w="1771" w:type="dxa"/>
            <w:shd w:val="clear" w:color="auto" w:fill="C6EFCE"/>
            <w:vAlign w:val="center"/>
            <w:hideMark/>
          </w:tcPr>
          <w:p w14:paraId="0D63D65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Hyväksytyn sopimuksen julkaiseminen ministeriön verkkosivustolla </w:t>
            </w:r>
          </w:p>
        </w:tc>
        <w:tc>
          <w:tcPr>
            <w:tcW w:w="1098" w:type="dxa"/>
            <w:shd w:val="clear" w:color="auto" w:fill="C6EFCE"/>
            <w:vAlign w:val="center"/>
            <w:hideMark/>
          </w:tcPr>
          <w:p w14:paraId="4A22763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43" w:type="dxa"/>
            <w:shd w:val="clear" w:color="auto" w:fill="C6EFCE"/>
            <w:vAlign w:val="center"/>
            <w:hideMark/>
          </w:tcPr>
          <w:p w14:paraId="271DCEB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197" w:type="dxa"/>
            <w:shd w:val="clear" w:color="auto" w:fill="C6EFCE"/>
            <w:vAlign w:val="center"/>
            <w:hideMark/>
          </w:tcPr>
          <w:p w14:paraId="3D8FCE7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00" w:type="dxa"/>
            <w:shd w:val="clear" w:color="auto" w:fill="C6EFCE"/>
            <w:vAlign w:val="center"/>
            <w:hideMark/>
          </w:tcPr>
          <w:p w14:paraId="50F0ADD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08" w:type="dxa"/>
            <w:shd w:val="clear" w:color="auto" w:fill="C6EFCE"/>
            <w:vAlign w:val="center"/>
            <w:hideMark/>
          </w:tcPr>
          <w:p w14:paraId="3C498ED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2022 </w:t>
            </w:r>
          </w:p>
        </w:tc>
        <w:tc>
          <w:tcPr>
            <w:tcW w:w="2880" w:type="dxa"/>
            <w:shd w:val="clear" w:color="auto" w:fill="C6EFCE"/>
            <w:vAlign w:val="center"/>
            <w:hideMark/>
          </w:tcPr>
          <w:p w14:paraId="6CFA5686" w14:textId="14EBB761" w:rsidR="00E42B18" w:rsidRDefault="009629C4">
            <w:pPr>
              <w:pStyle w:val="P68B1DB1-Normal50"/>
              <w:spacing w:after="0" w:line="240" w:lineRule="auto"/>
              <w:textAlignment w:val="baseline"/>
              <w:rPr>
                <w:rFonts w:ascii="Times New Roman" w:hAnsi="Times New Roman"/>
                <w:noProof/>
                <w:sz w:val="24"/>
                <w:szCs w:val="24"/>
              </w:rPr>
            </w:pPr>
            <w:r>
              <w:rPr>
                <w:noProof/>
              </w:rPr>
              <w:t>Hyväksytään sopimus valmiuksien kehittämistä koskevan toimintasuunnitelman kehittämisestä paikallisviranomaisten tukemiseksi niiden pannessa tarjouskilpailumenettelyissä täytäntöön ympäristöä säästävistä julkisista hankinnoista annetussa laissa (asetus nro 50/2016) vahvistetut ympäristöä koskevat vähimmäiskriteerit ja tukitoimen aloittamisen. </w:t>
            </w:r>
          </w:p>
          <w:p w14:paraId="5AD65341"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Paikallisviranomaisille (alueet, maakunnat ja kunnat) annettavasta teknisestä tuesta huolehtii hallitus (ekologisesta siirtymästä vastaava ministeriö, talouskehitysministeriö ja muut asiaankuuluvat) sisäisten yritysten kautta. Tekninen tuki kattaa seuraavat: </w:t>
            </w:r>
          </w:p>
          <w:p w14:paraId="6B44D920" w14:textId="77777777" w:rsidR="00E42B18" w:rsidRDefault="009629C4">
            <w:pPr>
              <w:pStyle w:val="P68B1DB1-ListParagraph51"/>
              <w:numPr>
                <w:ilvl w:val="0"/>
                <w:numId w:val="176"/>
              </w:numPr>
              <w:spacing w:after="0" w:line="240" w:lineRule="auto"/>
              <w:textAlignment w:val="baseline"/>
              <w:rPr>
                <w:noProof/>
              </w:rPr>
            </w:pPr>
            <w:r>
              <w:rPr>
                <w:noProof/>
              </w:rPr>
              <w:t>tekninen apu EU:n ja kansallisen ympäristölainsäädännön täytäntöönpanoa varten; </w:t>
            </w:r>
          </w:p>
          <w:p w14:paraId="4B4A8BC6" w14:textId="77777777" w:rsidR="00E42B18" w:rsidRDefault="009629C4">
            <w:pPr>
              <w:pStyle w:val="P68B1DB1-ListParagraph51"/>
              <w:numPr>
                <w:ilvl w:val="0"/>
                <w:numId w:val="176"/>
              </w:numPr>
              <w:spacing w:after="0" w:line="240" w:lineRule="auto"/>
              <w:textAlignment w:val="baseline"/>
              <w:rPr>
                <w:noProof/>
              </w:rPr>
            </w:pPr>
            <w:r>
              <w:rPr>
                <w:noProof/>
              </w:rPr>
              <w:t>jätehuoltoa koskevien suunnitelmien ja hankkeiden kehittämisen tukeminen; </w:t>
            </w:r>
          </w:p>
          <w:p w14:paraId="05E0FB2F" w14:textId="77777777" w:rsidR="00E42B18" w:rsidRDefault="009629C4">
            <w:pPr>
              <w:pStyle w:val="P68B1DB1-ListParagraph51"/>
              <w:numPr>
                <w:ilvl w:val="0"/>
                <w:numId w:val="176"/>
              </w:numPr>
              <w:spacing w:after="0" w:line="240" w:lineRule="auto"/>
              <w:textAlignment w:val="baseline"/>
              <w:rPr>
                <w:noProof/>
              </w:rPr>
            </w:pPr>
            <w:r>
              <w:rPr>
                <w:noProof/>
              </w:rPr>
              <w:t>tarjouskilpailumenettelyjen tukeminen, myös sen varmistamiseksi, että jätehuoltoa koskevat toimiluvat myönnetään avoimella ja syrjimättömällä tavalla lisäämällä kilpailuprosesseja julkisten palvelujen parempien standardien saavuttamiseksi. </w:t>
            </w:r>
          </w:p>
          <w:p w14:paraId="2310DBCB" w14:textId="77777777" w:rsidR="00E42B18" w:rsidRDefault="009629C4">
            <w:pPr>
              <w:pStyle w:val="P68B1DB1-Normal50"/>
              <w:spacing w:after="0" w:line="240" w:lineRule="auto"/>
              <w:ind w:left="330"/>
              <w:textAlignment w:val="baseline"/>
              <w:rPr>
                <w:rFonts w:ascii="Times New Roman" w:hAnsi="Times New Roman"/>
                <w:noProof/>
                <w:sz w:val="24"/>
                <w:szCs w:val="24"/>
              </w:rPr>
            </w:pPr>
            <w:r>
              <w:rPr>
                <w:noProof/>
              </w:rPr>
              <w:t> </w:t>
            </w:r>
          </w:p>
          <w:p w14:paraId="58CCCA8B"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Ekologisesta siirtymästä vastaavan ministeriön on laadittava erityinen valmiuksien kehittämistä koskeva toimintasuunnitelma, jolla tuetaan paikallisviranomaisia ja ammattimaisia julkisia ostajia soveltamaan tarjouskilpailumenettelyihin ympäristöä säästäviä julkisia hankintoja koskevassa laissa (asetus N:o 50/2016 julkisista hankinnoista) vahvistettuja ympäristöä koskevia vähimmäiskriteereitä. </w:t>
            </w:r>
          </w:p>
        </w:tc>
      </w:tr>
      <w:tr w:rsidR="00E42B18" w14:paraId="32236AD3" w14:textId="77777777">
        <w:trPr>
          <w:trHeight w:val="300"/>
        </w:trPr>
        <w:tc>
          <w:tcPr>
            <w:tcW w:w="1276" w:type="dxa"/>
            <w:shd w:val="clear" w:color="auto" w:fill="C6EFCE"/>
            <w:vAlign w:val="center"/>
            <w:hideMark/>
          </w:tcPr>
          <w:p w14:paraId="18A8C74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M2C1–3 </w:t>
            </w:r>
          </w:p>
        </w:tc>
        <w:tc>
          <w:tcPr>
            <w:tcW w:w="1418" w:type="dxa"/>
            <w:shd w:val="clear" w:color="auto" w:fill="C6EFCE"/>
            <w:vAlign w:val="center"/>
            <w:hideMark/>
          </w:tcPr>
          <w:p w14:paraId="1DF2975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2.1: Maatalous-, kalastus- ja vesiviljelyalan, metsätalouden, kukkaviljelyn ja taimitarhan logistiikkasuunnitelma </w:t>
            </w:r>
          </w:p>
        </w:tc>
        <w:tc>
          <w:tcPr>
            <w:tcW w:w="1276" w:type="dxa"/>
            <w:shd w:val="clear" w:color="auto" w:fill="C6EFCE"/>
            <w:vAlign w:val="center"/>
            <w:hideMark/>
          </w:tcPr>
          <w:p w14:paraId="7EA57BB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701" w:type="dxa"/>
            <w:shd w:val="clear" w:color="auto" w:fill="C6EFCE"/>
            <w:vAlign w:val="center"/>
            <w:hideMark/>
          </w:tcPr>
          <w:p w14:paraId="2D87E66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Logistisen kannustinjärjestelmän mukaisen lopullisen järjestyksen julkaiseminen </w:t>
            </w:r>
          </w:p>
        </w:tc>
        <w:tc>
          <w:tcPr>
            <w:tcW w:w="1771" w:type="dxa"/>
            <w:shd w:val="clear" w:color="auto" w:fill="C6EFCE"/>
            <w:vAlign w:val="center"/>
            <w:hideMark/>
          </w:tcPr>
          <w:p w14:paraId="519F163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Julkaiseminen ministeriön verkkosivustolla tai muulla tukikanavalla </w:t>
            </w:r>
          </w:p>
        </w:tc>
        <w:tc>
          <w:tcPr>
            <w:tcW w:w="1098" w:type="dxa"/>
            <w:shd w:val="clear" w:color="auto" w:fill="C6EFCE"/>
            <w:vAlign w:val="center"/>
            <w:hideMark/>
          </w:tcPr>
          <w:p w14:paraId="5F23640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43" w:type="dxa"/>
            <w:shd w:val="clear" w:color="auto" w:fill="C6EFCE"/>
            <w:vAlign w:val="center"/>
            <w:hideMark/>
          </w:tcPr>
          <w:p w14:paraId="6BC0BDD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197" w:type="dxa"/>
            <w:shd w:val="clear" w:color="auto" w:fill="C6EFCE"/>
            <w:vAlign w:val="center"/>
            <w:hideMark/>
          </w:tcPr>
          <w:p w14:paraId="5C402A3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00" w:type="dxa"/>
            <w:shd w:val="clear" w:color="auto" w:fill="C6EFCE"/>
            <w:vAlign w:val="center"/>
            <w:hideMark/>
          </w:tcPr>
          <w:p w14:paraId="24A0478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08" w:type="dxa"/>
            <w:shd w:val="clear" w:color="auto" w:fill="C6EFCE"/>
            <w:vAlign w:val="center"/>
            <w:hideMark/>
          </w:tcPr>
          <w:p w14:paraId="33E53E8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2022 </w:t>
            </w:r>
          </w:p>
        </w:tc>
        <w:tc>
          <w:tcPr>
            <w:tcW w:w="2880" w:type="dxa"/>
            <w:shd w:val="clear" w:color="auto" w:fill="C6EFCE"/>
            <w:vAlign w:val="center"/>
            <w:hideMark/>
          </w:tcPr>
          <w:p w14:paraId="7C9C2F6E"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Hyväksymisasetuksessa määritellään lopullinen paremmuusjärjestys. </w:t>
            </w:r>
          </w:p>
          <w:p w14:paraId="0ED49B3B" w14:textId="31E6AF53" w:rsidR="00E42B18" w:rsidRDefault="009629C4">
            <w:pPr>
              <w:pStyle w:val="P68B1DB1-Normal50"/>
              <w:spacing w:after="0" w:line="240" w:lineRule="auto"/>
              <w:textAlignment w:val="baseline"/>
              <w:rPr>
                <w:rFonts w:ascii="Times New Roman" w:hAnsi="Times New Roman"/>
                <w:noProof/>
                <w:sz w:val="24"/>
                <w:szCs w:val="24"/>
              </w:rPr>
            </w:pPr>
            <w:r>
              <w:rPr>
                <w:noProof/>
              </w:rPr>
              <w:t>Logistiikkakannustinjärjestelmään on sisällyttävä seuraavat: </w:t>
            </w:r>
          </w:p>
          <w:p w14:paraId="0D53DB1D" w14:textId="77777777" w:rsidR="00E42B18" w:rsidRDefault="009629C4">
            <w:pPr>
              <w:pStyle w:val="P68B1DB1-Normal53"/>
              <w:spacing w:after="0" w:line="240" w:lineRule="auto"/>
              <w:textAlignment w:val="baseline"/>
              <w:rPr>
                <w:rFonts w:ascii="Times New Roman" w:hAnsi="Times New Roman" w:cs="Times New Roman"/>
                <w:noProof/>
                <w:sz w:val="24"/>
                <w:szCs w:val="24"/>
              </w:rPr>
            </w:pPr>
            <w:r>
              <w:rPr>
                <w:noProof/>
              </w:rPr>
              <w:t>a) Tukikelpoisuuskriteerit, joilla varmistetaan, että valitut hankkeet ovat ”ei merkittävää haittaa” -periaatetta koskevien teknisten ohjeiden (2021/C58/01) mukaisia, käyttämällä poissulkemisluetteloa ja vaatimusta asiaa koskevan EU:n ja kansallisen ympäristölainsäädännön noudattamisesta. </w:t>
            </w:r>
          </w:p>
          <w:p w14:paraId="65098F3F" w14:textId="77777777" w:rsidR="00E42B18" w:rsidRDefault="009629C4">
            <w:pPr>
              <w:pStyle w:val="P68B1DB1-Normal53"/>
              <w:spacing w:after="0" w:line="240" w:lineRule="auto"/>
              <w:textAlignment w:val="baseline"/>
              <w:rPr>
                <w:rFonts w:ascii="Times New Roman" w:hAnsi="Times New Roman" w:cs="Times New Roman"/>
                <w:noProof/>
                <w:sz w:val="24"/>
                <w:szCs w:val="24"/>
              </w:rPr>
            </w:pPr>
            <w:r>
              <w:rPr>
                <w:noProof/>
              </w:rPr>
              <w:t>b) Sitoumus siitä, että asetuksen (EU) 2021/241 liitteessä VI esitetyn menetelmän mukainen investoinnin ilmastorahoitusosuus on vähintään 32 prosenttia elpymis- ja palautumistukivälineestä tuetun investoinnin kokonaiskustannuksista. </w:t>
            </w:r>
          </w:p>
          <w:p w14:paraId="3AC94811"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C) Sitoumus siitä, että asetuksen (EU) 2021/241 liitteessä VII esitetyn menetelmän mukainen investoinnin digitaalinen panos on vähintään 27 prosenttia elpymis- ja palautumistukivälineestä tuetun investoinnin kokonaiskustannuksista. </w:t>
            </w:r>
          </w:p>
          <w:p w14:paraId="56DE8865"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d) Sitoutuminen raportoimaan toimenpiteen täytäntöönpanosta järjestelmän elinkaaren puolivälissä ja ohjelman päättyessä. </w:t>
            </w:r>
          </w:p>
        </w:tc>
      </w:tr>
      <w:tr w:rsidR="00E42B18" w14:paraId="648E6FBA" w14:textId="77777777">
        <w:trPr>
          <w:trHeight w:val="300"/>
        </w:trPr>
        <w:tc>
          <w:tcPr>
            <w:tcW w:w="1276" w:type="dxa"/>
            <w:shd w:val="clear" w:color="auto" w:fill="C6EFCE"/>
            <w:vAlign w:val="center"/>
            <w:hideMark/>
          </w:tcPr>
          <w:p w14:paraId="13C5FC3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M2C1–4 </w:t>
            </w:r>
          </w:p>
        </w:tc>
        <w:tc>
          <w:tcPr>
            <w:tcW w:w="1418" w:type="dxa"/>
            <w:shd w:val="clear" w:color="auto" w:fill="C6EFCE"/>
            <w:vAlign w:val="center"/>
            <w:hideMark/>
          </w:tcPr>
          <w:p w14:paraId="2D69A27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2.2: Maatalouden aurinkopuisto </w:t>
            </w:r>
          </w:p>
        </w:tc>
        <w:tc>
          <w:tcPr>
            <w:tcW w:w="1276" w:type="dxa"/>
            <w:shd w:val="clear" w:color="auto" w:fill="C6EFCE"/>
            <w:vAlign w:val="center"/>
            <w:hideMark/>
          </w:tcPr>
          <w:p w14:paraId="488AC34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701" w:type="dxa"/>
            <w:shd w:val="clear" w:color="auto" w:fill="C6EFCE"/>
            <w:vAlign w:val="center"/>
            <w:hideMark/>
          </w:tcPr>
          <w:p w14:paraId="0E72C4B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Varojen kohdentaminen tuensaajille prosentteina investoinnille osoitetuista kokonaismäärärahoista </w:t>
            </w:r>
          </w:p>
        </w:tc>
        <w:tc>
          <w:tcPr>
            <w:tcW w:w="1771" w:type="dxa"/>
            <w:shd w:val="clear" w:color="auto" w:fill="C6EFCE"/>
            <w:vAlign w:val="center"/>
            <w:hideMark/>
          </w:tcPr>
          <w:p w14:paraId="63F1DB0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98" w:type="dxa"/>
            <w:shd w:val="clear" w:color="auto" w:fill="C6EFCE"/>
            <w:vAlign w:val="center"/>
            <w:hideMark/>
          </w:tcPr>
          <w:p w14:paraId="506D6680"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Prosenttiosuus </w:t>
            </w:r>
          </w:p>
        </w:tc>
        <w:tc>
          <w:tcPr>
            <w:tcW w:w="1043" w:type="dxa"/>
            <w:shd w:val="clear" w:color="auto" w:fill="C6EFCE"/>
            <w:vAlign w:val="center"/>
            <w:hideMark/>
          </w:tcPr>
          <w:p w14:paraId="1002221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0 </w:t>
            </w:r>
          </w:p>
        </w:tc>
        <w:tc>
          <w:tcPr>
            <w:tcW w:w="1197" w:type="dxa"/>
            <w:shd w:val="clear" w:color="auto" w:fill="C6EFCE"/>
            <w:vAlign w:val="center"/>
            <w:hideMark/>
          </w:tcPr>
          <w:p w14:paraId="3CE324F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30 </w:t>
            </w:r>
          </w:p>
        </w:tc>
        <w:tc>
          <w:tcPr>
            <w:tcW w:w="900" w:type="dxa"/>
            <w:shd w:val="clear" w:color="auto" w:fill="C6EFCE"/>
            <w:vAlign w:val="center"/>
            <w:hideMark/>
          </w:tcPr>
          <w:p w14:paraId="710E430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08" w:type="dxa"/>
            <w:shd w:val="clear" w:color="auto" w:fill="C6EFCE"/>
            <w:vAlign w:val="center"/>
            <w:hideMark/>
          </w:tcPr>
          <w:p w14:paraId="4B2DD32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2022 </w:t>
            </w:r>
          </w:p>
        </w:tc>
        <w:tc>
          <w:tcPr>
            <w:tcW w:w="2880" w:type="dxa"/>
            <w:shd w:val="clear" w:color="auto" w:fill="C6EFCE"/>
            <w:vAlign w:val="center"/>
            <w:hideMark/>
          </w:tcPr>
          <w:p w14:paraId="3809A1BC"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Sellaisten tuensaajahankkeiden yksilöinti, joiden kokonaisarvo on vähintään 30 prosenttia investointiin osoitetuista kokonaismäärärahoista. Investointi toteutetaan kahden jo olemassa olevan eri menettelyn avulla, ja se rahoitetaan uudelleen. Näissä menettelyissä säädetään lainojen maksamisesta yrityksille, jotka täyttävät vaatimukset ja jättävät hakemuksen. </w:t>
            </w:r>
          </w:p>
        </w:tc>
      </w:tr>
      <w:tr w:rsidR="00E42B18" w14:paraId="5BE973E3" w14:textId="77777777">
        <w:trPr>
          <w:trHeight w:val="300"/>
        </w:trPr>
        <w:tc>
          <w:tcPr>
            <w:tcW w:w="1276" w:type="dxa"/>
            <w:shd w:val="clear" w:color="auto" w:fill="C6EFCE"/>
            <w:vAlign w:val="center"/>
            <w:hideMark/>
          </w:tcPr>
          <w:p w14:paraId="476128E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M2C1–5 </w:t>
            </w:r>
          </w:p>
        </w:tc>
        <w:tc>
          <w:tcPr>
            <w:tcW w:w="1418" w:type="dxa"/>
            <w:shd w:val="clear" w:color="auto" w:fill="C6EFCE"/>
            <w:vAlign w:val="center"/>
            <w:hideMark/>
          </w:tcPr>
          <w:p w14:paraId="756A38A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2.2: Maatalouden aurinkopuisto </w:t>
            </w:r>
          </w:p>
        </w:tc>
        <w:tc>
          <w:tcPr>
            <w:tcW w:w="1276" w:type="dxa"/>
            <w:shd w:val="clear" w:color="auto" w:fill="C6EFCE"/>
            <w:vAlign w:val="center"/>
            <w:hideMark/>
          </w:tcPr>
          <w:p w14:paraId="070CFEC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701" w:type="dxa"/>
            <w:shd w:val="clear" w:color="auto" w:fill="C6EFCE"/>
            <w:vAlign w:val="center"/>
            <w:hideMark/>
          </w:tcPr>
          <w:p w14:paraId="18968EC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Varojen kohdentaminen tuensaajille prosentteina investoinnille osoitetuista kokonaismäärärahoista </w:t>
            </w:r>
          </w:p>
        </w:tc>
        <w:tc>
          <w:tcPr>
            <w:tcW w:w="1771" w:type="dxa"/>
            <w:shd w:val="clear" w:color="auto" w:fill="C6EFCE"/>
            <w:vAlign w:val="center"/>
            <w:hideMark/>
          </w:tcPr>
          <w:p w14:paraId="62F03F8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98" w:type="dxa"/>
            <w:shd w:val="clear" w:color="auto" w:fill="C6EFCE"/>
            <w:vAlign w:val="center"/>
            <w:hideMark/>
          </w:tcPr>
          <w:p w14:paraId="35C1488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Prosenttiosuus </w:t>
            </w:r>
          </w:p>
        </w:tc>
        <w:tc>
          <w:tcPr>
            <w:tcW w:w="1043" w:type="dxa"/>
            <w:shd w:val="clear" w:color="auto" w:fill="C6EFCE"/>
            <w:vAlign w:val="center"/>
            <w:hideMark/>
          </w:tcPr>
          <w:p w14:paraId="5309196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19 </w:t>
            </w:r>
          </w:p>
        </w:tc>
        <w:tc>
          <w:tcPr>
            <w:tcW w:w="1197" w:type="dxa"/>
            <w:shd w:val="clear" w:color="auto" w:fill="C6EFCE"/>
            <w:vAlign w:val="center"/>
            <w:hideMark/>
          </w:tcPr>
          <w:p w14:paraId="1F201F2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32 </w:t>
            </w:r>
          </w:p>
        </w:tc>
        <w:tc>
          <w:tcPr>
            <w:tcW w:w="900" w:type="dxa"/>
            <w:shd w:val="clear" w:color="auto" w:fill="C6EFCE"/>
            <w:vAlign w:val="center"/>
            <w:hideMark/>
          </w:tcPr>
          <w:p w14:paraId="2E58888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08" w:type="dxa"/>
            <w:shd w:val="clear" w:color="auto" w:fill="C6EFCE"/>
            <w:vAlign w:val="center"/>
            <w:hideMark/>
          </w:tcPr>
          <w:p w14:paraId="157B00C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2023 </w:t>
            </w:r>
          </w:p>
        </w:tc>
        <w:tc>
          <w:tcPr>
            <w:tcW w:w="2880" w:type="dxa"/>
            <w:shd w:val="clear" w:color="auto" w:fill="C6EFCE"/>
            <w:vAlign w:val="center"/>
            <w:hideMark/>
          </w:tcPr>
          <w:p w14:paraId="2AD8D829"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Edunsaajahankkeet, joiden kokonaisarvo on vähintään 32 prosenttia investointiin osoitetuista kokonaisvaroista, on yksilöitävä. Myöntämismenettelyssä myönnetään avustuksia tai muita kannustimia yrityksille, jotka täyttävät vaatimukset ja jättävät hakemuksen. </w:t>
            </w:r>
          </w:p>
        </w:tc>
      </w:tr>
      <w:tr w:rsidR="00E42B18" w14:paraId="4BD923E8" w14:textId="77777777">
        <w:trPr>
          <w:trHeight w:val="300"/>
        </w:trPr>
        <w:tc>
          <w:tcPr>
            <w:tcW w:w="1276" w:type="dxa"/>
            <w:shd w:val="clear" w:color="auto" w:fill="C6EFCE"/>
            <w:vAlign w:val="center"/>
            <w:hideMark/>
          </w:tcPr>
          <w:p w14:paraId="260FA0E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M2C1–6 </w:t>
            </w:r>
          </w:p>
        </w:tc>
        <w:tc>
          <w:tcPr>
            <w:tcW w:w="1418" w:type="dxa"/>
            <w:shd w:val="clear" w:color="auto" w:fill="C6EFCE"/>
            <w:vAlign w:val="center"/>
            <w:hideMark/>
          </w:tcPr>
          <w:p w14:paraId="409BDAA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2.2: Maatalouden aurinkopuisto </w:t>
            </w:r>
          </w:p>
        </w:tc>
        <w:tc>
          <w:tcPr>
            <w:tcW w:w="1276" w:type="dxa"/>
            <w:shd w:val="clear" w:color="auto" w:fill="C6EFCE"/>
            <w:vAlign w:val="center"/>
            <w:hideMark/>
          </w:tcPr>
          <w:p w14:paraId="361F859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701" w:type="dxa"/>
            <w:shd w:val="clear" w:color="auto" w:fill="C6EFCE"/>
            <w:vAlign w:val="center"/>
            <w:hideMark/>
          </w:tcPr>
          <w:p w14:paraId="7253EA2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Varojen kohdentaminen tuensaajille prosentteina investoinnille osoitetuista kokonaismäärärahoista </w:t>
            </w:r>
          </w:p>
        </w:tc>
        <w:tc>
          <w:tcPr>
            <w:tcW w:w="1771" w:type="dxa"/>
            <w:shd w:val="clear" w:color="auto" w:fill="C6EFCE"/>
            <w:vAlign w:val="center"/>
            <w:hideMark/>
          </w:tcPr>
          <w:p w14:paraId="184B029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98" w:type="dxa"/>
            <w:shd w:val="clear" w:color="auto" w:fill="C6EFCE"/>
            <w:vAlign w:val="center"/>
            <w:hideMark/>
          </w:tcPr>
          <w:p w14:paraId="10AFDAB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Prosenttiosuus </w:t>
            </w:r>
          </w:p>
        </w:tc>
        <w:tc>
          <w:tcPr>
            <w:tcW w:w="1043" w:type="dxa"/>
            <w:shd w:val="clear" w:color="auto" w:fill="C6EFCE"/>
            <w:vAlign w:val="center"/>
            <w:hideMark/>
          </w:tcPr>
          <w:p w14:paraId="456743C0"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32 </w:t>
            </w:r>
          </w:p>
        </w:tc>
        <w:tc>
          <w:tcPr>
            <w:tcW w:w="1197" w:type="dxa"/>
            <w:shd w:val="clear" w:color="auto" w:fill="C6EFCE"/>
            <w:vAlign w:val="center"/>
            <w:hideMark/>
          </w:tcPr>
          <w:p w14:paraId="259EF45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63.5 </w:t>
            </w:r>
          </w:p>
        </w:tc>
        <w:tc>
          <w:tcPr>
            <w:tcW w:w="900" w:type="dxa"/>
            <w:shd w:val="clear" w:color="auto" w:fill="C6EFCE"/>
            <w:vAlign w:val="center"/>
            <w:hideMark/>
          </w:tcPr>
          <w:p w14:paraId="5E10946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08" w:type="dxa"/>
            <w:shd w:val="clear" w:color="auto" w:fill="C6EFCE"/>
            <w:vAlign w:val="center"/>
            <w:hideMark/>
          </w:tcPr>
          <w:p w14:paraId="3D1A3BB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2024 </w:t>
            </w:r>
          </w:p>
        </w:tc>
        <w:tc>
          <w:tcPr>
            <w:tcW w:w="2880" w:type="dxa"/>
            <w:shd w:val="clear" w:color="auto" w:fill="C6EFCE"/>
            <w:vAlign w:val="center"/>
            <w:hideMark/>
          </w:tcPr>
          <w:p w14:paraId="32719E78" w14:textId="79E0C7A2" w:rsidR="00E42B18" w:rsidRDefault="009629C4">
            <w:pPr>
              <w:pStyle w:val="P68B1DB1-Normal50"/>
              <w:spacing w:after="0" w:line="240" w:lineRule="auto"/>
              <w:textAlignment w:val="baseline"/>
              <w:rPr>
                <w:rFonts w:ascii="Times New Roman" w:hAnsi="Times New Roman"/>
                <w:noProof/>
                <w:sz w:val="24"/>
                <w:szCs w:val="24"/>
              </w:rPr>
            </w:pPr>
            <w:r>
              <w:rPr>
                <w:noProof/>
              </w:rPr>
              <w:t>Sellaisten tuensaajahankkeiden yksilöinti, joiden kokonaisarvo on vähintään 63,5 prosenttia investointiin osoitetuista kokonaismäärärahoista. Myöntämismenettelyssä on määrättävä avustusten tai muiden kannustimien maksamisesta yrityksille, jotka täyttävät vaatimukset ja jättävät hakemuksen. </w:t>
            </w:r>
          </w:p>
        </w:tc>
      </w:tr>
      <w:tr w:rsidR="00E42B18" w14:paraId="4C1A1547" w14:textId="77777777">
        <w:trPr>
          <w:trHeight w:val="300"/>
        </w:trPr>
        <w:tc>
          <w:tcPr>
            <w:tcW w:w="1276" w:type="dxa"/>
            <w:shd w:val="clear" w:color="auto" w:fill="C6EFCE"/>
            <w:vAlign w:val="center"/>
            <w:hideMark/>
          </w:tcPr>
          <w:p w14:paraId="64434B9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M2C1–6a </w:t>
            </w:r>
          </w:p>
        </w:tc>
        <w:tc>
          <w:tcPr>
            <w:tcW w:w="1418" w:type="dxa"/>
            <w:shd w:val="clear" w:color="auto" w:fill="C6EFCE"/>
            <w:vAlign w:val="center"/>
            <w:hideMark/>
          </w:tcPr>
          <w:p w14:paraId="04B8485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2.2: Maatalouden aurinkopuisto </w:t>
            </w:r>
          </w:p>
        </w:tc>
        <w:tc>
          <w:tcPr>
            <w:tcW w:w="1276" w:type="dxa"/>
            <w:shd w:val="clear" w:color="auto" w:fill="C6EFCE"/>
            <w:vAlign w:val="center"/>
            <w:hideMark/>
          </w:tcPr>
          <w:p w14:paraId="2CBCBD1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701" w:type="dxa"/>
            <w:shd w:val="clear" w:color="auto" w:fill="C6EFCE"/>
            <w:vAlign w:val="center"/>
            <w:hideMark/>
          </w:tcPr>
          <w:p w14:paraId="5FAF537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Varojen kohdentaminen tuensaajille prosentteina investoinnille osoitetuista kokonaismäärärahoista </w:t>
            </w:r>
          </w:p>
        </w:tc>
        <w:tc>
          <w:tcPr>
            <w:tcW w:w="1771" w:type="dxa"/>
            <w:shd w:val="clear" w:color="auto" w:fill="C6EFCE"/>
            <w:vAlign w:val="center"/>
            <w:hideMark/>
          </w:tcPr>
          <w:p w14:paraId="64216E2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98" w:type="dxa"/>
            <w:shd w:val="clear" w:color="auto" w:fill="C6EFCE"/>
            <w:vAlign w:val="center"/>
            <w:hideMark/>
          </w:tcPr>
          <w:p w14:paraId="718B559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Prosenttiosuus </w:t>
            </w:r>
          </w:p>
        </w:tc>
        <w:tc>
          <w:tcPr>
            <w:tcW w:w="1043" w:type="dxa"/>
            <w:shd w:val="clear" w:color="auto" w:fill="C6EFCE"/>
            <w:vAlign w:val="center"/>
            <w:hideMark/>
          </w:tcPr>
          <w:p w14:paraId="095F34A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63.5 </w:t>
            </w:r>
          </w:p>
        </w:tc>
        <w:tc>
          <w:tcPr>
            <w:tcW w:w="1197" w:type="dxa"/>
            <w:shd w:val="clear" w:color="auto" w:fill="C6EFCE"/>
            <w:vAlign w:val="center"/>
            <w:hideMark/>
          </w:tcPr>
          <w:p w14:paraId="2473F0D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100 </w:t>
            </w:r>
          </w:p>
        </w:tc>
        <w:tc>
          <w:tcPr>
            <w:tcW w:w="900" w:type="dxa"/>
            <w:shd w:val="clear" w:color="auto" w:fill="C6EFCE"/>
            <w:vAlign w:val="center"/>
            <w:hideMark/>
          </w:tcPr>
          <w:p w14:paraId="0EEC345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08" w:type="dxa"/>
            <w:shd w:val="clear" w:color="auto" w:fill="C6EFCE"/>
            <w:vAlign w:val="center"/>
            <w:hideMark/>
          </w:tcPr>
          <w:p w14:paraId="16A0B03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2024 </w:t>
            </w:r>
          </w:p>
        </w:tc>
        <w:tc>
          <w:tcPr>
            <w:tcW w:w="2880" w:type="dxa"/>
            <w:shd w:val="clear" w:color="auto" w:fill="C6EFCE"/>
            <w:vAlign w:val="center"/>
            <w:hideMark/>
          </w:tcPr>
          <w:p w14:paraId="2D951A2E"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Sellaisten tuensaajahankkeiden yksilöinti, joiden kokonaisarvo on vähintään 100 prosenttia investointiin osoitetuista lisämäärärahoista. Myöntämismenettelyssä myönnetään avustuksia tai muita kannustimia yrityksille, jotka täyttävät vaatimukset ja jättävät hakemuksen. </w:t>
            </w:r>
          </w:p>
        </w:tc>
      </w:tr>
      <w:tr w:rsidR="00E42B18" w14:paraId="74D05FB3" w14:textId="77777777">
        <w:trPr>
          <w:trHeight w:val="300"/>
        </w:trPr>
        <w:tc>
          <w:tcPr>
            <w:tcW w:w="1276" w:type="dxa"/>
            <w:shd w:val="clear" w:color="auto" w:fill="C6EFCE"/>
            <w:vAlign w:val="center"/>
            <w:hideMark/>
          </w:tcPr>
          <w:p w14:paraId="1FAF11F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M2C1–7 </w:t>
            </w:r>
          </w:p>
        </w:tc>
        <w:tc>
          <w:tcPr>
            <w:tcW w:w="1418" w:type="dxa"/>
            <w:shd w:val="clear" w:color="auto" w:fill="C6EFCE"/>
            <w:vAlign w:val="center"/>
            <w:hideMark/>
          </w:tcPr>
          <w:p w14:paraId="1A51346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2.3: Innovointi ja koneistaminen maatalous- ja elintarvikealalla </w:t>
            </w:r>
          </w:p>
        </w:tc>
        <w:tc>
          <w:tcPr>
            <w:tcW w:w="1276" w:type="dxa"/>
            <w:shd w:val="clear" w:color="auto" w:fill="C6EFCE"/>
            <w:vAlign w:val="center"/>
            <w:hideMark/>
          </w:tcPr>
          <w:p w14:paraId="38534C8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701" w:type="dxa"/>
            <w:shd w:val="clear" w:color="auto" w:fill="C6EFCE"/>
            <w:vAlign w:val="center"/>
            <w:hideMark/>
          </w:tcPr>
          <w:p w14:paraId="6EAC727F"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Lopullisten paremmuusjärjestysten julkaiseminen ja lopullisten vastaanottajien yksilöinti. </w:t>
            </w:r>
          </w:p>
        </w:tc>
        <w:tc>
          <w:tcPr>
            <w:tcW w:w="1771" w:type="dxa"/>
            <w:shd w:val="clear" w:color="auto" w:fill="C6EFCE"/>
            <w:vAlign w:val="center"/>
            <w:hideMark/>
          </w:tcPr>
          <w:p w14:paraId="68B1519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98" w:type="dxa"/>
            <w:shd w:val="clear" w:color="auto" w:fill="C6EFCE"/>
            <w:vAlign w:val="center"/>
            <w:hideMark/>
          </w:tcPr>
          <w:p w14:paraId="75941DF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Numero </w:t>
            </w:r>
          </w:p>
        </w:tc>
        <w:tc>
          <w:tcPr>
            <w:tcW w:w="1043" w:type="dxa"/>
            <w:shd w:val="clear" w:color="auto" w:fill="C6EFCE"/>
            <w:vAlign w:val="center"/>
            <w:hideMark/>
          </w:tcPr>
          <w:p w14:paraId="4E4D8BB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0 </w:t>
            </w:r>
          </w:p>
        </w:tc>
        <w:tc>
          <w:tcPr>
            <w:tcW w:w="1197" w:type="dxa"/>
            <w:shd w:val="clear" w:color="auto" w:fill="C6EFCE"/>
            <w:vAlign w:val="center"/>
            <w:hideMark/>
          </w:tcPr>
          <w:p w14:paraId="0FF55AA0" w14:textId="0EEFE9E2" w:rsidR="00E42B18" w:rsidRDefault="009629C4">
            <w:pPr>
              <w:pStyle w:val="P68B1DB1-Normal54"/>
              <w:spacing w:after="0" w:line="240" w:lineRule="auto"/>
              <w:jc w:val="center"/>
              <w:textAlignment w:val="baseline"/>
              <w:rPr>
                <w:rFonts w:ascii="Times New Roman" w:eastAsia="Times New Roman" w:hAnsi="Times New Roman" w:cs="Times New Roman"/>
                <w:noProof/>
                <w:sz w:val="24"/>
                <w:szCs w:val="24"/>
              </w:rPr>
            </w:pPr>
            <w:r>
              <w:rPr>
                <w:rFonts w:ascii="Arial Narrow" w:eastAsia="Times New Roman" w:hAnsi="Arial"/>
                <w:noProof/>
              </w:rPr>
              <w:t xml:space="preserve">10 </w:t>
            </w:r>
            <w:r>
              <w:rPr>
                <w:rFonts w:ascii="Arial Narrow" w:eastAsia="Times New Roman" w:hAnsi="Arial Narrow" w:cs="Times New Roman"/>
                <w:noProof/>
              </w:rPr>
              <w:t xml:space="preserve">000 </w:t>
            </w:r>
          </w:p>
        </w:tc>
        <w:tc>
          <w:tcPr>
            <w:tcW w:w="900" w:type="dxa"/>
            <w:shd w:val="clear" w:color="auto" w:fill="C6EFCE"/>
            <w:vAlign w:val="center"/>
            <w:hideMark/>
          </w:tcPr>
          <w:p w14:paraId="52A2649F"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08" w:type="dxa"/>
            <w:shd w:val="clear" w:color="auto" w:fill="C6EFCE"/>
            <w:vAlign w:val="center"/>
            <w:hideMark/>
          </w:tcPr>
          <w:p w14:paraId="3AFAFFF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2024 </w:t>
            </w:r>
          </w:p>
        </w:tc>
        <w:tc>
          <w:tcPr>
            <w:tcW w:w="2880" w:type="dxa"/>
            <w:shd w:val="clear" w:color="auto" w:fill="C6EFCE"/>
            <w:vAlign w:val="center"/>
            <w:hideMark/>
          </w:tcPr>
          <w:p w14:paraId="4A3A0576" w14:textId="29454414" w:rsidR="00E42B18" w:rsidRDefault="009629C4">
            <w:pPr>
              <w:pStyle w:val="P68B1DB1-Normal54"/>
              <w:spacing w:after="0" w:line="240" w:lineRule="auto"/>
              <w:textAlignment w:val="baseline"/>
              <w:rPr>
                <w:rFonts w:ascii="Times New Roman" w:eastAsia="Times New Roman" w:hAnsi="Times New Roman" w:cs="Times New Roman"/>
                <w:noProof/>
                <w:sz w:val="24"/>
                <w:szCs w:val="24"/>
              </w:rPr>
            </w:pPr>
            <w:r>
              <w:rPr>
                <w:rFonts w:ascii="Arial Narrow" w:eastAsia="Times New Roman" w:hAnsi="Arial"/>
                <w:noProof/>
              </w:rPr>
              <w:t>Yksil</w:t>
            </w:r>
            <w:r>
              <w:rPr>
                <w:rFonts w:ascii="Arial Narrow" w:eastAsia="Times New Roman" w:hAnsi="Arial"/>
                <w:noProof/>
              </w:rPr>
              <w:t>ö</w:t>
            </w:r>
            <w:r>
              <w:rPr>
                <w:rFonts w:ascii="Arial Narrow" w:eastAsia="Times New Roman" w:hAnsi="Arial"/>
                <w:noProof/>
              </w:rPr>
              <w:t>id</w:t>
            </w:r>
            <w:r>
              <w:rPr>
                <w:rFonts w:ascii="Arial Narrow" w:eastAsia="Times New Roman" w:hAnsi="Arial"/>
                <w:noProof/>
              </w:rPr>
              <w:t>ää</w:t>
            </w:r>
            <w:r>
              <w:rPr>
                <w:rFonts w:ascii="Arial Narrow" w:eastAsia="Times New Roman" w:hAnsi="Arial"/>
                <w:noProof/>
              </w:rPr>
              <w:t>n v</w:t>
            </w:r>
            <w:r>
              <w:rPr>
                <w:rFonts w:ascii="Arial Narrow" w:eastAsia="Times New Roman" w:hAnsi="Arial"/>
                <w:noProof/>
              </w:rPr>
              <w:t>ä</w:t>
            </w:r>
            <w:r>
              <w:rPr>
                <w:rFonts w:ascii="Arial Narrow" w:eastAsia="Times New Roman" w:hAnsi="Arial"/>
                <w:noProof/>
              </w:rPr>
              <w:t>hint</w:t>
            </w:r>
            <w:r>
              <w:rPr>
                <w:rFonts w:ascii="Arial Narrow" w:eastAsia="Times New Roman" w:hAnsi="Arial"/>
                <w:noProof/>
              </w:rPr>
              <w:t>ää</w:t>
            </w:r>
            <w:r>
              <w:rPr>
                <w:rFonts w:ascii="Arial Narrow" w:eastAsia="Times New Roman" w:hAnsi="Arial"/>
                <w:noProof/>
              </w:rPr>
              <w:t xml:space="preserve">n </w:t>
            </w:r>
            <w:r>
              <w:rPr>
                <w:rFonts w:ascii="Arial Narrow" w:eastAsia="Times New Roman" w:hAnsi="Arial Narrow" w:cs="Times New Roman"/>
                <w:noProof/>
              </w:rPr>
              <w:t xml:space="preserve">10000 lopullista vastaanottajaa, jotka investoivat innovointiin kierto- ja biotaloudessa. </w:t>
            </w:r>
          </w:p>
          <w:p w14:paraId="2EF06732"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Sijoituksissa on otettava huomioon vähintään yksi seuraavista: </w:t>
            </w:r>
          </w:p>
          <w:p w14:paraId="57B3AF25"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 Useamman vaihtoehdon korvaaminen </w:t>
            </w:r>
          </w:p>
          <w:p w14:paraId="2353114F"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saastuttavat maastoajoneuvot </w:t>
            </w:r>
          </w:p>
          <w:p w14:paraId="44CBC8A2"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 Täsmäviljelyn ja maatalouden koneiden käyttöönotto 4.0 </w:t>
            </w:r>
          </w:p>
          <w:p w14:paraId="58DCCCE3"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 Oliivimyllyjen vanhentuneiden tilojen korvaaminen </w:t>
            </w:r>
          </w:p>
          <w:p w14:paraId="29ACF8BB"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Jotta noudatettaisiin ”do-No-” -periaatetta </w:t>
            </w:r>
          </w:p>
          <w:p w14:paraId="6BCEF6B9"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Merkittävän vaaran periaatteen mukaan maastoajoneuvojen on oltava päästöttömiä tai niitä on käytettävä yksinomaan biometaanilla, jonka on täytettävä direktiivissä 2018/2001 (RED II -direktiivi) vahvistetut kriteerit. </w:t>
            </w:r>
          </w:p>
          <w:p w14:paraId="7DDBFA69"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Biopolttoaineiden ja biometaanin tuottajien ja biopolttoaineiden tuottajien on toimitettava riippumattomien arvioijien antamat todistukset, jäljempänä ’kestävyystodistus’, kuten direktiivissä 2018/2001 säädetään. </w:t>
            </w:r>
          </w:p>
          <w:p w14:paraId="7B227ADD"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Toiminnanharjoittajan on ostettava alkuperätakuutodistukset, jotka ovat oikeassa suhteessa odotettuun polttoaineen käyttöön. </w:t>
            </w:r>
          </w:p>
        </w:tc>
      </w:tr>
      <w:tr w:rsidR="00E42B18" w14:paraId="54CE5655" w14:textId="77777777">
        <w:trPr>
          <w:trHeight w:val="300"/>
        </w:trPr>
        <w:tc>
          <w:tcPr>
            <w:tcW w:w="1276" w:type="dxa"/>
            <w:shd w:val="clear" w:color="auto" w:fill="C6EFCE"/>
            <w:vAlign w:val="center"/>
            <w:hideMark/>
          </w:tcPr>
          <w:p w14:paraId="78F45A1F"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M2C1–8 </w:t>
            </w:r>
          </w:p>
        </w:tc>
        <w:tc>
          <w:tcPr>
            <w:tcW w:w="1418" w:type="dxa"/>
            <w:shd w:val="clear" w:color="auto" w:fill="C6EFCE"/>
            <w:vAlign w:val="center"/>
            <w:hideMark/>
          </w:tcPr>
          <w:p w14:paraId="5132607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2.3: Innovointi ja koneistaminen maatalous- ja elintarvikealalla </w:t>
            </w:r>
          </w:p>
        </w:tc>
        <w:tc>
          <w:tcPr>
            <w:tcW w:w="1276" w:type="dxa"/>
            <w:shd w:val="clear" w:color="auto" w:fill="C6EFCE"/>
            <w:vAlign w:val="center"/>
            <w:hideMark/>
          </w:tcPr>
          <w:p w14:paraId="14AB327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701" w:type="dxa"/>
            <w:shd w:val="clear" w:color="auto" w:fill="C6EFCE"/>
            <w:vAlign w:val="center"/>
            <w:hideMark/>
          </w:tcPr>
          <w:p w14:paraId="06BB9710"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Kiertotalouden ja biotalouden innovointiin tehtävien investointien tukeminen </w:t>
            </w:r>
          </w:p>
        </w:tc>
        <w:tc>
          <w:tcPr>
            <w:tcW w:w="1771" w:type="dxa"/>
            <w:shd w:val="clear" w:color="auto" w:fill="C6EFCE"/>
            <w:vAlign w:val="center"/>
            <w:hideMark/>
          </w:tcPr>
          <w:p w14:paraId="659EEB2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98" w:type="dxa"/>
            <w:shd w:val="clear" w:color="auto" w:fill="C6EFCE"/>
            <w:vAlign w:val="center"/>
            <w:hideMark/>
          </w:tcPr>
          <w:p w14:paraId="1CAFDC5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Numero </w:t>
            </w:r>
          </w:p>
        </w:tc>
        <w:tc>
          <w:tcPr>
            <w:tcW w:w="1043" w:type="dxa"/>
            <w:shd w:val="clear" w:color="auto" w:fill="C6EFCE"/>
            <w:vAlign w:val="center"/>
            <w:hideMark/>
          </w:tcPr>
          <w:p w14:paraId="21A4865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0 </w:t>
            </w:r>
          </w:p>
        </w:tc>
        <w:tc>
          <w:tcPr>
            <w:tcW w:w="1197" w:type="dxa"/>
            <w:shd w:val="clear" w:color="auto" w:fill="C6EFCE"/>
            <w:vAlign w:val="center"/>
            <w:hideMark/>
          </w:tcPr>
          <w:p w14:paraId="3FC1984F" w14:textId="11770B13" w:rsidR="00E42B18" w:rsidRDefault="009629C4">
            <w:pPr>
              <w:pStyle w:val="P68B1DB1-Normal21"/>
              <w:spacing w:after="0" w:line="240" w:lineRule="auto"/>
              <w:jc w:val="center"/>
              <w:textAlignment w:val="baseline"/>
              <w:rPr>
                <w:rFonts w:ascii="Times New Roman" w:eastAsia="Times New Roman" w:hAnsi="Times New Roman" w:cs="Times New Roman"/>
                <w:noProof/>
                <w:kern w:val="0"/>
                <w:sz w:val="24"/>
                <w:szCs w:val="24"/>
                <w14:ligatures w14:val="none"/>
              </w:rPr>
            </w:pPr>
            <w:r>
              <w:rPr>
                <w:rFonts w:ascii="Arial Narrow" w:eastAsia="Times New Roman" w:hAnsi="Arial Narrow" w:cs="Times New Roman"/>
                <w:noProof/>
                <w:kern w:val="0"/>
                <w:szCs w:val="20"/>
                <w14:ligatures w14:val="none"/>
              </w:rPr>
              <w:t>10</w:t>
            </w:r>
            <w:r>
              <w:rPr>
                <w:rFonts w:ascii="Arial Narrow" w:hAnsi="Arial Narrow"/>
                <w:noProof/>
              </w:rPr>
              <w:t xml:space="preserve"> </w:t>
            </w:r>
            <w:r>
              <w:rPr>
                <w:rFonts w:ascii="Arial Narrow" w:eastAsia="Times New Roman" w:hAnsi="Arial Narrow" w:cs="Times New Roman"/>
                <w:noProof/>
                <w:kern w:val="0"/>
                <w:szCs w:val="20"/>
                <w14:ligatures w14:val="none"/>
              </w:rPr>
              <w:t xml:space="preserve">000 </w:t>
            </w:r>
          </w:p>
        </w:tc>
        <w:tc>
          <w:tcPr>
            <w:tcW w:w="900" w:type="dxa"/>
            <w:shd w:val="clear" w:color="auto" w:fill="C6EFCE"/>
            <w:vAlign w:val="center"/>
            <w:hideMark/>
          </w:tcPr>
          <w:p w14:paraId="00FCE21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08" w:type="dxa"/>
            <w:shd w:val="clear" w:color="auto" w:fill="C6EFCE"/>
            <w:vAlign w:val="center"/>
            <w:hideMark/>
          </w:tcPr>
          <w:p w14:paraId="007A92E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2026 </w:t>
            </w:r>
          </w:p>
        </w:tc>
        <w:tc>
          <w:tcPr>
            <w:tcW w:w="2880" w:type="dxa"/>
            <w:shd w:val="clear" w:color="auto" w:fill="C6EFCE"/>
            <w:vAlign w:val="center"/>
            <w:hideMark/>
          </w:tcPr>
          <w:p w14:paraId="796370A0" w14:textId="34D5F792" w:rsidR="00E42B18" w:rsidRDefault="009629C4">
            <w:pPr>
              <w:pStyle w:val="P68B1DB1-Normal21"/>
              <w:spacing w:after="0" w:line="240" w:lineRule="auto"/>
              <w:textAlignment w:val="baseline"/>
              <w:rPr>
                <w:rFonts w:ascii="Times New Roman" w:eastAsia="Times New Roman" w:hAnsi="Times New Roman" w:cs="Times New Roman"/>
                <w:noProof/>
                <w:kern w:val="0"/>
                <w:sz w:val="24"/>
                <w:szCs w:val="24"/>
                <w14:ligatures w14:val="none"/>
              </w:rPr>
            </w:pPr>
            <w:r>
              <w:rPr>
                <w:rFonts w:ascii="Arial Narrow" w:eastAsia="Times New Roman" w:hAnsi="Arial Narrow" w:cs="Times New Roman"/>
                <w:noProof/>
                <w:kern w:val="0"/>
                <w:szCs w:val="20"/>
                <w14:ligatures w14:val="none"/>
              </w:rPr>
              <w:t>Valmistumistodistus tai todistus säännöllisestä toteutuksesta (</w:t>
            </w:r>
            <w:r>
              <w:rPr>
                <w:rFonts w:ascii="Arial Narrow" w:eastAsia="Times New Roman" w:hAnsi="Arial Narrow" w:cs="Times New Roman"/>
                <w:i/>
                <w:noProof/>
                <w:kern w:val="0"/>
                <w:szCs w:val="20"/>
                <w14:ligatures w14:val="none"/>
              </w:rPr>
              <w:t xml:space="preserve">Attestazione di regolare </w:t>
            </w:r>
            <w:r>
              <w:rPr>
                <w:rFonts w:ascii="Arial Narrow" w:eastAsia="Times New Roman" w:hAnsi="Arial Narrow" w:cs="Times New Roman"/>
                <w:noProof/>
                <w:kern w:val="0"/>
                <w:szCs w:val="20"/>
                <w14:ligatures w14:val="none"/>
              </w:rPr>
              <w:t>esecuzione), joka on</w:t>
            </w:r>
            <w:r>
              <w:rPr>
                <w:rFonts w:ascii="Arial Narrow" w:eastAsia="Times New Roman" w:hAnsi="Arial Narrow" w:cs="Times New Roman"/>
                <w:i/>
                <w:noProof/>
                <w:kern w:val="0"/>
                <w:szCs w:val="20"/>
                <w14:ligatures w14:val="none"/>
              </w:rPr>
              <w:t xml:space="preserve"> </w:t>
            </w:r>
            <w:r>
              <w:rPr>
                <w:rFonts w:ascii="Arial Narrow" w:eastAsia="Times New Roman" w:hAnsi="Arial Narrow" w:cs="Times New Roman"/>
                <w:noProof/>
                <w:kern w:val="0"/>
                <w:szCs w:val="20"/>
                <w14:ligatures w14:val="none"/>
              </w:rPr>
              <w:t>annettu vähintään 10000:lle  kiertotalouden ja biotalouden innovointihankkeelle, joille myönnetään rahoitustukea.</w:t>
            </w:r>
          </w:p>
          <w:p w14:paraId="76E4B05B"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Tuetut investoinnit ovat seuraavat: </w:t>
            </w:r>
          </w:p>
          <w:p w14:paraId="3E4E78E3" w14:textId="77777777" w:rsidR="00E42B18" w:rsidRDefault="009629C4">
            <w:pPr>
              <w:pStyle w:val="P68B1DB1-Normal55"/>
              <w:spacing w:after="0" w:line="240" w:lineRule="auto"/>
              <w:textAlignment w:val="baseline"/>
              <w:rPr>
                <w:rFonts w:ascii="Times New Roman" w:hAnsi="Times New Roman"/>
                <w:noProof/>
                <w:sz w:val="24"/>
                <w:szCs w:val="24"/>
              </w:rPr>
            </w:pPr>
            <w:r>
              <w:rPr>
                <w:noProof/>
                <w:color w:val="006100"/>
                <w:sz w:val="20"/>
                <w:szCs w:val="20"/>
              </w:rPr>
              <w:t xml:space="preserve">Saastuttavampien maastoajoneuvojen korvaaminen </w:t>
            </w:r>
          </w:p>
          <w:p w14:paraId="6380709C" w14:textId="77777777" w:rsidR="00E42B18" w:rsidRDefault="009629C4">
            <w:pPr>
              <w:pStyle w:val="P68B1DB1-Normal55"/>
              <w:spacing w:after="0" w:line="240" w:lineRule="auto"/>
              <w:textAlignment w:val="baseline"/>
              <w:rPr>
                <w:rFonts w:ascii="Times New Roman" w:hAnsi="Times New Roman"/>
                <w:noProof/>
                <w:sz w:val="24"/>
                <w:szCs w:val="24"/>
              </w:rPr>
            </w:pPr>
            <w:r>
              <w:rPr>
                <w:noProof/>
                <w:color w:val="006100"/>
                <w:sz w:val="20"/>
                <w:szCs w:val="20"/>
              </w:rPr>
              <w:t>-</w:t>
            </w:r>
            <w:r>
              <w:rPr>
                <w:noProof/>
                <w:sz w:val="24"/>
                <w:szCs w:val="24"/>
              </w:rPr>
              <w:t xml:space="preserve"> </w:t>
            </w:r>
            <w:r>
              <w:rPr>
                <w:noProof/>
                <w:color w:val="006100"/>
                <w:sz w:val="20"/>
                <w:szCs w:val="20"/>
              </w:rPr>
              <w:t xml:space="preserve">Täsmäviljelyn käyttöönotto </w:t>
            </w:r>
          </w:p>
          <w:p w14:paraId="516CE9D6" w14:textId="77777777" w:rsidR="00E42B18" w:rsidRDefault="009629C4">
            <w:pPr>
              <w:pStyle w:val="P68B1DB1-Normal55"/>
              <w:spacing w:after="0" w:line="240" w:lineRule="auto"/>
              <w:textAlignment w:val="baseline"/>
              <w:rPr>
                <w:rFonts w:ascii="Times New Roman" w:hAnsi="Times New Roman"/>
                <w:noProof/>
                <w:sz w:val="24"/>
                <w:szCs w:val="24"/>
              </w:rPr>
            </w:pPr>
            <w:r>
              <w:rPr>
                <w:noProof/>
                <w:color w:val="006100"/>
                <w:sz w:val="20"/>
                <w:szCs w:val="20"/>
              </w:rPr>
              <w:t>—</w:t>
            </w:r>
            <w:r>
              <w:rPr>
                <w:noProof/>
                <w:sz w:val="24"/>
                <w:szCs w:val="24"/>
              </w:rPr>
              <w:t xml:space="preserve"> </w:t>
            </w:r>
            <w:r>
              <w:rPr>
                <w:noProof/>
                <w:color w:val="006100"/>
                <w:sz w:val="20"/>
                <w:szCs w:val="20"/>
              </w:rPr>
              <w:t xml:space="preserve">Oliivimyllyjen vanhentuneiden tilojen korvaaminen </w:t>
            </w:r>
          </w:p>
          <w:p w14:paraId="5A53966D"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”Ei merkittävää haittaa” -periaatteen noudattamiseksi maastoajoneuvojen on oltava päästöttömiä tai niitä on käytettävä yksinomaan biometaanilla, jonka on täytettävä direktiivissä 2018/2001 (RED II -direktiivi) vahvistetut kriteerit. </w:t>
            </w:r>
          </w:p>
          <w:p w14:paraId="53BEABB6"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Biopolttoaineiden ja biometaanin tuottajien ja biopolttoaineiden tuottajien on toimitettava riippumattomien arvioijien antamat todistukset, jäljempänä ’kestävyystodistus’, kuten direktiivissä 2018/2001 säädetään. Toiminnanharjoittajan on ostettava alkuperätakuutodistukset, jotka ovat oikeassa suhteessa odotettuun polttoaineen käyttöön. </w:t>
            </w:r>
          </w:p>
        </w:tc>
      </w:tr>
      <w:tr w:rsidR="00E42B18" w14:paraId="7FC61F80" w14:textId="77777777">
        <w:trPr>
          <w:trHeight w:val="300"/>
        </w:trPr>
        <w:tc>
          <w:tcPr>
            <w:tcW w:w="1276" w:type="dxa"/>
            <w:shd w:val="clear" w:color="auto" w:fill="C6EFCE"/>
            <w:vAlign w:val="center"/>
            <w:hideMark/>
          </w:tcPr>
          <w:p w14:paraId="0AD2E65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M2C1–9 </w:t>
            </w:r>
          </w:p>
        </w:tc>
        <w:tc>
          <w:tcPr>
            <w:tcW w:w="1418" w:type="dxa"/>
            <w:shd w:val="clear" w:color="auto" w:fill="C6EFCE"/>
            <w:vAlign w:val="center"/>
            <w:hideMark/>
          </w:tcPr>
          <w:p w14:paraId="57DAEA1F"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2.2: Maatalouden aurinkopuisto </w:t>
            </w:r>
          </w:p>
        </w:tc>
        <w:tc>
          <w:tcPr>
            <w:tcW w:w="1276" w:type="dxa"/>
            <w:shd w:val="clear" w:color="auto" w:fill="C6EFCE"/>
            <w:vAlign w:val="center"/>
            <w:hideMark/>
          </w:tcPr>
          <w:p w14:paraId="04549DA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701" w:type="dxa"/>
            <w:shd w:val="clear" w:color="auto" w:fill="C6EFCE"/>
            <w:vAlign w:val="center"/>
            <w:hideMark/>
          </w:tcPr>
          <w:p w14:paraId="3D30C2D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Maataloussähkön tuotanto </w:t>
            </w:r>
          </w:p>
        </w:tc>
        <w:tc>
          <w:tcPr>
            <w:tcW w:w="1771" w:type="dxa"/>
            <w:shd w:val="clear" w:color="auto" w:fill="C6EFCE"/>
            <w:vAlign w:val="center"/>
            <w:hideMark/>
          </w:tcPr>
          <w:p w14:paraId="12AFB4A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98" w:type="dxa"/>
            <w:shd w:val="clear" w:color="auto" w:fill="C6EFCE"/>
            <w:vAlign w:val="center"/>
            <w:hideMark/>
          </w:tcPr>
          <w:p w14:paraId="79B16E5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kW </w:t>
            </w:r>
          </w:p>
        </w:tc>
        <w:tc>
          <w:tcPr>
            <w:tcW w:w="1043" w:type="dxa"/>
            <w:shd w:val="clear" w:color="auto" w:fill="C6EFCE"/>
            <w:vAlign w:val="center"/>
            <w:hideMark/>
          </w:tcPr>
          <w:p w14:paraId="26E3B28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0 </w:t>
            </w:r>
          </w:p>
        </w:tc>
        <w:tc>
          <w:tcPr>
            <w:tcW w:w="1197" w:type="dxa"/>
            <w:shd w:val="clear" w:color="auto" w:fill="C6EFCE"/>
            <w:vAlign w:val="center"/>
            <w:hideMark/>
          </w:tcPr>
          <w:p w14:paraId="0844256F" w14:textId="1E3B4A99" w:rsidR="00E42B18" w:rsidRDefault="009629C4">
            <w:pPr>
              <w:pStyle w:val="P68B1DB1-Normal21"/>
              <w:spacing w:after="0" w:line="240" w:lineRule="auto"/>
              <w:jc w:val="center"/>
              <w:textAlignment w:val="baseline"/>
              <w:rPr>
                <w:rFonts w:ascii="Times New Roman" w:eastAsia="Times New Roman" w:hAnsi="Times New Roman" w:cs="Times New Roman"/>
                <w:noProof/>
                <w:kern w:val="0"/>
                <w:sz w:val="24"/>
                <w:szCs w:val="24"/>
                <w14:ligatures w14:val="none"/>
              </w:rPr>
            </w:pPr>
            <w:r>
              <w:rPr>
                <w:rFonts w:ascii="Arial Narrow" w:eastAsia="Times New Roman" w:hAnsi="Arial Narrow" w:cs="Times New Roman"/>
                <w:noProof/>
                <w:kern w:val="0"/>
                <w:szCs w:val="20"/>
                <w14:ligatures w14:val="none"/>
              </w:rPr>
              <w:t>1</w:t>
            </w:r>
            <w:r>
              <w:rPr>
                <w:rFonts w:ascii="Arial Narrow" w:hAnsi="Arial Narrow"/>
                <w:noProof/>
              </w:rPr>
              <w:t xml:space="preserve"> </w:t>
            </w:r>
            <w:r>
              <w:rPr>
                <w:rFonts w:ascii="Arial Narrow" w:eastAsia="Times New Roman" w:hAnsi="Arial Narrow" w:cs="Times New Roman"/>
                <w:noProof/>
                <w:kern w:val="0"/>
                <w:szCs w:val="20"/>
                <w14:ligatures w14:val="none"/>
              </w:rPr>
              <w:t>550</w:t>
            </w:r>
            <w:r>
              <w:rPr>
                <w:rFonts w:ascii="Arial Narrow" w:hAnsi="Arial Narrow"/>
                <w:noProof/>
              </w:rPr>
              <w:t xml:space="preserve"> </w:t>
            </w:r>
            <w:r>
              <w:rPr>
                <w:rFonts w:ascii="Arial Narrow" w:eastAsia="Times New Roman" w:hAnsi="Arial Narrow" w:cs="Times New Roman"/>
                <w:noProof/>
                <w:kern w:val="0"/>
                <w:szCs w:val="20"/>
                <w14:ligatures w14:val="none"/>
              </w:rPr>
              <w:t xml:space="preserve">000 </w:t>
            </w:r>
          </w:p>
        </w:tc>
        <w:tc>
          <w:tcPr>
            <w:tcW w:w="900" w:type="dxa"/>
            <w:shd w:val="clear" w:color="auto" w:fill="C6EFCE"/>
            <w:vAlign w:val="center"/>
            <w:hideMark/>
          </w:tcPr>
          <w:p w14:paraId="395CBEA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08" w:type="dxa"/>
            <w:shd w:val="clear" w:color="auto" w:fill="C6EFCE"/>
            <w:vAlign w:val="center"/>
            <w:hideMark/>
          </w:tcPr>
          <w:p w14:paraId="360A263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2026 </w:t>
            </w:r>
          </w:p>
        </w:tc>
        <w:tc>
          <w:tcPr>
            <w:tcW w:w="2880" w:type="dxa"/>
            <w:shd w:val="clear" w:color="auto" w:fill="C6EFCE"/>
            <w:vAlign w:val="center"/>
            <w:hideMark/>
          </w:tcPr>
          <w:p w14:paraId="3E69E6C0" w14:textId="419F5F79" w:rsidR="00E42B18" w:rsidRDefault="009629C4">
            <w:pPr>
              <w:pStyle w:val="P68B1DB1-Normal21"/>
              <w:spacing w:after="0" w:line="240" w:lineRule="auto"/>
              <w:textAlignment w:val="baseline"/>
              <w:rPr>
                <w:rFonts w:ascii="Times New Roman" w:eastAsia="Times New Roman" w:hAnsi="Times New Roman" w:cs="Times New Roman"/>
                <w:noProof/>
                <w:kern w:val="0"/>
                <w:sz w:val="24"/>
                <w:szCs w:val="24"/>
                <w14:ligatures w14:val="none"/>
              </w:rPr>
            </w:pPr>
            <w:r>
              <w:rPr>
                <w:rFonts w:ascii="Arial Narrow" w:eastAsia="Times New Roman" w:hAnsi="Arial Narrow" w:cs="Times New Roman"/>
                <w:noProof/>
                <w:kern w:val="0"/>
                <w:szCs w:val="20"/>
                <w14:ligatures w14:val="none"/>
              </w:rPr>
              <w:t>Asennustodistukset, jotka on myönnetty asennetulle vähintään</w:t>
            </w:r>
            <w:r>
              <w:rPr>
                <w:rFonts w:ascii="Arial Narrow" w:hAnsi="Arial Narrow"/>
                <w:noProof/>
              </w:rPr>
              <w:t xml:space="preserve"> </w:t>
            </w:r>
            <w:r>
              <w:rPr>
                <w:rFonts w:ascii="Arial Narrow" w:eastAsia="Times New Roman" w:hAnsi="Arial Narrow" w:cs="Times New Roman"/>
                <w:noProof/>
                <w:kern w:val="0"/>
                <w:szCs w:val="20"/>
                <w14:ligatures w14:val="none"/>
              </w:rPr>
              <w:t>1550000</w:t>
            </w:r>
            <w:r>
              <w:rPr>
                <w:rFonts w:ascii="Arial Narrow" w:hAnsi="Arial Narrow"/>
                <w:noProof/>
              </w:rPr>
              <w:t xml:space="preserve"> </w:t>
            </w:r>
            <w:r>
              <w:rPr>
                <w:rFonts w:ascii="Arial Narrow" w:eastAsia="Times New Roman" w:hAnsi="Arial Narrow" w:cs="Times New Roman"/>
                <w:noProof/>
                <w:kern w:val="0"/>
                <w:szCs w:val="20"/>
                <w14:ligatures w14:val="none"/>
              </w:rPr>
              <w:t xml:space="preserve">kW:n aurinkoenergian tuotantokapasiteetille. </w:t>
            </w:r>
          </w:p>
        </w:tc>
      </w:tr>
      <w:tr w:rsidR="00E42B18" w14:paraId="14215262" w14:textId="77777777">
        <w:trPr>
          <w:trHeight w:val="300"/>
        </w:trPr>
        <w:tc>
          <w:tcPr>
            <w:tcW w:w="1276" w:type="dxa"/>
            <w:shd w:val="clear" w:color="auto" w:fill="C6EFCE"/>
            <w:vAlign w:val="center"/>
            <w:hideMark/>
          </w:tcPr>
          <w:p w14:paraId="07136FA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M2C1–11 </w:t>
            </w:r>
          </w:p>
        </w:tc>
        <w:tc>
          <w:tcPr>
            <w:tcW w:w="1418" w:type="dxa"/>
            <w:shd w:val="clear" w:color="auto" w:fill="C6EFCE"/>
            <w:vAlign w:val="center"/>
            <w:hideMark/>
          </w:tcPr>
          <w:p w14:paraId="0FAE8E9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3.3: Kulttuuri ja tietoisuus ympäristöaiheista ja -haasteista </w:t>
            </w:r>
          </w:p>
        </w:tc>
        <w:tc>
          <w:tcPr>
            <w:tcW w:w="1276" w:type="dxa"/>
            <w:shd w:val="clear" w:color="auto" w:fill="C6EFCE"/>
            <w:vAlign w:val="center"/>
            <w:hideMark/>
          </w:tcPr>
          <w:p w14:paraId="36A1108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701" w:type="dxa"/>
            <w:shd w:val="clear" w:color="auto" w:fill="C6EFCE"/>
            <w:vAlign w:val="center"/>
            <w:hideMark/>
          </w:tcPr>
          <w:p w14:paraId="5C048E9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Verkkofoorumin ja kirjailijoiden kanssa tehtävien sopimusten käynnistäminen </w:t>
            </w:r>
          </w:p>
        </w:tc>
        <w:tc>
          <w:tcPr>
            <w:tcW w:w="1771" w:type="dxa"/>
            <w:shd w:val="clear" w:color="auto" w:fill="C6EFCE"/>
            <w:vAlign w:val="center"/>
            <w:hideMark/>
          </w:tcPr>
          <w:p w14:paraId="35DF3ED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Ilmoitus sisällöntuottajien kanssa tehdyn sopimuksen allekirjoittamisesta </w:t>
            </w:r>
          </w:p>
        </w:tc>
        <w:tc>
          <w:tcPr>
            <w:tcW w:w="1098" w:type="dxa"/>
            <w:shd w:val="clear" w:color="auto" w:fill="C6EFCE"/>
            <w:vAlign w:val="center"/>
            <w:hideMark/>
          </w:tcPr>
          <w:p w14:paraId="507AFEA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43" w:type="dxa"/>
            <w:shd w:val="clear" w:color="auto" w:fill="C6EFCE"/>
            <w:vAlign w:val="center"/>
            <w:hideMark/>
          </w:tcPr>
          <w:p w14:paraId="1988DF4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197" w:type="dxa"/>
            <w:shd w:val="clear" w:color="auto" w:fill="C6EFCE"/>
            <w:vAlign w:val="center"/>
            <w:hideMark/>
          </w:tcPr>
          <w:p w14:paraId="32EA9BF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00" w:type="dxa"/>
            <w:shd w:val="clear" w:color="auto" w:fill="C6EFCE"/>
            <w:vAlign w:val="center"/>
            <w:hideMark/>
          </w:tcPr>
          <w:p w14:paraId="6D6EC95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08" w:type="dxa"/>
            <w:shd w:val="clear" w:color="auto" w:fill="C6EFCE"/>
            <w:vAlign w:val="center"/>
            <w:hideMark/>
          </w:tcPr>
          <w:p w14:paraId="4E2E202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2022 </w:t>
            </w:r>
          </w:p>
        </w:tc>
        <w:tc>
          <w:tcPr>
            <w:tcW w:w="2880" w:type="dxa"/>
            <w:shd w:val="clear" w:color="auto" w:fill="C6EFCE"/>
            <w:vAlign w:val="center"/>
            <w:hideMark/>
          </w:tcPr>
          <w:p w14:paraId="5A94A8EC"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Verkkoalustan julkinen käynnistäminen ja lopullisten sopimusten allekirjoittaminen ”sisällöntuottajien” kanssa. Hankkeiden tavoitteena on kehittää vähintään 180 podcastia, koulukohtaisia videoopintoja ja videosisältöjä, jotka on tuotettu ja saatavilla ympäristösiirtymää käsittelevällä verkkoalustalla. </w:t>
            </w:r>
          </w:p>
        </w:tc>
      </w:tr>
      <w:tr w:rsidR="00E42B18" w14:paraId="1F216D18" w14:textId="77777777">
        <w:trPr>
          <w:trHeight w:val="300"/>
        </w:trPr>
        <w:tc>
          <w:tcPr>
            <w:tcW w:w="1276" w:type="dxa"/>
            <w:shd w:val="clear" w:color="auto" w:fill="C6EFCE"/>
            <w:vAlign w:val="center"/>
            <w:hideMark/>
          </w:tcPr>
          <w:p w14:paraId="5D623B9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M2C1–12 </w:t>
            </w:r>
          </w:p>
        </w:tc>
        <w:tc>
          <w:tcPr>
            <w:tcW w:w="1418" w:type="dxa"/>
            <w:shd w:val="clear" w:color="auto" w:fill="C6EFCE"/>
            <w:vAlign w:val="center"/>
            <w:hideMark/>
          </w:tcPr>
          <w:p w14:paraId="1C95D0D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3.3: Kulttuuri ja tietoisuus ympäristöaiheista ja -haasteista </w:t>
            </w:r>
          </w:p>
        </w:tc>
        <w:tc>
          <w:tcPr>
            <w:tcW w:w="1276" w:type="dxa"/>
            <w:shd w:val="clear" w:color="auto" w:fill="C6EFCE"/>
            <w:vAlign w:val="center"/>
            <w:hideMark/>
          </w:tcPr>
          <w:p w14:paraId="3A79F45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701" w:type="dxa"/>
            <w:shd w:val="clear" w:color="auto" w:fill="C6EFCE"/>
            <w:vAlign w:val="center"/>
            <w:hideMark/>
          </w:tcPr>
          <w:p w14:paraId="73A0845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Podcasteja ympäristösiirtymästä </w:t>
            </w:r>
          </w:p>
        </w:tc>
        <w:tc>
          <w:tcPr>
            <w:tcW w:w="1771" w:type="dxa"/>
            <w:shd w:val="clear" w:color="auto" w:fill="C6EFCE"/>
            <w:vAlign w:val="center"/>
            <w:hideMark/>
          </w:tcPr>
          <w:p w14:paraId="70015D9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098" w:type="dxa"/>
            <w:shd w:val="clear" w:color="auto" w:fill="C6EFCE"/>
            <w:vAlign w:val="center"/>
            <w:hideMark/>
          </w:tcPr>
          <w:p w14:paraId="7F71147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Numero </w:t>
            </w:r>
          </w:p>
        </w:tc>
        <w:tc>
          <w:tcPr>
            <w:tcW w:w="1043" w:type="dxa"/>
            <w:shd w:val="clear" w:color="auto" w:fill="C6EFCE"/>
            <w:vAlign w:val="center"/>
            <w:hideMark/>
          </w:tcPr>
          <w:p w14:paraId="302A2D1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0 </w:t>
            </w:r>
          </w:p>
        </w:tc>
        <w:tc>
          <w:tcPr>
            <w:tcW w:w="1197" w:type="dxa"/>
            <w:shd w:val="clear" w:color="auto" w:fill="C6EFCE"/>
            <w:vAlign w:val="center"/>
            <w:hideMark/>
          </w:tcPr>
          <w:p w14:paraId="5D1160F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180 </w:t>
            </w:r>
          </w:p>
        </w:tc>
        <w:tc>
          <w:tcPr>
            <w:tcW w:w="900" w:type="dxa"/>
            <w:shd w:val="clear" w:color="auto" w:fill="C6EFCE"/>
            <w:vAlign w:val="center"/>
            <w:hideMark/>
          </w:tcPr>
          <w:p w14:paraId="7EC1BCB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08" w:type="dxa"/>
            <w:shd w:val="clear" w:color="auto" w:fill="C6EFCE"/>
            <w:vAlign w:val="center"/>
            <w:hideMark/>
          </w:tcPr>
          <w:p w14:paraId="6972BD2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2025 </w:t>
            </w:r>
          </w:p>
        </w:tc>
        <w:tc>
          <w:tcPr>
            <w:tcW w:w="2880" w:type="dxa"/>
            <w:shd w:val="clear" w:color="auto" w:fill="C6EFCE"/>
            <w:vAlign w:val="center"/>
            <w:hideMark/>
          </w:tcPr>
          <w:p w14:paraId="71CEA1C8" w14:textId="4D315FE4" w:rsidR="00E42B18" w:rsidRDefault="009629C4">
            <w:pPr>
              <w:pStyle w:val="P68B1DB1-Normal50"/>
              <w:spacing w:after="0" w:line="240" w:lineRule="auto"/>
              <w:textAlignment w:val="baseline"/>
              <w:rPr>
                <w:rFonts w:ascii="Times New Roman" w:hAnsi="Times New Roman"/>
                <w:noProof/>
                <w:sz w:val="24"/>
                <w:szCs w:val="24"/>
              </w:rPr>
            </w:pPr>
            <w:r>
              <w:rPr>
                <w:noProof/>
              </w:rPr>
              <w:t>Verkkofoorumilla on julkaistu vähintään 180 podcastia. </w:t>
            </w:r>
          </w:p>
        </w:tc>
      </w:tr>
    </w:tbl>
    <w:p w14:paraId="2D9B727B" w14:textId="733117AA" w:rsidR="00E42B18" w:rsidRDefault="00E42B18">
      <w:pPr>
        <w:spacing w:after="0" w:line="240" w:lineRule="auto"/>
        <w:ind w:left="705"/>
        <w:jc w:val="both"/>
        <w:textAlignment w:val="baseline"/>
        <w:rPr>
          <w:rFonts w:ascii="Segoe UI" w:eastAsia="Times New Roman" w:hAnsi="Segoe UI" w:cs="Segoe UI"/>
          <w:noProof/>
          <w:kern w:val="0"/>
          <w:sz w:val="18"/>
          <w:szCs w:val="18"/>
          <w14:ligatures w14:val="none"/>
        </w:rPr>
      </w:pPr>
    </w:p>
    <w:p w14:paraId="60AE2574" w14:textId="77777777" w:rsidR="00E42B18" w:rsidRDefault="00E42B18">
      <w:pPr>
        <w:rPr>
          <w:noProof/>
        </w:rPr>
        <w:sectPr w:rsidR="00E42B18" w:rsidSect="004E142E">
          <w:headerReference w:type="default" r:id="rId78"/>
          <w:footerReference w:type="default" r:id="rId79"/>
          <w:pgSz w:w="16838" w:h="11906" w:orient="landscape"/>
          <w:pgMar w:top="1440" w:right="1440" w:bottom="1440" w:left="1440" w:header="708" w:footer="708" w:gutter="0"/>
          <w:cols w:space="708"/>
          <w:docGrid w:linePitch="360"/>
        </w:sectPr>
      </w:pPr>
    </w:p>
    <w:p w14:paraId="73206D04" w14:textId="667739FA" w:rsidR="00E42B18" w:rsidRDefault="009629C4">
      <w:pPr>
        <w:pStyle w:val="P68B1DB1-Heading347"/>
        <w:ind w:left="850" w:hanging="850"/>
        <w:rPr>
          <w:bCs/>
          <w:noProof/>
        </w:rPr>
      </w:pPr>
      <w:r>
        <w:rPr>
          <w:noProof/>
        </w:rPr>
        <w:t xml:space="preserve">D.3 </w:t>
      </w:r>
      <w:r>
        <w:rPr>
          <w:noProof/>
        </w:rPr>
        <w:tab/>
        <w:t xml:space="preserve">Kuvaus lainamuotoisella tuella rahoitettavista uudistuksista ja investoinneista </w:t>
      </w:r>
    </w:p>
    <w:p w14:paraId="2F53F0E2" w14:textId="77777777" w:rsidR="00E42B18" w:rsidRDefault="00E42B18">
      <w:pPr>
        <w:spacing w:after="0" w:line="240" w:lineRule="auto"/>
        <w:ind w:left="840" w:hanging="840"/>
        <w:textAlignment w:val="baseline"/>
        <w:rPr>
          <w:rFonts w:ascii="Segoe UI" w:eastAsia="Times New Roman" w:hAnsi="Segoe UI" w:cs="Segoe UI"/>
          <w:noProof/>
          <w:color w:val="0F4761"/>
          <w:kern w:val="0"/>
          <w:sz w:val="18"/>
          <w:szCs w:val="18"/>
          <w14:ligatures w14:val="none"/>
        </w:rPr>
      </w:pPr>
    </w:p>
    <w:p w14:paraId="3E032A6A" w14:textId="77777777" w:rsidR="00E42B18" w:rsidRDefault="009629C4">
      <w:pPr>
        <w:pStyle w:val="P68B1DB1-Normal46"/>
        <w:spacing w:after="0" w:line="240" w:lineRule="auto"/>
        <w:jc w:val="both"/>
        <w:textAlignment w:val="baseline"/>
        <w:rPr>
          <w:rFonts w:ascii="Segoe UI" w:hAnsi="Segoe UI" w:cs="Segoe UI"/>
          <w:noProof/>
          <w:sz w:val="18"/>
          <w:szCs w:val="18"/>
        </w:rPr>
      </w:pPr>
      <w:r>
        <w:rPr>
          <w:b/>
          <w:noProof/>
        </w:rPr>
        <w:t>Uudistus 1.2 – Jätehuollon kansallinen ohjelma</w:t>
      </w:r>
      <w:r>
        <w:rPr>
          <w:noProof/>
        </w:rPr>
        <w:t> </w:t>
      </w:r>
    </w:p>
    <w:p w14:paraId="1A7EF702" w14:textId="767379BE" w:rsidR="00E42B18" w:rsidRDefault="009629C4">
      <w:pPr>
        <w:pStyle w:val="P68B1DB1-Normal45"/>
        <w:spacing w:after="0" w:line="240" w:lineRule="auto"/>
        <w:jc w:val="both"/>
        <w:textAlignment w:val="baseline"/>
        <w:rPr>
          <w:noProof/>
        </w:rPr>
      </w:pPr>
      <w:r>
        <w:rPr>
          <w:noProof/>
        </w:rPr>
        <w:t xml:space="preserve">Uudistuksessa hyväksytään laaja kansallinen jätehuolto-ohjelma, jolla pyritään mahdollisimman suureen jätteen uudelleenkäyttöön valmisteluun, kierrätykseen ja hyödyntämiseen, mukautetaan integroidun jätehuollon edellyttämien laitosten verkostoa, minimoidaan loppukäsittely viime kädessä ja jäännösvaihtoehtona, otetaan käyttöön seurantajärjestelmiä, estetään uusien rikkomusmenettelyjen aloittaminen Italiaa vastaan, puututaan jätteiden vähäiseen keräämiseen, ehkäistään kaatopaikalle sijoittamista ja varmistetaan täydentävyys alueellisten jäteohjelmien kanssa, mahdollistetaan EU:n ja kansallisen jätelainsäädännön tavoitteiden saavuttaminen ja torjutaan jätteiden laitonta sijoittamista ja ulkoilman polttamista. </w:t>
      </w:r>
    </w:p>
    <w:p w14:paraId="16A53130" w14:textId="77777777" w:rsidR="00E42B18" w:rsidRDefault="00E42B18">
      <w:pPr>
        <w:spacing w:after="0" w:line="240" w:lineRule="auto"/>
        <w:jc w:val="both"/>
        <w:textAlignment w:val="baseline"/>
        <w:rPr>
          <w:rFonts w:ascii="Segoe UI" w:eastAsia="Times New Roman" w:hAnsi="Segoe UI" w:cs="Segoe UI"/>
          <w:noProof/>
          <w:kern w:val="0"/>
          <w:sz w:val="18"/>
          <w:szCs w:val="18"/>
          <w14:ligatures w14:val="none"/>
        </w:rPr>
      </w:pPr>
    </w:p>
    <w:p w14:paraId="13D6BAAE" w14:textId="77777777" w:rsidR="00E42B18" w:rsidRDefault="009629C4">
      <w:pPr>
        <w:pStyle w:val="P68B1DB1-Normal56"/>
        <w:spacing w:after="0" w:line="240" w:lineRule="auto"/>
        <w:jc w:val="both"/>
        <w:textAlignment w:val="baseline"/>
        <w:rPr>
          <w:bCs/>
          <w:noProof/>
        </w:rPr>
      </w:pPr>
      <w:r>
        <w:rPr>
          <w:noProof/>
        </w:rPr>
        <w:t>Investointi 1.1 – Uusien jätehuoltolaitosten käyttöönotto ja olemassa olevien laitosten ja kiertotalouden nykyaikaistaminen ”lippulaivahankkeet” </w:t>
      </w:r>
    </w:p>
    <w:p w14:paraId="2FC46C78" w14:textId="28502A7B" w:rsidR="00E42B18" w:rsidRDefault="009629C4">
      <w:pPr>
        <w:pStyle w:val="P68B1DB1-Normal45"/>
        <w:spacing w:after="0" w:line="240" w:lineRule="auto"/>
        <w:jc w:val="both"/>
        <w:textAlignment w:val="baseline"/>
        <w:rPr>
          <w:noProof/>
        </w:rPr>
      </w:pPr>
      <w:r>
        <w:rPr>
          <w:noProof/>
        </w:rPr>
        <w:t>Tämän investoinnin tavoitteena on parantaa jätehuoltoa ja tukea kiertotaloutta. Investointi koostuu hankkeiden rahoittamisesta uusien käsittely-/kierrätyslaitosten rakentamiseksi tai olemassa olevien laitosten nykyaikaistamiseksi sekä eri jätevirtojen erilliskeräyksen tukemiseksi ja digitalisoimiseksi. </w:t>
      </w:r>
    </w:p>
    <w:p w14:paraId="1D820778" w14:textId="77777777" w:rsidR="00E42B18" w:rsidRDefault="009629C4">
      <w:pPr>
        <w:pStyle w:val="P68B1DB1-Normal46"/>
        <w:spacing w:after="0" w:line="240" w:lineRule="auto"/>
        <w:ind w:left="360"/>
        <w:jc w:val="both"/>
        <w:textAlignment w:val="baseline"/>
        <w:rPr>
          <w:rFonts w:ascii="Segoe UI" w:hAnsi="Segoe UI" w:cs="Segoe UI"/>
          <w:noProof/>
          <w:sz w:val="18"/>
          <w:szCs w:val="18"/>
        </w:rPr>
      </w:pPr>
      <w:r>
        <w:rPr>
          <w:noProof/>
        </w:rPr>
        <w:t> </w:t>
      </w:r>
    </w:p>
    <w:p w14:paraId="20655233" w14:textId="77777777" w:rsidR="00E42B18" w:rsidRDefault="009629C4">
      <w:pPr>
        <w:pStyle w:val="P68B1DB1-Normal46"/>
        <w:spacing w:after="0" w:line="240" w:lineRule="auto"/>
        <w:jc w:val="both"/>
        <w:textAlignment w:val="baseline"/>
        <w:rPr>
          <w:rFonts w:ascii="Segoe UI" w:hAnsi="Segoe UI" w:cs="Segoe UI"/>
          <w:noProof/>
          <w:sz w:val="18"/>
          <w:szCs w:val="18"/>
        </w:rPr>
      </w:pPr>
      <w:r>
        <w:rPr>
          <w:b/>
          <w:noProof/>
        </w:rPr>
        <w:t>Investointi 2.1 – Maatalous-, kalastus- ja vesiviljelyalan, metsätalouden, kukkaviljelyn ja taimitarhan logistiikkasuunnitelma</w:t>
      </w:r>
      <w:r>
        <w:rPr>
          <w:noProof/>
        </w:rPr>
        <w:t> </w:t>
      </w:r>
    </w:p>
    <w:p w14:paraId="6A0F2C91" w14:textId="46324793" w:rsidR="00E42B18" w:rsidRDefault="009629C4">
      <w:pPr>
        <w:pStyle w:val="P68B1DB1-Normal45"/>
        <w:spacing w:after="0" w:line="240" w:lineRule="auto"/>
        <w:jc w:val="both"/>
        <w:textAlignment w:val="baseline"/>
        <w:rPr>
          <w:noProof/>
        </w:rPr>
      </w:pPr>
      <w:r>
        <w:rPr>
          <w:noProof/>
        </w:rPr>
        <w:t xml:space="preserve">Tämän investoinnin tavoitteena on edistää päästöjen vähentämistä kuljetus- ja logistiikkavaiheissa maatalouselintarvikealalla edistämällä alan digitalisaatiota ja uusiutuvan energian käyttöä. Toimenpide koostuu tuen myöntämisestä aineellisille ja aineettomille investoinneille. </w:t>
      </w:r>
    </w:p>
    <w:p w14:paraId="45E36576" w14:textId="77777777" w:rsidR="00E42B18" w:rsidRDefault="00E42B18">
      <w:pPr>
        <w:spacing w:after="0" w:line="240" w:lineRule="auto"/>
        <w:jc w:val="both"/>
        <w:textAlignment w:val="baseline"/>
        <w:rPr>
          <w:rFonts w:ascii="Segoe UI" w:eastAsia="Times New Roman" w:hAnsi="Segoe UI" w:cs="Segoe UI"/>
          <w:noProof/>
          <w:kern w:val="0"/>
          <w:sz w:val="18"/>
          <w:szCs w:val="18"/>
          <w14:ligatures w14:val="none"/>
        </w:rPr>
      </w:pPr>
    </w:p>
    <w:p w14:paraId="632D9FCC" w14:textId="11F0B96F" w:rsidR="00E42B18" w:rsidRDefault="009629C4">
      <w:pPr>
        <w:pStyle w:val="P68B1DB1-Normal56"/>
        <w:spacing w:after="0" w:line="240" w:lineRule="auto"/>
        <w:jc w:val="both"/>
        <w:textAlignment w:val="baseline"/>
        <w:rPr>
          <w:rFonts w:ascii="Segoe UI" w:hAnsi="Segoe UI" w:cs="Segoe UI"/>
          <w:noProof/>
          <w:sz w:val="18"/>
          <w:szCs w:val="18"/>
        </w:rPr>
      </w:pPr>
      <w:r>
        <w:rPr>
          <w:noProof/>
        </w:rPr>
        <w:t>Investointi 3.1 – Vihreät saaret</w:t>
      </w:r>
    </w:p>
    <w:p w14:paraId="1EE4DA36" w14:textId="7AC0557B" w:rsidR="00E42B18" w:rsidRDefault="009629C4">
      <w:pPr>
        <w:pStyle w:val="P68B1DB1-Normal45"/>
        <w:spacing w:after="0" w:line="240" w:lineRule="auto"/>
        <w:jc w:val="both"/>
        <w:textAlignment w:val="baseline"/>
        <w:rPr>
          <w:noProof/>
        </w:rPr>
      </w:pPr>
      <w:r>
        <w:rPr>
          <w:noProof/>
        </w:rPr>
        <w:t xml:space="preserve">Tämän toimenpiteen tavoitteena on tukea vihreää siirtymää 19:llä yhteenliittämättömällä pienellä saarella Italiassa. Investointi koostuu sellaisten hankkeiden rahoittamisesta ja toteuttamisesta, jotka koskevat energiaa (johon voi sisältyä muun muassa uusiutuvia energialähteitä, verkkoa tai energiatehokkuutta), vettä (johon voi sisältyä suolanpoisto mutta ei rajoitu suolanpoistoon), liikennettä (johon voi sisältyä muun muassa pyöräilyväyliä, päästöttömiä linja-autoja tai veneitä) ja jätettä (johon voi sisältyä muun muassa jätteiden erottelu) 19:llä verkottamattomalla pienellä saarella. </w:t>
      </w:r>
    </w:p>
    <w:p w14:paraId="1BEC0B03" w14:textId="77777777" w:rsidR="00E42B18" w:rsidRDefault="00E42B18">
      <w:pPr>
        <w:spacing w:after="0" w:line="240" w:lineRule="auto"/>
        <w:jc w:val="both"/>
        <w:textAlignment w:val="baseline"/>
        <w:rPr>
          <w:rFonts w:ascii="Segoe UI" w:eastAsia="Times New Roman" w:hAnsi="Segoe UI" w:cs="Segoe UI"/>
          <w:noProof/>
          <w:kern w:val="0"/>
          <w:sz w:val="18"/>
          <w:szCs w:val="18"/>
          <w14:ligatures w14:val="none"/>
        </w:rPr>
      </w:pPr>
    </w:p>
    <w:p w14:paraId="4C94178B" w14:textId="3F9C52F5" w:rsidR="00E42B18" w:rsidRDefault="009629C4">
      <w:pPr>
        <w:pStyle w:val="P68B1DB1-Normal56"/>
        <w:spacing w:after="0" w:line="240" w:lineRule="auto"/>
        <w:jc w:val="both"/>
        <w:textAlignment w:val="baseline"/>
        <w:rPr>
          <w:rFonts w:ascii="Segoe UI" w:hAnsi="Segoe UI" w:cs="Segoe UI"/>
          <w:noProof/>
          <w:sz w:val="18"/>
          <w:szCs w:val="18"/>
        </w:rPr>
      </w:pPr>
      <w:r>
        <w:rPr>
          <w:noProof/>
        </w:rPr>
        <w:t>Investointi 3.2 – Vihreät yhteisöt</w:t>
      </w:r>
    </w:p>
    <w:p w14:paraId="13E10020" w14:textId="6FF4291A" w:rsidR="00E42B18" w:rsidRDefault="009629C4">
      <w:pPr>
        <w:pStyle w:val="P68B1DB1-Normal45"/>
        <w:spacing w:after="0" w:line="240" w:lineRule="auto"/>
        <w:jc w:val="both"/>
        <w:textAlignment w:val="baseline"/>
        <w:rPr>
          <w:rFonts w:ascii="Segoe UI" w:hAnsi="Segoe UI" w:cs="Segoe UI"/>
          <w:noProof/>
        </w:rPr>
      </w:pPr>
      <w:r>
        <w:rPr>
          <w:noProof/>
        </w:rPr>
        <w:t>Investoinnin tavoitteena on tukea vihreää siirtymää maaseutu- ja vuoristoalueilla (niin kutsutut vihreät yhteisöt). Investoinnilla tuetaan ”vihreissä yhteisöissä” toteutettavia hankkeita.</w:t>
      </w:r>
    </w:p>
    <w:p w14:paraId="39CE84A5" w14:textId="77777777" w:rsidR="00E42B18" w:rsidRDefault="009629C4">
      <w:pPr>
        <w:pStyle w:val="P68B1DB1-Normal46"/>
        <w:spacing w:after="0" w:line="240" w:lineRule="auto"/>
        <w:jc w:val="both"/>
        <w:textAlignment w:val="baseline"/>
        <w:rPr>
          <w:rFonts w:ascii="Segoe UI" w:hAnsi="Segoe UI" w:cs="Segoe UI"/>
          <w:noProof/>
          <w:sz w:val="18"/>
          <w:szCs w:val="18"/>
        </w:rPr>
      </w:pPr>
      <w:r>
        <w:rPr>
          <w:noProof/>
        </w:rPr>
        <w:t> </w:t>
      </w:r>
    </w:p>
    <w:p w14:paraId="42C3908C" w14:textId="77777777" w:rsidR="00E42B18" w:rsidRDefault="009629C4">
      <w:pPr>
        <w:pStyle w:val="P68B1DB1-Normal46"/>
        <w:spacing w:after="0" w:line="240" w:lineRule="auto"/>
        <w:jc w:val="both"/>
        <w:textAlignment w:val="baseline"/>
        <w:rPr>
          <w:rFonts w:ascii="Segoe UI" w:hAnsi="Segoe UI" w:cs="Segoe UI"/>
          <w:noProof/>
          <w:sz w:val="18"/>
          <w:szCs w:val="18"/>
        </w:rPr>
      </w:pPr>
      <w:r>
        <w:rPr>
          <w:b/>
          <w:noProof/>
        </w:rPr>
        <w:t>Investointi 3.4 – Fondo Rotativo Contratti di Filiera (FCF) maatalouselintarvike-, kalastus- ja vesiviljely-, metsätalous-, kukkaviljely- ja taimitarha-alojen toimitusketjusopimusten tukemiseksi</w:t>
      </w:r>
      <w:r>
        <w:rPr>
          <w:noProof/>
        </w:rPr>
        <w:t> </w:t>
      </w:r>
    </w:p>
    <w:p w14:paraId="638D2632" w14:textId="64B5230A" w:rsidR="00E42B18" w:rsidRDefault="009629C4">
      <w:pPr>
        <w:pStyle w:val="P68B1DB1-Normal45"/>
        <w:spacing w:after="0" w:line="240" w:lineRule="auto"/>
        <w:jc w:val="both"/>
        <w:textAlignment w:val="baseline"/>
        <w:rPr>
          <w:rFonts w:ascii="Segoe UI" w:hAnsi="Segoe UI" w:cs="Segoe UI"/>
          <w:noProof/>
        </w:rPr>
      </w:pPr>
      <w:r>
        <w:rPr>
          <w:noProof/>
        </w:rPr>
        <w:t xml:space="preserve">Tämä toimenpide koostuu julkisesta investoinnista Fondo Rotativo Contratti di Filieraan (Fondo Rotativo Contratti di Filiera) investointivälineeseen, jotta voidaan kannustaa yksityisiä investointeja ja parantaa rahoituksen saantia Italian maatalouselintarvike-, kalastus- ja vesiviljely-, metsä-, kukkaviljely- ja taimitarha-aloilla. Järjestely toimii myöntämällä avustuksia ja tuettuja lainoja suoraan ISMEAn (Istituto di Servizi per il Mercato Agricolo Alimentare) kautta. </w:t>
      </w:r>
    </w:p>
    <w:p w14:paraId="38FF361D" w14:textId="77777777" w:rsidR="00E42B18" w:rsidRDefault="009629C4">
      <w:pPr>
        <w:pStyle w:val="P68B1DB1-Normal45"/>
        <w:spacing w:after="0" w:line="240" w:lineRule="auto"/>
        <w:jc w:val="both"/>
        <w:textAlignment w:val="baseline"/>
        <w:rPr>
          <w:rFonts w:ascii="Segoe UI" w:hAnsi="Segoe UI" w:cs="Segoe UI"/>
          <w:noProof/>
        </w:rPr>
      </w:pPr>
      <w:r>
        <w:rPr>
          <w:noProof/>
        </w:rPr>
        <w:t>Toteutuskumppanina ISMEA hallinnoi rahastoa. Investointikehys sisältää seuraavat tuotelinjat: </w:t>
      </w:r>
    </w:p>
    <w:p w14:paraId="31CBCA3B" w14:textId="77777777" w:rsidR="00E42B18" w:rsidRDefault="009629C4">
      <w:pPr>
        <w:pStyle w:val="P68B1DB1-Normal45"/>
        <w:numPr>
          <w:ilvl w:val="0"/>
          <w:numId w:val="111"/>
        </w:numPr>
        <w:spacing w:after="0" w:line="240" w:lineRule="auto"/>
        <w:ind w:left="1080" w:firstLine="0"/>
        <w:jc w:val="both"/>
        <w:textAlignment w:val="baseline"/>
        <w:rPr>
          <w:noProof/>
        </w:rPr>
      </w:pPr>
      <w:r>
        <w:rPr>
          <w:noProof/>
        </w:rPr>
        <w:t>Tuetaan yrityksiä, yritysryhmiä tai maatalouden tuottajayhdistyksiä sekä tutkimus- ja tiedonlevittämisorganisaatioita maatalouselintarvike-, kalastus- ja vesiviljely-, metsätalous-, kukkaviljely- ja taimitarha-aloilla parantamalla tuotantoprosesseja sisällyttämällä niihin yhdistelmä toimintoja, joita ovat muun muassa seuraavat: </w:t>
      </w:r>
    </w:p>
    <w:p w14:paraId="721A0F26" w14:textId="77777777" w:rsidR="00E42B18" w:rsidRDefault="009629C4">
      <w:pPr>
        <w:pStyle w:val="P68B1DB1-Normal45"/>
        <w:numPr>
          <w:ilvl w:val="0"/>
          <w:numId w:val="112"/>
        </w:numPr>
        <w:spacing w:after="0" w:line="240" w:lineRule="auto"/>
        <w:ind w:left="1800" w:firstLine="0"/>
        <w:jc w:val="both"/>
        <w:textAlignment w:val="baseline"/>
        <w:rPr>
          <w:noProof/>
        </w:rPr>
      </w:pPr>
      <w:r>
        <w:rPr>
          <w:noProof/>
        </w:rPr>
        <w:t>Parantaa tuotantoprosessien ympäristökestävyyttä investoimalla aineelliseen ja aineettomaan omaisuuteen, jotta voidaan merkittävästi lisätä kohteena olevien tuotantoprosessien energian, veden ja resurssien kulutuksen tehokkuutta; </w:t>
      </w:r>
    </w:p>
    <w:p w14:paraId="6CC41D36" w14:textId="7BFF3397" w:rsidR="00E42B18" w:rsidRDefault="009629C4">
      <w:pPr>
        <w:pStyle w:val="P68B1DB1-Normal45"/>
        <w:numPr>
          <w:ilvl w:val="0"/>
          <w:numId w:val="113"/>
        </w:numPr>
        <w:spacing w:after="0" w:line="240" w:lineRule="auto"/>
        <w:ind w:left="1800" w:firstLine="0"/>
        <w:jc w:val="both"/>
        <w:textAlignment w:val="baseline"/>
        <w:rPr>
          <w:noProof/>
        </w:rPr>
      </w:pPr>
      <w:r>
        <w:rPr>
          <w:noProof/>
        </w:rPr>
        <w:t xml:space="preserve">Investoinnit osaamis-, koulutus-, tutkimus- ja innovointihankkeisiin sekä teknologian siirto- ja kehittämishankkeisiin, joilla voidaan myös tukea toimitusketjun eri toimijoiden välisten suhteiden uudelleenorganisointia tuotantoprosessien kestävyyden parantamiseksi; </w:t>
      </w:r>
    </w:p>
    <w:p w14:paraId="3AA19CED" w14:textId="77777777" w:rsidR="00E42B18" w:rsidRDefault="009629C4">
      <w:pPr>
        <w:pStyle w:val="P68B1DB1-Normal45"/>
        <w:numPr>
          <w:ilvl w:val="0"/>
          <w:numId w:val="114"/>
        </w:numPr>
        <w:spacing w:after="0" w:line="240" w:lineRule="auto"/>
        <w:ind w:left="1800" w:firstLine="0"/>
        <w:jc w:val="both"/>
        <w:textAlignment w:val="baseline"/>
        <w:rPr>
          <w:noProof/>
        </w:rPr>
      </w:pPr>
      <w:r>
        <w:rPr>
          <w:noProof/>
        </w:rPr>
        <w:t>Investoinnit yritysten digitalisointiin, mukaan lukien sähköinen kaupankäynti ja uudet teknologiat; </w:t>
      </w:r>
    </w:p>
    <w:p w14:paraId="650DF0C2" w14:textId="77777777" w:rsidR="00E42B18" w:rsidRDefault="009629C4">
      <w:pPr>
        <w:pStyle w:val="P68B1DB1-Normal45"/>
        <w:numPr>
          <w:ilvl w:val="0"/>
          <w:numId w:val="115"/>
        </w:numPr>
        <w:spacing w:after="0" w:line="240" w:lineRule="auto"/>
        <w:ind w:left="1800" w:firstLine="0"/>
        <w:jc w:val="both"/>
        <w:textAlignment w:val="baseline"/>
        <w:rPr>
          <w:noProof/>
        </w:rPr>
      </w:pPr>
      <w:r>
        <w:rPr>
          <w:noProof/>
        </w:rPr>
        <w:t>Aurinko- ja aurinkopaneelien asentaminen </w:t>
      </w:r>
    </w:p>
    <w:p w14:paraId="62DA3950" w14:textId="086B1B53" w:rsidR="00E42B18" w:rsidRDefault="009629C4">
      <w:pPr>
        <w:pStyle w:val="P68B1DB1-Normal45"/>
        <w:spacing w:after="0" w:line="240" w:lineRule="auto"/>
        <w:jc w:val="both"/>
        <w:textAlignment w:val="baseline"/>
        <w:rPr>
          <w:rFonts w:ascii="Segoe UI" w:hAnsi="Segoe UI" w:cs="Segoe UI"/>
          <w:noProof/>
        </w:rPr>
      </w:pPr>
      <w:r>
        <w:rPr>
          <w:noProof/>
        </w:rPr>
        <w:t>Toimenpiteen tavoitteena on vähentää kasvihuonekaasupäästöjä, elintarvikejätettä sekä torjunta-aineiden ja mikrobilääkkeiden käyttöä, parantaa energiatehokkuutta ja lisätä uusiutuvan energian tuotantoa ja käyttöä.  </w:t>
      </w:r>
    </w:p>
    <w:p w14:paraId="68D58F0C" w14:textId="77777777" w:rsidR="00E42B18" w:rsidRDefault="009629C4">
      <w:pPr>
        <w:pStyle w:val="P68B1DB1-Normal45"/>
        <w:spacing w:after="0" w:line="240" w:lineRule="auto"/>
        <w:jc w:val="both"/>
        <w:textAlignment w:val="baseline"/>
        <w:rPr>
          <w:rFonts w:ascii="Segoe UI" w:hAnsi="Segoe UI" w:cs="Segoe UI"/>
          <w:noProof/>
        </w:rPr>
      </w:pPr>
      <w:r>
        <w:rPr>
          <w:noProof/>
        </w:rPr>
        <w:t>Investointivälineeseen tehtävän investoinnin toteuttamiseksi ministeriö ja ISMEA allekirjoittavat täytäntöönpanosopimuksen, jonka sisältö on seuraava: </w:t>
      </w:r>
    </w:p>
    <w:p w14:paraId="63DDA928" w14:textId="77777777" w:rsidR="00E42B18" w:rsidRDefault="009629C4">
      <w:pPr>
        <w:pStyle w:val="P68B1DB1-Normal45"/>
        <w:numPr>
          <w:ilvl w:val="0"/>
          <w:numId w:val="116"/>
        </w:numPr>
        <w:spacing w:after="0" w:line="240" w:lineRule="auto"/>
        <w:ind w:left="1080" w:firstLine="0"/>
        <w:jc w:val="both"/>
        <w:textAlignment w:val="baseline"/>
        <w:rPr>
          <w:noProof/>
        </w:rPr>
      </w:pPr>
      <w:r>
        <w:rPr>
          <w:noProof/>
        </w:rPr>
        <w:t>Kuvaus tukivälineen päätöksentekoprosessista: Tukivälineen lopullisen investointipäätöksen tekee investointikomitea tai muu vastaava hallintoelin, ja se hyväksytään hallituksesta riippumattomien jäsenten äänten enemmistöllä. </w:t>
      </w:r>
    </w:p>
    <w:p w14:paraId="49AF4FA7" w14:textId="77777777" w:rsidR="00E42B18" w:rsidRDefault="009629C4">
      <w:pPr>
        <w:pStyle w:val="P68B1DB1-Normal45"/>
        <w:numPr>
          <w:ilvl w:val="0"/>
          <w:numId w:val="117"/>
        </w:numPr>
        <w:spacing w:after="0" w:line="240" w:lineRule="auto"/>
        <w:ind w:left="1080" w:firstLine="0"/>
        <w:jc w:val="both"/>
        <w:textAlignment w:val="baseline"/>
        <w:rPr>
          <w:noProof/>
        </w:rPr>
      </w:pPr>
      <w:r>
        <w:rPr>
          <w:noProof/>
        </w:rPr>
        <w:t>Asiaan liittyvän sijoituspolitiikan keskeiset vaatimukset, joihin kuuluvat: </w:t>
      </w:r>
    </w:p>
    <w:p w14:paraId="658F97A0" w14:textId="77777777" w:rsidR="00E42B18" w:rsidRDefault="009629C4">
      <w:pPr>
        <w:pStyle w:val="P68B1DB1-Normal45"/>
        <w:numPr>
          <w:ilvl w:val="0"/>
          <w:numId w:val="118"/>
        </w:numPr>
        <w:spacing w:after="0" w:line="240" w:lineRule="auto"/>
        <w:ind w:left="1800" w:firstLine="0"/>
        <w:jc w:val="both"/>
        <w:textAlignment w:val="baseline"/>
        <w:rPr>
          <w:noProof/>
        </w:rPr>
      </w:pPr>
      <w:r>
        <w:rPr>
          <w:noProof/>
        </w:rPr>
        <w:t>Rahoitustuotteen (-tuotteiden) ja tukikelpoisten lopullisten tuensaajien kuvaus. </w:t>
      </w:r>
    </w:p>
    <w:p w14:paraId="50B8CCC9" w14:textId="77777777" w:rsidR="00E42B18" w:rsidRDefault="009629C4">
      <w:pPr>
        <w:pStyle w:val="P68B1DB1-Normal45"/>
        <w:numPr>
          <w:ilvl w:val="0"/>
          <w:numId w:val="119"/>
        </w:numPr>
        <w:spacing w:after="0" w:line="240" w:lineRule="auto"/>
        <w:ind w:left="1800" w:firstLine="0"/>
        <w:jc w:val="both"/>
        <w:textAlignment w:val="baseline"/>
        <w:rPr>
          <w:noProof/>
        </w:rPr>
      </w:pPr>
      <w:r>
        <w:rPr>
          <w:noProof/>
        </w:rPr>
        <w:t>Vaatimus siitä, että kaikki tuetut investoinnit ovat taloudellisesti elinkelpoisia. </w:t>
      </w:r>
    </w:p>
    <w:p w14:paraId="5C9517EE" w14:textId="1389AA56" w:rsidR="00E42B18" w:rsidRDefault="009629C4">
      <w:pPr>
        <w:numPr>
          <w:ilvl w:val="0"/>
          <w:numId w:val="120"/>
        </w:numPr>
        <w:spacing w:after="0" w:line="240" w:lineRule="auto"/>
        <w:ind w:left="1800" w:firstLine="0"/>
        <w:jc w:val="both"/>
        <w:textAlignment w:val="baseline"/>
        <w:rPr>
          <w:rFonts w:ascii="Times New Roman" w:eastAsia="Times New Roman" w:hAnsi="Times New Roman" w:cs="Times New Roman"/>
          <w:noProof/>
          <w:kern w:val="0"/>
          <w14:ligatures w14:val="none"/>
        </w:rPr>
      </w:pPr>
      <w:r>
        <w:rPr>
          <w:rFonts w:ascii="Times New Roman" w:eastAsia="Times New Roman" w:hAnsi="Times New Roman" w:cs="Times New Roman"/>
          <w:noProof/>
          <w:kern w:val="0"/>
          <w14:ligatures w14:val="none"/>
        </w:rPr>
        <w:t>Vaatimus noudattaa ”ei merkittävää haittaa” -periaatetta sitä koskevien teknisten ohjeiden (2021/C58/01) mukaisesti. Sijoituspolitiikassa on erityisesti jätettävä tukikelpoisuuden ulkopuolelle seuraava luettelo toiminnoista ja omaisuuseristä: I) fossiilisiin polttoaineisiin liittyvät toiminnot ja omaisuuserät, mukaan lukien tuotantoketjun loppupään käyttö,</w:t>
      </w:r>
      <w:r>
        <w:rPr>
          <w:rStyle w:val="FootnoteReference"/>
          <w:rFonts w:ascii="Times New Roman" w:eastAsia="Times New Roman" w:hAnsi="Times New Roman" w:cs="Times New Roman"/>
          <w:noProof/>
          <w:kern w:val="0"/>
          <w14:ligatures w14:val="none"/>
        </w:rPr>
        <w:footnoteReference w:id="22"/>
      </w:r>
      <w:r>
        <w:rPr>
          <w:rFonts w:ascii="Times New Roman" w:eastAsia="Times New Roman" w:hAnsi="Times New Roman" w:cs="Times New Roman"/>
          <w:noProof/>
          <w:kern w:val="0"/>
          <w14:ligatures w14:val="none"/>
        </w:rPr>
        <w:t>ii) EU:n päästökauppajärjestelmään kuuluvat toiminnot ja omaisuuserät, joiden avulla saavutetaan ennustetut kasvihuonekaasupäästöt, jotka eivät alita asiaankuuluvia vertailuarvoja</w:t>
      </w:r>
      <w:r>
        <w:rPr>
          <w:rStyle w:val="FootnoteReference"/>
          <w:rFonts w:ascii="Times New Roman" w:eastAsia="Times New Roman" w:hAnsi="Times New Roman" w:cs="Times New Roman"/>
          <w:noProof/>
          <w:kern w:val="0"/>
          <w14:ligatures w14:val="none"/>
        </w:rPr>
        <w:footnoteReference w:id="23"/>
      </w:r>
      <w:r>
        <w:rPr>
          <w:rFonts w:ascii="Times New Roman" w:eastAsia="Times New Roman" w:hAnsi="Times New Roman" w:cs="Times New Roman"/>
          <w:noProof/>
          <w:kern w:val="0"/>
          <w14:ligatures w14:val="none"/>
        </w:rPr>
        <w:t>, iii) kaatopaikkoihin, polttolaitoksiin ja mekaanisiin biologisiin käsittelylaitoksiin liittyvät toiminnot</w:t>
      </w:r>
      <w:r>
        <w:rPr>
          <w:rStyle w:val="FootnoteReference"/>
          <w:rFonts w:ascii="Times New Roman" w:eastAsia="Times New Roman" w:hAnsi="Times New Roman" w:cs="Times New Roman"/>
          <w:noProof/>
          <w:kern w:val="0"/>
          <w14:ligatures w14:val="none"/>
        </w:rPr>
        <w:footnoteReference w:id="24"/>
      </w:r>
      <w:r>
        <w:rPr>
          <w:rFonts w:ascii="Times New Roman" w:eastAsia="Times New Roman" w:hAnsi="Times New Roman" w:cs="Times New Roman"/>
          <w:noProof/>
          <w:kern w:val="0"/>
          <w14:ligatures w14:val="none"/>
        </w:rPr>
        <w:t xml:space="preserve"> ja varat</w:t>
      </w:r>
      <w:r>
        <w:rPr>
          <w:rStyle w:val="FootnoteReference"/>
          <w:rFonts w:ascii="Times New Roman" w:eastAsia="Times New Roman" w:hAnsi="Times New Roman" w:cs="Times New Roman"/>
          <w:noProof/>
          <w:kern w:val="0"/>
          <w14:ligatures w14:val="none"/>
        </w:rPr>
        <w:footnoteReference w:id="25"/>
      </w:r>
      <w:r>
        <w:rPr>
          <w:rFonts w:ascii="Times New Roman" w:eastAsia="Times New Roman" w:hAnsi="Times New Roman" w:cs="Times New Roman"/>
          <w:noProof/>
          <w:kern w:val="0"/>
          <w14:ligatures w14:val="none"/>
        </w:rPr>
        <w:t xml:space="preserve">. </w:t>
      </w:r>
    </w:p>
    <w:p w14:paraId="5EC3E84A" w14:textId="77777777" w:rsidR="00E42B18" w:rsidRDefault="009629C4">
      <w:pPr>
        <w:pStyle w:val="P68B1DB1-Normal45"/>
        <w:numPr>
          <w:ilvl w:val="0"/>
          <w:numId w:val="121"/>
        </w:numPr>
        <w:spacing w:after="0" w:line="240" w:lineRule="auto"/>
        <w:ind w:left="1800" w:firstLine="0"/>
        <w:jc w:val="both"/>
        <w:textAlignment w:val="baseline"/>
        <w:rPr>
          <w:noProof/>
        </w:rPr>
      </w:pPr>
      <w:r>
        <w:rPr>
          <w:noProof/>
        </w:rPr>
        <w:t>Vaatimus, jonka mukaan tukivälineen lopulliset tuensaajat eivät saa tukea muista unionin välineistä samojen kustannusten kattamiseksi. </w:t>
      </w:r>
    </w:p>
    <w:p w14:paraId="1CB34F21" w14:textId="77777777" w:rsidR="00E42B18" w:rsidRDefault="009629C4">
      <w:pPr>
        <w:pStyle w:val="P68B1DB1-Normal45"/>
        <w:numPr>
          <w:ilvl w:val="0"/>
          <w:numId w:val="122"/>
        </w:numPr>
        <w:spacing w:after="0" w:line="240" w:lineRule="auto"/>
        <w:ind w:left="1080" w:firstLine="0"/>
        <w:jc w:val="both"/>
        <w:textAlignment w:val="baseline"/>
        <w:rPr>
          <w:noProof/>
        </w:rPr>
      </w:pPr>
      <w:r>
        <w:rPr>
          <w:noProof/>
        </w:rPr>
        <w:t>Täytäntöönpanosopimuksen kattama määrä, toteutuskumppanin maksurakenne ja vaatimus sijoittaa takaisin saadut varat uudelleen investointikehyksen investointipolitiikan mukaisesti. </w:t>
      </w:r>
    </w:p>
    <w:p w14:paraId="25EF5C36" w14:textId="77777777" w:rsidR="00E42B18" w:rsidRDefault="009629C4">
      <w:pPr>
        <w:pStyle w:val="P68B1DB1-Normal45"/>
        <w:numPr>
          <w:ilvl w:val="0"/>
          <w:numId w:val="123"/>
        </w:numPr>
        <w:spacing w:after="0" w:line="240" w:lineRule="auto"/>
        <w:ind w:left="1080" w:firstLine="0"/>
        <w:jc w:val="both"/>
        <w:textAlignment w:val="baseline"/>
        <w:rPr>
          <w:noProof/>
        </w:rPr>
      </w:pPr>
      <w:r>
        <w:rPr>
          <w:noProof/>
        </w:rPr>
        <w:t>Seuranta-, valvonta- ja tarkastusvaatimukset, joihin sisältyvät </w:t>
      </w:r>
    </w:p>
    <w:p w14:paraId="6AB1586F" w14:textId="77777777" w:rsidR="00E42B18" w:rsidRDefault="009629C4">
      <w:pPr>
        <w:pStyle w:val="P68B1DB1-Normal45"/>
        <w:numPr>
          <w:ilvl w:val="0"/>
          <w:numId w:val="124"/>
        </w:numPr>
        <w:spacing w:after="0" w:line="240" w:lineRule="auto"/>
        <w:ind w:left="1800" w:firstLine="0"/>
        <w:jc w:val="both"/>
        <w:textAlignment w:val="baseline"/>
        <w:rPr>
          <w:noProof/>
        </w:rPr>
      </w:pPr>
      <w:r>
        <w:rPr>
          <w:noProof/>
        </w:rPr>
        <w:t>Kuvaus toteutuskumppanin seurantajärjestelmästä, jolla raportoidaan mobilisoiduista investoinneista. </w:t>
      </w:r>
    </w:p>
    <w:p w14:paraId="309A8BD8" w14:textId="2ACB576C" w:rsidR="00E42B18" w:rsidRDefault="009629C4">
      <w:pPr>
        <w:pStyle w:val="P68B1DB1-Normal45"/>
        <w:numPr>
          <w:ilvl w:val="0"/>
          <w:numId w:val="125"/>
        </w:numPr>
        <w:spacing w:after="0" w:line="240" w:lineRule="auto"/>
        <w:ind w:left="1800" w:firstLine="0"/>
        <w:jc w:val="both"/>
        <w:textAlignment w:val="baseline"/>
        <w:rPr>
          <w:noProof/>
        </w:rPr>
      </w:pPr>
      <w:r>
        <w:rPr>
          <w:noProof/>
        </w:rPr>
        <w:t xml:space="preserve">Kuvaus toteutuskumppanin menettelyistä, joilla varmistetaan petosten, lahjonnan ja eturistiriitojen ehkäiseminen, havaitseminen ja korjaaminen. </w:t>
      </w:r>
    </w:p>
    <w:p w14:paraId="33F39810" w14:textId="77777777" w:rsidR="00E42B18" w:rsidRDefault="009629C4">
      <w:pPr>
        <w:pStyle w:val="P68B1DB1-Normal45"/>
        <w:numPr>
          <w:ilvl w:val="0"/>
          <w:numId w:val="126"/>
        </w:numPr>
        <w:spacing w:after="0" w:line="240" w:lineRule="auto"/>
        <w:ind w:left="1800" w:firstLine="0"/>
        <w:jc w:val="both"/>
        <w:textAlignment w:val="baseline"/>
        <w:rPr>
          <w:noProof/>
        </w:rPr>
      </w:pPr>
      <w:r>
        <w:rPr>
          <w:noProof/>
        </w:rPr>
        <w:t>Velvoite tarkistaa kunkin toimen tukikelpoisuus täytäntöönpanosopimuksessa vahvistettujen vaatimusten mukaisesti ennen sitoutumista toimen rahoittamiseen. </w:t>
      </w:r>
    </w:p>
    <w:p w14:paraId="231D794D" w14:textId="6BB3FF4B" w:rsidR="00E42B18" w:rsidRDefault="009629C4">
      <w:pPr>
        <w:pStyle w:val="P68B1DB1-Normal45"/>
        <w:numPr>
          <w:ilvl w:val="0"/>
          <w:numId w:val="127"/>
        </w:numPr>
        <w:spacing w:after="0" w:line="240" w:lineRule="auto"/>
        <w:ind w:left="1800" w:firstLine="0"/>
        <w:jc w:val="both"/>
        <w:textAlignment w:val="baseline"/>
        <w:rPr>
          <w:noProof/>
        </w:rPr>
      </w:pPr>
      <w:r>
        <w:rPr>
          <w:noProof/>
        </w:rPr>
        <w:t xml:space="preserve">Velvollisuus suorittaa riskiperusteisia jälkitarkastuksia ISMEAn tarkastussuunnitelman mukaisesti. Näillä tarkastuksilla varmistetaan i) valvontajärjestelmien tehokkuus, mukaan lukien petosten, lahjonnan ja eturistiriitojen havaitseminen; II) ”ei merkittävää haittaa” -periaatteen, valtiontukisääntöjen sekä ilmastoa ja digitaalista tavoitetta koskevien vaatimusten noudattaminen elpymis- ja palautumistukivälinettä koskevan asetuksen liitteen VI ja elpymis- ja palautumistukivälinettä koskevan asetuksen liitteen VII mukaisesti; ja iii) noudatetaan vaatimusta, jonka mukaan tukivälineen lopulliset edunsaajat eivät ole saaneet tukea muista unionin välineistä samojen kustannusten kattamiseksi. Tarkastuksissa on myös todennettava toimien laillisuus ja se, että sovellettavan täytäntöönpanosopimuksen ja rahoitussopimusten ehtoja noudatetaan. </w:t>
      </w:r>
    </w:p>
    <w:p w14:paraId="3CC3507F" w14:textId="77777777" w:rsidR="00E42B18" w:rsidRDefault="009629C4">
      <w:pPr>
        <w:pStyle w:val="P68B1DB1-Normal45"/>
        <w:spacing w:after="0" w:line="240" w:lineRule="auto"/>
        <w:ind w:left="1440"/>
        <w:jc w:val="both"/>
        <w:textAlignment w:val="baseline"/>
        <w:rPr>
          <w:rFonts w:ascii="Segoe UI" w:hAnsi="Segoe UI" w:cs="Segoe UI"/>
          <w:noProof/>
        </w:rPr>
      </w:pPr>
      <w:r>
        <w:rPr>
          <w:noProof/>
        </w:rPr>
        <w:t> </w:t>
      </w:r>
    </w:p>
    <w:p w14:paraId="2BF3E397" w14:textId="24B89634" w:rsidR="00E42B18" w:rsidRDefault="009629C4">
      <w:pPr>
        <w:numPr>
          <w:ilvl w:val="0"/>
          <w:numId w:val="128"/>
        </w:numPr>
        <w:spacing w:after="0" w:line="240" w:lineRule="auto"/>
        <w:ind w:left="1080" w:firstLine="0"/>
        <w:jc w:val="both"/>
        <w:textAlignment w:val="baseline"/>
        <w:rPr>
          <w:rFonts w:ascii="Times New Roman" w:eastAsia="Times New Roman" w:hAnsi="Times New Roman" w:cs="Times New Roman"/>
          <w:noProof/>
          <w:kern w:val="0"/>
          <w14:ligatures w14:val="none"/>
        </w:rPr>
      </w:pPr>
      <w:r>
        <w:rPr>
          <w:rFonts w:ascii="Times New Roman" w:eastAsia="Times New Roman" w:hAnsi="Times New Roman" w:cs="Times New Roman"/>
          <w:noProof/>
          <w:kern w:val="0"/>
          <w14:ligatures w14:val="none"/>
        </w:rPr>
        <w:t>Vaatimukset toteutuskumppanin tekemiä ilmastoinvestointeja varten: Elpymis- ja palautumistukivälineen investointivälineeseen vähintään 1848000000.00  eurolla on edistettävä ilmastonmuutosta koskevien tavoitteiden saavuttamista elpymis- ja palautumistukivälinettä koskevan asetuksen liitteen VI mukaisesti.</w:t>
      </w:r>
      <w:r>
        <w:rPr>
          <w:rFonts w:ascii="Arial Narrow" w:hAnsi="Arial Narrow"/>
          <w:noProof/>
          <w:color w:val="006100"/>
        </w:rPr>
        <w:t xml:space="preserve"> </w:t>
      </w:r>
      <w:r>
        <w:rPr>
          <w:rStyle w:val="FootnoteReference"/>
          <w:rFonts w:ascii="Times New Roman" w:eastAsia="Times New Roman" w:hAnsi="Times New Roman" w:cs="Times New Roman"/>
          <w:noProof/>
          <w:kern w:val="0"/>
          <w14:ligatures w14:val="none"/>
        </w:rPr>
        <w:footnoteReference w:id="26"/>
      </w:r>
    </w:p>
    <w:p w14:paraId="2BC20A17" w14:textId="77777777" w:rsidR="00E42B18" w:rsidRDefault="00E42B18">
      <w:pPr>
        <w:spacing w:after="0" w:line="240" w:lineRule="auto"/>
        <w:jc w:val="both"/>
        <w:textAlignment w:val="baseline"/>
        <w:rPr>
          <w:rFonts w:ascii="Times New Roman" w:eastAsia="Times New Roman" w:hAnsi="Times New Roman" w:cs="Times New Roman"/>
          <w:noProof/>
          <w:kern w:val="0"/>
          <w:sz w:val="24"/>
          <w:szCs w:val="24"/>
          <w14:ligatures w14:val="none"/>
        </w:rPr>
      </w:pPr>
    </w:p>
    <w:p w14:paraId="5D467C2F" w14:textId="1D6461B8" w:rsidR="00E42B18" w:rsidRDefault="009629C4">
      <w:pPr>
        <w:pStyle w:val="P68B1DB1-Normal56"/>
        <w:spacing w:after="0" w:line="240" w:lineRule="auto"/>
        <w:jc w:val="both"/>
        <w:textAlignment w:val="baseline"/>
        <w:rPr>
          <w:rFonts w:ascii="Segoe UI" w:hAnsi="Segoe UI" w:cs="Segoe UI"/>
          <w:noProof/>
          <w:sz w:val="18"/>
          <w:szCs w:val="18"/>
        </w:rPr>
      </w:pPr>
      <w:r>
        <w:rPr>
          <w:noProof/>
        </w:rPr>
        <w:t xml:space="preserve">Investointi 4 – Maatalouden aurinkopuisto </w:t>
      </w:r>
    </w:p>
    <w:p w14:paraId="7417060A" w14:textId="563955D3" w:rsidR="00E42B18" w:rsidRDefault="009629C4">
      <w:pPr>
        <w:pStyle w:val="P68B1DB1-Normal45"/>
        <w:spacing w:after="0" w:line="240" w:lineRule="auto"/>
        <w:jc w:val="both"/>
        <w:textAlignment w:val="baseline"/>
        <w:rPr>
          <w:rFonts w:ascii="Segoe UI" w:hAnsi="Segoe UI" w:cs="Segoe UI"/>
          <w:noProof/>
        </w:rPr>
      </w:pPr>
      <w:r>
        <w:rPr>
          <w:noProof/>
        </w:rPr>
        <w:t xml:space="preserve">Tämä toimenpide koostuu julkisesta investoinnista avustusjärjestelmään, Agri-Solar Park Facility -hankkeeseen, jotta voidaan kannustaa yksityisiä investointeja ja parantaa rahoituksen saantia Italian maatalous- ja teollisuusalalla. Ohjelma toimii myöntämällä avustuksia suoraan yksityiselle sektorille. </w:t>
      </w:r>
    </w:p>
    <w:p w14:paraId="324FAE36" w14:textId="77777777" w:rsidR="00E42B18" w:rsidRDefault="009629C4">
      <w:pPr>
        <w:pStyle w:val="P68B1DB1-Normal45"/>
        <w:spacing w:after="0" w:line="240" w:lineRule="auto"/>
        <w:jc w:val="both"/>
        <w:textAlignment w:val="baseline"/>
        <w:rPr>
          <w:rFonts w:ascii="Segoe UI" w:hAnsi="Segoe UI" w:cs="Segoe UI"/>
          <w:noProof/>
        </w:rPr>
      </w:pPr>
      <w:r>
        <w:rPr>
          <w:noProof/>
        </w:rPr>
        <w:t>Järjestelmää hallinnoi toteutuskumppanina Gestore Servizi Energetici S.p.A. (GSE). Ohjelmasta myönnetään avustus, joka kattaa osan hankkeiden kustannuksista. Järjestelmästä tuetaan investointeja maatalouden, kotieläintuotannon ja maatalousteollisuuden rakenteisiin aurinkopaneelien asentamiseksi sekä täydentäviä tukitoimia. Rete del lavoro agricolo di qualità -verkoston jäsenyys otetaan myönteisesti huomioon hanke-ehdotusten arvioinnissa. </w:t>
      </w:r>
    </w:p>
    <w:p w14:paraId="35DB1BC5" w14:textId="77777777" w:rsidR="00E42B18" w:rsidRDefault="009629C4">
      <w:pPr>
        <w:pStyle w:val="P68B1DB1-Normal45"/>
        <w:spacing w:after="0" w:line="240" w:lineRule="auto"/>
        <w:jc w:val="both"/>
        <w:textAlignment w:val="baseline"/>
        <w:rPr>
          <w:rFonts w:ascii="Segoe UI" w:hAnsi="Segoe UI" w:cs="Segoe UI"/>
          <w:noProof/>
        </w:rPr>
      </w:pPr>
      <w:r>
        <w:rPr>
          <w:noProof/>
        </w:rPr>
        <w:t>Ohjelmaan tehtävän investoinnin toteuttamiseksi Italian ja GSE:n on allekirjoitettava täytäntöönpanosopimus, jonka sisältö on seuraava: </w:t>
      </w:r>
    </w:p>
    <w:p w14:paraId="31C5195A" w14:textId="36DEABC5" w:rsidR="00E42B18" w:rsidRDefault="009629C4">
      <w:pPr>
        <w:pStyle w:val="P68B1DB1-Normal45"/>
        <w:numPr>
          <w:ilvl w:val="0"/>
          <w:numId w:val="98"/>
        </w:numPr>
        <w:spacing w:after="0" w:line="240" w:lineRule="auto"/>
        <w:ind w:firstLine="0"/>
        <w:jc w:val="both"/>
        <w:textAlignment w:val="baseline"/>
        <w:rPr>
          <w:noProof/>
        </w:rPr>
      </w:pPr>
      <w:r>
        <w:rPr>
          <w:noProof/>
        </w:rPr>
        <w:t>Kuvaus ohjelman päätöksentekoprosessista: Lopullisen myöntämispäätöksen ohjelmassa tekee investointikomitea tai muu asianmukainen vastaava hallinnollinen elin ja päätös hyväksytään hallituksesta riippumattomien jäsenten ääntenenemmistöllä. </w:t>
      </w:r>
    </w:p>
    <w:p w14:paraId="177065D5" w14:textId="77777777" w:rsidR="00E42B18" w:rsidRDefault="009629C4">
      <w:pPr>
        <w:pStyle w:val="P68B1DB1-Normal45"/>
        <w:rPr>
          <w:noProof/>
        </w:rPr>
      </w:pPr>
      <w:r>
        <w:rPr>
          <w:noProof/>
        </w:rPr>
        <w:br w:type="page"/>
      </w:r>
    </w:p>
    <w:p w14:paraId="59554255" w14:textId="77777777" w:rsidR="00E42B18" w:rsidRDefault="00E42B18">
      <w:pPr>
        <w:spacing w:after="0" w:line="240" w:lineRule="auto"/>
        <w:ind w:left="720"/>
        <w:jc w:val="both"/>
        <w:textAlignment w:val="baseline"/>
        <w:rPr>
          <w:rFonts w:ascii="Times New Roman" w:eastAsia="Times New Roman" w:hAnsi="Times New Roman" w:cs="Times New Roman"/>
          <w:noProof/>
          <w:kern w:val="0"/>
          <w14:ligatures w14:val="none"/>
        </w:rPr>
      </w:pPr>
    </w:p>
    <w:p w14:paraId="716A61CA" w14:textId="77777777" w:rsidR="00E42B18" w:rsidRDefault="009629C4">
      <w:pPr>
        <w:pStyle w:val="P68B1DB1-Normal45"/>
        <w:numPr>
          <w:ilvl w:val="0"/>
          <w:numId w:val="99"/>
        </w:numPr>
        <w:spacing w:after="0" w:line="240" w:lineRule="auto"/>
        <w:ind w:firstLine="0"/>
        <w:jc w:val="both"/>
        <w:textAlignment w:val="baseline"/>
        <w:rPr>
          <w:noProof/>
        </w:rPr>
      </w:pPr>
      <w:r>
        <w:rPr>
          <w:noProof/>
        </w:rPr>
        <w:t>Avustuspolitiikan keskeiset vaatimukset,</w:t>
      </w:r>
      <w:r>
        <w:rPr>
          <w:b/>
          <w:noProof/>
        </w:rPr>
        <w:t xml:space="preserve"> </w:t>
      </w:r>
      <w:r>
        <w:rPr>
          <w:noProof/>
        </w:rPr>
        <w:t>joita ovat muun muassa seuraavat: </w:t>
      </w:r>
    </w:p>
    <w:p w14:paraId="19368942" w14:textId="414117EB" w:rsidR="00E42B18" w:rsidRDefault="009629C4">
      <w:pPr>
        <w:pStyle w:val="P68B1DB1-Normal45"/>
        <w:numPr>
          <w:ilvl w:val="0"/>
          <w:numId w:val="100"/>
        </w:numPr>
        <w:spacing w:after="0" w:line="240" w:lineRule="auto"/>
        <w:ind w:left="1200" w:firstLine="0"/>
        <w:jc w:val="both"/>
        <w:textAlignment w:val="baseline"/>
        <w:rPr>
          <w:noProof/>
        </w:rPr>
      </w:pPr>
      <w:r>
        <w:rPr>
          <w:noProof/>
        </w:rPr>
        <w:t>Kuvaus myönnetyistä avustuksista ja tukikelpoisista lopullisista edunsaajista.</w:t>
      </w:r>
    </w:p>
    <w:p w14:paraId="5C3C5AA7" w14:textId="77777777" w:rsidR="00E42B18" w:rsidRDefault="009629C4">
      <w:pPr>
        <w:pStyle w:val="P68B1DB1-Normal45"/>
        <w:numPr>
          <w:ilvl w:val="0"/>
          <w:numId w:val="101"/>
        </w:numPr>
        <w:spacing w:after="0" w:line="240" w:lineRule="auto"/>
        <w:ind w:left="1200" w:firstLine="0"/>
        <w:jc w:val="both"/>
        <w:textAlignment w:val="baseline"/>
        <w:rPr>
          <w:noProof/>
        </w:rPr>
      </w:pPr>
      <w:r>
        <w:rPr>
          <w:noProof/>
        </w:rPr>
        <w:t>Vaatimus, jonka mukaan kaikkien tuettujen investointien on oltava taloudellisesti kannattavia</w:t>
      </w:r>
      <w:r>
        <w:rPr>
          <w:b/>
          <w:noProof/>
        </w:rPr>
        <w:t>.</w:t>
      </w:r>
      <w:r>
        <w:rPr>
          <w:noProof/>
        </w:rPr>
        <w:t> </w:t>
      </w:r>
    </w:p>
    <w:p w14:paraId="126EA2EB" w14:textId="121CAD10" w:rsidR="00E42B18" w:rsidRDefault="009629C4">
      <w:pPr>
        <w:numPr>
          <w:ilvl w:val="0"/>
          <w:numId w:val="102"/>
        </w:numPr>
        <w:spacing w:after="0" w:line="240" w:lineRule="auto"/>
        <w:ind w:left="1200" w:firstLine="0"/>
        <w:jc w:val="both"/>
        <w:textAlignment w:val="baseline"/>
        <w:rPr>
          <w:rFonts w:ascii="Times New Roman" w:eastAsia="Times New Roman" w:hAnsi="Times New Roman" w:cs="Times New Roman"/>
          <w:noProof/>
          <w:kern w:val="0"/>
          <w14:ligatures w14:val="none"/>
        </w:rPr>
      </w:pPr>
      <w:r>
        <w:rPr>
          <w:rFonts w:ascii="Times New Roman" w:eastAsia="Times New Roman" w:hAnsi="Times New Roman" w:cs="Times New Roman"/>
          <w:noProof/>
          <w:kern w:val="0"/>
          <w14:ligatures w14:val="none"/>
        </w:rPr>
        <w:t>Vaatimus noudattaa ”ei merkittävää haittaa” -periaatetta sitä koskevien teknisten ohjeiden (2021/C58/01) mukaisesti. Avustuspolitiikassa suljetaan tukikelpoisuuden ulkopuolelle</w:t>
      </w:r>
      <w:r>
        <w:rPr>
          <w:rFonts w:ascii="Times New Roman" w:eastAsia="Times New Roman" w:hAnsi="Times New Roman" w:cs="Times New Roman"/>
          <w:noProof/>
          <w:kern w:val="0"/>
          <w:sz w:val="24"/>
          <w:szCs w:val="24"/>
          <w14:ligatures w14:val="none"/>
        </w:rPr>
        <w:t xml:space="preserve"> </w:t>
      </w:r>
      <w:r>
        <w:rPr>
          <w:rFonts w:ascii="Times New Roman" w:eastAsia="Times New Roman" w:hAnsi="Times New Roman" w:cs="Times New Roman"/>
          <w:noProof/>
          <w:kern w:val="0"/>
          <w14:ligatures w14:val="none"/>
        </w:rPr>
        <w:t>erityisesti seuraava luettelo toiminnoista ja omaisuuseristä: I) fossiilisiin polttoaineisiin liittyvät toiminnot ja omaisuuserät, mukaan lukien tuotantoketjun loppupään käyttö,</w:t>
      </w:r>
      <w:r>
        <w:rPr>
          <w:rStyle w:val="FootnoteReference"/>
          <w:rFonts w:ascii="Times New Roman" w:eastAsia="Times New Roman" w:hAnsi="Times New Roman" w:cs="Times New Roman"/>
          <w:noProof/>
          <w:kern w:val="0"/>
          <w14:ligatures w14:val="none"/>
        </w:rPr>
        <w:footnoteReference w:id="27"/>
      </w:r>
      <w:r>
        <w:rPr>
          <w:rFonts w:ascii="Times New Roman" w:eastAsia="Times New Roman" w:hAnsi="Times New Roman" w:cs="Times New Roman"/>
          <w:noProof/>
          <w:kern w:val="0"/>
          <w14:ligatures w14:val="none"/>
        </w:rPr>
        <w:t>ii) EU:n päästökauppajärjestelmään kuuluvat toiminnot ja omaisuuserät, joiden avulla saavutetaan ennustetut kasvihuonekaasupäästöt, jotka eivät alita asiaankuuluvia vertailuarvoja</w:t>
      </w:r>
      <w:r>
        <w:rPr>
          <w:rStyle w:val="FootnoteReference"/>
          <w:rFonts w:ascii="Times New Roman" w:eastAsia="Times New Roman" w:hAnsi="Times New Roman" w:cs="Times New Roman"/>
          <w:noProof/>
          <w:kern w:val="0"/>
          <w14:ligatures w14:val="none"/>
        </w:rPr>
        <w:footnoteReference w:id="28"/>
      </w:r>
      <w:r>
        <w:rPr>
          <w:rFonts w:ascii="Times New Roman" w:eastAsia="Times New Roman" w:hAnsi="Times New Roman" w:cs="Times New Roman"/>
          <w:noProof/>
          <w:kern w:val="0"/>
          <w14:ligatures w14:val="none"/>
        </w:rPr>
        <w:t>, iii) kaatopaikkoihin, polttolaitoksiin ja mekaanisiin biologisiin käsittelylaitoksiin liittyvät toiminnot</w:t>
      </w:r>
      <w:r>
        <w:rPr>
          <w:rStyle w:val="FootnoteReference"/>
          <w:rFonts w:ascii="Times New Roman" w:eastAsia="Times New Roman" w:hAnsi="Times New Roman" w:cs="Times New Roman"/>
          <w:noProof/>
          <w:kern w:val="0"/>
          <w14:ligatures w14:val="none"/>
        </w:rPr>
        <w:footnoteReference w:id="29"/>
      </w:r>
      <w:r>
        <w:rPr>
          <w:rFonts w:ascii="Times New Roman" w:eastAsia="Times New Roman" w:hAnsi="Times New Roman" w:cs="Times New Roman"/>
          <w:noProof/>
          <w:kern w:val="0"/>
          <w14:ligatures w14:val="none"/>
        </w:rPr>
        <w:t xml:space="preserve"> ja varat</w:t>
      </w:r>
      <w:r>
        <w:rPr>
          <w:rStyle w:val="FootnoteReference"/>
          <w:rFonts w:ascii="Times New Roman" w:eastAsia="Times New Roman" w:hAnsi="Times New Roman" w:cs="Times New Roman"/>
          <w:noProof/>
          <w:kern w:val="0"/>
          <w14:ligatures w14:val="none"/>
        </w:rPr>
        <w:footnoteReference w:id="30"/>
      </w:r>
      <w:r>
        <w:rPr>
          <w:rFonts w:ascii="Times New Roman" w:eastAsia="Times New Roman" w:hAnsi="Times New Roman" w:cs="Times New Roman"/>
          <w:noProof/>
          <w:kern w:val="0"/>
          <w14:ligatures w14:val="none"/>
        </w:rPr>
        <w:t xml:space="preserve">. </w:t>
      </w:r>
    </w:p>
    <w:p w14:paraId="396CDA94" w14:textId="77777777" w:rsidR="00E42B18" w:rsidRDefault="009629C4">
      <w:pPr>
        <w:pStyle w:val="P68B1DB1-Normal45"/>
        <w:numPr>
          <w:ilvl w:val="0"/>
          <w:numId w:val="103"/>
        </w:numPr>
        <w:spacing w:after="0" w:line="240" w:lineRule="auto"/>
        <w:ind w:left="1200" w:firstLine="0"/>
        <w:jc w:val="both"/>
        <w:textAlignment w:val="baseline"/>
        <w:rPr>
          <w:noProof/>
        </w:rPr>
      </w:pPr>
      <w:r>
        <w:rPr>
          <w:noProof/>
        </w:rPr>
        <w:t>Vaatimus siitä, että ohjelman lopulliset tuensaajat eivät saa tukea muista unionin välineistä samojen kustannusten kattamiseen. </w:t>
      </w:r>
    </w:p>
    <w:p w14:paraId="57DAE864" w14:textId="77777777" w:rsidR="00E42B18" w:rsidRDefault="00E42B18">
      <w:pPr>
        <w:spacing w:after="0" w:line="240" w:lineRule="auto"/>
        <w:ind w:left="1200"/>
        <w:jc w:val="both"/>
        <w:textAlignment w:val="baseline"/>
        <w:rPr>
          <w:rFonts w:ascii="Times New Roman" w:eastAsia="Times New Roman" w:hAnsi="Times New Roman" w:cs="Times New Roman"/>
          <w:noProof/>
          <w:kern w:val="0"/>
          <w14:ligatures w14:val="none"/>
        </w:rPr>
      </w:pPr>
    </w:p>
    <w:p w14:paraId="200A2500" w14:textId="77777777" w:rsidR="00E42B18" w:rsidRDefault="009629C4">
      <w:pPr>
        <w:pStyle w:val="P68B1DB1-Normal45"/>
        <w:numPr>
          <w:ilvl w:val="0"/>
          <w:numId w:val="104"/>
        </w:numPr>
        <w:spacing w:after="0" w:line="240" w:lineRule="auto"/>
        <w:ind w:firstLine="0"/>
        <w:jc w:val="both"/>
        <w:textAlignment w:val="baseline"/>
        <w:rPr>
          <w:noProof/>
        </w:rPr>
      </w:pPr>
      <w:r>
        <w:rPr>
          <w:noProof/>
        </w:rPr>
        <w:t>Täytäntöönpanosopimuksen kattama määrä, maksurakenne toteutuskumppania varten sekä vaatimus käyttää järjestelmän käyttämättömät tuotot, myös vuoden 2026 jälkeen, samoihin poliittisiin tavoitteisiin. </w:t>
      </w:r>
    </w:p>
    <w:p w14:paraId="48F36893" w14:textId="77777777" w:rsidR="00E42B18" w:rsidRDefault="00E42B18">
      <w:pPr>
        <w:spacing w:after="0" w:line="240" w:lineRule="auto"/>
        <w:ind w:left="720"/>
        <w:jc w:val="both"/>
        <w:textAlignment w:val="baseline"/>
        <w:rPr>
          <w:rFonts w:ascii="Times New Roman" w:eastAsia="Times New Roman" w:hAnsi="Times New Roman" w:cs="Times New Roman"/>
          <w:noProof/>
          <w:kern w:val="0"/>
          <w14:ligatures w14:val="none"/>
        </w:rPr>
      </w:pPr>
    </w:p>
    <w:p w14:paraId="403A448C" w14:textId="77777777" w:rsidR="00E42B18" w:rsidRDefault="009629C4">
      <w:pPr>
        <w:pStyle w:val="P68B1DB1-Normal45"/>
        <w:numPr>
          <w:ilvl w:val="0"/>
          <w:numId w:val="105"/>
        </w:numPr>
        <w:spacing w:after="0" w:line="240" w:lineRule="auto"/>
        <w:ind w:firstLine="0"/>
        <w:jc w:val="both"/>
        <w:textAlignment w:val="baseline"/>
        <w:rPr>
          <w:noProof/>
        </w:rPr>
      </w:pPr>
      <w:r>
        <w:rPr>
          <w:noProof/>
        </w:rPr>
        <w:t>Seuranta-, valvonta- ja tarkastusvaatimukset, joihin sisältyvät </w:t>
      </w:r>
    </w:p>
    <w:p w14:paraId="166476A5" w14:textId="77777777" w:rsidR="00E42B18" w:rsidRDefault="009629C4">
      <w:pPr>
        <w:pStyle w:val="P68B1DB1-Normal45"/>
        <w:numPr>
          <w:ilvl w:val="0"/>
          <w:numId w:val="106"/>
        </w:numPr>
        <w:spacing w:after="0" w:line="240" w:lineRule="auto"/>
        <w:ind w:left="1800" w:firstLine="0"/>
        <w:jc w:val="both"/>
        <w:textAlignment w:val="baseline"/>
        <w:rPr>
          <w:noProof/>
        </w:rPr>
      </w:pPr>
      <w:r>
        <w:rPr>
          <w:noProof/>
        </w:rPr>
        <w:t>Kuvaus toteutuskumppanin seurantajärjestelmästä, jolla raportoidaan käyttöön otetuista avustuksista. </w:t>
      </w:r>
    </w:p>
    <w:p w14:paraId="27284BDE" w14:textId="4CFAD125" w:rsidR="00E42B18" w:rsidRDefault="009629C4">
      <w:pPr>
        <w:pStyle w:val="P68B1DB1-Normal45"/>
        <w:numPr>
          <w:ilvl w:val="0"/>
          <w:numId w:val="107"/>
        </w:numPr>
        <w:spacing w:after="0" w:line="240" w:lineRule="auto"/>
        <w:ind w:left="1800" w:firstLine="0"/>
        <w:jc w:val="both"/>
        <w:textAlignment w:val="baseline"/>
        <w:rPr>
          <w:noProof/>
        </w:rPr>
      </w:pPr>
      <w:r>
        <w:rPr>
          <w:noProof/>
        </w:rPr>
        <w:t xml:space="preserve">Kuvaus toteutuskumppanin menettelyistä, joilla varmistetaan petosten, lahjonnan ja eturistiriitojen ehkäiseminen, havaitseminen ja korjaaminen. </w:t>
      </w:r>
    </w:p>
    <w:p w14:paraId="4FF358C4" w14:textId="2D171529" w:rsidR="00E42B18" w:rsidRDefault="009629C4">
      <w:pPr>
        <w:pStyle w:val="P68B1DB1-Normal45"/>
        <w:numPr>
          <w:ilvl w:val="0"/>
          <w:numId w:val="108"/>
        </w:numPr>
        <w:spacing w:after="0" w:line="240" w:lineRule="auto"/>
        <w:ind w:left="1800" w:firstLine="0"/>
        <w:jc w:val="both"/>
        <w:textAlignment w:val="baseline"/>
        <w:rPr>
          <w:noProof/>
        </w:rPr>
      </w:pPr>
      <w:r>
        <w:rPr>
          <w:noProof/>
        </w:rPr>
        <w:t>Velvollisuus tarkistaa jokaisen toimen tukikelpoisuus täytäntöönpanosopimuksessa vahvistettujen vaatimusten mukaisesti ennen avustuksen myöntämistä toimelle. </w:t>
      </w:r>
    </w:p>
    <w:p w14:paraId="69939624" w14:textId="77777777" w:rsidR="00E42B18" w:rsidRDefault="009629C4">
      <w:pPr>
        <w:pStyle w:val="P68B1DB1-Normal45"/>
        <w:rPr>
          <w:noProof/>
        </w:rPr>
      </w:pPr>
      <w:r>
        <w:rPr>
          <w:noProof/>
        </w:rPr>
        <w:br w:type="page"/>
      </w:r>
    </w:p>
    <w:p w14:paraId="45A13E3B" w14:textId="255C1545" w:rsidR="00E42B18" w:rsidRDefault="009629C4">
      <w:pPr>
        <w:pStyle w:val="P68B1DB1-Normal45"/>
        <w:numPr>
          <w:ilvl w:val="0"/>
          <w:numId w:val="109"/>
        </w:numPr>
        <w:spacing w:after="0" w:line="240" w:lineRule="auto"/>
        <w:ind w:left="1800" w:firstLine="0"/>
        <w:jc w:val="both"/>
        <w:textAlignment w:val="baseline"/>
        <w:rPr>
          <w:noProof/>
        </w:rPr>
      </w:pPr>
      <w:r>
        <w:rPr>
          <w:noProof/>
        </w:rPr>
        <w:t xml:space="preserve">Velvoite suorittaa riskiperusteisia jälkitarkastuksia GSE:n tarkastussuunnitelman mukaisesti. Näillä tarkastuksilla varmistetaan i) valvontajärjestelmien tehokkuus, mukaan lukien petosten, lahjonnan ja eturistiriitojen havaitseminen; II) ”ei merkittävää haittaa” -periaatteen, valtiontukisääntöjen ja ilmastotavoitteita koskevien vaatimusten noudattaminen; ja iii) noudatetaan vaatimusta, jonka mukaan järjestelmän lopulliset edunsaajat eivät ole saaneet tukea muista unionin välineistä samojen kustannusten kattamiseksi. Tarkastuksissa on myös todennettava toimien laillisuus ja se, että sovellettavien täytäntöönpanosopimuksen avustussopimusten ehtoja noudatetaan. </w:t>
      </w:r>
    </w:p>
    <w:p w14:paraId="1D3F6D98" w14:textId="77777777" w:rsidR="00E42B18" w:rsidRDefault="00E42B18">
      <w:pPr>
        <w:spacing w:after="0" w:line="240" w:lineRule="auto"/>
        <w:ind w:left="1800"/>
        <w:jc w:val="both"/>
        <w:textAlignment w:val="baseline"/>
        <w:rPr>
          <w:rFonts w:ascii="Times New Roman" w:eastAsia="Times New Roman" w:hAnsi="Times New Roman" w:cs="Times New Roman"/>
          <w:noProof/>
          <w:kern w:val="0"/>
          <w14:ligatures w14:val="none"/>
        </w:rPr>
      </w:pPr>
    </w:p>
    <w:p w14:paraId="55DD2DE8" w14:textId="6F63F003" w:rsidR="00E42B18" w:rsidRDefault="009629C4">
      <w:pPr>
        <w:numPr>
          <w:ilvl w:val="0"/>
          <w:numId w:val="110"/>
        </w:numPr>
        <w:spacing w:after="0" w:line="240" w:lineRule="auto"/>
        <w:ind w:firstLine="0"/>
        <w:textAlignment w:val="baseline"/>
        <w:rPr>
          <w:rFonts w:ascii="Times New Roman" w:eastAsia="Times New Roman" w:hAnsi="Times New Roman" w:cs="Times New Roman"/>
          <w:noProof/>
          <w:kern w:val="0"/>
          <w14:ligatures w14:val="none"/>
        </w:rPr>
      </w:pPr>
      <w:r>
        <w:rPr>
          <w:rFonts w:ascii="Times New Roman" w:eastAsia="Times New Roman" w:hAnsi="Times New Roman" w:cs="Times New Roman"/>
          <w:noProof/>
          <w:kern w:val="0"/>
          <w14:ligatures w14:val="none"/>
        </w:rPr>
        <w:t xml:space="preserve">Vaatimukset toteutuskumppanin tekemiä ilmastoinvestointeja varten: Elpymis- ja </w:t>
      </w:r>
      <w:r>
        <w:rPr>
          <w:rFonts w:ascii="Times New Roman" w:eastAsia="Times New Roman" w:hAnsi="Times New Roman" w:cs="Times New Roman"/>
          <w:noProof/>
        </w:rPr>
        <w:t>palautumistukivälineen</w:t>
      </w:r>
      <w:r>
        <w:rPr>
          <w:rFonts w:ascii="Arial Narrow" w:hAnsi="Arial Narrow"/>
          <w:noProof/>
          <w:color w:val="006100"/>
        </w:rPr>
        <w:t xml:space="preserve">  </w:t>
      </w:r>
      <w:r>
        <w:rPr>
          <w:rFonts w:ascii="Times New Roman" w:eastAsia="Times New Roman" w:hAnsi="Times New Roman" w:cs="Times New Roman"/>
          <w:noProof/>
          <w:kern w:val="0"/>
          <w14:ligatures w14:val="none"/>
        </w:rPr>
        <w:t xml:space="preserve">investointijärjestelmään </w:t>
      </w:r>
      <w:r>
        <w:rPr>
          <w:rFonts w:ascii="Times New Roman" w:eastAsia="Times New Roman" w:hAnsi="Times New Roman" w:cs="Times New Roman"/>
          <w:noProof/>
        </w:rPr>
        <w:t>vähintään 633000000 eurolla on edistettävä ilmastonmuutosta koskevien tavoitteiden saavuttamista elpymis- ja palautumistukivälinettä koskevan asetuksen liitteen VI mukaisesti</w:t>
      </w:r>
      <w:r>
        <w:rPr>
          <w:rStyle w:val="FootnoteReference"/>
          <w:rFonts w:ascii="Times New Roman" w:eastAsia="Times New Roman" w:hAnsi="Times New Roman" w:cs="Times New Roman"/>
          <w:noProof/>
        </w:rPr>
        <w:footnoteReference w:id="31"/>
      </w:r>
      <w:r>
        <w:rPr>
          <w:rFonts w:ascii="Times New Roman" w:eastAsia="Times New Roman" w:hAnsi="Times New Roman" w:cs="Times New Roman"/>
          <w:noProof/>
        </w:rPr>
        <w:t>.</w:t>
      </w:r>
      <w:r>
        <w:rPr>
          <w:rFonts w:ascii="Times New Roman" w:eastAsia="Times New Roman" w:hAnsi="Times New Roman" w:cs="Times New Roman"/>
          <w:noProof/>
          <w:kern w:val="0"/>
          <w14:ligatures w14:val="none"/>
        </w:rPr>
        <w:t xml:space="preserve"> </w:t>
      </w:r>
    </w:p>
    <w:p w14:paraId="64314F0B" w14:textId="77777777" w:rsidR="00E42B18" w:rsidRDefault="00E42B18">
      <w:pPr>
        <w:rPr>
          <w:noProof/>
        </w:rPr>
        <w:sectPr w:rsidR="00E42B18" w:rsidSect="00726CF9">
          <w:headerReference w:type="default" r:id="rId80"/>
          <w:footerReference w:type="default" r:id="rId81"/>
          <w:pgSz w:w="11906" w:h="16838"/>
          <w:pgMar w:top="1440" w:right="1440" w:bottom="1440" w:left="1440" w:header="708" w:footer="708" w:gutter="0"/>
          <w:cols w:space="708"/>
          <w:docGrid w:linePitch="360"/>
        </w:sectPr>
      </w:pPr>
    </w:p>
    <w:p w14:paraId="05139FE8" w14:textId="601C9F8E" w:rsidR="00E42B18" w:rsidRDefault="009629C4">
      <w:pPr>
        <w:pStyle w:val="P68B1DB1-Heading347"/>
        <w:ind w:left="850" w:hanging="850"/>
        <w:rPr>
          <w:bCs/>
          <w:noProof/>
        </w:rPr>
      </w:pPr>
      <w:r>
        <w:rPr>
          <w:noProof/>
        </w:rPr>
        <w:t xml:space="preserve">D.4 </w:t>
      </w:r>
      <w:r>
        <w:rPr>
          <w:noProof/>
        </w:rPr>
        <w:tab/>
        <w:t xml:space="preserve">Lainamuotoisen tuen seurantaa ja täytäntöönpanoa koskevat välitavoitteet, tavoitteet, indikaattorit ja aikataulu </w:t>
      </w:r>
    </w:p>
    <w:tbl>
      <w:tblPr>
        <w:tblW w:w="15026" w:type="dxa"/>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8"/>
        <w:gridCol w:w="1761"/>
        <w:gridCol w:w="1451"/>
        <w:gridCol w:w="2017"/>
        <w:gridCol w:w="2071"/>
        <w:gridCol w:w="1141"/>
        <w:gridCol w:w="1031"/>
        <w:gridCol w:w="831"/>
        <w:gridCol w:w="889"/>
        <w:gridCol w:w="525"/>
        <w:gridCol w:w="3173"/>
      </w:tblGrid>
      <w:tr w:rsidR="00E42B18" w14:paraId="76E1AA8C" w14:textId="77777777">
        <w:trPr>
          <w:trHeight w:val="300"/>
          <w:tblHeader/>
        </w:trPr>
        <w:tc>
          <w:tcPr>
            <w:tcW w:w="1131" w:type="dxa"/>
            <w:vMerge w:val="restart"/>
            <w:shd w:val="clear" w:color="auto" w:fill="BDD7EE"/>
            <w:vAlign w:val="center"/>
            <w:hideMark/>
          </w:tcPr>
          <w:p w14:paraId="5CEA3DE7"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Juokseva numero</w:t>
            </w:r>
            <w:r>
              <w:rPr>
                <w:noProof/>
              </w:rPr>
              <w:t> </w:t>
            </w:r>
          </w:p>
        </w:tc>
        <w:tc>
          <w:tcPr>
            <w:tcW w:w="1418" w:type="dxa"/>
            <w:vMerge w:val="restart"/>
            <w:shd w:val="clear" w:color="auto" w:fill="BDD7EE"/>
            <w:vAlign w:val="center"/>
            <w:hideMark/>
          </w:tcPr>
          <w:p w14:paraId="2155B0B8"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Toimenpide (uudistus tai investointi)</w:t>
            </w:r>
            <w:r>
              <w:rPr>
                <w:noProof/>
              </w:rPr>
              <w:t> </w:t>
            </w:r>
          </w:p>
        </w:tc>
        <w:tc>
          <w:tcPr>
            <w:tcW w:w="992" w:type="dxa"/>
            <w:vMerge w:val="restart"/>
            <w:shd w:val="clear" w:color="auto" w:fill="BDD7EE"/>
            <w:vAlign w:val="center"/>
            <w:hideMark/>
          </w:tcPr>
          <w:p w14:paraId="6F694899"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Välitavoite/tavoite</w:t>
            </w:r>
            <w:r>
              <w:rPr>
                <w:noProof/>
              </w:rPr>
              <w:t> </w:t>
            </w:r>
          </w:p>
        </w:tc>
        <w:tc>
          <w:tcPr>
            <w:tcW w:w="1418" w:type="dxa"/>
            <w:vMerge w:val="restart"/>
            <w:shd w:val="clear" w:color="auto" w:fill="BDD7EE"/>
            <w:vAlign w:val="center"/>
            <w:hideMark/>
          </w:tcPr>
          <w:p w14:paraId="351319E8"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Nimi</w:t>
            </w:r>
            <w:r>
              <w:rPr>
                <w:noProof/>
              </w:rPr>
              <w:t> </w:t>
            </w:r>
          </w:p>
        </w:tc>
        <w:tc>
          <w:tcPr>
            <w:tcW w:w="1417" w:type="dxa"/>
            <w:vMerge w:val="restart"/>
            <w:shd w:val="clear" w:color="auto" w:fill="BDD7EE"/>
            <w:vAlign w:val="center"/>
            <w:hideMark/>
          </w:tcPr>
          <w:p w14:paraId="38D5AABB" w14:textId="419B0BE1"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Laadulliset indikaattorit</w:t>
            </w:r>
            <w:r>
              <w:rPr>
                <w:noProof/>
              </w:rPr>
              <w:br/>
            </w:r>
            <w:r>
              <w:rPr>
                <w:b/>
                <w:noProof/>
              </w:rPr>
              <w:t>(välitavoitteiden osalta)</w:t>
            </w:r>
            <w:r>
              <w:rPr>
                <w:noProof/>
              </w:rPr>
              <w:t> </w:t>
            </w:r>
          </w:p>
        </w:tc>
        <w:tc>
          <w:tcPr>
            <w:tcW w:w="3544" w:type="dxa"/>
            <w:gridSpan w:val="3"/>
            <w:shd w:val="clear" w:color="auto" w:fill="BDD7EE"/>
            <w:vAlign w:val="center"/>
            <w:hideMark/>
          </w:tcPr>
          <w:p w14:paraId="78038C6A" w14:textId="149C21DC"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Määrälliset indikaattorit</w:t>
            </w:r>
            <w:r>
              <w:rPr>
                <w:noProof/>
              </w:rPr>
              <w:br/>
            </w:r>
            <w:r>
              <w:rPr>
                <w:b/>
                <w:noProof/>
              </w:rPr>
              <w:t>(tavoitteiden osalta)</w:t>
            </w:r>
            <w:r>
              <w:rPr>
                <w:noProof/>
              </w:rPr>
              <w:t> </w:t>
            </w:r>
          </w:p>
        </w:tc>
        <w:tc>
          <w:tcPr>
            <w:tcW w:w="1683" w:type="dxa"/>
            <w:gridSpan w:val="2"/>
            <w:shd w:val="clear" w:color="auto" w:fill="BDD7EE"/>
            <w:vAlign w:val="center"/>
            <w:hideMark/>
          </w:tcPr>
          <w:p w14:paraId="3B2EBF76"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Alustava toteutusaikataulu</w:t>
            </w:r>
            <w:r>
              <w:rPr>
                <w:noProof/>
              </w:rPr>
              <w:t> </w:t>
            </w:r>
          </w:p>
        </w:tc>
        <w:tc>
          <w:tcPr>
            <w:tcW w:w="3423" w:type="dxa"/>
            <w:vMerge w:val="restart"/>
            <w:shd w:val="clear" w:color="auto" w:fill="BDD7EE"/>
            <w:vAlign w:val="center"/>
            <w:hideMark/>
          </w:tcPr>
          <w:p w14:paraId="0B73DC93"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Kunkin välitavoitteen ja tavoitteen kuvaus</w:t>
            </w:r>
            <w:r>
              <w:rPr>
                <w:noProof/>
              </w:rPr>
              <w:t> </w:t>
            </w:r>
          </w:p>
        </w:tc>
      </w:tr>
      <w:tr w:rsidR="00E42B18" w14:paraId="3A5DDCE8" w14:textId="77777777">
        <w:trPr>
          <w:trHeight w:val="300"/>
          <w:tblHeader/>
        </w:trPr>
        <w:tc>
          <w:tcPr>
            <w:tcW w:w="1131" w:type="dxa"/>
            <w:vMerge/>
            <w:vAlign w:val="center"/>
            <w:hideMark/>
          </w:tcPr>
          <w:p w14:paraId="4A58B113"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c>
          <w:tcPr>
            <w:tcW w:w="1418" w:type="dxa"/>
            <w:vMerge/>
            <w:vAlign w:val="center"/>
            <w:hideMark/>
          </w:tcPr>
          <w:p w14:paraId="478DF540"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c>
          <w:tcPr>
            <w:tcW w:w="992" w:type="dxa"/>
            <w:vMerge/>
            <w:vAlign w:val="center"/>
            <w:hideMark/>
          </w:tcPr>
          <w:p w14:paraId="2C067FCD"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c>
          <w:tcPr>
            <w:tcW w:w="1418" w:type="dxa"/>
            <w:vMerge/>
            <w:vAlign w:val="center"/>
            <w:hideMark/>
          </w:tcPr>
          <w:p w14:paraId="1061B65D"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c>
          <w:tcPr>
            <w:tcW w:w="1417" w:type="dxa"/>
            <w:vMerge/>
            <w:vAlign w:val="center"/>
            <w:hideMark/>
          </w:tcPr>
          <w:p w14:paraId="0F9DCDED"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c>
          <w:tcPr>
            <w:tcW w:w="1276" w:type="dxa"/>
            <w:shd w:val="clear" w:color="auto" w:fill="BDD7EE"/>
            <w:vAlign w:val="center"/>
            <w:hideMark/>
          </w:tcPr>
          <w:p w14:paraId="33F1C328"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Mitta-yksikkö</w:t>
            </w:r>
            <w:r>
              <w:rPr>
                <w:noProof/>
              </w:rPr>
              <w:t> </w:t>
            </w:r>
          </w:p>
        </w:tc>
        <w:tc>
          <w:tcPr>
            <w:tcW w:w="1276" w:type="dxa"/>
            <w:shd w:val="clear" w:color="auto" w:fill="BDD7EE"/>
            <w:vAlign w:val="center"/>
            <w:hideMark/>
          </w:tcPr>
          <w:p w14:paraId="5CD8A900"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Lähtötilanne</w:t>
            </w:r>
            <w:r>
              <w:rPr>
                <w:noProof/>
              </w:rPr>
              <w:t> </w:t>
            </w:r>
          </w:p>
        </w:tc>
        <w:tc>
          <w:tcPr>
            <w:tcW w:w="992" w:type="dxa"/>
            <w:shd w:val="clear" w:color="auto" w:fill="BDD7EE"/>
            <w:vAlign w:val="center"/>
            <w:hideMark/>
          </w:tcPr>
          <w:p w14:paraId="7ED84C2C"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Päämäärä</w:t>
            </w:r>
            <w:r>
              <w:rPr>
                <w:noProof/>
              </w:rPr>
              <w:t> </w:t>
            </w:r>
          </w:p>
        </w:tc>
        <w:tc>
          <w:tcPr>
            <w:tcW w:w="992" w:type="dxa"/>
            <w:shd w:val="clear" w:color="auto" w:fill="BDD7EE"/>
            <w:vAlign w:val="center"/>
            <w:hideMark/>
          </w:tcPr>
          <w:p w14:paraId="4AEF38C2"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Neljännes</w:t>
            </w:r>
            <w:r>
              <w:rPr>
                <w:noProof/>
              </w:rPr>
              <w:t> </w:t>
            </w:r>
          </w:p>
        </w:tc>
        <w:tc>
          <w:tcPr>
            <w:tcW w:w="691" w:type="dxa"/>
            <w:shd w:val="clear" w:color="auto" w:fill="BDD7EE"/>
            <w:vAlign w:val="center"/>
            <w:hideMark/>
          </w:tcPr>
          <w:p w14:paraId="56613F38"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b/>
                <w:noProof/>
              </w:rPr>
              <w:t>Vuosi</w:t>
            </w:r>
            <w:r>
              <w:rPr>
                <w:noProof/>
              </w:rPr>
              <w:t> </w:t>
            </w:r>
          </w:p>
        </w:tc>
        <w:tc>
          <w:tcPr>
            <w:tcW w:w="3423" w:type="dxa"/>
            <w:vMerge/>
            <w:vAlign w:val="center"/>
            <w:hideMark/>
          </w:tcPr>
          <w:p w14:paraId="6BC331E4" w14:textId="77777777" w:rsidR="00E42B18" w:rsidRDefault="00E42B18">
            <w:pPr>
              <w:spacing w:after="0" w:line="240" w:lineRule="auto"/>
              <w:rPr>
                <w:rFonts w:ascii="Times New Roman" w:eastAsia="Times New Roman" w:hAnsi="Times New Roman" w:cs="Times New Roman"/>
                <w:noProof/>
                <w:kern w:val="0"/>
                <w:sz w:val="24"/>
                <w:szCs w:val="24"/>
                <w14:ligatures w14:val="none"/>
              </w:rPr>
            </w:pPr>
          </w:p>
        </w:tc>
      </w:tr>
      <w:tr w:rsidR="00E42B18" w14:paraId="6016973A" w14:textId="77777777">
        <w:trPr>
          <w:trHeight w:val="300"/>
        </w:trPr>
        <w:tc>
          <w:tcPr>
            <w:tcW w:w="1131" w:type="dxa"/>
            <w:shd w:val="clear" w:color="auto" w:fill="C6EFCE"/>
            <w:vAlign w:val="center"/>
            <w:hideMark/>
          </w:tcPr>
          <w:p w14:paraId="3DF08B7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M2C1–13 </w:t>
            </w:r>
          </w:p>
        </w:tc>
        <w:tc>
          <w:tcPr>
            <w:tcW w:w="1418" w:type="dxa"/>
            <w:shd w:val="clear" w:color="auto" w:fill="C6EFCE"/>
            <w:vAlign w:val="center"/>
            <w:hideMark/>
          </w:tcPr>
          <w:p w14:paraId="5023569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Uudistus 1.2 – Jätehuollon kansallinen ohjelma </w:t>
            </w:r>
          </w:p>
        </w:tc>
        <w:tc>
          <w:tcPr>
            <w:tcW w:w="992" w:type="dxa"/>
            <w:shd w:val="clear" w:color="auto" w:fill="C6EFCE"/>
            <w:vAlign w:val="center"/>
            <w:hideMark/>
          </w:tcPr>
          <w:p w14:paraId="76BE543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418" w:type="dxa"/>
            <w:shd w:val="clear" w:color="auto" w:fill="C6EFCE"/>
            <w:vAlign w:val="center"/>
            <w:hideMark/>
          </w:tcPr>
          <w:p w14:paraId="7EB2C9D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Kansallista jätehuolto-ohjelmaa koskevan ministeriön asetuksen voimaantulo </w:t>
            </w:r>
          </w:p>
        </w:tc>
        <w:tc>
          <w:tcPr>
            <w:tcW w:w="1417" w:type="dxa"/>
            <w:shd w:val="clear" w:color="auto" w:fill="C6EFCE"/>
            <w:vAlign w:val="center"/>
            <w:hideMark/>
          </w:tcPr>
          <w:p w14:paraId="2BF6AFC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Voimaantuloa koskeva lain säännös </w:t>
            </w:r>
          </w:p>
        </w:tc>
        <w:tc>
          <w:tcPr>
            <w:tcW w:w="1276" w:type="dxa"/>
            <w:shd w:val="clear" w:color="auto" w:fill="C6EFCE"/>
            <w:vAlign w:val="center"/>
            <w:hideMark/>
          </w:tcPr>
          <w:p w14:paraId="31C30BD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22A9EBB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6BC445D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63B8F13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91" w:type="dxa"/>
            <w:shd w:val="clear" w:color="auto" w:fill="C6EFCE"/>
            <w:vAlign w:val="center"/>
            <w:hideMark/>
          </w:tcPr>
          <w:p w14:paraId="490AEB8D" w14:textId="24D97BF8"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2022</w:t>
            </w:r>
          </w:p>
        </w:tc>
        <w:tc>
          <w:tcPr>
            <w:tcW w:w="3423" w:type="dxa"/>
            <w:shd w:val="clear" w:color="auto" w:fill="C6EFCE"/>
            <w:vAlign w:val="center"/>
            <w:hideMark/>
          </w:tcPr>
          <w:p w14:paraId="42FB63E1"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Kansallista jätehuolto-ohjelmaa koskevan ministeriön asetuksen on sisällettävä ainakin seuraavat tavoitteet: </w:t>
            </w:r>
          </w:p>
          <w:p w14:paraId="4133788B"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jätteen uudelleenkäyttöön valmistelun, kierrätyksen ja hyödyntämisen mahdollisimman korkean tason saavuttaminen vähintään asetuksen 152/06 181 §:ssä asetettujen tavoitteiden saavuttamiseksi ja ottaen huomioon myös laajennettua tuottajan vastuuta koskevat järjestelmät; </w:t>
            </w:r>
          </w:p>
          <w:p w14:paraId="6EA4431C" w14:textId="77777777" w:rsidR="00E42B18" w:rsidRDefault="009629C4">
            <w:pPr>
              <w:pStyle w:val="P68B1DB1-Normal50"/>
              <w:numPr>
                <w:ilvl w:val="0"/>
                <w:numId w:val="129"/>
              </w:numPr>
              <w:spacing w:after="0" w:line="240" w:lineRule="auto"/>
              <w:ind w:firstLine="0"/>
              <w:textAlignment w:val="baseline"/>
              <w:rPr>
                <w:noProof/>
              </w:rPr>
            </w:pPr>
            <w:r>
              <w:rPr>
                <w:noProof/>
              </w:rPr>
              <w:t>mukauttaa integroidussa jätehuollossa tarvittavien laitosten verkostoa kiertotalouden kehittämiseksi ja varmistaa tarvittavat valmiudet a alakohdassa asetettujen tavoitteiden saavuttamiseksi ja siten minimoida loppukäsittely viimeisenä vaihtoehtona ja jäännösvaihtoehtona läheisyysperiaatteen mukaisesti ja ottaen huomioon asetuksen 152/06 180 §:ssä säädetyn jätteen syntymisen ehkäisemistä koskevan kansallisen suunnitelman yhteydessä määritellyt jätteen syntymisen ehkäisemistä koskevat tavoitteet; </w:t>
            </w:r>
          </w:p>
          <w:p w14:paraId="2EAF887A" w14:textId="77777777" w:rsidR="00E42B18" w:rsidRDefault="009629C4">
            <w:pPr>
              <w:pStyle w:val="P68B1DB1-Normal50"/>
              <w:numPr>
                <w:ilvl w:val="0"/>
                <w:numId w:val="130"/>
              </w:numPr>
              <w:spacing w:after="0" w:line="240" w:lineRule="auto"/>
              <w:ind w:firstLine="0"/>
              <w:textAlignment w:val="baseline"/>
              <w:rPr>
                <w:noProof/>
              </w:rPr>
            </w:pPr>
            <w:r>
              <w:rPr>
                <w:noProof/>
              </w:rPr>
              <w:t>varmistetaan ohjelman täytäntöönpanon asianmukainen seuranta, jotta voidaan jatkuvasti todentaa, että ohjelman tavoitteita noudatetaan ja onko suunniteltujen toimien toteuttamiseksi tarpeen ottaa käyttöön korjaavia välineitä; </w:t>
            </w:r>
          </w:p>
          <w:p w14:paraId="1F137B2D" w14:textId="77777777" w:rsidR="00E42B18" w:rsidRDefault="009629C4">
            <w:pPr>
              <w:pStyle w:val="P68B1DB1-Normal50"/>
              <w:numPr>
                <w:ilvl w:val="0"/>
                <w:numId w:val="131"/>
              </w:numPr>
              <w:spacing w:after="0" w:line="240" w:lineRule="auto"/>
              <w:ind w:firstLine="0"/>
              <w:textAlignment w:val="baseline"/>
              <w:rPr>
                <w:noProof/>
              </w:rPr>
            </w:pPr>
            <w:r>
              <w:rPr>
                <w:noProof/>
              </w:rPr>
              <w:t>estetään uusien rikkomusmenettelyjen aloittaminen Italian tasavaltaa vastaan, koska se ei ole pannut täytäntöön jätekiertosuunnittelua koskevia EU:n säännöksiä; </w:t>
            </w:r>
          </w:p>
          <w:p w14:paraId="4969326E" w14:textId="77777777" w:rsidR="00E42B18" w:rsidRDefault="009629C4">
            <w:pPr>
              <w:pStyle w:val="P68B1DB1-Normal50"/>
              <w:numPr>
                <w:ilvl w:val="0"/>
                <w:numId w:val="132"/>
              </w:numPr>
              <w:spacing w:after="0" w:line="240" w:lineRule="auto"/>
              <w:ind w:firstLine="0"/>
              <w:textAlignment w:val="baseline"/>
              <w:rPr>
                <w:noProof/>
              </w:rPr>
            </w:pPr>
            <w:r>
              <w:rPr>
                <w:noProof/>
              </w:rPr>
              <w:t>jätteiden vähäiseen keräämiseen puuttuminen ja kaatopaikalle sijoittamisen estäminen (ks. myös kansallinen kiertotalousstrategia) </w:t>
            </w:r>
          </w:p>
          <w:p w14:paraId="63C091EE" w14:textId="77777777" w:rsidR="00E42B18" w:rsidRDefault="009629C4">
            <w:pPr>
              <w:pStyle w:val="P68B1DB1-Normal50"/>
              <w:numPr>
                <w:ilvl w:val="0"/>
                <w:numId w:val="133"/>
              </w:numPr>
              <w:spacing w:after="0" w:line="240" w:lineRule="auto"/>
              <w:ind w:firstLine="0"/>
              <w:textAlignment w:val="baseline"/>
              <w:rPr>
                <w:noProof/>
              </w:rPr>
            </w:pPr>
            <w:r>
              <w:rPr>
                <w:noProof/>
              </w:rPr>
              <w:t>alueellisen jätehuoltolaitoksen on täydennettävä kansallista jätehuolto-ohjelmaa; </w:t>
            </w:r>
          </w:p>
          <w:p w14:paraId="6DAB4DD8" w14:textId="77777777" w:rsidR="00E42B18" w:rsidRDefault="009629C4">
            <w:pPr>
              <w:pStyle w:val="P68B1DB1-Normal50"/>
              <w:numPr>
                <w:ilvl w:val="0"/>
                <w:numId w:val="134"/>
              </w:numPr>
              <w:spacing w:after="0" w:line="240" w:lineRule="auto"/>
              <w:ind w:firstLine="0"/>
              <w:textAlignment w:val="baseline"/>
              <w:rPr>
                <w:noProof/>
              </w:rPr>
            </w:pPr>
            <w:r>
              <w:rPr>
                <w:noProof/>
              </w:rPr>
              <w:t>korjataan jätehuollon puutteet ja alueelliset erot laitosten kapasiteetin ja kansallisen alueen eri alueiden välillä voimassa olevien laatustandardien osalta, jotta viivästykset voidaan korjata; </w:t>
            </w:r>
          </w:p>
          <w:p w14:paraId="5FD6575F" w14:textId="77777777" w:rsidR="00E42B18" w:rsidRDefault="009629C4">
            <w:pPr>
              <w:pStyle w:val="P68B1DB1-Normal50"/>
              <w:numPr>
                <w:ilvl w:val="0"/>
                <w:numId w:val="135"/>
              </w:numPr>
              <w:spacing w:after="0" w:line="240" w:lineRule="auto"/>
              <w:ind w:firstLine="0"/>
              <w:textAlignment w:val="baseline"/>
              <w:rPr>
                <w:noProof/>
              </w:rPr>
            </w:pPr>
            <w:r>
              <w:rPr>
                <w:noProof/>
              </w:rPr>
              <w:t>EU:n ja kansallisen lainsäädännön nykyisten ja uusien tavoitteiden saavuttaminen; </w:t>
            </w:r>
          </w:p>
          <w:p w14:paraId="3CE2B3C0" w14:textId="44CBC3AC" w:rsidR="00E42B18" w:rsidRDefault="009629C4">
            <w:pPr>
              <w:pStyle w:val="P68B1DB1-Normal50"/>
              <w:numPr>
                <w:ilvl w:val="0"/>
                <w:numId w:val="136"/>
              </w:numPr>
              <w:spacing w:after="0" w:line="240" w:lineRule="auto"/>
              <w:ind w:firstLine="0"/>
              <w:textAlignment w:val="baseline"/>
              <w:rPr>
                <w:noProof/>
              </w:rPr>
            </w:pPr>
            <w:r>
              <w:rPr>
                <w:noProof/>
              </w:rPr>
              <w:t>jotta voidaan torjua jätteiden laitonta upottamista ja ulkoilman polttamista (esim. Terra dei Fuochin alueella) toimenpiteillä, muun muassa ottamalla käyttöön uusi jätteen jäljitettävyysjärjestelmä, on kehitettävä tuettu maailmanlaajuinen seurantajärjestelmä laittoman jätteen hävittämisen varalta käyttäen satelliitteja, miehittämättömiä ilma-aluksia ja tekoälyteknologioita. </w:t>
            </w:r>
          </w:p>
        </w:tc>
      </w:tr>
      <w:tr w:rsidR="00E42B18" w14:paraId="4E9BAAC6" w14:textId="77777777">
        <w:trPr>
          <w:trHeight w:val="300"/>
        </w:trPr>
        <w:tc>
          <w:tcPr>
            <w:tcW w:w="1131" w:type="dxa"/>
            <w:shd w:val="clear" w:color="auto" w:fill="C6EFCE"/>
            <w:vAlign w:val="center"/>
            <w:hideMark/>
          </w:tcPr>
          <w:p w14:paraId="5DB47B0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M2C1–14 </w:t>
            </w:r>
          </w:p>
        </w:tc>
        <w:tc>
          <w:tcPr>
            <w:tcW w:w="1418" w:type="dxa"/>
            <w:shd w:val="clear" w:color="auto" w:fill="C6EFCE"/>
            <w:vAlign w:val="center"/>
            <w:hideMark/>
          </w:tcPr>
          <w:p w14:paraId="6FE108D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1.1 – Uusien jätehuoltolaitosten käyttöönotto ja olemassa olevien laitosten nykyaikaistaminen; </w:t>
            </w:r>
          </w:p>
          <w:p w14:paraId="271D3AF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1.2 – Kiertotalouden lippulaivahankkeet </w:t>
            </w:r>
          </w:p>
        </w:tc>
        <w:tc>
          <w:tcPr>
            <w:tcW w:w="992" w:type="dxa"/>
            <w:shd w:val="clear" w:color="auto" w:fill="C6EFCE"/>
            <w:vAlign w:val="center"/>
            <w:hideMark/>
          </w:tcPr>
          <w:p w14:paraId="276C9A6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418" w:type="dxa"/>
            <w:shd w:val="clear" w:color="auto" w:fill="C6EFCE"/>
            <w:vAlign w:val="center"/>
            <w:hideMark/>
          </w:tcPr>
          <w:p w14:paraId="0C6C5ED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Ministeriön asetus tulee voimaan. </w:t>
            </w:r>
          </w:p>
        </w:tc>
        <w:tc>
          <w:tcPr>
            <w:tcW w:w="1417" w:type="dxa"/>
            <w:shd w:val="clear" w:color="auto" w:fill="C6EFCE"/>
            <w:vAlign w:val="center"/>
            <w:hideMark/>
          </w:tcPr>
          <w:p w14:paraId="347F873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Hyväksytään ministeriön asetus kuntien ehdottamien hankkeiden valintaperusteiden hyväksymisestä. </w:t>
            </w:r>
          </w:p>
        </w:tc>
        <w:tc>
          <w:tcPr>
            <w:tcW w:w="1276" w:type="dxa"/>
            <w:shd w:val="clear" w:color="auto" w:fill="C6EFCE"/>
            <w:vAlign w:val="center"/>
            <w:hideMark/>
          </w:tcPr>
          <w:p w14:paraId="1B7347C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Julkaiseminen Gazzetta Ufficialessa </w:t>
            </w:r>
          </w:p>
        </w:tc>
        <w:tc>
          <w:tcPr>
            <w:tcW w:w="1276" w:type="dxa"/>
            <w:shd w:val="clear" w:color="auto" w:fill="C6EFCE"/>
            <w:vAlign w:val="center"/>
            <w:hideMark/>
          </w:tcPr>
          <w:p w14:paraId="3094C43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5637D9D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37AD6DA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Q3 </w:t>
            </w:r>
          </w:p>
        </w:tc>
        <w:tc>
          <w:tcPr>
            <w:tcW w:w="691" w:type="dxa"/>
            <w:shd w:val="clear" w:color="auto" w:fill="C6EFCE"/>
            <w:vAlign w:val="center"/>
            <w:hideMark/>
          </w:tcPr>
          <w:p w14:paraId="1354FB10"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2021 </w:t>
            </w:r>
          </w:p>
        </w:tc>
        <w:tc>
          <w:tcPr>
            <w:tcW w:w="3423" w:type="dxa"/>
            <w:shd w:val="clear" w:color="auto" w:fill="C6EFCE"/>
            <w:vAlign w:val="center"/>
            <w:hideMark/>
          </w:tcPr>
          <w:p w14:paraId="3E30424B"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Ministeriön asetus kuntien ehdottamien hankkeiden valintaperusteiden hyväksymisestä tulee voimaan. </w:t>
            </w:r>
          </w:p>
          <w:p w14:paraId="5C6C1AE6"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Ministeriön asetuksessa säädetään, että hankkeet valitaan seuraavien perusteiden mukaisesti: </w:t>
            </w:r>
          </w:p>
          <w:p w14:paraId="3A50D9B9" w14:textId="77777777" w:rsidR="00E42B18" w:rsidRDefault="009629C4">
            <w:pPr>
              <w:pStyle w:val="P68B1DB1-Normal50"/>
              <w:numPr>
                <w:ilvl w:val="0"/>
                <w:numId w:val="137"/>
              </w:numPr>
              <w:spacing w:after="0" w:line="240" w:lineRule="auto"/>
              <w:ind w:left="780" w:firstLine="0"/>
              <w:textAlignment w:val="baseline"/>
              <w:rPr>
                <w:noProof/>
              </w:rPr>
            </w:pPr>
            <w:r>
              <w:rPr>
                <w:noProof/>
              </w:rPr>
              <w:t>Johdonmukaisuus EU:n ja kansallisen lainsäädännön sekä kiertotaloutta koskevan eurooppalaisen toimintasuunnitelman kanssa, </w:t>
            </w:r>
          </w:p>
          <w:p w14:paraId="4ABD64D3" w14:textId="77777777" w:rsidR="00E42B18" w:rsidRDefault="009629C4">
            <w:pPr>
              <w:pStyle w:val="P68B1DB1-Normal50"/>
              <w:numPr>
                <w:ilvl w:val="0"/>
                <w:numId w:val="138"/>
              </w:numPr>
              <w:spacing w:after="0" w:line="240" w:lineRule="auto"/>
              <w:ind w:left="780" w:firstLine="0"/>
              <w:textAlignment w:val="baseline"/>
              <w:rPr>
                <w:noProof/>
              </w:rPr>
            </w:pPr>
            <w:r>
              <w:rPr>
                <w:noProof/>
              </w:rPr>
              <w:t>Kierrätystavoitteiden odotettu paraneminen </w:t>
            </w:r>
          </w:p>
          <w:p w14:paraId="5ED1CB97" w14:textId="77777777" w:rsidR="00E42B18" w:rsidRDefault="009629C4">
            <w:pPr>
              <w:pStyle w:val="P68B1DB1-Normal50"/>
              <w:numPr>
                <w:ilvl w:val="0"/>
                <w:numId w:val="139"/>
              </w:numPr>
              <w:spacing w:after="0" w:line="240" w:lineRule="auto"/>
              <w:ind w:left="780" w:firstLine="0"/>
              <w:textAlignment w:val="baseline"/>
              <w:rPr>
                <w:noProof/>
              </w:rPr>
            </w:pPr>
            <w:r>
              <w:rPr>
                <w:noProof/>
              </w:rPr>
              <w:t>Johdonmukaisuus alueellisten ja kansallisten suunnitteluvälineiden kanssa, </w:t>
            </w:r>
          </w:p>
          <w:p w14:paraId="317C5100" w14:textId="77777777" w:rsidR="00E42B18" w:rsidRDefault="009629C4">
            <w:pPr>
              <w:pStyle w:val="P68B1DB1-Normal50"/>
              <w:numPr>
                <w:ilvl w:val="0"/>
                <w:numId w:val="140"/>
              </w:numPr>
              <w:spacing w:after="0" w:line="240" w:lineRule="auto"/>
              <w:ind w:left="780" w:firstLine="0"/>
              <w:textAlignment w:val="baseline"/>
              <w:rPr>
                <w:noProof/>
              </w:rPr>
            </w:pPr>
            <w:r>
              <w:rPr>
                <w:noProof/>
              </w:rPr>
              <w:t>Osallistuminen EU:n rikkomusten ratkaisemiseen, synergiat muun alakohtaisen suunnittelun (esim. PNIEC) ja/tai suunnitelman muiden osien kanssa, innovatiiviset teknologiat, jotka perustuvat täysimittaisiin kokemuksiin, </w:t>
            </w:r>
          </w:p>
          <w:p w14:paraId="093C2B1F" w14:textId="77777777" w:rsidR="00E42B18" w:rsidRDefault="009629C4">
            <w:pPr>
              <w:pStyle w:val="P68B1DB1-Normal50"/>
              <w:numPr>
                <w:ilvl w:val="0"/>
                <w:numId w:val="141"/>
              </w:numPr>
              <w:spacing w:after="0" w:line="240" w:lineRule="auto"/>
              <w:ind w:left="780" w:firstLine="0"/>
              <w:textAlignment w:val="baseline"/>
              <w:rPr>
                <w:noProof/>
              </w:rPr>
            </w:pPr>
            <w:r>
              <w:rPr>
                <w:noProof/>
              </w:rPr>
              <w:t>Ehdotuksen tekninen laatu. </w:t>
            </w:r>
          </w:p>
          <w:p w14:paraId="644EE7A0" w14:textId="77777777" w:rsidR="00E42B18" w:rsidRDefault="009629C4">
            <w:pPr>
              <w:pStyle w:val="P68B1DB1-Normal50"/>
              <w:numPr>
                <w:ilvl w:val="0"/>
                <w:numId w:val="142"/>
              </w:numPr>
              <w:spacing w:after="0" w:line="240" w:lineRule="auto"/>
              <w:ind w:left="780" w:firstLine="0"/>
              <w:textAlignment w:val="baseline"/>
              <w:rPr>
                <w:noProof/>
              </w:rPr>
            </w:pPr>
            <w:r>
              <w:rPr>
                <w:noProof/>
              </w:rPr>
              <w:t>Johdonmukaisuus ja täydentävyys muista EU:n ja kansallisista välineistä rahoitettujen koheesiopolitiikan ohjelmien ja vastaavien hankkeiden kanssa </w:t>
            </w:r>
          </w:p>
          <w:p w14:paraId="4218DB23"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Tukitoimiin ei saa sisältyä investointeja kaatopaikkoihin, loppusijoituslaitoksiin, mekaaniseen biologiseen käsittelyyn/mekaanisiin käsittelylaitoksiin tai polttolaitoksiin ”ei merkittävää haittaa” -periaatteen mukaisesti. </w:t>
            </w:r>
          </w:p>
        </w:tc>
      </w:tr>
      <w:tr w:rsidR="00E42B18" w14:paraId="02456C9D" w14:textId="77777777">
        <w:trPr>
          <w:trHeight w:val="300"/>
        </w:trPr>
        <w:tc>
          <w:tcPr>
            <w:tcW w:w="1131" w:type="dxa"/>
            <w:shd w:val="clear" w:color="auto" w:fill="C6EFCE"/>
            <w:vAlign w:val="center"/>
            <w:hideMark/>
          </w:tcPr>
          <w:p w14:paraId="44F35EB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M2C1–15 </w:t>
            </w:r>
          </w:p>
        </w:tc>
        <w:tc>
          <w:tcPr>
            <w:tcW w:w="1418" w:type="dxa"/>
            <w:shd w:val="clear" w:color="auto" w:fill="C6EFCE"/>
            <w:vAlign w:val="center"/>
            <w:hideMark/>
          </w:tcPr>
          <w:p w14:paraId="4784BAA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Uudistus 1.2 </w:t>
            </w:r>
          </w:p>
          <w:p w14:paraId="49F9EA1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Kansallinen jätehuolto-ohjelma </w:t>
            </w:r>
          </w:p>
          <w:p w14:paraId="1396687F" w14:textId="77777777" w:rsidR="00E42B18" w:rsidRDefault="009629C4">
            <w:pPr>
              <w:pStyle w:val="P68B1DB1-Normal49"/>
              <w:spacing w:after="0" w:line="240" w:lineRule="auto"/>
              <w:jc w:val="center"/>
              <w:textAlignment w:val="baseline"/>
              <w:rPr>
                <w:rFonts w:ascii="Times New Roman" w:hAnsi="Times New Roman"/>
                <w:noProof/>
                <w:sz w:val="24"/>
                <w:szCs w:val="24"/>
              </w:rPr>
            </w:pPr>
            <w:r>
              <w:rPr>
                <w:noProof/>
              </w:rPr>
              <w:t> </w:t>
            </w:r>
          </w:p>
        </w:tc>
        <w:tc>
          <w:tcPr>
            <w:tcW w:w="992" w:type="dxa"/>
            <w:shd w:val="clear" w:color="auto" w:fill="C6EFCE"/>
            <w:vAlign w:val="center"/>
            <w:hideMark/>
          </w:tcPr>
          <w:p w14:paraId="0C33987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418" w:type="dxa"/>
            <w:shd w:val="clear" w:color="auto" w:fill="C6EFCE"/>
            <w:vAlign w:val="center"/>
            <w:hideMark/>
          </w:tcPr>
          <w:p w14:paraId="326C0BC1" w14:textId="2347A32A" w:rsidR="00E42B18" w:rsidRDefault="009629C4">
            <w:pPr>
              <w:pStyle w:val="P68B1DB1-Normal50"/>
              <w:spacing w:after="0" w:line="240" w:lineRule="auto"/>
              <w:jc w:val="center"/>
              <w:textAlignment w:val="baseline"/>
              <w:rPr>
                <w:rFonts w:ascii="Times New Roman" w:hAnsi="Times New Roman"/>
                <w:noProof/>
                <w:sz w:val="24"/>
                <w:szCs w:val="24"/>
              </w:rPr>
            </w:pPr>
            <w:r>
              <w:rPr>
                <w:noProof/>
              </w:rPr>
              <w:t xml:space="preserve">Epäsäännöllisten kaatopaikkojen vähentäminen (T1) </w:t>
            </w:r>
          </w:p>
        </w:tc>
        <w:tc>
          <w:tcPr>
            <w:tcW w:w="1417" w:type="dxa"/>
            <w:shd w:val="clear" w:color="auto" w:fill="C6EFCE"/>
            <w:vAlign w:val="center"/>
            <w:hideMark/>
          </w:tcPr>
          <w:p w14:paraId="760BC9BF"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3D478E0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Numero </w:t>
            </w:r>
          </w:p>
        </w:tc>
        <w:tc>
          <w:tcPr>
            <w:tcW w:w="1276" w:type="dxa"/>
            <w:shd w:val="clear" w:color="auto" w:fill="C6EFCE"/>
            <w:vAlign w:val="center"/>
            <w:hideMark/>
          </w:tcPr>
          <w:p w14:paraId="7D20CD9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33 </w:t>
            </w:r>
          </w:p>
        </w:tc>
        <w:tc>
          <w:tcPr>
            <w:tcW w:w="992" w:type="dxa"/>
            <w:shd w:val="clear" w:color="auto" w:fill="C6EFCE"/>
            <w:vAlign w:val="center"/>
            <w:hideMark/>
          </w:tcPr>
          <w:p w14:paraId="6E7C811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11 </w:t>
            </w:r>
          </w:p>
        </w:tc>
        <w:tc>
          <w:tcPr>
            <w:tcW w:w="992" w:type="dxa"/>
            <w:shd w:val="clear" w:color="auto" w:fill="C6EFCE"/>
            <w:vAlign w:val="center"/>
            <w:hideMark/>
          </w:tcPr>
          <w:p w14:paraId="3970F17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91" w:type="dxa"/>
            <w:shd w:val="clear" w:color="auto" w:fill="C6EFCE"/>
            <w:vAlign w:val="center"/>
            <w:hideMark/>
          </w:tcPr>
          <w:p w14:paraId="3CEB9521"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2024 </w:t>
            </w:r>
          </w:p>
        </w:tc>
        <w:tc>
          <w:tcPr>
            <w:tcW w:w="3423" w:type="dxa"/>
            <w:shd w:val="clear" w:color="auto" w:fill="C6EFCE"/>
            <w:vAlign w:val="center"/>
            <w:hideMark/>
          </w:tcPr>
          <w:p w14:paraId="34C4F05A" w14:textId="77777777" w:rsidR="00E42B18" w:rsidRDefault="009629C4">
            <w:pPr>
              <w:pStyle w:val="P68B1DB1-Normal50"/>
              <w:spacing w:after="0" w:line="240" w:lineRule="auto"/>
              <w:jc w:val="both"/>
              <w:textAlignment w:val="baseline"/>
              <w:rPr>
                <w:rFonts w:ascii="Times New Roman" w:hAnsi="Times New Roman"/>
                <w:noProof/>
                <w:sz w:val="24"/>
                <w:szCs w:val="24"/>
              </w:rPr>
            </w:pPr>
            <w:r>
              <w:rPr>
                <w:noProof/>
              </w:rPr>
              <w:t>Rikkomusmenettelyyn NIF 2003/2077 sisältyvien sääntöjenvastaisten kaatopaikkojen vähentäminen 33:sta 11:een (eli vähintään 66 %). </w:t>
            </w:r>
          </w:p>
        </w:tc>
      </w:tr>
      <w:tr w:rsidR="00E42B18" w14:paraId="2518F62B" w14:textId="77777777">
        <w:trPr>
          <w:trHeight w:val="300"/>
        </w:trPr>
        <w:tc>
          <w:tcPr>
            <w:tcW w:w="1131" w:type="dxa"/>
            <w:shd w:val="clear" w:color="auto" w:fill="C6EFCE"/>
            <w:vAlign w:val="center"/>
            <w:hideMark/>
          </w:tcPr>
          <w:p w14:paraId="3C647430"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M2C1–15a </w:t>
            </w:r>
          </w:p>
        </w:tc>
        <w:tc>
          <w:tcPr>
            <w:tcW w:w="1418" w:type="dxa"/>
            <w:shd w:val="clear" w:color="auto" w:fill="C6EFCE"/>
            <w:vAlign w:val="center"/>
            <w:hideMark/>
          </w:tcPr>
          <w:p w14:paraId="74CA354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Uudistus 1.2 </w:t>
            </w:r>
          </w:p>
          <w:p w14:paraId="0C6A9520"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Kansallinen jätehuolto-ohjelma: </w:t>
            </w:r>
          </w:p>
        </w:tc>
        <w:tc>
          <w:tcPr>
            <w:tcW w:w="992" w:type="dxa"/>
            <w:shd w:val="clear" w:color="auto" w:fill="C6EFCE"/>
            <w:vAlign w:val="center"/>
            <w:hideMark/>
          </w:tcPr>
          <w:p w14:paraId="6FE7A63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418" w:type="dxa"/>
            <w:shd w:val="clear" w:color="auto" w:fill="C6EFCE"/>
            <w:vAlign w:val="center"/>
            <w:hideMark/>
          </w:tcPr>
          <w:p w14:paraId="24E18C8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Epäsäännöllisten kaatopaikkojen vähentäminen (T2) </w:t>
            </w:r>
          </w:p>
        </w:tc>
        <w:tc>
          <w:tcPr>
            <w:tcW w:w="1417" w:type="dxa"/>
            <w:shd w:val="clear" w:color="auto" w:fill="C6EFCE"/>
            <w:vAlign w:val="center"/>
            <w:hideMark/>
          </w:tcPr>
          <w:p w14:paraId="7BD85E5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36A75CBC" w14:textId="77CC0E48" w:rsidR="00E42B18" w:rsidRDefault="009629C4">
            <w:pPr>
              <w:pStyle w:val="P68B1DB1-Normal50"/>
              <w:spacing w:after="0" w:line="240" w:lineRule="auto"/>
              <w:jc w:val="center"/>
              <w:textAlignment w:val="baseline"/>
              <w:rPr>
                <w:rFonts w:ascii="Times New Roman" w:hAnsi="Times New Roman"/>
                <w:noProof/>
                <w:sz w:val="24"/>
                <w:szCs w:val="24"/>
              </w:rPr>
            </w:pPr>
            <w:r>
              <w:rPr>
                <w:noProof/>
              </w:rPr>
              <w:t xml:space="preserve">Numero </w:t>
            </w:r>
          </w:p>
        </w:tc>
        <w:tc>
          <w:tcPr>
            <w:tcW w:w="1276" w:type="dxa"/>
            <w:shd w:val="clear" w:color="auto" w:fill="C6EFCE"/>
            <w:vAlign w:val="center"/>
            <w:hideMark/>
          </w:tcPr>
          <w:p w14:paraId="4D9D765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34 </w:t>
            </w:r>
          </w:p>
        </w:tc>
        <w:tc>
          <w:tcPr>
            <w:tcW w:w="992" w:type="dxa"/>
            <w:shd w:val="clear" w:color="auto" w:fill="C6EFCE"/>
            <w:vAlign w:val="center"/>
            <w:hideMark/>
          </w:tcPr>
          <w:p w14:paraId="2CD1732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14 </w:t>
            </w:r>
          </w:p>
        </w:tc>
        <w:tc>
          <w:tcPr>
            <w:tcW w:w="992" w:type="dxa"/>
            <w:shd w:val="clear" w:color="auto" w:fill="C6EFCE"/>
            <w:vAlign w:val="center"/>
            <w:hideMark/>
          </w:tcPr>
          <w:p w14:paraId="7A3B2B3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91" w:type="dxa"/>
            <w:shd w:val="clear" w:color="auto" w:fill="C6EFCE"/>
            <w:vAlign w:val="center"/>
            <w:hideMark/>
          </w:tcPr>
          <w:p w14:paraId="4AF659A3"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2023 </w:t>
            </w:r>
          </w:p>
        </w:tc>
        <w:tc>
          <w:tcPr>
            <w:tcW w:w="3423" w:type="dxa"/>
            <w:shd w:val="clear" w:color="auto" w:fill="C6EFCE"/>
            <w:vAlign w:val="center"/>
            <w:hideMark/>
          </w:tcPr>
          <w:p w14:paraId="67D9AEEF"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Rikkomusmenettelyyn 2011/2215 sisältyvien laittomien kaatopaikkojen vähentäminen 34:stä 14:ään (eli vähintään 60 %). </w:t>
            </w:r>
          </w:p>
        </w:tc>
      </w:tr>
      <w:tr w:rsidR="00E42B18" w14:paraId="2D6C225D" w14:textId="77777777">
        <w:trPr>
          <w:trHeight w:val="300"/>
        </w:trPr>
        <w:tc>
          <w:tcPr>
            <w:tcW w:w="1131" w:type="dxa"/>
            <w:shd w:val="clear" w:color="auto" w:fill="C6EFCE"/>
            <w:vAlign w:val="center"/>
            <w:hideMark/>
          </w:tcPr>
          <w:p w14:paraId="49A8A650"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M2C1–15ter </w:t>
            </w:r>
          </w:p>
        </w:tc>
        <w:tc>
          <w:tcPr>
            <w:tcW w:w="1418" w:type="dxa"/>
            <w:shd w:val="clear" w:color="auto" w:fill="C6EFCE"/>
            <w:vAlign w:val="center"/>
            <w:hideMark/>
          </w:tcPr>
          <w:p w14:paraId="66012AF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1.1 – Uusien jätehuoltolaitosten käyttöönotto ja olemassa olevien laitosten nykyaikaistaminen </w:t>
            </w:r>
          </w:p>
        </w:tc>
        <w:tc>
          <w:tcPr>
            <w:tcW w:w="992" w:type="dxa"/>
            <w:shd w:val="clear" w:color="auto" w:fill="C6EFCE"/>
            <w:vAlign w:val="center"/>
            <w:hideMark/>
          </w:tcPr>
          <w:p w14:paraId="55DA591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418" w:type="dxa"/>
            <w:shd w:val="clear" w:color="auto" w:fill="C6EFCE"/>
            <w:vAlign w:val="center"/>
            <w:hideMark/>
          </w:tcPr>
          <w:p w14:paraId="3499926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Erilliskeräyksen alueellisten erojen vähentäminen </w:t>
            </w:r>
          </w:p>
        </w:tc>
        <w:tc>
          <w:tcPr>
            <w:tcW w:w="1417" w:type="dxa"/>
            <w:shd w:val="clear" w:color="auto" w:fill="C6EFCE"/>
            <w:vAlign w:val="center"/>
            <w:hideMark/>
          </w:tcPr>
          <w:p w14:paraId="0291CC8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2E60852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Prosenttiosuus </w:t>
            </w:r>
          </w:p>
        </w:tc>
        <w:tc>
          <w:tcPr>
            <w:tcW w:w="1276" w:type="dxa"/>
            <w:shd w:val="clear" w:color="auto" w:fill="C6EFCE"/>
            <w:vAlign w:val="center"/>
            <w:hideMark/>
          </w:tcPr>
          <w:p w14:paraId="47E1EE4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22.8 </w:t>
            </w:r>
          </w:p>
        </w:tc>
        <w:tc>
          <w:tcPr>
            <w:tcW w:w="992" w:type="dxa"/>
            <w:shd w:val="clear" w:color="auto" w:fill="C6EFCE"/>
            <w:vAlign w:val="center"/>
            <w:hideMark/>
          </w:tcPr>
          <w:p w14:paraId="417F365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20 </w:t>
            </w:r>
          </w:p>
        </w:tc>
        <w:tc>
          <w:tcPr>
            <w:tcW w:w="992" w:type="dxa"/>
            <w:shd w:val="clear" w:color="auto" w:fill="C6EFCE"/>
            <w:vAlign w:val="center"/>
            <w:hideMark/>
          </w:tcPr>
          <w:p w14:paraId="4853AC6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91" w:type="dxa"/>
            <w:shd w:val="clear" w:color="auto" w:fill="C6EFCE"/>
            <w:vAlign w:val="center"/>
            <w:hideMark/>
          </w:tcPr>
          <w:p w14:paraId="4D0A93C2"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2023 </w:t>
            </w:r>
          </w:p>
        </w:tc>
        <w:tc>
          <w:tcPr>
            <w:tcW w:w="3423" w:type="dxa"/>
            <w:shd w:val="clear" w:color="auto" w:fill="C6EFCE"/>
            <w:vAlign w:val="center"/>
            <w:hideMark/>
          </w:tcPr>
          <w:p w14:paraId="29D3623A"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Kansallisen keskiarvon ja heikoimmin suoriutuneen alueen välinen ero erilliskeräysasteissa pienenee 20 prosenttiyksikköön. </w:t>
            </w:r>
          </w:p>
        </w:tc>
      </w:tr>
      <w:tr w:rsidR="00E42B18" w14:paraId="4900FD9D" w14:textId="77777777">
        <w:trPr>
          <w:trHeight w:val="300"/>
        </w:trPr>
        <w:tc>
          <w:tcPr>
            <w:tcW w:w="1131" w:type="dxa"/>
            <w:shd w:val="clear" w:color="auto" w:fill="C6EFCE"/>
            <w:vAlign w:val="center"/>
            <w:hideMark/>
          </w:tcPr>
          <w:p w14:paraId="286F14B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M2C1–15 quater </w:t>
            </w:r>
          </w:p>
        </w:tc>
        <w:tc>
          <w:tcPr>
            <w:tcW w:w="1418" w:type="dxa"/>
            <w:shd w:val="clear" w:color="auto" w:fill="C6EFCE"/>
            <w:vAlign w:val="center"/>
            <w:hideMark/>
          </w:tcPr>
          <w:p w14:paraId="487A7C8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1.1 – Uusien jätehuoltolaitosten käyttöönotto ja olemassa olevien laitosten nykyaikaistaminen </w:t>
            </w:r>
          </w:p>
        </w:tc>
        <w:tc>
          <w:tcPr>
            <w:tcW w:w="992" w:type="dxa"/>
            <w:shd w:val="clear" w:color="auto" w:fill="C6EFCE"/>
            <w:vAlign w:val="center"/>
            <w:hideMark/>
          </w:tcPr>
          <w:p w14:paraId="1E08554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418" w:type="dxa"/>
            <w:shd w:val="clear" w:color="auto" w:fill="C6EFCE"/>
            <w:vAlign w:val="center"/>
            <w:hideMark/>
          </w:tcPr>
          <w:p w14:paraId="40BB9560"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Biojätteen erilliskeräystä koskevan velvoitteen voimaantulo </w:t>
            </w:r>
          </w:p>
        </w:tc>
        <w:tc>
          <w:tcPr>
            <w:tcW w:w="1417" w:type="dxa"/>
            <w:shd w:val="clear" w:color="auto" w:fill="C6EFCE"/>
            <w:vAlign w:val="center"/>
            <w:hideMark/>
          </w:tcPr>
          <w:p w14:paraId="775E59E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Voimaantuloa koskeva lain säännös </w:t>
            </w:r>
          </w:p>
        </w:tc>
        <w:tc>
          <w:tcPr>
            <w:tcW w:w="1276" w:type="dxa"/>
            <w:shd w:val="clear" w:color="auto" w:fill="C6EFCE"/>
            <w:vAlign w:val="center"/>
            <w:hideMark/>
          </w:tcPr>
          <w:p w14:paraId="79AB6DBF"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409E243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0DDFEDC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62B1D40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91" w:type="dxa"/>
            <w:shd w:val="clear" w:color="auto" w:fill="C6EFCE"/>
            <w:vAlign w:val="center"/>
            <w:hideMark/>
          </w:tcPr>
          <w:p w14:paraId="5B208149"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2023 </w:t>
            </w:r>
          </w:p>
        </w:tc>
        <w:tc>
          <w:tcPr>
            <w:tcW w:w="3423" w:type="dxa"/>
            <w:shd w:val="clear" w:color="auto" w:fill="C6EFCE"/>
            <w:vAlign w:val="center"/>
            <w:hideMark/>
          </w:tcPr>
          <w:p w14:paraId="090CBED1"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Biojätteen erilliskeräysvelvoite on toiminnassa 31. joulukuuta 2023 mennessä kiertotaloutta koskevan EU:n toimintasuunnitelman mukaisesti. </w:t>
            </w:r>
          </w:p>
        </w:tc>
      </w:tr>
      <w:tr w:rsidR="00E42B18" w14:paraId="10C9A573" w14:textId="77777777">
        <w:trPr>
          <w:trHeight w:val="300"/>
        </w:trPr>
        <w:tc>
          <w:tcPr>
            <w:tcW w:w="1131" w:type="dxa"/>
            <w:shd w:val="clear" w:color="auto" w:fill="C6EFCE"/>
            <w:vAlign w:val="center"/>
            <w:hideMark/>
          </w:tcPr>
          <w:p w14:paraId="460E57E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M2C1–16 </w:t>
            </w:r>
          </w:p>
        </w:tc>
        <w:tc>
          <w:tcPr>
            <w:tcW w:w="1418" w:type="dxa"/>
            <w:shd w:val="clear" w:color="auto" w:fill="C6EFCE"/>
            <w:vAlign w:val="center"/>
            <w:hideMark/>
          </w:tcPr>
          <w:p w14:paraId="2F4E6FDD" w14:textId="23089295" w:rsidR="00E42B18" w:rsidRDefault="009629C4">
            <w:pPr>
              <w:pStyle w:val="P68B1DB1-Normal50"/>
              <w:spacing w:after="0" w:line="240" w:lineRule="auto"/>
              <w:jc w:val="center"/>
              <w:textAlignment w:val="baseline"/>
              <w:rPr>
                <w:rFonts w:ascii="Times New Roman" w:hAnsi="Times New Roman"/>
                <w:noProof/>
                <w:sz w:val="24"/>
                <w:szCs w:val="24"/>
              </w:rPr>
            </w:pPr>
            <w:r>
              <w:rPr>
                <w:noProof/>
              </w:rPr>
              <w:t xml:space="preserve">Uudistus 1.2 </w:t>
            </w:r>
          </w:p>
          <w:p w14:paraId="6F26474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Kansallinen jätehuolto-ohjelma </w:t>
            </w:r>
          </w:p>
        </w:tc>
        <w:tc>
          <w:tcPr>
            <w:tcW w:w="992" w:type="dxa"/>
            <w:shd w:val="clear" w:color="auto" w:fill="C6EFCE"/>
            <w:vAlign w:val="center"/>
            <w:hideMark/>
          </w:tcPr>
          <w:p w14:paraId="2A8A42E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418" w:type="dxa"/>
            <w:shd w:val="clear" w:color="auto" w:fill="C6EFCE"/>
            <w:vAlign w:val="center"/>
            <w:hideMark/>
          </w:tcPr>
          <w:p w14:paraId="153510A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Epäsäännölliset kaatopaikat </w:t>
            </w:r>
          </w:p>
        </w:tc>
        <w:tc>
          <w:tcPr>
            <w:tcW w:w="1417" w:type="dxa"/>
            <w:shd w:val="clear" w:color="auto" w:fill="C6EFCE"/>
            <w:vAlign w:val="center"/>
            <w:hideMark/>
          </w:tcPr>
          <w:p w14:paraId="2FCC98C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570D05E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Numero </w:t>
            </w:r>
          </w:p>
        </w:tc>
        <w:tc>
          <w:tcPr>
            <w:tcW w:w="1276" w:type="dxa"/>
            <w:shd w:val="clear" w:color="auto" w:fill="C6EFCE"/>
            <w:vAlign w:val="center"/>
            <w:hideMark/>
          </w:tcPr>
          <w:p w14:paraId="29A7FD9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11 </w:t>
            </w:r>
          </w:p>
        </w:tc>
        <w:tc>
          <w:tcPr>
            <w:tcW w:w="992" w:type="dxa"/>
            <w:shd w:val="clear" w:color="auto" w:fill="C6EFCE"/>
            <w:vAlign w:val="center"/>
            <w:hideMark/>
          </w:tcPr>
          <w:p w14:paraId="2CB8EDD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0 </w:t>
            </w:r>
          </w:p>
        </w:tc>
        <w:tc>
          <w:tcPr>
            <w:tcW w:w="992" w:type="dxa"/>
            <w:shd w:val="clear" w:color="auto" w:fill="C6EFCE"/>
            <w:vAlign w:val="center"/>
            <w:hideMark/>
          </w:tcPr>
          <w:p w14:paraId="4D8A06D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91" w:type="dxa"/>
            <w:shd w:val="clear" w:color="auto" w:fill="C6EFCE"/>
            <w:vAlign w:val="center"/>
            <w:hideMark/>
          </w:tcPr>
          <w:p w14:paraId="4335FC04"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2026 </w:t>
            </w:r>
          </w:p>
        </w:tc>
        <w:tc>
          <w:tcPr>
            <w:tcW w:w="3423" w:type="dxa"/>
            <w:shd w:val="clear" w:color="auto" w:fill="C6EFCE"/>
            <w:vAlign w:val="center"/>
            <w:hideMark/>
          </w:tcPr>
          <w:p w14:paraId="0911F3FB"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Rikkomusmenettelyyn 2003/2077 sisältyvien sääntöjenvastaisten kaatopaikkojen vähentäminen 11:stä 0:een. </w:t>
            </w:r>
          </w:p>
        </w:tc>
      </w:tr>
      <w:tr w:rsidR="00E42B18" w14:paraId="083E0108" w14:textId="77777777">
        <w:trPr>
          <w:trHeight w:val="300"/>
        </w:trPr>
        <w:tc>
          <w:tcPr>
            <w:tcW w:w="1131" w:type="dxa"/>
            <w:shd w:val="clear" w:color="auto" w:fill="C6EFCE"/>
            <w:vAlign w:val="center"/>
            <w:hideMark/>
          </w:tcPr>
          <w:p w14:paraId="22DCE84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M2C1–16bis </w:t>
            </w:r>
          </w:p>
        </w:tc>
        <w:tc>
          <w:tcPr>
            <w:tcW w:w="1418" w:type="dxa"/>
            <w:shd w:val="clear" w:color="auto" w:fill="C6EFCE"/>
            <w:vAlign w:val="center"/>
            <w:hideMark/>
          </w:tcPr>
          <w:p w14:paraId="0FC78173" w14:textId="6E4F4EC3" w:rsidR="00E42B18" w:rsidRDefault="009629C4">
            <w:pPr>
              <w:pStyle w:val="P68B1DB1-Normal50"/>
              <w:spacing w:after="0" w:line="240" w:lineRule="auto"/>
              <w:jc w:val="center"/>
              <w:textAlignment w:val="baseline"/>
              <w:rPr>
                <w:rFonts w:ascii="Times New Roman" w:hAnsi="Times New Roman"/>
                <w:noProof/>
                <w:sz w:val="24"/>
                <w:szCs w:val="24"/>
              </w:rPr>
            </w:pPr>
            <w:r>
              <w:rPr>
                <w:noProof/>
              </w:rPr>
              <w:t xml:space="preserve">Uudistus 1.2 </w:t>
            </w:r>
          </w:p>
          <w:p w14:paraId="73BDDF3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Kansallinen jätehuolto-ohjelma </w:t>
            </w:r>
          </w:p>
        </w:tc>
        <w:tc>
          <w:tcPr>
            <w:tcW w:w="992" w:type="dxa"/>
            <w:shd w:val="clear" w:color="auto" w:fill="C6EFCE"/>
            <w:vAlign w:val="center"/>
            <w:hideMark/>
          </w:tcPr>
          <w:p w14:paraId="5628EA9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418" w:type="dxa"/>
            <w:shd w:val="clear" w:color="auto" w:fill="C6EFCE"/>
            <w:vAlign w:val="center"/>
            <w:hideMark/>
          </w:tcPr>
          <w:p w14:paraId="7ABB8F5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Epäsäännölliset kaatopaikat </w:t>
            </w:r>
          </w:p>
        </w:tc>
        <w:tc>
          <w:tcPr>
            <w:tcW w:w="1417" w:type="dxa"/>
            <w:shd w:val="clear" w:color="auto" w:fill="C6EFCE"/>
            <w:vAlign w:val="center"/>
            <w:hideMark/>
          </w:tcPr>
          <w:p w14:paraId="0876240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3751792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Numero </w:t>
            </w:r>
          </w:p>
        </w:tc>
        <w:tc>
          <w:tcPr>
            <w:tcW w:w="1276" w:type="dxa"/>
            <w:shd w:val="clear" w:color="auto" w:fill="C6EFCE"/>
            <w:vAlign w:val="center"/>
            <w:hideMark/>
          </w:tcPr>
          <w:p w14:paraId="4BA1F87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14 </w:t>
            </w:r>
          </w:p>
        </w:tc>
        <w:tc>
          <w:tcPr>
            <w:tcW w:w="992" w:type="dxa"/>
            <w:shd w:val="clear" w:color="auto" w:fill="C6EFCE"/>
            <w:vAlign w:val="center"/>
            <w:hideMark/>
          </w:tcPr>
          <w:p w14:paraId="1FC55CD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9 </w:t>
            </w:r>
          </w:p>
        </w:tc>
        <w:tc>
          <w:tcPr>
            <w:tcW w:w="992" w:type="dxa"/>
            <w:shd w:val="clear" w:color="auto" w:fill="C6EFCE"/>
            <w:vAlign w:val="center"/>
            <w:hideMark/>
          </w:tcPr>
          <w:p w14:paraId="7186C69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91" w:type="dxa"/>
            <w:shd w:val="clear" w:color="auto" w:fill="C6EFCE"/>
            <w:vAlign w:val="center"/>
            <w:hideMark/>
          </w:tcPr>
          <w:p w14:paraId="5A7D9B0C"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2024 </w:t>
            </w:r>
          </w:p>
        </w:tc>
        <w:tc>
          <w:tcPr>
            <w:tcW w:w="3423" w:type="dxa"/>
            <w:shd w:val="clear" w:color="auto" w:fill="C6EFCE"/>
            <w:vAlign w:val="center"/>
            <w:hideMark/>
          </w:tcPr>
          <w:p w14:paraId="1FB1EF82"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Rikkomusmenettelyyn 2011/2215 sisältyvien sääntöjenvastaisten kaatopaikkojen vähentäminen 14:stä yhdeksään (vähintään 75 %) </w:t>
            </w:r>
          </w:p>
        </w:tc>
      </w:tr>
      <w:tr w:rsidR="00E42B18" w14:paraId="535C9794" w14:textId="77777777">
        <w:trPr>
          <w:trHeight w:val="300"/>
        </w:trPr>
        <w:tc>
          <w:tcPr>
            <w:tcW w:w="1131" w:type="dxa"/>
            <w:shd w:val="clear" w:color="auto" w:fill="C6EFCE"/>
            <w:vAlign w:val="center"/>
            <w:hideMark/>
          </w:tcPr>
          <w:p w14:paraId="4DBA493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M2C1–16ter </w:t>
            </w:r>
          </w:p>
        </w:tc>
        <w:tc>
          <w:tcPr>
            <w:tcW w:w="1418" w:type="dxa"/>
            <w:shd w:val="clear" w:color="auto" w:fill="C6EFCE"/>
            <w:vAlign w:val="center"/>
            <w:hideMark/>
          </w:tcPr>
          <w:p w14:paraId="7E980E2F"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 </w:t>
            </w:r>
          </w:p>
          <w:p w14:paraId="2A65124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1.1 – Uusien jätehuoltolaitosten käyttöönotto ja olemassa olevien laitosten nykyaikaistaminen </w:t>
            </w:r>
          </w:p>
        </w:tc>
        <w:tc>
          <w:tcPr>
            <w:tcW w:w="992" w:type="dxa"/>
            <w:shd w:val="clear" w:color="auto" w:fill="C6EFCE"/>
            <w:vAlign w:val="center"/>
            <w:hideMark/>
          </w:tcPr>
          <w:p w14:paraId="027B8C6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418" w:type="dxa"/>
            <w:shd w:val="clear" w:color="auto" w:fill="C6EFCE"/>
            <w:vAlign w:val="center"/>
            <w:hideMark/>
          </w:tcPr>
          <w:p w14:paraId="58C63E5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Alueelliset erot erilliskeräysasteissa </w:t>
            </w:r>
          </w:p>
        </w:tc>
        <w:tc>
          <w:tcPr>
            <w:tcW w:w="1417" w:type="dxa"/>
            <w:shd w:val="clear" w:color="auto" w:fill="C6EFCE"/>
            <w:vAlign w:val="center"/>
            <w:hideMark/>
          </w:tcPr>
          <w:p w14:paraId="48531B5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374C301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Prosenttiosuus </w:t>
            </w:r>
          </w:p>
        </w:tc>
        <w:tc>
          <w:tcPr>
            <w:tcW w:w="1276" w:type="dxa"/>
            <w:shd w:val="clear" w:color="auto" w:fill="C6EFCE"/>
            <w:vAlign w:val="center"/>
            <w:hideMark/>
          </w:tcPr>
          <w:p w14:paraId="00DCF21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28,4 </w:t>
            </w:r>
          </w:p>
        </w:tc>
        <w:tc>
          <w:tcPr>
            <w:tcW w:w="992" w:type="dxa"/>
            <w:shd w:val="clear" w:color="auto" w:fill="C6EFCE"/>
            <w:vAlign w:val="center"/>
            <w:hideMark/>
          </w:tcPr>
          <w:p w14:paraId="374118A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20 </w:t>
            </w:r>
          </w:p>
        </w:tc>
        <w:tc>
          <w:tcPr>
            <w:tcW w:w="992" w:type="dxa"/>
            <w:shd w:val="clear" w:color="auto" w:fill="C6EFCE"/>
            <w:vAlign w:val="center"/>
            <w:hideMark/>
          </w:tcPr>
          <w:p w14:paraId="575AA70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91" w:type="dxa"/>
            <w:shd w:val="clear" w:color="auto" w:fill="C6EFCE"/>
            <w:vAlign w:val="center"/>
            <w:hideMark/>
          </w:tcPr>
          <w:p w14:paraId="4BC6112E"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2024 </w:t>
            </w:r>
          </w:p>
        </w:tc>
        <w:tc>
          <w:tcPr>
            <w:tcW w:w="3423" w:type="dxa"/>
            <w:shd w:val="clear" w:color="auto" w:fill="C6EFCE"/>
            <w:vAlign w:val="center"/>
            <w:hideMark/>
          </w:tcPr>
          <w:p w14:paraId="088DEB8E"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Vuoden 2020 ISPRA-raportissa esitetty kolmen parhaiten suoriutuneen alueen (Veneto, Trentino, Sardegna) ja heikoimmin suoriutuvien alueiden (Basilicata, Calabria ja Sicilia) keskiarvon välinen ero jätteen erilliskeräyksessä pienenee 20 prosenttiyksikköön. </w:t>
            </w:r>
          </w:p>
          <w:p w14:paraId="479251E5" w14:textId="738D7BEF" w:rsidR="00E42B18" w:rsidRDefault="009629C4">
            <w:pPr>
              <w:pStyle w:val="P68B1DB1-Normal50"/>
              <w:spacing w:after="0" w:line="240" w:lineRule="auto"/>
              <w:textAlignment w:val="baseline"/>
              <w:rPr>
                <w:rFonts w:ascii="Times New Roman" w:hAnsi="Times New Roman"/>
                <w:noProof/>
                <w:sz w:val="24"/>
                <w:szCs w:val="24"/>
              </w:rPr>
            </w:pPr>
            <w:r>
              <w:rPr>
                <w:noProof/>
              </w:rPr>
              <w:t>Tavoitteen tyydyttävä saavuttaminen edellyttää myös, että jätteen erilliskeräyksen osalta vuoden 2020 ISPRA-raportissa mainittujen kolmen parhaiten suoriutuneen alueen (Veneto, Trentino ja Sardegna) kansallinen keskiarvo ja keskiarvo kasvavat verrattuna vuoden 2020 ISPRA-raporttiin sisältyviin tietoihin. </w:t>
            </w:r>
          </w:p>
        </w:tc>
      </w:tr>
      <w:tr w:rsidR="00E42B18" w14:paraId="5912E85C" w14:textId="77777777">
        <w:trPr>
          <w:trHeight w:val="300"/>
        </w:trPr>
        <w:tc>
          <w:tcPr>
            <w:tcW w:w="1131" w:type="dxa"/>
            <w:shd w:val="clear" w:color="auto" w:fill="C6EFCE"/>
            <w:vAlign w:val="center"/>
            <w:hideMark/>
          </w:tcPr>
          <w:p w14:paraId="124387F3" w14:textId="77777777" w:rsidR="00E42B18" w:rsidRDefault="009629C4">
            <w:pPr>
              <w:pStyle w:val="P68B1DB1-Normal50"/>
              <w:spacing w:after="0" w:line="240" w:lineRule="auto"/>
              <w:jc w:val="center"/>
              <w:textAlignment w:val="baseline"/>
              <w:rPr>
                <w:noProof/>
              </w:rPr>
            </w:pPr>
            <w:r>
              <w:rPr>
                <w:noProof/>
              </w:rPr>
              <w:t>M2C1–16quater </w:t>
            </w:r>
          </w:p>
        </w:tc>
        <w:tc>
          <w:tcPr>
            <w:tcW w:w="1418" w:type="dxa"/>
            <w:shd w:val="clear" w:color="auto" w:fill="C6EFCE"/>
            <w:vAlign w:val="center"/>
            <w:hideMark/>
          </w:tcPr>
          <w:p w14:paraId="43C3338B" w14:textId="77777777" w:rsidR="00E42B18" w:rsidRDefault="009629C4">
            <w:pPr>
              <w:pStyle w:val="P68B1DB1-Normal50"/>
              <w:spacing w:after="0" w:line="240" w:lineRule="auto"/>
              <w:jc w:val="center"/>
              <w:textAlignment w:val="baseline"/>
              <w:rPr>
                <w:noProof/>
              </w:rPr>
            </w:pPr>
            <w:r>
              <w:rPr>
                <w:noProof/>
              </w:rPr>
              <w:t>Investointi 1.1 – Uusien jätehuoltolaitosten toteuttaminen ja olemassa olevien laitosten ja kiertotalouden lippulaivahankkeiden nykyaikaistaminen </w:t>
            </w:r>
          </w:p>
          <w:p w14:paraId="53C099AA" w14:textId="35C8259D" w:rsidR="00E42B18" w:rsidRDefault="009629C4">
            <w:pPr>
              <w:pStyle w:val="P68B1DB1-Normal50"/>
              <w:spacing w:after="0" w:line="240" w:lineRule="auto"/>
              <w:jc w:val="center"/>
              <w:textAlignment w:val="baseline"/>
              <w:rPr>
                <w:noProof/>
              </w:rPr>
            </w:pPr>
            <w:r>
              <w:rPr>
                <w:noProof/>
              </w:rPr>
              <w:t> </w:t>
            </w:r>
          </w:p>
        </w:tc>
        <w:tc>
          <w:tcPr>
            <w:tcW w:w="992" w:type="dxa"/>
            <w:shd w:val="clear" w:color="auto" w:fill="C6EFCE"/>
            <w:vAlign w:val="center"/>
            <w:hideMark/>
          </w:tcPr>
          <w:p w14:paraId="1ED3EC92" w14:textId="77777777" w:rsidR="00E42B18" w:rsidRDefault="009629C4">
            <w:pPr>
              <w:pStyle w:val="P68B1DB1-Normal50"/>
              <w:spacing w:after="0" w:line="240" w:lineRule="auto"/>
              <w:jc w:val="center"/>
              <w:textAlignment w:val="baseline"/>
              <w:rPr>
                <w:noProof/>
              </w:rPr>
            </w:pPr>
            <w:r>
              <w:rPr>
                <w:noProof/>
              </w:rPr>
              <w:t>Kohde </w:t>
            </w:r>
          </w:p>
        </w:tc>
        <w:tc>
          <w:tcPr>
            <w:tcW w:w="1418" w:type="dxa"/>
            <w:shd w:val="clear" w:color="auto" w:fill="C6EFCE"/>
            <w:vAlign w:val="center"/>
            <w:hideMark/>
          </w:tcPr>
          <w:p w14:paraId="43276066" w14:textId="77777777" w:rsidR="00E42B18" w:rsidRDefault="009629C4">
            <w:pPr>
              <w:pStyle w:val="P68B1DB1-Normal50"/>
              <w:spacing w:after="0" w:line="240" w:lineRule="auto"/>
              <w:jc w:val="center"/>
              <w:textAlignment w:val="baseline"/>
              <w:rPr>
                <w:noProof/>
              </w:rPr>
            </w:pPr>
            <w:r>
              <w:rPr>
                <w:noProof/>
              </w:rPr>
              <w:t> Loppuun saatetut hankkeet </w:t>
            </w:r>
          </w:p>
        </w:tc>
        <w:tc>
          <w:tcPr>
            <w:tcW w:w="1417" w:type="dxa"/>
            <w:shd w:val="clear" w:color="auto" w:fill="C6EFCE"/>
            <w:vAlign w:val="center"/>
            <w:hideMark/>
          </w:tcPr>
          <w:p w14:paraId="58AA0E35" w14:textId="77777777" w:rsidR="00E42B18" w:rsidRDefault="009629C4">
            <w:pPr>
              <w:pStyle w:val="P68B1DB1-Normal50"/>
              <w:spacing w:after="0" w:line="240" w:lineRule="auto"/>
              <w:jc w:val="center"/>
              <w:textAlignment w:val="baseline"/>
              <w:rPr>
                <w:noProof/>
              </w:rPr>
            </w:pPr>
            <w:r>
              <w:rPr>
                <w:noProof/>
              </w:rPr>
              <w:t>EI OLE </w:t>
            </w:r>
          </w:p>
        </w:tc>
        <w:tc>
          <w:tcPr>
            <w:tcW w:w="1276" w:type="dxa"/>
            <w:shd w:val="clear" w:color="auto" w:fill="C6EFCE"/>
            <w:vAlign w:val="center"/>
            <w:hideMark/>
          </w:tcPr>
          <w:p w14:paraId="0EEFE957" w14:textId="77777777" w:rsidR="00E42B18" w:rsidRDefault="009629C4">
            <w:pPr>
              <w:pStyle w:val="P68B1DB1-Normal50"/>
              <w:spacing w:after="0" w:line="240" w:lineRule="auto"/>
              <w:jc w:val="center"/>
              <w:textAlignment w:val="baseline"/>
              <w:rPr>
                <w:noProof/>
              </w:rPr>
            </w:pPr>
            <w:r>
              <w:rPr>
                <w:noProof/>
              </w:rPr>
              <w:t> Numero </w:t>
            </w:r>
          </w:p>
        </w:tc>
        <w:tc>
          <w:tcPr>
            <w:tcW w:w="1276" w:type="dxa"/>
            <w:shd w:val="clear" w:color="auto" w:fill="C6EFCE"/>
            <w:vAlign w:val="center"/>
            <w:hideMark/>
          </w:tcPr>
          <w:p w14:paraId="24D7592B" w14:textId="77777777" w:rsidR="00E42B18" w:rsidRDefault="009629C4">
            <w:pPr>
              <w:pStyle w:val="P68B1DB1-Normal50"/>
              <w:spacing w:after="0" w:line="240" w:lineRule="auto"/>
              <w:jc w:val="center"/>
              <w:textAlignment w:val="baseline"/>
              <w:rPr>
                <w:noProof/>
              </w:rPr>
            </w:pPr>
            <w:r>
              <w:rPr>
                <w:noProof/>
              </w:rPr>
              <w:t>0 </w:t>
            </w:r>
          </w:p>
        </w:tc>
        <w:tc>
          <w:tcPr>
            <w:tcW w:w="992" w:type="dxa"/>
            <w:shd w:val="clear" w:color="auto" w:fill="C6EFCE"/>
            <w:vAlign w:val="center"/>
            <w:hideMark/>
          </w:tcPr>
          <w:p w14:paraId="748480B0" w14:textId="77777777" w:rsidR="00E42B18" w:rsidRDefault="009629C4">
            <w:pPr>
              <w:pStyle w:val="P68B1DB1-Normal50"/>
              <w:spacing w:after="0" w:line="240" w:lineRule="auto"/>
              <w:jc w:val="center"/>
              <w:textAlignment w:val="baseline"/>
              <w:rPr>
                <w:noProof/>
              </w:rPr>
            </w:pPr>
            <w:r>
              <w:rPr>
                <w:noProof/>
              </w:rPr>
              <w:t>584 </w:t>
            </w:r>
          </w:p>
        </w:tc>
        <w:tc>
          <w:tcPr>
            <w:tcW w:w="992" w:type="dxa"/>
            <w:shd w:val="clear" w:color="auto" w:fill="C6EFCE"/>
            <w:vAlign w:val="center"/>
            <w:hideMark/>
          </w:tcPr>
          <w:p w14:paraId="1A49D760" w14:textId="77777777" w:rsidR="00E42B18" w:rsidRDefault="009629C4">
            <w:pPr>
              <w:pStyle w:val="P68B1DB1-Normal50"/>
              <w:spacing w:after="0" w:line="240" w:lineRule="auto"/>
              <w:jc w:val="center"/>
              <w:textAlignment w:val="baseline"/>
              <w:rPr>
                <w:noProof/>
              </w:rPr>
            </w:pPr>
            <w:r>
              <w:rPr>
                <w:noProof/>
              </w:rPr>
              <w:t>Q2 </w:t>
            </w:r>
          </w:p>
        </w:tc>
        <w:tc>
          <w:tcPr>
            <w:tcW w:w="691" w:type="dxa"/>
            <w:shd w:val="clear" w:color="auto" w:fill="C6EFCE"/>
            <w:vAlign w:val="center"/>
            <w:hideMark/>
          </w:tcPr>
          <w:p w14:paraId="1DD84609" w14:textId="77777777" w:rsidR="00E42B18" w:rsidRDefault="009629C4">
            <w:pPr>
              <w:pStyle w:val="P68B1DB1-Normal50"/>
              <w:spacing w:after="0" w:line="240" w:lineRule="auto"/>
              <w:textAlignment w:val="baseline"/>
              <w:rPr>
                <w:noProof/>
              </w:rPr>
            </w:pPr>
            <w:r>
              <w:rPr>
                <w:noProof/>
              </w:rPr>
              <w:t>2026 </w:t>
            </w:r>
          </w:p>
        </w:tc>
        <w:tc>
          <w:tcPr>
            <w:tcW w:w="3423" w:type="dxa"/>
            <w:shd w:val="clear" w:color="auto" w:fill="C6EFCE"/>
            <w:vAlign w:val="center"/>
            <w:hideMark/>
          </w:tcPr>
          <w:p w14:paraId="0D0377AD" w14:textId="53BFEBBD" w:rsidR="00E42B18" w:rsidRDefault="009629C4">
            <w:pPr>
              <w:pStyle w:val="P68B1DB1-Normal50"/>
              <w:spacing w:after="0" w:line="240" w:lineRule="auto"/>
              <w:jc w:val="both"/>
              <w:textAlignment w:val="baseline"/>
              <w:rPr>
                <w:noProof/>
              </w:rPr>
            </w:pPr>
            <w:r>
              <w:rPr>
                <w:noProof/>
              </w:rPr>
              <w:t>Todistus töiden valmistumisesta tai toimitustodistus vähintään 584 hankkeelle, joista vähintään 90 koskee jätelaitoksia koskevia hankkeita.</w:t>
            </w:r>
          </w:p>
        </w:tc>
      </w:tr>
      <w:tr w:rsidR="00E42B18" w14:paraId="0381B4C0" w14:textId="77777777">
        <w:trPr>
          <w:trHeight w:val="300"/>
        </w:trPr>
        <w:tc>
          <w:tcPr>
            <w:tcW w:w="1131" w:type="dxa"/>
            <w:shd w:val="clear" w:color="auto" w:fill="C6EFCE"/>
            <w:vAlign w:val="center"/>
            <w:hideMark/>
          </w:tcPr>
          <w:p w14:paraId="4568FA5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M2C1–10 </w:t>
            </w:r>
          </w:p>
        </w:tc>
        <w:tc>
          <w:tcPr>
            <w:tcW w:w="1418" w:type="dxa"/>
            <w:shd w:val="clear" w:color="auto" w:fill="C6EFCE"/>
            <w:vAlign w:val="center"/>
            <w:hideMark/>
          </w:tcPr>
          <w:p w14:paraId="6758010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2.1: Maatalous-, kalastus- ja vesiviljelyalan, metsätalouden, kukkaviljelyn ja taimitarhan logistiikkasuunnitelma </w:t>
            </w:r>
          </w:p>
        </w:tc>
        <w:tc>
          <w:tcPr>
            <w:tcW w:w="992" w:type="dxa"/>
            <w:shd w:val="clear" w:color="auto" w:fill="C6EFCE"/>
            <w:vAlign w:val="center"/>
            <w:hideMark/>
          </w:tcPr>
          <w:p w14:paraId="362BDF8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418" w:type="dxa"/>
            <w:shd w:val="clear" w:color="auto" w:fill="C6EFCE"/>
            <w:vAlign w:val="center"/>
            <w:hideMark/>
          </w:tcPr>
          <w:p w14:paraId="4C2A24A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 Aineelliset ja aineettomat investoinnit maatalouselintarvike-, kalastus- ja vesiviljelyalaan, metsätalouteen, kukkaviljelyyn ja taimitarha-alaan. </w:t>
            </w:r>
          </w:p>
        </w:tc>
        <w:tc>
          <w:tcPr>
            <w:tcW w:w="1417" w:type="dxa"/>
            <w:shd w:val="clear" w:color="auto" w:fill="C6EFCE"/>
            <w:vAlign w:val="center"/>
            <w:hideMark/>
          </w:tcPr>
          <w:p w14:paraId="07CD6E9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6F177E3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Numero </w:t>
            </w:r>
          </w:p>
        </w:tc>
        <w:tc>
          <w:tcPr>
            <w:tcW w:w="1276" w:type="dxa"/>
            <w:shd w:val="clear" w:color="auto" w:fill="C6EFCE"/>
            <w:vAlign w:val="center"/>
            <w:hideMark/>
          </w:tcPr>
          <w:p w14:paraId="735250D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0 </w:t>
            </w:r>
          </w:p>
        </w:tc>
        <w:tc>
          <w:tcPr>
            <w:tcW w:w="992" w:type="dxa"/>
            <w:shd w:val="clear" w:color="auto" w:fill="C6EFCE"/>
            <w:vAlign w:val="center"/>
            <w:hideMark/>
          </w:tcPr>
          <w:p w14:paraId="37F3EC9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72 </w:t>
            </w:r>
          </w:p>
        </w:tc>
        <w:tc>
          <w:tcPr>
            <w:tcW w:w="992" w:type="dxa"/>
            <w:shd w:val="clear" w:color="auto" w:fill="C6EFCE"/>
            <w:vAlign w:val="center"/>
            <w:hideMark/>
          </w:tcPr>
          <w:p w14:paraId="23C86EB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91" w:type="dxa"/>
            <w:shd w:val="clear" w:color="auto" w:fill="C6EFCE"/>
            <w:vAlign w:val="center"/>
            <w:hideMark/>
          </w:tcPr>
          <w:p w14:paraId="5B4D3B99"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2026 </w:t>
            </w:r>
          </w:p>
        </w:tc>
        <w:tc>
          <w:tcPr>
            <w:tcW w:w="3423" w:type="dxa"/>
            <w:shd w:val="clear" w:color="auto" w:fill="C6EFCE"/>
            <w:vAlign w:val="center"/>
            <w:hideMark/>
          </w:tcPr>
          <w:p w14:paraId="3CF44ED9"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Todistus säännöllisestä täytäntöönpanosta (Attestazione di</w:t>
            </w:r>
            <w:r>
              <w:rPr>
                <w:i/>
                <w:noProof/>
              </w:rPr>
              <w:t xml:space="preserve">regolare </w:t>
            </w:r>
            <w:r>
              <w:rPr>
                <w:noProof/>
              </w:rPr>
              <w:t>esecuzione) vähintään 72 aineellisesta ja aineettomasta investoinnista maatalouselintarvikkeiden, kalastuksen ja vesiviljelyn, metsätalouden, kukkaviljelyn ja taimitarhan aloilla. </w:t>
            </w:r>
          </w:p>
        </w:tc>
      </w:tr>
      <w:tr w:rsidR="00E42B18" w14:paraId="7CBA3C6C" w14:textId="77777777">
        <w:trPr>
          <w:trHeight w:val="300"/>
        </w:trPr>
        <w:tc>
          <w:tcPr>
            <w:tcW w:w="1131" w:type="dxa"/>
            <w:shd w:val="clear" w:color="auto" w:fill="C6EFCE"/>
            <w:vAlign w:val="center"/>
            <w:hideMark/>
          </w:tcPr>
          <w:p w14:paraId="3501504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M2C1–18 </w:t>
            </w:r>
          </w:p>
        </w:tc>
        <w:tc>
          <w:tcPr>
            <w:tcW w:w="1418" w:type="dxa"/>
            <w:shd w:val="clear" w:color="auto" w:fill="C6EFCE"/>
            <w:vAlign w:val="center"/>
            <w:hideMark/>
          </w:tcPr>
          <w:p w14:paraId="0E7157D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3.1: Vihreät saaret </w:t>
            </w:r>
          </w:p>
        </w:tc>
        <w:tc>
          <w:tcPr>
            <w:tcW w:w="992" w:type="dxa"/>
            <w:shd w:val="clear" w:color="auto" w:fill="C6EFCE"/>
            <w:vAlign w:val="center"/>
            <w:hideMark/>
          </w:tcPr>
          <w:p w14:paraId="2D436E6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418" w:type="dxa"/>
            <w:shd w:val="clear" w:color="auto" w:fill="C6EFCE"/>
            <w:vAlign w:val="center"/>
            <w:hideMark/>
          </w:tcPr>
          <w:p w14:paraId="0EEE5D9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Johtaja-asetuksen voimaantulo </w:t>
            </w:r>
          </w:p>
        </w:tc>
        <w:tc>
          <w:tcPr>
            <w:tcW w:w="1417" w:type="dxa"/>
            <w:shd w:val="clear" w:color="auto" w:fill="C6EFCE"/>
            <w:vAlign w:val="center"/>
            <w:hideMark/>
          </w:tcPr>
          <w:p w14:paraId="69889E2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Lain voimaantuloa koskeva asetuksen säännös </w:t>
            </w:r>
          </w:p>
        </w:tc>
        <w:tc>
          <w:tcPr>
            <w:tcW w:w="1276" w:type="dxa"/>
            <w:shd w:val="clear" w:color="auto" w:fill="C6EFCE"/>
            <w:vAlign w:val="center"/>
            <w:hideMark/>
          </w:tcPr>
          <w:p w14:paraId="3929130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77CB652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50F48E2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50FECAF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Q3 </w:t>
            </w:r>
          </w:p>
        </w:tc>
        <w:tc>
          <w:tcPr>
            <w:tcW w:w="691" w:type="dxa"/>
            <w:shd w:val="clear" w:color="auto" w:fill="C6EFCE"/>
            <w:vAlign w:val="center"/>
            <w:hideMark/>
          </w:tcPr>
          <w:p w14:paraId="59BDE456"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2022 </w:t>
            </w:r>
          </w:p>
        </w:tc>
        <w:tc>
          <w:tcPr>
            <w:tcW w:w="3423" w:type="dxa"/>
            <w:shd w:val="clear" w:color="auto" w:fill="C6EFCE"/>
            <w:vAlign w:val="center"/>
            <w:hideMark/>
          </w:tcPr>
          <w:p w14:paraId="64ED9952"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Johtajan asetuksella hyväksytään hankkeiden paremmuusjärjestys julkisen ilmoituksen tulosten perusteella. Valintamenettelyyn on sisällyttävä seuraavat: </w:t>
            </w:r>
          </w:p>
          <w:p w14:paraId="0A1FD614"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a) Tukikelpoisuuskriteerit, joilla varmistetaan, että valitut hankkeet ovat ”ei merkittävää haittaa” -periaatetta koskevien teknisten ohjeiden (2021/C58/01) mukaisia, käyttämällä poissulkemisluetteloa ja vaatimusta asiaa koskevan EU:n ja kansallisen ympäristölainsäädännön noudattamisesta. </w:t>
            </w:r>
          </w:p>
          <w:p w14:paraId="02647757" w14:textId="77777777" w:rsidR="00E42B18" w:rsidRDefault="009629C4">
            <w:pPr>
              <w:pStyle w:val="P68B1DB1-Normal53"/>
              <w:spacing w:after="0" w:line="240" w:lineRule="auto"/>
              <w:textAlignment w:val="baseline"/>
              <w:rPr>
                <w:rFonts w:ascii="Times New Roman" w:hAnsi="Times New Roman" w:cs="Times New Roman"/>
                <w:noProof/>
                <w:sz w:val="24"/>
                <w:szCs w:val="24"/>
              </w:rPr>
            </w:pPr>
            <w:r>
              <w:rPr>
                <w:noProof/>
              </w:rPr>
              <w:t>b) Sitoumus siitä, että asetuksen (EU) 2021/241 liitteessä VI esitetyn menetelmän mukainen investoinnin ilmastorahoitusosuus on vähintään 37 prosenttia elpymis- ja palautumistukivälineestä tuetun investoinnin kokonaiskustannuksista. </w:t>
            </w:r>
          </w:p>
          <w:p w14:paraId="6342EF50"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sitoumus raportoida toimenpiteen täytäntöönpanosta järjestelmän elinkaaren puolivälissä ja ohjelman päättyessä. </w:t>
            </w:r>
          </w:p>
          <w:p w14:paraId="19E3BE70"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Mahdollisia toiminta-aloja ovat seuraavat: </w:t>
            </w:r>
          </w:p>
          <w:p w14:paraId="510D8828" w14:textId="77777777" w:rsidR="00E42B18" w:rsidRDefault="009629C4">
            <w:pPr>
              <w:pStyle w:val="P68B1DB1-Normal50"/>
              <w:numPr>
                <w:ilvl w:val="0"/>
                <w:numId w:val="143"/>
              </w:numPr>
              <w:tabs>
                <w:tab w:val="clear" w:pos="720"/>
              </w:tabs>
              <w:spacing w:after="0" w:line="240" w:lineRule="auto"/>
              <w:ind w:left="163" w:firstLine="0"/>
              <w:textAlignment w:val="baseline"/>
              <w:rPr>
                <w:noProof/>
              </w:rPr>
            </w:pPr>
            <w:r>
              <w:rPr>
                <w:noProof/>
              </w:rPr>
              <w:t>peltometsätalousperinnön yhdennetty ja sertifioitu hoito (myös hiilidioksidin talteenotosta, biologisen monimuotoisuuden hallinnasta ja puun toimitusketjun sertifioinnista saatavien hyvitysten vaihdon avulla); </w:t>
            </w:r>
          </w:p>
          <w:p w14:paraId="0F2D4C96" w14:textId="77777777" w:rsidR="00E42B18" w:rsidRDefault="009629C4">
            <w:pPr>
              <w:pStyle w:val="P68B1DB1-Normal50"/>
              <w:numPr>
                <w:ilvl w:val="0"/>
                <w:numId w:val="143"/>
              </w:numPr>
              <w:tabs>
                <w:tab w:val="clear" w:pos="720"/>
              </w:tabs>
              <w:spacing w:after="0" w:line="240" w:lineRule="auto"/>
              <w:ind w:left="163" w:firstLine="0"/>
              <w:textAlignment w:val="baseline"/>
              <w:rPr>
                <w:noProof/>
              </w:rPr>
            </w:pPr>
            <w:r>
              <w:rPr>
                <w:noProof/>
              </w:rPr>
              <w:t>yhdennetty ja sertifioitu vesivarojen hoito; </w:t>
            </w:r>
          </w:p>
          <w:p w14:paraId="57DFD91A" w14:textId="77777777" w:rsidR="00E42B18" w:rsidRDefault="009629C4">
            <w:pPr>
              <w:pStyle w:val="P68B1DB1-Normal50"/>
              <w:numPr>
                <w:ilvl w:val="0"/>
                <w:numId w:val="143"/>
              </w:numPr>
              <w:tabs>
                <w:tab w:val="clear" w:pos="720"/>
              </w:tabs>
              <w:spacing w:after="0" w:line="240" w:lineRule="auto"/>
              <w:ind w:left="163" w:firstLine="0"/>
              <w:textAlignment w:val="baseline"/>
              <w:rPr>
                <w:noProof/>
              </w:rPr>
            </w:pPr>
            <w:r>
              <w:rPr>
                <w:noProof/>
              </w:rPr>
              <w:t>energian tuotanto paikallisista uusiutuvista lähteistä, kuten mikrovesivoimaloista, biomassasta, biokaasusta, tuulivoimasta, yhteistuotannosta ja biometaanista; </w:t>
            </w:r>
          </w:p>
          <w:p w14:paraId="4198A6A4" w14:textId="77777777" w:rsidR="00E42B18" w:rsidRDefault="009629C4">
            <w:pPr>
              <w:pStyle w:val="P68B1DB1-Normal50"/>
              <w:numPr>
                <w:ilvl w:val="0"/>
                <w:numId w:val="143"/>
              </w:numPr>
              <w:tabs>
                <w:tab w:val="clear" w:pos="720"/>
              </w:tabs>
              <w:spacing w:after="0" w:line="240" w:lineRule="auto"/>
              <w:ind w:left="163" w:firstLine="0"/>
              <w:textAlignment w:val="baseline"/>
              <w:rPr>
                <w:noProof/>
              </w:rPr>
            </w:pPr>
            <w:r>
              <w:rPr>
                <w:noProof/>
              </w:rPr>
              <w:t>kestävän matkailun kehittäminen (”jolla voidaan parantaa paikallisia tuotteita”) </w:t>
            </w:r>
          </w:p>
          <w:p w14:paraId="183DC682" w14:textId="77777777" w:rsidR="00E42B18" w:rsidRDefault="009629C4">
            <w:pPr>
              <w:pStyle w:val="P68B1DB1-Normal50"/>
              <w:numPr>
                <w:ilvl w:val="0"/>
                <w:numId w:val="143"/>
              </w:numPr>
              <w:tabs>
                <w:tab w:val="clear" w:pos="720"/>
              </w:tabs>
              <w:spacing w:after="0" w:line="240" w:lineRule="auto"/>
              <w:ind w:left="163" w:firstLine="0"/>
              <w:textAlignment w:val="baseline"/>
              <w:rPr>
                <w:noProof/>
              </w:rPr>
            </w:pPr>
            <w:r>
              <w:rPr>
                <w:noProof/>
              </w:rPr>
              <w:t>nykyaikaisen vuoren rakennuskannan ja infrastruktuurin rakentaminen ja kestävä hoito; </w:t>
            </w:r>
          </w:p>
          <w:p w14:paraId="14F53668" w14:textId="77777777" w:rsidR="00E42B18" w:rsidRDefault="009629C4">
            <w:pPr>
              <w:pStyle w:val="P68B1DB1-Normal50"/>
              <w:numPr>
                <w:ilvl w:val="0"/>
                <w:numId w:val="143"/>
              </w:numPr>
              <w:tabs>
                <w:tab w:val="clear" w:pos="720"/>
              </w:tabs>
              <w:spacing w:after="0" w:line="240" w:lineRule="auto"/>
              <w:ind w:left="163" w:firstLine="0"/>
              <w:textAlignment w:val="baseline"/>
              <w:rPr>
                <w:noProof/>
              </w:rPr>
            </w:pPr>
            <w:r>
              <w:rPr>
                <w:noProof/>
              </w:rPr>
              <w:t>energiatehokkuus ja laitosten ja verkkojen älykäs integrointi; </w:t>
            </w:r>
          </w:p>
          <w:p w14:paraId="1E34EAB5" w14:textId="77777777" w:rsidR="00E42B18" w:rsidRDefault="009629C4">
            <w:pPr>
              <w:pStyle w:val="P68B1DB1-Normal50"/>
              <w:numPr>
                <w:ilvl w:val="0"/>
                <w:numId w:val="143"/>
              </w:numPr>
              <w:tabs>
                <w:tab w:val="clear" w:pos="720"/>
              </w:tabs>
              <w:spacing w:after="0" w:line="240" w:lineRule="auto"/>
              <w:ind w:left="163" w:firstLine="0"/>
              <w:textAlignment w:val="baseline"/>
              <w:rPr>
                <w:noProof/>
              </w:rPr>
            </w:pPr>
            <w:r>
              <w:rPr>
                <w:noProof/>
              </w:rPr>
              <w:t>tuotantotoiminnan kestävä kehittäminen (nollajätetuotanto); </w:t>
            </w:r>
          </w:p>
          <w:p w14:paraId="6F1CDAB2" w14:textId="77777777" w:rsidR="00E42B18" w:rsidRDefault="009629C4">
            <w:pPr>
              <w:pStyle w:val="P68B1DB1-Normal50"/>
              <w:numPr>
                <w:ilvl w:val="0"/>
                <w:numId w:val="143"/>
              </w:numPr>
              <w:tabs>
                <w:tab w:val="clear" w:pos="720"/>
              </w:tabs>
              <w:spacing w:after="0" w:line="240" w:lineRule="auto"/>
              <w:ind w:left="163" w:firstLine="0"/>
              <w:textAlignment w:val="baseline"/>
              <w:rPr>
                <w:noProof/>
              </w:rPr>
            </w:pPr>
            <w:r>
              <w:rPr>
                <w:noProof/>
              </w:rPr>
              <w:t>liikkuvuuspalvelujen integrointi; </w:t>
            </w:r>
          </w:p>
          <w:p w14:paraId="40FEE0AA" w14:textId="71FA0C8B" w:rsidR="00E42B18" w:rsidRDefault="009629C4">
            <w:pPr>
              <w:pStyle w:val="P68B1DB1-Normal50"/>
              <w:numPr>
                <w:ilvl w:val="0"/>
                <w:numId w:val="143"/>
              </w:numPr>
              <w:tabs>
                <w:tab w:val="clear" w:pos="720"/>
              </w:tabs>
              <w:spacing w:after="0" w:line="240" w:lineRule="auto"/>
              <w:ind w:left="163" w:firstLine="0"/>
              <w:textAlignment w:val="baseline"/>
              <w:rPr>
                <w:noProof/>
              </w:rPr>
            </w:pPr>
            <w:r>
              <w:rPr>
                <w:noProof/>
              </w:rPr>
              <w:t>kestävän maatilamallin kehittäminen (”joka on myös energiariippumaton tuottamalla ja käyttämällä uusiutuvista lähteistä peräisin olevaa energiaa sähkö-, lämpö- ja liikennealoilla”). </w:t>
            </w:r>
          </w:p>
          <w:p w14:paraId="0CFDB94B" w14:textId="15D86BA6" w:rsidR="00E42B18" w:rsidRDefault="009629C4">
            <w:pPr>
              <w:pStyle w:val="P68B1DB1-Normal50"/>
              <w:spacing w:after="0" w:line="240" w:lineRule="auto"/>
              <w:textAlignment w:val="baseline"/>
              <w:rPr>
                <w:rFonts w:ascii="Times New Roman" w:hAnsi="Times New Roman"/>
                <w:noProof/>
                <w:sz w:val="24"/>
                <w:szCs w:val="24"/>
              </w:rPr>
            </w:pPr>
            <w:r>
              <w:rPr>
                <w:noProof/>
              </w:rPr>
              <w:t>Biometaanin on täytettävä uusiutuvia energialähteitä koskevan direktiivin (EU) 2018/2001 (RED II) 29–31 artiklassa vahvistetut kestävyyskriteerit ja kasvihuonekaasupäästöjen vähennyksiä koskevat kriteerit sekä 26 artiklassa vahvistetut elintarvike- ja rehupohjaisia biopolttoaineita koskevat säännöt sekä niihin liittyvät täytäntöönpanosäädökset ja delegoidut säädökset, jotta toimenpide voi olla asetuksen (EU) 2021/241 liitteessä VI olevan alaviitteen 8 vaatimusten mukainen. </w:t>
            </w:r>
          </w:p>
        </w:tc>
      </w:tr>
      <w:tr w:rsidR="00E42B18" w14:paraId="58B7B3F9" w14:textId="77777777">
        <w:trPr>
          <w:trHeight w:val="300"/>
        </w:trPr>
        <w:tc>
          <w:tcPr>
            <w:tcW w:w="1131" w:type="dxa"/>
            <w:shd w:val="clear" w:color="auto" w:fill="C6EFCE"/>
            <w:vAlign w:val="center"/>
            <w:hideMark/>
          </w:tcPr>
          <w:p w14:paraId="0FACF4B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M2C1–19 </w:t>
            </w:r>
          </w:p>
        </w:tc>
        <w:tc>
          <w:tcPr>
            <w:tcW w:w="1418" w:type="dxa"/>
            <w:shd w:val="clear" w:color="auto" w:fill="C6EFCE"/>
            <w:vAlign w:val="center"/>
            <w:hideMark/>
          </w:tcPr>
          <w:p w14:paraId="7934151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3.1: Vihreät saaret </w:t>
            </w:r>
          </w:p>
        </w:tc>
        <w:tc>
          <w:tcPr>
            <w:tcW w:w="992" w:type="dxa"/>
            <w:shd w:val="clear" w:color="auto" w:fill="C6EFCE"/>
            <w:vAlign w:val="center"/>
            <w:hideMark/>
          </w:tcPr>
          <w:p w14:paraId="5E194D8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418" w:type="dxa"/>
            <w:shd w:val="clear" w:color="auto" w:fill="C6EFCE"/>
            <w:vAlign w:val="center"/>
            <w:hideMark/>
          </w:tcPr>
          <w:p w14:paraId="0BBFDC6F"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Integroitujen hankkeiden toteuttaminen pienillä saarilla </w:t>
            </w:r>
          </w:p>
        </w:tc>
        <w:tc>
          <w:tcPr>
            <w:tcW w:w="1417" w:type="dxa"/>
            <w:shd w:val="clear" w:color="auto" w:fill="C6EFCE"/>
            <w:vAlign w:val="center"/>
            <w:hideMark/>
          </w:tcPr>
          <w:p w14:paraId="5A783E2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51F44D7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Pienten saarten lukumäärä </w:t>
            </w:r>
          </w:p>
        </w:tc>
        <w:tc>
          <w:tcPr>
            <w:tcW w:w="1276" w:type="dxa"/>
            <w:shd w:val="clear" w:color="auto" w:fill="C6EFCE"/>
            <w:vAlign w:val="center"/>
            <w:hideMark/>
          </w:tcPr>
          <w:p w14:paraId="244D4B3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0 </w:t>
            </w:r>
          </w:p>
        </w:tc>
        <w:tc>
          <w:tcPr>
            <w:tcW w:w="992" w:type="dxa"/>
            <w:shd w:val="clear" w:color="auto" w:fill="C6EFCE"/>
            <w:vAlign w:val="center"/>
            <w:hideMark/>
          </w:tcPr>
          <w:p w14:paraId="444A52A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19 </w:t>
            </w:r>
          </w:p>
        </w:tc>
        <w:tc>
          <w:tcPr>
            <w:tcW w:w="992" w:type="dxa"/>
            <w:shd w:val="clear" w:color="auto" w:fill="C6EFCE"/>
            <w:vAlign w:val="center"/>
            <w:hideMark/>
          </w:tcPr>
          <w:p w14:paraId="725248F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91" w:type="dxa"/>
            <w:shd w:val="clear" w:color="auto" w:fill="C6EFCE"/>
            <w:vAlign w:val="center"/>
            <w:hideMark/>
          </w:tcPr>
          <w:p w14:paraId="59C69D5F"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2026 </w:t>
            </w:r>
          </w:p>
        </w:tc>
        <w:tc>
          <w:tcPr>
            <w:tcW w:w="3423" w:type="dxa"/>
            <w:shd w:val="clear" w:color="auto" w:fill="C6EFCE"/>
            <w:vAlign w:val="center"/>
            <w:hideMark/>
          </w:tcPr>
          <w:p w14:paraId="33903DC6" w14:textId="2AA68178" w:rsidR="00E42B18" w:rsidRDefault="009629C4">
            <w:pPr>
              <w:pStyle w:val="P68B1DB1-Normal50"/>
              <w:spacing w:after="0" w:line="240" w:lineRule="auto"/>
              <w:textAlignment w:val="baseline"/>
              <w:rPr>
                <w:rFonts w:ascii="Times New Roman" w:hAnsi="Times New Roman"/>
                <w:noProof/>
                <w:sz w:val="24"/>
                <w:szCs w:val="24"/>
              </w:rPr>
            </w:pPr>
            <w:r>
              <w:rPr>
                <w:noProof/>
              </w:rPr>
              <w:t>Todistukset sellaisten integroitujen hankkeiden päätökseen saattamisesta 19 pienellä saarella, joihin sisältyy vähintään kolme erityyppistä interventiota jäljempänä lueteltujen tukikelpoisten tukitoimien joukosta. </w:t>
            </w:r>
          </w:p>
          <w:p w14:paraId="3F9E9CDC"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Tukikelpoisia tukitoimia ovat seuraavat: </w:t>
            </w:r>
          </w:p>
          <w:p w14:paraId="42F48C26"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energiatehokkuustoimet; </w:t>
            </w:r>
          </w:p>
          <w:p w14:paraId="3AB15AAF"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joukkoliikennepalvelujen ja latausinfrastruktuurien luominen ja/tai parantaminen; sähkökäyttöiset linja-autot ja veneet; julkisten liikennepalvelujen turvakodit; autojen yhteiskäyttö, polkupyörien yhteiskäyttö, potkulaudan yhteiskäyttö; </w:t>
            </w:r>
          </w:p>
          <w:p w14:paraId="40F0ACFD"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pyöräteiden rakentaminen ja/tai mukauttaminen, suoja-alueiden rakentaminen; </w:t>
            </w:r>
          </w:p>
          <w:p w14:paraId="6C292F56"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erilliskeräys ja keräysjärjestelmien parantaminen; </w:t>
            </w:r>
          </w:p>
          <w:p w14:paraId="0309F6C0"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ekologisten saarten rakentaminen/uudistaminen ja niihin liittyvä uudelleenkäyttökeskus; </w:t>
            </w:r>
          </w:p>
          <w:p w14:paraId="304BC4A5"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suolanpoistojärjestelmät; </w:t>
            </w:r>
          </w:p>
          <w:p w14:paraId="65C3BDD1"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uusiutuvan energian tuotantolaitokset, joihin voi sisältyä muun muassa aurinkosähkö-, merituulivoima- tai merienergiaa (esimerkiksi aalto- tai vuorovesivoima); </w:t>
            </w:r>
          </w:p>
          <w:p w14:paraId="2155DD89"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energiatehokkuustoimenpiteet, joilla pyritään vähentämään sähkön kysyntää; </w:t>
            </w:r>
          </w:p>
          <w:p w14:paraId="762085BE"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sähköverkkoa ja siihen liittyviä infrastruktuureja koskevat toimet, joihin voivat kuulua muun muassa varastointilaitteet, sähköjärjestelmän integrointi saaren vesijärjestelmään, älykkäät verkot, innovatiiviset energianhallinta- tai seurantajärjestelmät. </w:t>
            </w:r>
          </w:p>
        </w:tc>
      </w:tr>
      <w:tr w:rsidR="00E42B18" w14:paraId="4C79B7B7" w14:textId="77777777">
        <w:trPr>
          <w:trHeight w:val="300"/>
        </w:trPr>
        <w:tc>
          <w:tcPr>
            <w:tcW w:w="1131" w:type="dxa"/>
            <w:shd w:val="clear" w:color="auto" w:fill="C6EFCE"/>
            <w:vAlign w:val="center"/>
            <w:hideMark/>
          </w:tcPr>
          <w:p w14:paraId="1A802B4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M2C1–20 </w:t>
            </w:r>
          </w:p>
        </w:tc>
        <w:tc>
          <w:tcPr>
            <w:tcW w:w="1418" w:type="dxa"/>
            <w:shd w:val="clear" w:color="auto" w:fill="C6EFCE"/>
            <w:vAlign w:val="center"/>
            <w:hideMark/>
          </w:tcPr>
          <w:p w14:paraId="420A0CA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3.2: Vihreät yhteisöt </w:t>
            </w:r>
          </w:p>
        </w:tc>
        <w:tc>
          <w:tcPr>
            <w:tcW w:w="992" w:type="dxa"/>
            <w:shd w:val="clear" w:color="auto" w:fill="C6EFCE"/>
            <w:vAlign w:val="center"/>
            <w:hideMark/>
          </w:tcPr>
          <w:p w14:paraId="1693464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418" w:type="dxa"/>
            <w:shd w:val="clear" w:color="auto" w:fill="C6EFCE"/>
            <w:vAlign w:val="center"/>
            <w:hideMark/>
          </w:tcPr>
          <w:p w14:paraId="2AFC81DD" w14:textId="50C19AFB"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(Kaikkien) vihreiden yhteisöjen valintaa koskevien julkisten hankintasopimusten tekeminen </w:t>
            </w:r>
          </w:p>
        </w:tc>
        <w:tc>
          <w:tcPr>
            <w:tcW w:w="1417" w:type="dxa"/>
            <w:shd w:val="clear" w:color="auto" w:fill="C6EFCE"/>
            <w:vAlign w:val="center"/>
            <w:hideMark/>
          </w:tcPr>
          <w:p w14:paraId="340ED43A" w14:textId="2E63667A"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Ilmoitus (kaikkien) vihreiden yhteisöjen valintaa koskevien julkisten hankintasopimusten tekemisestä </w:t>
            </w:r>
          </w:p>
        </w:tc>
        <w:tc>
          <w:tcPr>
            <w:tcW w:w="1276" w:type="dxa"/>
            <w:shd w:val="clear" w:color="auto" w:fill="C6EFCE"/>
            <w:vAlign w:val="center"/>
            <w:hideMark/>
          </w:tcPr>
          <w:p w14:paraId="37F07FD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20658C50"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72C4A2C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7CA6156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Q3 </w:t>
            </w:r>
          </w:p>
        </w:tc>
        <w:tc>
          <w:tcPr>
            <w:tcW w:w="691" w:type="dxa"/>
            <w:shd w:val="clear" w:color="auto" w:fill="C6EFCE"/>
            <w:vAlign w:val="center"/>
            <w:hideMark/>
          </w:tcPr>
          <w:p w14:paraId="0A8FA0D5"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2022 </w:t>
            </w:r>
          </w:p>
        </w:tc>
        <w:tc>
          <w:tcPr>
            <w:tcW w:w="3423" w:type="dxa"/>
            <w:shd w:val="clear" w:color="auto" w:fill="C6EFCE"/>
            <w:vAlign w:val="center"/>
            <w:hideMark/>
          </w:tcPr>
          <w:p w14:paraId="4319B676"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Ilmoitus avustusten myöntämismenettelystä, johon olisi sisällyttävä tukikelpoisuusperusteet, joilla varmistetaan, että valitut hankkeet noudattavat ”ei merkittävää haittaa” -periaatetta koskevia teknisiä ohjeita (2021/C58/01) käyttämällä poissulkemisluetteloa ja vaatimusta noudattaa asiaankuuluvaa EU:n ja kansallista ympäristölainsäädäntöä. </w:t>
            </w:r>
          </w:p>
        </w:tc>
      </w:tr>
      <w:tr w:rsidR="00E42B18" w14:paraId="55CCFAC1" w14:textId="77777777">
        <w:trPr>
          <w:trHeight w:val="300"/>
        </w:trPr>
        <w:tc>
          <w:tcPr>
            <w:tcW w:w="1131" w:type="dxa"/>
            <w:shd w:val="clear" w:color="auto" w:fill="C6EFCE"/>
            <w:vAlign w:val="center"/>
            <w:hideMark/>
          </w:tcPr>
          <w:p w14:paraId="7489C21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M2C1–21 </w:t>
            </w:r>
          </w:p>
        </w:tc>
        <w:tc>
          <w:tcPr>
            <w:tcW w:w="1418" w:type="dxa"/>
            <w:shd w:val="clear" w:color="auto" w:fill="C6EFCE"/>
            <w:vAlign w:val="center"/>
            <w:hideMark/>
          </w:tcPr>
          <w:p w14:paraId="63E6F72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3.2: Vihreät yhteisöt </w:t>
            </w:r>
          </w:p>
        </w:tc>
        <w:tc>
          <w:tcPr>
            <w:tcW w:w="992" w:type="dxa"/>
            <w:shd w:val="clear" w:color="auto" w:fill="C6EFCE"/>
            <w:vAlign w:val="center"/>
            <w:hideMark/>
          </w:tcPr>
          <w:p w14:paraId="2EA5032A" w14:textId="365F2140"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w:t>
            </w:r>
          </w:p>
        </w:tc>
        <w:tc>
          <w:tcPr>
            <w:tcW w:w="1418" w:type="dxa"/>
            <w:shd w:val="clear" w:color="auto" w:fill="C6EFCE"/>
            <w:vAlign w:val="center"/>
            <w:hideMark/>
          </w:tcPr>
          <w:p w14:paraId="0B77343C" w14:textId="1B09747C"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Vihreässä yhteisössä päätökseen saatetut hankkeet</w:t>
            </w:r>
          </w:p>
        </w:tc>
        <w:tc>
          <w:tcPr>
            <w:tcW w:w="1417" w:type="dxa"/>
            <w:shd w:val="clear" w:color="auto" w:fill="C6EFCE"/>
            <w:vAlign w:val="center"/>
            <w:hideMark/>
          </w:tcPr>
          <w:p w14:paraId="771B8A54"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7696C2FB" w14:textId="5D044DEB" w:rsidR="00E42B18" w:rsidRDefault="009629C4">
            <w:pPr>
              <w:pStyle w:val="P68B1DB1-Normal50"/>
              <w:spacing w:after="0" w:line="240" w:lineRule="auto"/>
              <w:jc w:val="center"/>
              <w:textAlignment w:val="baseline"/>
              <w:rPr>
                <w:rFonts w:ascii="Times New Roman" w:hAnsi="Times New Roman"/>
                <w:noProof/>
                <w:sz w:val="24"/>
                <w:szCs w:val="24"/>
              </w:rPr>
            </w:pPr>
            <w:r>
              <w:rPr>
                <w:noProof/>
              </w:rPr>
              <w:t>Hankkeiden määrä</w:t>
            </w:r>
          </w:p>
        </w:tc>
        <w:tc>
          <w:tcPr>
            <w:tcW w:w="1276" w:type="dxa"/>
            <w:shd w:val="clear" w:color="auto" w:fill="C6EFCE"/>
            <w:vAlign w:val="center"/>
            <w:hideMark/>
          </w:tcPr>
          <w:p w14:paraId="10C30AC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0 </w:t>
            </w:r>
          </w:p>
        </w:tc>
        <w:tc>
          <w:tcPr>
            <w:tcW w:w="992" w:type="dxa"/>
            <w:shd w:val="clear" w:color="auto" w:fill="C6EFCE"/>
            <w:vAlign w:val="center"/>
            <w:hideMark/>
          </w:tcPr>
          <w:p w14:paraId="25821871" w14:textId="092E0AD0" w:rsidR="00E42B18" w:rsidRDefault="009629C4">
            <w:pPr>
              <w:pStyle w:val="P68B1DB1-Normal50"/>
              <w:spacing w:after="0" w:line="240" w:lineRule="auto"/>
              <w:jc w:val="center"/>
              <w:textAlignment w:val="baseline"/>
              <w:rPr>
                <w:rFonts w:ascii="Times New Roman" w:hAnsi="Times New Roman"/>
                <w:noProof/>
                <w:sz w:val="24"/>
                <w:szCs w:val="24"/>
              </w:rPr>
            </w:pPr>
            <w:r>
              <w:rPr>
                <w:noProof/>
              </w:rPr>
              <w:t>410</w:t>
            </w:r>
          </w:p>
        </w:tc>
        <w:tc>
          <w:tcPr>
            <w:tcW w:w="992" w:type="dxa"/>
            <w:shd w:val="clear" w:color="auto" w:fill="C6EFCE"/>
            <w:vAlign w:val="center"/>
            <w:hideMark/>
          </w:tcPr>
          <w:p w14:paraId="0AF062D9" w14:textId="46618A41"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w:t>
            </w:r>
          </w:p>
        </w:tc>
        <w:tc>
          <w:tcPr>
            <w:tcW w:w="691" w:type="dxa"/>
            <w:shd w:val="clear" w:color="auto" w:fill="C6EFCE"/>
            <w:vAlign w:val="center"/>
            <w:hideMark/>
          </w:tcPr>
          <w:p w14:paraId="430CD05C" w14:textId="2701BE66" w:rsidR="00E42B18" w:rsidRDefault="009629C4">
            <w:pPr>
              <w:pStyle w:val="P68B1DB1-Normal50"/>
              <w:spacing w:after="0" w:line="240" w:lineRule="auto"/>
              <w:textAlignment w:val="baseline"/>
              <w:rPr>
                <w:rFonts w:ascii="Times New Roman" w:hAnsi="Times New Roman"/>
                <w:noProof/>
                <w:sz w:val="24"/>
                <w:szCs w:val="24"/>
              </w:rPr>
            </w:pPr>
            <w:r>
              <w:rPr>
                <w:noProof/>
              </w:rPr>
              <w:t>2026</w:t>
            </w:r>
          </w:p>
        </w:tc>
        <w:tc>
          <w:tcPr>
            <w:tcW w:w="3423" w:type="dxa"/>
            <w:shd w:val="clear" w:color="auto" w:fill="C6EFCE"/>
            <w:vAlign w:val="center"/>
            <w:hideMark/>
          </w:tcPr>
          <w:p w14:paraId="5DA235BB" w14:textId="08F22048" w:rsidR="00E42B18" w:rsidRDefault="009629C4">
            <w:pPr>
              <w:pStyle w:val="P68B1DB1-Normal50"/>
              <w:spacing w:after="0" w:line="240" w:lineRule="auto"/>
              <w:textAlignment w:val="baseline"/>
              <w:rPr>
                <w:rFonts w:ascii="Times New Roman" w:hAnsi="Times New Roman"/>
                <w:noProof/>
                <w:sz w:val="24"/>
                <w:szCs w:val="24"/>
              </w:rPr>
            </w:pPr>
            <w:r>
              <w:rPr>
                <w:noProof/>
              </w:rPr>
              <w:t>Vähintään 410 hankkeen loppuun saattaminen vihreissä yhteisöissä, mistä on osoituksena seuraavat todistukset: </w:t>
            </w:r>
          </w:p>
          <w:p w14:paraId="32F43EBF"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todistus töiden säännöllisestä valmistumisesta, tai </w:t>
            </w:r>
          </w:p>
          <w:p w14:paraId="5F17E9DF" w14:textId="16612840"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todistus vaatimustenmukaisuuden/asianmukaisen toteuttamisen varmentamisesta tavarahankintojen sekä hankintojen tai palvelujen tarjoamisen osalta.</w:t>
            </w:r>
          </w:p>
          <w:p w14:paraId="3373EA9A" w14:textId="6649EEC4" w:rsidR="00E42B18" w:rsidRDefault="009629C4">
            <w:pPr>
              <w:pStyle w:val="P68B1DB1-Normal50"/>
              <w:spacing w:after="0" w:line="240" w:lineRule="auto"/>
              <w:textAlignment w:val="baseline"/>
              <w:rPr>
                <w:rFonts w:ascii="Times New Roman" w:hAnsi="Times New Roman"/>
                <w:noProof/>
                <w:sz w:val="24"/>
                <w:szCs w:val="24"/>
              </w:rPr>
            </w:pPr>
            <w:r>
              <w:rPr>
                <w:noProof/>
              </w:rPr>
              <w:t xml:space="preserve">Hankkeet toteutetaan seuraavilla aloilla: </w:t>
            </w:r>
          </w:p>
          <w:p w14:paraId="00FBE094" w14:textId="37E18509"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peltometsätalousperinnön yhdennetty ja sertifioitu hoito;</w:t>
            </w:r>
          </w:p>
          <w:p w14:paraId="59E33DF1"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yhdennetty ja sertifioitu vesivarojen hoito; </w:t>
            </w:r>
          </w:p>
          <w:p w14:paraId="7DCC3EE2"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energian tuotanto paikallisista uusiutuvista lähteistä, kuten mikrovesivoimaloista, biomassasta, biokaasusta, tuulivoimasta, yhteistuotannosta ja biometaanista; </w:t>
            </w:r>
          </w:p>
          <w:p w14:paraId="1F9564D5" w14:textId="237E69D2"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 xml:space="preserve">kestävän matkailun kehittäminen; </w:t>
            </w:r>
          </w:p>
          <w:p w14:paraId="4149F541"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nykyaikaisen vuoren rakennuskannan ja infrastruktuurin rakentaminen ja kestävä hoito; </w:t>
            </w:r>
          </w:p>
          <w:p w14:paraId="4D528917" w14:textId="77777777"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energiatehokkuus ja laitosten ja verkkojen älykäs integrointi; </w:t>
            </w:r>
          </w:p>
          <w:p w14:paraId="72622652" w14:textId="77777777" w:rsidR="00E42B18" w:rsidRDefault="009629C4">
            <w:pPr>
              <w:pStyle w:val="P68B1DB1-Normal50"/>
              <w:numPr>
                <w:ilvl w:val="0"/>
                <w:numId w:val="152"/>
              </w:numPr>
              <w:tabs>
                <w:tab w:val="clear" w:pos="720"/>
              </w:tabs>
              <w:spacing w:after="0" w:line="240" w:lineRule="auto"/>
              <w:ind w:left="735" w:hanging="572"/>
              <w:textAlignment w:val="baseline"/>
              <w:rPr>
                <w:rFonts w:ascii="Times New Roman" w:hAnsi="Times New Roman"/>
                <w:noProof/>
                <w:sz w:val="24"/>
                <w:szCs w:val="24"/>
              </w:rPr>
            </w:pPr>
            <w:r>
              <w:rPr>
                <w:noProof/>
              </w:rPr>
              <w:t>tuotantotoiminnan kestävä kehittäminen (nollajätetuotanto); </w:t>
            </w:r>
          </w:p>
          <w:p w14:paraId="45075153" w14:textId="251B7D45" w:rsidR="00E42B18" w:rsidRDefault="009629C4">
            <w:pPr>
              <w:pStyle w:val="P68B1DB1-Normal50"/>
              <w:numPr>
                <w:ilvl w:val="0"/>
                <w:numId w:val="152"/>
              </w:numPr>
              <w:tabs>
                <w:tab w:val="clear" w:pos="720"/>
              </w:tabs>
              <w:spacing w:after="0" w:line="240" w:lineRule="auto"/>
              <w:ind w:left="735" w:hanging="572"/>
              <w:textAlignment w:val="baseline"/>
              <w:rPr>
                <w:noProof/>
              </w:rPr>
            </w:pPr>
            <w:r>
              <w:rPr>
                <w:noProof/>
              </w:rPr>
              <w:t>liikkuvuuspalvelujen integrointi;</w:t>
            </w:r>
          </w:p>
          <w:p w14:paraId="53649C4C" w14:textId="108F5983" w:rsidR="00E42B18" w:rsidRDefault="009629C4">
            <w:pPr>
              <w:pStyle w:val="P68B1DB1-Normal50"/>
              <w:numPr>
                <w:ilvl w:val="0"/>
                <w:numId w:val="152"/>
              </w:numPr>
              <w:tabs>
                <w:tab w:val="clear" w:pos="720"/>
              </w:tabs>
              <w:spacing w:after="0" w:line="240" w:lineRule="auto"/>
              <w:ind w:left="735" w:hanging="572"/>
              <w:textAlignment w:val="baseline"/>
              <w:rPr>
                <w:rFonts w:ascii="Times New Roman" w:hAnsi="Times New Roman"/>
                <w:noProof/>
                <w:sz w:val="24"/>
                <w:szCs w:val="24"/>
              </w:rPr>
            </w:pPr>
            <w:r>
              <w:rPr>
                <w:noProof/>
              </w:rPr>
              <w:t xml:space="preserve">kestävän maatilamallin kehittäminen. </w:t>
            </w:r>
          </w:p>
        </w:tc>
      </w:tr>
      <w:tr w:rsidR="00E42B18" w14:paraId="28641D38" w14:textId="77777777">
        <w:trPr>
          <w:trHeight w:val="300"/>
        </w:trPr>
        <w:tc>
          <w:tcPr>
            <w:tcW w:w="1131" w:type="dxa"/>
            <w:shd w:val="clear" w:color="auto" w:fill="C6EFCE"/>
            <w:vAlign w:val="center"/>
            <w:hideMark/>
          </w:tcPr>
          <w:p w14:paraId="33BCB49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M2C1–22 </w:t>
            </w:r>
          </w:p>
        </w:tc>
        <w:tc>
          <w:tcPr>
            <w:tcW w:w="1418" w:type="dxa"/>
            <w:shd w:val="clear" w:color="auto" w:fill="C6EFCE"/>
            <w:vAlign w:val="center"/>
            <w:hideMark/>
          </w:tcPr>
          <w:p w14:paraId="69684BE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3.4: Fondo Contratti di Filiera (FCF) maatalouselintarvike-, kalastus- ja vesiviljely-, metsätalous-, kukkaviljely- ja taimitarha-alojen toimitusketjusopimusten tukemiseksi </w:t>
            </w:r>
          </w:p>
        </w:tc>
        <w:tc>
          <w:tcPr>
            <w:tcW w:w="992" w:type="dxa"/>
            <w:shd w:val="clear" w:color="auto" w:fill="C6EFCE"/>
            <w:vAlign w:val="center"/>
            <w:hideMark/>
          </w:tcPr>
          <w:p w14:paraId="613501AF"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418" w:type="dxa"/>
            <w:shd w:val="clear" w:color="auto" w:fill="C6EFCE"/>
            <w:vAlign w:val="center"/>
            <w:hideMark/>
          </w:tcPr>
          <w:p w14:paraId="498E80D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Täytäntöönpanosopimus </w:t>
            </w:r>
          </w:p>
        </w:tc>
        <w:tc>
          <w:tcPr>
            <w:tcW w:w="1417" w:type="dxa"/>
            <w:shd w:val="clear" w:color="auto" w:fill="C6EFCE"/>
            <w:vAlign w:val="center"/>
            <w:hideMark/>
          </w:tcPr>
          <w:p w14:paraId="7AF0E7D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Täytäntöönpanosopimuksen voimaantulo </w:t>
            </w:r>
          </w:p>
        </w:tc>
        <w:tc>
          <w:tcPr>
            <w:tcW w:w="1276" w:type="dxa"/>
            <w:shd w:val="clear" w:color="auto" w:fill="C6EFCE"/>
            <w:vAlign w:val="center"/>
            <w:hideMark/>
          </w:tcPr>
          <w:p w14:paraId="06FBA829"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7F6EDA13"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5AB0F90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524F1BC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91" w:type="dxa"/>
            <w:shd w:val="clear" w:color="auto" w:fill="C6EFCE"/>
            <w:vAlign w:val="center"/>
            <w:hideMark/>
          </w:tcPr>
          <w:p w14:paraId="3FEA442A"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2024 </w:t>
            </w:r>
          </w:p>
        </w:tc>
        <w:tc>
          <w:tcPr>
            <w:tcW w:w="3423" w:type="dxa"/>
            <w:shd w:val="clear" w:color="auto" w:fill="C6EFCE"/>
            <w:vAlign w:val="center"/>
            <w:hideMark/>
          </w:tcPr>
          <w:p w14:paraId="1945DE0B"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Täytäntöönpanosopimus tulee voimaan. </w:t>
            </w:r>
          </w:p>
        </w:tc>
      </w:tr>
      <w:tr w:rsidR="00E42B18" w14:paraId="75398209" w14:textId="77777777">
        <w:trPr>
          <w:trHeight w:val="300"/>
        </w:trPr>
        <w:tc>
          <w:tcPr>
            <w:tcW w:w="1131" w:type="dxa"/>
            <w:shd w:val="clear" w:color="auto" w:fill="C6EFCE"/>
            <w:vAlign w:val="center"/>
            <w:hideMark/>
          </w:tcPr>
          <w:p w14:paraId="23C1C34A"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M2C1–23 </w:t>
            </w:r>
          </w:p>
        </w:tc>
        <w:tc>
          <w:tcPr>
            <w:tcW w:w="1418" w:type="dxa"/>
            <w:shd w:val="clear" w:color="auto" w:fill="C6EFCE"/>
            <w:vAlign w:val="center"/>
            <w:hideMark/>
          </w:tcPr>
          <w:p w14:paraId="5B6DAE78"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3.4: Fondo Contratti di Filiera (FCF) maatalouselintarvike-, kalastus- ja vesiviljely-, metsätalous-, kukkaviljely- ja taimitarha-alojen toimitusketjusopimusten tukemiseksi </w:t>
            </w:r>
          </w:p>
        </w:tc>
        <w:tc>
          <w:tcPr>
            <w:tcW w:w="992" w:type="dxa"/>
            <w:shd w:val="clear" w:color="auto" w:fill="C6EFCE"/>
            <w:vAlign w:val="center"/>
            <w:hideMark/>
          </w:tcPr>
          <w:p w14:paraId="19CB217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418" w:type="dxa"/>
            <w:shd w:val="clear" w:color="auto" w:fill="C6EFCE"/>
            <w:vAlign w:val="center"/>
            <w:hideMark/>
          </w:tcPr>
          <w:p w14:paraId="20CF8CFA" w14:textId="6669C364"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ISMEAlle siirretyt varat ja täytäntöönpanosopimuksen muuttaminen </w:t>
            </w:r>
          </w:p>
        </w:tc>
        <w:tc>
          <w:tcPr>
            <w:tcW w:w="1417" w:type="dxa"/>
            <w:shd w:val="clear" w:color="auto" w:fill="C6EFCE"/>
            <w:vAlign w:val="center"/>
            <w:hideMark/>
          </w:tcPr>
          <w:p w14:paraId="556015E1" w14:textId="6C05CEB1" w:rsidR="00E42B18" w:rsidRDefault="009629C4">
            <w:pPr>
              <w:pStyle w:val="P68B1DB1-Normal50"/>
              <w:spacing w:after="0" w:line="240" w:lineRule="auto"/>
              <w:jc w:val="center"/>
              <w:textAlignment w:val="baseline"/>
              <w:rPr>
                <w:rFonts w:ascii="Times New Roman" w:hAnsi="Times New Roman"/>
                <w:noProof/>
                <w:sz w:val="24"/>
                <w:szCs w:val="24"/>
              </w:rPr>
            </w:pPr>
            <w:r>
              <w:rPr>
                <w:noProof/>
              </w:rPr>
              <w:t>Siirtotodistus ja täytäntöönpanosopimuksen muuttaminen </w:t>
            </w:r>
          </w:p>
        </w:tc>
        <w:tc>
          <w:tcPr>
            <w:tcW w:w="1276" w:type="dxa"/>
            <w:shd w:val="clear" w:color="auto" w:fill="C6EFCE"/>
            <w:vAlign w:val="center"/>
            <w:hideMark/>
          </w:tcPr>
          <w:p w14:paraId="6234486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1276" w:type="dxa"/>
            <w:shd w:val="clear" w:color="auto" w:fill="C6EFCE"/>
            <w:vAlign w:val="center"/>
            <w:hideMark/>
          </w:tcPr>
          <w:p w14:paraId="0AC9A3CF"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749DE54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6871037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91" w:type="dxa"/>
            <w:shd w:val="clear" w:color="auto" w:fill="C6EFCE"/>
            <w:vAlign w:val="center"/>
            <w:hideMark/>
          </w:tcPr>
          <w:p w14:paraId="529FF5FA"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2025 </w:t>
            </w:r>
          </w:p>
        </w:tc>
        <w:tc>
          <w:tcPr>
            <w:tcW w:w="3423" w:type="dxa"/>
            <w:shd w:val="clear" w:color="auto" w:fill="C6EFCE"/>
            <w:vAlign w:val="center"/>
            <w:hideMark/>
          </w:tcPr>
          <w:p w14:paraId="39C50F89" w14:textId="2458E7B6" w:rsidR="00E42B18" w:rsidRDefault="009629C4">
            <w:pPr>
              <w:pStyle w:val="P68B1DB1-Normal54"/>
              <w:spacing w:after="0" w:line="240" w:lineRule="auto"/>
              <w:textAlignment w:val="baseline"/>
              <w:rPr>
                <w:rFonts w:ascii="Times New Roman" w:eastAsia="Times New Roman" w:hAnsi="Times New Roman" w:cs="Times New Roman"/>
                <w:noProof/>
                <w:sz w:val="24"/>
                <w:szCs w:val="24"/>
              </w:rPr>
            </w:pPr>
            <w:r>
              <w:rPr>
                <w:rFonts w:ascii="Arial Narrow" w:eastAsia="Times New Roman" w:hAnsi="Arial"/>
                <w:noProof/>
              </w:rPr>
              <w:t>Italia siirt</w:t>
            </w:r>
            <w:r>
              <w:rPr>
                <w:rFonts w:ascii="Arial Narrow" w:eastAsia="Times New Roman" w:hAnsi="Arial"/>
                <w:noProof/>
              </w:rPr>
              <w:t>ää</w:t>
            </w:r>
            <w:r>
              <w:rPr>
                <w:rFonts w:ascii="Arial Narrow" w:eastAsia="Times New Roman" w:hAnsi="Arial"/>
                <w:noProof/>
              </w:rPr>
              <w:t xml:space="preserve"> ISMEAlle lis</w:t>
            </w:r>
            <w:r>
              <w:rPr>
                <w:rFonts w:ascii="Arial Narrow" w:eastAsia="Times New Roman" w:hAnsi="Arial"/>
                <w:noProof/>
              </w:rPr>
              <w:t>ää</w:t>
            </w:r>
            <w:r>
              <w:rPr>
                <w:rFonts w:ascii="Arial Narrow" w:eastAsia="Times New Roman" w:hAnsi="Arial"/>
                <w:noProof/>
              </w:rPr>
              <w:t xml:space="preserve"> 2000000000.00 euroa tukiv</w:t>
            </w:r>
            <w:r>
              <w:rPr>
                <w:rFonts w:ascii="Arial Narrow" w:eastAsia="Times New Roman" w:hAnsi="Arial"/>
                <w:noProof/>
              </w:rPr>
              <w:t>ä</w:t>
            </w:r>
            <w:r>
              <w:rPr>
                <w:rFonts w:ascii="Arial Narrow" w:eastAsia="Times New Roman" w:hAnsi="Arial"/>
                <w:noProof/>
              </w:rPr>
              <w:t>linett</w:t>
            </w:r>
            <w:r>
              <w:rPr>
                <w:rFonts w:ascii="Arial Narrow" w:eastAsia="Times New Roman" w:hAnsi="Arial"/>
                <w:noProof/>
              </w:rPr>
              <w:t>ä</w:t>
            </w:r>
            <w:r>
              <w:rPr>
                <w:rFonts w:ascii="Arial Narrow" w:eastAsia="Times New Roman" w:hAnsi="Arial"/>
                <w:noProof/>
              </w:rPr>
              <w:t xml:space="preserve"> varten. </w:t>
            </w:r>
            <w:r>
              <w:rPr>
                <w:rFonts w:ascii="Arial Narrow" w:eastAsia="Times New Roman" w:hAnsi="Arial Narrow" w:cs="Times New Roman"/>
                <w:noProof/>
              </w:rPr>
              <w:t xml:space="preserve"> </w:t>
            </w:r>
          </w:p>
          <w:p w14:paraId="57F1E05F"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Täytäntöönpanosopimuksen kokonaisrahoituksen ja hallinnointipalkkion muuttaminen. </w:t>
            </w:r>
          </w:p>
        </w:tc>
      </w:tr>
      <w:tr w:rsidR="00E42B18" w14:paraId="0F5003D8" w14:textId="77777777">
        <w:trPr>
          <w:trHeight w:val="300"/>
        </w:trPr>
        <w:tc>
          <w:tcPr>
            <w:tcW w:w="1131" w:type="dxa"/>
            <w:shd w:val="clear" w:color="auto" w:fill="C6EFCE"/>
            <w:vAlign w:val="center"/>
            <w:hideMark/>
          </w:tcPr>
          <w:p w14:paraId="3A3E983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M2C1–24 </w:t>
            </w:r>
          </w:p>
        </w:tc>
        <w:tc>
          <w:tcPr>
            <w:tcW w:w="1418" w:type="dxa"/>
            <w:shd w:val="clear" w:color="auto" w:fill="C6EFCE"/>
            <w:vAlign w:val="center"/>
            <w:hideMark/>
          </w:tcPr>
          <w:p w14:paraId="0E6172A2"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3.4: Fondo Contratti di Filiera (FCF) maatalouselintarvike-, kalastus- ja vesiviljely-, metsätalous-, kukkaviljely- ja taimitarha-alojen toimitusketjusopimusten tukemiseksi </w:t>
            </w:r>
          </w:p>
        </w:tc>
        <w:tc>
          <w:tcPr>
            <w:tcW w:w="992" w:type="dxa"/>
            <w:shd w:val="clear" w:color="auto" w:fill="C6EFCE"/>
            <w:vAlign w:val="center"/>
            <w:hideMark/>
          </w:tcPr>
          <w:p w14:paraId="4B777AB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Kohde </w:t>
            </w:r>
          </w:p>
        </w:tc>
        <w:tc>
          <w:tcPr>
            <w:tcW w:w="1418" w:type="dxa"/>
            <w:shd w:val="clear" w:color="auto" w:fill="C6EFCE"/>
            <w:vAlign w:val="center"/>
            <w:hideMark/>
          </w:tcPr>
          <w:p w14:paraId="41AC358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Oikeudelliset sopimukset lopullisten edunsaajien kanssa </w:t>
            </w:r>
          </w:p>
        </w:tc>
        <w:tc>
          <w:tcPr>
            <w:tcW w:w="1417" w:type="dxa"/>
            <w:shd w:val="clear" w:color="auto" w:fill="C6EFCE"/>
            <w:vAlign w:val="center"/>
            <w:hideMark/>
          </w:tcPr>
          <w:p w14:paraId="068E0424" w14:textId="12007045" w:rsidR="00E42B18" w:rsidRDefault="009629C4">
            <w:pPr>
              <w:pStyle w:val="P68B1DB1-Normal50"/>
              <w:spacing w:after="0" w:line="240" w:lineRule="auto"/>
              <w:jc w:val="center"/>
              <w:textAlignment w:val="baseline"/>
              <w:rPr>
                <w:rFonts w:ascii="Times New Roman" w:hAnsi="Times New Roman"/>
                <w:noProof/>
                <w:sz w:val="24"/>
                <w:szCs w:val="24"/>
              </w:rPr>
            </w:pPr>
            <w:r>
              <w:rPr>
                <w:noProof/>
              </w:rPr>
              <w:t xml:space="preserve">EI OLE </w:t>
            </w:r>
          </w:p>
        </w:tc>
        <w:tc>
          <w:tcPr>
            <w:tcW w:w="1276" w:type="dxa"/>
            <w:shd w:val="clear" w:color="auto" w:fill="C6EFCE"/>
            <w:vAlign w:val="center"/>
            <w:hideMark/>
          </w:tcPr>
          <w:p w14:paraId="11417DDF" w14:textId="63016F4C" w:rsidR="00E42B18" w:rsidRDefault="009629C4">
            <w:pPr>
              <w:pStyle w:val="P68B1DB1-Normal50"/>
              <w:spacing w:after="0" w:line="240" w:lineRule="auto"/>
              <w:jc w:val="center"/>
              <w:textAlignment w:val="baseline"/>
              <w:rPr>
                <w:rFonts w:ascii="Times New Roman" w:hAnsi="Times New Roman"/>
                <w:noProof/>
                <w:sz w:val="24"/>
                <w:szCs w:val="24"/>
              </w:rPr>
            </w:pPr>
            <w:r>
              <w:rPr>
                <w:noProof/>
              </w:rPr>
              <w:t xml:space="preserve">Prosenttiosuus </w:t>
            </w:r>
          </w:p>
        </w:tc>
        <w:tc>
          <w:tcPr>
            <w:tcW w:w="1276" w:type="dxa"/>
            <w:shd w:val="clear" w:color="auto" w:fill="C6EFCE"/>
            <w:vAlign w:val="center"/>
            <w:hideMark/>
          </w:tcPr>
          <w:p w14:paraId="18868E9C"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0 </w:t>
            </w:r>
          </w:p>
        </w:tc>
        <w:tc>
          <w:tcPr>
            <w:tcW w:w="992" w:type="dxa"/>
            <w:shd w:val="clear" w:color="auto" w:fill="C6EFCE"/>
            <w:vAlign w:val="center"/>
            <w:hideMark/>
          </w:tcPr>
          <w:p w14:paraId="7D19ABCB"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100 </w:t>
            </w:r>
          </w:p>
        </w:tc>
        <w:tc>
          <w:tcPr>
            <w:tcW w:w="992" w:type="dxa"/>
            <w:shd w:val="clear" w:color="auto" w:fill="C6EFCE"/>
            <w:vAlign w:val="center"/>
            <w:hideMark/>
          </w:tcPr>
          <w:p w14:paraId="5CE082A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Q2 </w:t>
            </w:r>
          </w:p>
        </w:tc>
        <w:tc>
          <w:tcPr>
            <w:tcW w:w="691" w:type="dxa"/>
            <w:shd w:val="clear" w:color="auto" w:fill="C6EFCE"/>
            <w:vAlign w:val="center"/>
            <w:hideMark/>
          </w:tcPr>
          <w:p w14:paraId="2C004C4E"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2026 </w:t>
            </w:r>
          </w:p>
        </w:tc>
        <w:tc>
          <w:tcPr>
            <w:tcW w:w="3423" w:type="dxa"/>
            <w:shd w:val="clear" w:color="auto" w:fill="C6EFCE"/>
            <w:vAlign w:val="center"/>
            <w:hideMark/>
          </w:tcPr>
          <w:p w14:paraId="227C22CE" w14:textId="4917B16B" w:rsidR="00E42B18" w:rsidRDefault="009629C4">
            <w:pPr>
              <w:pStyle w:val="P68B1DB1-Normal50"/>
              <w:spacing w:after="0" w:line="240" w:lineRule="auto"/>
              <w:textAlignment w:val="baseline"/>
              <w:rPr>
                <w:rFonts w:ascii="Times New Roman" w:hAnsi="Times New Roman"/>
                <w:noProof/>
                <w:sz w:val="24"/>
                <w:szCs w:val="24"/>
              </w:rPr>
            </w:pPr>
            <w:r>
              <w:rPr>
                <w:noProof/>
              </w:rPr>
              <w:t>ISMEA on tehnyt lopullisten tuensaajien kanssa oikeudellisia rahoitussopimuksia määrästä, joka tarvitaan, jotta elpymis- ja palautumistukivälineen investoinneista voidaan käyttää 100 prosenttia tukivälineeseen (hallinnointipalkkiot huomioon ottaen). ISMEA laatii liitteessä VI esitettyä menetelmää käyttäen raportin, jossa esitetään yksityiskohtaisesti tämän rahoituksen prosenttiosuus, jolla edistetään ilmastotavoitteita. </w:t>
            </w:r>
          </w:p>
        </w:tc>
      </w:tr>
      <w:tr w:rsidR="00E42B18" w14:paraId="21ADD27B" w14:textId="77777777">
        <w:trPr>
          <w:trHeight w:val="300"/>
        </w:trPr>
        <w:tc>
          <w:tcPr>
            <w:tcW w:w="1131" w:type="dxa"/>
            <w:shd w:val="clear" w:color="auto" w:fill="C6EFCE"/>
            <w:vAlign w:val="center"/>
            <w:hideMark/>
          </w:tcPr>
          <w:p w14:paraId="0BB02221"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M2C1–25 </w:t>
            </w:r>
          </w:p>
        </w:tc>
        <w:tc>
          <w:tcPr>
            <w:tcW w:w="1418" w:type="dxa"/>
            <w:shd w:val="clear" w:color="auto" w:fill="C6EFCE"/>
            <w:vAlign w:val="center"/>
            <w:hideMark/>
          </w:tcPr>
          <w:p w14:paraId="7F1A095A" w14:textId="2CFE248C" w:rsidR="00E42B18" w:rsidRDefault="009629C4">
            <w:pPr>
              <w:pStyle w:val="P68B1DB1-Normal50"/>
              <w:spacing w:after="0" w:line="240" w:lineRule="auto"/>
              <w:jc w:val="center"/>
              <w:textAlignment w:val="baseline"/>
              <w:rPr>
                <w:rFonts w:ascii="Times New Roman" w:hAnsi="Times New Roman"/>
                <w:noProof/>
                <w:sz w:val="24"/>
                <w:szCs w:val="24"/>
              </w:rPr>
            </w:pPr>
            <w:r>
              <w:rPr>
                <w:noProof/>
              </w:rPr>
              <w:t>Investointi 3.4: Fondo Contratti di Filiera (FCF) maatalouselintarvike-, kalastus- ja vesiviljely-, metsätalous-, kukkaviljely- ja taimitarha-alojen toimitusketjusopimusten tukemiseksi </w:t>
            </w:r>
          </w:p>
        </w:tc>
        <w:tc>
          <w:tcPr>
            <w:tcW w:w="992" w:type="dxa"/>
            <w:shd w:val="clear" w:color="auto" w:fill="C6EFCE"/>
            <w:vAlign w:val="center"/>
            <w:hideMark/>
          </w:tcPr>
          <w:p w14:paraId="24E5B8D5"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Virstanpylväs </w:t>
            </w:r>
          </w:p>
        </w:tc>
        <w:tc>
          <w:tcPr>
            <w:tcW w:w="1418" w:type="dxa"/>
            <w:shd w:val="clear" w:color="auto" w:fill="C6EFCE"/>
            <w:vAlign w:val="center"/>
            <w:hideMark/>
          </w:tcPr>
          <w:p w14:paraId="1BF0960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Ministeriö on siirtänyt varojen kokonaismäärän </w:t>
            </w:r>
          </w:p>
        </w:tc>
        <w:tc>
          <w:tcPr>
            <w:tcW w:w="1417" w:type="dxa"/>
            <w:shd w:val="clear" w:color="auto" w:fill="C6EFCE"/>
            <w:vAlign w:val="center"/>
            <w:hideMark/>
          </w:tcPr>
          <w:p w14:paraId="77B84B6E"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Todistus siirrosta </w:t>
            </w:r>
          </w:p>
        </w:tc>
        <w:tc>
          <w:tcPr>
            <w:tcW w:w="1276" w:type="dxa"/>
            <w:shd w:val="clear" w:color="auto" w:fill="C6EFCE"/>
            <w:vAlign w:val="center"/>
            <w:hideMark/>
          </w:tcPr>
          <w:p w14:paraId="7432A056"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 EI OLE </w:t>
            </w:r>
          </w:p>
        </w:tc>
        <w:tc>
          <w:tcPr>
            <w:tcW w:w="1276" w:type="dxa"/>
            <w:shd w:val="clear" w:color="auto" w:fill="C6EFCE"/>
            <w:vAlign w:val="center"/>
            <w:hideMark/>
          </w:tcPr>
          <w:p w14:paraId="553DFA4D"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45B84DF0"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EI OLE </w:t>
            </w:r>
          </w:p>
        </w:tc>
        <w:tc>
          <w:tcPr>
            <w:tcW w:w="992" w:type="dxa"/>
            <w:shd w:val="clear" w:color="auto" w:fill="C6EFCE"/>
            <w:vAlign w:val="center"/>
            <w:hideMark/>
          </w:tcPr>
          <w:p w14:paraId="4A92D497" w14:textId="77777777" w:rsidR="00E42B18" w:rsidRDefault="009629C4">
            <w:pPr>
              <w:pStyle w:val="P68B1DB1-Normal50"/>
              <w:spacing w:after="0" w:line="240" w:lineRule="auto"/>
              <w:jc w:val="center"/>
              <w:textAlignment w:val="baseline"/>
              <w:rPr>
                <w:rFonts w:ascii="Times New Roman" w:hAnsi="Times New Roman"/>
                <w:noProof/>
                <w:sz w:val="24"/>
                <w:szCs w:val="24"/>
              </w:rPr>
            </w:pPr>
            <w:r>
              <w:rPr>
                <w:noProof/>
              </w:rPr>
              <w:t>Q4 </w:t>
            </w:r>
          </w:p>
        </w:tc>
        <w:tc>
          <w:tcPr>
            <w:tcW w:w="691" w:type="dxa"/>
            <w:shd w:val="clear" w:color="auto" w:fill="C6EFCE"/>
            <w:vAlign w:val="center"/>
            <w:hideMark/>
          </w:tcPr>
          <w:p w14:paraId="7DF28DFA" w14:textId="77777777" w:rsidR="00E42B18" w:rsidRDefault="009629C4">
            <w:pPr>
              <w:pStyle w:val="P68B1DB1-Normal50"/>
              <w:spacing w:after="0" w:line="240" w:lineRule="auto"/>
              <w:textAlignment w:val="baseline"/>
              <w:rPr>
                <w:rFonts w:ascii="Times New Roman" w:hAnsi="Times New Roman"/>
                <w:noProof/>
                <w:sz w:val="24"/>
                <w:szCs w:val="24"/>
              </w:rPr>
            </w:pPr>
            <w:r>
              <w:rPr>
                <w:noProof/>
              </w:rPr>
              <w:t>2024 </w:t>
            </w:r>
          </w:p>
        </w:tc>
        <w:tc>
          <w:tcPr>
            <w:tcW w:w="3423" w:type="dxa"/>
            <w:shd w:val="clear" w:color="auto" w:fill="C6EFCE"/>
            <w:vAlign w:val="center"/>
            <w:hideMark/>
          </w:tcPr>
          <w:p w14:paraId="5D3DA9F4" w14:textId="1D7B9845" w:rsidR="00E42B18" w:rsidRDefault="009629C4">
            <w:pPr>
              <w:pStyle w:val="P68B1DB1-Normal57"/>
              <w:spacing w:after="0" w:line="240" w:lineRule="auto"/>
              <w:textAlignment w:val="baseline"/>
              <w:rPr>
                <w:rFonts w:ascii="Times New Roman" w:hAnsi="Times New Roman" w:cs="Times New Roman"/>
                <w:noProof/>
                <w:sz w:val="24"/>
                <w:szCs w:val="24"/>
              </w:rPr>
            </w:pPr>
            <w:r>
              <w:rPr>
                <w:noProof/>
              </w:rPr>
              <w:t>Italia siirt</w:t>
            </w:r>
            <w:r>
              <w:rPr>
                <w:noProof/>
              </w:rPr>
              <w:t>ää</w:t>
            </w:r>
            <w:r>
              <w:rPr>
                <w:noProof/>
              </w:rPr>
              <w:t xml:space="preserve"> 1960000000.00 euroa ISMEAlle tukiv</w:t>
            </w:r>
            <w:r>
              <w:rPr>
                <w:noProof/>
              </w:rPr>
              <w:t>ä</w:t>
            </w:r>
            <w:r>
              <w:rPr>
                <w:noProof/>
              </w:rPr>
              <w:t>linett</w:t>
            </w:r>
            <w:r>
              <w:rPr>
                <w:noProof/>
              </w:rPr>
              <w:t>ä</w:t>
            </w:r>
            <w:r>
              <w:rPr>
                <w:noProof/>
              </w:rPr>
              <w:t xml:space="preserve"> varten.</w:t>
            </w:r>
          </w:p>
        </w:tc>
      </w:tr>
      <w:tr w:rsidR="00E42B18" w14:paraId="6FDFC0B2" w14:textId="77777777">
        <w:trPr>
          <w:trHeight w:val="300"/>
        </w:trPr>
        <w:tc>
          <w:tcPr>
            <w:tcW w:w="1131" w:type="dxa"/>
            <w:shd w:val="clear" w:color="auto" w:fill="C6EFCE"/>
            <w:vAlign w:val="center"/>
          </w:tcPr>
          <w:p w14:paraId="16E15655" w14:textId="2C16F587" w:rsidR="00E42B18" w:rsidRDefault="009629C4">
            <w:pPr>
              <w:pStyle w:val="P68B1DB1-Normal50"/>
              <w:spacing w:after="0" w:line="240" w:lineRule="auto"/>
              <w:jc w:val="center"/>
              <w:textAlignment w:val="baseline"/>
              <w:rPr>
                <w:noProof/>
              </w:rPr>
            </w:pPr>
            <w:r>
              <w:rPr>
                <w:noProof/>
              </w:rPr>
              <w:t>M2C1–26 </w:t>
            </w:r>
          </w:p>
        </w:tc>
        <w:tc>
          <w:tcPr>
            <w:tcW w:w="1418" w:type="dxa"/>
            <w:shd w:val="clear" w:color="auto" w:fill="C6EFCE"/>
            <w:vAlign w:val="center"/>
          </w:tcPr>
          <w:p w14:paraId="5DB9BBD7" w14:textId="07D6186F" w:rsidR="00E42B18" w:rsidRDefault="009629C4">
            <w:pPr>
              <w:pStyle w:val="P68B1DB1-Normal50"/>
              <w:spacing w:after="0" w:line="240" w:lineRule="auto"/>
              <w:jc w:val="center"/>
              <w:textAlignment w:val="baseline"/>
              <w:rPr>
                <w:noProof/>
              </w:rPr>
            </w:pPr>
            <w:r>
              <w:rPr>
                <w:noProof/>
              </w:rPr>
              <w:t>Investointi 4: AGRI-alar Park -järjestely </w:t>
            </w:r>
          </w:p>
        </w:tc>
        <w:tc>
          <w:tcPr>
            <w:tcW w:w="992" w:type="dxa"/>
            <w:shd w:val="clear" w:color="auto" w:fill="C6EFCE"/>
          </w:tcPr>
          <w:p w14:paraId="39681374" w14:textId="3B740C60" w:rsidR="00E42B18" w:rsidRDefault="009629C4">
            <w:pPr>
              <w:pStyle w:val="P68B1DB1-Normal50"/>
              <w:spacing w:after="0" w:line="240" w:lineRule="auto"/>
              <w:jc w:val="center"/>
              <w:textAlignment w:val="baseline"/>
              <w:rPr>
                <w:noProof/>
              </w:rPr>
            </w:pPr>
            <w:r>
              <w:rPr>
                <w:noProof/>
              </w:rPr>
              <w:t>Virstanpylväs </w:t>
            </w:r>
          </w:p>
        </w:tc>
        <w:tc>
          <w:tcPr>
            <w:tcW w:w="1418" w:type="dxa"/>
            <w:shd w:val="clear" w:color="auto" w:fill="C6EFCE"/>
          </w:tcPr>
          <w:p w14:paraId="68BF15A4" w14:textId="6E0BA599" w:rsidR="00E42B18" w:rsidRDefault="009629C4">
            <w:pPr>
              <w:pStyle w:val="P68B1DB1-Normal50"/>
              <w:spacing w:after="0" w:line="240" w:lineRule="auto"/>
              <w:jc w:val="center"/>
              <w:textAlignment w:val="baseline"/>
              <w:rPr>
                <w:noProof/>
              </w:rPr>
            </w:pPr>
            <w:r>
              <w:rPr>
                <w:noProof/>
              </w:rPr>
              <w:t>Täytäntöönpanosopimus </w:t>
            </w:r>
          </w:p>
        </w:tc>
        <w:tc>
          <w:tcPr>
            <w:tcW w:w="1417" w:type="dxa"/>
            <w:shd w:val="clear" w:color="auto" w:fill="C6EFCE"/>
          </w:tcPr>
          <w:p w14:paraId="05AE1FE1" w14:textId="4FDCDFE8" w:rsidR="00E42B18" w:rsidRDefault="009629C4">
            <w:pPr>
              <w:pStyle w:val="P68B1DB1-Normal50"/>
              <w:spacing w:after="0" w:line="240" w:lineRule="auto"/>
              <w:jc w:val="center"/>
              <w:textAlignment w:val="baseline"/>
              <w:rPr>
                <w:noProof/>
              </w:rPr>
            </w:pPr>
            <w:r>
              <w:rPr>
                <w:noProof/>
              </w:rPr>
              <w:t>Täytäntöönpanosopimuksen voimaantulo </w:t>
            </w:r>
          </w:p>
        </w:tc>
        <w:tc>
          <w:tcPr>
            <w:tcW w:w="1276" w:type="dxa"/>
            <w:shd w:val="clear" w:color="auto" w:fill="C6EFCE"/>
          </w:tcPr>
          <w:p w14:paraId="0409B26A" w14:textId="6786B4E6" w:rsidR="00E42B18" w:rsidRDefault="009629C4">
            <w:pPr>
              <w:pStyle w:val="P68B1DB1-Normal50"/>
              <w:spacing w:after="0" w:line="240" w:lineRule="auto"/>
              <w:jc w:val="center"/>
              <w:textAlignment w:val="baseline"/>
              <w:rPr>
                <w:noProof/>
              </w:rPr>
            </w:pPr>
            <w:r>
              <w:rPr>
                <w:noProof/>
              </w:rPr>
              <w:t> EI OLE </w:t>
            </w:r>
          </w:p>
        </w:tc>
        <w:tc>
          <w:tcPr>
            <w:tcW w:w="1276" w:type="dxa"/>
            <w:shd w:val="clear" w:color="auto" w:fill="C6EFCE"/>
          </w:tcPr>
          <w:p w14:paraId="030E3E6A" w14:textId="272E224E" w:rsidR="00E42B18" w:rsidRDefault="009629C4">
            <w:pPr>
              <w:pStyle w:val="P68B1DB1-Normal50"/>
              <w:spacing w:after="0" w:line="240" w:lineRule="auto"/>
              <w:jc w:val="center"/>
              <w:textAlignment w:val="baseline"/>
              <w:rPr>
                <w:noProof/>
              </w:rPr>
            </w:pPr>
            <w:r>
              <w:rPr>
                <w:noProof/>
              </w:rPr>
              <w:t xml:space="preserve">EI OLE </w:t>
            </w:r>
          </w:p>
        </w:tc>
        <w:tc>
          <w:tcPr>
            <w:tcW w:w="992" w:type="dxa"/>
            <w:shd w:val="clear" w:color="auto" w:fill="C6EFCE"/>
          </w:tcPr>
          <w:p w14:paraId="547D1AEF" w14:textId="45E3BA01" w:rsidR="00E42B18" w:rsidRDefault="009629C4">
            <w:pPr>
              <w:pStyle w:val="P68B1DB1-Normal50"/>
              <w:spacing w:after="0" w:line="240" w:lineRule="auto"/>
              <w:jc w:val="center"/>
              <w:textAlignment w:val="baseline"/>
              <w:rPr>
                <w:noProof/>
              </w:rPr>
            </w:pPr>
            <w:r>
              <w:rPr>
                <w:noProof/>
              </w:rPr>
              <w:t xml:space="preserve">EI OLE </w:t>
            </w:r>
          </w:p>
        </w:tc>
        <w:tc>
          <w:tcPr>
            <w:tcW w:w="992" w:type="dxa"/>
            <w:shd w:val="clear" w:color="auto" w:fill="C6EFCE"/>
          </w:tcPr>
          <w:p w14:paraId="5E7F2608" w14:textId="30EE4EBD" w:rsidR="00E42B18" w:rsidRDefault="009629C4">
            <w:pPr>
              <w:pStyle w:val="P68B1DB1-Normal50"/>
              <w:spacing w:after="0" w:line="240" w:lineRule="auto"/>
              <w:jc w:val="center"/>
              <w:textAlignment w:val="baseline"/>
              <w:rPr>
                <w:noProof/>
              </w:rPr>
            </w:pPr>
            <w:r>
              <w:rPr>
                <w:noProof/>
              </w:rPr>
              <w:t>Q4 </w:t>
            </w:r>
          </w:p>
        </w:tc>
        <w:tc>
          <w:tcPr>
            <w:tcW w:w="691" w:type="dxa"/>
            <w:shd w:val="clear" w:color="auto" w:fill="C6EFCE"/>
          </w:tcPr>
          <w:p w14:paraId="4EE2DE44" w14:textId="414F6B6C" w:rsidR="00E42B18" w:rsidRDefault="009629C4">
            <w:pPr>
              <w:pStyle w:val="P68B1DB1-Normal50"/>
              <w:spacing w:after="0" w:line="240" w:lineRule="auto"/>
              <w:textAlignment w:val="baseline"/>
              <w:rPr>
                <w:noProof/>
              </w:rPr>
            </w:pPr>
            <w:r>
              <w:rPr>
                <w:noProof/>
              </w:rPr>
              <w:t>2025 </w:t>
            </w:r>
          </w:p>
        </w:tc>
        <w:tc>
          <w:tcPr>
            <w:tcW w:w="3423" w:type="dxa"/>
            <w:shd w:val="clear" w:color="auto" w:fill="C6EFCE"/>
          </w:tcPr>
          <w:p w14:paraId="7075BCFA" w14:textId="4C639BCB" w:rsidR="00E42B18" w:rsidRDefault="009629C4">
            <w:pPr>
              <w:pStyle w:val="P68B1DB1-Normal50"/>
              <w:spacing w:after="0" w:line="240" w:lineRule="auto"/>
              <w:textAlignment w:val="baseline"/>
              <w:rPr>
                <w:noProof/>
              </w:rPr>
            </w:pPr>
            <w:r>
              <w:rPr>
                <w:noProof/>
              </w:rPr>
              <w:t>Täytäntöönpanosopimus tulee voimaan.</w:t>
            </w:r>
          </w:p>
        </w:tc>
      </w:tr>
      <w:tr w:rsidR="00E42B18" w14:paraId="3FD2F3DC" w14:textId="77777777">
        <w:trPr>
          <w:trHeight w:val="300"/>
        </w:trPr>
        <w:tc>
          <w:tcPr>
            <w:tcW w:w="1131" w:type="dxa"/>
            <w:shd w:val="clear" w:color="auto" w:fill="C6EFCE"/>
            <w:vAlign w:val="center"/>
          </w:tcPr>
          <w:p w14:paraId="578F7C2F" w14:textId="01631D0E" w:rsidR="00E42B18" w:rsidRDefault="009629C4">
            <w:pPr>
              <w:pStyle w:val="P68B1DB1-Normal50"/>
              <w:spacing w:after="0" w:line="240" w:lineRule="auto"/>
              <w:jc w:val="center"/>
              <w:textAlignment w:val="baseline"/>
              <w:rPr>
                <w:noProof/>
              </w:rPr>
            </w:pPr>
            <w:r>
              <w:rPr>
                <w:noProof/>
              </w:rPr>
              <w:t>M2C1–27 </w:t>
            </w:r>
          </w:p>
        </w:tc>
        <w:tc>
          <w:tcPr>
            <w:tcW w:w="1418" w:type="dxa"/>
            <w:shd w:val="clear" w:color="auto" w:fill="C6EFCE"/>
            <w:vAlign w:val="center"/>
          </w:tcPr>
          <w:p w14:paraId="369C0C1D" w14:textId="525E49A6" w:rsidR="00E42B18" w:rsidRDefault="009629C4">
            <w:pPr>
              <w:pStyle w:val="P68B1DB1-Normal50"/>
              <w:spacing w:after="0" w:line="240" w:lineRule="auto"/>
              <w:jc w:val="center"/>
              <w:textAlignment w:val="baseline"/>
              <w:rPr>
                <w:noProof/>
              </w:rPr>
            </w:pPr>
            <w:r>
              <w:rPr>
                <w:noProof/>
              </w:rPr>
              <w:t>Investointi 4: AGRI-alar Park -järjestely </w:t>
            </w:r>
          </w:p>
        </w:tc>
        <w:tc>
          <w:tcPr>
            <w:tcW w:w="992" w:type="dxa"/>
            <w:shd w:val="clear" w:color="auto" w:fill="C6EFCE"/>
          </w:tcPr>
          <w:p w14:paraId="1B8983BD" w14:textId="063C3B8D" w:rsidR="00E42B18" w:rsidRDefault="009629C4">
            <w:pPr>
              <w:pStyle w:val="P68B1DB1-Normal50"/>
              <w:spacing w:after="0" w:line="240" w:lineRule="auto"/>
              <w:jc w:val="center"/>
              <w:textAlignment w:val="baseline"/>
              <w:rPr>
                <w:noProof/>
              </w:rPr>
            </w:pPr>
            <w:r>
              <w:rPr>
                <w:noProof/>
              </w:rPr>
              <w:t>Virstanpylväs </w:t>
            </w:r>
          </w:p>
        </w:tc>
        <w:tc>
          <w:tcPr>
            <w:tcW w:w="1418" w:type="dxa"/>
            <w:shd w:val="clear" w:color="auto" w:fill="C6EFCE"/>
          </w:tcPr>
          <w:p w14:paraId="058F9CEA" w14:textId="4FC551C9" w:rsidR="00E42B18" w:rsidRDefault="009629C4">
            <w:pPr>
              <w:pStyle w:val="P68B1DB1-Normal50"/>
              <w:spacing w:after="0" w:line="240" w:lineRule="auto"/>
              <w:jc w:val="center"/>
              <w:textAlignment w:val="baseline"/>
              <w:rPr>
                <w:noProof/>
              </w:rPr>
            </w:pPr>
            <w:r>
              <w:rPr>
                <w:noProof/>
              </w:rPr>
              <w:t>Lopullisten edunsaajien kanssa allekirjoitetut oikeudelliset sopimukset ja investointien loppuun saattaminen </w:t>
            </w:r>
          </w:p>
        </w:tc>
        <w:tc>
          <w:tcPr>
            <w:tcW w:w="1417" w:type="dxa"/>
            <w:shd w:val="clear" w:color="auto" w:fill="C6EFCE"/>
          </w:tcPr>
          <w:p w14:paraId="718379C6" w14:textId="5FDF6362" w:rsidR="00E42B18" w:rsidRDefault="009629C4">
            <w:pPr>
              <w:pStyle w:val="P68B1DB1-Normal50"/>
              <w:spacing w:after="0" w:line="240" w:lineRule="auto"/>
              <w:jc w:val="center"/>
              <w:textAlignment w:val="baseline"/>
              <w:rPr>
                <w:noProof/>
              </w:rPr>
            </w:pPr>
            <w:r>
              <w:rPr>
                <w:noProof/>
              </w:rPr>
              <w:t>Allekirjoitetut oikeudelliset sopimukset ja siirtotodistus </w:t>
            </w:r>
          </w:p>
        </w:tc>
        <w:tc>
          <w:tcPr>
            <w:tcW w:w="1276" w:type="dxa"/>
            <w:shd w:val="clear" w:color="auto" w:fill="C6EFCE"/>
          </w:tcPr>
          <w:p w14:paraId="5BE386AE" w14:textId="17F49EDD" w:rsidR="00E42B18" w:rsidRDefault="009629C4">
            <w:pPr>
              <w:pStyle w:val="P68B1DB1-Normal50"/>
              <w:spacing w:after="0" w:line="240" w:lineRule="auto"/>
              <w:jc w:val="center"/>
              <w:textAlignment w:val="baseline"/>
              <w:rPr>
                <w:noProof/>
              </w:rPr>
            </w:pPr>
            <w:r>
              <w:rPr>
                <w:noProof/>
              </w:rPr>
              <w:t>EI OLE </w:t>
            </w:r>
          </w:p>
        </w:tc>
        <w:tc>
          <w:tcPr>
            <w:tcW w:w="1276" w:type="dxa"/>
            <w:shd w:val="clear" w:color="auto" w:fill="C6EFCE"/>
          </w:tcPr>
          <w:p w14:paraId="42B2B4D3" w14:textId="1E7F4C38" w:rsidR="00E42B18" w:rsidRDefault="009629C4">
            <w:pPr>
              <w:pStyle w:val="P68B1DB1-Normal50"/>
              <w:spacing w:after="0" w:line="240" w:lineRule="auto"/>
              <w:jc w:val="center"/>
              <w:textAlignment w:val="baseline"/>
              <w:rPr>
                <w:noProof/>
              </w:rPr>
            </w:pPr>
            <w:r>
              <w:rPr>
                <w:noProof/>
              </w:rPr>
              <w:t>EI OLE </w:t>
            </w:r>
          </w:p>
        </w:tc>
        <w:tc>
          <w:tcPr>
            <w:tcW w:w="992" w:type="dxa"/>
            <w:shd w:val="clear" w:color="auto" w:fill="C6EFCE"/>
          </w:tcPr>
          <w:p w14:paraId="5CCFE6E8" w14:textId="149BC235" w:rsidR="00E42B18" w:rsidRDefault="009629C4">
            <w:pPr>
              <w:pStyle w:val="P68B1DB1-Normal50"/>
              <w:spacing w:after="0" w:line="240" w:lineRule="auto"/>
              <w:jc w:val="center"/>
              <w:textAlignment w:val="baseline"/>
              <w:rPr>
                <w:noProof/>
              </w:rPr>
            </w:pPr>
            <w:r>
              <w:rPr>
                <w:noProof/>
              </w:rPr>
              <w:t>EI OLE </w:t>
            </w:r>
          </w:p>
        </w:tc>
        <w:tc>
          <w:tcPr>
            <w:tcW w:w="992" w:type="dxa"/>
            <w:shd w:val="clear" w:color="auto" w:fill="C6EFCE"/>
          </w:tcPr>
          <w:p w14:paraId="2EDA2D78" w14:textId="36763822" w:rsidR="00E42B18" w:rsidRDefault="009629C4">
            <w:pPr>
              <w:pStyle w:val="P68B1DB1-Normal50"/>
              <w:spacing w:after="0" w:line="240" w:lineRule="auto"/>
              <w:jc w:val="center"/>
              <w:textAlignment w:val="baseline"/>
              <w:rPr>
                <w:noProof/>
              </w:rPr>
            </w:pPr>
            <w:r>
              <w:rPr>
                <w:noProof/>
              </w:rPr>
              <w:t>Q2 </w:t>
            </w:r>
          </w:p>
        </w:tc>
        <w:tc>
          <w:tcPr>
            <w:tcW w:w="691" w:type="dxa"/>
            <w:shd w:val="clear" w:color="auto" w:fill="C6EFCE"/>
          </w:tcPr>
          <w:p w14:paraId="030F309C" w14:textId="705431C3" w:rsidR="00E42B18" w:rsidRDefault="009629C4">
            <w:pPr>
              <w:pStyle w:val="P68B1DB1-Normal50"/>
              <w:spacing w:after="0" w:line="240" w:lineRule="auto"/>
              <w:textAlignment w:val="baseline"/>
              <w:rPr>
                <w:noProof/>
              </w:rPr>
            </w:pPr>
            <w:r>
              <w:rPr>
                <w:noProof/>
              </w:rPr>
              <w:t>2026 </w:t>
            </w:r>
          </w:p>
        </w:tc>
        <w:tc>
          <w:tcPr>
            <w:tcW w:w="3423" w:type="dxa"/>
            <w:shd w:val="clear" w:color="auto" w:fill="C6EFCE"/>
          </w:tcPr>
          <w:p w14:paraId="7F967BCA" w14:textId="77777777" w:rsidR="00E42B18" w:rsidRDefault="009629C4">
            <w:pPr>
              <w:pStyle w:val="P68B1DB1-Normal50"/>
              <w:spacing w:after="0" w:line="240" w:lineRule="auto"/>
              <w:jc w:val="both"/>
              <w:textAlignment w:val="baseline"/>
              <w:rPr>
                <w:noProof/>
              </w:rPr>
            </w:pPr>
            <w:r>
              <w:rPr>
                <w:noProof/>
              </w:rPr>
              <w:t xml:space="preserve">GSE:n on tehtävä lopullisten edunsaajien kanssa oikeudellisia avustussopimuksia määrästä, joka tarvitaan, jotta elpymis- ja palautumistukivälineen investoinneista voidaan käyttää 100 prosenttia järjestelmään (hallinnointipalkkiot huomioon ottaen). </w:t>
            </w:r>
          </w:p>
          <w:p w14:paraId="27F573C6" w14:textId="4B1802D2" w:rsidR="00E42B18" w:rsidRDefault="009629C4">
            <w:pPr>
              <w:pStyle w:val="P68B1DB1-Normal50"/>
              <w:spacing w:after="0" w:line="240" w:lineRule="auto"/>
              <w:jc w:val="both"/>
              <w:textAlignment w:val="baseline"/>
              <w:rPr>
                <w:noProof/>
              </w:rPr>
            </w:pPr>
            <w:r>
              <w:rPr>
                <w:noProof/>
              </w:rPr>
              <w:t>Tästä rahoituksesta vähintään 633000000 on edistettävä ilmastotavoitteiden saavuttamista elpymis- ja palautumistukivälinettä koskevan asetuksen liitteessä VI esitetyn menetelmän mukaisesti.</w:t>
            </w:r>
          </w:p>
          <w:p w14:paraId="78C8863E" w14:textId="13498A45" w:rsidR="00E42B18" w:rsidRDefault="009629C4">
            <w:pPr>
              <w:pStyle w:val="P68B1DB1-Normal50"/>
              <w:spacing w:after="0" w:line="240" w:lineRule="auto"/>
              <w:jc w:val="both"/>
              <w:textAlignment w:val="baseline"/>
              <w:rPr>
                <w:noProof/>
              </w:rPr>
            </w:pPr>
            <w:r>
              <w:rPr>
                <w:noProof/>
              </w:rPr>
              <w:t>Italia siirtää 789000000 euroa GSE:lle tukivälinettä varten. </w:t>
            </w:r>
          </w:p>
        </w:tc>
      </w:tr>
    </w:tbl>
    <w:p w14:paraId="24706E2F" w14:textId="77777777" w:rsidR="00E42B18" w:rsidRDefault="009629C4">
      <w:pPr>
        <w:pStyle w:val="P68B1DB1-Normal58"/>
        <w:spacing w:after="0" w:line="240" w:lineRule="auto"/>
        <w:textAlignment w:val="baseline"/>
        <w:rPr>
          <w:rFonts w:ascii="Segoe UI" w:hAnsi="Segoe UI"/>
          <w:noProof/>
          <w:sz w:val="18"/>
          <w:szCs w:val="18"/>
        </w:rPr>
      </w:pPr>
      <w:r>
        <w:rPr>
          <w:noProof/>
        </w:rPr>
        <w:t> </w:t>
      </w:r>
    </w:p>
    <w:p w14:paraId="34A3002B" w14:textId="77777777" w:rsidR="00E42B18" w:rsidRDefault="00E42B18">
      <w:pPr>
        <w:tabs>
          <w:tab w:val="left" w:pos="2220"/>
        </w:tabs>
        <w:rPr>
          <w:noProof/>
        </w:rPr>
        <w:sectPr w:rsidR="00E42B18" w:rsidSect="004E142E">
          <w:headerReference w:type="default" r:id="rId82"/>
          <w:footerReference w:type="default" r:id="rId83"/>
          <w:pgSz w:w="16838" w:h="11906" w:orient="landscape"/>
          <w:pgMar w:top="1440" w:right="1440" w:bottom="1440" w:left="1440" w:header="708" w:footer="708" w:gutter="0"/>
          <w:cols w:space="708"/>
          <w:docGrid w:linePitch="360"/>
        </w:sectPr>
      </w:pPr>
    </w:p>
    <w:p w14:paraId="087EC4DA" w14:textId="77777777" w:rsidR="00E42B18" w:rsidRDefault="009629C4">
      <w:pPr>
        <w:pStyle w:val="P68B1DB1-Heading23"/>
        <w:ind w:left="1080"/>
        <w:rPr>
          <w:noProof/>
        </w:rPr>
      </w:pPr>
      <w:r>
        <w:rPr>
          <w:noProof/>
        </w:rPr>
        <w:t>E. MISSION 2 KOMPONENTTI 2: Energiasiirtymä ja kestävä liikkuvuus</w:t>
      </w:r>
    </w:p>
    <w:p w14:paraId="02529273" w14:textId="77777777" w:rsidR="00E42B18" w:rsidRDefault="009629C4">
      <w:pPr>
        <w:pStyle w:val="P68B1DB1-Normal7"/>
        <w:spacing w:before="120" w:after="120"/>
        <w:jc w:val="both"/>
        <w:rPr>
          <w:noProof/>
        </w:rPr>
      </w:pPr>
      <w:r>
        <w:rPr>
          <w:noProof/>
        </w:rPr>
        <w:t>Tämä Italian elpymis- ja palautumissuunnitelman osa-alue kattaa investoinnit ja uudistukset energiasiirtymään. Siihen sisältyy uudistuksia, joilla helpotetaan uusiutuvia energialähteitä koskevien hankkeiden lupamenettelyjä. Komponentti sisältää investointeja uusiutuvien energialähteiden toimitusketjuun, vetyenergiaan, biometaanilaitoksiin ja älykkäisiin verkkoihin. Näitä uudistuksia ja investointeja täydennetään uudistuksilla, joilla lisätään kilpailua sähkömarkkinoilla liiketoimintaympäristön uudistuksen osa-alueella.</w:t>
      </w:r>
    </w:p>
    <w:p w14:paraId="34C9028C" w14:textId="77777777" w:rsidR="00E42B18" w:rsidRDefault="009629C4">
      <w:pPr>
        <w:pStyle w:val="P68B1DB1-Normal7"/>
        <w:spacing w:before="120" w:after="120"/>
        <w:jc w:val="both"/>
        <w:rPr>
          <w:noProof/>
        </w:rPr>
      </w:pPr>
      <w:r>
        <w:rPr>
          <w:noProof/>
        </w:rPr>
        <w:t xml:space="preserve">Tämä osa-alue kattaa myös kestävään liikkuvuuteen tehtävät investoinnit ja uudistukset. Siihen sisältyy uudistuksia, joilla helpotetaan kestävää liikkuvuutta koskevien hankkeiden lupamenettelyjä. Komponentti sisältää investointeja, joilla rakennetaan pyöräteitä ja nopeita metro-/raitiovaunu-/bussi-infrastruktuureja sekä hankitaan päästöttömiä linja-autoja, liikkuvaa kalustoa, palontorjuntaa ja lentokenttäajoneuvoja. Näitä uudistuksia ja investointeja täydennetään uudistuksilla, joilla poistetaan sähkölatauksen säännellyt hinnat ja lisätään kilpailua latauspisteiden toimiluvista, alueellisista rautateistä ja paikallisesta julkisesta liikenteestä liiketoimintaympäristön uudistuksen osa-alueella. </w:t>
      </w:r>
    </w:p>
    <w:p w14:paraId="1E737441" w14:textId="77777777" w:rsidR="00E42B18" w:rsidRDefault="009629C4">
      <w:pPr>
        <w:pStyle w:val="P68B1DB1-Normal7"/>
        <w:spacing w:before="120" w:after="120"/>
        <w:jc w:val="both"/>
        <w:rPr>
          <w:noProof/>
        </w:rPr>
      </w:pPr>
      <w:r>
        <w:rPr>
          <w:noProof/>
        </w:rPr>
        <w:t>Tämän osa-alueen investoinneilla ja uudistuksilla edistetään Italialle vuosina 2020 ja 2019 osoitettujen maakohtaisten suositusten noudattamista. Suositukset koskevat tarvetta keskittää investoinnit vihreään siirtymään ja digitaaliseen muutokseen, erityisesti [...] puhtaaseen ja tehokkaaseen energian [...] kestävään julkiseen liikenteeseen ja käyttöön (maakohtainen suositus 3, 2020) ja ”keskittää investointeihin liittyvä talouspolitiikka [...] ja infrastruktuurin laatuun ottaen huomioon myös alueelliset erot” (maakohtainen suositus 3, 2019).</w:t>
      </w:r>
    </w:p>
    <w:p w14:paraId="4E3F9F5B" w14:textId="77777777" w:rsidR="00E42B18" w:rsidRDefault="009629C4">
      <w:pPr>
        <w:pStyle w:val="P68B1DB1-Normal7"/>
        <w:spacing w:before="120" w:after="120" w:line="257" w:lineRule="auto"/>
        <w:jc w:val="both"/>
        <w:rPr>
          <w:noProof/>
        </w:rPr>
      </w:pPr>
      <w:r>
        <w:rPr>
          <w:noProof/>
        </w:rPr>
        <w:t>Komponentilla tuetaan Italialle sen kansallisen energia- ja ilmastosuunnitelman täytäntöönpanosta annettuja suuntaviivoja (SWD(2020) 911 final), joissa Italiaa kehotettiin edistämään, uudistamaan ja päivittämään olemassa olevia uusiutuvan energian tuotantolaitoksia, erityisesti olemassa olevia tuulivoimaloita, ja tutkimaan innovatiivista merienergiaa Välimeren alueella.</w:t>
      </w:r>
    </w:p>
    <w:p w14:paraId="79D1334E" w14:textId="355BD092" w:rsidR="00E42B18" w:rsidRDefault="009629C4">
      <w:pPr>
        <w:pStyle w:val="P68B1DB1-Normal7"/>
        <w:spacing w:before="120" w:after="120"/>
        <w:jc w:val="both"/>
        <w:rPr>
          <w:noProof/>
        </w:rPr>
      </w:pPr>
      <w:r>
        <w:rPr>
          <w:noProof/>
        </w:rPr>
        <w:t xml:space="preserve">Minkään tämän komponentin toimenpiteen ei odoteta aiheuttavan asetuksen (EU) 2020/852 17 artiklassa tarkoitettua merkittävää haittaa ympäristötavoitteille, kun otetaan huomioon ”ei merkittävää haittaa” -periaatteen soveltamista koskevien teknisten ohjeiden (2021/C58/01) mukaiset elpymis- ja palautumissuunnitelmassa esitettyjen toimenpiteiden kuvaus ja lieventävät toimet. </w:t>
      </w:r>
    </w:p>
    <w:p w14:paraId="69AA41F3" w14:textId="77777777" w:rsidR="00E42B18" w:rsidRDefault="009629C4">
      <w:pPr>
        <w:pStyle w:val="P68B1DB1-Heading359"/>
        <w:ind w:left="850" w:hanging="850"/>
        <w:rPr>
          <w:b/>
          <w:bCs/>
          <w:i/>
          <w:iCs/>
          <w:noProof/>
          <w:color w:val="156082" w:themeColor="accent1"/>
          <w:u w:val="single"/>
        </w:rPr>
      </w:pPr>
      <w:r>
        <w:rPr>
          <w:b/>
          <w:noProof/>
          <w:u w:val="single"/>
        </w:rPr>
        <w:t xml:space="preserve">E.1 </w:t>
      </w:r>
      <w:r>
        <w:rPr>
          <w:noProof/>
        </w:rPr>
        <w:t xml:space="preserve"> </w:t>
      </w:r>
      <w:r>
        <w:rPr>
          <w:b/>
          <w:noProof/>
          <w:u w:val="single"/>
        </w:rPr>
        <w:t>Kuvaus uudistuksista ja investoinneista, joita rahoitetaan rahoitustuella, jota ei makseta takaisin</w:t>
      </w:r>
    </w:p>
    <w:p w14:paraId="43B108FA" w14:textId="77777777" w:rsidR="00E42B18" w:rsidRDefault="009629C4">
      <w:pPr>
        <w:pStyle w:val="P68B1DB1-Normal5"/>
        <w:spacing w:before="120" w:after="120"/>
        <w:jc w:val="both"/>
        <w:rPr>
          <w:noProof/>
        </w:rPr>
      </w:pPr>
      <w:r>
        <w:rPr>
          <w:noProof/>
        </w:rPr>
        <w:t>Uudistus 1 – Maalla ja merellä sijaitsevien uusiutuvan energian tuotantolaitosten lupamenettelyjen yksinkertaistaminen ja uusi oikeudellinen kehys uusiutuvista lähteistä peräisin olevan tuotannon ylläpitämiseksi sekä nykyisten tukijärjestelmien ajan ja tukikelpoisuuden jatkaminen</w:t>
      </w:r>
    </w:p>
    <w:p w14:paraId="79B248C4" w14:textId="77777777" w:rsidR="00E42B18" w:rsidRDefault="009629C4">
      <w:pPr>
        <w:pStyle w:val="P68B1DB1-Normal7"/>
        <w:spacing w:before="120" w:after="120"/>
        <w:jc w:val="both"/>
        <w:rPr>
          <w:noProof/>
        </w:rPr>
      </w:pPr>
      <w:r>
        <w:rPr>
          <w:noProof/>
        </w:rPr>
        <w:t>Uudistus koostuu seuraavista osista:</w:t>
      </w:r>
    </w:p>
    <w:p w14:paraId="479E8143" w14:textId="3231CA44" w:rsidR="00E42B18" w:rsidRDefault="009629C4">
      <w:pPr>
        <w:pStyle w:val="P68B1DB1-Normal7"/>
        <w:numPr>
          <w:ilvl w:val="0"/>
          <w:numId w:val="26"/>
        </w:numPr>
        <w:spacing w:before="120" w:after="120"/>
        <w:ind w:left="360"/>
        <w:contextualSpacing/>
        <w:jc w:val="both"/>
        <w:rPr>
          <w:noProof/>
        </w:rPr>
      </w:pPr>
      <w:r>
        <w:rPr>
          <w:noProof/>
        </w:rPr>
        <w:t xml:space="preserve">uusiutuvia energialähteitä käyttävien laitosten yksinkertaistamistoimenpiteiden voimaantulo sekä olemassa olevien laitosten päivittäminen ja uudistaminen 17 päivänä heinäkuuta 2020 annetun asetuksen nro 76, jäljempänä ’yksinkertaistamisasetus’, säännösten mukaisesti; </w:t>
      </w:r>
    </w:p>
    <w:p w14:paraId="26D1BD22" w14:textId="77777777" w:rsidR="00E42B18" w:rsidRDefault="009629C4">
      <w:pPr>
        <w:pStyle w:val="P68B1DB1-Normal7"/>
        <w:numPr>
          <w:ilvl w:val="0"/>
          <w:numId w:val="26"/>
        </w:numPr>
        <w:spacing w:before="120" w:after="120"/>
        <w:ind w:left="360"/>
        <w:contextualSpacing/>
        <w:jc w:val="both"/>
        <w:rPr>
          <w:noProof/>
        </w:rPr>
      </w:pPr>
      <w:r>
        <w:rPr>
          <w:noProof/>
        </w:rPr>
        <w:t xml:space="preserve">alueiden ja muiden asianomaisten valtionhallintojen kanssa sovittu asetus, jonka tarkoituksena on määritellä kriteerit niiden alueiden määrittämiseksi, jotka soveltuvat ja jotka eivät sovellu uusiutuvan energian tuotantolaitosten asentamiseen vähintään 73 gigawatin lisätuotantokapasiteetille, PNIEC:n ajantasaistetun version mukaisesti uusiutuvien energialähteiden kehittämistä koskevien tavoitteiden saavuttamiseksi; </w:t>
      </w:r>
    </w:p>
    <w:p w14:paraId="57519A5E" w14:textId="77777777" w:rsidR="00E42B18" w:rsidRDefault="009629C4">
      <w:pPr>
        <w:pStyle w:val="P68B1DB1-Normal7"/>
        <w:numPr>
          <w:ilvl w:val="0"/>
          <w:numId w:val="26"/>
        </w:numPr>
        <w:spacing w:before="120" w:after="120"/>
        <w:ind w:left="360"/>
        <w:contextualSpacing/>
        <w:jc w:val="both"/>
        <w:rPr>
          <w:noProof/>
        </w:rPr>
      </w:pPr>
      <w:r>
        <w:rPr>
          <w:noProof/>
        </w:rPr>
        <w:t xml:space="preserve">uusiutuvien energialähteiden tukimekanismin loppuun saattaminen myös sellaisten uusien teknologioiden osalta, jotka eivät ole kypsyneet tai joiden toimintakustannukset ovat korkeat, ja niin sanotun RES1-mekanismin huutokaupan keston pidentäminen säilyttäen samalla kilpailukykyisen pääsyn periaate; </w:t>
      </w:r>
    </w:p>
    <w:p w14:paraId="709BD9E4" w14:textId="77777777" w:rsidR="00E42B18" w:rsidRDefault="009629C4">
      <w:pPr>
        <w:pStyle w:val="P68B1DB1-Normal7"/>
        <w:numPr>
          <w:ilvl w:val="0"/>
          <w:numId w:val="26"/>
        </w:numPr>
        <w:spacing w:before="120" w:after="120"/>
        <w:ind w:left="360"/>
        <w:contextualSpacing/>
        <w:jc w:val="both"/>
        <w:rPr>
          <w:noProof/>
        </w:rPr>
      </w:pPr>
      <w:r>
        <w:rPr>
          <w:noProof/>
        </w:rPr>
        <w:t>varastointijärjestelmiin tehtävien investointien edistämistä koskevat säännökset, jotka sisältyvät asetukseen sähkön sisämarkkinoita koskevista yhteisistä säännöistä annetun direktiivin (EU) 2019/944 saattamisesta osaksi kansallista lainsäädäntöä.</w:t>
      </w:r>
    </w:p>
    <w:p w14:paraId="5D1F197A" w14:textId="77777777" w:rsidR="00E42B18" w:rsidRDefault="009629C4">
      <w:pPr>
        <w:pStyle w:val="P68B1DB1-Normal5"/>
        <w:spacing w:before="120" w:after="120"/>
        <w:jc w:val="both"/>
        <w:rPr>
          <w:noProof/>
        </w:rPr>
      </w:pPr>
      <w:r>
        <w:rPr>
          <w:noProof/>
        </w:rPr>
        <w:t>Uudistus 2 – Uusi lainsäädäntö uusiutuvan kaasun tuotannon ja kulutuksen edistämiseksi</w:t>
      </w:r>
    </w:p>
    <w:p w14:paraId="0D213763" w14:textId="77777777" w:rsidR="00E42B18" w:rsidRDefault="009629C4">
      <w:pPr>
        <w:pStyle w:val="P68B1DB1-Normal7"/>
        <w:spacing w:before="120" w:after="120"/>
        <w:jc w:val="both"/>
        <w:rPr>
          <w:noProof/>
        </w:rPr>
      </w:pPr>
      <w:r>
        <w:rPr>
          <w:noProof/>
        </w:rPr>
        <w:t>Uudistuksessa vahvistetaan tukea puhtaalle biometaanille hyväksymällä lainsäädäntöä, jolla laajennetaan tukikelpoisten biometaanihankkeiden soveltamisalaa ja pidennetään avustusten saatavuusaikaa. Biometaanin on täytettävä uusiutuvia energialähteitä koskevassa direktiivissä (EU) 2018/2001 (RED II) vahvistetut kriteerit, jotta toimenpide on ”ei merkittävää haittaa” -periaatteen ja asetuksen (EU) 2021/241 liitteessä VI olevan alaviitteen 8 vaatimusten mukainen.</w:t>
      </w:r>
    </w:p>
    <w:p w14:paraId="4E56912E" w14:textId="77777777" w:rsidR="00E42B18" w:rsidRDefault="009629C4">
      <w:pPr>
        <w:pStyle w:val="P68B1DB1-Normal5"/>
        <w:spacing w:before="120" w:after="120"/>
        <w:jc w:val="both"/>
        <w:rPr>
          <w:noProof/>
        </w:rPr>
      </w:pPr>
      <w:r>
        <w:rPr>
          <w:noProof/>
        </w:rPr>
        <w:t>Uudistus 3 – Hallinnon yksinkertaistaminen ja vedyn käyttöönoton sääntelyesteiden vähentäminen</w:t>
      </w:r>
    </w:p>
    <w:p w14:paraId="6A0C5EBC" w14:textId="77777777" w:rsidR="00E42B18" w:rsidRDefault="009629C4">
      <w:pPr>
        <w:pStyle w:val="P68B1DB1-Normal7"/>
        <w:spacing w:before="120" w:after="120"/>
        <w:jc w:val="both"/>
        <w:rPr>
          <w:noProof/>
        </w:rPr>
      </w:pPr>
      <w:r>
        <w:rPr>
          <w:noProof/>
        </w:rPr>
        <w:t>Uudistus koostuu sellaisen lainsäädäntökehyksen voimaantulosta, jolla edistetään vedyn käyttöä uusiutuvana energialähteenä. Tähän lainsäädäntökehykseen on sisällyttävä:</w:t>
      </w:r>
    </w:p>
    <w:p w14:paraId="779B4802" w14:textId="77777777" w:rsidR="00E42B18" w:rsidRDefault="009629C4">
      <w:pPr>
        <w:pStyle w:val="P68B1DB1-Normal7"/>
        <w:numPr>
          <w:ilvl w:val="0"/>
          <w:numId w:val="26"/>
        </w:numPr>
        <w:spacing w:before="120" w:after="120"/>
        <w:ind w:left="360"/>
        <w:contextualSpacing/>
        <w:jc w:val="both"/>
        <w:rPr>
          <w:noProof/>
        </w:rPr>
      </w:pPr>
      <w:r>
        <w:rPr>
          <w:noProof/>
        </w:rPr>
        <w:t>Tekniset turvallisuusmääräykset, jotka koskevat tuotantoa, kuljetusta (vedyn maakaasuverkkoon syöttämistä koskevat tekniset ja sääntelykriteerit), vedyn varastointia ja käyttöä;</w:t>
      </w:r>
    </w:p>
    <w:p w14:paraId="1B265C48" w14:textId="1E5D4663" w:rsidR="00E42B18" w:rsidRDefault="009629C4">
      <w:pPr>
        <w:pStyle w:val="P68B1DB1-Normal7"/>
        <w:numPr>
          <w:ilvl w:val="0"/>
          <w:numId w:val="26"/>
        </w:numPr>
        <w:spacing w:before="120" w:after="120"/>
        <w:ind w:left="360"/>
        <w:contextualSpacing/>
        <w:jc w:val="both"/>
        <w:rPr>
          <w:noProof/>
        </w:rPr>
      </w:pPr>
      <w:r>
        <w:rPr>
          <w:noProof/>
        </w:rPr>
        <w:t xml:space="preserve">Nopeutettu lupamenettely, johon kuuluu yhden luukun menettely, luvan saamiseksi pienimuotoisen vedyn tuotantolaitoksen rakentamiseen ja toimintaan (alle 1–5 MW:n elektrolyysilaitoksille; varastointikynnys määritellään edellä mainituissa vetyä koskevissa teknisissä turvallisuusmääräyksissä). </w:t>
      </w:r>
    </w:p>
    <w:p w14:paraId="29AEEAD5" w14:textId="77777777" w:rsidR="00E42B18" w:rsidRDefault="009629C4">
      <w:pPr>
        <w:pStyle w:val="P68B1DB1-Normal7"/>
        <w:numPr>
          <w:ilvl w:val="0"/>
          <w:numId w:val="26"/>
        </w:numPr>
        <w:spacing w:before="120" w:after="120"/>
        <w:ind w:left="360"/>
        <w:contextualSpacing/>
        <w:jc w:val="both"/>
        <w:rPr>
          <w:noProof/>
        </w:rPr>
      </w:pPr>
      <w:r>
        <w:rPr>
          <w:noProof/>
        </w:rPr>
        <w:t>Vedyntuotantolaitosten verkkopalveluihin osallistumisen sääntely. Energia-alan sääntelyviranomaiselle (ARERA) annetaan tehtäväksi antaa erityinen sääntelytoimenpide sidosryhmien kuulemisen jälkeen.</w:t>
      </w:r>
    </w:p>
    <w:p w14:paraId="3673BB75" w14:textId="77777777" w:rsidR="00E42B18" w:rsidRDefault="009629C4">
      <w:pPr>
        <w:pStyle w:val="P68B1DB1-Normal7"/>
        <w:numPr>
          <w:ilvl w:val="0"/>
          <w:numId w:val="26"/>
        </w:numPr>
        <w:spacing w:before="120" w:after="120"/>
        <w:ind w:left="360"/>
        <w:contextualSpacing/>
        <w:jc w:val="both"/>
        <w:rPr>
          <w:noProof/>
        </w:rPr>
      </w:pPr>
      <w:r>
        <w:rPr>
          <w:noProof/>
        </w:rPr>
        <w:t>Uusiutuvan vedyn alkuperätakuujärjestelmä hintasignaalien antamiseksi kuluttajille.</w:t>
      </w:r>
    </w:p>
    <w:p w14:paraId="10EB3553" w14:textId="77777777" w:rsidR="00E42B18" w:rsidRDefault="009629C4">
      <w:pPr>
        <w:pStyle w:val="P68B1DB1-Normal7"/>
        <w:numPr>
          <w:ilvl w:val="0"/>
          <w:numId w:val="26"/>
        </w:numPr>
        <w:spacing w:before="120" w:after="120"/>
        <w:ind w:left="360"/>
        <w:contextualSpacing/>
        <w:jc w:val="both"/>
        <w:rPr>
          <w:noProof/>
        </w:rPr>
      </w:pPr>
      <w:r>
        <w:rPr>
          <w:noProof/>
        </w:rPr>
        <w:t xml:space="preserve">Menettelyt ja/tai kriteerit valittujen tankkausalueiden määrittelemiseksi moottoriteiden varrella tankkausasemien sijainnin optimoimiseksi H2-käytävien luomiseksi kuorma-autoille alkaen Pohjois-Italian alueilta Po-joen laaksoon, logistisiin keskuksiin ja niemimaan pääväyliin. </w:t>
      </w:r>
    </w:p>
    <w:p w14:paraId="2A695F03" w14:textId="77777777" w:rsidR="00E42B18" w:rsidRDefault="009629C4">
      <w:pPr>
        <w:pStyle w:val="P68B1DB1-Normal7"/>
        <w:numPr>
          <w:ilvl w:val="0"/>
          <w:numId w:val="26"/>
        </w:numPr>
        <w:spacing w:before="120" w:after="120"/>
        <w:ind w:left="357" w:hanging="357"/>
        <w:jc w:val="both"/>
        <w:rPr>
          <w:noProof/>
        </w:rPr>
      </w:pPr>
      <w:r>
        <w:rPr>
          <w:noProof/>
        </w:rPr>
        <w:t>Kansallisen siirtoverkonhaltijan 10-vuotisen kehittämissuunnitelman koordinointi muiden eurooppalaisten siirtoverkonhaltijoiden suunnitelmien kanssa, joilla pyritään kehittämään yhteiset standardit vedyn siirrolle olemassa olevien kaasuputkien tai erillisten putkistojen avulla.</w:t>
      </w:r>
    </w:p>
    <w:p w14:paraId="276EAFDD" w14:textId="77777777" w:rsidR="00E42B18" w:rsidRDefault="009629C4">
      <w:pPr>
        <w:pStyle w:val="P68B1DB1-Normal5"/>
        <w:spacing w:before="120" w:after="120"/>
        <w:jc w:val="both"/>
        <w:rPr>
          <w:noProof/>
        </w:rPr>
      </w:pPr>
      <w:r>
        <w:rPr>
          <w:noProof/>
        </w:rPr>
        <w:t>Uudistus 4 – Vetyalan kilpailukykyä edistävät toimenpiteet</w:t>
      </w:r>
    </w:p>
    <w:p w14:paraId="5C5D667C" w14:textId="77777777" w:rsidR="00E42B18" w:rsidRDefault="009629C4">
      <w:pPr>
        <w:pStyle w:val="P68B1DB1-Normal7"/>
        <w:spacing w:before="120" w:after="120"/>
        <w:jc w:val="both"/>
        <w:rPr>
          <w:noProof/>
        </w:rPr>
      </w:pPr>
      <w:r>
        <w:rPr>
          <w:noProof/>
        </w:rPr>
        <w:t>Uudistuksessa hyväksytään verotoimenpiteitä, joilla kannustetaan vedyn tuotantoon ja/tai käyttöön, verotusta koskevien EU:n sääntöjen mukaisesti ja saatetaan RED II -direktiivi osaksi kansallista lainsäädäntöä. Tällä toimenpiteellä tuetaan vedyn tuotantoa, joka perustuu direktiivissä (EU) 2018/2001 (uusiutuvan energian direktiivi) määriteltyihin uusiutuviin energialähteisiin tai verkkosähköön.</w:t>
      </w:r>
    </w:p>
    <w:p w14:paraId="06317B8B" w14:textId="77777777" w:rsidR="00E42B18" w:rsidRDefault="009629C4">
      <w:pPr>
        <w:pStyle w:val="P68B1DB1-Normal5"/>
        <w:spacing w:after="200" w:line="276" w:lineRule="auto"/>
        <w:rPr>
          <w:noProof/>
        </w:rPr>
      </w:pPr>
      <w:r>
        <w:rPr>
          <w:noProof/>
        </w:rPr>
        <w:t>Uudistus 5 – Älykkäämmät hankkeiden arviointimenettelyt paikallisissa julkisissa liikennejärjestelmissä, joissa on kiinteät laitteistot, ja nopean joukkoliikenteen alalla</w:t>
      </w:r>
    </w:p>
    <w:p w14:paraId="335D2477" w14:textId="77777777" w:rsidR="00E42B18" w:rsidRDefault="009629C4">
      <w:pPr>
        <w:pStyle w:val="P68B1DB1-Normal7"/>
        <w:spacing w:before="120" w:after="120"/>
        <w:jc w:val="both"/>
        <w:rPr>
          <w:noProof/>
        </w:rPr>
      </w:pPr>
      <w:r>
        <w:rPr>
          <w:noProof/>
        </w:rPr>
        <w:t xml:space="preserve">Uudistuksessa annetaan lainsäädäntöä, jossa määritellään selkeästi julkisen paikallisliikenteen hankkeiden hyväksymiseen liittyvät vastuut, ja yksinkertaistetaan maksumenettelyä. </w:t>
      </w:r>
    </w:p>
    <w:p w14:paraId="5B609108" w14:textId="77777777" w:rsidR="00E42B18" w:rsidRDefault="009629C4">
      <w:pPr>
        <w:pStyle w:val="P68B1DB1-Normal5"/>
        <w:spacing w:before="120" w:after="120"/>
        <w:jc w:val="both"/>
        <w:rPr>
          <w:bCs/>
          <w:noProof/>
        </w:rPr>
      </w:pPr>
      <w:r>
        <w:rPr>
          <w:noProof/>
        </w:rPr>
        <w:t>Investointi 2.1 – Älykkään verkon vahvistaminen</w:t>
      </w:r>
    </w:p>
    <w:p w14:paraId="22A8B5B4" w14:textId="77777777" w:rsidR="00E42B18" w:rsidRDefault="009629C4">
      <w:pPr>
        <w:pStyle w:val="P68B1DB1-Normal7"/>
        <w:spacing w:before="120" w:after="120"/>
        <w:jc w:val="both"/>
        <w:rPr>
          <w:noProof/>
        </w:rPr>
      </w:pPr>
      <w:r>
        <w:rPr>
          <w:noProof/>
        </w:rPr>
        <w:t>Tämän investoinnin tavoitteena on sähkönjakeluverkon infrastruktuurin parantaminen ja digitalisointi. Investointi koostuu avustusten myöntämisestä jakeluverkonhaltijoille sellaisten toimien rahoittamiseksi, joilla lisätään jakeluverkon vastaanottokapasiteettia sekä kotitalouksien käytettävissä olevaa kapasiteettia energiankulutuksen sähköistämiseksi.</w:t>
      </w:r>
    </w:p>
    <w:p w14:paraId="7F630D84" w14:textId="77777777" w:rsidR="00E42B18" w:rsidRDefault="009629C4">
      <w:pPr>
        <w:pStyle w:val="P68B1DB1-Normal7"/>
        <w:rPr>
          <w:b/>
          <w:bCs/>
          <w:noProof/>
        </w:rPr>
      </w:pPr>
      <w:r>
        <w:rPr>
          <w:noProof/>
        </w:rPr>
        <w:br w:type="page"/>
      </w:r>
    </w:p>
    <w:p w14:paraId="3D4F6D0B" w14:textId="362332DD" w:rsidR="00E42B18" w:rsidRDefault="009629C4">
      <w:pPr>
        <w:pStyle w:val="P68B1DB1-Normal5"/>
        <w:spacing w:before="120" w:after="120"/>
        <w:jc w:val="both"/>
        <w:rPr>
          <w:bCs/>
          <w:noProof/>
        </w:rPr>
      </w:pPr>
      <w:r>
        <w:rPr>
          <w:noProof/>
        </w:rPr>
        <w:t>Investointi 2.2 – Toimet sähköverkon häiriönsietokyvyn parantamiseksi</w:t>
      </w:r>
    </w:p>
    <w:p w14:paraId="2B1710BF" w14:textId="77BAA317" w:rsidR="00E42B18" w:rsidRDefault="009629C4">
      <w:pPr>
        <w:pStyle w:val="P68B1DB1-Normal7"/>
        <w:spacing w:before="120" w:after="120"/>
        <w:jc w:val="both"/>
        <w:rPr>
          <w:noProof/>
        </w:rPr>
      </w:pPr>
      <w:r>
        <w:rPr>
          <w:noProof/>
        </w:rPr>
        <w:t>Tämän investoinnin tavoitteena on tehdä sähköverkosta kestävä äärimmäisten sääilmiöiden varalta, mikä vähentää sähköntoimitusten pitkittyneiden keskeytysten todennäköisyyttä. Investointi koostuu avustusten myöntämisestä siirto- ja jakeluverkonhaltijoille sähköinfrastruktuuriin liittyviä töitä varten.</w:t>
      </w:r>
    </w:p>
    <w:p w14:paraId="174CC013" w14:textId="77777777" w:rsidR="00E42B18" w:rsidRDefault="009629C4">
      <w:pPr>
        <w:pStyle w:val="P68B1DB1-Normal5"/>
        <w:spacing w:before="120" w:after="120"/>
        <w:jc w:val="both"/>
        <w:rPr>
          <w:noProof/>
        </w:rPr>
      </w:pPr>
      <w:r>
        <w:rPr>
          <w:noProof/>
        </w:rPr>
        <w:t>Investointi 4.1 – Investoinnit pehmeään liikkuvuuteen (kansallinen pyörätiesuunnitelma)</w:t>
      </w:r>
    </w:p>
    <w:p w14:paraId="020318A8" w14:textId="267D1A3E" w:rsidR="00E42B18" w:rsidRDefault="009629C4">
      <w:pPr>
        <w:pStyle w:val="P68B1DB1-Normal7"/>
        <w:spacing w:before="120" w:after="120"/>
        <w:jc w:val="both"/>
        <w:rPr>
          <w:noProof/>
        </w:rPr>
      </w:pPr>
      <w:r>
        <w:rPr>
          <w:noProof/>
        </w:rPr>
        <w:t>Investoinnin tavoitteena on luoda pyöräteitä, joilla helpotetaan työmatkaliikennettä suurkaupunkialueiden tai yliopistoja vastaanottavien kaupunkien välillä. Investointi koostuu vähintään 1 261 km:n pyöräteiden rakentamisesta suurkaupunkialueille ja matkailupolkujen rakentamisesta.</w:t>
      </w:r>
    </w:p>
    <w:p w14:paraId="768B7461" w14:textId="6B60F77B" w:rsidR="00E42B18" w:rsidRDefault="009629C4">
      <w:pPr>
        <w:pStyle w:val="P68B1DB1-Normal5"/>
        <w:spacing w:before="120" w:after="120"/>
        <w:jc w:val="both"/>
        <w:rPr>
          <w:bCs/>
          <w:noProof/>
        </w:rPr>
      </w:pPr>
      <w:r>
        <w:rPr>
          <w:noProof/>
        </w:rPr>
        <w:t>Investointi 4.3 – Latausinfrastruktuurien asentaminen</w:t>
      </w:r>
    </w:p>
    <w:p w14:paraId="1A9D0795" w14:textId="0D736120" w:rsidR="00E42B18" w:rsidRDefault="009629C4">
      <w:pPr>
        <w:pStyle w:val="P68B1DB1-Normal7"/>
        <w:spacing w:before="120" w:after="120"/>
        <w:jc w:val="both"/>
        <w:rPr>
          <w:noProof/>
        </w:rPr>
      </w:pPr>
      <w:r>
        <w:rPr>
          <w:noProof/>
        </w:rPr>
        <w:t>Tämän investoinnin tavoitteena on tukea liikennealan hiilestä irtautumista. Investoinnilla rahoitetaan nopeiden julkisten latausinfrastruktuuripisteiden asentamista vapaa-alueille ja kaupunkialueille.</w:t>
      </w:r>
    </w:p>
    <w:p w14:paraId="512DB2D0" w14:textId="2A085DB7" w:rsidR="00E42B18" w:rsidRDefault="009629C4">
      <w:pPr>
        <w:pStyle w:val="P68B1DB1-Normal5"/>
        <w:spacing w:after="120"/>
        <w:jc w:val="both"/>
        <w:rPr>
          <w:bCs/>
          <w:noProof/>
        </w:rPr>
      </w:pPr>
      <w:r>
        <w:rPr>
          <w:noProof/>
        </w:rPr>
        <w:t>Investointi 4.4.1 – Päästämättömän alueellisen julkisen liikenteen linja-autokannan vahvistaminen</w:t>
      </w:r>
    </w:p>
    <w:p w14:paraId="6131C7C0" w14:textId="77777777" w:rsidR="00E42B18" w:rsidRDefault="009629C4">
      <w:pPr>
        <w:pStyle w:val="P68B1DB1-Normal7"/>
        <w:spacing w:after="120"/>
        <w:jc w:val="both"/>
        <w:rPr>
          <w:noProof/>
        </w:rPr>
      </w:pPr>
      <w:r>
        <w:rPr>
          <w:noProof/>
        </w:rPr>
        <w:t>Investoinnin tavoitteena on vähentää kasvihuonekaasupäästöjä ja nykyaikaistaa julkista linja-autokalustoa. Investointi koostuu päästöttömien linja-autojen hankinnasta ja latausasemien asentamisesta.</w:t>
      </w:r>
    </w:p>
    <w:p w14:paraId="4ED4E15C" w14:textId="77777777" w:rsidR="00E42B18" w:rsidRDefault="009629C4">
      <w:pPr>
        <w:pStyle w:val="P68B1DB1-Normal5"/>
        <w:spacing w:before="120" w:after="120"/>
        <w:jc w:val="both"/>
        <w:rPr>
          <w:bCs/>
          <w:noProof/>
        </w:rPr>
      </w:pPr>
      <w:r>
        <w:rPr>
          <w:noProof/>
        </w:rPr>
        <w:t xml:space="preserve">Investointi 4.4.3 – Kansallisen palokunnan komentokaluston uudistaminen </w:t>
      </w:r>
    </w:p>
    <w:p w14:paraId="57D66163" w14:textId="2B183825" w:rsidR="00E42B18" w:rsidRDefault="009629C4">
      <w:pPr>
        <w:spacing w:after="120"/>
        <w:jc w:val="both"/>
        <w:rPr>
          <w:rFonts w:ascii="Times New Roman" w:hAnsi="Times New Roman" w:cs="Times New Roman"/>
          <w:noProof/>
        </w:rPr>
      </w:pPr>
      <w:r>
        <w:rPr>
          <w:rFonts w:ascii="Times New Roman" w:hAnsi="Times New Roman" w:cs="Times New Roman"/>
          <w:noProof/>
        </w:rPr>
        <w:t>Investoinnin tavoitteena on vähentää kasvihuonekaasupäästöjä ja nykyaikaistaa palokuntakalustoa. Investointi koostuu vähintään</w:t>
      </w:r>
      <w:r>
        <w:rPr>
          <w:noProof/>
          <w:color w:val="006100"/>
          <w:sz w:val="20"/>
          <w:szCs w:val="20"/>
        </w:rPr>
        <w:t xml:space="preserve"> </w:t>
      </w:r>
      <w:r>
        <w:rPr>
          <w:rFonts w:ascii="Times New Roman" w:hAnsi="Times New Roman" w:cs="Times New Roman"/>
          <w:noProof/>
        </w:rPr>
        <w:t>3800 ajoneuvon hankinnasta kansalliseen palokuntaan.</w:t>
      </w:r>
    </w:p>
    <w:p w14:paraId="377F68EB" w14:textId="77777777" w:rsidR="00E42B18" w:rsidRDefault="009629C4">
      <w:pPr>
        <w:pStyle w:val="P68B1DB1-Normal5"/>
        <w:rPr>
          <w:bCs/>
          <w:noProof/>
        </w:rPr>
      </w:pPr>
      <w:r>
        <w:rPr>
          <w:noProof/>
        </w:rPr>
        <w:t>Investointi 4.5 – Yksityisten ja kevyiden hyötyajoneuvojen ajoneuvokannan uudistamisohjelma sähköajoneuvoilla</w:t>
      </w:r>
    </w:p>
    <w:p w14:paraId="2DE8DE88" w14:textId="77777777" w:rsidR="00E42B18" w:rsidRDefault="009629C4">
      <w:pPr>
        <w:pStyle w:val="P68B1DB1-Normal7"/>
        <w:rPr>
          <w:noProof/>
        </w:rPr>
      </w:pPr>
      <w:r>
        <w:rPr>
          <w:noProof/>
        </w:rPr>
        <w:t>Investoinnin tavoitteena on vähentää tieliikenteen aiheuttamia kasvihuonekaasuja ja ilmansaasteita kaupunkialueilla. Investointi koostuu autojen romutusjärjestelmästä, jossa lämpöajoneuvo palautetaan ja korvataan vastikään ostetulla päästöttömällä ajoneuvolla.</w:t>
      </w:r>
    </w:p>
    <w:p w14:paraId="6EE4F270" w14:textId="77777777" w:rsidR="00E42B18" w:rsidRDefault="009629C4">
      <w:pPr>
        <w:pStyle w:val="P68B1DB1-Normal29"/>
        <w:spacing w:before="120" w:after="120"/>
        <w:jc w:val="both"/>
        <w:rPr>
          <w:bCs/>
          <w:noProof/>
        </w:rPr>
      </w:pPr>
      <w:r>
        <w:rPr>
          <w:noProof/>
        </w:rPr>
        <w:t>Investointi 5.4 – Pääomanlisäys vihreän siirtymän rahastoon (GTF), jota hallinnoi CDP Venture Capital SGR</w:t>
      </w:r>
    </w:p>
    <w:p w14:paraId="60359F7B" w14:textId="77777777" w:rsidR="00E42B18" w:rsidRDefault="009629C4">
      <w:pPr>
        <w:pStyle w:val="P68B1DB1-Normal8"/>
        <w:spacing w:line="240" w:lineRule="auto"/>
        <w:jc w:val="both"/>
        <w:rPr>
          <w:noProof/>
        </w:rPr>
      </w:pPr>
      <w:r>
        <w:rPr>
          <w:noProof/>
        </w:rPr>
        <w:t xml:space="preserve">Tällä toimenpiteellä pyritään tukemaan Italian talouden kasvupotentiaalia kannustamalla yksityisiin investointeihin, parantamalla vihreään siirtymään osallistuvien startup-yritysten rahoituksen saantia ja kehittämällä tämän alan riskipääomamarkkinoita. Toimenpide koostuu 250000000 euron pääomasijoituksesta CDP Venture Capital SGR:n hallinnoimaan vihreän siirtymän rahastoon, jäljempänä ’GTF’. </w:t>
      </w:r>
    </w:p>
    <w:p w14:paraId="3DD3515B" w14:textId="61FA2EDF" w:rsidR="00E42B18" w:rsidRDefault="009629C4">
      <w:pPr>
        <w:pStyle w:val="P68B1DB1-LegalNumPar260"/>
        <w:numPr>
          <w:ilvl w:val="0"/>
          <w:numId w:val="0"/>
        </w:numPr>
        <w:spacing w:line="259" w:lineRule="auto"/>
        <w:jc w:val="both"/>
        <w:rPr>
          <w:noProof/>
        </w:rPr>
      </w:pPr>
      <w:r>
        <w:rPr>
          <w:noProof/>
        </w:rPr>
        <w:t>CDP Venture Capital SGR:n on noudatettava oman pääoman käyttöä koskevaa sijoituspolitiikkaa. Investointipolitiikkaan on sisällyttävä kuvaus rahoitustuotteesta (-tuotteista) niiden tukikelpoisten lopullisten edunsaajien odotetusta tyypistä, joita pääomasta odotetaan tuettavan, mukaan lukien odotettu 15 vuoden täytäntöönpanoaikataulu ja enintään 13 prosentin hallinnointipalkkio.</w:t>
      </w:r>
      <w:r>
        <w:rPr>
          <w:noProof/>
        </w:rPr>
        <w:footnoteReference w:id="32"/>
      </w:r>
      <w:r>
        <w:rPr>
          <w:noProof/>
        </w:rPr>
        <w:t xml:space="preserve"> GTF:n on toimittava tarjoamalla suoraan tai välillisesti oman pääoman ehtoista, oman pääoman luonteista, vieraan pääoman ehtoista tai vieraan pääoman luonteista tukea.</w:t>
      </w:r>
      <w:r>
        <w:rPr>
          <w:noProof/>
        </w:rPr>
        <w:footnoteReference w:id="33"/>
      </w:r>
      <w:r>
        <w:rPr>
          <w:noProof/>
        </w:rPr>
        <w:t xml:space="preserve"> CDP Venture Capital SGR:n on käytettävä oman pääoman käyttöä koskevissa ohjeissa ”Linee Guida per le attività di rendicontazione e controllo dei Fondi DTF e GTF” kuvattua tarkastus- ja valvontajärjestelmää. Sijoituspolitiikassa on edellytettävä, että oman pääoman ehtoiset rahoitustuotteet noudattavat ”ei merkittävää haittaa” -periaatetta, sellaisena kuin se on vahvistettu ”ei merkittävää haittaa” -periaatteen (2021/C58/01) mukaisesti. Erityisesti kun kyseessä on start-up-yritysten yleinen tuki, investointipolitiikan ulkopuolelle on jätettävä yritykset,</w:t>
      </w:r>
      <w:r>
        <w:rPr>
          <w:noProof/>
        </w:rPr>
        <w:footnoteReference w:id="34"/>
      </w:r>
      <w:r>
        <w:rPr>
          <w:noProof/>
        </w:rPr>
        <w:t xml:space="preserve"> jotka keskittyvät erityisesti seuraaviin aloihin: I) fossiilisiin polttoaineisiin perustuva energiantuotanto ja siihen liittyvä toiminta</w:t>
      </w:r>
      <w:r>
        <w:rPr>
          <w:noProof/>
        </w:rPr>
        <w:footnoteReference w:id="35"/>
      </w:r>
      <w:r>
        <w:rPr>
          <w:noProof/>
        </w:rPr>
        <w:t>; II) energiaintensiiviset ja/tai paljon hiilidioksidipäästöjä aiheuttavat teollisuudenalat</w:t>
      </w:r>
      <w:r>
        <w:rPr>
          <w:noProof/>
        </w:rPr>
        <w:footnoteReference w:id="36"/>
      </w:r>
      <w:r>
        <w:rPr>
          <w:noProof/>
        </w:rPr>
        <w:t>; III) saastuttavien ajoneuvojen tuotanto, vuokraus tai myynti</w:t>
      </w:r>
      <w:r>
        <w:rPr>
          <w:noProof/>
        </w:rPr>
        <w:footnoteReference w:id="37"/>
      </w:r>
      <w:r>
        <w:rPr>
          <w:noProof/>
        </w:rPr>
        <w:t>; IV) jätteiden keruu, käsittely ja</w:t>
      </w:r>
      <w:r>
        <w:rPr>
          <w:noProof/>
        </w:rPr>
        <w:footnoteReference w:id="38"/>
      </w:r>
      <w:r>
        <w:rPr>
          <w:noProof/>
        </w:rPr>
        <w:t>loppusijoitus, v) ydinpolttoaineen käsittely, ydinenergian tuotanto. Lisäksi investointipolitiikassa on edellytettävä asiaa koskevan EU:n ja kansallisen ympäristölainsäädännön noudattamista.</w:t>
      </w:r>
    </w:p>
    <w:p w14:paraId="23DD6B8B" w14:textId="77777777" w:rsidR="00E42B18" w:rsidRDefault="00E42B18">
      <w:pPr>
        <w:rPr>
          <w:rFonts w:ascii="Times New Roman" w:hAnsi="Times New Roman" w:cs="Times New Roman"/>
          <w:noProof/>
        </w:rPr>
      </w:pPr>
    </w:p>
    <w:p w14:paraId="59ADD51B" w14:textId="77777777" w:rsidR="00E42B18" w:rsidRDefault="00E42B18">
      <w:pPr>
        <w:rPr>
          <w:rFonts w:ascii="Times New Roman" w:hAnsi="Times New Roman" w:cs="Times New Roman"/>
          <w:noProof/>
        </w:rPr>
        <w:sectPr w:rsidR="00E42B18" w:rsidSect="00726CF9">
          <w:headerReference w:type="default" r:id="rId84"/>
          <w:footerReference w:type="default" r:id="rId85"/>
          <w:pgSz w:w="11906" w:h="16838"/>
          <w:pgMar w:top="1440" w:right="1440" w:bottom="1440" w:left="1440" w:header="708" w:footer="708" w:gutter="0"/>
          <w:cols w:space="708"/>
          <w:docGrid w:linePitch="360"/>
        </w:sectPr>
      </w:pPr>
    </w:p>
    <w:p w14:paraId="7CD55482" w14:textId="77777777" w:rsidR="00E42B18" w:rsidRDefault="009629C4">
      <w:pPr>
        <w:pStyle w:val="P68B1DB1-Heading39"/>
        <w:ind w:left="850" w:hanging="850"/>
        <w:rPr>
          <w:b/>
          <w:bCs/>
          <w:i/>
          <w:iCs/>
          <w:noProof/>
          <w:u w:val="single"/>
        </w:rPr>
      </w:pPr>
      <w:r>
        <w:rPr>
          <w:b/>
          <w:noProof/>
          <w:u w:val="single"/>
        </w:rPr>
        <w:t xml:space="preserve">E.2 </w:t>
      </w:r>
      <w:r>
        <w:rPr>
          <w:noProof/>
        </w:rPr>
        <w:t xml:space="preserve"> </w:t>
      </w:r>
      <w:r>
        <w:rPr>
          <w:b/>
          <w:noProof/>
          <w:u w:val="single"/>
        </w:rPr>
        <w:t>Seurantaa ja täytäntöönpanoa koskevat välitavoitteet, tavoitteet, indikaattorit ja aikataulu – rahoitustuki, jota ei makseta takaisin</w:t>
      </w:r>
    </w:p>
    <w:tbl>
      <w:tblPr>
        <w:tblW w:w="15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682"/>
        <w:gridCol w:w="1110"/>
        <w:gridCol w:w="1391"/>
        <w:gridCol w:w="1374"/>
        <w:gridCol w:w="1267"/>
        <w:gridCol w:w="1003"/>
        <w:gridCol w:w="1391"/>
        <w:gridCol w:w="975"/>
        <w:gridCol w:w="698"/>
        <w:gridCol w:w="3675"/>
      </w:tblGrid>
      <w:tr w:rsidR="00E42B18" w14:paraId="05895A6C" w14:textId="77777777">
        <w:trPr>
          <w:trHeight w:val="300"/>
          <w:tblHeader/>
          <w:jc w:val="center"/>
        </w:trPr>
        <w:tc>
          <w:tcPr>
            <w:tcW w:w="1101" w:type="dxa"/>
            <w:vMerge w:val="restart"/>
            <w:shd w:val="clear" w:color="auto" w:fill="BDD7EE"/>
            <w:noWrap/>
            <w:vAlign w:val="center"/>
          </w:tcPr>
          <w:p w14:paraId="1F17E80E" w14:textId="77777777" w:rsidR="00E42B18" w:rsidRDefault="009629C4">
            <w:pPr>
              <w:pStyle w:val="P68B1DB1-Normal10"/>
              <w:spacing w:line="276" w:lineRule="auto"/>
              <w:jc w:val="center"/>
              <w:rPr>
                <w:noProof/>
                <w:color w:val="006100"/>
                <w:szCs w:val="20"/>
              </w:rPr>
            </w:pPr>
            <w:r>
              <w:rPr>
                <w:noProof/>
              </w:rPr>
              <w:t>Juokseva numero</w:t>
            </w:r>
          </w:p>
        </w:tc>
        <w:tc>
          <w:tcPr>
            <w:tcW w:w="1682" w:type="dxa"/>
            <w:vMerge w:val="restart"/>
            <w:shd w:val="clear" w:color="auto" w:fill="BDD7EE"/>
            <w:noWrap/>
            <w:vAlign w:val="center"/>
          </w:tcPr>
          <w:p w14:paraId="732E190E" w14:textId="77777777" w:rsidR="00E42B18" w:rsidRDefault="009629C4">
            <w:pPr>
              <w:pStyle w:val="P68B1DB1-Normal10"/>
              <w:spacing w:line="276" w:lineRule="auto"/>
              <w:jc w:val="center"/>
              <w:rPr>
                <w:noProof/>
                <w:color w:val="006100"/>
                <w:szCs w:val="20"/>
              </w:rPr>
            </w:pPr>
            <w:r>
              <w:rPr>
                <w:noProof/>
              </w:rPr>
              <w:t>Toimenpide (uudistus tai investointi)</w:t>
            </w:r>
          </w:p>
        </w:tc>
        <w:tc>
          <w:tcPr>
            <w:tcW w:w="1110" w:type="dxa"/>
            <w:vMerge w:val="restart"/>
            <w:shd w:val="clear" w:color="auto" w:fill="BDD7EE"/>
            <w:noWrap/>
            <w:vAlign w:val="center"/>
          </w:tcPr>
          <w:p w14:paraId="4A842239" w14:textId="77777777" w:rsidR="00E42B18" w:rsidRDefault="009629C4">
            <w:pPr>
              <w:pStyle w:val="P68B1DB1-Normal10"/>
              <w:spacing w:line="276" w:lineRule="auto"/>
              <w:jc w:val="center"/>
              <w:rPr>
                <w:noProof/>
                <w:color w:val="006100"/>
                <w:szCs w:val="20"/>
              </w:rPr>
            </w:pPr>
            <w:r>
              <w:rPr>
                <w:noProof/>
              </w:rPr>
              <w:t>Välitavoite/tavoite</w:t>
            </w:r>
          </w:p>
        </w:tc>
        <w:tc>
          <w:tcPr>
            <w:tcW w:w="1391" w:type="dxa"/>
            <w:vMerge w:val="restart"/>
            <w:shd w:val="clear" w:color="auto" w:fill="BDD7EE"/>
            <w:noWrap/>
            <w:vAlign w:val="center"/>
          </w:tcPr>
          <w:p w14:paraId="4A21D387" w14:textId="77777777" w:rsidR="00E42B18" w:rsidRDefault="009629C4">
            <w:pPr>
              <w:pStyle w:val="P68B1DB1-Normal10"/>
              <w:spacing w:line="276" w:lineRule="auto"/>
              <w:jc w:val="center"/>
              <w:rPr>
                <w:noProof/>
                <w:color w:val="006100"/>
                <w:szCs w:val="20"/>
              </w:rPr>
            </w:pPr>
            <w:r>
              <w:rPr>
                <w:noProof/>
              </w:rPr>
              <w:t>Nimi</w:t>
            </w:r>
          </w:p>
        </w:tc>
        <w:tc>
          <w:tcPr>
            <w:tcW w:w="1374" w:type="dxa"/>
            <w:vMerge w:val="restart"/>
            <w:shd w:val="clear" w:color="auto" w:fill="BDD7EE"/>
            <w:noWrap/>
            <w:vAlign w:val="center"/>
          </w:tcPr>
          <w:p w14:paraId="0EBCAE53" w14:textId="77777777" w:rsidR="00E42B18" w:rsidRDefault="009629C4">
            <w:pPr>
              <w:spacing w:line="276" w:lineRule="auto"/>
              <w:jc w:val="center"/>
              <w:rPr>
                <w:rFonts w:ascii="Arial Narrow" w:hAnsi="Arial Narrow"/>
                <w:noProof/>
                <w:color w:val="006100"/>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661" w:type="dxa"/>
            <w:gridSpan w:val="3"/>
            <w:shd w:val="clear" w:color="auto" w:fill="BDD7EE"/>
            <w:noWrap/>
            <w:vAlign w:val="center"/>
          </w:tcPr>
          <w:p w14:paraId="7778562E" w14:textId="77777777" w:rsidR="00E42B18" w:rsidRDefault="009629C4">
            <w:pPr>
              <w:spacing w:line="276" w:lineRule="auto"/>
              <w:jc w:val="center"/>
              <w:rPr>
                <w:rFonts w:ascii="Arial Narrow" w:hAnsi="Arial Narrow"/>
                <w:noProof/>
                <w:color w:val="006100"/>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673" w:type="dxa"/>
            <w:gridSpan w:val="2"/>
            <w:shd w:val="clear" w:color="auto" w:fill="BDD7EE"/>
            <w:noWrap/>
            <w:vAlign w:val="center"/>
          </w:tcPr>
          <w:p w14:paraId="5E8F0D1C" w14:textId="77777777" w:rsidR="00E42B18" w:rsidRDefault="009629C4">
            <w:pPr>
              <w:pStyle w:val="P68B1DB1-Normal10"/>
              <w:spacing w:line="276" w:lineRule="auto"/>
              <w:jc w:val="center"/>
              <w:rPr>
                <w:noProof/>
                <w:color w:val="006100"/>
                <w:szCs w:val="20"/>
              </w:rPr>
            </w:pPr>
            <w:r>
              <w:rPr>
                <w:noProof/>
              </w:rPr>
              <w:t>Alustava toteutusaikataulu</w:t>
            </w:r>
          </w:p>
        </w:tc>
        <w:tc>
          <w:tcPr>
            <w:tcW w:w="3675" w:type="dxa"/>
            <w:vMerge w:val="restart"/>
            <w:shd w:val="clear" w:color="auto" w:fill="BDD7EE"/>
            <w:noWrap/>
            <w:vAlign w:val="center"/>
          </w:tcPr>
          <w:p w14:paraId="30F6C251" w14:textId="77777777" w:rsidR="00E42B18" w:rsidRDefault="009629C4">
            <w:pPr>
              <w:pStyle w:val="P68B1DB1-Normal10"/>
              <w:spacing w:after="120"/>
              <w:rPr>
                <w:noProof/>
                <w:color w:val="006100"/>
                <w:szCs w:val="20"/>
              </w:rPr>
            </w:pPr>
            <w:r>
              <w:rPr>
                <w:noProof/>
              </w:rPr>
              <w:t>Kunkin välitavoitteen ja tavoitteen kuvaus</w:t>
            </w:r>
          </w:p>
        </w:tc>
      </w:tr>
      <w:tr w:rsidR="00E42B18" w14:paraId="169065AF" w14:textId="77777777">
        <w:trPr>
          <w:trHeight w:val="300"/>
          <w:tblHeader/>
          <w:jc w:val="center"/>
        </w:trPr>
        <w:tc>
          <w:tcPr>
            <w:tcW w:w="1101" w:type="dxa"/>
            <w:vMerge/>
            <w:noWrap/>
            <w:vAlign w:val="center"/>
          </w:tcPr>
          <w:p w14:paraId="015E8F2B" w14:textId="77777777" w:rsidR="00E42B18" w:rsidRDefault="00E42B18">
            <w:pPr>
              <w:spacing w:line="276" w:lineRule="auto"/>
              <w:jc w:val="center"/>
              <w:rPr>
                <w:rFonts w:ascii="Arial Narrow" w:hAnsi="Arial Narrow"/>
                <w:noProof/>
                <w:color w:val="006100"/>
                <w:sz w:val="20"/>
                <w:szCs w:val="20"/>
              </w:rPr>
            </w:pPr>
          </w:p>
        </w:tc>
        <w:tc>
          <w:tcPr>
            <w:tcW w:w="1682" w:type="dxa"/>
            <w:vMerge/>
            <w:noWrap/>
            <w:vAlign w:val="center"/>
          </w:tcPr>
          <w:p w14:paraId="23A7255C" w14:textId="77777777" w:rsidR="00E42B18" w:rsidRDefault="00E42B18">
            <w:pPr>
              <w:spacing w:line="276" w:lineRule="auto"/>
              <w:jc w:val="center"/>
              <w:rPr>
                <w:rFonts w:ascii="Arial Narrow" w:hAnsi="Arial Narrow"/>
                <w:noProof/>
                <w:color w:val="006100"/>
                <w:sz w:val="20"/>
                <w:szCs w:val="20"/>
              </w:rPr>
            </w:pPr>
          </w:p>
        </w:tc>
        <w:tc>
          <w:tcPr>
            <w:tcW w:w="1110" w:type="dxa"/>
            <w:vMerge/>
            <w:noWrap/>
            <w:vAlign w:val="center"/>
          </w:tcPr>
          <w:p w14:paraId="5E5111DD" w14:textId="77777777" w:rsidR="00E42B18" w:rsidRDefault="00E42B18">
            <w:pPr>
              <w:spacing w:line="276" w:lineRule="auto"/>
              <w:jc w:val="center"/>
              <w:rPr>
                <w:rFonts w:ascii="Arial Narrow" w:hAnsi="Arial Narrow"/>
                <w:noProof/>
                <w:color w:val="006100"/>
                <w:sz w:val="20"/>
                <w:szCs w:val="20"/>
              </w:rPr>
            </w:pPr>
          </w:p>
        </w:tc>
        <w:tc>
          <w:tcPr>
            <w:tcW w:w="1391" w:type="dxa"/>
            <w:vMerge/>
            <w:noWrap/>
            <w:vAlign w:val="center"/>
          </w:tcPr>
          <w:p w14:paraId="67272FA6" w14:textId="77777777" w:rsidR="00E42B18" w:rsidRDefault="00E42B18">
            <w:pPr>
              <w:spacing w:line="276" w:lineRule="auto"/>
              <w:jc w:val="center"/>
              <w:rPr>
                <w:rFonts w:ascii="Arial Narrow" w:hAnsi="Arial Narrow"/>
                <w:noProof/>
                <w:color w:val="006100"/>
                <w:sz w:val="20"/>
                <w:szCs w:val="20"/>
              </w:rPr>
            </w:pPr>
          </w:p>
        </w:tc>
        <w:tc>
          <w:tcPr>
            <w:tcW w:w="1374" w:type="dxa"/>
            <w:vMerge/>
            <w:noWrap/>
            <w:vAlign w:val="center"/>
          </w:tcPr>
          <w:p w14:paraId="655BEC16" w14:textId="77777777" w:rsidR="00E42B18" w:rsidRDefault="00E42B18">
            <w:pPr>
              <w:spacing w:line="276" w:lineRule="auto"/>
              <w:jc w:val="center"/>
              <w:rPr>
                <w:rFonts w:ascii="Arial Narrow" w:hAnsi="Arial Narrow"/>
                <w:noProof/>
                <w:color w:val="006100"/>
                <w:sz w:val="20"/>
                <w:szCs w:val="20"/>
              </w:rPr>
            </w:pPr>
          </w:p>
        </w:tc>
        <w:tc>
          <w:tcPr>
            <w:tcW w:w="1267" w:type="dxa"/>
            <w:shd w:val="clear" w:color="auto" w:fill="BDD7EE"/>
            <w:noWrap/>
            <w:vAlign w:val="center"/>
          </w:tcPr>
          <w:p w14:paraId="127D00B4" w14:textId="77777777" w:rsidR="00E42B18" w:rsidRDefault="009629C4">
            <w:pPr>
              <w:pStyle w:val="P68B1DB1-Normal10"/>
              <w:spacing w:line="276" w:lineRule="auto"/>
              <w:jc w:val="center"/>
              <w:rPr>
                <w:noProof/>
                <w:color w:val="006100"/>
                <w:szCs w:val="20"/>
              </w:rPr>
            </w:pPr>
            <w:r>
              <w:rPr>
                <w:noProof/>
              </w:rPr>
              <w:t>Mitta-yksikkö</w:t>
            </w:r>
          </w:p>
        </w:tc>
        <w:tc>
          <w:tcPr>
            <w:tcW w:w="1003" w:type="dxa"/>
            <w:shd w:val="clear" w:color="auto" w:fill="BDD7EE"/>
            <w:noWrap/>
            <w:vAlign w:val="center"/>
          </w:tcPr>
          <w:p w14:paraId="6090C4C4" w14:textId="77777777" w:rsidR="00E42B18" w:rsidRDefault="009629C4">
            <w:pPr>
              <w:pStyle w:val="P68B1DB1-Normal10"/>
              <w:spacing w:line="276" w:lineRule="auto"/>
              <w:jc w:val="center"/>
              <w:rPr>
                <w:noProof/>
                <w:color w:val="006100"/>
                <w:szCs w:val="20"/>
              </w:rPr>
            </w:pPr>
            <w:r>
              <w:rPr>
                <w:noProof/>
              </w:rPr>
              <w:t>Lähtötilanne</w:t>
            </w:r>
          </w:p>
        </w:tc>
        <w:tc>
          <w:tcPr>
            <w:tcW w:w="1391" w:type="dxa"/>
            <w:shd w:val="clear" w:color="auto" w:fill="BDD7EE"/>
            <w:noWrap/>
            <w:vAlign w:val="center"/>
          </w:tcPr>
          <w:p w14:paraId="2CD98911" w14:textId="77777777" w:rsidR="00E42B18" w:rsidRDefault="009629C4">
            <w:pPr>
              <w:pStyle w:val="P68B1DB1-Normal10"/>
              <w:spacing w:line="276" w:lineRule="auto"/>
              <w:jc w:val="center"/>
              <w:rPr>
                <w:noProof/>
                <w:color w:val="006100"/>
                <w:szCs w:val="20"/>
              </w:rPr>
            </w:pPr>
            <w:r>
              <w:rPr>
                <w:noProof/>
              </w:rPr>
              <w:t>Päämäärä</w:t>
            </w:r>
          </w:p>
        </w:tc>
        <w:tc>
          <w:tcPr>
            <w:tcW w:w="975" w:type="dxa"/>
            <w:shd w:val="clear" w:color="auto" w:fill="BDD7EE"/>
            <w:noWrap/>
            <w:vAlign w:val="center"/>
          </w:tcPr>
          <w:p w14:paraId="306C204D" w14:textId="77777777" w:rsidR="00E42B18" w:rsidRDefault="009629C4">
            <w:pPr>
              <w:pStyle w:val="P68B1DB1-Normal10"/>
              <w:spacing w:line="276" w:lineRule="auto"/>
              <w:jc w:val="center"/>
              <w:rPr>
                <w:noProof/>
                <w:color w:val="006100"/>
                <w:szCs w:val="20"/>
              </w:rPr>
            </w:pPr>
            <w:r>
              <w:rPr>
                <w:noProof/>
              </w:rPr>
              <w:t>Neljännes</w:t>
            </w:r>
          </w:p>
        </w:tc>
        <w:tc>
          <w:tcPr>
            <w:tcW w:w="698" w:type="dxa"/>
            <w:shd w:val="clear" w:color="auto" w:fill="BDD7EE"/>
            <w:noWrap/>
            <w:vAlign w:val="center"/>
          </w:tcPr>
          <w:p w14:paraId="3F1FFC9E" w14:textId="77777777" w:rsidR="00E42B18" w:rsidRDefault="009629C4">
            <w:pPr>
              <w:pStyle w:val="P68B1DB1-Normal10"/>
              <w:spacing w:line="276" w:lineRule="auto"/>
              <w:jc w:val="center"/>
              <w:rPr>
                <w:noProof/>
                <w:color w:val="006100"/>
                <w:szCs w:val="20"/>
              </w:rPr>
            </w:pPr>
            <w:r>
              <w:rPr>
                <w:noProof/>
              </w:rPr>
              <w:t>Vuosi</w:t>
            </w:r>
          </w:p>
        </w:tc>
        <w:tc>
          <w:tcPr>
            <w:tcW w:w="3675" w:type="dxa"/>
            <w:vMerge/>
            <w:noWrap/>
            <w:vAlign w:val="center"/>
          </w:tcPr>
          <w:p w14:paraId="492B20A6" w14:textId="77777777" w:rsidR="00E42B18" w:rsidRDefault="00E42B18">
            <w:pPr>
              <w:spacing w:after="120"/>
              <w:rPr>
                <w:rFonts w:ascii="Arial Narrow" w:hAnsi="Arial Narrow"/>
                <w:noProof/>
                <w:color w:val="006100"/>
                <w:sz w:val="20"/>
                <w:szCs w:val="20"/>
              </w:rPr>
            </w:pPr>
          </w:p>
        </w:tc>
      </w:tr>
      <w:tr w:rsidR="00E42B18" w14:paraId="6659BBB6"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99BB33" w14:textId="77777777" w:rsidR="00E42B18" w:rsidRDefault="009629C4">
            <w:pPr>
              <w:pStyle w:val="P68B1DB1-Normal11"/>
              <w:spacing w:line="276" w:lineRule="auto"/>
              <w:jc w:val="center"/>
              <w:rPr>
                <w:noProof/>
                <w:szCs w:val="20"/>
              </w:rPr>
            </w:pPr>
            <w:r>
              <w:rPr>
                <w:noProof/>
              </w:rPr>
              <w:t>M2C2–6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AF5816" w14:textId="77777777" w:rsidR="00E42B18" w:rsidRDefault="009629C4">
            <w:pPr>
              <w:pStyle w:val="P68B1DB1-Normal11"/>
              <w:spacing w:line="276" w:lineRule="auto"/>
              <w:jc w:val="center"/>
              <w:rPr>
                <w:noProof/>
                <w:szCs w:val="20"/>
              </w:rPr>
            </w:pPr>
            <w:r>
              <w:rPr>
                <w:noProof/>
              </w:rPr>
              <w:t>Uudistus 1 Maalla ja merellä sijaitsevien uusiutuvan energian tuotantolaitosten lupamenettelyjen yksinkertaistaminen ja uusi oikeudellinen kehys uusiutuvista lähteistä peräisin olevan tuotannon ylläpitämiseksi sekä nykyisten tukijärjestelmien ajan ja tukikelpoisuuden jatkaminen</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D3258D"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458E1" w14:textId="77777777" w:rsidR="00E42B18" w:rsidRDefault="009629C4">
            <w:pPr>
              <w:pStyle w:val="P68B1DB1-Normal11"/>
              <w:spacing w:line="276" w:lineRule="auto"/>
              <w:jc w:val="center"/>
              <w:rPr>
                <w:noProof/>
                <w:szCs w:val="20"/>
              </w:rPr>
            </w:pPr>
            <w:r>
              <w:rPr>
                <w:noProof/>
              </w:rPr>
              <w:t>Maalla ja merellä tuotettavan uusiutuvan energian rakenteiden rakentamista koskevien lupamenettelyjen yksinkertaistamista koskevan oikeudellisen kehyksen voimaantulo</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E29497" w14:textId="77777777" w:rsidR="00E42B18" w:rsidRDefault="009629C4">
            <w:pPr>
              <w:pStyle w:val="P68B1DB1-Normal11"/>
              <w:spacing w:line="276" w:lineRule="auto"/>
              <w:jc w:val="center"/>
              <w:rPr>
                <w:noProof/>
                <w:szCs w:val="20"/>
              </w:rPr>
            </w:pPr>
            <w:r>
              <w:rPr>
                <w:noProof/>
              </w:rPr>
              <w:t>Lain voimaantuloa koskeva säännös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B5193"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563D1"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34CF3"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BE237" w14:textId="77777777" w:rsidR="00E42B18" w:rsidRDefault="009629C4">
            <w:pPr>
              <w:pStyle w:val="P68B1DB1-Normal11"/>
              <w:spacing w:line="276" w:lineRule="auto"/>
              <w:jc w:val="center"/>
              <w:rPr>
                <w:noProof/>
                <w:szCs w:val="20"/>
              </w:rPr>
            </w:pPr>
            <w:r>
              <w:rPr>
                <w:noProof/>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022CF3" w14:textId="77777777" w:rsidR="00E42B18" w:rsidRDefault="009629C4">
            <w:pPr>
              <w:pStyle w:val="P68B1DB1-Normal11"/>
              <w:spacing w:line="276" w:lineRule="auto"/>
              <w:jc w:val="center"/>
              <w:rPr>
                <w:noProof/>
                <w:szCs w:val="20"/>
              </w:rPr>
            </w:pPr>
            <w:r>
              <w:rPr>
                <w:noProof/>
              </w:rPr>
              <w:t>2024</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33F5E" w14:textId="77777777" w:rsidR="00E42B18" w:rsidRDefault="009629C4">
            <w:pPr>
              <w:pStyle w:val="P68B1DB1-Normal11"/>
              <w:spacing w:after="120"/>
              <w:rPr>
                <w:noProof/>
                <w:szCs w:val="20"/>
              </w:rPr>
            </w:pPr>
            <w:r>
              <w:rPr>
                <w:noProof/>
              </w:rPr>
              <w:t>Oikeudellisen kehyksen on sisällettävä seuraavat tavoitteet:</w:t>
            </w:r>
          </w:p>
          <w:p w14:paraId="3422D1DD" w14:textId="77777777" w:rsidR="00E42B18" w:rsidRDefault="009629C4">
            <w:pPr>
              <w:pStyle w:val="P68B1DB1-Normal11"/>
              <w:numPr>
                <w:ilvl w:val="0"/>
                <w:numId w:val="28"/>
              </w:numPr>
              <w:pBdr>
                <w:top w:val="nil"/>
                <w:left w:val="nil"/>
                <w:bottom w:val="nil"/>
                <w:right w:val="nil"/>
                <w:between w:val="nil"/>
              </w:pBdr>
              <w:spacing w:after="120" w:line="240" w:lineRule="auto"/>
              <w:rPr>
                <w:noProof/>
                <w:szCs w:val="20"/>
              </w:rPr>
            </w:pPr>
            <w:r>
              <w:rPr>
                <w:noProof/>
              </w:rPr>
              <w:t>uusiutuvia energialähteitä käyttävien laitosten yksinkertaistamistoimenpiteiden voimaantulo sekä olemassa olevien laitosten päivittäminen ja uudistaminen 17 päivänä heinäkuuta 2020 annetun asetuksen nro 76, jäljempänä ’yksinkertaistamisasetus’, säännösten mukaisesti;</w:t>
            </w:r>
          </w:p>
          <w:p w14:paraId="36D9E786" w14:textId="5768A3EC" w:rsidR="00E42B18" w:rsidRDefault="009629C4">
            <w:pPr>
              <w:pStyle w:val="P68B1DB1-Normal11"/>
              <w:numPr>
                <w:ilvl w:val="0"/>
                <w:numId w:val="28"/>
              </w:numPr>
              <w:pBdr>
                <w:top w:val="nil"/>
                <w:left w:val="nil"/>
                <w:bottom w:val="nil"/>
                <w:right w:val="nil"/>
                <w:between w:val="nil"/>
              </w:pBdr>
              <w:spacing w:after="120" w:line="240" w:lineRule="auto"/>
              <w:rPr>
                <w:noProof/>
                <w:szCs w:val="20"/>
              </w:rPr>
            </w:pPr>
            <w:r>
              <w:rPr>
                <w:noProof/>
              </w:rPr>
              <w:t>alueiden ja muiden asianomaisten valtionhallintojen kanssa sovittu asetus, jonka tarkoituksena on määritellä kriteerit niiden alueiden määrittämiseksi, jotka soveltuvat ja jotka eivät sovellu uusiutuvan energian tuotantolaitosten asentamiseen vähintään 73 gigawatin lisätuotantokapasiteetille, PNIEC:n ajantasaistetun version mukaisesti uusiutuvien energialähteiden kehittämistä koskevien tavoitteiden saavuttamiseksi;</w:t>
            </w:r>
          </w:p>
          <w:p w14:paraId="6093CA28" w14:textId="77777777" w:rsidR="00E42B18" w:rsidRDefault="009629C4">
            <w:pPr>
              <w:pStyle w:val="P68B1DB1-Normal11"/>
              <w:numPr>
                <w:ilvl w:val="0"/>
                <w:numId w:val="28"/>
              </w:numPr>
              <w:pBdr>
                <w:top w:val="nil"/>
                <w:left w:val="nil"/>
                <w:bottom w:val="nil"/>
                <w:right w:val="nil"/>
                <w:between w:val="nil"/>
              </w:pBdr>
              <w:spacing w:after="120" w:line="240" w:lineRule="auto"/>
              <w:rPr>
                <w:noProof/>
                <w:szCs w:val="20"/>
              </w:rPr>
            </w:pPr>
            <w:r>
              <w:rPr>
                <w:noProof/>
              </w:rPr>
              <w:t>uusiutuvien energialähteiden tukimekanismin loppuun saattaminen myös sellaisten uusien teknologioiden osalta, jotka eivät ole kypsyneet tai joiden toimintakustannukset ovat korkeat, ja niin sanotun RES1-mekanismin huutokaupan keston pidentäminen säilyttäen samalla kilpailukykyisen pääsyn periaate;</w:t>
            </w:r>
          </w:p>
          <w:p w14:paraId="20BF4F81" w14:textId="77777777" w:rsidR="00E42B18" w:rsidRDefault="009629C4">
            <w:pPr>
              <w:pStyle w:val="P68B1DB1-Normal11"/>
              <w:numPr>
                <w:ilvl w:val="0"/>
                <w:numId w:val="28"/>
              </w:numPr>
              <w:pBdr>
                <w:top w:val="nil"/>
                <w:left w:val="nil"/>
                <w:bottom w:val="nil"/>
                <w:right w:val="nil"/>
                <w:between w:val="nil"/>
              </w:pBdr>
              <w:spacing w:after="120" w:line="240" w:lineRule="auto"/>
              <w:rPr>
                <w:noProof/>
                <w:szCs w:val="20"/>
              </w:rPr>
            </w:pPr>
            <w:r>
              <w:rPr>
                <w:noProof/>
              </w:rPr>
              <w:t>varastointijärjestelmiin tehtävien investointien edistämistä koskevat säännökset, jotka sisältyvät asetukseen sähkön sisämarkkinoita koskevista yhteisistä säännöistä annetun direktiivin (EU) 2019/944 saattamisesta osaksi kansallista lainsäädäntöä.</w:t>
            </w:r>
          </w:p>
        </w:tc>
      </w:tr>
      <w:tr w:rsidR="00E42B18" w14:paraId="61C4764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329A2" w14:textId="77777777" w:rsidR="00E42B18" w:rsidRDefault="009629C4">
            <w:pPr>
              <w:pStyle w:val="P68B1DB1-Normal11"/>
              <w:spacing w:line="276" w:lineRule="auto"/>
              <w:jc w:val="center"/>
              <w:rPr>
                <w:noProof/>
                <w:szCs w:val="20"/>
              </w:rPr>
            </w:pPr>
            <w:r>
              <w:rPr>
                <w:noProof/>
              </w:rPr>
              <w:t>M2C2–7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E0F0A4" w14:textId="77777777" w:rsidR="00E42B18" w:rsidRDefault="009629C4">
            <w:pPr>
              <w:pStyle w:val="P68B1DB1-Normal11"/>
              <w:spacing w:line="276" w:lineRule="auto"/>
              <w:jc w:val="center"/>
              <w:rPr>
                <w:noProof/>
                <w:szCs w:val="20"/>
              </w:rPr>
            </w:pPr>
            <w:r>
              <w:rPr>
                <w:noProof/>
              </w:rPr>
              <w:t>Uudistus 2 Uusi lainsäädäntö uusiutuvan kaasun tuotannon ja kulutuksen edistämiseksi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7C6D4F"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7A7692" w14:textId="77777777" w:rsidR="00E42B18" w:rsidRDefault="009629C4">
            <w:pPr>
              <w:pStyle w:val="P68B1DB1-Normal11"/>
              <w:spacing w:line="276" w:lineRule="auto"/>
              <w:jc w:val="center"/>
              <w:rPr>
                <w:noProof/>
                <w:szCs w:val="20"/>
              </w:rPr>
            </w:pPr>
            <w:r>
              <w:rPr>
                <w:noProof/>
              </w:rPr>
              <w:t>Voimaan tulee asetus, jolla edistetään uusiutuvan kaasun käyttöä biometaanin käytössä liikenteessä, teollisuudessa ja kotitalouksissa, sekä täytäntöönpanoasetus, jossa vahvistetaan sen käyttöä koskevat ehdot ja perusteet sekä uusi kannustinjärjestelmä.</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239714" w14:textId="77777777" w:rsidR="00E42B18" w:rsidRDefault="009629C4">
            <w:pPr>
              <w:pStyle w:val="P68B1DB1-Normal11"/>
              <w:spacing w:line="276" w:lineRule="auto"/>
              <w:jc w:val="center"/>
              <w:rPr>
                <w:noProof/>
                <w:szCs w:val="20"/>
              </w:rPr>
            </w:pPr>
            <w:r>
              <w:rPr>
                <w:noProof/>
              </w:rPr>
              <w:t xml:space="preserve">Lain voimaantuloa koskeva säännös </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7C484" w14:textId="77777777" w:rsidR="00E42B18" w:rsidRDefault="009629C4">
            <w:pPr>
              <w:pStyle w:val="P68B1DB1-Normal11"/>
              <w:spacing w:line="276" w:lineRule="auto"/>
              <w:jc w:val="center"/>
              <w:rPr>
                <w:noProof/>
                <w:szCs w:val="20"/>
              </w:rPr>
            </w:pPr>
            <w:r>
              <w:rPr>
                <w:noProof/>
              </w:rPr>
              <w:t xml:space="preserve">EI OLE </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AC52A"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9A7B21"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72748A" w14:textId="77777777" w:rsidR="00E42B18" w:rsidRDefault="009629C4">
            <w:pPr>
              <w:pStyle w:val="P68B1DB1-Normal11"/>
              <w:spacing w:line="276" w:lineRule="auto"/>
              <w:jc w:val="center"/>
              <w:rPr>
                <w:noProof/>
                <w:szCs w:val="20"/>
              </w:rPr>
            </w:pPr>
            <w:r>
              <w:rPr>
                <w:noProof/>
              </w:rPr>
              <w:t>Q4</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D8A8E" w14:textId="77777777" w:rsidR="00E42B18" w:rsidRDefault="009629C4">
            <w:pPr>
              <w:pStyle w:val="P68B1DB1-Normal11"/>
              <w:spacing w:line="276" w:lineRule="auto"/>
              <w:jc w:val="center"/>
              <w:rPr>
                <w:noProof/>
                <w:szCs w:val="20"/>
              </w:rPr>
            </w:pPr>
            <w:r>
              <w:rPr>
                <w:noProof/>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93AD0" w14:textId="77777777" w:rsidR="00E42B18" w:rsidRDefault="009629C4">
            <w:pPr>
              <w:pStyle w:val="P68B1DB1-Normal11"/>
              <w:spacing w:after="120"/>
              <w:rPr>
                <w:noProof/>
                <w:szCs w:val="20"/>
              </w:rPr>
            </w:pPr>
            <w:r>
              <w:rPr>
                <w:noProof/>
              </w:rPr>
              <w:t>Asetuksessa säädetään erityisesti:</w:t>
            </w:r>
          </w:p>
          <w:p w14:paraId="6981ED24" w14:textId="77777777" w:rsidR="00E42B18" w:rsidRDefault="009629C4">
            <w:pPr>
              <w:pStyle w:val="P68B1DB1-Normal11"/>
              <w:spacing w:after="120"/>
              <w:rPr>
                <w:noProof/>
                <w:szCs w:val="20"/>
              </w:rPr>
            </w:pPr>
            <w:r>
              <w:rPr>
                <w:noProof/>
              </w:rPr>
              <w:t>1 – Lainsäädäntömuutos, joka koskee yksinkertaistettua lupamenettelyä ja nykyisen avustusmekanismin muuttamista, jotta voidaan i) laajentaa tukikelpoisuutta ja ii) pidentää avustusten saatavuusaikaa ja iii) säätää syöttötariffimekanismista ja uusiutuvan kaasun alkuperätakuusta</w:t>
            </w:r>
          </w:p>
          <w:p w14:paraId="38736508" w14:textId="77777777" w:rsidR="00E42B18" w:rsidRDefault="009629C4">
            <w:pPr>
              <w:pStyle w:val="P68B1DB1-Normal11"/>
              <w:spacing w:after="120"/>
              <w:rPr>
                <w:noProof/>
                <w:szCs w:val="20"/>
              </w:rPr>
            </w:pPr>
            <w:r>
              <w:rPr>
                <w:noProof/>
              </w:rPr>
              <w:t xml:space="preserve">2 – RED II -direktiivin saattaminen osaksi kansallista lainsäädäntöä asetuksella </w:t>
            </w:r>
          </w:p>
          <w:p w14:paraId="3DF7AD69" w14:textId="77777777" w:rsidR="00E42B18" w:rsidRDefault="009629C4">
            <w:pPr>
              <w:pStyle w:val="P68B1DB1-Normal11"/>
              <w:spacing w:after="120"/>
              <w:rPr>
                <w:noProof/>
                <w:szCs w:val="20"/>
              </w:rPr>
            </w:pPr>
            <w:r>
              <w:rPr>
                <w:noProof/>
              </w:rPr>
              <w:t>3 – Yleisen koordinoinnin toteuttaa Ministero della Transizione Ecologica (MiTE) muiden neuvoa-antavien hallintojen tuella: Maatalousministeriö (MIPAAF), talous- ja valtiovarainministeriö (MEF) ja Gestore Servizi Energetici.</w:t>
            </w:r>
          </w:p>
        </w:tc>
      </w:tr>
      <w:tr w:rsidR="00E42B18" w14:paraId="3A1D46E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95EAD" w14:textId="77777777" w:rsidR="00E42B18" w:rsidRDefault="009629C4">
            <w:pPr>
              <w:pStyle w:val="P68B1DB1-Normal11"/>
              <w:spacing w:line="276" w:lineRule="auto"/>
              <w:jc w:val="center"/>
              <w:rPr>
                <w:noProof/>
                <w:szCs w:val="20"/>
              </w:rPr>
            </w:pPr>
            <w:r>
              <w:rPr>
                <w:noProof/>
              </w:rPr>
              <w:t>M2C2–8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B1DC21" w14:textId="77777777" w:rsidR="00E42B18" w:rsidRDefault="009629C4">
            <w:pPr>
              <w:pStyle w:val="P68B1DB1-Normal11"/>
              <w:spacing w:line="276" w:lineRule="auto"/>
              <w:jc w:val="center"/>
              <w:rPr>
                <w:noProof/>
                <w:szCs w:val="20"/>
              </w:rPr>
            </w:pPr>
            <w:r>
              <w:rPr>
                <w:noProof/>
              </w:rPr>
              <w:t>Investointi 2.1 Älykkään verkon vahvistaminen</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6AA31"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BE939" w14:textId="77777777" w:rsidR="00E42B18" w:rsidRDefault="009629C4">
            <w:pPr>
              <w:pStyle w:val="P68B1DB1-Normal11"/>
              <w:spacing w:line="276" w:lineRule="auto"/>
              <w:jc w:val="center"/>
              <w:rPr>
                <w:noProof/>
                <w:szCs w:val="20"/>
              </w:rPr>
            </w:pPr>
            <w:r>
              <w:rPr>
                <w:noProof/>
              </w:rPr>
              <w:t>(Kaikkien) verkkokapasiteetin lisäämistä koskevien julkisten hankintasopimusten tekeminen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F1E39" w14:textId="77777777" w:rsidR="00E42B18" w:rsidRDefault="009629C4">
            <w:pPr>
              <w:pStyle w:val="P68B1DB1-Normal11"/>
              <w:spacing w:line="276" w:lineRule="auto"/>
              <w:jc w:val="center"/>
              <w:rPr>
                <w:noProof/>
                <w:szCs w:val="20"/>
              </w:rPr>
            </w:pPr>
            <w:r>
              <w:rPr>
                <w:noProof/>
              </w:rPr>
              <w:t>Ilmoitus (kaikkien) julkisia hankintoja koskevien sopimusten tekemisestä</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76DE9"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07190"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518D22"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A039CE" w14:textId="77777777" w:rsidR="00E42B18" w:rsidRDefault="009629C4">
            <w:pPr>
              <w:pStyle w:val="P68B1DB1-Normal11"/>
              <w:spacing w:line="276" w:lineRule="auto"/>
              <w:jc w:val="center"/>
              <w:rPr>
                <w:noProof/>
                <w:szCs w:val="20"/>
              </w:rPr>
            </w:pPr>
            <w:r>
              <w:rPr>
                <w:noProof/>
              </w:rPr>
              <w:t>Q4</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64F67" w14:textId="77777777" w:rsidR="00E42B18" w:rsidRDefault="009629C4">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B10BC5" w14:textId="77777777" w:rsidR="00E42B18" w:rsidRDefault="009629C4">
            <w:pPr>
              <w:pStyle w:val="P68B1DB1-Normal11"/>
              <w:spacing w:after="120"/>
              <w:rPr>
                <w:noProof/>
                <w:szCs w:val="20"/>
              </w:rPr>
            </w:pPr>
            <w:r>
              <w:rPr>
                <w:noProof/>
              </w:rPr>
              <w:t>Ilmoitus (kaikkien) hankintasopimusten tekemisestä uusiutuvan energian jakeluverkon kapasiteetin lisäämiseksi ja energiankulutuksen sähköistämiseksi</w:t>
            </w:r>
          </w:p>
        </w:tc>
      </w:tr>
      <w:tr w:rsidR="00E42B18" w14:paraId="7931691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5E12D6" w14:textId="5672A7EB" w:rsidR="00E42B18" w:rsidRDefault="009629C4">
            <w:pPr>
              <w:pStyle w:val="P68B1DB1-Normal11"/>
              <w:spacing w:line="276" w:lineRule="auto"/>
              <w:jc w:val="center"/>
              <w:rPr>
                <w:noProof/>
              </w:rPr>
            </w:pPr>
            <w:r>
              <w:rPr>
                <w:noProof/>
              </w:rPr>
              <w:t>M2C2–10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0559DD" w14:textId="07A0D11E" w:rsidR="00E42B18" w:rsidRDefault="009629C4">
            <w:pPr>
              <w:pStyle w:val="P68B1DB1-Normal11"/>
              <w:spacing w:line="276" w:lineRule="auto"/>
              <w:jc w:val="center"/>
              <w:rPr>
                <w:noProof/>
              </w:rPr>
            </w:pPr>
            <w:r>
              <w:rPr>
                <w:noProof/>
              </w:rPr>
              <w:t>Investointi 2.1 Älykkään verkon vahvistaminen</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516A7" w14:textId="3F833135" w:rsidR="00E42B18" w:rsidRDefault="009629C4">
            <w:pPr>
              <w:pStyle w:val="P68B1DB1-Normal11"/>
              <w:spacing w:line="276" w:lineRule="auto"/>
              <w:jc w:val="center"/>
              <w:rPr>
                <w:noProof/>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2D451" w14:textId="270398C5" w:rsidR="00E42B18" w:rsidRDefault="009629C4">
            <w:pPr>
              <w:pStyle w:val="P68B1DB1-Normal11"/>
              <w:spacing w:line="276" w:lineRule="auto"/>
              <w:jc w:val="center"/>
              <w:rPr>
                <w:noProof/>
              </w:rPr>
            </w:pPr>
            <w:r>
              <w:rPr>
                <w:noProof/>
              </w:rPr>
              <w:t>Älykkäät verkot – Verkkokapasiteetin lisääminen ja energiankulutuksen sähköistäminen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A80FF3" w14:textId="5008813A" w:rsidR="00E42B18" w:rsidRDefault="009629C4">
            <w:pPr>
              <w:pStyle w:val="P68B1DB1-Normal11"/>
              <w:spacing w:line="276" w:lineRule="auto"/>
              <w:jc w:val="center"/>
              <w:rPr>
                <w:noProof/>
              </w:rPr>
            </w:pPr>
            <w:r>
              <w:rPr>
                <w:noProof/>
              </w:rPr>
              <w:t>Asennustodistukset tai testausselosteet</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78C61B" w14:textId="77777777" w:rsidR="00E42B18" w:rsidRDefault="00E42B18">
            <w:pPr>
              <w:spacing w:line="276" w:lineRule="auto"/>
              <w:jc w:val="center"/>
              <w:rPr>
                <w:rFonts w:ascii="Arial Narrow" w:hAnsi="Arial Narrow"/>
                <w:noProof/>
                <w:color w:val="006100"/>
                <w:sz w:val="20"/>
              </w:rPr>
            </w:pP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B1B4" w14:textId="77777777" w:rsidR="00E42B18" w:rsidRDefault="00E42B18">
            <w:pPr>
              <w:spacing w:line="276" w:lineRule="auto"/>
              <w:jc w:val="center"/>
              <w:rPr>
                <w:rFonts w:ascii="Arial Narrow" w:hAnsi="Arial Narrow"/>
                <w:noProof/>
                <w:color w:val="006100"/>
                <w:sz w:val="20"/>
              </w:rPr>
            </w:pP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23391" w14:textId="77777777" w:rsidR="00E42B18" w:rsidRDefault="00E42B18">
            <w:pPr>
              <w:spacing w:line="276" w:lineRule="auto"/>
              <w:jc w:val="center"/>
              <w:rPr>
                <w:rFonts w:ascii="Arial Narrow" w:hAnsi="Arial Narrow"/>
                <w:noProof/>
                <w:color w:val="006100"/>
                <w:sz w:val="20"/>
              </w:rPr>
            </w:pP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0E7BD" w14:textId="715268BB" w:rsidR="00E42B18" w:rsidRDefault="009629C4">
            <w:pPr>
              <w:pStyle w:val="P68B1DB1-Normal11"/>
              <w:spacing w:line="276" w:lineRule="auto"/>
              <w:jc w:val="center"/>
              <w:rPr>
                <w:noProof/>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F721FE" w14:textId="0188C5E6" w:rsidR="00E42B18" w:rsidRDefault="009629C4">
            <w:pPr>
              <w:pStyle w:val="P68B1DB1-Normal11"/>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CB4AF" w14:textId="77777777" w:rsidR="00E42B18" w:rsidRDefault="009629C4">
            <w:pPr>
              <w:pStyle w:val="P68B1DB1-Normal12"/>
              <w:rPr>
                <w:noProof/>
              </w:rPr>
            </w:pPr>
            <w:r>
              <w:rPr>
                <w:noProof/>
              </w:rPr>
              <w:t>Tukitoimia varten annetut asennustodistukset tai hyväksymistestiraportit, joiden tuloksena on</w:t>
            </w:r>
          </w:p>
          <w:p w14:paraId="234C9D41" w14:textId="77777777" w:rsidR="00E42B18" w:rsidRDefault="009629C4">
            <w:pPr>
              <w:pStyle w:val="P68B1DB1-Normal21"/>
              <w:rPr>
                <w:rFonts w:ascii="Arial Narrow" w:hAnsi="Arial Narrow"/>
                <w:noProof/>
              </w:rPr>
            </w:pPr>
            <w:r>
              <w:rPr>
                <w:rFonts w:ascii="Arial Narrow"/>
                <w:noProof/>
              </w:rPr>
              <w:t xml:space="preserve">verkon </w:t>
            </w:r>
            <w:r>
              <w:rPr>
                <w:rFonts w:ascii="Arial Narrow" w:hAnsi="Arial Narrow"/>
                <w:noProof/>
                <w:szCs w:val="20"/>
              </w:rPr>
              <w:t>isännöintikapasiteetin lisääminen</w:t>
            </w:r>
            <w:r>
              <w:rPr>
                <w:rFonts w:ascii="Arial Narrow"/>
                <w:noProof/>
              </w:rPr>
              <w:t>v</w:t>
            </w:r>
            <w:r>
              <w:rPr>
                <w:rFonts w:ascii="Arial Narrow"/>
                <w:noProof/>
              </w:rPr>
              <w:t>ä</w:t>
            </w:r>
            <w:r>
              <w:rPr>
                <w:rFonts w:ascii="Arial Narrow"/>
                <w:noProof/>
              </w:rPr>
              <w:t>hint</w:t>
            </w:r>
            <w:r>
              <w:rPr>
                <w:rFonts w:ascii="Arial Narrow"/>
                <w:noProof/>
              </w:rPr>
              <w:t>ää</w:t>
            </w:r>
            <w:r>
              <w:rPr>
                <w:rFonts w:ascii="Arial Narrow"/>
                <w:noProof/>
              </w:rPr>
              <w:t>n 4</w:t>
            </w:r>
            <w:r>
              <w:rPr>
                <w:rFonts w:ascii="Arial Narrow"/>
                <w:noProof/>
              </w:rPr>
              <w:t> </w:t>
            </w:r>
            <w:r>
              <w:rPr>
                <w:rFonts w:ascii="Arial Narrow"/>
                <w:noProof/>
              </w:rPr>
              <w:t>000</w:t>
            </w:r>
            <w:r>
              <w:rPr>
                <w:rFonts w:ascii="Arial Narrow"/>
                <w:noProof/>
              </w:rPr>
              <w:t> </w:t>
            </w:r>
            <w:r>
              <w:rPr>
                <w:rFonts w:ascii="Arial Narrow"/>
                <w:noProof/>
              </w:rPr>
              <w:t>MW:lla yhden tai useamman riippumattoman insin</w:t>
            </w:r>
            <w:r>
              <w:rPr>
                <w:rFonts w:ascii="Arial Narrow"/>
                <w:noProof/>
              </w:rPr>
              <w:t>öö</w:t>
            </w:r>
            <w:r>
              <w:rPr>
                <w:rFonts w:ascii="Arial Narrow"/>
                <w:noProof/>
              </w:rPr>
              <w:t>rin raportin mukaisesti,</w:t>
            </w:r>
          </w:p>
          <w:p w14:paraId="59DFC911" w14:textId="5C32ABF3" w:rsidR="00E42B18" w:rsidRDefault="009629C4">
            <w:pPr>
              <w:pStyle w:val="P68B1DB1-Normal11"/>
              <w:spacing w:after="120"/>
              <w:rPr>
                <w:noProof/>
              </w:rPr>
            </w:pPr>
            <w:r>
              <w:rPr>
                <w:noProof/>
              </w:rPr>
              <w:t>—verkossa kulutettavaksi toimitettavan enimmäistehon lisäys toimituspisteissä, jotka vastaavat vähintään 1500000 asukasta yhden tai useamman riippumattoman insinöörin raportin mukaan.</w:t>
            </w:r>
            <w:r>
              <w:rPr>
                <w:noProof/>
                <w:szCs w:val="20"/>
              </w:rPr>
              <w:t xml:space="preserve"> </w:t>
            </w:r>
          </w:p>
        </w:tc>
      </w:tr>
      <w:tr w:rsidR="00E42B18" w14:paraId="497E6D53"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34F611" w14:textId="77777777" w:rsidR="00E42B18" w:rsidRDefault="009629C4">
            <w:pPr>
              <w:pStyle w:val="P68B1DB1-Normal11"/>
              <w:spacing w:line="276" w:lineRule="auto"/>
              <w:jc w:val="center"/>
              <w:rPr>
                <w:noProof/>
                <w:szCs w:val="20"/>
              </w:rPr>
            </w:pPr>
            <w:r>
              <w:rPr>
                <w:noProof/>
              </w:rPr>
              <w:t>M2C2–12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092DC" w14:textId="77777777" w:rsidR="00E42B18" w:rsidRDefault="009629C4">
            <w:pPr>
              <w:pStyle w:val="P68B1DB1-Normal11"/>
              <w:spacing w:line="276" w:lineRule="auto"/>
              <w:jc w:val="center"/>
              <w:rPr>
                <w:noProof/>
                <w:szCs w:val="20"/>
              </w:rPr>
            </w:pPr>
            <w:r>
              <w:rPr>
                <w:noProof/>
              </w:rPr>
              <w:t>Investointi 2.2 Toimenpiteet sähköverkon häiriönsietokyvyn parantamiseksi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9EF3F7"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020FBE" w14:textId="77777777" w:rsidR="00E42B18" w:rsidRDefault="009629C4">
            <w:pPr>
              <w:pStyle w:val="P68B1DB1-Normal11"/>
              <w:spacing w:line="276" w:lineRule="auto"/>
              <w:jc w:val="center"/>
              <w:rPr>
                <w:noProof/>
                <w:szCs w:val="20"/>
              </w:rPr>
            </w:pPr>
            <w:r>
              <w:rPr>
                <w:noProof/>
              </w:rPr>
              <w:t>Sähköverkkoverkon häiriönsietokyvyn parantamiseen tähtäävien hankkeiden myöntäminen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22AAAB" w14:textId="77777777" w:rsidR="00E42B18" w:rsidRDefault="009629C4">
            <w:pPr>
              <w:pStyle w:val="P68B1DB1-Normal11"/>
              <w:spacing w:line="276" w:lineRule="auto"/>
              <w:jc w:val="center"/>
              <w:rPr>
                <w:noProof/>
                <w:szCs w:val="20"/>
              </w:rPr>
            </w:pPr>
            <w:r>
              <w:rPr>
                <w:noProof/>
              </w:rPr>
              <w:t>Ilmoitus hankkeiden myöntämisestä</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FA0FE8"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410114"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D3461A"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52FFB" w14:textId="77777777" w:rsidR="00E42B18" w:rsidRDefault="009629C4">
            <w:pPr>
              <w:pStyle w:val="P68B1DB1-Normal11"/>
              <w:spacing w:line="276" w:lineRule="auto"/>
              <w:jc w:val="center"/>
              <w:rPr>
                <w:noProof/>
                <w:szCs w:val="20"/>
              </w:rPr>
            </w:pPr>
            <w:r>
              <w:rPr>
                <w:noProof/>
              </w:rPr>
              <w:t>Q4</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7E9689" w14:textId="77777777" w:rsidR="00E42B18" w:rsidRDefault="009629C4">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61E441" w14:textId="2F524DD6" w:rsidR="00E42B18" w:rsidRDefault="009629C4">
            <w:pPr>
              <w:pStyle w:val="P68B1DB1-Normal11"/>
              <w:spacing w:after="120"/>
              <w:rPr>
                <w:noProof/>
                <w:szCs w:val="20"/>
              </w:rPr>
            </w:pPr>
            <w:r>
              <w:rPr>
                <w:noProof/>
              </w:rPr>
              <w:t>Myönnetään hankkeita, joilla parannetaan sähköverkkoverkon häiriönsietokykyä vähintään 4000 kilometrin osuudella äärimmäisistä sääoloista johtuvien energiakatkosten tiheyden ja keston lyhentämiseksi.</w:t>
            </w:r>
          </w:p>
        </w:tc>
      </w:tr>
      <w:tr w:rsidR="00E42B18" w14:paraId="666D2E77"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39C18F" w14:textId="010CCF81" w:rsidR="00E42B18" w:rsidRDefault="009629C4">
            <w:pPr>
              <w:pStyle w:val="P68B1DB1-Normal12"/>
              <w:spacing w:line="276" w:lineRule="auto"/>
              <w:jc w:val="center"/>
              <w:rPr>
                <w:noProof/>
              </w:rPr>
            </w:pPr>
            <w:r>
              <w:rPr>
                <w:noProof/>
              </w:rPr>
              <w:t>M2C2–13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379FE" w14:textId="63812DED" w:rsidR="00E42B18" w:rsidRDefault="009629C4">
            <w:pPr>
              <w:pStyle w:val="P68B1DB1-Normal11"/>
              <w:spacing w:line="276" w:lineRule="auto"/>
              <w:jc w:val="center"/>
              <w:rPr>
                <w:noProof/>
              </w:rPr>
            </w:pPr>
            <w:r>
              <w:rPr>
                <w:noProof/>
              </w:rPr>
              <w:t>Investointi 2.2 Toimenpiteet sähköverkon häiriönsietokyvyn parantamiseksi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BE674" w14:textId="6DCBC16D" w:rsidR="00E42B18" w:rsidRDefault="009629C4">
            <w:pPr>
              <w:pStyle w:val="P68B1DB1-Normal11"/>
              <w:spacing w:line="276" w:lineRule="auto"/>
              <w:jc w:val="center"/>
              <w:rPr>
                <w:noProof/>
              </w:rPr>
            </w:pPr>
            <w:r>
              <w:rPr>
                <w:noProof/>
              </w:rPr>
              <w:t>Kohde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4E089" w14:textId="3CC86038" w:rsidR="00E42B18" w:rsidRDefault="009629C4">
            <w:pPr>
              <w:pStyle w:val="P68B1DB1-Normal11"/>
              <w:spacing w:line="276" w:lineRule="auto"/>
              <w:jc w:val="center"/>
              <w:rPr>
                <w:noProof/>
              </w:rPr>
            </w:pPr>
            <w:r>
              <w:rPr>
                <w:noProof/>
              </w:rPr>
              <w:t>Sähköverkkoverkon häiriönsietokyvyn parantaminen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96ACEE" w14:textId="646583C7" w:rsidR="00E42B18" w:rsidRDefault="009629C4">
            <w:pPr>
              <w:pStyle w:val="P68B1DB1-Normal11"/>
              <w:spacing w:line="276" w:lineRule="auto"/>
              <w:jc w:val="center"/>
              <w:rPr>
                <w:noProof/>
              </w:rPr>
            </w:pPr>
            <w:r>
              <w:rPr>
                <w:noProof/>
              </w:rPr>
              <w:t>EI OLE</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4F30A" w14:textId="5FB753D1" w:rsidR="00E42B18" w:rsidRDefault="009629C4">
            <w:pPr>
              <w:pStyle w:val="P68B1DB1-Normal11"/>
              <w:spacing w:line="276" w:lineRule="auto"/>
              <w:jc w:val="center"/>
              <w:rPr>
                <w:noProof/>
              </w:rPr>
            </w:pPr>
            <w:r>
              <w:rPr>
                <w:noProof/>
              </w:rPr>
              <w:t>Numero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9C9289" w14:textId="1717595C" w:rsidR="00E42B18" w:rsidRDefault="009629C4">
            <w:pPr>
              <w:pStyle w:val="P68B1DB1-Normal11"/>
              <w:spacing w:line="276" w:lineRule="auto"/>
              <w:jc w:val="center"/>
              <w:rPr>
                <w:noProof/>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AE6BAE" w14:textId="75CBEF7E" w:rsidR="00E42B18" w:rsidRDefault="009629C4">
            <w:pPr>
              <w:pStyle w:val="P68B1DB1-Normal11"/>
              <w:spacing w:line="276" w:lineRule="auto"/>
              <w:jc w:val="center"/>
              <w:rPr>
                <w:noProof/>
              </w:rPr>
            </w:pPr>
            <w:r>
              <w:rPr>
                <w:noProof/>
              </w:rPr>
              <w:t>4 000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65F136" w14:textId="2BAFA325" w:rsidR="00E42B18" w:rsidRDefault="009629C4">
            <w:pPr>
              <w:pStyle w:val="P68B1DB1-Normal11"/>
              <w:spacing w:line="276" w:lineRule="auto"/>
              <w:jc w:val="center"/>
              <w:rPr>
                <w:noProof/>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E3A052" w14:textId="0C128B5A" w:rsidR="00E42B18" w:rsidRDefault="009629C4">
            <w:pPr>
              <w:pStyle w:val="P68B1DB1-Normal11"/>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8A65B8" w14:textId="6DB9D17A" w:rsidR="00E42B18" w:rsidRDefault="009629C4">
            <w:pPr>
              <w:pStyle w:val="P68B1DB1-Normal12"/>
              <w:spacing w:after="120"/>
              <w:rPr>
                <w:noProof/>
              </w:rPr>
            </w:pPr>
            <w:r>
              <w:rPr>
                <w:noProof/>
              </w:rPr>
              <w:t>Todistukset vähintään 4 000 km:n sähköverkon häiriönsietokyvyn lisääntymistä vastaavien töiden valmistumisesta yhden tai useamman riippumattoman insinöörin raportin mukaisesti.</w:t>
            </w:r>
          </w:p>
        </w:tc>
      </w:tr>
      <w:tr w:rsidR="00E42B18" w14:paraId="39CBF95D"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4EF95" w14:textId="77777777" w:rsidR="00E42B18" w:rsidRDefault="009629C4">
            <w:pPr>
              <w:pStyle w:val="P68B1DB1-Normal11"/>
              <w:spacing w:line="276" w:lineRule="auto"/>
              <w:jc w:val="center"/>
              <w:rPr>
                <w:noProof/>
                <w:szCs w:val="20"/>
              </w:rPr>
            </w:pPr>
            <w:r>
              <w:rPr>
                <w:noProof/>
              </w:rPr>
              <w:t>M2C2–14</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D7E639" w14:textId="77777777" w:rsidR="00E42B18" w:rsidRDefault="009629C4">
            <w:pPr>
              <w:pStyle w:val="P68B1DB1-Normal11"/>
              <w:spacing w:line="276" w:lineRule="auto"/>
              <w:jc w:val="center"/>
              <w:rPr>
                <w:noProof/>
                <w:szCs w:val="20"/>
              </w:rPr>
            </w:pPr>
            <w:r>
              <w:rPr>
                <w:noProof/>
              </w:rPr>
              <w:t>Investointi 3.3 Maantieliikenteen vetytestaus</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7C9EF"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FABCA1" w14:textId="77777777" w:rsidR="00E42B18" w:rsidRDefault="009629C4">
            <w:pPr>
              <w:pStyle w:val="P68B1DB1-Normal11"/>
              <w:spacing w:line="276" w:lineRule="auto"/>
              <w:jc w:val="center"/>
              <w:rPr>
                <w:noProof/>
                <w:szCs w:val="20"/>
              </w:rPr>
            </w:pPr>
            <w:r>
              <w:rPr>
                <w:noProof/>
              </w:rPr>
              <w:t>(Kaikkien) vetypohjaisten latausasemien kehittämistä koskevien julkisten hankintasopimusten tekeminen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23280E" w14:textId="77777777" w:rsidR="00E42B18" w:rsidRDefault="009629C4">
            <w:pPr>
              <w:pStyle w:val="P68B1DB1-Normal11"/>
              <w:spacing w:line="276" w:lineRule="auto"/>
              <w:jc w:val="center"/>
              <w:rPr>
                <w:noProof/>
                <w:szCs w:val="20"/>
              </w:rPr>
            </w:pPr>
            <w:r>
              <w:rPr>
                <w:noProof/>
              </w:rPr>
              <w:t xml:space="preserve">Ilmoitus (kaikkien) hankintasopimusten tekemisestä vähintään 40 vetypohjaisen latausaseman kehittämiseksi </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C48A6F"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FFAD01"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9CA953"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18A434" w14:textId="77777777" w:rsidR="00E42B18" w:rsidRDefault="009629C4">
            <w:pPr>
              <w:pStyle w:val="P68B1DB1-Normal11"/>
              <w:spacing w:line="276" w:lineRule="auto"/>
              <w:jc w:val="center"/>
              <w:rPr>
                <w:noProof/>
                <w:szCs w:val="20"/>
              </w:rPr>
            </w:pPr>
            <w:r>
              <w:rPr>
                <w:noProof/>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602A92" w14:textId="77777777" w:rsidR="00E42B18" w:rsidRDefault="009629C4">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DE80D" w14:textId="77777777" w:rsidR="00E42B18" w:rsidRDefault="009629C4">
            <w:pPr>
              <w:pStyle w:val="P68B1DB1-Normal11"/>
              <w:spacing w:after="120"/>
              <w:rPr>
                <w:noProof/>
                <w:szCs w:val="20"/>
              </w:rPr>
            </w:pPr>
            <w:r>
              <w:rPr>
                <w:noProof/>
              </w:rPr>
              <w:t>Ilmoitus (kaikkien) hankintasopimusten tekemisestä vähintään 40 vetypohjaisen latausaseman kehittämiseksi vaihtoehtoisten polttoaineiden infrastruktuurista annetun direktiivin 2014/94/EU mukaisesti.</w:t>
            </w:r>
          </w:p>
        </w:tc>
      </w:tr>
      <w:tr w:rsidR="00E42B18" w14:paraId="463D14A9"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2A38EE" w14:textId="77777777" w:rsidR="00E42B18" w:rsidRDefault="009629C4">
            <w:pPr>
              <w:pStyle w:val="P68B1DB1-Normal11"/>
              <w:spacing w:line="276" w:lineRule="auto"/>
              <w:jc w:val="center"/>
              <w:rPr>
                <w:noProof/>
                <w:szCs w:val="20"/>
              </w:rPr>
            </w:pPr>
            <w:r>
              <w:rPr>
                <w:noProof/>
              </w:rPr>
              <w:t>M2C2–16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D6DBA1" w14:textId="77777777" w:rsidR="00E42B18" w:rsidRDefault="009629C4">
            <w:pPr>
              <w:pStyle w:val="P68B1DB1-Normal11"/>
              <w:spacing w:line="276" w:lineRule="auto"/>
              <w:jc w:val="center"/>
              <w:rPr>
                <w:noProof/>
                <w:szCs w:val="20"/>
              </w:rPr>
            </w:pPr>
            <w:r>
              <w:rPr>
                <w:noProof/>
              </w:rPr>
              <w:t>Investointi 3.4 Vedyn testaus rautateiden liikkuvuutta varten</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B468CE"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25A550" w14:textId="77777777" w:rsidR="00E42B18" w:rsidRDefault="009629C4">
            <w:pPr>
              <w:pStyle w:val="P68B1DB1-Normal11"/>
              <w:spacing w:line="276" w:lineRule="auto"/>
              <w:jc w:val="center"/>
              <w:rPr>
                <w:noProof/>
                <w:szCs w:val="20"/>
              </w:rPr>
            </w:pPr>
            <w:r>
              <w:rPr>
                <w:noProof/>
              </w:rPr>
              <w:t>Resurssien osoittaminen vedyn testaukseen rautateiden liikkuvuutta varten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43DF48" w14:textId="77777777" w:rsidR="00E42B18" w:rsidRDefault="009629C4">
            <w:pPr>
              <w:pStyle w:val="P68B1DB1-Normal11"/>
              <w:spacing w:line="276" w:lineRule="auto"/>
              <w:jc w:val="center"/>
              <w:rPr>
                <w:noProof/>
                <w:szCs w:val="20"/>
              </w:rPr>
            </w:pPr>
            <w:r>
              <w:rPr>
                <w:noProof/>
              </w:rPr>
              <w:t>Varojen kohdentamista koskeva ilmoitus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9923E"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C1A21"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135A61"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EEE6B" w14:textId="77777777" w:rsidR="00E42B18" w:rsidRDefault="009629C4">
            <w:pPr>
              <w:pStyle w:val="P68B1DB1-Normal11"/>
              <w:spacing w:line="276" w:lineRule="auto"/>
              <w:jc w:val="center"/>
              <w:rPr>
                <w:noProof/>
                <w:szCs w:val="20"/>
              </w:rPr>
            </w:pPr>
            <w:r>
              <w:rPr>
                <w:noProof/>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D34AC" w14:textId="77777777" w:rsidR="00E42B18" w:rsidRDefault="009629C4">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2A8500" w14:textId="77777777" w:rsidR="00E42B18" w:rsidRDefault="009629C4">
            <w:pPr>
              <w:pStyle w:val="P68B1DB1-Normal11"/>
              <w:spacing w:after="120"/>
              <w:rPr>
                <w:noProof/>
                <w:szCs w:val="20"/>
              </w:rPr>
            </w:pPr>
            <w:r>
              <w:rPr>
                <w:noProof/>
              </w:rPr>
              <w:t>Resurssien jakaminen niiden menettelyjen ja perusteiden mukaisesti, jotka on vahvistettu kymmenen vetyyn perustuvan rautatien tankkausaseman rakentamiseksi kuudella rautatielinjalla.</w:t>
            </w:r>
          </w:p>
        </w:tc>
      </w:tr>
      <w:tr w:rsidR="00E42B18" w14:paraId="65F01B65"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4E720F" w14:textId="77777777" w:rsidR="00E42B18" w:rsidRDefault="009629C4">
            <w:pPr>
              <w:pStyle w:val="P68B1DB1-Normal11"/>
              <w:spacing w:line="276" w:lineRule="auto"/>
              <w:jc w:val="center"/>
              <w:rPr>
                <w:noProof/>
                <w:szCs w:val="20"/>
              </w:rPr>
            </w:pPr>
            <w:r>
              <w:rPr>
                <w:noProof/>
              </w:rPr>
              <w:t>M2C2–18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7A7B0C" w14:textId="77777777" w:rsidR="00E42B18" w:rsidRDefault="009629C4">
            <w:pPr>
              <w:pStyle w:val="P68B1DB1-Normal11"/>
              <w:spacing w:line="276" w:lineRule="auto"/>
              <w:jc w:val="center"/>
              <w:rPr>
                <w:noProof/>
                <w:szCs w:val="20"/>
              </w:rPr>
            </w:pPr>
            <w:r>
              <w:rPr>
                <w:noProof/>
              </w:rPr>
              <w:t>Investointi 3.5 Vetytutkimus ja -kehitys</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CF4DC9"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E7C400" w14:textId="77777777" w:rsidR="00E42B18" w:rsidRDefault="009629C4">
            <w:pPr>
              <w:pStyle w:val="P68B1DB1-Normal11"/>
              <w:spacing w:line="276" w:lineRule="auto"/>
              <w:jc w:val="center"/>
              <w:rPr>
                <w:noProof/>
                <w:szCs w:val="20"/>
              </w:rPr>
            </w:pPr>
            <w:r>
              <w:rPr>
                <w:noProof/>
              </w:rPr>
              <w:t>Kaikkien julkisten t &amp; k-sopimusten tekeminen vetyalan tutkimushankkeille</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5725BE" w14:textId="77777777" w:rsidR="00E42B18" w:rsidRDefault="009629C4">
            <w:pPr>
              <w:pStyle w:val="P68B1DB1-Normal11"/>
              <w:spacing w:line="276" w:lineRule="auto"/>
              <w:jc w:val="center"/>
              <w:rPr>
                <w:noProof/>
                <w:szCs w:val="20"/>
              </w:rPr>
            </w:pPr>
            <w:r>
              <w:rPr>
                <w:noProof/>
              </w:rPr>
              <w:t>Ilmoitus vetytutkimusta ja -kehittämistä koskevien sopimusten tekemisestä</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4FB987"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8D18CF"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D697B"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4894E" w14:textId="77777777" w:rsidR="00E42B18" w:rsidRDefault="009629C4">
            <w:pPr>
              <w:pStyle w:val="P68B1DB1-Normal11"/>
              <w:spacing w:line="276" w:lineRule="auto"/>
              <w:jc w:val="center"/>
              <w:rPr>
                <w:noProof/>
                <w:szCs w:val="20"/>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D43780" w14:textId="77777777" w:rsidR="00E42B18" w:rsidRDefault="009629C4">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61EBE4" w14:textId="257D4A7A" w:rsidR="00E42B18" w:rsidRDefault="009629C4">
            <w:pPr>
              <w:pStyle w:val="P68B1DB1-Normal11"/>
              <w:spacing w:after="120"/>
              <w:rPr>
                <w:noProof/>
                <w:szCs w:val="20"/>
              </w:rPr>
            </w:pPr>
            <w:r>
              <w:rPr>
                <w:noProof/>
              </w:rPr>
              <w:t>Ilmoitus T &amp; K-sopimusten tekemisestä, jolla pyritään parantamaan tietämystä vetyvektorin täytäntöönpanosta tuotanto-, varastointi- ja jakeluvaiheissa. Sopimuksissa on kehitettävä vähintään neljä tutkimusulottuvuutta:</w:t>
            </w:r>
          </w:p>
          <w:p w14:paraId="69A33AC1" w14:textId="77777777" w:rsidR="00E42B18" w:rsidRDefault="009629C4">
            <w:pPr>
              <w:pStyle w:val="P68B1DB1-Normal11"/>
              <w:spacing w:after="120"/>
              <w:rPr>
                <w:noProof/>
                <w:szCs w:val="20"/>
              </w:rPr>
            </w:pPr>
            <w:r>
              <w:rPr>
                <w:noProof/>
              </w:rPr>
              <w:t>a) Vihreän ja puhtaan vedyn tuotanto</w:t>
            </w:r>
          </w:p>
          <w:p w14:paraId="3611EF68" w14:textId="77777777" w:rsidR="00E42B18" w:rsidRDefault="009629C4">
            <w:pPr>
              <w:pStyle w:val="P68B1DB1-Normal11"/>
              <w:spacing w:after="120"/>
              <w:rPr>
                <w:noProof/>
                <w:szCs w:val="20"/>
              </w:rPr>
            </w:pPr>
            <w:r>
              <w:rPr>
                <w:noProof/>
              </w:rPr>
              <w:t>b) Innovatiiviset teknologiat vedyn varastointia, siirtoa ja muuntamista johdannaisiksi ja sähköpolttoaineiksi</w:t>
            </w:r>
          </w:p>
          <w:p w14:paraId="691A34D5" w14:textId="77777777" w:rsidR="00E42B18" w:rsidRDefault="009629C4">
            <w:pPr>
              <w:pStyle w:val="P68B1DB1-Normal11"/>
              <w:spacing w:after="120"/>
              <w:rPr>
                <w:noProof/>
                <w:szCs w:val="20"/>
              </w:rPr>
            </w:pPr>
            <w:r>
              <w:rPr>
                <w:noProof/>
              </w:rPr>
              <w:t>C) Kiinteistöön ja liikkumiseen tarkoitetut polttokennot</w:t>
            </w:r>
          </w:p>
          <w:p w14:paraId="2D69B73B" w14:textId="77777777" w:rsidR="00E42B18" w:rsidRDefault="009629C4">
            <w:pPr>
              <w:pStyle w:val="P68B1DB1-Normal11"/>
              <w:spacing w:after="120"/>
              <w:rPr>
                <w:noProof/>
                <w:szCs w:val="20"/>
              </w:rPr>
            </w:pPr>
            <w:r>
              <w:rPr>
                <w:noProof/>
              </w:rPr>
              <w:t>d) Integroidut älykkäät hallintajärjestelmät älykkäiden vetypohjaisten infrastruktuurien häiriönsietokyvyn ja luotettavuuden parantamiseksi</w:t>
            </w:r>
          </w:p>
          <w:p w14:paraId="4BA722D5" w14:textId="77777777" w:rsidR="00E42B18" w:rsidRDefault="009629C4">
            <w:pPr>
              <w:pStyle w:val="P68B1DB1-Normal11"/>
              <w:spacing w:after="120"/>
              <w:rPr>
                <w:noProof/>
                <w:szCs w:val="20"/>
              </w:rPr>
            </w:pPr>
            <w:r>
              <w:rPr>
                <w:noProof/>
              </w:rPr>
              <w:t>Tällä toimenpiteellä tuetaan vedyn tuotantoa, joka perustuu elektrolyysiin, jossa käytetään direktiivissä (EU) 2018/2001 (uusiutuvia energialähteitä koskeva direktiivi) määriteltyjä uusiutuvia energialähteitä tai verkkosähköä, tai vetyyn liittyvää toimintaa, joka täyttää vedyn elinkaarenaikaisia kasvihuonekaasupäästöjen vähennyksiä koskevan 73,4 prosentin vaatimuksen, minkä tuloksena elinkaarenaikaiset kasvihuonekaasupäästöt ovat alle 3 tCO2e/tH2 ja 70 prosenttia vetypohjaisten synteettisten polttoaineiden osalta suhteessa fossiiliseen vertailukohtaan 94 g CO2e/MJ, direktiivin (EU) 2018/2001 25 artiklan 2 kohdassa ja liitteessä V vahvistetun lähestymistavan mukaisesti.</w:t>
            </w:r>
          </w:p>
        </w:tc>
      </w:tr>
      <w:tr w:rsidR="00E42B18" w14:paraId="268B3B5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57DF9C" w14:textId="77777777" w:rsidR="00E42B18" w:rsidRDefault="009629C4">
            <w:pPr>
              <w:pStyle w:val="P68B1DB1-Normal11"/>
              <w:spacing w:line="276" w:lineRule="auto"/>
              <w:jc w:val="center"/>
              <w:rPr>
                <w:noProof/>
                <w:szCs w:val="20"/>
              </w:rPr>
            </w:pPr>
            <w:r>
              <w:rPr>
                <w:noProof/>
              </w:rPr>
              <w:t>M2C2–20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2A4F6C" w14:textId="77777777" w:rsidR="00E42B18" w:rsidRDefault="009629C4">
            <w:pPr>
              <w:pStyle w:val="P68B1DB1-Normal11"/>
              <w:spacing w:line="276" w:lineRule="auto"/>
              <w:jc w:val="center"/>
              <w:rPr>
                <w:noProof/>
                <w:szCs w:val="20"/>
              </w:rPr>
            </w:pPr>
            <w:r>
              <w:rPr>
                <w:noProof/>
              </w:rPr>
              <w:t>Uudistus 3 Hallinnon yksinkertaistaminen ja vedyn käyttöönoton sääntelyesteiden vähentäminen</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59D5B"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E26B99" w14:textId="77777777" w:rsidR="00E42B18" w:rsidRDefault="009629C4">
            <w:pPr>
              <w:pStyle w:val="P68B1DB1-Normal11"/>
              <w:spacing w:line="276" w:lineRule="auto"/>
              <w:jc w:val="center"/>
              <w:rPr>
                <w:noProof/>
                <w:szCs w:val="20"/>
              </w:rPr>
            </w:pPr>
            <w:r>
              <w:rPr>
                <w:noProof/>
              </w:rPr>
              <w:t>Tarvittavien lainsäädäntötoimien voimaantulo</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6A79F" w14:textId="77777777" w:rsidR="00E42B18" w:rsidRDefault="009629C4">
            <w:pPr>
              <w:pStyle w:val="P68B1DB1-Normal11"/>
              <w:spacing w:line="276" w:lineRule="auto"/>
              <w:jc w:val="center"/>
              <w:rPr>
                <w:noProof/>
                <w:szCs w:val="20"/>
              </w:rPr>
            </w:pPr>
            <w:r>
              <w:rPr>
                <w:noProof/>
              </w:rPr>
              <w:t>Lain voimaantuloa koskeva säännös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994CD7"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591EB"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BDEF4"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516C7" w14:textId="77777777" w:rsidR="00E42B18" w:rsidRDefault="009629C4">
            <w:pPr>
              <w:pStyle w:val="P68B1DB1-Normal11"/>
              <w:spacing w:line="276" w:lineRule="auto"/>
              <w:jc w:val="center"/>
              <w:rPr>
                <w:noProof/>
                <w:szCs w:val="20"/>
              </w:rPr>
            </w:pPr>
            <w:r>
              <w:rPr>
                <w:noProof/>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C78591" w14:textId="77777777" w:rsidR="00E42B18" w:rsidRDefault="009629C4">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5BEB23" w14:textId="77777777" w:rsidR="00E42B18" w:rsidRDefault="009629C4">
            <w:pPr>
              <w:pStyle w:val="P68B1DB1-Normal11"/>
              <w:spacing w:after="120"/>
              <w:rPr>
                <w:noProof/>
                <w:szCs w:val="20"/>
              </w:rPr>
            </w:pPr>
            <w:r>
              <w:rPr>
                <w:noProof/>
              </w:rPr>
              <w:t>Tarvittavissa lainsäädäntötoimissa on vahvistettava i) vedyn tuotantoa, kuljetusta ja varastointia koskevat turvallisuussäännökset, ii) yksinkertaistetaan vihreän vedyn tuotantoon tarkoitettujen pienten rakenteiden rakentamista koskevia menettelyjä ja iii) toimenpiteitä, jotka liittyvät vetyyn perustuvien latausasemien rakentamisen edellytyksiin.</w:t>
            </w:r>
          </w:p>
          <w:p w14:paraId="315860ED" w14:textId="77777777" w:rsidR="00E42B18" w:rsidRDefault="009629C4">
            <w:pPr>
              <w:pStyle w:val="P68B1DB1-Normal11"/>
              <w:spacing w:after="120"/>
              <w:rPr>
                <w:noProof/>
                <w:szCs w:val="20"/>
              </w:rPr>
            </w:pPr>
            <w:r>
              <w:rPr>
                <w:noProof/>
              </w:rPr>
              <w:t>Tällä toimenpiteellä tuetaan ainoastaan vetytoimia, jotka täyttävät vedyn osalta 73,4 prosentin vaatimuksen vähentää elinkaarenaikaisia kasvihuonekaasupäästöjä, jolloin tuloksena on 3 tCO2eq/tH2.</w:t>
            </w:r>
          </w:p>
        </w:tc>
      </w:tr>
      <w:tr w:rsidR="00E42B18" w14:paraId="00D5CF48"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6F5663" w14:textId="77777777" w:rsidR="00E42B18" w:rsidRDefault="009629C4">
            <w:pPr>
              <w:pStyle w:val="P68B1DB1-Normal11"/>
              <w:spacing w:line="276" w:lineRule="auto"/>
              <w:jc w:val="center"/>
              <w:rPr>
                <w:noProof/>
                <w:szCs w:val="20"/>
              </w:rPr>
            </w:pPr>
            <w:r>
              <w:rPr>
                <w:noProof/>
              </w:rPr>
              <w:t>M2C2–21</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1E424" w14:textId="77777777" w:rsidR="00E42B18" w:rsidRDefault="009629C4">
            <w:pPr>
              <w:pStyle w:val="P68B1DB1-Normal11"/>
              <w:spacing w:line="276" w:lineRule="auto"/>
              <w:jc w:val="center"/>
              <w:rPr>
                <w:noProof/>
                <w:szCs w:val="20"/>
              </w:rPr>
            </w:pPr>
            <w:r>
              <w:rPr>
                <w:noProof/>
              </w:rPr>
              <w:t>Uudistus 4 Vetyalan kilpailukykyä edistävät toimenpiteet</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A9FA31"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FFDB8" w14:textId="77777777" w:rsidR="00E42B18" w:rsidRDefault="009629C4">
            <w:pPr>
              <w:pStyle w:val="P68B1DB1-Normal11"/>
              <w:spacing w:line="276" w:lineRule="auto"/>
              <w:jc w:val="center"/>
              <w:rPr>
                <w:noProof/>
                <w:szCs w:val="20"/>
              </w:rPr>
            </w:pPr>
            <w:r>
              <w:rPr>
                <w:noProof/>
              </w:rPr>
              <w:t>Verokannustimien voimaantulo</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56677" w14:textId="77777777" w:rsidR="00E42B18" w:rsidRDefault="009629C4">
            <w:pPr>
              <w:pStyle w:val="P68B1DB1-Normal11"/>
              <w:spacing w:line="276" w:lineRule="auto"/>
              <w:jc w:val="center"/>
              <w:rPr>
                <w:noProof/>
                <w:szCs w:val="20"/>
              </w:rPr>
            </w:pPr>
            <w:r>
              <w:rPr>
                <w:noProof/>
              </w:rPr>
              <w:t>Lain voimaantuloa koskeva säännös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8CF5B" w14:textId="77777777" w:rsidR="00E42B18" w:rsidRDefault="009629C4">
            <w:pPr>
              <w:pStyle w:val="P68B1DB1-Normal11"/>
              <w:spacing w:line="276" w:lineRule="auto"/>
              <w:jc w:val="center"/>
              <w:rPr>
                <w:noProof/>
                <w:szCs w:val="20"/>
              </w:rPr>
            </w:pPr>
            <w:r>
              <w:rPr>
                <w:noProof/>
              </w:rPr>
              <w:t>EI MERKINTÄÄ</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578DBC"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E51733"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B7D851" w14:textId="77777777" w:rsidR="00E42B18" w:rsidRDefault="009629C4">
            <w:pPr>
              <w:pStyle w:val="P68B1DB1-Normal11"/>
              <w:spacing w:line="276" w:lineRule="auto"/>
              <w:jc w:val="center"/>
              <w:rPr>
                <w:noProof/>
                <w:szCs w:val="20"/>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27EA1" w14:textId="77777777" w:rsidR="00E42B18" w:rsidRDefault="009629C4">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F0D337" w14:textId="77777777" w:rsidR="00E42B18" w:rsidRDefault="009629C4">
            <w:pPr>
              <w:pStyle w:val="P68B1DB1-Normal11"/>
              <w:spacing w:after="120"/>
              <w:rPr>
                <w:noProof/>
                <w:szCs w:val="20"/>
              </w:rPr>
            </w:pPr>
            <w:r>
              <w:rPr>
                <w:noProof/>
              </w:rPr>
              <w:t>Laissa on vahvistettava verokannustimia vihreän vedyn tuotannon tukemiseksi ja vihreän vedyn kulutuksen edistämiseksi liikennealalla.</w:t>
            </w:r>
          </w:p>
          <w:p w14:paraId="31E38799" w14:textId="77777777" w:rsidR="00E42B18" w:rsidRDefault="009629C4">
            <w:pPr>
              <w:pStyle w:val="P68B1DB1-Normal11"/>
              <w:spacing w:after="120"/>
              <w:rPr>
                <w:noProof/>
                <w:szCs w:val="20"/>
              </w:rPr>
            </w:pPr>
            <w:r>
              <w:rPr>
                <w:noProof/>
              </w:rPr>
              <w:t>Tällä toimenpiteellä tuetaan ainoastaan vetytoimia, jotka täyttävät vedyn osalta 73,4 prosentin vaatimuksen vähentää elinkaarenaikaisia kasvihuonekaasupäästöjä, jolloin tuloksena on 3 tCO2eq/tH2.</w:t>
            </w:r>
          </w:p>
        </w:tc>
      </w:tr>
      <w:tr w:rsidR="00E42B18" w14:paraId="167F15F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D9BD7" w14:textId="77777777" w:rsidR="00E42B18" w:rsidRDefault="009629C4">
            <w:pPr>
              <w:pStyle w:val="P68B1DB1-Normal11"/>
              <w:spacing w:line="276" w:lineRule="auto"/>
              <w:jc w:val="center"/>
              <w:rPr>
                <w:noProof/>
                <w:szCs w:val="20"/>
              </w:rPr>
            </w:pPr>
            <w:r>
              <w:rPr>
                <w:noProof/>
              </w:rPr>
              <w:t>M2C2–22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05C69" w14:textId="77777777" w:rsidR="00E42B18" w:rsidRDefault="009629C4">
            <w:pPr>
              <w:pStyle w:val="P68B1DB1-Normal11"/>
              <w:spacing w:line="276" w:lineRule="auto"/>
              <w:jc w:val="center"/>
              <w:rPr>
                <w:noProof/>
                <w:szCs w:val="20"/>
              </w:rPr>
            </w:pPr>
            <w:r>
              <w:rPr>
                <w:noProof/>
              </w:rPr>
              <w:t>Investointi 4.1 Investoinnit pehmeään liikkuvuuteen (kansallinen pyörätiesuunnitelma)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618E9" w14:textId="77777777" w:rsidR="00E42B18" w:rsidRDefault="009629C4">
            <w:pPr>
              <w:pStyle w:val="P68B1DB1-Normal11"/>
              <w:spacing w:line="276" w:lineRule="auto"/>
              <w:jc w:val="center"/>
              <w:rPr>
                <w:noProof/>
                <w:szCs w:val="20"/>
              </w:rPr>
            </w:pPr>
            <w:r>
              <w:rPr>
                <w:noProof/>
              </w:rPr>
              <w:t>Tavoite: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68AA6" w14:textId="77777777" w:rsidR="00E42B18" w:rsidRDefault="009629C4">
            <w:pPr>
              <w:pStyle w:val="P68B1DB1-Normal11"/>
              <w:spacing w:line="276" w:lineRule="auto"/>
              <w:jc w:val="center"/>
              <w:rPr>
                <w:noProof/>
                <w:szCs w:val="20"/>
              </w:rPr>
            </w:pPr>
            <w:r>
              <w:rPr>
                <w:noProof/>
              </w:rPr>
              <w:t>T1-pyöräkaistat</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21BA46" w14:textId="77777777" w:rsidR="00E42B18" w:rsidRDefault="009629C4">
            <w:pPr>
              <w:pStyle w:val="P68B1DB1-Normal11"/>
              <w:spacing w:line="276" w:lineRule="auto"/>
              <w:jc w:val="center"/>
              <w:rPr>
                <w:noProof/>
                <w:szCs w:val="20"/>
              </w:rPr>
            </w:pPr>
            <w:r>
              <w:rPr>
                <w:noProof/>
              </w:rPr>
              <w:t>EI OLE</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F40391" w14:textId="77777777" w:rsidR="00E42B18" w:rsidRDefault="009629C4">
            <w:pPr>
              <w:pStyle w:val="P68B1DB1-Normal11"/>
              <w:spacing w:line="276" w:lineRule="auto"/>
              <w:jc w:val="center"/>
              <w:rPr>
                <w:noProof/>
                <w:szCs w:val="20"/>
              </w:rPr>
            </w:pPr>
            <w:r>
              <w:rPr>
                <w:noProof/>
              </w:rPr>
              <w:t>Kilometriä</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9C058" w14:textId="77777777" w:rsidR="00E42B18" w:rsidRDefault="009629C4">
            <w:pPr>
              <w:pStyle w:val="P68B1DB1-Normal11"/>
              <w:spacing w:line="276" w:lineRule="auto"/>
              <w:jc w:val="center"/>
              <w:rPr>
                <w:noProof/>
                <w:szCs w:val="20"/>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94D4AC" w14:textId="77777777" w:rsidR="00E42B18" w:rsidRDefault="009629C4">
            <w:pPr>
              <w:pStyle w:val="P68B1DB1-Normal11"/>
              <w:spacing w:line="276" w:lineRule="auto"/>
              <w:jc w:val="center"/>
              <w:rPr>
                <w:noProof/>
                <w:szCs w:val="20"/>
              </w:rPr>
            </w:pPr>
            <w:r>
              <w:rPr>
                <w:noProof/>
              </w:rPr>
              <w:t>200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FA91E" w14:textId="77777777" w:rsidR="00E42B18" w:rsidRDefault="009629C4">
            <w:pPr>
              <w:pStyle w:val="P68B1DB1-Normal11"/>
              <w:spacing w:line="276" w:lineRule="auto"/>
              <w:jc w:val="center"/>
              <w:rPr>
                <w:noProof/>
                <w:szCs w:val="20"/>
              </w:rPr>
            </w:pPr>
            <w:r>
              <w:rPr>
                <w:noProof/>
              </w:rPr>
              <w:t>Q4</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F7CD8C" w14:textId="77777777" w:rsidR="00E42B18" w:rsidRDefault="009629C4">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55231" w14:textId="77777777" w:rsidR="00E42B18" w:rsidRDefault="009629C4">
            <w:pPr>
              <w:pStyle w:val="P68B1DB1-Normal11"/>
              <w:spacing w:after="120"/>
              <w:rPr>
                <w:noProof/>
                <w:szCs w:val="20"/>
              </w:rPr>
            </w:pPr>
            <w:r>
              <w:rPr>
                <w:noProof/>
              </w:rPr>
              <w:t>Vähintään 200 km:n pyöräteiden suorittaminen toimenpiteen kuvauksessa määritellyillä suurkaupunkialueilla tai yliopistoja vastaanottavissa kaupungeissa.</w:t>
            </w:r>
          </w:p>
        </w:tc>
      </w:tr>
      <w:tr w:rsidR="00E42B18" w14:paraId="0B1E9B75"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7986DC" w14:textId="77777777" w:rsidR="00E42B18" w:rsidRDefault="009629C4">
            <w:pPr>
              <w:pStyle w:val="P68B1DB1-Normal11"/>
              <w:spacing w:line="276" w:lineRule="auto"/>
              <w:jc w:val="center"/>
              <w:rPr>
                <w:noProof/>
                <w:szCs w:val="20"/>
              </w:rPr>
            </w:pPr>
            <w:r>
              <w:rPr>
                <w:noProof/>
              </w:rPr>
              <w:t>M2C2–23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376443" w14:textId="77777777" w:rsidR="00E42B18" w:rsidRDefault="009629C4">
            <w:pPr>
              <w:pStyle w:val="P68B1DB1-Normal11"/>
              <w:spacing w:line="276" w:lineRule="auto"/>
              <w:jc w:val="center"/>
              <w:rPr>
                <w:noProof/>
                <w:szCs w:val="20"/>
              </w:rPr>
            </w:pPr>
            <w:r>
              <w:rPr>
                <w:noProof/>
              </w:rPr>
              <w:t>Investointi 4.1 Investoinnit pehmeään liikkuvuuteen (kansallinen pyörätiesuunnitelma)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0E3CFA" w14:textId="77777777" w:rsidR="00E42B18" w:rsidRDefault="009629C4">
            <w:pPr>
              <w:pStyle w:val="P68B1DB1-Normal11"/>
              <w:spacing w:line="276" w:lineRule="auto"/>
              <w:jc w:val="center"/>
              <w:rPr>
                <w:noProof/>
                <w:szCs w:val="20"/>
              </w:rPr>
            </w:pPr>
            <w:r>
              <w:rPr>
                <w:noProof/>
              </w:rPr>
              <w:t>Kohde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6061B" w14:textId="77777777" w:rsidR="00E42B18" w:rsidRDefault="009629C4">
            <w:pPr>
              <w:pStyle w:val="P68B1DB1-Normal11"/>
              <w:spacing w:line="276" w:lineRule="auto"/>
              <w:jc w:val="center"/>
              <w:rPr>
                <w:noProof/>
                <w:szCs w:val="20"/>
              </w:rPr>
            </w:pPr>
            <w:r>
              <w:rPr>
                <w:noProof/>
              </w:rPr>
              <w:t>Pyörätiet T2</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6517FE" w14:textId="77777777" w:rsidR="00E42B18" w:rsidRDefault="009629C4">
            <w:pPr>
              <w:pStyle w:val="P68B1DB1-Normal11"/>
              <w:spacing w:line="276" w:lineRule="auto"/>
              <w:jc w:val="center"/>
              <w:rPr>
                <w:noProof/>
                <w:szCs w:val="20"/>
              </w:rPr>
            </w:pPr>
            <w:r>
              <w:rPr>
                <w:noProof/>
              </w:rPr>
              <w:t>EI OLE</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6517A" w14:textId="77777777" w:rsidR="00E42B18" w:rsidRDefault="009629C4">
            <w:pPr>
              <w:pStyle w:val="P68B1DB1-Normal11"/>
              <w:spacing w:line="276" w:lineRule="auto"/>
              <w:jc w:val="center"/>
              <w:rPr>
                <w:noProof/>
                <w:szCs w:val="20"/>
              </w:rPr>
            </w:pPr>
            <w:r>
              <w:rPr>
                <w:noProof/>
              </w:rPr>
              <w:t>Kilometriä</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8085DE" w14:textId="77777777" w:rsidR="00E42B18" w:rsidRDefault="009629C4">
            <w:pPr>
              <w:pStyle w:val="P68B1DB1-Normal11"/>
              <w:spacing w:line="276" w:lineRule="auto"/>
              <w:jc w:val="center"/>
              <w:rPr>
                <w:noProof/>
                <w:szCs w:val="20"/>
              </w:rPr>
            </w:pPr>
            <w:r>
              <w:rPr>
                <w:noProof/>
              </w:rPr>
              <w:t>200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9C799A" w14:textId="648E5A32" w:rsidR="00E42B18" w:rsidRDefault="009629C4">
            <w:pPr>
              <w:pStyle w:val="P68B1DB1-Normal11"/>
              <w:spacing w:line="276" w:lineRule="auto"/>
              <w:jc w:val="center"/>
              <w:rPr>
                <w:noProof/>
                <w:szCs w:val="20"/>
              </w:rPr>
            </w:pPr>
            <w:r>
              <w:rPr>
                <w:noProof/>
                <w:szCs w:val="20"/>
              </w:rPr>
              <w:t>1</w:t>
            </w:r>
            <w:r>
              <w:rPr>
                <w:noProof/>
              </w:rPr>
              <w:t xml:space="preserve"> </w:t>
            </w:r>
            <w:r>
              <w:rPr>
                <w:noProof/>
                <w:szCs w:val="20"/>
              </w:rPr>
              <w:t>261</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1EE9F" w14:textId="77777777" w:rsidR="00E42B18" w:rsidRDefault="009629C4">
            <w:pPr>
              <w:pStyle w:val="P68B1DB1-Normal11"/>
              <w:spacing w:line="276" w:lineRule="auto"/>
              <w:jc w:val="center"/>
              <w:rPr>
                <w:noProof/>
                <w:szCs w:val="20"/>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C3656" w14:textId="77777777" w:rsidR="00E42B18" w:rsidRDefault="009629C4">
            <w:pPr>
              <w:pStyle w:val="P68B1DB1-Normal11"/>
              <w:spacing w:line="276" w:lineRule="auto"/>
              <w:jc w:val="center"/>
              <w:rPr>
                <w:noProof/>
                <w:szCs w:val="20"/>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9D3C49" w14:textId="58C27959" w:rsidR="00E42B18" w:rsidRDefault="009629C4">
            <w:pPr>
              <w:pStyle w:val="P68B1DB1-Normal11"/>
              <w:spacing w:after="120"/>
              <w:rPr>
                <w:noProof/>
                <w:szCs w:val="20"/>
              </w:rPr>
            </w:pPr>
            <w:r>
              <w:rPr>
                <w:noProof/>
                <w:szCs w:val="20"/>
              </w:rPr>
              <w:t>Rakennustöiden päätökseen saattamisesta annetaan todistus vähintään 1261 km:n pyöräteiden rakentamisesta suurkaupunkialueille ja turistipolkujen rakentamisesta.</w:t>
            </w:r>
          </w:p>
        </w:tc>
      </w:tr>
      <w:tr w:rsidR="00E42B18" w14:paraId="3BC6C35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3E904D" w14:textId="77777777" w:rsidR="00E42B18" w:rsidRDefault="009629C4">
            <w:pPr>
              <w:pStyle w:val="P68B1DB1-Normal11"/>
              <w:spacing w:line="276" w:lineRule="auto"/>
              <w:jc w:val="center"/>
              <w:rPr>
                <w:noProof/>
                <w:szCs w:val="20"/>
              </w:rPr>
            </w:pPr>
            <w:r>
              <w:rPr>
                <w:noProof/>
              </w:rPr>
              <w:t>M2C2–27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32A7AC" w14:textId="77777777" w:rsidR="00E42B18" w:rsidRDefault="009629C4">
            <w:pPr>
              <w:pStyle w:val="P68B1DB1-Normal11"/>
              <w:spacing w:line="276" w:lineRule="auto"/>
              <w:jc w:val="center"/>
              <w:rPr>
                <w:noProof/>
                <w:szCs w:val="20"/>
              </w:rPr>
            </w:pPr>
            <w:r>
              <w:rPr>
                <w:noProof/>
              </w:rPr>
              <w:t>Investointi 4.3 Latausinfrastruktuurien asentaminen</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575930"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548E6" w14:textId="77777777" w:rsidR="00E42B18" w:rsidRDefault="009629C4">
            <w:pPr>
              <w:pStyle w:val="P68B1DB1-Normal11"/>
              <w:spacing w:line="276" w:lineRule="auto"/>
              <w:jc w:val="center"/>
              <w:rPr>
                <w:noProof/>
                <w:szCs w:val="20"/>
              </w:rPr>
            </w:pPr>
            <w:r>
              <w:rPr>
                <w:noProof/>
              </w:rPr>
              <w:t>Kaikkien latausinfrastruktuurien (M1) asentamista koskevien julkisten hankintasopimusten tekeminen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CA7DD0" w14:textId="77777777" w:rsidR="00E42B18" w:rsidRDefault="009629C4">
            <w:pPr>
              <w:pStyle w:val="P68B1DB1-Normal11"/>
              <w:spacing w:line="276" w:lineRule="auto"/>
              <w:jc w:val="center"/>
              <w:rPr>
                <w:noProof/>
                <w:szCs w:val="20"/>
              </w:rPr>
            </w:pPr>
            <w:r>
              <w:rPr>
                <w:noProof/>
              </w:rPr>
              <w:t>Ilmoitus kaikkien latausinfrastruktuurien asentamista koskevien julkisten hankintasopimusten tekemisestä</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4981BC"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02D5BA"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CDFE8A"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AAAFEE" w14:textId="77777777" w:rsidR="00E42B18" w:rsidRDefault="009629C4">
            <w:pPr>
              <w:pStyle w:val="P68B1DB1-Normal11"/>
              <w:spacing w:line="276" w:lineRule="auto"/>
              <w:jc w:val="center"/>
              <w:rPr>
                <w:noProof/>
                <w:szCs w:val="20"/>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2BEEFD" w14:textId="77777777" w:rsidR="00E42B18" w:rsidRDefault="009629C4">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7C3C39" w14:textId="763991FA" w:rsidR="00E42B18" w:rsidRDefault="009629C4">
            <w:pPr>
              <w:pStyle w:val="P68B1DB1-Normal11"/>
              <w:spacing w:after="120"/>
              <w:rPr>
                <w:noProof/>
                <w:szCs w:val="20"/>
              </w:rPr>
            </w:pPr>
            <w:r>
              <w:rPr>
                <w:noProof/>
              </w:rPr>
              <w:t>Ilmoitus kaikkien sellaisten julkisten hankintasopimusten tekemisestä, jotka koskevat vähintään 4700 latausaseman rakentamista kaupunkialueille (kaikki kunnat).</w:t>
            </w:r>
          </w:p>
          <w:p w14:paraId="1A1F3F29" w14:textId="77777777" w:rsidR="00E42B18" w:rsidRDefault="009629C4">
            <w:pPr>
              <w:pStyle w:val="P68B1DB1-Normal11"/>
              <w:spacing w:after="120"/>
              <w:rPr>
                <w:noProof/>
                <w:szCs w:val="20"/>
              </w:rPr>
            </w:pPr>
            <w:r>
              <w:rPr>
                <w:noProof/>
              </w:rPr>
              <w:t>Hankkeeseen voi sisältyä myös energian varastointiin tarkoitettuja pilottilatauspisteitä.</w:t>
            </w:r>
          </w:p>
        </w:tc>
      </w:tr>
      <w:tr w:rsidR="00E42B18" w14:paraId="2DD940AA"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3FAF79" w14:textId="77777777" w:rsidR="00E42B18" w:rsidRDefault="009629C4">
            <w:pPr>
              <w:pStyle w:val="P68B1DB1-Normal12"/>
              <w:spacing w:line="276" w:lineRule="auto"/>
              <w:jc w:val="center"/>
              <w:rPr>
                <w:noProof/>
              </w:rPr>
            </w:pPr>
            <w:r>
              <w:rPr>
                <w:noProof/>
              </w:rPr>
              <w:t>M2C2–28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3BA5E0" w14:textId="77777777" w:rsidR="00E42B18" w:rsidRDefault="009629C4">
            <w:pPr>
              <w:pStyle w:val="P68B1DB1-Normal11"/>
              <w:spacing w:line="276" w:lineRule="auto"/>
              <w:jc w:val="center"/>
              <w:rPr>
                <w:noProof/>
                <w:szCs w:val="20"/>
              </w:rPr>
            </w:pPr>
            <w:r>
              <w:rPr>
                <w:noProof/>
              </w:rPr>
              <w:t>Investointi 4.3 Latausinfrastruktuurien asentaminen</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751F4"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EFAD5F" w14:textId="77777777" w:rsidR="00E42B18" w:rsidRDefault="009629C4">
            <w:pPr>
              <w:pStyle w:val="P68B1DB1-Normal11"/>
              <w:spacing w:line="276" w:lineRule="auto"/>
              <w:jc w:val="center"/>
              <w:rPr>
                <w:noProof/>
                <w:szCs w:val="20"/>
              </w:rPr>
            </w:pPr>
            <w:r>
              <w:rPr>
                <w:noProof/>
              </w:rPr>
              <w:t xml:space="preserve">Latausinfrastruktuurien asentamista koskevien julkisten hankintasopimusten tekeminen </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DAE40A" w14:textId="3710E5DB" w:rsidR="00E42B18" w:rsidRDefault="009629C4">
            <w:pPr>
              <w:pStyle w:val="P68B1DB1-Normal11"/>
              <w:spacing w:line="276" w:lineRule="auto"/>
              <w:jc w:val="center"/>
              <w:rPr>
                <w:noProof/>
                <w:szCs w:val="20"/>
              </w:rPr>
            </w:pPr>
            <w:r>
              <w:rPr>
                <w:noProof/>
              </w:rPr>
              <w:t>Latausinfrastruktuurien asentamista koskevien julkisten hankintasopimusten tekeminen</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B14E4"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D770D"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CE9E3"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C5A432" w14:textId="77777777" w:rsidR="00E42B18" w:rsidRDefault="009629C4">
            <w:pPr>
              <w:pStyle w:val="P68B1DB1-Normal11"/>
              <w:spacing w:line="276" w:lineRule="auto"/>
              <w:jc w:val="center"/>
              <w:rPr>
                <w:noProof/>
                <w:szCs w:val="20"/>
              </w:rPr>
            </w:pPr>
            <w:r>
              <w:rPr>
                <w:noProof/>
              </w:rPr>
              <w:t>Q4</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90062" w14:textId="77777777" w:rsidR="00E42B18" w:rsidRDefault="009629C4">
            <w:pPr>
              <w:pStyle w:val="P68B1DB1-Normal11"/>
              <w:spacing w:line="276" w:lineRule="auto"/>
              <w:jc w:val="center"/>
              <w:rPr>
                <w:noProof/>
                <w:szCs w:val="20"/>
              </w:rPr>
            </w:pPr>
            <w:r>
              <w:rPr>
                <w:noProof/>
              </w:rPr>
              <w:t>2024</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D090F0" w14:textId="77777777" w:rsidR="00E42B18" w:rsidRDefault="009629C4">
            <w:pPr>
              <w:pStyle w:val="P68B1DB1-Normal21"/>
              <w:spacing w:after="120"/>
              <w:rPr>
                <w:rFonts w:ascii="Arial Narrow" w:hAnsi="Arial Narrow"/>
                <w:noProof/>
                <w:szCs w:val="20"/>
              </w:rPr>
            </w:pPr>
            <w:r>
              <w:rPr>
                <w:rFonts w:ascii="Arial Narrow" w:hAnsi="Arial Narrow"/>
                <w:noProof/>
                <w:szCs w:val="20"/>
              </w:rPr>
              <w:t>Sopimusten tekeminen vähintään 2100 nopean julkisen latauspisteen rakentamisesta vapaille väylille ja vähintään 9900:n rakentamisesta kaupunkialueille.</w:t>
            </w:r>
          </w:p>
          <w:p w14:paraId="4354F8CA" w14:textId="77777777" w:rsidR="00E42B18" w:rsidRDefault="00E42B18">
            <w:pPr>
              <w:spacing w:after="120"/>
              <w:rPr>
                <w:rFonts w:ascii="Arial Narrow" w:hAnsi="Arial Narrow"/>
                <w:noProof/>
                <w:color w:val="006100"/>
                <w:sz w:val="20"/>
                <w:szCs w:val="20"/>
              </w:rPr>
            </w:pPr>
          </w:p>
        </w:tc>
      </w:tr>
      <w:tr w:rsidR="00E42B18" w14:paraId="793429A4"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928716" w14:textId="77777777" w:rsidR="00E42B18" w:rsidRDefault="009629C4">
            <w:pPr>
              <w:pStyle w:val="P68B1DB1-Normal12"/>
              <w:spacing w:line="276" w:lineRule="auto"/>
              <w:jc w:val="center"/>
              <w:rPr>
                <w:noProof/>
              </w:rPr>
            </w:pPr>
            <w:r>
              <w:rPr>
                <w:noProof/>
              </w:rPr>
              <w:t>M2C2–29</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551BDA" w14:textId="77777777" w:rsidR="00E42B18" w:rsidRDefault="009629C4">
            <w:pPr>
              <w:pStyle w:val="P68B1DB1-Normal12"/>
              <w:spacing w:line="276" w:lineRule="auto"/>
              <w:jc w:val="center"/>
              <w:rPr>
                <w:noProof/>
              </w:rPr>
            </w:pPr>
            <w:r>
              <w:rPr>
                <w:noProof/>
              </w:rPr>
              <w:t>Investointi 4.3 Latausinfrastruktuurien asentaminen</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1A5144" w14:textId="77777777" w:rsidR="00E42B18" w:rsidRDefault="009629C4">
            <w:pPr>
              <w:pStyle w:val="P68B1DB1-Normal12"/>
              <w:spacing w:line="276" w:lineRule="auto"/>
              <w:jc w:val="center"/>
              <w:rPr>
                <w:noProof/>
              </w:rPr>
            </w:pPr>
            <w:r>
              <w:rPr>
                <w:noProof/>
              </w:rPr>
              <w:t>Kohde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C6ABC" w14:textId="77777777" w:rsidR="00E42B18" w:rsidRDefault="009629C4">
            <w:pPr>
              <w:pStyle w:val="P68B1DB1-Normal12"/>
              <w:spacing w:line="276" w:lineRule="auto"/>
              <w:jc w:val="center"/>
              <w:rPr>
                <w:noProof/>
              </w:rPr>
            </w:pPr>
            <w:r>
              <w:rPr>
                <w:noProof/>
              </w:rPr>
              <w:t xml:space="preserve">Nopeiden latausasemien lukumäärä </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875748" w14:textId="77777777" w:rsidR="00E42B18" w:rsidRDefault="009629C4">
            <w:pPr>
              <w:pStyle w:val="P68B1DB1-Normal12"/>
              <w:spacing w:line="276" w:lineRule="auto"/>
              <w:jc w:val="center"/>
              <w:rPr>
                <w:noProof/>
              </w:rPr>
            </w:pPr>
            <w:r>
              <w:rPr>
                <w:noProof/>
              </w:rPr>
              <w:t>EI OLE</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C4CB6" w14:textId="77777777" w:rsidR="00E42B18" w:rsidRDefault="009629C4">
            <w:pPr>
              <w:pStyle w:val="P68B1DB1-Normal12"/>
              <w:spacing w:line="276" w:lineRule="auto"/>
              <w:jc w:val="center"/>
              <w:rPr>
                <w:noProof/>
              </w:rPr>
            </w:pPr>
            <w:r>
              <w:rPr>
                <w:noProof/>
              </w:rPr>
              <w:t>Numero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796CB" w14:textId="77777777" w:rsidR="00E42B18" w:rsidRDefault="009629C4">
            <w:pPr>
              <w:pStyle w:val="P68B1DB1-Normal12"/>
              <w:spacing w:line="276" w:lineRule="auto"/>
              <w:jc w:val="center"/>
              <w:rPr>
                <w:noProof/>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0B7D3" w14:textId="4332BBDD" w:rsidR="00E42B18" w:rsidRDefault="009629C4">
            <w:pPr>
              <w:pStyle w:val="P68B1DB1-Normal11"/>
              <w:spacing w:line="276" w:lineRule="auto"/>
              <w:jc w:val="center"/>
              <w:rPr>
                <w:noProof/>
                <w:szCs w:val="20"/>
              </w:rPr>
            </w:pPr>
            <w:r>
              <w:rPr>
                <w:noProof/>
                <w:szCs w:val="20"/>
              </w:rPr>
              <w:t>10</w:t>
            </w:r>
            <w:r>
              <w:rPr>
                <w:noProof/>
              </w:rPr>
              <w:t xml:space="preserve"> </w:t>
            </w:r>
            <w:r>
              <w:rPr>
                <w:noProof/>
                <w:szCs w:val="20"/>
              </w:rPr>
              <w:t>368</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8D778" w14:textId="77777777" w:rsidR="00E42B18" w:rsidRDefault="009629C4">
            <w:pPr>
              <w:pStyle w:val="P68B1DB1-Normal12"/>
              <w:spacing w:line="276" w:lineRule="auto"/>
              <w:jc w:val="center"/>
              <w:rPr>
                <w:noProof/>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BEEAD0" w14:textId="77777777" w:rsidR="00E42B18" w:rsidRDefault="009629C4">
            <w:pPr>
              <w:pStyle w:val="P68B1DB1-Normal12"/>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30DB3" w14:textId="09110CF5" w:rsidR="00E42B18" w:rsidRDefault="009629C4">
            <w:pPr>
              <w:pStyle w:val="P68B1DB1-Normal11"/>
              <w:spacing w:after="120"/>
              <w:jc w:val="both"/>
              <w:rPr>
                <w:noProof/>
                <w:szCs w:val="20"/>
              </w:rPr>
            </w:pPr>
            <w:r>
              <w:rPr>
                <w:noProof/>
                <w:szCs w:val="20"/>
              </w:rPr>
              <w:t>Rakennuttajan asennuksesta ja liitäntäkustannuksia koskevan arvion hyväksymisestä annetaan todistukset vähintään 10368 nopeasta julkisesta latausinfrastruktuuripisteestä, jotka on tarkoitettu sähköajoneuvoille joko vapailla väylillä tai kaupunkialueilla.</w:t>
            </w:r>
          </w:p>
          <w:p w14:paraId="73E0268F" w14:textId="7B1E8C1B" w:rsidR="00E42B18" w:rsidRDefault="009629C4">
            <w:pPr>
              <w:pStyle w:val="P68B1DB1-Normal12"/>
              <w:spacing w:after="120"/>
              <w:jc w:val="both"/>
              <w:rPr>
                <w:noProof/>
              </w:rPr>
            </w:pPr>
            <w:r>
              <w:rPr>
                <w:noProof/>
              </w:rPr>
              <w:t xml:space="preserve">Sähköajoneuvojen latausinfrastruktuurin on oltava vapaateillä vähintään 175 kW ja kaupunkialueilla vähintään 90 kW. </w:t>
            </w:r>
          </w:p>
        </w:tc>
      </w:tr>
      <w:tr w:rsidR="00E42B18" w14:paraId="3838C67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2E75C8" w14:textId="77777777" w:rsidR="00E42B18" w:rsidRDefault="009629C4">
            <w:pPr>
              <w:pStyle w:val="P68B1DB1-Normal12"/>
              <w:spacing w:line="276" w:lineRule="auto"/>
              <w:jc w:val="center"/>
              <w:rPr>
                <w:noProof/>
              </w:rPr>
            </w:pPr>
            <w:r>
              <w:rPr>
                <w:noProof/>
              </w:rPr>
              <w:t>M2C2–30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696793" w14:textId="77777777" w:rsidR="00E42B18" w:rsidRDefault="009629C4">
            <w:pPr>
              <w:pStyle w:val="P68B1DB1-Normal12"/>
              <w:spacing w:line="276" w:lineRule="auto"/>
              <w:jc w:val="center"/>
              <w:rPr>
                <w:noProof/>
              </w:rPr>
            </w:pPr>
            <w:r>
              <w:rPr>
                <w:noProof/>
              </w:rPr>
              <w:t>Investointi 4.5 – Yksityisten ja kevyiden hyötyajoneuvojen ajoneuvokannan uudistamisohjelma sähköajoneuvoilla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B75E26" w14:textId="77777777" w:rsidR="00E42B18" w:rsidRDefault="009629C4">
            <w:pPr>
              <w:pStyle w:val="P68B1DB1-Normal12"/>
              <w:spacing w:line="276" w:lineRule="auto"/>
              <w:jc w:val="center"/>
              <w:rPr>
                <w:noProof/>
              </w:rPr>
            </w:pPr>
            <w:r>
              <w:rPr>
                <w:noProof/>
              </w:rPr>
              <w:t>Kohde </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A3B949" w14:textId="77777777" w:rsidR="00E42B18" w:rsidRDefault="009629C4">
            <w:pPr>
              <w:pStyle w:val="P68B1DB1-Normal12"/>
              <w:spacing w:line="276" w:lineRule="auto"/>
              <w:jc w:val="center"/>
              <w:rPr>
                <w:noProof/>
              </w:rPr>
            </w:pPr>
            <w:r>
              <w:rPr>
                <w:noProof/>
              </w:rPr>
              <w:t>Ostettujen ajoneuvojen lukumäärä</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080B6C" w14:textId="77777777" w:rsidR="00E42B18" w:rsidRDefault="009629C4">
            <w:pPr>
              <w:pStyle w:val="P68B1DB1-Normal12"/>
              <w:spacing w:line="276" w:lineRule="auto"/>
              <w:jc w:val="center"/>
              <w:rPr>
                <w:noProof/>
              </w:rPr>
            </w:pPr>
            <w:r>
              <w:rPr>
                <w:noProof/>
              </w:rPr>
              <w:t>EI OLE</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AB0947" w14:textId="77777777" w:rsidR="00E42B18" w:rsidRDefault="009629C4">
            <w:pPr>
              <w:pStyle w:val="P68B1DB1-Normal12"/>
              <w:spacing w:line="276" w:lineRule="auto"/>
              <w:jc w:val="center"/>
              <w:rPr>
                <w:noProof/>
              </w:rPr>
            </w:pPr>
            <w:r>
              <w:rPr>
                <w:noProof/>
              </w:rPr>
              <w:t>Numero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8F9082" w14:textId="77777777" w:rsidR="00E42B18" w:rsidRDefault="009629C4">
            <w:pPr>
              <w:pStyle w:val="P68B1DB1-Normal12"/>
              <w:spacing w:line="276" w:lineRule="auto"/>
              <w:jc w:val="center"/>
              <w:rPr>
                <w:noProof/>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7890B" w14:textId="793877EC" w:rsidR="00E42B18" w:rsidRDefault="009629C4">
            <w:pPr>
              <w:pStyle w:val="P68B1DB1-Normal11"/>
              <w:spacing w:line="276" w:lineRule="auto"/>
              <w:jc w:val="center"/>
              <w:rPr>
                <w:noProof/>
                <w:szCs w:val="20"/>
              </w:rPr>
            </w:pPr>
            <w:r>
              <w:rPr>
                <w:noProof/>
                <w:szCs w:val="20"/>
              </w:rPr>
              <w:t>30</w:t>
            </w:r>
            <w:r>
              <w:rPr>
                <w:noProof/>
              </w:rPr>
              <w:t xml:space="preserve"> </w:t>
            </w:r>
            <w:r>
              <w:rPr>
                <w:noProof/>
                <w:szCs w:val="20"/>
              </w:rPr>
              <w:t>830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13F36" w14:textId="77777777" w:rsidR="00E42B18" w:rsidRDefault="009629C4">
            <w:pPr>
              <w:pStyle w:val="P68B1DB1-Normal12"/>
              <w:spacing w:line="276" w:lineRule="auto"/>
              <w:jc w:val="center"/>
              <w:rPr>
                <w:noProof/>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3011E" w14:textId="77777777" w:rsidR="00E42B18" w:rsidRDefault="009629C4">
            <w:pPr>
              <w:pStyle w:val="P68B1DB1-Normal12"/>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E912D" w14:textId="4F650512" w:rsidR="00E42B18" w:rsidRDefault="009629C4">
            <w:pPr>
              <w:pStyle w:val="P68B1DB1-Normal11"/>
              <w:spacing w:after="120"/>
              <w:rPr>
                <w:noProof/>
                <w:szCs w:val="20"/>
              </w:rPr>
            </w:pPr>
            <w:r>
              <w:rPr>
                <w:noProof/>
                <w:szCs w:val="20"/>
              </w:rPr>
              <w:t>Vähintään 30830 päästöttömän ajoneuvon ostosopimukset.</w:t>
            </w:r>
          </w:p>
          <w:p w14:paraId="66442471" w14:textId="77777777" w:rsidR="00E42B18" w:rsidRDefault="009629C4">
            <w:pPr>
              <w:pStyle w:val="P68B1DB1-Normal12"/>
              <w:spacing w:after="120"/>
              <w:jc w:val="both"/>
              <w:rPr>
                <w:noProof/>
              </w:rPr>
            </w:pPr>
            <w:r>
              <w:rPr>
                <w:noProof/>
              </w:rPr>
              <w:t>Jokaisesta ajoneuvosta on myös toimitettava romutustodistus, jolla lämpöajoneuvon romuttaminen poistetaan.</w:t>
            </w:r>
          </w:p>
          <w:p w14:paraId="5F36ECA0" w14:textId="77777777" w:rsidR="00E42B18" w:rsidRDefault="009629C4">
            <w:pPr>
              <w:pStyle w:val="P68B1DB1-Normal12"/>
              <w:spacing w:after="120"/>
              <w:rPr>
                <w:noProof/>
              </w:rPr>
            </w:pPr>
            <w:r>
              <w:rPr>
                <w:noProof/>
              </w:rPr>
              <w:t>Järjestelmän on kohdistuttava seuraaviin:</w:t>
            </w:r>
          </w:p>
          <w:p w14:paraId="59208D57" w14:textId="77777777" w:rsidR="00E42B18" w:rsidRDefault="009629C4">
            <w:pPr>
              <w:pStyle w:val="P68B1DB1-Normal12"/>
              <w:spacing w:after="120"/>
              <w:rPr>
                <w:noProof/>
              </w:rPr>
            </w:pPr>
            <w:r>
              <w:rPr>
                <w:noProof/>
              </w:rPr>
              <w:t>• Toiminnallisilla kaupunkialueilla asuvat henkilöt. Yksityishenkilöiden osalta tukikelpoisia ovat ainoastaan M1-luokan ajoneuvot.</w:t>
            </w:r>
          </w:p>
          <w:p w14:paraId="50DB2CEE" w14:textId="77777777" w:rsidR="00E42B18" w:rsidRDefault="009629C4">
            <w:pPr>
              <w:pStyle w:val="P68B1DB1-Normal12"/>
              <w:spacing w:after="120"/>
              <w:rPr>
                <w:noProof/>
              </w:rPr>
            </w:pPr>
            <w:r>
              <w:rPr>
                <w:noProof/>
              </w:rPr>
              <w:t>• Asetuksen (EU) 2023/955 2 artiklan 9 alakohdassa määritellyt mikroyritykset, joiden sääntömääräinen kotipaikka on toiminnallisilla kaupunkialueilla. Mikroyritysten osalta tukikelpoisia ovat ainoastaan N1- ja N2-luokan ajoneuvot.</w:t>
            </w:r>
          </w:p>
          <w:p w14:paraId="035776A3" w14:textId="780A7376" w:rsidR="00E42B18" w:rsidRDefault="009629C4">
            <w:pPr>
              <w:pStyle w:val="P68B1DB1-Normal11"/>
              <w:spacing w:after="120"/>
              <w:rPr>
                <w:noProof/>
                <w:szCs w:val="20"/>
              </w:rPr>
            </w:pPr>
            <w:r>
              <w:rPr>
                <w:noProof/>
                <w:szCs w:val="20"/>
              </w:rPr>
              <w:t>Yksityisajoneuvojen (M1) osalta kannustin on enintään 11000 euroa uutta ajoneuvoa kohti sellaisten henkilöiden osalta, joiden vastaava taloudellinen tilanneindikaattori (ISEE – Indicatore della Situazione Economica Equivalente) on enintään 30000 euroa, ja enintään 9000 euroa uutta ajoneuvoa kohti niiden henkilöiden osalta, joiden ISEE- arvo on yli 30000 euroa mutta alle 40000 euroa. Hyötyajoneuvojen (N1 ja N2) osalta kannustimen on katettava enintään 30 prosenttia ostohinnasta, ja se saa olla enintään</w:t>
            </w:r>
            <w:r>
              <w:rPr>
                <w:noProof/>
              </w:rPr>
              <w:t xml:space="preserve"> </w:t>
            </w:r>
            <w:r>
              <w:rPr>
                <w:noProof/>
                <w:szCs w:val="20"/>
              </w:rPr>
              <w:t xml:space="preserve">20000 euroa uutta ajoneuvoa kohti. </w:t>
            </w:r>
          </w:p>
          <w:p w14:paraId="4D6F0C54" w14:textId="3A4B7752" w:rsidR="00E42B18" w:rsidRDefault="009629C4">
            <w:pPr>
              <w:pStyle w:val="P68B1DB1-Normal12"/>
              <w:spacing w:after="120"/>
              <w:rPr>
                <w:noProof/>
              </w:rPr>
            </w:pPr>
            <w:r>
              <w:rPr>
                <w:noProof/>
              </w:rPr>
              <w:t>Järjestelmän on kohdistuttava ainoastaan päästöttömien ajoneuvojen hankintaan.</w:t>
            </w:r>
          </w:p>
        </w:tc>
      </w:tr>
      <w:tr w:rsidR="00E42B18" w14:paraId="7E77C348"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17AF2" w14:textId="77777777" w:rsidR="00E42B18" w:rsidRDefault="009629C4">
            <w:pPr>
              <w:pStyle w:val="P68B1DB1-Normal11"/>
              <w:spacing w:line="276" w:lineRule="auto"/>
              <w:jc w:val="center"/>
              <w:rPr>
                <w:noProof/>
                <w:szCs w:val="20"/>
              </w:rPr>
            </w:pPr>
            <w:r>
              <w:rPr>
                <w:noProof/>
              </w:rPr>
              <w:t>M2C2–33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7681F7" w14:textId="53EE5FA8" w:rsidR="00E42B18" w:rsidRDefault="009629C4">
            <w:pPr>
              <w:pStyle w:val="P68B1DB1-Normal11"/>
              <w:spacing w:line="276" w:lineRule="auto"/>
              <w:jc w:val="center"/>
              <w:rPr>
                <w:noProof/>
                <w:szCs w:val="20"/>
              </w:rPr>
            </w:pPr>
            <w:r>
              <w:rPr>
                <w:noProof/>
              </w:rPr>
              <w:t>Investointi 4.4.2: Alueellisen julkisen liikenteen rautatiekaluston vahvistaminen päästöttömillä junilla ja yleispalvelulla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49181"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F0B96" w14:textId="77777777" w:rsidR="00E42B18" w:rsidRDefault="009629C4">
            <w:pPr>
              <w:pStyle w:val="P68B1DB1-Normal11"/>
              <w:spacing w:line="276" w:lineRule="auto"/>
              <w:jc w:val="center"/>
              <w:rPr>
                <w:noProof/>
                <w:szCs w:val="20"/>
              </w:rPr>
            </w:pPr>
            <w:r>
              <w:rPr>
                <w:noProof/>
              </w:rPr>
              <w:t>Kaikkien julkisten hankintasopimusten tekeminen alueellisen julkisen liikenteen rautatiekaluston vahvistamiseksi päästöttömillä junilla ja yleispalvelulla</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C2793" w14:textId="77777777" w:rsidR="00E42B18" w:rsidRDefault="009629C4">
            <w:pPr>
              <w:pStyle w:val="P68B1DB1-Normal11"/>
              <w:spacing w:line="276" w:lineRule="auto"/>
              <w:jc w:val="center"/>
              <w:rPr>
                <w:noProof/>
                <w:szCs w:val="20"/>
              </w:rPr>
            </w:pPr>
            <w:r>
              <w:rPr>
                <w:noProof/>
              </w:rPr>
              <w:t>Ilmoitus kaikkien sellaisten sopimusten tekemisestä, jotka koskevat alueellisen julkisen liikenteen rautatiekaluston vahvistamista päästöttömillä junilla ja yleispalvelulla</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E70115"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12B76"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8D4DD8"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F03A9A" w14:textId="77777777" w:rsidR="00E42B18" w:rsidRDefault="009629C4">
            <w:pPr>
              <w:pStyle w:val="P68B1DB1-Normal11"/>
              <w:spacing w:line="276" w:lineRule="auto"/>
              <w:jc w:val="center"/>
              <w:rPr>
                <w:noProof/>
                <w:szCs w:val="20"/>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4E556" w14:textId="77777777" w:rsidR="00E42B18" w:rsidRDefault="009629C4">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DEE158" w14:textId="77777777" w:rsidR="00E42B18" w:rsidRDefault="009629C4">
            <w:pPr>
              <w:spacing w:after="120"/>
              <w:jc w:val="center"/>
              <w:rPr>
                <w:rFonts w:ascii="Arial Narrow" w:hAnsi="Arial Narrow"/>
                <w:noProof/>
                <w:color w:val="006100"/>
                <w:sz w:val="20"/>
                <w:szCs w:val="20"/>
              </w:rPr>
            </w:pPr>
            <w:r>
              <w:rPr>
                <w:rFonts w:ascii="Arial Narrow" w:hAnsi="Arial Narrow"/>
                <w:noProof/>
                <w:color w:val="006100"/>
                <w:sz w:val="20"/>
                <w:szCs w:val="20"/>
              </w:rPr>
              <w:t>Ilmoitus kaikkien päästöttömien junien hankintaa koskevien julkisten hankintasopimusten tekemisestä</w:t>
            </w:r>
            <w:r>
              <w:rPr>
                <w:rStyle w:val="FootnoteReference"/>
                <w:rFonts w:ascii="Arial Narrow" w:hAnsi="Arial Narrow"/>
                <w:noProof/>
                <w:color w:val="006100"/>
                <w:sz w:val="20"/>
                <w:szCs w:val="20"/>
              </w:rPr>
              <w:footnoteReference w:id="39"/>
            </w:r>
            <w:r>
              <w:rPr>
                <w:rFonts w:ascii="Arial Narrow" w:hAnsi="Arial Narrow"/>
                <w:noProof/>
              </w:rPr>
              <w:t>.</w:t>
            </w:r>
          </w:p>
        </w:tc>
      </w:tr>
      <w:tr w:rsidR="00E42B18" w14:paraId="5A4CD785"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CB675" w14:textId="6E0D63D3" w:rsidR="00E42B18" w:rsidRDefault="009629C4">
            <w:pPr>
              <w:pStyle w:val="P68B1DB1-Normal12"/>
              <w:spacing w:line="276" w:lineRule="auto"/>
              <w:jc w:val="center"/>
              <w:rPr>
                <w:noProof/>
              </w:rPr>
            </w:pPr>
            <w:r>
              <w:rPr>
                <w:noProof/>
              </w:rPr>
              <w:t>M2C2–35</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20878A" w14:textId="12BB7E1B" w:rsidR="00E42B18" w:rsidRDefault="009629C4">
            <w:pPr>
              <w:pStyle w:val="P68B1DB1-Normal14"/>
              <w:spacing w:line="276" w:lineRule="auto"/>
              <w:jc w:val="center"/>
              <w:rPr>
                <w:noProof/>
                <w:color w:val="006100"/>
                <w:szCs w:val="20"/>
              </w:rPr>
            </w:pPr>
            <w:r>
              <w:rPr>
                <w:noProof/>
                <w:color w:val="006100"/>
              </w:rPr>
              <w:t>Investointi 4.4.1: Alueellisen julkisen liikenteen linja-autokannan vahvistaminen</w:t>
            </w:r>
            <w:r>
              <w:rPr>
                <w:noProof/>
              </w:rPr>
              <w:t xml:space="preserve"> </w:t>
            </w:r>
            <w:r>
              <w:rPr>
                <w:noProof/>
                <w:color w:val="006100"/>
              </w:rPr>
              <w:t>päästöttömillä linja-</w:t>
            </w:r>
            <w:r>
              <w:rPr>
                <w:noProof/>
              </w:rPr>
              <w:t xml:space="preserve"> autoilla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FC753B" w14:textId="3DE18D61" w:rsidR="00E42B18" w:rsidRDefault="009629C4">
            <w:pPr>
              <w:pStyle w:val="P68B1DB1-Normal11"/>
              <w:spacing w:line="276" w:lineRule="auto"/>
              <w:jc w:val="center"/>
              <w:rPr>
                <w:noProof/>
              </w:rPr>
            </w:pPr>
            <w:r>
              <w:rPr>
                <w:noProof/>
              </w:rPr>
              <w:t>Kohde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29FF79" w14:textId="10F9853A" w:rsidR="00E42B18" w:rsidRDefault="009629C4">
            <w:pPr>
              <w:pStyle w:val="P68B1DB1-Normal11"/>
              <w:spacing w:line="276" w:lineRule="auto"/>
              <w:jc w:val="center"/>
              <w:rPr>
                <w:noProof/>
              </w:rPr>
            </w:pPr>
            <w:r>
              <w:rPr>
                <w:noProof/>
              </w:rPr>
              <w:t>Rekisteröityjen päästöttömien linja-autojen lukumäärä T2</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3A90C9" w14:textId="4F78C462" w:rsidR="00E42B18" w:rsidRDefault="009629C4">
            <w:pPr>
              <w:pStyle w:val="P68B1DB1-Normal11"/>
              <w:spacing w:line="276" w:lineRule="auto"/>
              <w:jc w:val="center"/>
              <w:rPr>
                <w:noProof/>
              </w:rPr>
            </w:pPr>
            <w:r>
              <w:rPr>
                <w:noProof/>
              </w:rPr>
              <w:t>EI OLE</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D141F8" w14:textId="6712B3EC" w:rsidR="00E42B18" w:rsidRDefault="009629C4">
            <w:pPr>
              <w:pStyle w:val="P68B1DB1-Normal11"/>
              <w:spacing w:line="276" w:lineRule="auto"/>
              <w:jc w:val="center"/>
              <w:rPr>
                <w:noProof/>
              </w:rPr>
            </w:pPr>
            <w:r>
              <w:rPr>
                <w:noProof/>
              </w:rPr>
              <w:t>Numero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C7D7F" w14:textId="538D5A25" w:rsidR="00E42B18" w:rsidRDefault="009629C4">
            <w:pPr>
              <w:pStyle w:val="P68B1DB1-Normal11"/>
              <w:spacing w:line="276" w:lineRule="auto"/>
              <w:jc w:val="center"/>
              <w:rPr>
                <w:noProof/>
              </w:rPr>
            </w:pPr>
            <w:r>
              <w:rPr>
                <w:noProof/>
              </w:rPr>
              <w:t>800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C71FAB" w14:textId="70C82F7B" w:rsidR="00E42B18" w:rsidRDefault="009629C4">
            <w:pPr>
              <w:pStyle w:val="P68B1DB1-Normal11"/>
              <w:spacing w:line="276" w:lineRule="auto"/>
              <w:jc w:val="center"/>
              <w:rPr>
                <w:noProof/>
              </w:rPr>
            </w:pPr>
            <w:r>
              <w:rPr>
                <w:noProof/>
              </w:rPr>
              <w:t>3 000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16B53F" w14:textId="4AD26D0E" w:rsidR="00E42B18" w:rsidRDefault="009629C4">
            <w:pPr>
              <w:pStyle w:val="P68B1DB1-Normal11"/>
              <w:spacing w:line="276" w:lineRule="auto"/>
              <w:jc w:val="center"/>
              <w:rPr>
                <w:noProof/>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33E85C" w14:textId="05AE972B" w:rsidR="00E42B18" w:rsidRDefault="009629C4">
            <w:pPr>
              <w:pStyle w:val="P68B1DB1-Normal11"/>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EA0160" w14:textId="30897E84" w:rsidR="00E42B18" w:rsidRDefault="009629C4">
            <w:pPr>
              <w:pStyle w:val="P68B1DB1-Normal12"/>
              <w:rPr>
                <w:noProof/>
              </w:rPr>
            </w:pPr>
            <w:r>
              <w:rPr>
                <w:noProof/>
              </w:rPr>
              <w:t>Rekisteröidään vähintään 3000 päästötöntä linja-autoa.</w:t>
            </w:r>
          </w:p>
          <w:p w14:paraId="4D65ED49" w14:textId="4D436E8E" w:rsidR="00E42B18" w:rsidRDefault="009629C4">
            <w:pPr>
              <w:pStyle w:val="P68B1DB1-Normal12"/>
              <w:spacing w:after="120"/>
              <w:rPr>
                <w:noProof/>
              </w:rPr>
            </w:pPr>
            <w:r>
              <w:rPr>
                <w:noProof/>
              </w:rPr>
              <w:t>Tukikelpoiset linja-autot kuuluvat M2- ja M3-luokan ajoneuvoihin UNECE-standardien mukaisesti, ja ne ovat joko sähkö- tai vetypolttokennoja.</w:t>
            </w:r>
          </w:p>
        </w:tc>
      </w:tr>
      <w:tr w:rsidR="00E42B18" w14:paraId="57BDD6E9"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7B2FE" w14:textId="035E8B9E" w:rsidR="00E42B18" w:rsidRDefault="009629C4">
            <w:pPr>
              <w:pStyle w:val="P68B1DB1-Normal11"/>
              <w:spacing w:line="276" w:lineRule="auto"/>
              <w:jc w:val="center"/>
              <w:rPr>
                <w:noProof/>
              </w:rPr>
            </w:pPr>
            <w:r>
              <w:rPr>
                <w:noProof/>
              </w:rPr>
              <w:t>M2C2–35 ter</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EABA53" w14:textId="0F22C79A" w:rsidR="00E42B18" w:rsidRDefault="009629C4">
            <w:pPr>
              <w:pStyle w:val="P68B1DB1-Normal12"/>
              <w:spacing w:line="276" w:lineRule="auto"/>
              <w:jc w:val="center"/>
              <w:rPr>
                <w:noProof/>
              </w:rPr>
            </w:pPr>
            <w:r>
              <w:rPr>
                <w:noProof/>
              </w:rPr>
              <w:t>Investointi 4.4.1: Alueellisen julkisen liikenteen linja-autokannan vahvistaminen päästöttömillä linja-autoilla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FAEC54" w14:textId="049C24C2" w:rsidR="00E42B18" w:rsidRDefault="009629C4">
            <w:pPr>
              <w:pStyle w:val="P68B1DB1-Normal11"/>
              <w:spacing w:line="276" w:lineRule="auto"/>
              <w:jc w:val="center"/>
              <w:rPr>
                <w:noProof/>
              </w:rPr>
            </w:pPr>
            <w:r>
              <w:rPr>
                <w:noProof/>
              </w:rPr>
              <w:t>Kohde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914C1" w14:textId="4B9E7B67" w:rsidR="00E42B18" w:rsidRDefault="009629C4">
            <w:pPr>
              <w:pStyle w:val="P68B1DB1-Normal11"/>
              <w:spacing w:line="276" w:lineRule="auto"/>
              <w:jc w:val="center"/>
              <w:rPr>
                <w:noProof/>
              </w:rPr>
            </w:pPr>
            <w:r>
              <w:rPr>
                <w:noProof/>
              </w:rPr>
              <w:t>Päästöttömien ja vähäpäästöisten linja-autojen latauspisteiden lukumäärä</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ADF979" w14:textId="77777777" w:rsidR="00E42B18" w:rsidRDefault="00E42B18">
            <w:pPr>
              <w:spacing w:line="276" w:lineRule="auto"/>
              <w:jc w:val="center"/>
              <w:rPr>
                <w:rFonts w:ascii="Arial Narrow" w:hAnsi="Arial Narrow"/>
                <w:noProof/>
                <w:color w:val="006100"/>
                <w:sz w:val="20"/>
              </w:rPr>
            </w:pP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4843C3" w14:textId="6D49BD00" w:rsidR="00E42B18" w:rsidRDefault="009629C4">
            <w:pPr>
              <w:pStyle w:val="P68B1DB1-Normal11"/>
              <w:spacing w:line="276" w:lineRule="auto"/>
              <w:jc w:val="center"/>
              <w:rPr>
                <w:noProof/>
              </w:rPr>
            </w:pPr>
            <w:r>
              <w:rPr>
                <w:noProof/>
              </w:rPr>
              <w:t>Numero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5C8181" w14:textId="40E49E6A" w:rsidR="00E42B18" w:rsidRDefault="009629C4">
            <w:pPr>
              <w:pStyle w:val="P68B1DB1-Normal11"/>
              <w:spacing w:line="276" w:lineRule="auto"/>
              <w:jc w:val="center"/>
              <w:rPr>
                <w:noProof/>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E120D6" w14:textId="1D9E1443" w:rsidR="00E42B18" w:rsidRDefault="009629C4">
            <w:pPr>
              <w:pStyle w:val="P68B1DB1-Normal44"/>
              <w:spacing w:line="276" w:lineRule="auto"/>
              <w:jc w:val="center"/>
              <w:rPr>
                <w:rFonts w:hAnsi="Arial Narrow"/>
                <w:noProof/>
              </w:rPr>
            </w:pPr>
            <w:r>
              <w:rPr>
                <w:noProof/>
              </w:rPr>
              <w:t>1</w:t>
            </w:r>
            <w:r>
              <w:rPr>
                <w:noProof/>
              </w:rPr>
              <w:t> </w:t>
            </w:r>
            <w:r>
              <w:rPr>
                <w:noProof/>
              </w:rPr>
              <w:t>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565AA" w14:textId="547C1A51" w:rsidR="00E42B18" w:rsidRDefault="009629C4">
            <w:pPr>
              <w:pStyle w:val="P68B1DB1-Normal11"/>
              <w:spacing w:line="276" w:lineRule="auto"/>
              <w:jc w:val="center"/>
              <w:rPr>
                <w:noProof/>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A263D" w14:textId="380A764F" w:rsidR="00E42B18" w:rsidRDefault="009629C4">
            <w:pPr>
              <w:pStyle w:val="P68B1DB1-Normal11"/>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69D92F" w14:textId="0E673CAA" w:rsidR="00E42B18" w:rsidRDefault="009629C4">
            <w:pPr>
              <w:pStyle w:val="P68B1DB1-Normal61"/>
              <w:spacing w:after="120"/>
              <w:rPr>
                <w:rFonts w:hAnsi="Arial Narrow"/>
                <w:noProof/>
              </w:rPr>
            </w:pPr>
            <w:r>
              <w:rPr>
                <w:noProof/>
              </w:rPr>
              <w:t>Asennustodistukset ja liit</w:t>
            </w:r>
            <w:r>
              <w:rPr>
                <w:noProof/>
              </w:rPr>
              <w:t>ä</w:t>
            </w:r>
            <w:r>
              <w:rPr>
                <w:noProof/>
              </w:rPr>
              <w:t>nt</w:t>
            </w:r>
            <w:r>
              <w:rPr>
                <w:noProof/>
              </w:rPr>
              <w:t>ä</w:t>
            </w:r>
            <w:r>
              <w:rPr>
                <w:noProof/>
              </w:rPr>
              <w:t>sopimukset tai lis</w:t>
            </w:r>
            <w:r>
              <w:rPr>
                <w:noProof/>
              </w:rPr>
              <w:t>ä</w:t>
            </w:r>
            <w:r>
              <w:rPr>
                <w:noProof/>
              </w:rPr>
              <w:t>s</w:t>
            </w:r>
            <w:r>
              <w:rPr>
                <w:noProof/>
              </w:rPr>
              <w:t>ä</w:t>
            </w:r>
            <w:r>
              <w:rPr>
                <w:noProof/>
              </w:rPr>
              <w:t>hk</w:t>
            </w:r>
            <w:r>
              <w:rPr>
                <w:noProof/>
              </w:rPr>
              <w:t>ö</w:t>
            </w:r>
            <w:r>
              <w:rPr>
                <w:noProof/>
              </w:rPr>
              <w:t>nsy</w:t>
            </w:r>
            <w:r>
              <w:rPr>
                <w:noProof/>
              </w:rPr>
              <w:t>ö</w:t>
            </w:r>
            <w:r>
              <w:rPr>
                <w:noProof/>
              </w:rPr>
              <w:t>tt</w:t>
            </w:r>
            <w:r>
              <w:rPr>
                <w:noProof/>
              </w:rPr>
              <w:t>ö</w:t>
            </w:r>
            <w:r>
              <w:rPr>
                <w:noProof/>
              </w:rPr>
              <w:t>sopimukset, jotka on annettu v</w:t>
            </w:r>
            <w:r>
              <w:rPr>
                <w:noProof/>
              </w:rPr>
              <w:t>ä</w:t>
            </w:r>
            <w:r>
              <w:rPr>
                <w:noProof/>
              </w:rPr>
              <w:t>hint</w:t>
            </w:r>
            <w:r>
              <w:rPr>
                <w:noProof/>
              </w:rPr>
              <w:t>ää</w:t>
            </w:r>
            <w:r>
              <w:rPr>
                <w:noProof/>
              </w:rPr>
              <w:t>n 1000 latauspisteelle.</w:t>
            </w:r>
          </w:p>
        </w:tc>
      </w:tr>
      <w:tr w:rsidR="00E42B18" w14:paraId="66E2326F"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F97D18" w14:textId="21594AAC" w:rsidR="00E42B18" w:rsidRDefault="009629C4">
            <w:pPr>
              <w:pStyle w:val="P68B1DB1-Normal12"/>
              <w:spacing w:line="276" w:lineRule="auto"/>
              <w:jc w:val="center"/>
              <w:rPr>
                <w:noProof/>
              </w:rPr>
            </w:pPr>
            <w:r>
              <w:rPr>
                <w:noProof/>
              </w:rPr>
              <w:t>M2C2–36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0EEF7" w14:textId="7992731C" w:rsidR="00E42B18" w:rsidRDefault="009629C4">
            <w:pPr>
              <w:pStyle w:val="P68B1DB1-Normal11"/>
              <w:spacing w:line="276" w:lineRule="auto"/>
              <w:jc w:val="center"/>
              <w:rPr>
                <w:noProof/>
                <w:szCs w:val="20"/>
              </w:rPr>
            </w:pPr>
            <w:r>
              <w:rPr>
                <w:noProof/>
              </w:rPr>
              <w:t>Investointi 4.4.3: Kansallisen palokunnan komentokaluston uusiminen</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1C4D21" w14:textId="0256F615" w:rsidR="00E42B18" w:rsidRDefault="009629C4">
            <w:pPr>
              <w:pStyle w:val="P68B1DB1-Normal11"/>
              <w:spacing w:line="276" w:lineRule="auto"/>
              <w:jc w:val="center"/>
              <w:rPr>
                <w:noProof/>
              </w:rPr>
            </w:pPr>
            <w:r>
              <w:rPr>
                <w:noProof/>
              </w:rPr>
              <w:t>Kohde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C7A4D4" w14:textId="5D2B2F50" w:rsidR="00E42B18" w:rsidRDefault="009629C4">
            <w:pPr>
              <w:pStyle w:val="P68B1DB1-Normal11"/>
              <w:spacing w:line="276" w:lineRule="auto"/>
              <w:jc w:val="center"/>
              <w:rPr>
                <w:noProof/>
              </w:rPr>
            </w:pPr>
            <w:r>
              <w:rPr>
                <w:noProof/>
              </w:rPr>
              <w:t>Puhtaiden ajoneuvojen lukumäärä kansallisen palokunnan uusimiskalustoa varten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0B61E9" w14:textId="5CC2E5EE" w:rsidR="00E42B18" w:rsidRDefault="009629C4">
            <w:pPr>
              <w:pStyle w:val="P68B1DB1-Normal11"/>
              <w:spacing w:line="276" w:lineRule="auto"/>
              <w:jc w:val="center"/>
              <w:rPr>
                <w:noProof/>
              </w:rPr>
            </w:pPr>
            <w:r>
              <w:rPr>
                <w:noProof/>
              </w:rPr>
              <w:t>EI OLE</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B7FC17" w14:textId="3BFBD273" w:rsidR="00E42B18" w:rsidRDefault="009629C4">
            <w:pPr>
              <w:pStyle w:val="P68B1DB1-Normal11"/>
              <w:spacing w:line="276" w:lineRule="auto"/>
              <w:jc w:val="center"/>
              <w:rPr>
                <w:noProof/>
              </w:rPr>
            </w:pPr>
            <w:r>
              <w:rPr>
                <w:noProof/>
              </w:rPr>
              <w:t>Numero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4ECD07" w14:textId="46C54A56" w:rsidR="00E42B18" w:rsidRDefault="009629C4">
            <w:pPr>
              <w:pStyle w:val="P68B1DB1-Normal11"/>
              <w:spacing w:line="276" w:lineRule="auto"/>
              <w:jc w:val="center"/>
              <w:rPr>
                <w:noProof/>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1C7B1B" w14:textId="19C1A6CD" w:rsidR="00E42B18" w:rsidRDefault="009629C4">
            <w:pPr>
              <w:pStyle w:val="P68B1DB1-Normal44"/>
              <w:spacing w:line="276" w:lineRule="auto"/>
              <w:jc w:val="center"/>
              <w:rPr>
                <w:rFonts w:hAnsi="Arial Narrow"/>
                <w:noProof/>
              </w:rPr>
            </w:pPr>
            <w:r>
              <w:rPr>
                <w:noProof/>
              </w:rPr>
              <w:t>3</w:t>
            </w:r>
            <w:r>
              <w:rPr>
                <w:noProof/>
              </w:rPr>
              <w:t> </w:t>
            </w:r>
            <w:r>
              <w:rPr>
                <w:noProof/>
              </w:rPr>
              <w:t>800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AB9480" w14:textId="3528CCFB" w:rsidR="00E42B18" w:rsidRDefault="009629C4">
            <w:pPr>
              <w:pStyle w:val="P68B1DB1-Normal12"/>
              <w:spacing w:line="276" w:lineRule="auto"/>
              <w:jc w:val="center"/>
              <w:rPr>
                <w:noProof/>
              </w:rPr>
            </w:pPr>
            <w:r>
              <w:rPr>
                <w:noProof/>
              </w:rPr>
              <w:t>Q4</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6CB63C" w14:textId="794C9019" w:rsidR="00E42B18" w:rsidRDefault="009629C4">
            <w:pPr>
              <w:pStyle w:val="P68B1DB1-Normal12"/>
              <w:spacing w:line="276" w:lineRule="auto"/>
              <w:jc w:val="center"/>
              <w:rPr>
                <w:noProof/>
              </w:rPr>
            </w:pPr>
            <w:r>
              <w:rPr>
                <w:noProof/>
              </w:rPr>
              <w:t>2025</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103E6" w14:textId="6EA8972A" w:rsidR="00E42B18" w:rsidRDefault="009629C4">
            <w:pPr>
              <w:pStyle w:val="P68B1DB1-Normal11"/>
              <w:spacing w:after="120"/>
              <w:jc w:val="both"/>
              <w:rPr>
                <w:noProof/>
                <w:szCs w:val="20"/>
              </w:rPr>
            </w:pPr>
            <w:r>
              <w:rPr>
                <w:noProof/>
                <w:szCs w:val="20"/>
              </w:rPr>
              <w:t>Rekisteröidään vähintään 3800</w:t>
            </w:r>
            <w:r>
              <w:rPr>
                <w:noProof/>
              </w:rPr>
              <w:t xml:space="preserve"> </w:t>
            </w:r>
            <w:r>
              <w:rPr>
                <w:noProof/>
                <w:szCs w:val="20"/>
              </w:rPr>
              <w:t>puhdasta ajoneuvoa kansallisen palokunnan uusimiskalustoa varten.</w:t>
            </w:r>
          </w:p>
          <w:p w14:paraId="1E3F48ED" w14:textId="503658F6" w:rsidR="00E42B18" w:rsidRDefault="009629C4">
            <w:pPr>
              <w:pStyle w:val="P68B1DB1-Normal11"/>
              <w:spacing w:after="120"/>
              <w:jc w:val="both"/>
              <w:rPr>
                <w:noProof/>
                <w:szCs w:val="20"/>
              </w:rPr>
            </w:pPr>
            <w:r>
              <w:rPr>
                <w:noProof/>
                <w:szCs w:val="20"/>
              </w:rPr>
              <w:t>Vähintään 3500</w:t>
            </w:r>
            <w:r>
              <w:rPr>
                <w:noProof/>
              </w:rPr>
              <w:t xml:space="preserve"> </w:t>
            </w:r>
            <w:r>
              <w:rPr>
                <w:noProof/>
                <w:szCs w:val="20"/>
              </w:rPr>
              <w:t>ajoneuvon on oltava 100-prosenttisesti sähkökäyttöisiä, kun taas loput on käytettävä biopolttoaineella tai biometaanilla.</w:t>
            </w:r>
          </w:p>
          <w:p w14:paraId="7CDD72AD" w14:textId="1D958594" w:rsidR="00E42B18" w:rsidRDefault="009629C4">
            <w:pPr>
              <w:pStyle w:val="P68B1DB1-Normal12"/>
              <w:jc w:val="both"/>
              <w:rPr>
                <w:noProof/>
              </w:rPr>
            </w:pPr>
            <w:r>
              <w:rPr>
                <w:noProof/>
              </w:rPr>
              <w:t xml:space="preserve">Biopolttoaineiden tuottajien on direktiivin 2018/2001 30 artiklan 1 ja 4 kohdan tai 30 artiklan 6 kohdan mukaisesti toimitettava riippumattoman arvioijan tai riippumattomien arvioijien myöntämä(t) sertifikaatit (kestävyystodisteet), jotka ovat osa komission tunnustamia vapaaehtoisia järjestelmiä tai kansallisia järjestelmiä. </w:t>
            </w:r>
          </w:p>
          <w:p w14:paraId="56855B18" w14:textId="77777777" w:rsidR="00E42B18" w:rsidRDefault="009629C4">
            <w:pPr>
              <w:pStyle w:val="P68B1DB1-Normal12"/>
              <w:jc w:val="both"/>
              <w:rPr>
                <w:noProof/>
              </w:rPr>
            </w:pPr>
            <w:r>
              <w:rPr>
                <w:noProof/>
              </w:rPr>
              <w:t xml:space="preserve">Lisäksi biometaanin toimittajan kanssa allekirjoitetussa sopimuksessa on täsmennettävä, että toiminnanharjoittajan on ostettava alkuperätakuutodistukset odotettua polttoaineen käyttöä varten. </w:t>
            </w:r>
          </w:p>
          <w:p w14:paraId="4997FD6E" w14:textId="5504987C" w:rsidR="00E42B18" w:rsidRDefault="009629C4">
            <w:pPr>
              <w:pStyle w:val="P68B1DB1-Normal12"/>
              <w:spacing w:after="120"/>
              <w:rPr>
                <w:noProof/>
              </w:rPr>
            </w:pPr>
            <w:r>
              <w:rPr>
                <w:noProof/>
              </w:rPr>
              <w:t>Biopolttoaineella toimivat ajoneuvot on tyyppihyväksyttävä luokkaan B100.</w:t>
            </w:r>
          </w:p>
        </w:tc>
      </w:tr>
      <w:tr w:rsidR="00E42B18" w14:paraId="1A0B2942"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BAAF3" w14:textId="77777777" w:rsidR="00E42B18" w:rsidRDefault="009629C4">
            <w:pPr>
              <w:pStyle w:val="P68B1DB1-Normal11"/>
              <w:spacing w:line="276" w:lineRule="auto"/>
              <w:jc w:val="center"/>
              <w:rPr>
                <w:noProof/>
                <w:szCs w:val="20"/>
              </w:rPr>
            </w:pPr>
            <w:r>
              <w:rPr>
                <w:noProof/>
              </w:rPr>
              <w:t>M2C2–37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A079E" w14:textId="77777777" w:rsidR="00E42B18" w:rsidRDefault="009629C4">
            <w:pPr>
              <w:pStyle w:val="P68B1DB1-Normal11"/>
              <w:spacing w:line="276" w:lineRule="auto"/>
              <w:jc w:val="center"/>
              <w:rPr>
                <w:noProof/>
                <w:szCs w:val="20"/>
              </w:rPr>
            </w:pPr>
            <w:r>
              <w:rPr>
                <w:noProof/>
              </w:rPr>
              <w:t>Uudistus 5: Älykkäämmät menettelyt hankkeiden arvioimiseksi paikallisissa julkisissa liikennejärjestelmissä, joissa on kiinteät laitteistot, ja nopean joukkoliikenteen alalla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72FBFC"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39C63D" w14:textId="77777777" w:rsidR="00E42B18" w:rsidRDefault="009629C4">
            <w:pPr>
              <w:pStyle w:val="P68B1DB1-Normal11"/>
              <w:spacing w:line="276" w:lineRule="auto"/>
              <w:jc w:val="center"/>
              <w:rPr>
                <w:noProof/>
                <w:szCs w:val="20"/>
              </w:rPr>
            </w:pPr>
            <w:r>
              <w:rPr>
                <w:noProof/>
              </w:rPr>
              <w:t>Asetuksen voimaantulo</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770E3E" w14:textId="77777777" w:rsidR="00E42B18" w:rsidRDefault="009629C4">
            <w:pPr>
              <w:pStyle w:val="P68B1DB1-Normal11"/>
              <w:spacing w:line="276" w:lineRule="auto"/>
              <w:jc w:val="center"/>
              <w:rPr>
                <w:noProof/>
                <w:szCs w:val="20"/>
              </w:rPr>
            </w:pPr>
            <w:r>
              <w:rPr>
                <w:noProof/>
              </w:rPr>
              <w:t>Lakiin sisältyvä säännös, josta käy ilmi asetuksen voimaantulo</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6A3293"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22E0E8"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1B0444"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7F8954" w14:textId="77777777" w:rsidR="00E42B18" w:rsidRDefault="009629C4">
            <w:pPr>
              <w:pStyle w:val="P68B1DB1-Normal11"/>
              <w:spacing w:line="276" w:lineRule="auto"/>
              <w:jc w:val="center"/>
              <w:rPr>
                <w:noProof/>
                <w:szCs w:val="20"/>
              </w:rPr>
            </w:pPr>
            <w:r>
              <w:rPr>
                <w:noProof/>
              </w:rPr>
              <w:t>Q4</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4598B" w14:textId="77777777" w:rsidR="00E42B18" w:rsidRDefault="009629C4">
            <w:pPr>
              <w:pStyle w:val="P68B1DB1-Normal11"/>
              <w:spacing w:line="276" w:lineRule="auto"/>
              <w:jc w:val="center"/>
              <w:rPr>
                <w:noProof/>
                <w:szCs w:val="20"/>
              </w:rPr>
            </w:pPr>
            <w:r>
              <w:rPr>
                <w:noProof/>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AC176B" w14:textId="77777777" w:rsidR="00E42B18" w:rsidRDefault="009629C4">
            <w:pPr>
              <w:pStyle w:val="P68B1DB1-Normal11"/>
              <w:spacing w:after="120"/>
              <w:rPr>
                <w:noProof/>
                <w:szCs w:val="20"/>
              </w:rPr>
            </w:pPr>
            <w:r>
              <w:rPr>
                <w:noProof/>
              </w:rPr>
              <w:t>Asetuksella yksinkertaistetaan julkisen paikallisliikenteen hankkeiden arviointiperusteita ja nopeutetaan suunnittelu- ja lupamenettelyä.</w:t>
            </w:r>
          </w:p>
        </w:tc>
      </w:tr>
      <w:tr w:rsidR="00E42B18" w14:paraId="3E30BA9F"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3A8419" w14:textId="77777777" w:rsidR="00E42B18" w:rsidRDefault="009629C4">
            <w:pPr>
              <w:pStyle w:val="P68B1DB1-Normal11"/>
              <w:spacing w:line="276" w:lineRule="auto"/>
              <w:jc w:val="center"/>
              <w:rPr>
                <w:noProof/>
                <w:szCs w:val="20"/>
              </w:rPr>
            </w:pPr>
            <w:r>
              <w:rPr>
                <w:noProof/>
              </w:rPr>
              <w:t>M2C2–38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EA72A0" w14:textId="77777777" w:rsidR="00E42B18" w:rsidRDefault="009629C4">
            <w:pPr>
              <w:pStyle w:val="P68B1DB1-Normal11"/>
              <w:spacing w:line="276" w:lineRule="auto"/>
              <w:jc w:val="center"/>
              <w:rPr>
                <w:noProof/>
                <w:szCs w:val="20"/>
              </w:rPr>
            </w:pPr>
            <w:r>
              <w:rPr>
                <w:noProof/>
              </w:rPr>
              <w:t>Investointi 5.1: Uusiutuvat energialähteet ja akut</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C18CE"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903E8B" w14:textId="77777777" w:rsidR="00E42B18" w:rsidRDefault="009629C4">
            <w:pPr>
              <w:pStyle w:val="P68B1DB1-Normal11"/>
              <w:spacing w:line="276" w:lineRule="auto"/>
              <w:jc w:val="center"/>
              <w:rPr>
                <w:noProof/>
                <w:szCs w:val="20"/>
              </w:rPr>
            </w:pPr>
            <w:r>
              <w:rPr>
                <w:noProof/>
              </w:rPr>
              <w:t>Ministeriön asetuksen voimaantulo</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BC650B" w14:textId="77777777" w:rsidR="00E42B18" w:rsidRDefault="009629C4">
            <w:pPr>
              <w:pStyle w:val="P68B1DB1-Normal11"/>
              <w:spacing w:line="276" w:lineRule="auto"/>
              <w:jc w:val="center"/>
              <w:rPr>
                <w:noProof/>
                <w:szCs w:val="20"/>
              </w:rPr>
            </w:pPr>
            <w:r>
              <w:rPr>
                <w:noProof/>
              </w:rPr>
              <w:t>Ministeriön asetuksen voimaantuloa koskeva lain säännös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7D1078"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D8B48"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053222"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610842" w14:textId="77777777" w:rsidR="00E42B18" w:rsidRDefault="009629C4">
            <w:pPr>
              <w:pStyle w:val="P68B1DB1-Normal11"/>
              <w:spacing w:line="276" w:lineRule="auto"/>
              <w:jc w:val="center"/>
              <w:rPr>
                <w:noProof/>
                <w:szCs w:val="20"/>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86B7E0" w14:textId="77777777" w:rsidR="00E42B18" w:rsidRDefault="009629C4">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8D56F" w14:textId="77777777" w:rsidR="00E42B18" w:rsidRDefault="009629C4">
            <w:pPr>
              <w:pStyle w:val="P68B1DB1-Normal11"/>
              <w:spacing w:after="120"/>
              <w:rPr>
                <w:noProof/>
                <w:szCs w:val="20"/>
              </w:rPr>
            </w:pPr>
            <w:r>
              <w:rPr>
                <w:noProof/>
              </w:rPr>
              <w:t>Ministeriön asetuksessa määritetään käytettävissä olevien resurssien määrä, tuensaajien pääsyä koskevat vaatimukset, ohjelmien ja hankkeiden tukikelpoisuusedellytykset, tukikelpoiset kustannukset sekä tehokkaiden aurinkosähköpaneelien kehittämiseen ja akkujen kehittämiseen myönnettävän tuen muoto ja intensiteetti.</w:t>
            </w:r>
          </w:p>
        </w:tc>
      </w:tr>
      <w:tr w:rsidR="00E42B18" w14:paraId="37647D6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74418C" w14:textId="77777777" w:rsidR="00E42B18" w:rsidRDefault="009629C4">
            <w:pPr>
              <w:pStyle w:val="P68B1DB1-Normal11"/>
              <w:spacing w:line="276" w:lineRule="auto"/>
              <w:jc w:val="center"/>
              <w:rPr>
                <w:noProof/>
                <w:szCs w:val="20"/>
              </w:rPr>
            </w:pPr>
            <w:r>
              <w:rPr>
                <w:noProof/>
              </w:rPr>
              <w:t>M2C2–41</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38540" w14:textId="77777777" w:rsidR="00E42B18" w:rsidRDefault="009629C4">
            <w:pPr>
              <w:pStyle w:val="P68B1DB1-Normal11"/>
              <w:spacing w:line="276" w:lineRule="auto"/>
              <w:jc w:val="center"/>
              <w:rPr>
                <w:noProof/>
                <w:szCs w:val="20"/>
              </w:rPr>
            </w:pPr>
            <w:r>
              <w:rPr>
                <w:noProof/>
              </w:rPr>
              <w:t>Investointi 5.3: Sähkölinja-autot</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1BEFF3"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D0EEF4" w14:textId="77777777" w:rsidR="00E42B18" w:rsidRDefault="009629C4">
            <w:pPr>
              <w:pStyle w:val="P68B1DB1-Normal11"/>
              <w:spacing w:line="276" w:lineRule="auto"/>
              <w:jc w:val="center"/>
              <w:rPr>
                <w:noProof/>
                <w:szCs w:val="20"/>
              </w:rPr>
            </w:pPr>
            <w:r>
              <w:rPr>
                <w:noProof/>
              </w:rPr>
              <w:t>Voimaan tulee ministeriön asetus, jossa määritetään käytettävissä olevien resurssien määrä interventiotarkoitukseen (linja-autot)</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BF0E3" w14:textId="77777777" w:rsidR="00E42B18" w:rsidRDefault="009629C4">
            <w:pPr>
              <w:pStyle w:val="P68B1DB1-Normal11"/>
              <w:spacing w:line="276" w:lineRule="auto"/>
              <w:jc w:val="center"/>
              <w:rPr>
                <w:noProof/>
                <w:szCs w:val="20"/>
              </w:rPr>
            </w:pPr>
            <w:r>
              <w:rPr>
                <w:noProof/>
              </w:rPr>
              <w:t>Ministeriön asetuksen voimaantuloa koskeva säännös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052409"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43294"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553247"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6B7D0" w14:textId="77777777" w:rsidR="00E42B18" w:rsidRDefault="009629C4">
            <w:pPr>
              <w:pStyle w:val="P68B1DB1-Normal11"/>
              <w:spacing w:line="276" w:lineRule="auto"/>
              <w:jc w:val="center"/>
              <w:rPr>
                <w:noProof/>
                <w:szCs w:val="20"/>
              </w:rPr>
            </w:pPr>
            <w:r>
              <w:rPr>
                <w:noProof/>
              </w:rPr>
              <w:t>Q4</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76A796" w14:textId="77777777" w:rsidR="00E42B18" w:rsidRDefault="009629C4">
            <w:pPr>
              <w:pStyle w:val="P68B1DB1-Normal11"/>
              <w:spacing w:line="276" w:lineRule="auto"/>
              <w:jc w:val="center"/>
              <w:rPr>
                <w:noProof/>
                <w:szCs w:val="20"/>
              </w:rPr>
            </w:pPr>
            <w:r>
              <w:rPr>
                <w:noProof/>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81D9B" w14:textId="77777777" w:rsidR="00E42B18" w:rsidRDefault="009629C4">
            <w:pPr>
              <w:pStyle w:val="P68B1DB1-Normal11"/>
              <w:spacing w:after="120"/>
              <w:rPr>
                <w:noProof/>
                <w:szCs w:val="20"/>
              </w:rPr>
            </w:pPr>
            <w:r>
              <w:rPr>
                <w:noProof/>
              </w:rPr>
              <w:t>Ministeriön asetuksessa määritetään käytettävissä olevien resurssien määrä noin 45:n teollisen muutoshankkeen toteuttamiseksi kehityssopimusten avulla.</w:t>
            </w:r>
          </w:p>
        </w:tc>
      </w:tr>
      <w:tr w:rsidR="00E42B18" w14:paraId="1993D4B4"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AC350" w14:textId="77777777" w:rsidR="00E42B18" w:rsidRDefault="009629C4">
            <w:pPr>
              <w:pStyle w:val="P68B1DB1-Normal11"/>
              <w:spacing w:line="276" w:lineRule="auto"/>
              <w:jc w:val="center"/>
              <w:rPr>
                <w:noProof/>
                <w:szCs w:val="20"/>
              </w:rPr>
            </w:pPr>
            <w:r>
              <w:rPr>
                <w:noProof/>
              </w:rPr>
              <w:t>M2C2–42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939C11" w14:textId="77777777" w:rsidR="00E42B18" w:rsidRDefault="009629C4">
            <w:pPr>
              <w:pStyle w:val="P68B1DB1-Normal11"/>
              <w:spacing w:line="276" w:lineRule="auto"/>
              <w:jc w:val="center"/>
              <w:rPr>
                <w:noProof/>
                <w:szCs w:val="20"/>
              </w:rPr>
            </w:pPr>
            <w:r>
              <w:rPr>
                <w:noProof/>
              </w:rPr>
              <w:t>Investointi 5.4: Pääomanlisäys vihreän siirtymän rahastoon (GTF)</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7275E" w14:textId="77777777" w:rsidR="00E42B18" w:rsidRDefault="009629C4">
            <w:pPr>
              <w:pStyle w:val="P68B1DB1-Normal11"/>
              <w:spacing w:line="276" w:lineRule="auto"/>
              <w:jc w:val="center"/>
              <w:rPr>
                <w:noProof/>
                <w:szCs w:val="20"/>
              </w:rPr>
            </w:pPr>
            <w:r>
              <w:rPr>
                <w:noProof/>
              </w:rPr>
              <w:t>Virstanpylväs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0E3045" w14:textId="77777777" w:rsidR="00E42B18" w:rsidRDefault="009629C4">
            <w:pPr>
              <w:pStyle w:val="P68B1DB1-Normal11"/>
              <w:spacing w:line="276" w:lineRule="auto"/>
              <w:jc w:val="center"/>
              <w:rPr>
                <w:noProof/>
                <w:szCs w:val="20"/>
              </w:rPr>
            </w:pPr>
            <w:r>
              <w:rPr>
                <w:noProof/>
              </w:rPr>
              <w:t>Rahoitussopimuksen allekirjoittaminen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E88DB" w14:textId="77777777" w:rsidR="00E42B18" w:rsidRDefault="009629C4">
            <w:pPr>
              <w:pStyle w:val="P68B1DB1-Normal11"/>
              <w:spacing w:line="276" w:lineRule="auto"/>
              <w:jc w:val="center"/>
              <w:rPr>
                <w:noProof/>
                <w:szCs w:val="20"/>
              </w:rPr>
            </w:pPr>
            <w:r>
              <w:rPr>
                <w:noProof/>
              </w:rPr>
              <w:t>Ilmoitus rahoitussopimuksen allekirjoittamisesta</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B4FF77" w14:textId="77777777" w:rsidR="00E42B18" w:rsidRDefault="009629C4">
            <w:pPr>
              <w:pStyle w:val="P68B1DB1-Normal11"/>
              <w:spacing w:line="276" w:lineRule="auto"/>
              <w:jc w:val="center"/>
              <w:rPr>
                <w:noProof/>
                <w:szCs w:val="20"/>
              </w:rPr>
            </w:pPr>
            <w:r>
              <w:rPr>
                <w:noProof/>
              </w:rPr>
              <w:t>EI OLE</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B96421" w14:textId="77777777" w:rsidR="00E42B18" w:rsidRDefault="009629C4">
            <w:pPr>
              <w:pStyle w:val="P68B1DB1-Normal11"/>
              <w:spacing w:line="276" w:lineRule="auto"/>
              <w:jc w:val="center"/>
              <w:rPr>
                <w:noProof/>
                <w:szCs w:val="20"/>
              </w:rPr>
            </w:pPr>
            <w:r>
              <w:rPr>
                <w:noProof/>
              </w:rPr>
              <w:t>EI OLE</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430F0C" w14:textId="77777777" w:rsidR="00E42B18" w:rsidRDefault="009629C4">
            <w:pPr>
              <w:pStyle w:val="P68B1DB1-Normal11"/>
              <w:spacing w:line="276" w:lineRule="auto"/>
              <w:jc w:val="center"/>
              <w:rPr>
                <w:noProof/>
                <w:szCs w:val="20"/>
              </w:rPr>
            </w:pPr>
            <w:r>
              <w:rPr>
                <w:noProof/>
              </w:rPr>
              <w:t>EI OLE</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A4F6A9" w14:textId="77777777" w:rsidR="00E42B18" w:rsidRDefault="009629C4">
            <w:pPr>
              <w:pStyle w:val="P68B1DB1-Normal11"/>
              <w:spacing w:line="276" w:lineRule="auto"/>
              <w:jc w:val="center"/>
              <w:rPr>
                <w:noProof/>
                <w:szCs w:val="20"/>
              </w:rPr>
            </w:pPr>
            <w:r>
              <w:rPr>
                <w:noProof/>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766D2" w14:textId="77777777" w:rsidR="00E42B18" w:rsidRDefault="009629C4">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04D52" w14:textId="77777777" w:rsidR="00E42B18" w:rsidRDefault="009629C4">
            <w:pPr>
              <w:pStyle w:val="P68B1DB1-Normal11"/>
              <w:spacing w:after="120"/>
              <w:rPr>
                <w:noProof/>
                <w:szCs w:val="20"/>
              </w:rPr>
            </w:pPr>
            <w:r>
              <w:rPr>
                <w:noProof/>
              </w:rPr>
              <w:t>Rahoitussopimuksessa on vahvistettava epäsuorat sijoitukset riskipääomarahastojen hoitajiin, joilla on investointeja ja yrityksiä tai jotka aloittavat toimintansa vihreän siirtymän tavoitteiden mukaisesti, tutkijoiden ja startup-yritysten käytettävissä olevan pääoman laajentamiseksi, aktiivisten riskipääomarahastojen toiminnan vahvistamiseksi sekä uusien ja innovatiivisten yritysten kehittämiseksi yhteistyössä yritysten kanssa.</w:t>
            </w:r>
          </w:p>
          <w:p w14:paraId="327D913B" w14:textId="77777777" w:rsidR="00E42B18" w:rsidRDefault="009629C4">
            <w:pPr>
              <w:pStyle w:val="P68B1DB1-Normal11"/>
              <w:spacing w:after="120"/>
              <w:rPr>
                <w:noProof/>
                <w:szCs w:val="20"/>
              </w:rPr>
            </w:pPr>
            <w:r>
              <w:rPr>
                <w:noProof/>
              </w:rPr>
              <w:t>Rahoitussopimukseen on sisällyttävä:</w:t>
            </w:r>
          </w:p>
          <w:p w14:paraId="1639415A" w14:textId="77777777" w:rsidR="00E42B18" w:rsidRDefault="009629C4">
            <w:pPr>
              <w:pStyle w:val="P68B1DB1-ListParagraph15"/>
              <w:numPr>
                <w:ilvl w:val="0"/>
                <w:numId w:val="27"/>
              </w:numPr>
              <w:spacing w:after="120" w:line="240" w:lineRule="auto"/>
              <w:ind w:left="296"/>
              <w:contextualSpacing w:val="0"/>
              <w:rPr>
                <w:noProof/>
                <w:szCs w:val="20"/>
              </w:rPr>
            </w:pPr>
            <w:r>
              <w:rPr>
                <w:noProof/>
              </w:rPr>
              <w:t>investointipolitiikka,</w:t>
            </w:r>
          </w:p>
          <w:p w14:paraId="2D8CE706" w14:textId="77777777" w:rsidR="00E42B18" w:rsidRDefault="009629C4">
            <w:pPr>
              <w:pStyle w:val="P68B1DB1-ListParagraph15"/>
              <w:numPr>
                <w:ilvl w:val="0"/>
                <w:numId w:val="27"/>
              </w:numPr>
              <w:spacing w:after="120" w:line="240" w:lineRule="auto"/>
              <w:ind w:left="296"/>
              <w:contextualSpacing w:val="0"/>
              <w:rPr>
                <w:noProof/>
                <w:szCs w:val="20"/>
              </w:rPr>
            </w:pPr>
            <w:r>
              <w:rPr>
                <w:noProof/>
              </w:rPr>
              <w:t>kelpoisuusperusteet</w:t>
            </w:r>
          </w:p>
          <w:p w14:paraId="1187960B" w14:textId="77777777" w:rsidR="00E42B18" w:rsidRDefault="009629C4">
            <w:pPr>
              <w:pStyle w:val="P68B1DB1-Normal11"/>
              <w:spacing w:after="120"/>
              <w:rPr>
                <w:noProof/>
                <w:szCs w:val="20"/>
              </w:rPr>
            </w:pPr>
            <w:r>
              <w:rPr>
                <w:noProof/>
              </w:rPr>
              <w:t>tämän toimenpiteen nojalla tuettujen liiketoimien ”ei merkittävää haittaa” -periaatetta koskevien teknisten ohjeiden (2021/C58/01) noudattaminen käyttämällä kestävyysarviointia, poissulkemisluetteloa ja vaatimusta asiaa koskevan EU:n ja kansallisen ympäristölainsäädännön noudattamisesta.</w:t>
            </w:r>
          </w:p>
        </w:tc>
      </w:tr>
    </w:tbl>
    <w:p w14:paraId="5753B36A" w14:textId="77777777" w:rsidR="00E42B18" w:rsidRDefault="00E42B18">
      <w:pPr>
        <w:spacing w:before="120" w:after="120"/>
        <w:jc w:val="both"/>
        <w:rPr>
          <w:noProof/>
        </w:rPr>
        <w:sectPr w:rsidR="00E42B18" w:rsidSect="005F11B9">
          <w:headerReference w:type="even" r:id="rId86"/>
          <w:headerReference w:type="default" r:id="rId87"/>
          <w:footerReference w:type="even" r:id="rId88"/>
          <w:footerReference w:type="default" r:id="rId89"/>
          <w:headerReference w:type="first" r:id="rId90"/>
          <w:footerReference w:type="first" r:id="rId91"/>
          <w:pgSz w:w="16839" w:h="11907" w:orient="landscape"/>
          <w:pgMar w:top="1134" w:right="1134" w:bottom="1134" w:left="1134" w:header="567" w:footer="567" w:gutter="0"/>
          <w:cols w:space="720"/>
          <w:docGrid w:linePitch="360"/>
        </w:sectPr>
      </w:pPr>
    </w:p>
    <w:p w14:paraId="4116C1EC" w14:textId="77777777" w:rsidR="00E42B18" w:rsidRDefault="009629C4">
      <w:pPr>
        <w:pStyle w:val="P68B1DB1-Heading39"/>
        <w:ind w:left="850" w:hanging="850"/>
        <w:rPr>
          <w:b/>
          <w:bCs/>
          <w:i/>
          <w:iCs/>
          <w:noProof/>
          <w:color w:val="156082" w:themeColor="accent1"/>
          <w:u w:val="single"/>
        </w:rPr>
      </w:pPr>
      <w:r>
        <w:rPr>
          <w:b/>
          <w:noProof/>
          <w:u w:val="single"/>
        </w:rPr>
        <w:t xml:space="preserve">E.3 </w:t>
      </w:r>
      <w:r>
        <w:rPr>
          <w:noProof/>
        </w:rPr>
        <w:t xml:space="preserve"> </w:t>
      </w:r>
      <w:r>
        <w:rPr>
          <w:b/>
          <w:noProof/>
          <w:u w:val="single"/>
        </w:rPr>
        <w:t xml:space="preserve">Kuvaus lainamuotoisella tuella rahoitettavista uudistuksista ja investoinneista </w:t>
      </w:r>
    </w:p>
    <w:p w14:paraId="211A6177" w14:textId="77777777" w:rsidR="00E42B18" w:rsidRDefault="009629C4">
      <w:pPr>
        <w:pStyle w:val="P68B1DB1-Normal5"/>
        <w:spacing w:before="120" w:after="120"/>
        <w:jc w:val="both"/>
        <w:rPr>
          <w:noProof/>
        </w:rPr>
      </w:pPr>
      <w:r>
        <w:rPr>
          <w:noProof/>
        </w:rPr>
        <w:t>Investointi 1.1 – Maatalousjännitejärjestelmien kehittäminen</w:t>
      </w:r>
    </w:p>
    <w:p w14:paraId="0C19C6D5" w14:textId="7D662254" w:rsidR="00E42B18" w:rsidRDefault="009629C4">
      <w:pPr>
        <w:pStyle w:val="P68B1DB1-Normal7"/>
        <w:spacing w:line="240" w:lineRule="auto"/>
        <w:jc w:val="both"/>
        <w:rPr>
          <w:rFonts w:eastAsia="Calibri"/>
          <w:noProof/>
        </w:rPr>
      </w:pPr>
      <w:r>
        <w:rPr>
          <w:noProof/>
        </w:rPr>
        <w:t xml:space="preserve">Tämä toimenpide koostuu avustusjärjestelmään tehtävästä julkisesta investoinnista, jolla kannustetaan yksityisiä investointeja ja parannetaan rahoituksen saantia Italian maatalouden ja uusiutuvan energian alalla. Ohjelma toimii myöntämällä avustuksia suoraan yksityiselle sektorille. </w:t>
      </w:r>
    </w:p>
    <w:p w14:paraId="53EDA07C" w14:textId="6C9CFB55" w:rsidR="00E42B18" w:rsidRDefault="009629C4">
      <w:pPr>
        <w:spacing w:line="240" w:lineRule="auto"/>
        <w:jc w:val="both"/>
        <w:rPr>
          <w:rFonts w:ascii="Times New Roman" w:eastAsia="Calibri" w:hAnsi="Times New Roman" w:cs="Times New Roman"/>
          <w:noProof/>
        </w:rPr>
      </w:pPr>
      <w:r>
        <w:rPr>
          <w:rFonts w:ascii="Times New Roman" w:eastAsia="Calibri" w:hAnsi="Times New Roman" w:cs="Times New Roman"/>
          <w:noProof/>
        </w:rPr>
        <w:t>Järjestelmää hallinnoi toteutuskumppanina Gestore Servizi Energetici S.p.A. (GSE). Ohjelmasta myönnetään avustus, joka kattaa osan hankkeiden kustannuksista. Järjestelmästä tuetaan sellaisten maataloussähköjärjestelmien rakentamista, jotka koostuvat aurinkosähkölaitosten asentamisesta maatalousmaalle sekä mittauslaitteista, joilla seurataan taustalla olevaa maataloustoimintaa</w:t>
      </w:r>
      <w:r>
        <w:rPr>
          <w:rStyle w:val="FootnoteReference"/>
          <w:rFonts w:ascii="Times New Roman" w:eastAsia="Calibri" w:hAnsi="Times New Roman" w:cs="Times New Roman"/>
          <w:noProof/>
        </w:rPr>
        <w:footnoteReference w:id="40"/>
      </w:r>
      <w:r>
        <w:rPr>
          <w:rFonts w:ascii="Times New Roman" w:eastAsia="Calibri" w:hAnsi="Times New Roman" w:cs="Times New Roman"/>
          <w:noProof/>
        </w:rPr>
        <w:t>.</w:t>
      </w:r>
    </w:p>
    <w:p w14:paraId="5E329D58" w14:textId="77777777" w:rsidR="00E42B18" w:rsidRDefault="009629C4">
      <w:pPr>
        <w:pStyle w:val="P68B1DB1-Normal38"/>
        <w:spacing w:line="240" w:lineRule="auto"/>
        <w:jc w:val="both"/>
        <w:rPr>
          <w:noProof/>
        </w:rPr>
      </w:pPr>
      <w:r>
        <w:rPr>
          <w:noProof/>
        </w:rPr>
        <w:t>Ohjelmaan tehtävän investoinnin toteuttamiseksi Italian ja GSE:n on allekirjoitettava täytäntöönpanosopimus, jonka sisältö on seuraava:</w:t>
      </w:r>
    </w:p>
    <w:p w14:paraId="56CB332D" w14:textId="77777777" w:rsidR="00E42B18" w:rsidRDefault="009629C4">
      <w:pPr>
        <w:pStyle w:val="P68B1DB1-Normal38"/>
        <w:numPr>
          <w:ilvl w:val="0"/>
          <w:numId w:val="18"/>
        </w:numPr>
        <w:jc w:val="both"/>
        <w:rPr>
          <w:rFonts w:eastAsia="Times New Roman"/>
          <w:noProof/>
        </w:rPr>
      </w:pPr>
      <w:r>
        <w:rPr>
          <w:noProof/>
        </w:rPr>
        <w:t>Kuvaus ohjelman päätöksentekoprosessista: Lopullisen myöntämispäätöksen ohjelmassa tekee investointikomitea tai muu asianmukainen vastaava hallinnollinen elin ja päätös hyväksytään hallituksesta riippumattomien jäsenten ääntenenemmistöllä.</w:t>
      </w:r>
    </w:p>
    <w:p w14:paraId="4C772900" w14:textId="77777777" w:rsidR="00E42B18" w:rsidRDefault="009629C4">
      <w:pPr>
        <w:pStyle w:val="P68B1DB1-LegalNumPar62"/>
        <w:spacing w:line="259" w:lineRule="auto"/>
        <w:jc w:val="both"/>
        <w:rPr>
          <w:noProof/>
        </w:rPr>
      </w:pPr>
      <w:r>
        <w:rPr>
          <w:noProof/>
        </w:rPr>
        <w:t>Avustuspolitiikan keskeiset vaatimukset,</w:t>
      </w:r>
      <w:r>
        <w:rPr>
          <w:b/>
          <w:noProof/>
        </w:rPr>
        <w:t xml:space="preserve"> </w:t>
      </w:r>
      <w:r>
        <w:rPr>
          <w:noProof/>
        </w:rPr>
        <w:t>joita ovat muun muassa seuraavat:</w:t>
      </w:r>
    </w:p>
    <w:p w14:paraId="126CD52C" w14:textId="77777777" w:rsidR="00E42B18" w:rsidRDefault="009629C4">
      <w:pPr>
        <w:pStyle w:val="P68B1DB1-LegalNumPar263"/>
        <w:spacing w:line="259" w:lineRule="auto"/>
        <w:jc w:val="both"/>
        <w:rPr>
          <w:noProof/>
        </w:rPr>
      </w:pPr>
      <w:r>
        <w:rPr>
          <w:noProof/>
        </w:rPr>
        <w:t>Kuvaus myönnetyistä avustuksista ja tukikelpoisista lopullisista edunsaajista.</w:t>
      </w:r>
    </w:p>
    <w:p w14:paraId="743AA93C" w14:textId="77777777" w:rsidR="00E42B18" w:rsidRDefault="009629C4">
      <w:pPr>
        <w:pStyle w:val="P68B1DB1-LegalNumPar263"/>
        <w:spacing w:line="259" w:lineRule="auto"/>
        <w:jc w:val="both"/>
        <w:rPr>
          <w:noProof/>
        </w:rPr>
      </w:pPr>
      <w:r>
        <w:rPr>
          <w:noProof/>
        </w:rPr>
        <w:t>Vaatimus, jonka mukaan kaikkien tuettujen investointien on oltava taloudellisesti kannattavia</w:t>
      </w:r>
      <w:r>
        <w:rPr>
          <w:b/>
          <w:noProof/>
        </w:rPr>
        <w:t>.</w:t>
      </w:r>
    </w:p>
    <w:p w14:paraId="097B621B" w14:textId="77777777" w:rsidR="00E42B18" w:rsidRDefault="009629C4">
      <w:pPr>
        <w:pStyle w:val="P68B1DB1-LegalNumPar264"/>
        <w:spacing w:line="259" w:lineRule="auto"/>
        <w:jc w:val="both"/>
        <w:rPr>
          <w:rFonts w:eastAsia="Calibri" w:cs="Times New Roman"/>
          <w:noProof/>
        </w:rPr>
      </w:pPr>
      <w:r>
        <w:rPr>
          <w:noProof/>
        </w:rPr>
        <w:t>Vaatimus noudattaa ”ei merkittävää haittaa” -periaatetta sitä koskevien teknisten ohjeiden (2021/C58/01) mukaisesti. Avustuspolitiikassa suljetaan tukikelpoisuuden ulkopuolelle erityisesti seuraava luettelo toiminnoista ja omaisuuseristä: I) fossiilisiin polttoaineisiin liittyvät toiminnot ja omaisuuserät, mukaan lukien tuotantoketjun loppupään käyttö,</w:t>
      </w:r>
      <w:r>
        <w:rPr>
          <w:noProof/>
        </w:rPr>
        <w:footnoteReference w:id="41"/>
      </w:r>
      <w:r>
        <w:rPr>
          <w:noProof/>
        </w:rPr>
        <w:t>ii) EU:n päästökauppajärjestelmään kuuluvat toiminnot ja omaisuuserät, joiden avulla saavutetaan ennustetut kasvihuonekaasupäästöt, jotka eivät alita asiaankuuluvia vertailuarvoja</w:t>
      </w:r>
      <w:r>
        <w:rPr>
          <w:noProof/>
        </w:rPr>
        <w:footnoteReference w:id="42"/>
      </w:r>
      <w:r>
        <w:rPr>
          <w:noProof/>
        </w:rPr>
        <w:t>, iii) kaatopaikkoihin, polttolaitoksiin ja mekaanisiin biologisiin käsittelylaitoksiin liittyvät toiminnot</w:t>
      </w:r>
      <w:r>
        <w:rPr>
          <w:noProof/>
        </w:rPr>
        <w:footnoteReference w:id="43"/>
      </w:r>
      <w:r>
        <w:rPr>
          <w:noProof/>
        </w:rPr>
        <w:t xml:space="preserve"> ja varat</w:t>
      </w:r>
      <w:r>
        <w:rPr>
          <w:noProof/>
        </w:rPr>
        <w:footnoteReference w:id="44"/>
      </w:r>
      <w:r>
        <w:rPr>
          <w:noProof/>
        </w:rPr>
        <w:t xml:space="preserve">. </w:t>
      </w:r>
    </w:p>
    <w:p w14:paraId="5D6F4A4C" w14:textId="77777777" w:rsidR="00E42B18" w:rsidRDefault="009629C4">
      <w:pPr>
        <w:pStyle w:val="P68B1DB1-LegalNumPar263"/>
        <w:spacing w:line="259" w:lineRule="auto"/>
        <w:jc w:val="both"/>
        <w:rPr>
          <w:noProof/>
        </w:rPr>
      </w:pPr>
      <w:r>
        <w:rPr>
          <w:noProof/>
        </w:rPr>
        <w:t>Vaatimus siitä, että ohjelman lopulliset tuensaajat eivät saa tukea muista unionin välineistä samojen kustannusten kattamiseen.</w:t>
      </w:r>
    </w:p>
    <w:p w14:paraId="1182310F" w14:textId="77777777" w:rsidR="00E42B18" w:rsidRDefault="009629C4">
      <w:pPr>
        <w:pStyle w:val="P68B1DB1-LegalNumPar62"/>
        <w:spacing w:line="259" w:lineRule="auto"/>
        <w:jc w:val="both"/>
        <w:rPr>
          <w:noProof/>
        </w:rPr>
      </w:pPr>
      <w:r>
        <w:rPr>
          <w:noProof/>
        </w:rPr>
        <w:t>Täytäntöönpanosopimuksen kattama määrä, maksurakenne toteutuskumppania varten sekä vaatimus käyttää järjestelmän käyttämättömät tuotot, myös vuoden 2026 jälkeen, samoihin poliittisiin tavoitteisiin.</w:t>
      </w:r>
    </w:p>
    <w:p w14:paraId="4AA0D20F" w14:textId="77777777" w:rsidR="00E42B18" w:rsidRDefault="009629C4">
      <w:pPr>
        <w:pStyle w:val="P68B1DB1-LegalNumPar62"/>
        <w:spacing w:line="259" w:lineRule="auto"/>
        <w:jc w:val="both"/>
        <w:rPr>
          <w:noProof/>
        </w:rPr>
      </w:pPr>
      <w:r>
        <w:rPr>
          <w:noProof/>
        </w:rPr>
        <w:t>Seuranta-, valvonta- ja tarkastusvaatimukset, joihin sisältyvät</w:t>
      </w:r>
    </w:p>
    <w:p w14:paraId="16A7597A" w14:textId="77777777" w:rsidR="00E42B18" w:rsidRDefault="009629C4">
      <w:pPr>
        <w:pStyle w:val="P68B1DB1-ListParagraph39"/>
        <w:numPr>
          <w:ilvl w:val="0"/>
          <w:numId w:val="74"/>
        </w:numPr>
        <w:spacing w:before="120" w:after="120" w:line="240" w:lineRule="auto"/>
        <w:jc w:val="both"/>
        <w:rPr>
          <w:noProof/>
        </w:rPr>
      </w:pPr>
      <w:r>
        <w:rPr>
          <w:noProof/>
        </w:rPr>
        <w:t>Kuvaus toteutuskumppanin seurantajärjestelmästä, jolla raportoidaan mobilisoiduista tuista.</w:t>
      </w:r>
    </w:p>
    <w:p w14:paraId="2D20507F" w14:textId="77777777" w:rsidR="00E42B18" w:rsidRDefault="009629C4">
      <w:pPr>
        <w:pStyle w:val="P68B1DB1-Normal38"/>
        <w:numPr>
          <w:ilvl w:val="0"/>
          <w:numId w:val="74"/>
        </w:numPr>
        <w:jc w:val="both"/>
        <w:rPr>
          <w:noProof/>
        </w:rPr>
      </w:pPr>
      <w:r>
        <w:rPr>
          <w:noProof/>
        </w:rPr>
        <w:t xml:space="preserve">Kuvaus toteutuskumppanin menettelyistä, joilla varmistetaan petosten, lahjonnan ja eturistiriitojen ehkäiseminen, havaitseminen ja korjaaminen. </w:t>
      </w:r>
    </w:p>
    <w:p w14:paraId="4BBCF44C" w14:textId="77777777" w:rsidR="00E42B18" w:rsidRDefault="009629C4">
      <w:pPr>
        <w:pStyle w:val="P68B1DB1-Normal38"/>
        <w:numPr>
          <w:ilvl w:val="0"/>
          <w:numId w:val="74"/>
        </w:numPr>
        <w:jc w:val="both"/>
        <w:rPr>
          <w:noProof/>
        </w:rPr>
      </w:pPr>
      <w:r>
        <w:rPr>
          <w:noProof/>
        </w:rPr>
        <w:t>Velvollisuus varmistaa kunkin toimen tukikelpoisuus täytäntöönpanosopimuksen vaatimusten mukaisesti ennen kuin toimelle myönnetään tukea.</w:t>
      </w:r>
    </w:p>
    <w:p w14:paraId="2AF4F17C" w14:textId="77777777" w:rsidR="00E42B18" w:rsidRDefault="009629C4">
      <w:pPr>
        <w:pStyle w:val="P68B1DB1-Normal38"/>
        <w:numPr>
          <w:ilvl w:val="0"/>
          <w:numId w:val="74"/>
        </w:numPr>
        <w:spacing w:line="240" w:lineRule="auto"/>
        <w:jc w:val="both"/>
        <w:rPr>
          <w:noProof/>
        </w:rPr>
      </w:pPr>
      <w:r>
        <w:rPr>
          <w:noProof/>
        </w:rPr>
        <w:t>Velvoite suorittaa riskiperusteisia jälkitarkastuksia GSE:n tarkastussuunnitelman mukaisesti. Jälkitarkastuksissa tarkastetaan, että:</w:t>
      </w:r>
    </w:p>
    <w:p w14:paraId="11E0EEC7" w14:textId="77777777" w:rsidR="00E42B18" w:rsidRDefault="009629C4">
      <w:pPr>
        <w:pStyle w:val="P68B1DB1-Normal38"/>
        <w:spacing w:line="240" w:lineRule="auto"/>
        <w:ind w:left="1440"/>
        <w:jc w:val="both"/>
        <w:rPr>
          <w:noProof/>
        </w:rPr>
      </w:pPr>
      <w:r>
        <w:rPr>
          <w:noProof/>
        </w:rPr>
        <w:t>valvontajärjestelmät ovat tehokkaita, mukaan lukien petosten, korruption ja eturistiriitojen havaitseminen;</w:t>
      </w:r>
    </w:p>
    <w:p w14:paraId="7D34FBC4" w14:textId="77777777" w:rsidR="00E42B18" w:rsidRDefault="009629C4">
      <w:pPr>
        <w:pStyle w:val="P68B1DB1-Normal38"/>
        <w:spacing w:line="240" w:lineRule="auto"/>
        <w:ind w:left="1440"/>
        <w:jc w:val="both"/>
        <w:rPr>
          <w:noProof/>
        </w:rPr>
      </w:pPr>
      <w:r>
        <w:rPr>
          <w:noProof/>
        </w:rPr>
        <w:t>II) ”ei merkittävää haittaa” -periaatteen, valtiontukisääntöjen ja ilmastotavoitteita koskevien vaatimusten noudattaminen; ja</w:t>
      </w:r>
    </w:p>
    <w:p w14:paraId="74AB863C" w14:textId="77777777" w:rsidR="00E42B18" w:rsidRDefault="009629C4">
      <w:pPr>
        <w:pStyle w:val="P68B1DB1-Normal38"/>
        <w:spacing w:line="240" w:lineRule="auto"/>
        <w:ind w:left="1440"/>
        <w:jc w:val="both"/>
        <w:rPr>
          <w:noProof/>
        </w:rPr>
      </w:pPr>
      <w:r>
        <w:rPr>
          <w:noProof/>
        </w:rPr>
        <w:t xml:space="preserve">III) noudatetaan vaatimusta, jonka mukaan järjestelmän lopulliset edunsaajat eivät ole saaneet tukea muista unionin välineistä samojen kustannusten kattamiseksi. Tarkastuksissa on myös todennettava toimien laillisuus ja se, että sovellettavien täytäntöönpanosopimuksen avustussopimusten ehtoja noudatetaan. </w:t>
      </w:r>
    </w:p>
    <w:p w14:paraId="5991D141" w14:textId="77777777" w:rsidR="00E42B18" w:rsidRDefault="009629C4">
      <w:pPr>
        <w:pStyle w:val="P68B1DB1-Normal5"/>
        <w:spacing w:before="120" w:after="120"/>
        <w:jc w:val="both"/>
        <w:rPr>
          <w:noProof/>
        </w:rPr>
      </w:pPr>
      <w:r>
        <w:rPr>
          <w:noProof/>
        </w:rPr>
        <w:t>Investointi 1.2 – Uusiutuvien energiayhteisöjen ja yhdessä toimivien itse tuotettua uusiutuvaa energiaa käyttävien kuluttajien tukeminen</w:t>
      </w:r>
    </w:p>
    <w:p w14:paraId="4A15A0A0" w14:textId="6541857D" w:rsidR="00E42B18" w:rsidRDefault="009629C4">
      <w:pPr>
        <w:spacing w:before="120" w:after="120"/>
        <w:jc w:val="both"/>
        <w:rPr>
          <w:rFonts w:ascii="Times New Roman" w:eastAsia="MS Mincho" w:hAnsi="Times New Roman" w:cs="Times New Roman"/>
          <w:noProof/>
        </w:rPr>
      </w:pPr>
      <w:r>
        <w:rPr>
          <w:rFonts w:ascii="Times New Roman" w:eastAsia="MS Mincho" w:hAnsi="Times New Roman" w:cs="Times New Roman"/>
          <w:noProof/>
        </w:rPr>
        <w:t>Tämä toimenpide koostuu avustusjärjestelmään tehtävästä julkisesta investoinnista, jolla kannustetaan yksityisiä investointeja ja parannetaan rahoituksen saantia Italiassa, jotta voidaan tukea uuden sähköntuotantokapasiteetin asentamista kollektiivisiin kokoonpanoihin ja uusiutuvaa energiaa tuottaviin yhteisöihin, jotka sijaitsevat kunnissa, joiden asukasluku on alle</w:t>
      </w:r>
      <w:r>
        <w:rPr>
          <w:rFonts w:ascii="Arial Narrow" w:hAnsi="Arial Narrow"/>
          <w:noProof/>
          <w:color w:val="006100"/>
          <w:sz w:val="20"/>
        </w:rPr>
        <w:t xml:space="preserve"> </w:t>
      </w:r>
      <w:r>
        <w:rPr>
          <w:rFonts w:ascii="Times New Roman" w:eastAsia="MS Mincho" w:hAnsi="Times New Roman" w:cs="Times New Roman"/>
          <w:noProof/>
        </w:rPr>
        <w:t>50000 asukasta</w:t>
      </w:r>
      <w:r>
        <w:rPr>
          <w:rStyle w:val="FootnoteReference"/>
          <w:rFonts w:ascii="Times New Roman" w:hAnsi="Times New Roman" w:cs="Times New Roman"/>
          <w:noProof/>
        </w:rPr>
        <w:footnoteReference w:id="45"/>
      </w:r>
      <w:r>
        <w:rPr>
          <w:rFonts w:ascii="Times New Roman" w:eastAsia="MS Mincho" w:hAnsi="Times New Roman" w:cs="Times New Roman"/>
          <w:noProof/>
        </w:rPr>
        <w:t xml:space="preserve">. Järjestelmä toimii myöntämällä avustuksia suoraan yksityiselle sektorille sekä vastaavaa toimintaa harjoittaville julkisyhteisöille ja julkisoikeudellisille laitoksille. </w:t>
      </w:r>
    </w:p>
    <w:p w14:paraId="3ABFF730" w14:textId="77777777" w:rsidR="00E42B18" w:rsidRDefault="009629C4">
      <w:pPr>
        <w:pStyle w:val="P68B1DB1-Normal65"/>
        <w:spacing w:before="120" w:after="120"/>
        <w:jc w:val="both"/>
        <w:rPr>
          <w:noProof/>
        </w:rPr>
      </w:pPr>
      <w:r>
        <w:rPr>
          <w:noProof/>
        </w:rPr>
        <w:t>Järjestelmää hallinnoi toteutuskumppanina Gestore dei Servizi Energetiche S.p.A., jäljempänä ’GSE’. Ohjelmaan on sisällyttävä seuraava tuotelinja:</w:t>
      </w:r>
    </w:p>
    <w:p w14:paraId="717AB6D7" w14:textId="69A1598F" w:rsidR="00E42B18" w:rsidRDefault="009629C4">
      <w:pPr>
        <w:pStyle w:val="P68B1DB1-Normal65"/>
        <w:numPr>
          <w:ilvl w:val="0"/>
          <w:numId w:val="83"/>
        </w:numPr>
        <w:spacing w:before="120" w:after="120" w:line="279" w:lineRule="auto"/>
        <w:jc w:val="both"/>
        <w:rPr>
          <w:noProof/>
        </w:rPr>
      </w:pPr>
      <w:r>
        <w:rPr>
          <w:noProof/>
        </w:rPr>
        <w:t>Avustus, joka kattaa enintään 40 prosenttia hankkeen kustannuksista, jotka liittyvät uusiutuvien energialähteiden ja mahdollisesti energian varastointiin yhdistettyjen tuotantolaitosten rakentamiseen.</w:t>
      </w:r>
    </w:p>
    <w:p w14:paraId="0BC53E1C" w14:textId="77777777" w:rsidR="00E42B18" w:rsidRDefault="009629C4">
      <w:pPr>
        <w:pStyle w:val="P68B1DB1-Normal65"/>
        <w:spacing w:before="120" w:after="120"/>
        <w:jc w:val="both"/>
        <w:rPr>
          <w:noProof/>
        </w:rPr>
      </w:pPr>
      <w:r>
        <w:rPr>
          <w:noProof/>
        </w:rPr>
        <w:t>Ohjelmaan tehtävän investoinnin toteuttamiseksi Italian ja GSE:n on allekirjoitettava täytäntöönpanosopimus, jonka sisältö on seuraava:</w:t>
      </w:r>
    </w:p>
    <w:p w14:paraId="28EC7025" w14:textId="77777777" w:rsidR="00E42B18" w:rsidRDefault="009629C4">
      <w:pPr>
        <w:pStyle w:val="P68B1DB1-Normal65"/>
        <w:numPr>
          <w:ilvl w:val="0"/>
          <w:numId w:val="82"/>
        </w:numPr>
        <w:spacing w:before="120" w:after="120" w:line="279" w:lineRule="auto"/>
        <w:jc w:val="both"/>
        <w:rPr>
          <w:noProof/>
        </w:rPr>
      </w:pPr>
      <w:r>
        <w:rPr>
          <w:noProof/>
        </w:rPr>
        <w:t>Kuvaus ohjelman päätöksentekoprosessista: Lopullisen myöntämispäätöksen ohjelmassa tekee investointikomitea tai muu asianmukainen vastaava hallinnollinen elin ja päätös hyväksytään hallituksesta riippumattomien jäsenten ääntenenemmistöllä.</w:t>
      </w:r>
    </w:p>
    <w:p w14:paraId="11970938" w14:textId="77777777" w:rsidR="00E42B18" w:rsidRDefault="009629C4">
      <w:pPr>
        <w:pStyle w:val="P68B1DB1-Normal65"/>
        <w:numPr>
          <w:ilvl w:val="0"/>
          <w:numId w:val="82"/>
        </w:numPr>
        <w:spacing w:before="120" w:after="120" w:line="279" w:lineRule="auto"/>
        <w:jc w:val="both"/>
        <w:rPr>
          <w:noProof/>
        </w:rPr>
      </w:pPr>
      <w:r>
        <w:rPr>
          <w:noProof/>
        </w:rPr>
        <w:t>Avustuspolitiikan keskeiset vaatimukset,</w:t>
      </w:r>
      <w:r>
        <w:rPr>
          <w:b/>
          <w:noProof/>
        </w:rPr>
        <w:t xml:space="preserve"> </w:t>
      </w:r>
      <w:r>
        <w:rPr>
          <w:noProof/>
        </w:rPr>
        <w:t>joita ovat muun muassa seuraavat:</w:t>
      </w:r>
    </w:p>
    <w:p w14:paraId="6A4971A6" w14:textId="77777777" w:rsidR="00E42B18" w:rsidRDefault="009629C4">
      <w:pPr>
        <w:pStyle w:val="P68B1DB1-ListParagraph37"/>
        <w:numPr>
          <w:ilvl w:val="1"/>
          <w:numId w:val="81"/>
        </w:numPr>
        <w:spacing w:after="0" w:line="257" w:lineRule="auto"/>
        <w:ind w:left="953" w:hanging="477"/>
        <w:jc w:val="both"/>
        <w:rPr>
          <w:noProof/>
        </w:rPr>
      </w:pPr>
      <w:r>
        <w:rPr>
          <w:noProof/>
        </w:rPr>
        <w:t xml:space="preserve">Kuvaus myönnetyistä avustuksista ja tukikelpoisista lopullisista edunsaajista. </w:t>
      </w:r>
    </w:p>
    <w:p w14:paraId="1E99D203" w14:textId="77777777" w:rsidR="00E42B18" w:rsidRDefault="009629C4">
      <w:pPr>
        <w:pStyle w:val="P68B1DB1-ListParagraph37"/>
        <w:numPr>
          <w:ilvl w:val="1"/>
          <w:numId w:val="81"/>
        </w:numPr>
        <w:spacing w:after="0" w:line="257" w:lineRule="auto"/>
        <w:ind w:left="953" w:hanging="477"/>
        <w:jc w:val="both"/>
        <w:rPr>
          <w:noProof/>
        </w:rPr>
      </w:pPr>
      <w:r>
        <w:rPr>
          <w:noProof/>
        </w:rPr>
        <w:t>Vaatimus siitä, että kaikki tuetut investoinnit ovat taloudellisesti elinkelpoisia.</w:t>
      </w:r>
    </w:p>
    <w:p w14:paraId="0E1A755D" w14:textId="77777777" w:rsidR="00E42B18" w:rsidRDefault="009629C4">
      <w:pPr>
        <w:pStyle w:val="ListParagraph"/>
        <w:numPr>
          <w:ilvl w:val="1"/>
          <w:numId w:val="81"/>
        </w:numPr>
        <w:spacing w:after="0" w:line="257" w:lineRule="auto"/>
        <w:ind w:left="953" w:hanging="477"/>
        <w:jc w:val="both"/>
        <w:rPr>
          <w:rFonts w:ascii="Times New Roman" w:hAnsi="Times New Roman" w:cs="Times New Roman"/>
          <w:noProof/>
        </w:rPr>
      </w:pPr>
      <w:r>
        <w:rPr>
          <w:rFonts w:ascii="Times New Roman" w:hAnsi="Times New Roman" w:cs="Times New Roman" w:hint="eastAsia"/>
          <w:noProof/>
        </w:rPr>
        <w:t xml:space="preserve">Vaatimus noudattaa </w:t>
      </w:r>
      <w:r>
        <w:rPr>
          <w:rFonts w:ascii="Times New Roman" w:hAnsi="Times New Roman" w:cs="Times New Roman" w:hint="eastAsia"/>
          <w:noProof/>
        </w:rPr>
        <w:t>”</w:t>
      </w:r>
      <w:r>
        <w:rPr>
          <w:rFonts w:ascii="Times New Roman" w:hAnsi="Times New Roman" w:cs="Times New Roman" w:hint="eastAsia"/>
          <w:noProof/>
        </w:rPr>
        <w:t>ei merkittävää haittaa</w:t>
      </w:r>
      <w:r>
        <w:rPr>
          <w:rFonts w:ascii="Times New Roman" w:hAnsi="Times New Roman" w:cs="Times New Roman" w:hint="eastAsia"/>
          <w:noProof/>
        </w:rPr>
        <w:t>”</w:t>
      </w:r>
      <w:r>
        <w:rPr>
          <w:rFonts w:ascii="Times New Roman" w:hAnsi="Times New Roman" w:cs="Times New Roman" w:hint="eastAsia"/>
          <w:noProof/>
        </w:rPr>
        <w:t xml:space="preserve"> -periaatetta sitä koskevien teknisten ohjeiden (2021/C58/01) mukaisesti. Avustuspolitiikassa suljetaan tukikelpoisuuden ulkopuolelle erityisesti seuraava luettelo toiminnoista ja omaisuuseristä: I) fossiilisiin polttoaineisiin liittyvät toiminnot ja omaisuuserät, mukaan lukien tuotantoketjun loppupään käyttö,</w:t>
      </w:r>
      <w:r>
        <w:rPr>
          <w:rFonts w:ascii="Times New Roman" w:hAnsi="Times New Roman" w:cs="Times New Roman" w:hint="eastAsia"/>
          <w:noProof/>
        </w:rPr>
        <w:footnoteReference w:id="46"/>
      </w:r>
      <w:r>
        <w:rPr>
          <w:rFonts w:ascii="Times New Roman" w:hAnsi="Times New Roman" w:cs="Times New Roman"/>
          <w:noProof/>
          <w:vertAlign w:val="superscript"/>
        </w:rPr>
        <w:t>ii</w:t>
      </w:r>
      <w:r>
        <w:rPr>
          <w:rFonts w:ascii="Times New Roman" w:hAnsi="Times New Roman" w:cs="Times New Roman"/>
          <w:noProof/>
        </w:rPr>
        <w:t>) EU:n päästökauppajärjestelmään kuuluvat toiminnot ja omaisuuserät, joiden avulla saavutetaan ennustetut kasvihuonekaasupäästöt, jotka eivät alita asiaankuuluvia vertailuarvoja</w:t>
      </w:r>
      <w:r>
        <w:rPr>
          <w:rFonts w:ascii="Times New Roman" w:hAnsi="Times New Roman" w:cs="Times New Roman"/>
          <w:noProof/>
        </w:rPr>
        <w:footnoteReference w:id="47"/>
      </w:r>
      <w:r>
        <w:rPr>
          <w:rFonts w:ascii="Times New Roman" w:hAnsi="Times New Roman" w:cs="Times New Roman"/>
          <w:noProof/>
          <w:vertAlign w:val="superscript"/>
        </w:rPr>
        <w:t>,</w:t>
      </w:r>
      <w:r>
        <w:rPr>
          <w:rFonts w:ascii="Times New Roman" w:hAnsi="Times New Roman" w:cs="Times New Roman"/>
          <w:noProof/>
        </w:rPr>
        <w:t xml:space="preserve"> iii) kaatopaikkoihin, polttolaitoksiin ja mekaanisiin biologisiin käsittelylaitoksiin liittyvät toiminnot</w:t>
      </w:r>
      <w:r>
        <w:rPr>
          <w:rFonts w:ascii="Times New Roman" w:hAnsi="Times New Roman" w:cs="Times New Roman"/>
          <w:noProof/>
        </w:rPr>
        <w:footnoteReference w:id="48"/>
      </w:r>
      <w:r>
        <w:rPr>
          <w:rFonts w:ascii="Times New Roman" w:hAnsi="Times New Roman" w:cs="Times New Roman"/>
          <w:noProof/>
        </w:rPr>
        <w:t xml:space="preserve"> ja varat</w:t>
      </w:r>
      <w:r>
        <w:rPr>
          <w:rFonts w:ascii="Times New Roman" w:hAnsi="Times New Roman" w:cs="Times New Roman"/>
          <w:noProof/>
        </w:rPr>
        <w:footnoteReference w:id="49"/>
      </w:r>
      <w:r>
        <w:rPr>
          <w:rFonts w:ascii="Times New Roman" w:hAnsi="Times New Roman" w:cs="Times New Roman"/>
          <w:noProof/>
        </w:rPr>
        <w:t xml:space="preserve">. </w:t>
      </w:r>
    </w:p>
    <w:p w14:paraId="28153413" w14:textId="77777777" w:rsidR="00E42B18" w:rsidRDefault="009629C4">
      <w:pPr>
        <w:pStyle w:val="P68B1DB1-ListParagraph37"/>
        <w:numPr>
          <w:ilvl w:val="1"/>
          <w:numId w:val="81"/>
        </w:numPr>
        <w:spacing w:after="0" w:line="257" w:lineRule="auto"/>
        <w:ind w:left="953" w:hanging="477"/>
        <w:jc w:val="both"/>
        <w:rPr>
          <w:noProof/>
        </w:rPr>
      </w:pPr>
      <w:r>
        <w:rPr>
          <w:noProof/>
        </w:rPr>
        <w:t>Vaatimus siitä, että ohjelman lopulliset tuensaajat eivät saa tukea muista unionin välineistä samojen kustannusten kattamiseen.</w:t>
      </w:r>
    </w:p>
    <w:p w14:paraId="507B74B9" w14:textId="77777777" w:rsidR="00E42B18" w:rsidRDefault="009629C4">
      <w:pPr>
        <w:pStyle w:val="P68B1DB1-ListParagraph37"/>
        <w:numPr>
          <w:ilvl w:val="0"/>
          <w:numId w:val="82"/>
        </w:numPr>
        <w:spacing w:after="0" w:line="257" w:lineRule="auto"/>
        <w:jc w:val="both"/>
        <w:rPr>
          <w:noProof/>
        </w:rPr>
      </w:pPr>
      <w:r>
        <w:rPr>
          <w:noProof/>
        </w:rPr>
        <w:t>Täytäntöönpanosopimuksen kattama määrä, maksurakenne toteutuskumppania varten sekä vaatimus käyttää järjestelmän käyttämättömät tuotot, myös vuoden 2026 jälkeen, samoihin poliittisiin tavoitteisiin.</w:t>
      </w:r>
    </w:p>
    <w:p w14:paraId="2B39C369" w14:textId="77777777" w:rsidR="00E42B18" w:rsidRDefault="009629C4">
      <w:pPr>
        <w:pStyle w:val="P68B1DB1-ListParagraph37"/>
        <w:numPr>
          <w:ilvl w:val="0"/>
          <w:numId w:val="82"/>
        </w:numPr>
        <w:spacing w:after="0" w:line="257" w:lineRule="auto"/>
        <w:jc w:val="both"/>
        <w:rPr>
          <w:noProof/>
        </w:rPr>
      </w:pPr>
      <w:r>
        <w:rPr>
          <w:noProof/>
        </w:rPr>
        <w:t>Seuranta-, valvonta- ja tarkastusvaatimukset, joihin sisältyvät</w:t>
      </w:r>
    </w:p>
    <w:p w14:paraId="620A63B1" w14:textId="77777777" w:rsidR="00E42B18" w:rsidRDefault="009629C4">
      <w:pPr>
        <w:pStyle w:val="P68B1DB1-ListParagraph36"/>
        <w:numPr>
          <w:ilvl w:val="0"/>
          <w:numId w:val="80"/>
        </w:numPr>
        <w:spacing w:after="0" w:line="240" w:lineRule="auto"/>
        <w:ind w:left="1440"/>
        <w:jc w:val="both"/>
        <w:rPr>
          <w:rFonts w:hint="default"/>
          <w:noProof/>
        </w:rPr>
      </w:pPr>
      <w:r>
        <w:rPr>
          <w:noProof/>
        </w:rPr>
        <w:t>Kuvaus toteutuskumppanin seurantajärjestelmästä, jolla raportoidaan käyttöön otetuista avustuksista.</w:t>
      </w:r>
    </w:p>
    <w:p w14:paraId="439F6141" w14:textId="77777777" w:rsidR="00E42B18" w:rsidRDefault="009629C4">
      <w:pPr>
        <w:pStyle w:val="P68B1DB1-ListParagraph36"/>
        <w:numPr>
          <w:ilvl w:val="0"/>
          <w:numId w:val="80"/>
        </w:numPr>
        <w:spacing w:after="0" w:line="257" w:lineRule="auto"/>
        <w:ind w:left="1440"/>
        <w:jc w:val="both"/>
        <w:rPr>
          <w:rFonts w:hint="default"/>
          <w:noProof/>
        </w:rPr>
      </w:pPr>
      <w:r>
        <w:rPr>
          <w:noProof/>
        </w:rPr>
        <w:t>Kuvaus toteutuskumppanin menettelyistä, joilla varmistetaan petosten, lahjonnan ja eturistiriitojen ehkäiseminen, havaitseminen ja korjaaminen.</w:t>
      </w:r>
    </w:p>
    <w:p w14:paraId="5462E04A" w14:textId="77777777" w:rsidR="00E42B18" w:rsidRDefault="009629C4">
      <w:pPr>
        <w:pStyle w:val="P68B1DB1-ListParagraph37"/>
        <w:numPr>
          <w:ilvl w:val="0"/>
          <w:numId w:val="80"/>
        </w:numPr>
        <w:spacing w:after="0" w:line="257" w:lineRule="auto"/>
        <w:ind w:left="1440"/>
        <w:jc w:val="both"/>
        <w:rPr>
          <w:noProof/>
        </w:rPr>
      </w:pPr>
      <w:r>
        <w:rPr>
          <w:noProof/>
        </w:rPr>
        <w:t>Velvollisuus tarkistaa jokaisen toimen tukikelpoisuus täytäntöönpanosopimuksessa vahvistettujen vaatimusten mukaisesti ennen avustuksen myöntämistä toimelle.</w:t>
      </w:r>
    </w:p>
    <w:p w14:paraId="3F08FB05" w14:textId="77777777" w:rsidR="00E42B18" w:rsidRDefault="009629C4">
      <w:pPr>
        <w:pStyle w:val="P68B1DB1-ListParagraph37"/>
        <w:numPr>
          <w:ilvl w:val="0"/>
          <w:numId w:val="80"/>
        </w:numPr>
        <w:spacing w:after="0" w:line="257" w:lineRule="auto"/>
        <w:ind w:left="1440"/>
        <w:jc w:val="both"/>
        <w:rPr>
          <w:noProof/>
        </w:rPr>
      </w:pPr>
      <w:r>
        <w:rPr>
          <w:noProof/>
        </w:rPr>
        <w:t xml:space="preserve">Velvoite suorittaa riskiperusteisia jälkitarkastuksia GSE:n tarkastussuunnitelman mukaisesti. Näillä tarkastuksilla varmistetaan i) valvontajärjestelmien tehokkuus, mukaan lukien petosten, lahjonnan ja eturistiriitojen havaitseminen; II) ”ei merkittävää haittaa” -periaatteen eli valtiontukisääntöjen noudattaminen; ja iii) noudatetaan vaatimusta, jonka mukaan järjestelmän lopulliset edunsaajat eivät ole saaneet tukea muista unionin välineistä samojen kustannusten kattamiseksi. Tarkastuksissa on myös todennettava toimien laillisuus ja se, että sovellettavan täytäntöönpanosopimuksen ja avustussopimusten ehtoja noudatetaan. </w:t>
      </w:r>
    </w:p>
    <w:p w14:paraId="46CB81FA" w14:textId="77777777" w:rsidR="00E42B18" w:rsidRDefault="009629C4">
      <w:pPr>
        <w:pStyle w:val="P68B1DB1-Normal5"/>
        <w:spacing w:before="120" w:after="120"/>
        <w:jc w:val="both"/>
        <w:rPr>
          <w:bCs/>
          <w:noProof/>
        </w:rPr>
      </w:pPr>
      <w:r>
        <w:rPr>
          <w:noProof/>
        </w:rPr>
        <w:t>Investointi 1.4 – Biometaanin kehittäminen kiertotalouden edistämiskriteerien mukaisesti</w:t>
      </w:r>
    </w:p>
    <w:p w14:paraId="08463994" w14:textId="3B1EA517" w:rsidR="00E42B18" w:rsidRDefault="009629C4">
      <w:pPr>
        <w:jc w:val="both"/>
        <w:rPr>
          <w:rFonts w:ascii="Times New Roman" w:eastAsia="Times New Roman" w:hAnsi="Times New Roman" w:cs="Times New Roman"/>
          <w:noProof/>
        </w:rPr>
      </w:pPr>
      <w:r>
        <w:rPr>
          <w:rFonts w:ascii="Times New Roman" w:eastAsia="Times New Roman" w:hAnsi="Times New Roman" w:cs="Times New Roman"/>
          <w:noProof/>
        </w:rPr>
        <w:t>Tämä toimenpide koostuu avustusjärjestelmään tehtävästä julkisesta investoinnista, jolla kannustetaan yksityisiä investointeja ja parannetaan rahoituksen saantia Italian biometaanin tuotantoon. Ohjelma toimii myöntämällä avustuksia suoraan yksityiselle sektorille</w:t>
      </w:r>
      <w:r>
        <w:rPr>
          <w:rStyle w:val="FootnoteReference"/>
          <w:rFonts w:ascii="Times New Roman" w:hAnsi="Times New Roman" w:cs="Times New Roman"/>
          <w:noProof/>
        </w:rPr>
        <w:footnoteReference w:id="50"/>
      </w:r>
      <w:r>
        <w:rPr>
          <w:rFonts w:ascii="Times New Roman" w:hAnsi="Times New Roman" w:cs="Times New Roman"/>
          <w:noProof/>
        </w:rPr>
        <w:t xml:space="preserve">. </w:t>
      </w:r>
    </w:p>
    <w:p w14:paraId="091B8982" w14:textId="77777777" w:rsidR="00E42B18" w:rsidRDefault="009629C4">
      <w:pPr>
        <w:pStyle w:val="P68B1DB1-Normal8"/>
        <w:jc w:val="both"/>
        <w:rPr>
          <w:noProof/>
        </w:rPr>
      </w:pPr>
      <w:r>
        <w:rPr>
          <w:noProof/>
        </w:rPr>
        <w:t xml:space="preserve">Järjestelmää hallinnoi toteutuskumppanina Gestore dei Servizi Energetici (GSE). Ohjelman on sisällettävä seuraavat tuotelinjat: </w:t>
      </w:r>
    </w:p>
    <w:p w14:paraId="3430D15D" w14:textId="77777777" w:rsidR="00E42B18" w:rsidRDefault="009629C4">
      <w:pPr>
        <w:pStyle w:val="P68B1DB1-ListParagraph37"/>
        <w:numPr>
          <w:ilvl w:val="0"/>
          <w:numId w:val="79"/>
        </w:numPr>
        <w:spacing w:after="0" w:line="240" w:lineRule="auto"/>
        <w:jc w:val="both"/>
        <w:rPr>
          <w:noProof/>
        </w:rPr>
      </w:pPr>
      <w:r>
        <w:rPr>
          <w:noProof/>
        </w:rPr>
        <w:t>Tuki biometaanin uusien tuotantolaitosten rakentamiseen. Biometaanin on täytettävä direktiivissä 2018/2001 (RED II -direktiivi) vahvistetut kriteerit, jotta toimenpide on ”ei merkittävää haittaa” -periaatteen ja asetuksen (EU) 2021/241 liitteessä VI olevan alaviitteen 8 vaatimusten mukainen.</w:t>
      </w:r>
    </w:p>
    <w:p w14:paraId="6DE8F823" w14:textId="77777777" w:rsidR="00E42B18" w:rsidRDefault="00E42B18">
      <w:pPr>
        <w:spacing w:after="0"/>
        <w:jc w:val="both"/>
        <w:rPr>
          <w:rFonts w:ascii="Times New Roman" w:hAnsi="Times New Roman" w:cs="Times New Roman"/>
          <w:noProof/>
        </w:rPr>
      </w:pPr>
    </w:p>
    <w:p w14:paraId="1D845858" w14:textId="77777777" w:rsidR="00E42B18" w:rsidRDefault="009629C4">
      <w:pPr>
        <w:pStyle w:val="P68B1DB1-ListParagraph36"/>
        <w:numPr>
          <w:ilvl w:val="0"/>
          <w:numId w:val="79"/>
        </w:numPr>
        <w:spacing w:after="0" w:line="240" w:lineRule="auto"/>
        <w:jc w:val="both"/>
        <w:rPr>
          <w:rFonts w:hint="default"/>
          <w:noProof/>
        </w:rPr>
      </w:pPr>
      <w:r>
        <w:rPr>
          <w:noProof/>
        </w:rPr>
        <w:t xml:space="preserve">Nykyisten maatalouden biokaasulaitosten (mukaan lukien kiinteän kaupunkijätteen orgaaninen käsittely) muuntaminen ja tehokkuuden parantaminen liikenteessä, teollisuudessa ja lämmityksessä käytettävän biometaanin tuottamiseksi. Biometaanin on täytettävä direktiivissä 2018/2001 (RED II -direktiivi) vahvistetut kriteerit, jotta toimenpide on </w:t>
      </w:r>
      <w:r>
        <w:rPr>
          <w:noProof/>
        </w:rPr>
        <w:t>”</w:t>
      </w:r>
      <w:r>
        <w:rPr>
          <w:noProof/>
        </w:rPr>
        <w:t>ei merkittävää haittaa</w:t>
      </w:r>
      <w:r>
        <w:rPr>
          <w:noProof/>
        </w:rPr>
        <w:t>”</w:t>
      </w:r>
      <w:r>
        <w:rPr>
          <w:noProof/>
        </w:rPr>
        <w:t xml:space="preserve"> -periaatteen ja asetuksen (EU) 2021/241 liitteessä VI olevan alaviitteen 8 vaatimusten mukainen.</w:t>
      </w:r>
    </w:p>
    <w:p w14:paraId="793DF01F" w14:textId="77777777" w:rsidR="00E42B18" w:rsidRDefault="00E42B18">
      <w:pPr>
        <w:pStyle w:val="ListParagraph"/>
        <w:spacing w:after="0"/>
        <w:ind w:hanging="360"/>
        <w:rPr>
          <w:rFonts w:ascii="Times New Roman" w:hAnsi="Times New Roman" w:cs="Times New Roman"/>
          <w:noProof/>
        </w:rPr>
      </w:pPr>
    </w:p>
    <w:p w14:paraId="5831D264" w14:textId="77777777" w:rsidR="00E42B18" w:rsidRDefault="009629C4">
      <w:pPr>
        <w:pStyle w:val="P68B1DB1-Normal7"/>
        <w:spacing w:after="0"/>
        <w:rPr>
          <w:noProof/>
        </w:rPr>
      </w:pPr>
      <w:r>
        <w:rPr>
          <w:noProof/>
        </w:rPr>
        <w:t>Ohjelmaan tehtävän investoinnin toteuttamiseksi Italian ja GSE:n on allekirjoitettava täytäntöönpanosopimus, jonka sisältö on seuraava:</w:t>
      </w:r>
    </w:p>
    <w:p w14:paraId="0A612D5C" w14:textId="77777777" w:rsidR="00E42B18" w:rsidRDefault="009629C4">
      <w:pPr>
        <w:pStyle w:val="P68B1DB1-ListParagraph37"/>
        <w:numPr>
          <w:ilvl w:val="0"/>
          <w:numId w:val="78"/>
        </w:numPr>
        <w:spacing w:before="120" w:after="0" w:line="257" w:lineRule="auto"/>
        <w:jc w:val="both"/>
        <w:rPr>
          <w:noProof/>
        </w:rPr>
      </w:pPr>
      <w:r>
        <w:rPr>
          <w:noProof/>
        </w:rPr>
        <w:t>Kuvaus ohjelman päätöksentekoprosessista: Lopullisen myöntämispäätöksen ohjelmassa tekee investointikomitea tai muu asianmukainen vastaava hallinnollinen elin ja päätös hyväksytään hallituksesta riippumattomien jäsenten ääntenenemmistöllä.</w:t>
      </w:r>
    </w:p>
    <w:p w14:paraId="4D15CC88" w14:textId="77777777" w:rsidR="00E42B18" w:rsidRDefault="009629C4">
      <w:pPr>
        <w:pStyle w:val="P68B1DB1-ListParagraph37"/>
        <w:numPr>
          <w:ilvl w:val="0"/>
          <w:numId w:val="78"/>
        </w:numPr>
        <w:spacing w:before="120" w:after="0" w:line="257" w:lineRule="auto"/>
        <w:jc w:val="both"/>
        <w:rPr>
          <w:noProof/>
        </w:rPr>
      </w:pPr>
      <w:r>
        <w:rPr>
          <w:noProof/>
        </w:rPr>
        <w:t>Avustuspolitiikan keskeiset vaatimukset,</w:t>
      </w:r>
      <w:r>
        <w:rPr>
          <w:b/>
          <w:noProof/>
        </w:rPr>
        <w:t xml:space="preserve"> </w:t>
      </w:r>
      <w:r>
        <w:rPr>
          <w:noProof/>
        </w:rPr>
        <w:t>joita ovat muun muassa seuraavat:</w:t>
      </w:r>
    </w:p>
    <w:p w14:paraId="58545A64" w14:textId="77777777" w:rsidR="00E42B18" w:rsidRDefault="009629C4">
      <w:pPr>
        <w:pStyle w:val="P68B1DB1-ListParagraph37"/>
        <w:numPr>
          <w:ilvl w:val="1"/>
          <w:numId w:val="78"/>
        </w:numPr>
        <w:spacing w:after="0" w:line="257" w:lineRule="auto"/>
        <w:ind w:left="953" w:hanging="477"/>
        <w:jc w:val="both"/>
        <w:rPr>
          <w:noProof/>
        </w:rPr>
      </w:pPr>
      <w:r>
        <w:rPr>
          <w:noProof/>
        </w:rPr>
        <w:t>Kuvaus myönnetyistä avustuksista ja tukikelpoisista lopullisista edunsaajista.</w:t>
      </w:r>
    </w:p>
    <w:p w14:paraId="371C9821" w14:textId="77777777" w:rsidR="00E42B18" w:rsidRDefault="009629C4">
      <w:pPr>
        <w:pStyle w:val="P68B1DB1-ListParagraph37"/>
        <w:numPr>
          <w:ilvl w:val="1"/>
          <w:numId w:val="78"/>
        </w:numPr>
        <w:spacing w:after="0" w:line="257" w:lineRule="auto"/>
        <w:ind w:left="953" w:hanging="477"/>
        <w:jc w:val="both"/>
        <w:rPr>
          <w:noProof/>
        </w:rPr>
      </w:pPr>
      <w:r>
        <w:rPr>
          <w:noProof/>
        </w:rPr>
        <w:t>Vaatimus siitä, että kaikki tuetut investoinnit ovat taloudellisesti elinkelpoisia.</w:t>
      </w:r>
    </w:p>
    <w:p w14:paraId="5F04EFBF" w14:textId="77777777" w:rsidR="00E42B18" w:rsidRDefault="009629C4">
      <w:pPr>
        <w:pStyle w:val="ListParagraph"/>
        <w:numPr>
          <w:ilvl w:val="1"/>
          <w:numId w:val="78"/>
        </w:numPr>
        <w:spacing w:after="0" w:line="257" w:lineRule="auto"/>
        <w:ind w:left="953" w:hanging="477"/>
        <w:jc w:val="both"/>
        <w:rPr>
          <w:rFonts w:ascii="Times New Roman" w:hAnsi="Times New Roman" w:cs="Times New Roman"/>
          <w:noProof/>
        </w:rPr>
      </w:pPr>
      <w:r>
        <w:rPr>
          <w:rFonts w:ascii="Times New Roman" w:hAnsi="Times New Roman" w:cs="Times New Roman" w:hint="eastAsia"/>
          <w:noProof/>
        </w:rPr>
        <w:t xml:space="preserve">Vaatimus noudattaa </w:t>
      </w:r>
      <w:r>
        <w:rPr>
          <w:rFonts w:ascii="Times New Roman" w:hAnsi="Times New Roman" w:cs="Times New Roman" w:hint="eastAsia"/>
          <w:noProof/>
        </w:rPr>
        <w:t>”</w:t>
      </w:r>
      <w:r>
        <w:rPr>
          <w:rFonts w:ascii="Times New Roman" w:hAnsi="Times New Roman" w:cs="Times New Roman" w:hint="eastAsia"/>
          <w:noProof/>
        </w:rPr>
        <w:t>ei merkittävää haittaa</w:t>
      </w:r>
      <w:r>
        <w:rPr>
          <w:rFonts w:ascii="Times New Roman" w:hAnsi="Times New Roman" w:cs="Times New Roman" w:hint="eastAsia"/>
          <w:noProof/>
        </w:rPr>
        <w:t>”</w:t>
      </w:r>
      <w:r>
        <w:rPr>
          <w:rFonts w:ascii="Times New Roman" w:hAnsi="Times New Roman" w:cs="Times New Roman" w:hint="eastAsia"/>
          <w:noProof/>
        </w:rPr>
        <w:t xml:space="preserve"> -periaatetta sitä koskevien teknisten ohjeiden (2021/C58/01) mukaisesti. Avustuspolitiikassa suljetaan tukikelpoisuuden ulkopuolelle erityisesti seuraava luettelo toiminnoista ja omaisuuseristä: I) fossiilisiin polttoaineisiin liittyvät toiminnot ja omaisuuserät, mukaan lukien tuotantoketjun loppupään käyttö,</w:t>
      </w:r>
      <w:r>
        <w:rPr>
          <w:rStyle w:val="FootnoteReference"/>
          <w:rFonts w:ascii="Times New Roman" w:hAnsi="Times New Roman" w:cs="Times New Roman"/>
          <w:noProof/>
        </w:rPr>
        <w:footnoteReference w:id="51"/>
      </w:r>
      <w:r>
        <w:rPr>
          <w:rFonts w:ascii="Times New Roman" w:hAnsi="Times New Roman" w:cs="Times New Roman"/>
          <w:noProof/>
        </w:rPr>
        <w:t>ii) EU:n päästökauppajärjestelmään kuuluvat toiminnot ja omaisuuserät, joiden avulla saavutetaan ennustetut kasvihuonekaasupäästöt, jotka eivät alita asiaankuuluvia vertailuarvoja</w:t>
      </w:r>
      <w:r>
        <w:rPr>
          <w:rStyle w:val="FootnoteReference"/>
          <w:rFonts w:ascii="Times New Roman" w:hAnsi="Times New Roman" w:cs="Times New Roman"/>
          <w:noProof/>
        </w:rPr>
        <w:footnoteReference w:id="52"/>
      </w:r>
      <w:r>
        <w:rPr>
          <w:rFonts w:ascii="Times New Roman" w:hAnsi="Times New Roman" w:cs="Times New Roman"/>
          <w:noProof/>
        </w:rPr>
        <w:t>, iii) kaatopaikkoihin, polttolaitoksiin ja mekaanisiin biologisiin käsittelylaitoksiin liittyvät toiminnot</w:t>
      </w:r>
      <w:r>
        <w:rPr>
          <w:rStyle w:val="FootnoteReference"/>
          <w:rFonts w:ascii="Times New Roman" w:hAnsi="Times New Roman" w:cs="Times New Roman"/>
          <w:noProof/>
        </w:rPr>
        <w:footnoteReference w:id="53"/>
      </w:r>
      <w:r>
        <w:rPr>
          <w:rFonts w:ascii="Times New Roman" w:hAnsi="Times New Roman" w:cs="Times New Roman"/>
          <w:noProof/>
        </w:rPr>
        <w:t xml:space="preserve"> ja varat</w:t>
      </w:r>
      <w:r>
        <w:rPr>
          <w:rStyle w:val="FootnoteReference"/>
          <w:rFonts w:ascii="Times New Roman" w:hAnsi="Times New Roman" w:cs="Times New Roman"/>
          <w:noProof/>
        </w:rPr>
        <w:footnoteReference w:id="54"/>
      </w:r>
      <w:r>
        <w:rPr>
          <w:rFonts w:ascii="Times New Roman" w:hAnsi="Times New Roman" w:cs="Times New Roman"/>
          <w:noProof/>
        </w:rPr>
        <w:t xml:space="preserve">. </w:t>
      </w:r>
    </w:p>
    <w:p w14:paraId="5B6E5058" w14:textId="77777777" w:rsidR="00E42B18" w:rsidRDefault="009629C4">
      <w:pPr>
        <w:pStyle w:val="P68B1DB1-ListParagraph37"/>
        <w:numPr>
          <w:ilvl w:val="1"/>
          <w:numId w:val="78"/>
        </w:numPr>
        <w:spacing w:after="0" w:line="257" w:lineRule="auto"/>
        <w:ind w:left="953" w:hanging="477"/>
        <w:jc w:val="both"/>
        <w:rPr>
          <w:noProof/>
        </w:rPr>
      </w:pPr>
      <w:r>
        <w:rPr>
          <w:noProof/>
        </w:rPr>
        <w:t>Vaatimus siitä, että ohjelman lopulliset tuensaajat eivät saa tukea muista unionin välineistä samojen kustannusten kattamiseen.</w:t>
      </w:r>
    </w:p>
    <w:p w14:paraId="320D37A1" w14:textId="77777777" w:rsidR="00E42B18" w:rsidRDefault="009629C4">
      <w:pPr>
        <w:pStyle w:val="P68B1DB1-ListParagraph37"/>
        <w:numPr>
          <w:ilvl w:val="0"/>
          <w:numId w:val="78"/>
        </w:numPr>
        <w:spacing w:after="0" w:line="257" w:lineRule="auto"/>
        <w:ind w:left="476" w:hanging="476"/>
        <w:jc w:val="both"/>
        <w:rPr>
          <w:noProof/>
        </w:rPr>
      </w:pPr>
      <w:r>
        <w:rPr>
          <w:noProof/>
        </w:rPr>
        <w:t>Täytäntöönpanosopimuksen kattama määrä, toteutuskumppanin maksurakenne ja vaatimus käyttää kaikki järjestelmän käyttämättömät tuotot, myös vuoden 2026 jälkeen, samoihin toimintapoliittisiin tarkoituksiin.</w:t>
      </w:r>
    </w:p>
    <w:p w14:paraId="401BF866" w14:textId="77777777" w:rsidR="00E42B18" w:rsidRDefault="009629C4">
      <w:pPr>
        <w:pStyle w:val="P68B1DB1-ListParagraph37"/>
        <w:numPr>
          <w:ilvl w:val="0"/>
          <w:numId w:val="78"/>
        </w:numPr>
        <w:spacing w:after="0" w:line="257" w:lineRule="auto"/>
        <w:ind w:left="476" w:hanging="476"/>
        <w:jc w:val="both"/>
        <w:rPr>
          <w:noProof/>
        </w:rPr>
      </w:pPr>
      <w:r>
        <w:rPr>
          <w:noProof/>
        </w:rPr>
        <w:t>Seuranta-, valvonta- ja tarkastusvaatimukset, joihin sisältyvät</w:t>
      </w:r>
    </w:p>
    <w:p w14:paraId="0C1543E3" w14:textId="77777777" w:rsidR="00E42B18" w:rsidRDefault="009629C4">
      <w:pPr>
        <w:pStyle w:val="P68B1DB1-ListParagraph36"/>
        <w:numPr>
          <w:ilvl w:val="0"/>
          <w:numId w:val="77"/>
        </w:numPr>
        <w:spacing w:after="0" w:line="240" w:lineRule="auto"/>
        <w:ind w:left="1440"/>
        <w:jc w:val="both"/>
        <w:rPr>
          <w:rFonts w:hint="default"/>
          <w:noProof/>
        </w:rPr>
      </w:pPr>
      <w:r>
        <w:rPr>
          <w:noProof/>
        </w:rPr>
        <w:t>Kuvaus toteutuskumppanin seurantajärjestelmästä, jolla raportoidaan mobilisoiduista tuista.</w:t>
      </w:r>
    </w:p>
    <w:p w14:paraId="26DA2559" w14:textId="77777777" w:rsidR="00E42B18" w:rsidRDefault="009629C4">
      <w:pPr>
        <w:pStyle w:val="P68B1DB1-ListParagraph36"/>
        <w:numPr>
          <w:ilvl w:val="0"/>
          <w:numId w:val="77"/>
        </w:numPr>
        <w:spacing w:after="0" w:line="257" w:lineRule="auto"/>
        <w:ind w:left="1440"/>
        <w:jc w:val="both"/>
        <w:rPr>
          <w:rFonts w:hint="default"/>
          <w:noProof/>
        </w:rPr>
      </w:pPr>
      <w:r>
        <w:rPr>
          <w:noProof/>
        </w:rPr>
        <w:t xml:space="preserve">Kuvaus toteutuskumppanin menettelyistä, joilla varmistetaan petosten, lahjonnan ja eturistiriitojen ehkäiseminen, havaitseminen ja korjaaminen. </w:t>
      </w:r>
    </w:p>
    <w:p w14:paraId="19D77E8F" w14:textId="77777777" w:rsidR="00E42B18" w:rsidRDefault="009629C4">
      <w:pPr>
        <w:pStyle w:val="P68B1DB1-ListParagraph37"/>
        <w:numPr>
          <w:ilvl w:val="0"/>
          <w:numId w:val="77"/>
        </w:numPr>
        <w:spacing w:after="0" w:line="257" w:lineRule="auto"/>
        <w:ind w:left="1440"/>
        <w:jc w:val="both"/>
        <w:rPr>
          <w:noProof/>
        </w:rPr>
      </w:pPr>
      <w:r>
        <w:rPr>
          <w:noProof/>
        </w:rPr>
        <w:t>Velvollisuus varmistaa kunkin toimen tukikelpoisuus täytäntöönpanosopimuksen vaatimusten mukaisesti ennen kuin toimelle myönnetään tukea.</w:t>
      </w:r>
    </w:p>
    <w:p w14:paraId="5692CAAD" w14:textId="77777777" w:rsidR="00E42B18" w:rsidRDefault="009629C4">
      <w:pPr>
        <w:pStyle w:val="P68B1DB1-ListParagraph37"/>
        <w:numPr>
          <w:ilvl w:val="0"/>
          <w:numId w:val="77"/>
        </w:numPr>
        <w:spacing w:after="0" w:line="240" w:lineRule="auto"/>
        <w:ind w:left="1440"/>
        <w:jc w:val="both"/>
        <w:rPr>
          <w:noProof/>
        </w:rPr>
      </w:pPr>
      <w:r>
        <w:rPr>
          <w:noProof/>
        </w:rPr>
        <w:t xml:space="preserve">Velvoite suorittaa riskiperusteisia jälkitarkastuksia GSE:n tarkastussuunnitelman mukaisesti. Näillä tarkastuksilla varmistetaan i) valvontajärjestelmien tehokkuus, mukaan lukien petosten, lahjonnan ja eturistiriitojen havaitseminen; II) ”ei merkittävää haittaa” -periaatteen, valtiontukisääntöjen ja ilmastotavoitteita koskevien vaatimusten noudattaminen; ja iii) noudatetaan vaatimusta, jonka mukaan järjestelmän lopulliset edunsaajat eivät ole saaneet tukea muista unionin välineistä samojen kustannusten kattamiseksi. Tarkastuksissa on myös todennettava toimien laillisuus ja se, että sovellettavien täytäntöönpanosopimuksen avustussopimusten ehtoja noudatetaan. </w:t>
      </w:r>
    </w:p>
    <w:p w14:paraId="6075CB16" w14:textId="77777777" w:rsidR="00E42B18" w:rsidRDefault="009629C4">
      <w:pPr>
        <w:pStyle w:val="P68B1DB1-Normal5"/>
        <w:spacing w:before="120" w:after="120"/>
        <w:jc w:val="both"/>
        <w:rPr>
          <w:bCs/>
          <w:noProof/>
        </w:rPr>
      </w:pPr>
      <w:r>
        <w:rPr>
          <w:noProof/>
        </w:rPr>
        <w:t>Investointi 2.1 – Älykkään verkon vahvistaminen</w:t>
      </w:r>
    </w:p>
    <w:p w14:paraId="21FD05BA" w14:textId="77777777" w:rsidR="00E42B18" w:rsidRDefault="009629C4">
      <w:pPr>
        <w:pStyle w:val="P68B1DB1-Normal7"/>
        <w:spacing w:before="120" w:after="120"/>
        <w:jc w:val="both"/>
        <w:rPr>
          <w:noProof/>
        </w:rPr>
      </w:pPr>
      <w:r>
        <w:rPr>
          <w:noProof/>
        </w:rPr>
        <w:t>Tämän investoinnin tavoitteena on sähkönjakeluverkon infrastruktuurin parantaminen ja digitalisointi. Investointi koostuu avustusten myöntämisestä jakeluverkonhaltijoille sellaisten toimien rahoittamiseksi, joilla lisätään jakeluverkon vastaanottokapasiteettia sekä kotitalouksien käytettävissä olevaa kapasiteettia energiankulutuksen sähköistämiseksi.</w:t>
      </w:r>
    </w:p>
    <w:p w14:paraId="02D17848" w14:textId="77777777" w:rsidR="00E42B18" w:rsidRDefault="009629C4">
      <w:pPr>
        <w:pStyle w:val="P68B1DB1-Normal5"/>
        <w:spacing w:before="120" w:after="120"/>
        <w:jc w:val="both"/>
        <w:rPr>
          <w:bCs/>
          <w:noProof/>
        </w:rPr>
      </w:pPr>
      <w:r>
        <w:rPr>
          <w:noProof/>
        </w:rPr>
        <w:t>Investointi 2.2 – Toimet sähköverkon häiriönsietokyvyn parantamiseksi</w:t>
      </w:r>
    </w:p>
    <w:p w14:paraId="39000F1D" w14:textId="49C3F4A6" w:rsidR="00E42B18" w:rsidRDefault="009629C4">
      <w:pPr>
        <w:pStyle w:val="P68B1DB1-Normal7"/>
        <w:spacing w:before="120" w:after="120"/>
        <w:jc w:val="both"/>
        <w:rPr>
          <w:noProof/>
        </w:rPr>
      </w:pPr>
      <w:r>
        <w:rPr>
          <w:noProof/>
        </w:rPr>
        <w:t>Tämän investoinnin tavoitteena on parantaa sähköverkon häiriönsietokykyä äärimmäisiä sääilmiöitä vastaan ja siten vähentää sähköntoimitusten pitkittyneiden keskeytysten todennäköisyyttä. Investointi koostuu avustusten myöntämisestä siirto- ja jakeluverkonhaltijoille sähköinfrastruktuuriin liittyviä töitä varten.</w:t>
      </w:r>
    </w:p>
    <w:p w14:paraId="5250A4C7" w14:textId="77777777" w:rsidR="00E42B18" w:rsidRDefault="009629C4">
      <w:pPr>
        <w:pStyle w:val="P68B1DB1-Normal5"/>
        <w:rPr>
          <w:noProof/>
        </w:rPr>
      </w:pPr>
      <w:r>
        <w:rPr>
          <w:noProof/>
        </w:rPr>
        <w:t>Investointi 3.1 – Vedyn tuotanto ympäristövaurioalueilla (vetylaaksot)</w:t>
      </w:r>
    </w:p>
    <w:p w14:paraId="7ACE3D95" w14:textId="77777777" w:rsidR="00E42B18" w:rsidRDefault="009629C4">
      <w:pPr>
        <w:pStyle w:val="P68B1DB1-Normal7"/>
        <w:spacing w:before="120" w:after="120"/>
        <w:jc w:val="both"/>
        <w:rPr>
          <w:noProof/>
        </w:rPr>
      </w:pPr>
      <w:r>
        <w:rPr>
          <w:noProof/>
        </w:rPr>
        <w:t xml:space="preserve">Investoinnin tavoitteena on luoda uusia vetylaaksoja eli uusiutuvan vedyn paikallista tuotantoa ja käyttöä teollisuudessa, pk-yrityksissä ja paikallisliikenteessä. Investointi koostuu avustusten myöntämisestä hankkeille, joilla tuotetaan vetyä hylätyillä teollisuusalueilla. </w:t>
      </w:r>
    </w:p>
    <w:p w14:paraId="551D6E6B" w14:textId="77777777" w:rsidR="00E42B18" w:rsidRDefault="009629C4">
      <w:pPr>
        <w:pStyle w:val="P68B1DB1-Normal5"/>
        <w:spacing w:before="120" w:after="120"/>
        <w:jc w:val="both"/>
        <w:rPr>
          <w:bCs/>
          <w:noProof/>
        </w:rPr>
      </w:pPr>
      <w:r>
        <w:rPr>
          <w:noProof/>
        </w:rPr>
        <w:t>Investointi 3.2 – Vedyn käyttö teollisuudessa, jolla päästöjä on vaikea vähentää</w:t>
      </w:r>
    </w:p>
    <w:p w14:paraId="6521F149" w14:textId="77777777" w:rsidR="00E42B18" w:rsidRDefault="009629C4">
      <w:pPr>
        <w:pStyle w:val="P68B1DB1-Normal7"/>
        <w:spacing w:before="120" w:after="120"/>
        <w:jc w:val="both"/>
        <w:rPr>
          <w:b/>
          <w:bCs/>
          <w:noProof/>
        </w:rPr>
      </w:pPr>
      <w:r>
        <w:rPr>
          <w:noProof/>
        </w:rPr>
        <w:t>Investoinnilla tuetaan teollisia prosesseja koskevaa T &amp; K &amp; I-toimintaa, jotta voidaan kehittää aloitteita vedyn käyttämiseksi sellaisilla teollisuudenaloilla, jotka käyttävät metaania lämpöenergian lähteenä (sementti, paperitehtaat, keramiikkateollisuus, lasiteollisuus jne.). Fossiilisten polttoaineiden ala, kuten öljynjalostamot, ei ole tukikelpoinen. Tällä toimenpiteellä tuetaan vedyn tuotantoa, joka perustuu direktiivissä (EU) 2018/2001 (uusiutuvan energian direktiivi) määriteltyihin uusiutuviin energialähteisiin tai verkkosähköön.</w:t>
      </w:r>
      <w:r>
        <w:rPr>
          <w:b/>
          <w:noProof/>
        </w:rPr>
        <w:t xml:space="preserve"> </w:t>
      </w:r>
    </w:p>
    <w:p w14:paraId="6232655E" w14:textId="77777777" w:rsidR="00E42B18" w:rsidRDefault="009629C4">
      <w:pPr>
        <w:pStyle w:val="P68B1DB1-Normal7"/>
        <w:spacing w:before="120" w:after="120"/>
        <w:jc w:val="both"/>
        <w:rPr>
          <w:noProof/>
        </w:rPr>
      </w:pPr>
      <w:r>
        <w:rPr>
          <w:noProof/>
        </w:rPr>
        <w:t>Sen varmistamiseksi, että toimenpide on elpymis- ja palautumistukivälineen ”ei merkittävää haittaa” -periaatteen mukainen, sellaisena kuin se on vahvistettu ”ei merkittävää haittaa” -periaatetta koskevissa teknisissä ohjeissa (2021/C58/01), tulevien ehdotuspyyntöjen tukikelpoisuuskriteereihin ei sisällytetä EU:n päästökauppajärjestelmään kuuluvia toimintoja, joilla saavutetaan ennustetut kasvihuonekaasupäästöt, jotka eivät ole asiaankuuluvia vertailuarvoja alhaisempia. Jos toiminnalla saavutetaan ennustetut kasvihuonekaasupäästöt, jotka eivät ole merkittävästi alhaisemmat mutta silti pienemmät kuin asiaankuuluvat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p w14:paraId="4267BDE9" w14:textId="77777777" w:rsidR="00E42B18" w:rsidRDefault="009629C4">
      <w:pPr>
        <w:pStyle w:val="P68B1DB1-Normal5"/>
        <w:spacing w:before="120" w:after="120"/>
        <w:jc w:val="both"/>
        <w:rPr>
          <w:bCs/>
          <w:noProof/>
        </w:rPr>
      </w:pPr>
      <w:r>
        <w:rPr>
          <w:noProof/>
        </w:rPr>
        <w:t>Investointi 3.4 – Rautateiden liikkuvuuden ja tieliikenteen vetytestaus</w:t>
      </w:r>
    </w:p>
    <w:p w14:paraId="20ED69AA" w14:textId="77777777" w:rsidR="00E42B18" w:rsidRDefault="009629C4">
      <w:pPr>
        <w:pStyle w:val="P68B1DB1-Normal66"/>
        <w:spacing w:before="120" w:after="120"/>
        <w:jc w:val="both"/>
        <w:rPr>
          <w:noProof/>
        </w:rPr>
      </w:pPr>
      <w:r>
        <w:rPr>
          <w:noProof/>
        </w:rPr>
        <w:t xml:space="preserve">Tämän investoinnin tavoitteena on edistää vedyn käyttöä tankkaustarkoituksiin. </w:t>
      </w:r>
    </w:p>
    <w:p w14:paraId="4EFB6650" w14:textId="34AC143E" w:rsidR="00E42B18" w:rsidRDefault="009629C4">
      <w:pPr>
        <w:pStyle w:val="P68B1DB1-Normal7"/>
        <w:spacing w:before="120" w:after="120"/>
        <w:jc w:val="both"/>
        <w:rPr>
          <w:noProof/>
        </w:rPr>
      </w:pPr>
      <w:r>
        <w:rPr>
          <w:noProof/>
        </w:rPr>
        <w:t>Investointi koostuu vetypohjaisten rautatietankkausasemien rakentamisesta mieluiten paikallisten uusiutuvan vedyn tuotantolaitosten ja/tai moottoriteiden vetytankkausasemien läheisyyteen sekä vetypohjaisten maantieliikenteen tankkausasemien rakentamisesta.</w:t>
      </w:r>
    </w:p>
    <w:p w14:paraId="1D90F6D0" w14:textId="77777777" w:rsidR="00E42B18" w:rsidRDefault="009629C4">
      <w:pPr>
        <w:pStyle w:val="P68B1DB1-Normal5"/>
        <w:spacing w:before="120" w:after="120" w:line="278" w:lineRule="auto"/>
        <w:jc w:val="both"/>
        <w:rPr>
          <w:bCs/>
          <w:noProof/>
        </w:rPr>
      </w:pPr>
      <w:r>
        <w:rPr>
          <w:noProof/>
        </w:rPr>
        <w:t>Investointi 3.5 – Vetytutkimus ja -kehitys</w:t>
      </w:r>
    </w:p>
    <w:p w14:paraId="5D5944AE" w14:textId="77777777" w:rsidR="00E42B18" w:rsidRDefault="009629C4">
      <w:pPr>
        <w:pStyle w:val="P68B1DB1-Normal7"/>
        <w:spacing w:before="120" w:after="120" w:line="278" w:lineRule="auto"/>
        <w:jc w:val="both"/>
        <w:rPr>
          <w:noProof/>
        </w:rPr>
      </w:pPr>
      <w:r>
        <w:rPr>
          <w:noProof/>
        </w:rPr>
        <w:t xml:space="preserve">Tämän investoinnin tavoitteena on tukea tutkimusta ja kehittämistä vedyn arvoketjussa. Investoinnilla tuetaan vedyn t &amp; k-hankkeita, jotka koskevat vihreän vedyn tuotantoa, vedyn varastointia, kuljetusta ja muuntamista johdannaisiksi ja sähköpolttoaineiksi, polttokennoja sekä vetypohjaisen infrastruktuurin integroituja älykkäitä hallintajärjestelmiä. </w:t>
      </w:r>
    </w:p>
    <w:p w14:paraId="44ACAD1D" w14:textId="77777777" w:rsidR="00E42B18" w:rsidRDefault="009629C4">
      <w:pPr>
        <w:pStyle w:val="P68B1DB1-Normal5"/>
        <w:spacing w:before="120" w:after="120" w:line="278" w:lineRule="auto"/>
        <w:jc w:val="both"/>
        <w:rPr>
          <w:bCs/>
          <w:noProof/>
        </w:rPr>
      </w:pPr>
      <w:r>
        <w:rPr>
          <w:noProof/>
        </w:rPr>
        <w:t>Investointi 4.2 – Nopean joukkoliikenteen järjestelmien kehittäminen</w:t>
      </w:r>
    </w:p>
    <w:p w14:paraId="2F7A0C93" w14:textId="77777777" w:rsidR="00E42B18" w:rsidRDefault="009629C4">
      <w:pPr>
        <w:pStyle w:val="P68B1DB1-Normal7"/>
        <w:spacing w:after="120"/>
        <w:ind w:right="4"/>
        <w:jc w:val="both"/>
        <w:rPr>
          <w:noProof/>
        </w:rPr>
      </w:pPr>
      <w:r>
        <w:rPr>
          <w:noProof/>
        </w:rPr>
        <w:t xml:space="preserve">Toimenpiteen tavoitteena on lisätä joukkoliikennejärjestelmien nopeaa liikkuvuutta ja edistää liikennemuotosiirtymää autoliikenteestä julkiseen liikenteeseen. Investointi koostuu uusien reittien rakentamisesta ja nykyisten nopeiden joukkoliikennejärjestelmien laajentamisesta, nopeiden joukkoliikennejärjestelmien infrastruktuurin parantamisesta ja päästöttömän liikkuvan kaluston ostamisesta nopeita joukkoliikennejärjestelmiä varten. </w:t>
      </w:r>
    </w:p>
    <w:p w14:paraId="78413179" w14:textId="77777777" w:rsidR="00E42B18" w:rsidRDefault="009629C4">
      <w:pPr>
        <w:pStyle w:val="P68B1DB1-Normal5"/>
        <w:spacing w:after="120"/>
        <w:jc w:val="both"/>
        <w:rPr>
          <w:bCs/>
          <w:noProof/>
        </w:rPr>
      </w:pPr>
      <w:bookmarkStart w:id="13" w:name="_Hlk151064119"/>
      <w:r>
        <w:rPr>
          <w:noProof/>
        </w:rPr>
        <w:t>Investointi 4.4.1 – Päästämättömän alueellisen julkisen liikenteen linja-autokannan vahvistaminen</w:t>
      </w:r>
    </w:p>
    <w:p w14:paraId="7813F97F" w14:textId="528350C0" w:rsidR="00E42B18" w:rsidRDefault="009629C4">
      <w:pPr>
        <w:pStyle w:val="P68B1DB1-Normal7"/>
        <w:spacing w:after="120"/>
        <w:jc w:val="both"/>
        <w:rPr>
          <w:noProof/>
        </w:rPr>
      </w:pPr>
      <w:r>
        <w:rPr>
          <w:noProof/>
        </w:rPr>
        <w:t>Investoinnin tavoitteena on vähentää kasvihuonekaasupäästöjä ja nykyaikaistaa julkista linja-autokalustoa. Investointi koostuu päästöttömien linja-autojen hankinnasta ja latausasemien asentamisesta.</w:t>
      </w:r>
    </w:p>
    <w:bookmarkEnd w:id="13"/>
    <w:p w14:paraId="315777CC" w14:textId="77777777" w:rsidR="00E42B18" w:rsidRDefault="009629C4">
      <w:pPr>
        <w:pStyle w:val="P68B1DB1-Normal5"/>
        <w:spacing w:before="120" w:after="120"/>
        <w:jc w:val="both"/>
        <w:rPr>
          <w:noProof/>
        </w:rPr>
      </w:pPr>
      <w:r>
        <w:rPr>
          <w:noProof/>
        </w:rPr>
        <w:t>Investointi 4.4.2 – Alueellisen julkisen liikenteen rautatiekaluston vahvistaminen päästöttömillä junilla ja yleispalvelulla</w:t>
      </w:r>
    </w:p>
    <w:p w14:paraId="039B8DED" w14:textId="77777777" w:rsidR="00E42B18" w:rsidRDefault="009629C4">
      <w:pPr>
        <w:pStyle w:val="P68B1DB1-Normal7"/>
        <w:spacing w:before="120" w:after="120"/>
        <w:jc w:val="both"/>
        <w:rPr>
          <w:b/>
          <w:noProof/>
        </w:rPr>
      </w:pPr>
      <w:r>
        <w:rPr>
          <w:noProof/>
        </w:rPr>
        <w:t>Investoinnin tavoitteena on vähentää rautatieliikenteen kasvihuonekaasupäästöjä ja nykyaikaistaa rautatiekalustoa. Investointi koostuu vähintään 97 päästöttömän matkustajajunan rekisteröinnistä.</w:t>
      </w:r>
    </w:p>
    <w:p w14:paraId="01A07526" w14:textId="77777777" w:rsidR="00E42B18" w:rsidRDefault="009629C4">
      <w:pPr>
        <w:pStyle w:val="P68B1DB1-Normal5"/>
        <w:spacing w:before="120" w:after="120"/>
        <w:jc w:val="both"/>
        <w:rPr>
          <w:bCs/>
          <w:noProof/>
        </w:rPr>
      </w:pPr>
      <w:r>
        <w:rPr>
          <w:noProof/>
        </w:rPr>
        <w:t xml:space="preserve">Investointi 4.4.3 – Kansallisen palokunnan komentokaluston uudistaminen </w:t>
      </w:r>
    </w:p>
    <w:p w14:paraId="03BAE130" w14:textId="77777777" w:rsidR="00E42B18" w:rsidRDefault="009629C4">
      <w:pPr>
        <w:spacing w:after="120"/>
        <w:jc w:val="both"/>
        <w:rPr>
          <w:rFonts w:ascii="Times New Roman" w:hAnsi="Times New Roman" w:cs="Times New Roman"/>
          <w:noProof/>
        </w:rPr>
      </w:pPr>
      <w:r>
        <w:rPr>
          <w:rFonts w:ascii="Times New Roman" w:hAnsi="Times New Roman" w:cs="Times New Roman"/>
          <w:noProof/>
        </w:rPr>
        <w:t>Investoinnin tavoitteena on vähentää kasvihuonekaasupäästöjä ja nykyaikaistaa palokuntakalustoa. Investointi koostuu vähintään</w:t>
      </w:r>
      <w:r>
        <w:rPr>
          <w:noProof/>
          <w:color w:val="006100"/>
          <w:sz w:val="20"/>
          <w:szCs w:val="20"/>
        </w:rPr>
        <w:t xml:space="preserve"> </w:t>
      </w:r>
      <w:r>
        <w:rPr>
          <w:rFonts w:ascii="Times New Roman" w:hAnsi="Times New Roman" w:cs="Times New Roman"/>
          <w:noProof/>
        </w:rPr>
        <w:t>3800 ajoneuvon hankinnasta kansalliseen palokuntaan.</w:t>
      </w:r>
    </w:p>
    <w:p w14:paraId="335DB2A0" w14:textId="77777777" w:rsidR="00E42B18" w:rsidRDefault="009629C4">
      <w:pPr>
        <w:pStyle w:val="P68B1DB1-Normal5"/>
        <w:spacing w:after="120"/>
        <w:jc w:val="both"/>
        <w:rPr>
          <w:noProof/>
        </w:rPr>
      </w:pPr>
      <w:r>
        <w:rPr>
          <w:noProof/>
        </w:rPr>
        <w:t>Investointi 5.1 – Tuki ekologisen siirtymän tuotantojärjestelmälle, nettonollateknologiat sekä strategisten toimitusketjujen kilpailukyky ja häiriönsietokyky</w:t>
      </w:r>
    </w:p>
    <w:p w14:paraId="2C9A6E57" w14:textId="44373AEE" w:rsidR="00E42B18" w:rsidRDefault="009629C4">
      <w:pPr>
        <w:pStyle w:val="P68B1DB1-Normal7"/>
        <w:spacing w:before="120" w:after="120"/>
        <w:jc w:val="both"/>
        <w:rPr>
          <w:noProof/>
        </w:rPr>
      </w:pPr>
      <w:r>
        <w:rPr>
          <w:noProof/>
        </w:rPr>
        <w:t>Tämä toimenpide koostuu kahdesta osainvestoinnista.</w:t>
      </w:r>
    </w:p>
    <w:p w14:paraId="3B87BB5D" w14:textId="77777777" w:rsidR="00E42B18" w:rsidRDefault="009629C4">
      <w:pPr>
        <w:pStyle w:val="P68B1DB1-Normal5"/>
        <w:spacing w:before="120" w:after="120"/>
        <w:jc w:val="both"/>
        <w:rPr>
          <w:noProof/>
        </w:rPr>
      </w:pPr>
      <w:r>
        <w:rPr>
          <w:noProof/>
        </w:rPr>
        <w:t>Alainvestointi 1:</w:t>
      </w:r>
    </w:p>
    <w:p w14:paraId="612BA002" w14:textId="77777777" w:rsidR="00E42B18" w:rsidRDefault="009629C4">
      <w:pPr>
        <w:pStyle w:val="P68B1DB1-Normal7"/>
        <w:spacing w:after="120"/>
        <w:jc w:val="both"/>
        <w:rPr>
          <w:rFonts w:eastAsia="Calibri"/>
          <w:noProof/>
        </w:rPr>
      </w:pPr>
      <w:r>
        <w:rPr>
          <w:noProof/>
        </w:rPr>
        <w:t xml:space="preserve">Tämä osainvestointi koostuu julkisesta investoinnista välineeseen, ”nettonollateknologiaan”, jotta voidaan kannustaa yksityisiin investointeihin ja parantaa rahoituksen saantia energiatehokkuuden, itse tuotetun uusiutuvan energian tuotannon ja tuotantoprosessin kestävän muutoksen aloilla. </w:t>
      </w:r>
    </w:p>
    <w:p w14:paraId="61A65E51" w14:textId="77777777" w:rsidR="00E42B18" w:rsidRDefault="009629C4">
      <w:pPr>
        <w:pStyle w:val="P68B1DB1-Normal7"/>
        <w:spacing w:after="120"/>
        <w:jc w:val="both"/>
        <w:rPr>
          <w:noProof/>
        </w:rPr>
      </w:pPr>
      <w:r>
        <w:rPr>
          <w:noProof/>
        </w:rPr>
        <w:t>Investoinnilla tuetaan</w:t>
      </w:r>
    </w:p>
    <w:p w14:paraId="4D37AEC8" w14:textId="15DCA3DD" w:rsidR="00E42B18" w:rsidRDefault="009629C4">
      <w:pPr>
        <w:pStyle w:val="P68B1DB1-ListParagraph37"/>
        <w:numPr>
          <w:ilvl w:val="0"/>
          <w:numId w:val="63"/>
        </w:numPr>
        <w:spacing w:after="120" w:line="240" w:lineRule="auto"/>
        <w:jc w:val="both"/>
        <w:rPr>
          <w:noProof/>
        </w:rPr>
      </w:pPr>
      <w:r>
        <w:rPr>
          <w:noProof/>
        </w:rPr>
        <w:t xml:space="preserve">kansallisen tuotantojärjestelmän ekologinen siirtymä eri tasoilla tukemalla investointeja, jotka koskevat ekologisen siirtymän kannalta merkityksellisten laitteiden ja niiden suorien ja epäsuorien komponenttien (esimerkiksi akku- ja energianvarastointi, aurinko- ja tuuliteknologiat, lämpöpumput ja geotermisen energian teknologiat, vetyteknologiat sekä hiilidioksidin talteenotto- ja varastointilaitteet) tuotantoketjujen vahvistamista, </w:t>
      </w:r>
    </w:p>
    <w:p w14:paraId="4BDB2110" w14:textId="77777777" w:rsidR="00E42B18" w:rsidRDefault="009629C4">
      <w:pPr>
        <w:pStyle w:val="P68B1DB1-ListParagraph37"/>
        <w:numPr>
          <w:ilvl w:val="0"/>
          <w:numId w:val="63"/>
        </w:numPr>
        <w:spacing w:after="120" w:line="240" w:lineRule="auto"/>
        <w:jc w:val="both"/>
        <w:rPr>
          <w:noProof/>
        </w:rPr>
      </w:pPr>
      <w:r>
        <w:rPr>
          <w:noProof/>
        </w:rPr>
        <w:t>tuotantoprosessien energiatehokkuus (myös tuottamalla sähköä omaan kulutukseen uusiutuvista energialähteistä biomassaa lukuun ottamatta),</w:t>
      </w:r>
    </w:p>
    <w:p w14:paraId="309034B6" w14:textId="77777777" w:rsidR="00E42B18" w:rsidRDefault="009629C4">
      <w:pPr>
        <w:pStyle w:val="P68B1DB1-ListParagraph37"/>
        <w:numPr>
          <w:ilvl w:val="0"/>
          <w:numId w:val="63"/>
        </w:numPr>
        <w:spacing w:after="120" w:line="240" w:lineRule="auto"/>
        <w:jc w:val="both"/>
        <w:rPr>
          <w:noProof/>
        </w:rPr>
      </w:pPr>
      <w:r>
        <w:rPr>
          <w:noProof/>
        </w:rPr>
        <w:t>tuotantoprosessien kestävyys, myös kiertotalouden ja resurssien tehokkaamman käytön kannalta.</w:t>
      </w:r>
    </w:p>
    <w:p w14:paraId="2742F20D" w14:textId="77777777" w:rsidR="00E42B18" w:rsidRDefault="009629C4">
      <w:pPr>
        <w:pStyle w:val="P68B1DB1-Normal7"/>
        <w:spacing w:after="120"/>
        <w:jc w:val="both"/>
        <w:rPr>
          <w:noProof/>
        </w:rPr>
      </w:pPr>
      <w:r>
        <w:rPr>
          <w:noProof/>
        </w:rPr>
        <w:t>Investointi i) sisältää seuraavat tuotelinjat:</w:t>
      </w:r>
    </w:p>
    <w:p w14:paraId="4E4C9E96" w14:textId="4C87223C" w:rsidR="00E42B18" w:rsidRDefault="009629C4">
      <w:pPr>
        <w:pStyle w:val="P68B1DB1-Normal7"/>
        <w:spacing w:after="120"/>
        <w:jc w:val="both"/>
        <w:rPr>
          <w:noProof/>
        </w:rPr>
      </w:pPr>
      <w:r>
        <w:rPr>
          <w:noProof/>
        </w:rPr>
        <w:t>—</w:t>
      </w:r>
      <w:r>
        <w:rPr>
          <w:noProof/>
        </w:rPr>
        <w:tab/>
        <w:t xml:space="preserve">Ensimmäisessä keskitytään aurinkosähkö- tai tuulivoimateknologioiden valmistukseen ja lisätään aurinkosähkö- tai tuulivoimateknologioiden valmistuskapasiteettia vähintään 4 GW vuodessa. </w:t>
      </w:r>
    </w:p>
    <w:p w14:paraId="6C6CAD5E" w14:textId="77777777" w:rsidR="00E42B18" w:rsidRDefault="009629C4">
      <w:pPr>
        <w:pStyle w:val="P68B1DB1-Normal7"/>
        <w:spacing w:after="120"/>
        <w:jc w:val="both"/>
        <w:rPr>
          <w:noProof/>
        </w:rPr>
      </w:pPr>
      <w:r>
        <w:rPr>
          <w:noProof/>
        </w:rPr>
        <w:t>—</w:t>
      </w:r>
      <w:r>
        <w:rPr>
          <w:noProof/>
        </w:rPr>
        <w:tab/>
        <w:t>Toisessa keskitytään akkujen valmistukseen ja lisätään akkujen valmistuskapasiteettia vähintään 28 gigawattia vuodessa.</w:t>
      </w:r>
    </w:p>
    <w:p w14:paraId="2043D6ED" w14:textId="77777777" w:rsidR="00E42B18" w:rsidRDefault="009629C4">
      <w:pPr>
        <w:pStyle w:val="P68B1DB1-Normal7"/>
        <w:spacing w:after="120"/>
        <w:jc w:val="both"/>
        <w:rPr>
          <w:noProof/>
        </w:rPr>
      </w:pPr>
      <w:r>
        <w:rPr>
          <w:noProof/>
        </w:rPr>
        <w:t xml:space="preserve">Tukivälineestä myönnetään avustuksia, joita ei makseta takaisin, tuettuja lainoja ja korkotukia suoraan yksityiselle sektorille. </w:t>
      </w:r>
    </w:p>
    <w:p w14:paraId="65990B9A" w14:textId="77777777" w:rsidR="00E42B18" w:rsidRDefault="009629C4">
      <w:pPr>
        <w:pStyle w:val="P68B1DB1-Normal7"/>
        <w:spacing w:after="120"/>
        <w:jc w:val="both"/>
        <w:rPr>
          <w:noProof/>
        </w:rPr>
      </w:pPr>
      <w:r>
        <w:rPr>
          <w:noProof/>
        </w:rPr>
        <w:t>Investointivälinettä hallinnoi toteutuskumppanina toimiva Invitalia S.p.A. Tukiväline sisältää seuraavat rahoitusvälineet:</w:t>
      </w:r>
    </w:p>
    <w:p w14:paraId="3B5EF40E" w14:textId="77777777" w:rsidR="00E42B18" w:rsidRDefault="009629C4">
      <w:pPr>
        <w:pStyle w:val="ListParagraph"/>
        <w:numPr>
          <w:ilvl w:val="0"/>
          <w:numId w:val="25"/>
        </w:numPr>
        <w:spacing w:after="120" w:line="240" w:lineRule="auto"/>
        <w:jc w:val="both"/>
        <w:rPr>
          <w:rFonts w:ascii="Times New Roman" w:hAnsi="Times New Roman" w:cs="Times New Roman"/>
          <w:noProof/>
        </w:rPr>
      </w:pPr>
      <w:r>
        <w:rPr>
          <w:rFonts w:ascii="Times New Roman" w:hAnsi="Times New Roman" w:cs="Times New Roman"/>
          <w:noProof/>
        </w:rPr>
        <w:t>Kehityssopimus, jolla tuetaan yli 20000000 euron suuruisia nettonollateknologian hankkeita</w:t>
      </w:r>
      <w:r>
        <w:rPr>
          <w:rFonts w:ascii="Times New Roman" w:hAnsi="Times New Roman" w:cs="Times New Roman" w:hint="eastAsia"/>
          <w:noProof/>
          <w:color w:val="006100"/>
          <w:sz w:val="20"/>
        </w:rPr>
        <w:t xml:space="preserve">  </w:t>
      </w:r>
      <w:r>
        <w:rPr>
          <w:rFonts w:ascii="Times New Roman" w:hAnsi="Times New Roman" w:cs="Times New Roman"/>
          <w:noProof/>
        </w:rPr>
        <w:t>myöntämällä avustuksia, korkotukia ja tuettuja lainoja.</w:t>
      </w:r>
    </w:p>
    <w:p w14:paraId="44C58026" w14:textId="77777777" w:rsidR="00E42B18" w:rsidRDefault="009629C4">
      <w:pPr>
        <w:pStyle w:val="ListParagraph"/>
        <w:numPr>
          <w:ilvl w:val="0"/>
          <w:numId w:val="25"/>
        </w:numPr>
        <w:spacing w:after="120" w:line="240" w:lineRule="auto"/>
        <w:jc w:val="both"/>
        <w:rPr>
          <w:rFonts w:ascii="Times New Roman" w:hAnsi="Times New Roman" w:cs="Times New Roman"/>
          <w:noProof/>
        </w:rPr>
      </w:pPr>
      <w:r>
        <w:rPr>
          <w:rFonts w:ascii="Times New Roman" w:hAnsi="Times New Roman" w:cs="Times New Roman"/>
          <w:noProof/>
        </w:rPr>
        <w:t>Teollisuuden muutosrahasto, josta tuetaan 3000000–</w:t>
      </w:r>
      <w:r>
        <w:rPr>
          <w:rFonts w:ascii="Times New Roman" w:hAnsi="Times New Roman" w:cs="Times New Roman" w:hint="eastAsia"/>
          <w:noProof/>
          <w:color w:val="006100"/>
          <w:sz w:val="20"/>
        </w:rPr>
        <w:t xml:space="preserve">  </w:t>
      </w:r>
      <w:r>
        <w:rPr>
          <w:rFonts w:ascii="Times New Roman" w:hAnsi="Times New Roman" w:cs="Times New Roman"/>
          <w:noProof/>
        </w:rPr>
        <w:t>20000000 euron</w:t>
      </w:r>
      <w:r>
        <w:rPr>
          <w:rFonts w:ascii="Times New Roman" w:hAnsi="Times New Roman" w:cs="Times New Roman" w:hint="eastAsia"/>
          <w:noProof/>
          <w:color w:val="006100"/>
          <w:sz w:val="20"/>
        </w:rPr>
        <w:t xml:space="preserve">  </w:t>
      </w:r>
      <w:r>
        <w:rPr>
          <w:rFonts w:ascii="Times New Roman" w:hAnsi="Times New Roman" w:cs="Times New Roman"/>
          <w:noProof/>
        </w:rPr>
        <w:t>suuruisia hankkeita myöntämällä avustuksia.</w:t>
      </w:r>
    </w:p>
    <w:p w14:paraId="67D1FB15" w14:textId="77777777" w:rsidR="00E42B18" w:rsidRDefault="009629C4">
      <w:pPr>
        <w:pStyle w:val="P68B1DB1-Normal7"/>
        <w:spacing w:after="120"/>
        <w:jc w:val="both"/>
        <w:rPr>
          <w:noProof/>
        </w:rPr>
      </w:pPr>
      <w:r>
        <w:rPr>
          <w:noProof/>
        </w:rPr>
        <w:t>Investointivälineeseen tehtävän investoinnin toteuttamiseksi Italia ja Invitalia S.p.A. allekirjoittavat täytäntöönpanosopimuksen, jonka sisältö on seuraava:</w:t>
      </w:r>
    </w:p>
    <w:p w14:paraId="7D9A4731" w14:textId="77777777" w:rsidR="00E42B18" w:rsidRDefault="009629C4">
      <w:pPr>
        <w:pStyle w:val="P68B1DB1-ListParagraph37"/>
        <w:numPr>
          <w:ilvl w:val="3"/>
          <w:numId w:val="42"/>
        </w:numPr>
        <w:spacing w:after="120" w:line="240" w:lineRule="auto"/>
        <w:ind w:left="709"/>
        <w:jc w:val="both"/>
        <w:rPr>
          <w:noProof/>
        </w:rPr>
      </w:pPr>
      <w:r>
        <w:rPr>
          <w:noProof/>
        </w:rPr>
        <w:t>Kuvaus tukivälineen päätöksentekoprosessista: Tukivälineen lopulliset investointi- ja myöntämispäätökset tekee investointikomitea tai muu vastaava hallintoelin, ja ne hyväksytään hallituksesta riippumattomien jäsenten äänten enemmistöllä.</w:t>
      </w:r>
    </w:p>
    <w:p w14:paraId="22AA1897" w14:textId="77777777" w:rsidR="00E42B18" w:rsidRDefault="009629C4">
      <w:pPr>
        <w:pStyle w:val="P68B1DB1-ListParagraph37"/>
        <w:numPr>
          <w:ilvl w:val="3"/>
          <w:numId w:val="42"/>
        </w:numPr>
        <w:spacing w:after="120" w:line="240" w:lineRule="auto"/>
        <w:ind w:left="709"/>
        <w:jc w:val="both"/>
        <w:rPr>
          <w:noProof/>
        </w:rPr>
      </w:pPr>
      <w:r>
        <w:rPr>
          <w:noProof/>
        </w:rPr>
        <w:t>Asiaan liittyvän sijoituspolitiikan keskeiset vaatimukset, joihin kuuluvat:</w:t>
      </w:r>
    </w:p>
    <w:p w14:paraId="727E2102" w14:textId="77777777" w:rsidR="00E42B18" w:rsidRDefault="009629C4">
      <w:pPr>
        <w:pStyle w:val="P68B1DB1-ListParagraph37"/>
        <w:numPr>
          <w:ilvl w:val="4"/>
          <w:numId w:val="42"/>
        </w:numPr>
        <w:spacing w:after="120" w:line="240" w:lineRule="auto"/>
        <w:ind w:left="1276"/>
        <w:jc w:val="both"/>
        <w:rPr>
          <w:noProof/>
        </w:rPr>
      </w:pPr>
      <w:r>
        <w:rPr>
          <w:noProof/>
        </w:rPr>
        <w:t xml:space="preserve">Rahoitustuotteiden ja tukikelpoisten lopullisten tuensaajien kuvaus. </w:t>
      </w:r>
    </w:p>
    <w:p w14:paraId="6BC546DB" w14:textId="77777777" w:rsidR="00E42B18" w:rsidRDefault="009629C4">
      <w:pPr>
        <w:pStyle w:val="P68B1DB1-ListParagraph37"/>
        <w:numPr>
          <w:ilvl w:val="4"/>
          <w:numId w:val="42"/>
        </w:numPr>
        <w:spacing w:after="120" w:line="240" w:lineRule="auto"/>
        <w:ind w:left="1276"/>
        <w:jc w:val="both"/>
        <w:rPr>
          <w:noProof/>
        </w:rPr>
      </w:pPr>
      <w:r>
        <w:rPr>
          <w:noProof/>
        </w:rPr>
        <w:t xml:space="preserve">Vaatimus siitä, että kaikki tuetut investoinnit ovat taloudellisesti elinkelpoisia. </w:t>
      </w:r>
    </w:p>
    <w:p w14:paraId="0A3C2697" w14:textId="77777777" w:rsidR="00E42B18" w:rsidRDefault="009629C4">
      <w:pPr>
        <w:pStyle w:val="ListParagraph"/>
        <w:numPr>
          <w:ilvl w:val="4"/>
          <w:numId w:val="42"/>
        </w:numPr>
        <w:spacing w:after="120" w:line="240" w:lineRule="auto"/>
        <w:ind w:left="1276"/>
        <w:jc w:val="both"/>
        <w:rPr>
          <w:rFonts w:ascii="Times New Roman" w:hAnsi="Times New Roman" w:cs="Times New Roman"/>
          <w:noProof/>
        </w:rPr>
      </w:pPr>
      <w:r>
        <w:rPr>
          <w:rFonts w:ascii="Times New Roman" w:hAnsi="Times New Roman" w:cs="Times New Roman" w:hint="eastAsia"/>
          <w:noProof/>
        </w:rPr>
        <w:t xml:space="preserve">Vaatimus noudattaa </w:t>
      </w:r>
      <w:r>
        <w:rPr>
          <w:rFonts w:ascii="Times New Roman" w:hAnsi="Times New Roman" w:cs="Times New Roman" w:hint="eastAsia"/>
          <w:noProof/>
        </w:rPr>
        <w:t>”</w:t>
      </w:r>
      <w:r>
        <w:rPr>
          <w:rFonts w:ascii="Times New Roman" w:hAnsi="Times New Roman" w:cs="Times New Roman" w:hint="eastAsia"/>
          <w:noProof/>
        </w:rPr>
        <w:t>ei merkittävää haittaa</w:t>
      </w:r>
      <w:r>
        <w:rPr>
          <w:rFonts w:ascii="Times New Roman" w:hAnsi="Times New Roman" w:cs="Times New Roman" w:hint="eastAsia"/>
          <w:noProof/>
        </w:rPr>
        <w:t>”</w:t>
      </w:r>
      <w:r>
        <w:rPr>
          <w:rFonts w:ascii="Times New Roman" w:hAnsi="Times New Roman" w:cs="Times New Roman" w:hint="eastAsia"/>
          <w:noProof/>
        </w:rPr>
        <w:t xml:space="preserve"> -periaatetta sitä koskevien teknisten ohjeiden (2021/C58/01) mukaisesti. Sijoituspolitiikassa on erityisesti jätettävä tukikelpoisuuden ulkopuolelle seuraava luettelo toiminnoista ja omaisuuseristä: I) fossiilisiin polttoaineisiin liittyvät toiminnot ja omaisuuserät, mukaan lukien tuotantoketjun loppupään käyttö,</w:t>
      </w:r>
      <w:r>
        <w:rPr>
          <w:rStyle w:val="FootnoteReference"/>
          <w:rFonts w:ascii="Times New Roman" w:hAnsi="Times New Roman" w:cs="Times New Roman"/>
          <w:noProof/>
        </w:rPr>
        <w:footnoteReference w:id="55"/>
      </w:r>
      <w:r>
        <w:rPr>
          <w:rFonts w:ascii="Times New Roman" w:hAnsi="Times New Roman" w:cs="Times New Roman"/>
          <w:noProof/>
        </w:rPr>
        <w:t>ii) EU:n päästökauppajärjestelmään kuuluvat toiminnot ja omaisuuserät, joiden avulla saavutetaan ennustetut kasvihuonekaasupäästöt, jotka eivät alita asiaankuuluvia vertailuarvoja</w:t>
      </w:r>
      <w:r>
        <w:rPr>
          <w:rStyle w:val="FootnoteReference"/>
          <w:rFonts w:ascii="Times New Roman" w:hAnsi="Times New Roman" w:cs="Times New Roman"/>
          <w:noProof/>
        </w:rPr>
        <w:footnoteReference w:id="56"/>
      </w:r>
      <w:r>
        <w:rPr>
          <w:rFonts w:ascii="Times New Roman" w:hAnsi="Times New Roman" w:cs="Times New Roman"/>
          <w:noProof/>
        </w:rPr>
        <w:t>, iii) kaatopaikkoihin, polttolaitoksiin ja mekaanisiin biologisiin käsittelylaitoksiin liittyvät toiminnot</w:t>
      </w:r>
      <w:r>
        <w:rPr>
          <w:rStyle w:val="FootnoteReference"/>
          <w:rFonts w:ascii="Times New Roman" w:hAnsi="Times New Roman" w:cs="Times New Roman"/>
          <w:noProof/>
        </w:rPr>
        <w:footnoteReference w:id="57"/>
      </w:r>
      <w:r>
        <w:rPr>
          <w:rFonts w:ascii="Times New Roman" w:hAnsi="Times New Roman" w:cs="Times New Roman"/>
          <w:noProof/>
        </w:rPr>
        <w:t xml:space="preserve"> ja varat</w:t>
      </w:r>
      <w:r>
        <w:rPr>
          <w:rStyle w:val="FootnoteReference"/>
          <w:rFonts w:ascii="Times New Roman" w:hAnsi="Times New Roman" w:cs="Times New Roman"/>
          <w:noProof/>
        </w:rPr>
        <w:footnoteReference w:id="58"/>
      </w:r>
      <w:r>
        <w:rPr>
          <w:rFonts w:ascii="Times New Roman" w:hAnsi="Times New Roman" w:cs="Times New Roman"/>
          <w:noProof/>
        </w:rPr>
        <w:t xml:space="preserve">. </w:t>
      </w:r>
    </w:p>
    <w:p w14:paraId="40A1190A" w14:textId="77777777" w:rsidR="00E42B18" w:rsidRDefault="009629C4">
      <w:pPr>
        <w:pStyle w:val="P68B1DB1-ListParagraph37"/>
        <w:numPr>
          <w:ilvl w:val="4"/>
          <w:numId w:val="42"/>
        </w:numPr>
        <w:spacing w:after="120" w:line="240" w:lineRule="auto"/>
        <w:ind w:left="1276"/>
        <w:jc w:val="both"/>
        <w:rPr>
          <w:noProof/>
        </w:rPr>
      </w:pPr>
      <w:r>
        <w:rPr>
          <w:noProof/>
        </w:rPr>
        <w:t>Vaatimus, jonka mukaan tukivälineen lopulliset tuensaajat eivät saa tukea muista unionin välineistä samojen kustannusten kattamiseksi.</w:t>
      </w:r>
    </w:p>
    <w:p w14:paraId="7F4A7895" w14:textId="77777777" w:rsidR="00E42B18" w:rsidRDefault="009629C4">
      <w:pPr>
        <w:pStyle w:val="P68B1DB1-ListParagraph37"/>
        <w:numPr>
          <w:ilvl w:val="3"/>
          <w:numId w:val="42"/>
        </w:numPr>
        <w:spacing w:after="120" w:line="240" w:lineRule="auto"/>
        <w:ind w:left="709"/>
        <w:jc w:val="both"/>
        <w:rPr>
          <w:noProof/>
        </w:rPr>
      </w:pPr>
      <w:r>
        <w:rPr>
          <w:noProof/>
        </w:rPr>
        <w:t>Täytäntöönpanosopimuksen kattama määrä, toteutuskumppanin maksurakenne ja vaatimus sijoittaa takaisin saadut varat uudelleen investointikehyksen investointipolitiikan mukaisesti.</w:t>
      </w:r>
    </w:p>
    <w:p w14:paraId="6700F82B" w14:textId="77777777" w:rsidR="00E42B18" w:rsidRDefault="009629C4">
      <w:pPr>
        <w:pStyle w:val="P68B1DB1-ListParagraph37"/>
        <w:numPr>
          <w:ilvl w:val="3"/>
          <w:numId w:val="42"/>
        </w:numPr>
        <w:spacing w:after="120" w:line="240" w:lineRule="auto"/>
        <w:ind w:left="709"/>
        <w:jc w:val="both"/>
        <w:rPr>
          <w:noProof/>
        </w:rPr>
      </w:pPr>
      <w:r>
        <w:rPr>
          <w:noProof/>
        </w:rPr>
        <w:t>Seuranta-, valvonta- ja tarkastusvaatimukset, joihin sisältyvät</w:t>
      </w:r>
    </w:p>
    <w:p w14:paraId="2B3D7632" w14:textId="77777777" w:rsidR="00E42B18" w:rsidRDefault="009629C4">
      <w:pPr>
        <w:pStyle w:val="P68B1DB1-ListParagraph36"/>
        <w:numPr>
          <w:ilvl w:val="4"/>
          <w:numId w:val="42"/>
        </w:numPr>
        <w:spacing w:after="120" w:line="240" w:lineRule="auto"/>
        <w:ind w:left="1276"/>
        <w:jc w:val="both"/>
        <w:rPr>
          <w:rFonts w:hint="default"/>
          <w:noProof/>
        </w:rPr>
      </w:pPr>
      <w:r>
        <w:rPr>
          <w:noProof/>
        </w:rPr>
        <w:t>Kuvaus toteutuskumppanin seurantajärjestelmästä, jolla raportoidaan mobilisoiduista investoinneista.</w:t>
      </w:r>
    </w:p>
    <w:p w14:paraId="6FEC1734" w14:textId="77777777" w:rsidR="00E42B18" w:rsidRDefault="009629C4">
      <w:pPr>
        <w:pStyle w:val="P68B1DB1-ListParagraph36"/>
        <w:numPr>
          <w:ilvl w:val="4"/>
          <w:numId w:val="42"/>
        </w:numPr>
        <w:spacing w:after="120" w:line="240" w:lineRule="auto"/>
        <w:ind w:left="1276"/>
        <w:jc w:val="both"/>
        <w:rPr>
          <w:rFonts w:hint="default"/>
          <w:noProof/>
        </w:rPr>
      </w:pPr>
      <w:r>
        <w:rPr>
          <w:noProof/>
        </w:rPr>
        <w:t xml:space="preserve">Kuvaus toteutuskumppanin menettelyistä, joilla varmistetaan petosten, lahjonnan ja eturistiriitojen ehkäiseminen, havaitseminen ja korjaaminen. </w:t>
      </w:r>
    </w:p>
    <w:p w14:paraId="4F432B30" w14:textId="77777777" w:rsidR="00E42B18" w:rsidRDefault="009629C4">
      <w:pPr>
        <w:pStyle w:val="P68B1DB1-ListParagraph37"/>
        <w:numPr>
          <w:ilvl w:val="4"/>
          <w:numId w:val="42"/>
        </w:numPr>
        <w:spacing w:after="120" w:line="240" w:lineRule="auto"/>
        <w:ind w:left="1276"/>
        <w:jc w:val="both"/>
        <w:rPr>
          <w:noProof/>
        </w:rPr>
      </w:pPr>
      <w:r>
        <w:rPr>
          <w:noProof/>
        </w:rPr>
        <w:t>Velvoite tarkistaa kunkin toimen tukikelpoisuus täytäntöönpanosopimuksessa vahvistettujen vaatimusten mukaisesti ennen sitoutumista toimen rahoittamiseen.</w:t>
      </w:r>
    </w:p>
    <w:p w14:paraId="5EDCAFAB" w14:textId="77777777" w:rsidR="00E42B18" w:rsidRDefault="009629C4">
      <w:pPr>
        <w:pStyle w:val="P68B1DB1-ListParagraph37"/>
        <w:numPr>
          <w:ilvl w:val="4"/>
          <w:numId w:val="42"/>
        </w:numPr>
        <w:spacing w:after="120" w:line="240" w:lineRule="auto"/>
        <w:ind w:left="1276"/>
        <w:jc w:val="both"/>
        <w:rPr>
          <w:noProof/>
        </w:rPr>
      </w:pPr>
      <w:r>
        <w:rPr>
          <w:noProof/>
        </w:rPr>
        <w:t>Velvollisuus suorittaa riskiperusteisia jälkitarkastuksia Invitalia S.p.A:n tarkastussuunnitelman mukaisesti. Näillä tarkastuksilla on varmistettava, että</w:t>
      </w:r>
    </w:p>
    <w:p w14:paraId="534C2E27" w14:textId="77777777" w:rsidR="00E42B18" w:rsidRDefault="009629C4">
      <w:pPr>
        <w:pStyle w:val="P68B1DB1-ListParagraph37"/>
        <w:numPr>
          <w:ilvl w:val="5"/>
          <w:numId w:val="42"/>
        </w:numPr>
        <w:spacing w:after="120" w:line="240" w:lineRule="auto"/>
        <w:ind w:left="1985"/>
        <w:jc w:val="both"/>
        <w:rPr>
          <w:noProof/>
        </w:rPr>
      </w:pPr>
      <w:r>
        <w:rPr>
          <w:noProof/>
        </w:rPr>
        <w:t>valvontajärjestelmät ovat tehokkaita, myös petosten, lahjonnan ja eturistiriitojen havaitsemisen suhteen;</w:t>
      </w:r>
    </w:p>
    <w:p w14:paraId="2C9371C0" w14:textId="77777777" w:rsidR="00E42B18" w:rsidRDefault="009629C4">
      <w:pPr>
        <w:pStyle w:val="P68B1DB1-ListParagraph37"/>
        <w:numPr>
          <w:ilvl w:val="5"/>
          <w:numId w:val="42"/>
        </w:numPr>
        <w:spacing w:after="120" w:line="240" w:lineRule="auto"/>
        <w:ind w:left="1985"/>
        <w:jc w:val="both"/>
        <w:rPr>
          <w:noProof/>
        </w:rPr>
      </w:pPr>
      <w:r>
        <w:rPr>
          <w:noProof/>
        </w:rPr>
        <w:t xml:space="preserve">noudatetaan ”ei merkittävää haittaa” -periaatetta, valtiontukisääntöjä ja ilmastotavoitteita koskevia vaatimuksia; ja </w:t>
      </w:r>
    </w:p>
    <w:p w14:paraId="2F7F9596" w14:textId="77777777" w:rsidR="00E42B18" w:rsidRDefault="009629C4">
      <w:pPr>
        <w:pStyle w:val="P68B1DB1-ListParagraph37"/>
        <w:numPr>
          <w:ilvl w:val="5"/>
          <w:numId w:val="42"/>
        </w:numPr>
        <w:spacing w:after="120" w:line="240" w:lineRule="auto"/>
        <w:ind w:left="1985"/>
        <w:jc w:val="both"/>
        <w:rPr>
          <w:noProof/>
        </w:rPr>
      </w:pPr>
      <w:r>
        <w:rPr>
          <w:noProof/>
        </w:rPr>
        <w:t xml:space="preserve">vaatimusta, jonka mukaan tukivälineen lopulliset edunsaajat eivät ole saaneet tukea muista unionin välineistä samojen kustannusten kattamiseksi, noudatetaan. Tarkastuksissa on myös todennettava toimien laillisuus ja se, että sovellettavan täytäntöönpanosopimuksen ehtoja noudatetaan. </w:t>
      </w:r>
    </w:p>
    <w:p w14:paraId="4C9A763B" w14:textId="77777777" w:rsidR="00E42B18" w:rsidRDefault="009629C4">
      <w:pPr>
        <w:spacing w:before="120" w:after="120"/>
        <w:jc w:val="both"/>
        <w:rPr>
          <w:rFonts w:ascii="Times New Roman" w:hAnsi="Times New Roman" w:cs="Times New Roman"/>
          <w:noProof/>
        </w:rPr>
      </w:pPr>
      <w:r>
        <w:rPr>
          <w:rFonts w:ascii="Times New Roman" w:hAnsi="Times New Roman" w:cs="Times New Roman"/>
          <w:noProof/>
        </w:rPr>
        <w:t>5. Vaatimukset toteutuskumppanin tekemiä ilmastoinvestointeja varten: Elpymis- ja palautumistukivälineen investointivälineeseen vähintään</w:t>
      </w:r>
      <w:r>
        <w:rPr>
          <w:rFonts w:ascii="Times New Roman" w:hAnsi="Times New Roman" w:cs="Times New Roman" w:hint="eastAsia"/>
          <w:noProof/>
          <w:color w:val="006100"/>
          <w:sz w:val="20"/>
          <w:szCs w:val="20"/>
        </w:rPr>
        <w:t xml:space="preserve">  </w:t>
      </w:r>
      <w:r>
        <w:rPr>
          <w:rFonts w:ascii="Times New Roman" w:hAnsi="Times New Roman" w:cs="Times New Roman"/>
          <w:noProof/>
        </w:rPr>
        <w:t>460000000 eurolla on edistettävä ilmastonmuutosta koskevien tavoitteiden saavuttamista elpymis- ja palautumistukivälinettä koskevan asetuksen liitteen VI mukaisesti</w:t>
      </w:r>
      <w:r>
        <w:rPr>
          <w:rStyle w:val="FootnoteReference"/>
          <w:rFonts w:ascii="Times New Roman" w:hAnsi="Times New Roman" w:cs="Times New Roman"/>
          <w:noProof/>
        </w:rPr>
        <w:footnoteReference w:id="59"/>
      </w:r>
      <w:r>
        <w:rPr>
          <w:rFonts w:ascii="Times New Roman" w:hAnsi="Times New Roman" w:cs="Times New Roman"/>
          <w:noProof/>
        </w:rPr>
        <w:t>.</w:t>
      </w:r>
    </w:p>
    <w:p w14:paraId="5CB68DFF" w14:textId="77777777" w:rsidR="00E42B18" w:rsidRDefault="009629C4">
      <w:pPr>
        <w:pStyle w:val="P68B1DB1-Normal5"/>
        <w:spacing w:before="120" w:after="120"/>
        <w:jc w:val="both"/>
        <w:rPr>
          <w:noProof/>
        </w:rPr>
      </w:pPr>
      <w:r>
        <w:rPr>
          <w:noProof/>
        </w:rPr>
        <w:t>Alainvestointi 2:</w:t>
      </w:r>
    </w:p>
    <w:p w14:paraId="6272644C" w14:textId="77777777" w:rsidR="00E42B18" w:rsidRDefault="009629C4">
      <w:pPr>
        <w:pStyle w:val="P68B1DB1-Normal7"/>
        <w:spacing w:before="120" w:after="120"/>
        <w:jc w:val="both"/>
        <w:rPr>
          <w:noProof/>
        </w:rPr>
      </w:pPr>
      <w:r>
        <w:rPr>
          <w:noProof/>
        </w:rPr>
        <w:t>Tämä osainvestointi koostuu julkisesta investoinnista tukivälineeseen ”Strategisten toimitusketjujen kilpailukyky ja häiriönsietokyky”, jotta voidaan kannustaa yksityisiä investointeja ja parantaa rahoituksen saatavuutta teollisuuden toimitusketjujen vahvistamiseksi.</w:t>
      </w:r>
    </w:p>
    <w:p w14:paraId="597EB0B1" w14:textId="77777777" w:rsidR="00E42B18" w:rsidRDefault="009629C4">
      <w:pPr>
        <w:pStyle w:val="P68B1DB1-Normal7"/>
        <w:spacing w:after="120"/>
        <w:jc w:val="both"/>
        <w:rPr>
          <w:noProof/>
        </w:rPr>
      </w:pPr>
      <w:r>
        <w:rPr>
          <w:noProof/>
        </w:rPr>
        <w:t>Investoinnilla tuetaan keskeisiin strategisiin arvoketjuihin liittyviä hankkeita, kuten teollisuuden kehittämisohjelmia ja ympäristönsuojelun kehittämisohjelmia.</w:t>
      </w:r>
    </w:p>
    <w:p w14:paraId="6C4D6485" w14:textId="77777777" w:rsidR="00E42B18" w:rsidRDefault="009629C4">
      <w:pPr>
        <w:pStyle w:val="P68B1DB1-Normal7"/>
        <w:spacing w:after="120"/>
        <w:jc w:val="both"/>
        <w:rPr>
          <w:noProof/>
        </w:rPr>
      </w:pPr>
      <w:r>
        <w:rPr>
          <w:noProof/>
        </w:rPr>
        <w:t>Tukivälineestä myönnetään avustuksia, joita ei makseta takaisin, tuettuja lainoja ja korkotukia suoraan yksityiselle sektorille.</w:t>
      </w:r>
    </w:p>
    <w:p w14:paraId="70162392" w14:textId="77777777" w:rsidR="00E42B18" w:rsidRDefault="009629C4">
      <w:pPr>
        <w:pStyle w:val="P68B1DB1-Normal7"/>
        <w:spacing w:after="120"/>
        <w:jc w:val="both"/>
        <w:rPr>
          <w:noProof/>
        </w:rPr>
      </w:pPr>
      <w:r>
        <w:rPr>
          <w:noProof/>
        </w:rPr>
        <w:t xml:space="preserve">Investointivälinettä hallinnoi toteutuskumppanina toimiva Invitalia S.p.A. </w:t>
      </w:r>
    </w:p>
    <w:p w14:paraId="1C5F8F8D" w14:textId="77777777" w:rsidR="00E42B18" w:rsidRDefault="009629C4">
      <w:pPr>
        <w:pStyle w:val="P68B1DB1-Normal7"/>
        <w:spacing w:after="120"/>
        <w:jc w:val="both"/>
        <w:rPr>
          <w:noProof/>
        </w:rPr>
      </w:pPr>
      <w:r>
        <w:rPr>
          <w:noProof/>
        </w:rPr>
        <w:t>Investointivälineeseen tehtävän investoinnin toteuttamiseksi Italian ja Invitalian on allekirjoitettava täytäntöönpanosopimus, jonka sisältö on seuraava:</w:t>
      </w:r>
    </w:p>
    <w:p w14:paraId="58764336" w14:textId="77777777" w:rsidR="00E42B18" w:rsidRDefault="009629C4">
      <w:pPr>
        <w:pStyle w:val="P68B1DB1-ListParagraph37"/>
        <w:numPr>
          <w:ilvl w:val="0"/>
          <w:numId w:val="60"/>
        </w:numPr>
        <w:spacing w:after="120" w:line="240" w:lineRule="auto"/>
        <w:jc w:val="both"/>
        <w:rPr>
          <w:noProof/>
        </w:rPr>
      </w:pPr>
      <w:r>
        <w:rPr>
          <w:noProof/>
        </w:rPr>
        <w:t>Kuvaus tukivälineen päätöksentekoprosessista: Tukivälineen lopulliset investointi- ja myöntämispäätökset tekee investointikomitea tai muu vastaava hallintoelin, ja ne hyväksytään hallituksesta riippumattomien jäsenten äänten enemmistöllä.</w:t>
      </w:r>
    </w:p>
    <w:p w14:paraId="04A5C01C" w14:textId="77777777" w:rsidR="00E42B18" w:rsidRDefault="009629C4">
      <w:pPr>
        <w:pStyle w:val="P68B1DB1-ListParagraph37"/>
        <w:numPr>
          <w:ilvl w:val="0"/>
          <w:numId w:val="60"/>
        </w:numPr>
        <w:spacing w:after="120" w:line="240" w:lineRule="auto"/>
        <w:jc w:val="both"/>
        <w:rPr>
          <w:noProof/>
        </w:rPr>
      </w:pPr>
      <w:r>
        <w:rPr>
          <w:noProof/>
        </w:rPr>
        <w:t>Asiaan liittyvän sijoituspolitiikan keskeiset vaatimukset, joihin kuuluvat:</w:t>
      </w:r>
    </w:p>
    <w:p w14:paraId="65C7B72E" w14:textId="77777777" w:rsidR="00E42B18" w:rsidRDefault="009629C4">
      <w:pPr>
        <w:pStyle w:val="P68B1DB1-ListParagraph37"/>
        <w:numPr>
          <w:ilvl w:val="0"/>
          <w:numId w:val="61"/>
        </w:numPr>
        <w:spacing w:after="120" w:line="240" w:lineRule="auto"/>
        <w:jc w:val="both"/>
        <w:rPr>
          <w:noProof/>
        </w:rPr>
      </w:pPr>
      <w:r>
        <w:rPr>
          <w:noProof/>
        </w:rPr>
        <w:t xml:space="preserve">Rahoitustuotteen (-tuotteiden) ja tukikelpoisten lopullisten tuensaajien kuvaus. </w:t>
      </w:r>
    </w:p>
    <w:p w14:paraId="39CB44B7" w14:textId="77777777" w:rsidR="00E42B18" w:rsidRDefault="009629C4">
      <w:pPr>
        <w:pStyle w:val="P68B1DB1-ListParagraph37"/>
        <w:numPr>
          <w:ilvl w:val="0"/>
          <w:numId w:val="61"/>
        </w:numPr>
        <w:spacing w:after="120" w:line="240" w:lineRule="auto"/>
        <w:jc w:val="both"/>
        <w:rPr>
          <w:noProof/>
        </w:rPr>
      </w:pPr>
      <w:r>
        <w:rPr>
          <w:noProof/>
        </w:rPr>
        <w:t xml:space="preserve">Vaatimus siitä, että kaikki tuetut investoinnit ovat taloudellisesti elinkelpoisia. </w:t>
      </w:r>
    </w:p>
    <w:p w14:paraId="4617F4A0" w14:textId="77777777" w:rsidR="00E42B18" w:rsidRDefault="009629C4">
      <w:pPr>
        <w:pStyle w:val="ListParagraph"/>
        <w:numPr>
          <w:ilvl w:val="0"/>
          <w:numId w:val="61"/>
        </w:numPr>
        <w:spacing w:after="120" w:line="240" w:lineRule="auto"/>
        <w:jc w:val="both"/>
        <w:rPr>
          <w:rFonts w:ascii="Times New Roman" w:hAnsi="Times New Roman" w:cs="Times New Roman"/>
          <w:noProof/>
        </w:rPr>
      </w:pPr>
      <w:r>
        <w:rPr>
          <w:rFonts w:ascii="Times New Roman" w:hAnsi="Times New Roman" w:cs="Times New Roman" w:hint="eastAsia"/>
          <w:noProof/>
        </w:rPr>
        <w:t xml:space="preserve">Vaatimus noudattaa </w:t>
      </w:r>
      <w:r>
        <w:rPr>
          <w:rFonts w:ascii="Times New Roman" w:hAnsi="Times New Roman" w:cs="Times New Roman" w:hint="eastAsia"/>
          <w:noProof/>
        </w:rPr>
        <w:t>”</w:t>
      </w:r>
      <w:r>
        <w:rPr>
          <w:rFonts w:ascii="Times New Roman" w:hAnsi="Times New Roman" w:cs="Times New Roman" w:hint="eastAsia"/>
          <w:noProof/>
        </w:rPr>
        <w:t>ei merkittävää haittaa</w:t>
      </w:r>
      <w:r>
        <w:rPr>
          <w:rFonts w:ascii="Times New Roman" w:hAnsi="Times New Roman" w:cs="Times New Roman" w:hint="eastAsia"/>
          <w:noProof/>
        </w:rPr>
        <w:t>”</w:t>
      </w:r>
      <w:r>
        <w:rPr>
          <w:rFonts w:ascii="Times New Roman" w:hAnsi="Times New Roman" w:cs="Times New Roman" w:hint="eastAsia"/>
          <w:noProof/>
        </w:rPr>
        <w:t xml:space="preserve"> -periaatetta sitä koskevien teknisten ohjeiden (2021/C58/01) mukaisesti. Sijoituspolitiikassa on erityisesti jätettävä tukikelpoisuuden ulkopuolelle seuraava luettelo toiminnoista ja omaisuuseristä: I) fossiilisiin polttoaineisiin liittyvät toiminnot ja omaisuuserät, mukaan lukien tuotantoketjun loppupään käyttö,</w:t>
      </w:r>
      <w:r>
        <w:rPr>
          <w:rStyle w:val="FootnoteReference"/>
          <w:rFonts w:ascii="Times New Roman" w:hAnsi="Times New Roman" w:cs="Times New Roman"/>
          <w:noProof/>
        </w:rPr>
        <w:footnoteReference w:id="60"/>
      </w:r>
      <w:r>
        <w:rPr>
          <w:rFonts w:ascii="Times New Roman" w:hAnsi="Times New Roman" w:cs="Times New Roman"/>
          <w:noProof/>
        </w:rPr>
        <w:t>ii) EU:n päästökauppajärjestelmään kuuluvat toiminnot ja omaisuuserät, joiden avulla saavutetaan ennustetut kasvihuonekaasupäästöt, jotka eivät alita asiaankuuluvia vertailuarvoja</w:t>
      </w:r>
      <w:r>
        <w:rPr>
          <w:rStyle w:val="FootnoteReference"/>
          <w:rFonts w:ascii="Times New Roman" w:hAnsi="Times New Roman" w:cs="Times New Roman"/>
          <w:noProof/>
        </w:rPr>
        <w:footnoteReference w:id="61"/>
      </w:r>
      <w:r>
        <w:rPr>
          <w:rFonts w:ascii="Times New Roman" w:hAnsi="Times New Roman" w:cs="Times New Roman"/>
          <w:noProof/>
        </w:rPr>
        <w:t>, iii) kaatopaikkoihin, polttolaitoksiin ja mekaanisiin biologisiin käsittelylaitoksiin liittyvät toiminnot</w:t>
      </w:r>
      <w:r>
        <w:rPr>
          <w:rStyle w:val="FootnoteReference"/>
          <w:rFonts w:ascii="Times New Roman" w:hAnsi="Times New Roman" w:cs="Times New Roman"/>
          <w:noProof/>
        </w:rPr>
        <w:footnoteReference w:id="62"/>
      </w:r>
      <w:r>
        <w:rPr>
          <w:rFonts w:ascii="Times New Roman" w:hAnsi="Times New Roman" w:cs="Times New Roman"/>
          <w:noProof/>
        </w:rPr>
        <w:t xml:space="preserve"> ja varat</w:t>
      </w:r>
      <w:r>
        <w:rPr>
          <w:rStyle w:val="FootnoteReference"/>
          <w:rFonts w:ascii="Times New Roman" w:hAnsi="Times New Roman" w:cs="Times New Roman"/>
          <w:noProof/>
        </w:rPr>
        <w:footnoteReference w:id="63"/>
      </w:r>
      <w:r>
        <w:rPr>
          <w:rFonts w:ascii="Times New Roman" w:hAnsi="Times New Roman" w:cs="Times New Roman"/>
          <w:noProof/>
        </w:rPr>
        <w:t xml:space="preserve">. </w:t>
      </w:r>
    </w:p>
    <w:p w14:paraId="2010774B" w14:textId="77777777" w:rsidR="00E42B18" w:rsidRDefault="009629C4">
      <w:pPr>
        <w:pStyle w:val="P68B1DB1-ListParagraph37"/>
        <w:numPr>
          <w:ilvl w:val="0"/>
          <w:numId w:val="61"/>
        </w:numPr>
        <w:spacing w:after="120" w:line="240" w:lineRule="auto"/>
        <w:jc w:val="both"/>
        <w:rPr>
          <w:noProof/>
        </w:rPr>
      </w:pPr>
      <w:r>
        <w:rPr>
          <w:noProof/>
        </w:rPr>
        <w:t>Vaatimus, jonka mukaan tukivälineen lopulliset tuensaajat eivät saa tukea muista unionin välineistä samojen kustannusten kattamiseksi.</w:t>
      </w:r>
    </w:p>
    <w:p w14:paraId="32BD3191" w14:textId="77777777" w:rsidR="00E42B18" w:rsidRDefault="009629C4">
      <w:pPr>
        <w:pStyle w:val="P68B1DB1-ListParagraph37"/>
        <w:numPr>
          <w:ilvl w:val="0"/>
          <w:numId w:val="60"/>
        </w:numPr>
        <w:spacing w:after="120" w:line="240" w:lineRule="auto"/>
        <w:jc w:val="both"/>
        <w:rPr>
          <w:noProof/>
        </w:rPr>
      </w:pPr>
      <w:r>
        <w:rPr>
          <w:noProof/>
        </w:rPr>
        <w:t>Täytäntöönpanosopimuksen kattama määrä, toteutuskumppanin maksurakenne ja vaatimus sijoittaa takaisin saadut varat uudelleen investointikehyksen investointipolitiikan mukaisesti.</w:t>
      </w:r>
    </w:p>
    <w:p w14:paraId="1F235FCB" w14:textId="77777777" w:rsidR="00E42B18" w:rsidRDefault="009629C4">
      <w:pPr>
        <w:pStyle w:val="P68B1DB1-ListParagraph37"/>
        <w:numPr>
          <w:ilvl w:val="0"/>
          <w:numId w:val="60"/>
        </w:numPr>
        <w:spacing w:after="120" w:line="240" w:lineRule="auto"/>
        <w:jc w:val="both"/>
        <w:rPr>
          <w:noProof/>
        </w:rPr>
      </w:pPr>
      <w:r>
        <w:rPr>
          <w:noProof/>
        </w:rPr>
        <w:t>Seuranta-, valvonta- ja tarkastusvaatimukset, joihin sisältyvät</w:t>
      </w:r>
    </w:p>
    <w:p w14:paraId="2B1EB99A" w14:textId="77777777" w:rsidR="00E42B18" w:rsidRDefault="009629C4">
      <w:pPr>
        <w:pStyle w:val="P68B1DB1-ListParagraph36"/>
        <w:numPr>
          <w:ilvl w:val="1"/>
          <w:numId w:val="62"/>
        </w:numPr>
        <w:spacing w:after="120" w:line="240" w:lineRule="auto"/>
        <w:jc w:val="both"/>
        <w:rPr>
          <w:rFonts w:hint="default"/>
          <w:noProof/>
        </w:rPr>
      </w:pPr>
      <w:r>
        <w:rPr>
          <w:noProof/>
        </w:rPr>
        <w:t>Kuvaus toteutuskumppanin seurantajärjestelmästä, jolla raportoidaan mobilisoiduista investoinneista.</w:t>
      </w:r>
    </w:p>
    <w:p w14:paraId="54C30E07" w14:textId="77777777" w:rsidR="00E42B18" w:rsidRDefault="009629C4">
      <w:pPr>
        <w:pStyle w:val="P68B1DB1-ListParagraph36"/>
        <w:numPr>
          <w:ilvl w:val="1"/>
          <w:numId w:val="62"/>
        </w:numPr>
        <w:spacing w:after="120" w:line="240" w:lineRule="auto"/>
        <w:jc w:val="both"/>
        <w:rPr>
          <w:rFonts w:hint="default"/>
          <w:noProof/>
        </w:rPr>
      </w:pPr>
      <w:r>
        <w:rPr>
          <w:noProof/>
        </w:rPr>
        <w:t xml:space="preserve">Kuvaus toteutuskumppanin menettelyistä, joilla varmistetaan petosten, lahjonnan ja eturistiriitojen ehkäiseminen, havaitseminen ja korjaaminen. </w:t>
      </w:r>
    </w:p>
    <w:p w14:paraId="59FE0E83" w14:textId="77777777" w:rsidR="00E42B18" w:rsidRDefault="009629C4">
      <w:pPr>
        <w:pStyle w:val="P68B1DB1-ListParagraph37"/>
        <w:numPr>
          <w:ilvl w:val="1"/>
          <w:numId w:val="62"/>
        </w:numPr>
        <w:spacing w:after="120" w:line="240" w:lineRule="auto"/>
        <w:jc w:val="both"/>
        <w:rPr>
          <w:noProof/>
        </w:rPr>
      </w:pPr>
      <w:r>
        <w:rPr>
          <w:noProof/>
        </w:rPr>
        <w:t>Velvoite tarkistaa kunkin toimen tukikelpoisuus täytäntöönpanosopimuksessa vahvistettujen vaatimusten mukaisesti ennen sitoutumista toimen rahoittamiseen.</w:t>
      </w:r>
    </w:p>
    <w:p w14:paraId="027FADFB" w14:textId="77777777" w:rsidR="00E42B18" w:rsidRDefault="009629C4">
      <w:pPr>
        <w:pStyle w:val="P68B1DB1-ListParagraph37"/>
        <w:numPr>
          <w:ilvl w:val="1"/>
          <w:numId w:val="62"/>
        </w:numPr>
        <w:spacing w:after="120" w:line="240" w:lineRule="auto"/>
        <w:jc w:val="both"/>
        <w:rPr>
          <w:noProof/>
        </w:rPr>
      </w:pPr>
      <w:r>
        <w:rPr>
          <w:noProof/>
        </w:rPr>
        <w:t>Velvollisuus suorittaa riskiperusteisia jälkitarkastuksia Invitalian erityissuojelualueen tarkastussuunnitelman mukaisesti. Jälkitarkastuksissa tarkastetaan, että:</w:t>
      </w:r>
    </w:p>
    <w:p w14:paraId="7742295B" w14:textId="77777777" w:rsidR="00E42B18" w:rsidRDefault="009629C4">
      <w:pPr>
        <w:pStyle w:val="P68B1DB1-ListParagraph37"/>
        <w:numPr>
          <w:ilvl w:val="2"/>
          <w:numId w:val="62"/>
        </w:numPr>
        <w:spacing w:after="120" w:line="240" w:lineRule="auto"/>
        <w:jc w:val="both"/>
        <w:rPr>
          <w:noProof/>
        </w:rPr>
      </w:pPr>
      <w:r>
        <w:rPr>
          <w:noProof/>
        </w:rPr>
        <w:t>valvontajärjestelmät ovat tehokkaita, myös petosten, lahjonnan ja eturistiriitojen havaitsemisen suhteen;</w:t>
      </w:r>
    </w:p>
    <w:p w14:paraId="40398A96" w14:textId="77777777" w:rsidR="00E42B18" w:rsidRDefault="009629C4">
      <w:pPr>
        <w:pStyle w:val="P68B1DB1-ListParagraph37"/>
        <w:numPr>
          <w:ilvl w:val="2"/>
          <w:numId w:val="62"/>
        </w:numPr>
        <w:spacing w:after="120" w:line="240" w:lineRule="auto"/>
        <w:jc w:val="both"/>
        <w:rPr>
          <w:noProof/>
        </w:rPr>
      </w:pPr>
      <w:r>
        <w:rPr>
          <w:noProof/>
        </w:rPr>
        <w:t xml:space="preserve">noudatetaan ”ei merkittävää haittaa” -periaatetta, valtiontukisääntöjä ja ilmastotavoitteita koskevia vaatimuksia; ja </w:t>
      </w:r>
    </w:p>
    <w:p w14:paraId="13932B43" w14:textId="11BC446D" w:rsidR="00E42B18" w:rsidRDefault="009629C4">
      <w:pPr>
        <w:pStyle w:val="P68B1DB1-ListParagraph37"/>
        <w:numPr>
          <w:ilvl w:val="2"/>
          <w:numId w:val="62"/>
        </w:numPr>
        <w:spacing w:after="120" w:line="240" w:lineRule="auto"/>
        <w:jc w:val="both"/>
        <w:rPr>
          <w:noProof/>
        </w:rPr>
      </w:pPr>
      <w:r>
        <w:rPr>
          <w:noProof/>
        </w:rPr>
        <w:t>vaatimusta, jonka mukaan tukivälineen lopulliset edunsaajat eivät ole saaneet tukea muista unionin välineistä samojen kustannusten kattamiseksi, noudatetaan. Tarkastuksissa on myös todennettava toimien laillisuus ja se, että sovellettavan täytäntöönpanosopimuksen ehtoja noudatetaan.</w:t>
      </w:r>
    </w:p>
    <w:p w14:paraId="0FEF5986" w14:textId="77777777" w:rsidR="00E42B18" w:rsidRDefault="009629C4">
      <w:pPr>
        <w:pStyle w:val="P68B1DB1-Normal29"/>
        <w:spacing w:before="120" w:after="120"/>
        <w:jc w:val="both"/>
        <w:rPr>
          <w:noProof/>
        </w:rPr>
      </w:pPr>
      <w:r>
        <w:rPr>
          <w:noProof/>
        </w:rPr>
        <w:t>Investointi 5.2 – Kehitetään vetyalan kansainvälistä, teollista ja t &amp; k-johtajuutta</w:t>
      </w:r>
    </w:p>
    <w:p w14:paraId="6C4A1549" w14:textId="77777777" w:rsidR="00E42B18" w:rsidRDefault="009629C4">
      <w:pPr>
        <w:pStyle w:val="P68B1DB1-Normal8"/>
        <w:spacing w:before="120" w:after="120"/>
        <w:jc w:val="both"/>
        <w:rPr>
          <w:noProof/>
        </w:rPr>
      </w:pPr>
      <w:r>
        <w:rPr>
          <w:noProof/>
        </w:rPr>
        <w:t xml:space="preserve">Tämän investoinnin tavoitteena on tukea vedyn arvoketjua Italiassa. Investointi koostuu seuraavien toimien rahoittamisesta: 1) Euroopan yhteistä etua koskevat tärkeät hankkeet, joilla lisätään elektrolyysilaitteiden valmistuskapasiteettia, 2) elektrolyysilaitteiden valmistusta koskevat lisähankkeet, 3) vedyn arvoketjua tukevat teolliset investoinnit, mukaan lukien T &amp; K ja koulutus. </w:t>
      </w:r>
    </w:p>
    <w:p w14:paraId="711F86C8" w14:textId="77777777" w:rsidR="00E42B18" w:rsidRDefault="009629C4">
      <w:pPr>
        <w:pStyle w:val="P68B1DB1-Normal29"/>
        <w:spacing w:before="120" w:after="120"/>
        <w:jc w:val="both"/>
        <w:rPr>
          <w:noProof/>
        </w:rPr>
      </w:pPr>
      <w:r>
        <w:rPr>
          <w:noProof/>
        </w:rPr>
        <w:t>Investointi 5.3 – Sähköbussien kansainvälisen, teollisen ja T &amp; K-toiminnan johtoaseman kehittäminen</w:t>
      </w:r>
    </w:p>
    <w:p w14:paraId="61828AD5" w14:textId="7E99D44C" w:rsidR="00E42B18" w:rsidRDefault="009629C4">
      <w:pPr>
        <w:pStyle w:val="P68B1DB1-Normal8"/>
        <w:spacing w:before="120" w:after="120"/>
        <w:jc w:val="both"/>
        <w:rPr>
          <w:noProof/>
        </w:rPr>
      </w:pPr>
      <w:r>
        <w:rPr>
          <w:noProof/>
        </w:rPr>
        <w:t>Investoinnilla tuetaan noin 45:tä hanketta, joilla voidaan edistää linja-autoteollisuuden digitaalista ja vihreää siirtymää sähköisiin ja verkkoon liitettyihin linja-autoihin. Tämän investoinnin odotetaan myös tukevan investointeja sähköbussikannan uudistamiseen (lukuun ottamatta hybridibusseja).</w:t>
      </w:r>
    </w:p>
    <w:p w14:paraId="68150809" w14:textId="77777777" w:rsidR="00E42B18" w:rsidRDefault="009629C4">
      <w:pPr>
        <w:pStyle w:val="P68B1DB1-Normal29"/>
        <w:spacing w:before="120" w:after="120"/>
        <w:jc w:val="both"/>
        <w:rPr>
          <w:bCs/>
          <w:noProof/>
        </w:rPr>
      </w:pPr>
      <w:r>
        <w:rPr>
          <w:noProof/>
        </w:rPr>
        <w:t>Investointi 5.4 – Pääomanlisäys vihreän siirtymän rahastoon (GTF), jota hallinnoi CDP Venture Capital SGR</w:t>
      </w:r>
    </w:p>
    <w:p w14:paraId="09E22860" w14:textId="77777777" w:rsidR="00E42B18" w:rsidRDefault="009629C4">
      <w:pPr>
        <w:pStyle w:val="P68B1DB1-Normal8"/>
        <w:spacing w:line="240" w:lineRule="auto"/>
        <w:jc w:val="both"/>
        <w:rPr>
          <w:noProof/>
        </w:rPr>
      </w:pPr>
      <w:r>
        <w:rPr>
          <w:noProof/>
        </w:rPr>
        <w:t xml:space="preserve">Tällä toimenpiteellä pyritään tukemaan Italian talouden kasvupotentiaalia kannustamalla yksityisiin investointeihin, parantamalla vihreään siirtymään osallistuvien startup-yritysten rahoituksen saantia ja kehittämällä tämän alan riskipääomamarkkinoita. Toimenpide koostuu 250000000 euron pääomasijoituksesta CDP Venture Capital SGR:n hallinnoimaan vihreän siirtymän rahastoon, jäljempänä ’GTF’. </w:t>
      </w:r>
    </w:p>
    <w:p w14:paraId="29197E15" w14:textId="688F627B" w:rsidR="00E42B18" w:rsidRDefault="009629C4">
      <w:pPr>
        <w:pStyle w:val="P68B1DB1-LegalNumPar260"/>
        <w:numPr>
          <w:ilvl w:val="0"/>
          <w:numId w:val="0"/>
        </w:numPr>
        <w:spacing w:line="259" w:lineRule="auto"/>
        <w:jc w:val="both"/>
        <w:rPr>
          <w:noProof/>
        </w:rPr>
      </w:pPr>
      <w:r>
        <w:rPr>
          <w:noProof/>
        </w:rPr>
        <w:t>CDP Venture Capital SGR:n on noudatettava oman pääoman käyttöä koskevaa sijoituspolitiikkaa. Investointipolitiikkaan on sisällyttävä kuvaus rahoitustuotteesta (-tuotteista) niiden tukikelpoisten lopullisten edunsaajien odotetusta tyypistä</w:t>
      </w:r>
      <w:bookmarkStart w:id="14" w:name="_Hlk198572061"/>
      <w:r>
        <w:rPr>
          <w:noProof/>
        </w:rPr>
        <w:t>, joita omalla pääomalla odotetaan</w:t>
      </w:r>
      <w:bookmarkEnd w:id="14"/>
      <w:r>
        <w:rPr>
          <w:noProof/>
        </w:rPr>
        <w:t xml:space="preserve">tuettavan, </w:t>
      </w:r>
      <w:bookmarkStart w:id="15" w:name="_Hlk198538454"/>
      <w:r>
        <w:rPr>
          <w:noProof/>
        </w:rPr>
        <w:t>mukaan lukien odotettu 15 vuoden täytäntöönpanoaikataulu ja enintään 13 prosentin hallinnointipalkkio</w:t>
      </w:r>
      <w:bookmarkEnd w:id="15"/>
      <w:r>
        <w:rPr>
          <w:noProof/>
        </w:rPr>
        <w:t>.</w:t>
      </w:r>
      <w:r>
        <w:rPr>
          <w:noProof/>
        </w:rPr>
        <w:footnoteReference w:id="64"/>
      </w:r>
      <w:r>
        <w:rPr>
          <w:noProof/>
        </w:rPr>
        <w:t xml:space="preserve"> GTF:n on toimittava tarjoamalla suoraan tai välillisesti oman pääoman ehtoista, oman pääoman luonteista, vieraan pääoman ehtoista tai vieraan pääoman luonteista tukea.</w:t>
      </w:r>
      <w:r>
        <w:rPr>
          <w:noProof/>
        </w:rPr>
        <w:footnoteReference w:id="65"/>
      </w:r>
      <w:r>
        <w:rPr>
          <w:noProof/>
        </w:rPr>
        <w:t xml:space="preserve"> CDP Venture Capital SGR:n on käytettävä oman pääoman käyttöä koskevissa ohjeissa ”Linee Guida per le attività di rendicontazione e controllo dei Fondi DTF e GTF” kuvattua tarkastus- ja valvontajärjestelmää. Sijoituspolitiikassa on edellytettävä, että oman pääoman ehtoiset rahoitustuotteet noudattavat ”ei merkittävää haittaa” -periaatetta, sellaisena kuin se on vahvistettu ”ei merkittävää haittaa” -periaatteen (2021/C58/01) mukaisesti. Erityisesti kun kyseessä on start-up-yritysten yleinen tuki, investointipolitiikan ulkopuolelle on jätettävä yritykset,</w:t>
      </w:r>
      <w:r>
        <w:rPr>
          <w:noProof/>
        </w:rPr>
        <w:footnoteReference w:id="66"/>
      </w:r>
      <w:r>
        <w:rPr>
          <w:noProof/>
        </w:rPr>
        <w:t xml:space="preserve"> jotka keskittyvät erityisesti seuraaviin aloihin: I) fossiilisiin polttoaineisiin perustuva energiantuotanto ja siihen liittyvä toiminta</w:t>
      </w:r>
      <w:r>
        <w:rPr>
          <w:noProof/>
        </w:rPr>
        <w:footnoteReference w:id="67"/>
      </w:r>
      <w:r>
        <w:rPr>
          <w:noProof/>
        </w:rPr>
        <w:t>; II) energiaintensiiviset ja/tai paljon hiilidioksidipäästöjä aiheuttavat teollisuudenalat</w:t>
      </w:r>
      <w:r>
        <w:rPr>
          <w:noProof/>
        </w:rPr>
        <w:footnoteReference w:id="68"/>
      </w:r>
      <w:r>
        <w:rPr>
          <w:noProof/>
        </w:rPr>
        <w:t>; III) saastuttavien ajoneuvojen tuotanto, vuokraus tai myynti</w:t>
      </w:r>
      <w:r>
        <w:rPr>
          <w:noProof/>
        </w:rPr>
        <w:footnoteReference w:id="69"/>
      </w:r>
      <w:r>
        <w:rPr>
          <w:noProof/>
        </w:rPr>
        <w:t>; IV) jätteiden keruu, käsittely ja</w:t>
      </w:r>
      <w:r>
        <w:rPr>
          <w:noProof/>
        </w:rPr>
        <w:footnoteReference w:id="70"/>
      </w:r>
      <w:r>
        <w:rPr>
          <w:noProof/>
        </w:rPr>
        <w:t>loppusijoitus, v) ydinpolttoaineen käsittely, ydinenergian tuotanto. Lisäksi investointipolitiikassa on edellytettävä asiaa koskevan EU:n ja kansallisen ympäristölainsäädännön noudattamista.</w:t>
      </w:r>
    </w:p>
    <w:p w14:paraId="027ACCD4" w14:textId="0756D441" w:rsidR="00E42B18" w:rsidRDefault="009629C4">
      <w:pPr>
        <w:pStyle w:val="P68B1DB1-LegalNumPar260"/>
        <w:numPr>
          <w:ilvl w:val="0"/>
          <w:numId w:val="0"/>
        </w:numPr>
        <w:spacing w:line="259" w:lineRule="auto"/>
        <w:jc w:val="both"/>
        <w:rPr>
          <w:noProof/>
        </w:rPr>
        <w:sectPr w:rsidR="00E42B18" w:rsidSect="005F11B9">
          <w:headerReference w:type="even" r:id="rId92"/>
          <w:headerReference w:type="default" r:id="rId93"/>
          <w:footerReference w:type="even" r:id="rId94"/>
          <w:footerReference w:type="default" r:id="rId95"/>
          <w:headerReference w:type="first" r:id="rId96"/>
          <w:footerReference w:type="first" r:id="rId97"/>
          <w:pgSz w:w="11907" w:h="16839"/>
          <w:pgMar w:top="1134" w:right="1134" w:bottom="1134" w:left="1134" w:header="567" w:footer="567" w:gutter="0"/>
          <w:cols w:space="720"/>
          <w:docGrid w:linePitch="360"/>
        </w:sectPr>
      </w:pPr>
      <w:r>
        <w:rPr>
          <w:noProof/>
        </w:rPr>
        <w:t xml:space="preserve"> </w:t>
      </w:r>
    </w:p>
    <w:p w14:paraId="1C9D170A" w14:textId="77777777" w:rsidR="00E42B18" w:rsidRDefault="00E42B18">
      <w:pPr>
        <w:spacing w:before="120" w:after="120"/>
        <w:jc w:val="both"/>
        <w:rPr>
          <w:rFonts w:ascii="Times New Roman" w:eastAsia="Times New Roman" w:hAnsi="Times New Roman" w:cs="Times New Roman"/>
          <w:noProof/>
        </w:rPr>
      </w:pPr>
    </w:p>
    <w:p w14:paraId="51899CDE" w14:textId="77777777" w:rsidR="00E42B18" w:rsidRDefault="009629C4">
      <w:pPr>
        <w:pStyle w:val="P68B1DB1-Heading341"/>
        <w:ind w:left="850" w:hanging="850"/>
        <w:rPr>
          <w:noProof/>
        </w:rPr>
      </w:pPr>
      <w:r>
        <w:rPr>
          <w:rFonts w:ascii="Times New Roman" w:eastAsia="Times New Roman" w:hAnsi="Times New Roman" w:cs="Times New Roman"/>
          <w:b/>
          <w:noProof/>
          <w:u w:val="single"/>
        </w:rPr>
        <w:t xml:space="preserve">E.4 </w:t>
      </w:r>
      <w:r>
        <w:rPr>
          <w:noProof/>
        </w:rPr>
        <w:t xml:space="preserve"> </w:t>
      </w:r>
      <w:r>
        <w:rPr>
          <w:rFonts w:ascii="Times New Roman" w:eastAsia="Times New Roman" w:hAnsi="Times New Roman" w:cs="Times New Roman"/>
          <w:b/>
          <w:noProof/>
          <w:u w:val="single"/>
        </w:rPr>
        <w:t xml:space="preserve">Lainamuotoisen tuen seurantaa ja täytäntöönpanoa koskevat välitavoitteet, tavoitteet, indikaattorit ja aikataulu </w:t>
      </w:r>
    </w:p>
    <w:tbl>
      <w:tblPr>
        <w:tblW w:w="15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2"/>
        <w:gridCol w:w="2163"/>
        <w:gridCol w:w="1592"/>
        <w:gridCol w:w="2073"/>
        <w:gridCol w:w="2115"/>
        <w:gridCol w:w="1101"/>
        <w:gridCol w:w="1096"/>
        <w:gridCol w:w="1080"/>
        <w:gridCol w:w="916"/>
        <w:gridCol w:w="676"/>
        <w:gridCol w:w="1162"/>
      </w:tblGrid>
      <w:tr w:rsidR="00E42B18" w14:paraId="2F01B201" w14:textId="77777777" w:rsidTr="007F4B94">
        <w:trPr>
          <w:trHeight w:val="927"/>
          <w:tblHeader/>
          <w:jc w:val="center"/>
        </w:trPr>
        <w:tc>
          <w:tcPr>
            <w:tcW w:w="1520" w:type="dxa"/>
            <w:vMerge w:val="restart"/>
            <w:shd w:val="clear" w:color="auto" w:fill="BDD7EE"/>
            <w:vAlign w:val="center"/>
            <w:hideMark/>
          </w:tcPr>
          <w:p w14:paraId="2753E05E" w14:textId="77777777" w:rsidR="00E42B18" w:rsidRDefault="009629C4" w:rsidP="007F4B94">
            <w:pPr>
              <w:pStyle w:val="P68B1DB1-Normal14"/>
              <w:jc w:val="center"/>
              <w:rPr>
                <w:b/>
                <w:noProof/>
                <w:szCs w:val="20"/>
              </w:rPr>
            </w:pPr>
            <w:r>
              <w:rPr>
                <w:b/>
                <w:noProof/>
              </w:rPr>
              <w:t>S Seurantanumero</w:t>
            </w:r>
          </w:p>
        </w:tc>
        <w:tc>
          <w:tcPr>
            <w:tcW w:w="2377" w:type="dxa"/>
            <w:vMerge w:val="restart"/>
            <w:shd w:val="clear" w:color="auto" w:fill="BDD7EE"/>
            <w:vAlign w:val="center"/>
            <w:hideMark/>
          </w:tcPr>
          <w:p w14:paraId="57D34951" w14:textId="77777777" w:rsidR="00E42B18" w:rsidRDefault="009629C4" w:rsidP="007F4B94">
            <w:pPr>
              <w:pStyle w:val="P68B1DB1-Normal10"/>
              <w:jc w:val="center"/>
              <w:rPr>
                <w:noProof/>
                <w:szCs w:val="20"/>
              </w:rPr>
            </w:pPr>
            <w:r>
              <w:rPr>
                <w:noProof/>
              </w:rPr>
              <w:t>Toimenpide (uudistus tai investointi)</w:t>
            </w:r>
          </w:p>
        </w:tc>
        <w:tc>
          <w:tcPr>
            <w:tcW w:w="1742" w:type="dxa"/>
            <w:vMerge w:val="restart"/>
            <w:shd w:val="clear" w:color="auto" w:fill="BDD7EE"/>
            <w:vAlign w:val="center"/>
            <w:hideMark/>
          </w:tcPr>
          <w:p w14:paraId="5FB09A17" w14:textId="77777777" w:rsidR="00E42B18" w:rsidRDefault="009629C4" w:rsidP="007F4B94">
            <w:pPr>
              <w:pStyle w:val="P68B1DB1-Normal10"/>
              <w:jc w:val="center"/>
              <w:rPr>
                <w:noProof/>
                <w:szCs w:val="20"/>
              </w:rPr>
            </w:pPr>
            <w:r>
              <w:rPr>
                <w:noProof/>
              </w:rPr>
              <w:t>Välitavoite/tavoite</w:t>
            </w:r>
          </w:p>
        </w:tc>
        <w:tc>
          <w:tcPr>
            <w:tcW w:w="2277" w:type="dxa"/>
            <w:vMerge w:val="restart"/>
            <w:shd w:val="clear" w:color="auto" w:fill="BDD7EE"/>
            <w:vAlign w:val="center"/>
            <w:hideMark/>
          </w:tcPr>
          <w:p w14:paraId="15145341" w14:textId="77777777" w:rsidR="00E42B18" w:rsidRDefault="009629C4" w:rsidP="007F4B94">
            <w:pPr>
              <w:pStyle w:val="P68B1DB1-Normal10"/>
              <w:jc w:val="center"/>
              <w:rPr>
                <w:noProof/>
                <w:szCs w:val="20"/>
              </w:rPr>
            </w:pPr>
            <w:r>
              <w:rPr>
                <w:noProof/>
              </w:rPr>
              <w:t>Nimi</w:t>
            </w:r>
          </w:p>
        </w:tc>
        <w:tc>
          <w:tcPr>
            <w:tcW w:w="2323" w:type="dxa"/>
            <w:vMerge w:val="restart"/>
            <w:shd w:val="clear" w:color="auto" w:fill="BDD7EE"/>
            <w:vAlign w:val="center"/>
            <w:hideMark/>
          </w:tcPr>
          <w:p w14:paraId="47CA917F" w14:textId="77777777" w:rsidR="00E42B18" w:rsidRDefault="009629C4" w:rsidP="007F4B94">
            <w:pPr>
              <w:jc w:val="center"/>
              <w:rPr>
                <w:rFonts w:ascii="Arial Narrow" w:hAnsi="Arial Narrow"/>
                <w:b/>
                <w:noProof/>
                <w:sz w:val="20"/>
                <w:szCs w:val="20"/>
              </w:rPr>
            </w:pPr>
            <w:r>
              <w:rPr>
                <w:rFonts w:ascii="Arial Narrow" w:hAnsi="Arial Narrow"/>
                <w:b/>
                <w:noProof/>
                <w:sz w:val="20"/>
              </w:rPr>
              <w:t>Laadulliset indikaattorit</w:t>
            </w:r>
            <w:r>
              <w:rPr>
                <w:rFonts w:ascii="Arial Narrow" w:hAnsi="Arial Narrow"/>
                <w:noProof/>
              </w:rPr>
              <w:t xml:space="preserve"> </w:t>
            </w:r>
            <w:r>
              <w:rPr>
                <w:noProof/>
              </w:rPr>
              <w:br/>
            </w:r>
            <w:r>
              <w:rPr>
                <w:rFonts w:ascii="Arial Narrow" w:hAnsi="Arial Narrow"/>
                <w:b/>
                <w:noProof/>
                <w:sz w:val="20"/>
              </w:rPr>
              <w:t>(välitavoitteiden osalta)</w:t>
            </w:r>
          </w:p>
        </w:tc>
        <w:tc>
          <w:tcPr>
            <w:tcW w:w="3561" w:type="dxa"/>
            <w:gridSpan w:val="3"/>
            <w:shd w:val="clear" w:color="auto" w:fill="BDD7EE"/>
            <w:vAlign w:val="center"/>
            <w:hideMark/>
          </w:tcPr>
          <w:p w14:paraId="413C8769" w14:textId="77777777" w:rsidR="00E42B18" w:rsidRDefault="009629C4" w:rsidP="007F4B9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716" w:type="dxa"/>
            <w:gridSpan w:val="2"/>
            <w:shd w:val="clear" w:color="auto" w:fill="BDD7EE"/>
            <w:vAlign w:val="center"/>
            <w:hideMark/>
          </w:tcPr>
          <w:p w14:paraId="4A238B8E" w14:textId="77777777" w:rsidR="00E42B18" w:rsidRDefault="009629C4" w:rsidP="007F4B94">
            <w:pPr>
              <w:pStyle w:val="P68B1DB1-Normal10"/>
              <w:jc w:val="center"/>
              <w:rPr>
                <w:noProof/>
                <w:szCs w:val="20"/>
              </w:rPr>
            </w:pPr>
            <w:r>
              <w:rPr>
                <w:noProof/>
              </w:rPr>
              <w:t>Alustava toteutusaikataulu</w:t>
            </w:r>
          </w:p>
        </w:tc>
        <w:tc>
          <w:tcPr>
            <w:tcW w:w="1265" w:type="dxa"/>
            <w:vMerge w:val="restart"/>
            <w:shd w:val="clear" w:color="auto" w:fill="BDD7EE"/>
            <w:vAlign w:val="center"/>
            <w:hideMark/>
          </w:tcPr>
          <w:p w14:paraId="50AD9A35" w14:textId="77777777" w:rsidR="00E42B18" w:rsidRDefault="009629C4" w:rsidP="007F4B94">
            <w:pPr>
              <w:pStyle w:val="P68B1DB1-Normal10"/>
              <w:rPr>
                <w:noProof/>
                <w:szCs w:val="20"/>
              </w:rPr>
            </w:pPr>
            <w:r>
              <w:rPr>
                <w:noProof/>
              </w:rPr>
              <w:t>Kunkin välitavoitteen ja tavoitteen kuvaus</w:t>
            </w:r>
          </w:p>
        </w:tc>
      </w:tr>
      <w:tr w:rsidR="00E42B18" w14:paraId="3F5B04CC" w14:textId="77777777" w:rsidTr="007F4B94">
        <w:trPr>
          <w:trHeight w:val="771"/>
          <w:tblHeader/>
          <w:jc w:val="center"/>
        </w:trPr>
        <w:tc>
          <w:tcPr>
            <w:tcW w:w="1520" w:type="dxa"/>
            <w:vMerge/>
            <w:vAlign w:val="center"/>
            <w:hideMark/>
          </w:tcPr>
          <w:p w14:paraId="6F16A687" w14:textId="77777777" w:rsidR="00E42B18" w:rsidRDefault="00E42B18" w:rsidP="007F4B94">
            <w:pPr>
              <w:jc w:val="center"/>
              <w:rPr>
                <w:rFonts w:ascii="Arial Narrow" w:hAnsi="Arial Narrow"/>
                <w:b/>
                <w:bCs/>
                <w:noProof/>
                <w:sz w:val="20"/>
                <w:szCs w:val="20"/>
              </w:rPr>
            </w:pPr>
          </w:p>
        </w:tc>
        <w:tc>
          <w:tcPr>
            <w:tcW w:w="2377" w:type="dxa"/>
            <w:vMerge/>
            <w:vAlign w:val="center"/>
            <w:hideMark/>
          </w:tcPr>
          <w:p w14:paraId="52FF84E6" w14:textId="77777777" w:rsidR="00E42B18" w:rsidRDefault="00E42B18" w:rsidP="007F4B94">
            <w:pPr>
              <w:jc w:val="center"/>
              <w:rPr>
                <w:rFonts w:ascii="Arial Narrow" w:hAnsi="Arial Narrow"/>
                <w:b/>
                <w:bCs/>
                <w:noProof/>
                <w:sz w:val="20"/>
                <w:szCs w:val="20"/>
              </w:rPr>
            </w:pPr>
          </w:p>
        </w:tc>
        <w:tc>
          <w:tcPr>
            <w:tcW w:w="1742" w:type="dxa"/>
            <w:vMerge/>
            <w:vAlign w:val="center"/>
            <w:hideMark/>
          </w:tcPr>
          <w:p w14:paraId="2F9A4F23" w14:textId="77777777" w:rsidR="00E42B18" w:rsidRDefault="00E42B18" w:rsidP="007F4B94">
            <w:pPr>
              <w:jc w:val="center"/>
              <w:rPr>
                <w:rFonts w:ascii="Arial Narrow" w:hAnsi="Arial Narrow"/>
                <w:b/>
                <w:bCs/>
                <w:noProof/>
                <w:sz w:val="20"/>
                <w:szCs w:val="20"/>
              </w:rPr>
            </w:pPr>
          </w:p>
        </w:tc>
        <w:tc>
          <w:tcPr>
            <w:tcW w:w="2277" w:type="dxa"/>
            <w:vMerge/>
            <w:vAlign w:val="center"/>
            <w:hideMark/>
          </w:tcPr>
          <w:p w14:paraId="4DDAB48D" w14:textId="77777777" w:rsidR="00E42B18" w:rsidRDefault="00E42B18" w:rsidP="007F4B94">
            <w:pPr>
              <w:jc w:val="center"/>
              <w:rPr>
                <w:rFonts w:ascii="Arial Narrow" w:hAnsi="Arial Narrow"/>
                <w:b/>
                <w:bCs/>
                <w:noProof/>
                <w:sz w:val="20"/>
                <w:szCs w:val="20"/>
              </w:rPr>
            </w:pPr>
          </w:p>
        </w:tc>
        <w:tc>
          <w:tcPr>
            <w:tcW w:w="2323" w:type="dxa"/>
            <w:vMerge/>
            <w:vAlign w:val="center"/>
            <w:hideMark/>
          </w:tcPr>
          <w:p w14:paraId="5A4D5FF6" w14:textId="77777777" w:rsidR="00E42B18" w:rsidRDefault="00E42B18" w:rsidP="007F4B94">
            <w:pPr>
              <w:jc w:val="center"/>
              <w:rPr>
                <w:rFonts w:ascii="Arial Narrow" w:hAnsi="Arial Narrow"/>
                <w:b/>
                <w:bCs/>
                <w:noProof/>
                <w:sz w:val="20"/>
                <w:szCs w:val="20"/>
              </w:rPr>
            </w:pPr>
          </w:p>
        </w:tc>
        <w:tc>
          <w:tcPr>
            <w:tcW w:w="1197" w:type="dxa"/>
            <w:shd w:val="clear" w:color="auto" w:fill="BDD7EE"/>
            <w:vAlign w:val="center"/>
            <w:hideMark/>
          </w:tcPr>
          <w:p w14:paraId="656738EE" w14:textId="77777777" w:rsidR="00E42B18" w:rsidRDefault="009629C4" w:rsidP="007F4B94">
            <w:pPr>
              <w:pStyle w:val="P68B1DB1-Normal10"/>
              <w:jc w:val="center"/>
              <w:rPr>
                <w:noProof/>
                <w:szCs w:val="20"/>
              </w:rPr>
            </w:pPr>
            <w:r>
              <w:rPr>
                <w:noProof/>
              </w:rPr>
              <w:t>Mitta-yksikkö</w:t>
            </w:r>
          </w:p>
        </w:tc>
        <w:tc>
          <w:tcPr>
            <w:tcW w:w="1191" w:type="dxa"/>
            <w:shd w:val="clear" w:color="auto" w:fill="BDD7EE"/>
            <w:vAlign w:val="center"/>
            <w:hideMark/>
          </w:tcPr>
          <w:p w14:paraId="43FFF720" w14:textId="77777777" w:rsidR="00E42B18" w:rsidRDefault="009629C4" w:rsidP="007F4B94">
            <w:pPr>
              <w:pStyle w:val="P68B1DB1-Normal10"/>
              <w:jc w:val="center"/>
              <w:rPr>
                <w:noProof/>
                <w:szCs w:val="20"/>
              </w:rPr>
            </w:pPr>
            <w:r>
              <w:rPr>
                <w:noProof/>
              </w:rPr>
              <w:t>Lähtötilanne</w:t>
            </w:r>
          </w:p>
        </w:tc>
        <w:tc>
          <w:tcPr>
            <w:tcW w:w="1173" w:type="dxa"/>
            <w:shd w:val="clear" w:color="auto" w:fill="BDD7EE"/>
            <w:vAlign w:val="center"/>
            <w:hideMark/>
          </w:tcPr>
          <w:p w14:paraId="4DB85958" w14:textId="77777777" w:rsidR="00E42B18" w:rsidRDefault="009629C4" w:rsidP="007F4B94">
            <w:pPr>
              <w:pStyle w:val="P68B1DB1-Normal10"/>
              <w:jc w:val="center"/>
              <w:rPr>
                <w:noProof/>
                <w:szCs w:val="20"/>
              </w:rPr>
            </w:pPr>
            <w:r>
              <w:rPr>
                <w:noProof/>
              </w:rPr>
              <w:t>Päämäärä</w:t>
            </w:r>
          </w:p>
        </w:tc>
        <w:tc>
          <w:tcPr>
            <w:tcW w:w="991" w:type="dxa"/>
            <w:shd w:val="clear" w:color="auto" w:fill="BDD7EE"/>
            <w:vAlign w:val="center"/>
            <w:hideMark/>
          </w:tcPr>
          <w:p w14:paraId="34487330" w14:textId="77777777" w:rsidR="00E42B18" w:rsidRDefault="009629C4" w:rsidP="007F4B94">
            <w:pPr>
              <w:pStyle w:val="P68B1DB1-Normal10"/>
              <w:jc w:val="center"/>
              <w:rPr>
                <w:noProof/>
                <w:szCs w:val="20"/>
              </w:rPr>
            </w:pPr>
            <w:r>
              <w:rPr>
                <w:noProof/>
              </w:rPr>
              <w:t>Neljännes</w:t>
            </w:r>
          </w:p>
        </w:tc>
        <w:tc>
          <w:tcPr>
            <w:tcW w:w="725" w:type="dxa"/>
            <w:shd w:val="clear" w:color="auto" w:fill="BDD7EE"/>
            <w:vAlign w:val="center"/>
            <w:hideMark/>
          </w:tcPr>
          <w:p w14:paraId="5A77D9B1" w14:textId="77777777" w:rsidR="00E42B18" w:rsidRDefault="009629C4" w:rsidP="007F4B94">
            <w:pPr>
              <w:pStyle w:val="P68B1DB1-Normal10"/>
              <w:jc w:val="center"/>
              <w:rPr>
                <w:noProof/>
                <w:szCs w:val="20"/>
              </w:rPr>
            </w:pPr>
            <w:r>
              <w:rPr>
                <w:noProof/>
              </w:rPr>
              <w:t>Vuosi</w:t>
            </w:r>
          </w:p>
        </w:tc>
        <w:tc>
          <w:tcPr>
            <w:tcW w:w="1265" w:type="dxa"/>
            <w:vMerge/>
            <w:vAlign w:val="center"/>
            <w:hideMark/>
          </w:tcPr>
          <w:p w14:paraId="42E752A9" w14:textId="77777777" w:rsidR="00E42B18" w:rsidRDefault="00E42B18" w:rsidP="007F4B94">
            <w:pPr>
              <w:rPr>
                <w:rFonts w:ascii="Arial Narrow" w:hAnsi="Arial Narrow"/>
                <w:b/>
                <w:bCs/>
                <w:noProof/>
                <w:sz w:val="20"/>
                <w:szCs w:val="20"/>
              </w:rPr>
            </w:pPr>
          </w:p>
        </w:tc>
      </w:tr>
      <w:tr w:rsidR="00E42B18" w14:paraId="1ED45E99"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D3D310" w14:textId="77777777" w:rsidR="00E42B18" w:rsidRDefault="009629C4" w:rsidP="007F4B94">
            <w:pPr>
              <w:pStyle w:val="P68B1DB1-Normal12"/>
              <w:jc w:val="center"/>
              <w:rPr>
                <w:noProof/>
              </w:rPr>
            </w:pPr>
            <w:bookmarkStart w:id="16" w:name="_Hlk212539687"/>
            <w:r>
              <w:rPr>
                <w:noProof/>
              </w:rPr>
              <w:t>M2C2–5</w:t>
            </w:r>
            <w:bookmarkEnd w:id="16"/>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D531" w14:textId="77777777" w:rsidR="00E42B18" w:rsidRDefault="009629C4" w:rsidP="007F4B94">
            <w:pPr>
              <w:pStyle w:val="P68B1DB1-Normal12"/>
              <w:jc w:val="center"/>
              <w:rPr>
                <w:noProof/>
              </w:rPr>
            </w:pPr>
            <w:r>
              <w:rPr>
                <w:noProof/>
              </w:rPr>
              <w:t>Investointi 1.4 Biometaanin kehittäminen kiertotalouden edistämiskriteerien mukaisesti</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83A47A" w14:textId="77777777" w:rsidR="00E42B18" w:rsidRDefault="009629C4" w:rsidP="007F4B94">
            <w:pPr>
              <w:pStyle w:val="P68B1DB1-Normal12"/>
              <w:jc w:val="center"/>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99078" w14:textId="5FC1EF2F" w:rsidR="00E42B18" w:rsidRDefault="009629C4" w:rsidP="007F4B94">
            <w:pPr>
              <w:pStyle w:val="P68B1DB1-Normal12"/>
              <w:jc w:val="center"/>
              <w:rPr>
                <w:noProof/>
              </w:rPr>
            </w:pPr>
            <w:r>
              <w:rPr>
                <w:noProof/>
              </w:rPr>
              <w:t>Täytäntöönpanosopimus, lopullisten edunsaajien kanssa allekirjoitetut oikeudelliset sopimukset ja investointien loppuun saattaminen</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38359E" w14:textId="77777777" w:rsidR="00E42B18" w:rsidRDefault="009629C4" w:rsidP="007F4B94">
            <w:pPr>
              <w:pStyle w:val="P68B1DB1-Normal12"/>
              <w:jc w:val="center"/>
              <w:rPr>
                <w:noProof/>
              </w:rPr>
            </w:pPr>
            <w:r>
              <w:rPr>
                <w:noProof/>
              </w:rPr>
              <w:t xml:space="preserve">Täytäntöönpanosopimuksen, allekirjoitettujen oikeudellisten sopimusten ja siirtotodistuksen voimaantulo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6DC911" w14:textId="2116C041" w:rsidR="00E42B18" w:rsidRDefault="009629C4" w:rsidP="007F4B94">
            <w:pPr>
              <w:pStyle w:val="P68B1DB1-Normal12"/>
              <w:jc w:val="center"/>
              <w:rPr>
                <w:noProof/>
              </w:rPr>
            </w:pPr>
            <w:r>
              <w:rPr>
                <w:noProof/>
              </w:rPr>
              <w:t xml:space="preserve">EI OLE </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73C68" w14:textId="511808CE" w:rsidR="00E42B18" w:rsidRDefault="009629C4" w:rsidP="007F4B94">
            <w:pPr>
              <w:pStyle w:val="P68B1DB1-Normal12"/>
              <w:jc w:val="center"/>
              <w:rPr>
                <w:noProof/>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55A90" w14:textId="2216B6EF" w:rsidR="00E42B18" w:rsidRDefault="009629C4" w:rsidP="007F4B94">
            <w:pPr>
              <w:pStyle w:val="P68B1DB1-Normal12"/>
              <w:jc w:val="center"/>
              <w:rPr>
                <w:noProof/>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503F05" w14:textId="01B41373" w:rsidR="00E42B18" w:rsidRDefault="009629C4" w:rsidP="007F4B94">
            <w:pPr>
              <w:pStyle w:val="P68B1DB1-Normal12"/>
              <w:jc w:val="center"/>
              <w:rPr>
                <w:noProof/>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8E94A3" w14:textId="4C19ABFF" w:rsidR="00E42B18" w:rsidRDefault="009629C4" w:rsidP="007F4B94">
            <w:pPr>
              <w:pStyle w:val="P68B1DB1-Normal12"/>
              <w:jc w:val="center"/>
              <w:rPr>
                <w:noProof/>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18D1CA" w14:textId="58E4A4B1" w:rsidR="00E42B18" w:rsidRDefault="009629C4" w:rsidP="007F4B94">
            <w:pPr>
              <w:pStyle w:val="P68B1DB1-Normal12"/>
              <w:rPr>
                <w:noProof/>
              </w:rPr>
            </w:pPr>
            <w:r>
              <w:rPr>
                <w:noProof/>
              </w:rPr>
              <w:t>Täytäntöönpanosopimus tulee voimaan.</w:t>
            </w:r>
          </w:p>
          <w:p w14:paraId="60352BC4" w14:textId="78E8B911" w:rsidR="00E42B18" w:rsidRDefault="009629C4" w:rsidP="007F4B94">
            <w:pPr>
              <w:pStyle w:val="P68B1DB1-Normal12"/>
              <w:rPr>
                <w:noProof/>
              </w:rPr>
            </w:pPr>
            <w:r>
              <w:rPr>
                <w:noProof/>
              </w:rPr>
              <w:t>Italia siirtää 2236020000 euroa GSE:lle järjestelyä varten.</w:t>
            </w:r>
          </w:p>
          <w:p w14:paraId="72DCE1EE" w14:textId="0FE830D4" w:rsidR="00E42B18" w:rsidRDefault="009629C4" w:rsidP="007F4B94">
            <w:pPr>
              <w:pStyle w:val="P68B1DB1-Normal12"/>
              <w:rPr>
                <w:noProof/>
              </w:rPr>
            </w:pPr>
            <w:r>
              <w:rPr>
                <w:noProof/>
              </w:rPr>
              <w:t xml:space="preserve">GSE:n on tehtävä lopullisten edunsaajien kanssa oikeudellisia avustussopimuksia määrästä, joka tarvitaan, jotta elpymis- ja palautumistukivälineen investoinneista voidaan käyttää 100 prosenttia järjestelmään (hallinnointipalkkiot huomioon ottaen). </w:t>
            </w:r>
          </w:p>
        </w:tc>
      </w:tr>
      <w:tr w:rsidR="00E42B18" w14:paraId="3A251113"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3DE63A" w14:textId="77777777" w:rsidR="00E42B18" w:rsidRDefault="009629C4" w:rsidP="007F4B94">
            <w:pPr>
              <w:pStyle w:val="P68B1DB1-Normal11"/>
              <w:jc w:val="center"/>
              <w:rPr>
                <w:noProof/>
              </w:rPr>
            </w:pPr>
            <w:r>
              <w:rPr>
                <w:noProof/>
              </w:rPr>
              <w:t>M2C2–9</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62652" w14:textId="77777777" w:rsidR="00E42B18" w:rsidRDefault="009629C4" w:rsidP="007F4B94">
            <w:pPr>
              <w:pStyle w:val="P68B1DB1-Normal11"/>
              <w:jc w:val="center"/>
              <w:rPr>
                <w:noProof/>
              </w:rPr>
            </w:pPr>
            <w:r>
              <w:rPr>
                <w:noProof/>
              </w:rPr>
              <w:t>Investointi 2.1 Älykkään verkon vahvistaminen</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8FD2B" w14:textId="77777777" w:rsidR="00E42B18" w:rsidRDefault="009629C4" w:rsidP="007F4B94">
            <w:pPr>
              <w:pStyle w:val="P68B1DB1-Normal11"/>
              <w:jc w:val="center"/>
              <w:rPr>
                <w:noProof/>
              </w:rPr>
            </w:pPr>
            <w:r>
              <w:rPr>
                <w:noProof/>
              </w:rPr>
              <w:t>Kohde</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452B3E" w14:textId="77777777" w:rsidR="00E42B18" w:rsidRDefault="009629C4" w:rsidP="007F4B94">
            <w:pPr>
              <w:pStyle w:val="P68B1DB1-Normal11"/>
              <w:jc w:val="center"/>
              <w:rPr>
                <w:noProof/>
              </w:rPr>
            </w:pPr>
            <w:r>
              <w:rPr>
                <w:noProof/>
              </w:rPr>
              <w:t>Älykkäät verkot – uusiutuvan energian jakeluverkon kapasiteetin lisääminen</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98D472" w14:textId="77777777" w:rsidR="00E42B18" w:rsidRDefault="009629C4" w:rsidP="007F4B94">
            <w:pPr>
              <w:pStyle w:val="P68B1DB1-Normal11"/>
              <w:jc w:val="center"/>
              <w:rPr>
                <w:noProof/>
              </w:rPr>
            </w:pPr>
            <w:r>
              <w:rPr>
                <w:noProof/>
              </w:rPr>
              <w:t>EI OLE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1AFAF8" w14:textId="77777777" w:rsidR="00E42B18" w:rsidRDefault="009629C4" w:rsidP="007F4B94">
            <w:pPr>
              <w:pStyle w:val="P68B1DB1-Normal11"/>
              <w:jc w:val="center"/>
              <w:rPr>
                <w:noProof/>
              </w:rPr>
            </w:pPr>
            <w:r>
              <w:rPr>
                <w:noProof/>
              </w:rPr>
              <w:t>Numero</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1AE8F6" w14:textId="77777777" w:rsidR="00E42B18" w:rsidRDefault="009629C4" w:rsidP="007F4B94">
            <w:pPr>
              <w:pStyle w:val="P68B1DB1-Normal11"/>
              <w:jc w:val="center"/>
              <w:rPr>
                <w:noProof/>
              </w:rPr>
            </w:pPr>
            <w:r>
              <w:rPr>
                <w:noProof/>
              </w:rPr>
              <w:t>0</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822B9" w14:textId="2D5F0903" w:rsidR="00E42B18" w:rsidRDefault="009629C4" w:rsidP="007F4B94">
            <w:pPr>
              <w:pStyle w:val="P68B1DB1-Normal11"/>
              <w:jc w:val="center"/>
              <w:rPr>
                <w:noProof/>
              </w:rPr>
            </w:pPr>
            <w:r>
              <w:rPr>
                <w:noProof/>
              </w:rPr>
              <w:t>1 000</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8E8B4" w14:textId="77777777" w:rsidR="00E42B18" w:rsidRDefault="009629C4" w:rsidP="007F4B94">
            <w:pPr>
              <w:pStyle w:val="P68B1DB1-Normal11"/>
              <w:jc w:val="center"/>
              <w:rPr>
                <w:noProof/>
              </w:rPr>
            </w:pPr>
            <w:r>
              <w:rPr>
                <w:noProof/>
              </w:rPr>
              <w:t>Q4</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3FE88" w14:textId="77777777" w:rsidR="00E42B18" w:rsidRDefault="009629C4" w:rsidP="007F4B94">
            <w:pPr>
              <w:pStyle w:val="P68B1DB1-Normal11"/>
              <w:jc w:val="center"/>
              <w:rPr>
                <w:noProof/>
              </w:rPr>
            </w:pPr>
            <w:r>
              <w:rPr>
                <w:noProof/>
              </w:rPr>
              <w:t>2024</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D889A4" w14:textId="77777777" w:rsidR="00E42B18" w:rsidRDefault="009629C4" w:rsidP="007F4B94">
            <w:pPr>
              <w:pStyle w:val="P68B1DB1-Normal44"/>
              <w:rPr>
                <w:rFonts w:hAnsi="Arial Narrow"/>
                <w:noProof/>
              </w:rPr>
            </w:pPr>
            <w:r>
              <w:rPr>
                <w:noProof/>
              </w:rPr>
              <w:t>Uusiutuvan energian jakeluverkon kapasiteetin lis</w:t>
            </w:r>
            <w:r>
              <w:rPr>
                <w:noProof/>
              </w:rPr>
              <w:t>ää</w:t>
            </w:r>
            <w:r>
              <w:rPr>
                <w:noProof/>
              </w:rPr>
              <w:t>minen v</w:t>
            </w:r>
            <w:r>
              <w:rPr>
                <w:noProof/>
              </w:rPr>
              <w:t>ä</w:t>
            </w:r>
            <w:r>
              <w:rPr>
                <w:noProof/>
              </w:rPr>
              <w:t>hint</w:t>
            </w:r>
            <w:r>
              <w:rPr>
                <w:noProof/>
              </w:rPr>
              <w:t>ää</w:t>
            </w:r>
            <w:r>
              <w:rPr>
                <w:noProof/>
              </w:rPr>
              <w:t>n 1</w:t>
            </w:r>
            <w:r>
              <w:rPr>
                <w:noProof/>
              </w:rPr>
              <w:t> </w:t>
            </w:r>
            <w:r>
              <w:rPr>
                <w:noProof/>
              </w:rPr>
              <w:t>000</w:t>
            </w:r>
            <w:r>
              <w:rPr>
                <w:noProof/>
              </w:rPr>
              <w:t> </w:t>
            </w:r>
            <w:r>
              <w:rPr>
                <w:noProof/>
              </w:rPr>
              <w:t>MW:lla</w:t>
            </w:r>
          </w:p>
        </w:tc>
      </w:tr>
      <w:tr w:rsidR="00E42B18" w14:paraId="56101D80"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01A0D2" w14:textId="77777777" w:rsidR="00E42B18" w:rsidRDefault="009629C4" w:rsidP="007F4B94">
            <w:pPr>
              <w:pStyle w:val="P68B1DB1-Normal11"/>
              <w:jc w:val="center"/>
              <w:rPr>
                <w:noProof/>
              </w:rPr>
            </w:pPr>
            <w:r>
              <w:rPr>
                <w:noProof/>
              </w:rPr>
              <w:t>M2C2–17</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83659E" w14:textId="77777777" w:rsidR="00E42B18" w:rsidRDefault="009629C4" w:rsidP="007F4B94">
            <w:pPr>
              <w:pStyle w:val="P68B1DB1-Normal12"/>
              <w:jc w:val="center"/>
              <w:rPr>
                <w:noProof/>
              </w:rPr>
            </w:pPr>
            <w:r>
              <w:rPr>
                <w:noProof/>
              </w:rPr>
              <w:t>Investointi 3.4 Vetytestaus rautatieliikenteen ja tieliikenteen alalla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DE2341" w14:textId="77777777" w:rsidR="00E42B18" w:rsidRDefault="009629C4" w:rsidP="007F4B94">
            <w:pPr>
              <w:pStyle w:val="P68B1DB1-Normal11"/>
              <w:jc w:val="center"/>
              <w:rPr>
                <w:noProof/>
              </w:rPr>
            </w:pPr>
            <w:r>
              <w:rPr>
                <w:noProof/>
              </w:rPr>
              <w:t>Kohde</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FB720A" w14:textId="77777777" w:rsidR="00E42B18" w:rsidRDefault="009629C4" w:rsidP="007F4B94">
            <w:pPr>
              <w:pStyle w:val="P68B1DB1-Normal12"/>
              <w:jc w:val="center"/>
              <w:rPr>
                <w:noProof/>
              </w:rPr>
            </w:pPr>
            <w:r>
              <w:rPr>
                <w:noProof/>
              </w:rPr>
              <w:t>Rakennettujen vetytankkausasemien lukumäärä</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52EC63" w14:textId="77777777" w:rsidR="00E42B18" w:rsidRDefault="009629C4" w:rsidP="007F4B94">
            <w:pPr>
              <w:pStyle w:val="P68B1DB1-Normal11"/>
              <w:jc w:val="center"/>
              <w:rPr>
                <w:noProof/>
              </w:rPr>
            </w:pPr>
            <w:r>
              <w:rPr>
                <w:noProof/>
              </w:rPr>
              <w:t>EI OLE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34417" w14:textId="77777777" w:rsidR="00E42B18" w:rsidRDefault="009629C4" w:rsidP="007F4B94">
            <w:pPr>
              <w:pStyle w:val="P68B1DB1-Normal11"/>
              <w:jc w:val="center"/>
              <w:rPr>
                <w:noProof/>
              </w:rPr>
            </w:pPr>
            <w:r>
              <w:rPr>
                <w:noProof/>
              </w:rPr>
              <w:t>Numero</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8140D" w14:textId="77777777" w:rsidR="00E42B18" w:rsidRDefault="009629C4" w:rsidP="007F4B94">
            <w:pPr>
              <w:pStyle w:val="P68B1DB1-Normal11"/>
              <w:jc w:val="center"/>
              <w:rPr>
                <w:noProof/>
              </w:rPr>
            </w:pPr>
            <w:r>
              <w:rPr>
                <w:noProof/>
              </w:rPr>
              <w:t>0</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460D91" w14:textId="20214810" w:rsidR="00E42B18" w:rsidRDefault="009629C4" w:rsidP="007F4B94">
            <w:pPr>
              <w:pStyle w:val="P68B1DB1-Normal12"/>
              <w:jc w:val="center"/>
              <w:rPr>
                <w:noProof/>
              </w:rPr>
            </w:pPr>
            <w:r>
              <w:rPr>
                <w:noProof/>
              </w:rPr>
              <w:t>29</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833B29" w14:textId="77777777" w:rsidR="00E42B18" w:rsidRDefault="009629C4" w:rsidP="007F4B94">
            <w:pPr>
              <w:pStyle w:val="P68B1DB1-Normal11"/>
              <w:jc w:val="center"/>
              <w:rPr>
                <w:noProof/>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1524F" w14:textId="77777777" w:rsidR="00E42B18" w:rsidRDefault="009629C4" w:rsidP="007F4B94">
            <w:pPr>
              <w:pStyle w:val="P68B1DB1-Normal11"/>
              <w:jc w:val="center"/>
              <w:rPr>
                <w:noProof/>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3F864E" w14:textId="3E829DD4" w:rsidR="00E42B18" w:rsidRDefault="009629C4" w:rsidP="007F4B94">
            <w:pPr>
              <w:pStyle w:val="P68B1DB1-Normal12"/>
              <w:spacing w:after="120"/>
              <w:rPr>
                <w:noProof/>
              </w:rPr>
            </w:pPr>
            <w:r>
              <w:rPr>
                <w:noProof/>
              </w:rPr>
              <w:t>Valmistustodistus myönnetään vähintään kahdeksan vetypohjaisen rautatietankkausaseman rakentamisesta vähintään viittä rautatielinjaa pitkin ja vähintään 21 vetypohjaisesta tankkausasemasta maantieliikennettä varten.</w:t>
            </w:r>
          </w:p>
        </w:tc>
      </w:tr>
      <w:tr w:rsidR="00E42B18" w14:paraId="1999AC37"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48960F" w14:textId="77777777" w:rsidR="00E42B18" w:rsidRDefault="009629C4" w:rsidP="007F4B94">
            <w:pPr>
              <w:pStyle w:val="P68B1DB1-Normal12"/>
              <w:jc w:val="center"/>
              <w:rPr>
                <w:noProof/>
              </w:rPr>
            </w:pPr>
            <w:r>
              <w:rPr>
                <w:noProof/>
              </w:rPr>
              <w:t>M2C2–19</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1A021" w14:textId="77777777" w:rsidR="00E42B18" w:rsidRDefault="009629C4" w:rsidP="007F4B94">
            <w:pPr>
              <w:pStyle w:val="P68B1DB1-Normal11"/>
              <w:jc w:val="center"/>
              <w:rPr>
                <w:noProof/>
              </w:rPr>
            </w:pPr>
            <w:r>
              <w:rPr>
                <w:noProof/>
              </w:rPr>
              <w:t>Investointi 3.5 Vetytutkimus ja -kehitys</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58F44C" w14:textId="77777777" w:rsidR="00E42B18" w:rsidRDefault="009629C4" w:rsidP="007F4B94">
            <w:pPr>
              <w:pStyle w:val="P68B1DB1-Normal11"/>
              <w:jc w:val="center"/>
              <w:rPr>
                <w:noProof/>
              </w:rPr>
            </w:pPr>
            <w:r>
              <w:rPr>
                <w:noProof/>
              </w:rPr>
              <w:t>Kohde</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0C714" w14:textId="77777777" w:rsidR="00E42B18" w:rsidRDefault="009629C4" w:rsidP="007F4B94">
            <w:pPr>
              <w:pStyle w:val="P68B1DB1-Normal11"/>
              <w:jc w:val="center"/>
              <w:rPr>
                <w:noProof/>
              </w:rPr>
            </w:pPr>
            <w:r>
              <w:rPr>
                <w:noProof/>
              </w:rPr>
              <w:t>Vetyä koskevien tutkimus- ja kehityshankkeiden lukumäärä</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01F7F8" w14:textId="77777777" w:rsidR="00E42B18" w:rsidRDefault="009629C4" w:rsidP="007F4B94">
            <w:pPr>
              <w:pStyle w:val="P68B1DB1-Normal11"/>
              <w:jc w:val="center"/>
              <w:rPr>
                <w:noProof/>
              </w:rPr>
            </w:pPr>
            <w:r>
              <w:rPr>
                <w:noProof/>
              </w:rPr>
              <w:t>EI OLE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92DDA8" w14:textId="77777777" w:rsidR="00E42B18" w:rsidRDefault="009629C4" w:rsidP="007F4B94">
            <w:pPr>
              <w:pStyle w:val="P68B1DB1-Normal11"/>
              <w:jc w:val="center"/>
              <w:rPr>
                <w:noProof/>
              </w:rPr>
            </w:pPr>
            <w:r>
              <w:rPr>
                <w:noProof/>
              </w:rPr>
              <w:t>Numero</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4E3379" w14:textId="77777777" w:rsidR="00E42B18" w:rsidRDefault="009629C4" w:rsidP="007F4B94">
            <w:pPr>
              <w:pStyle w:val="P68B1DB1-Normal11"/>
              <w:jc w:val="center"/>
              <w:rPr>
                <w:noProof/>
              </w:rPr>
            </w:pPr>
            <w:r>
              <w:rPr>
                <w:noProof/>
              </w:rPr>
              <w:t>0</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980B2" w14:textId="77777777" w:rsidR="00E42B18" w:rsidRDefault="009629C4" w:rsidP="007F4B94">
            <w:pPr>
              <w:pStyle w:val="P68B1DB1-Normal11"/>
              <w:jc w:val="center"/>
              <w:rPr>
                <w:noProof/>
              </w:rPr>
            </w:pPr>
            <w:r>
              <w:rPr>
                <w:noProof/>
              </w:rPr>
              <w:t>10</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B2168" w14:textId="77777777" w:rsidR="00E42B18" w:rsidRDefault="009629C4" w:rsidP="007F4B94">
            <w:pPr>
              <w:pStyle w:val="P68B1DB1-Normal11"/>
              <w:jc w:val="center"/>
              <w:rPr>
                <w:noProof/>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ED461C" w14:textId="77777777" w:rsidR="00E42B18" w:rsidRDefault="009629C4" w:rsidP="007F4B94">
            <w:pPr>
              <w:pStyle w:val="P68B1DB1-Normal11"/>
              <w:jc w:val="center"/>
              <w:rPr>
                <w:noProof/>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763E7" w14:textId="2A67BC44" w:rsidR="00E42B18" w:rsidRDefault="009629C4" w:rsidP="007F4B94">
            <w:pPr>
              <w:pStyle w:val="P68B1DB1-Normal12"/>
              <w:spacing w:after="120"/>
              <w:rPr>
                <w:noProof/>
              </w:rPr>
            </w:pPr>
            <w:r>
              <w:rPr>
                <w:noProof/>
              </w:rPr>
              <w:t xml:space="preserve">Vähintään 10 T &amp; K-hankkeen loppuun saattamista koskevat raportit, jotka on laadittu seuraavilla aloilla: </w:t>
            </w:r>
          </w:p>
          <w:p w14:paraId="25B09CEA" w14:textId="77777777" w:rsidR="00E42B18" w:rsidRDefault="009629C4" w:rsidP="007F4B94">
            <w:pPr>
              <w:pStyle w:val="P68B1DB1-Normal12"/>
              <w:spacing w:after="120"/>
              <w:rPr>
                <w:noProof/>
              </w:rPr>
            </w:pPr>
            <w:r>
              <w:rPr>
                <w:noProof/>
              </w:rPr>
              <w:t>a) Vihreän vedyn tuotanto</w:t>
            </w:r>
          </w:p>
          <w:p w14:paraId="03808A90" w14:textId="77777777" w:rsidR="00E42B18" w:rsidRDefault="009629C4" w:rsidP="007F4B94">
            <w:pPr>
              <w:pStyle w:val="P68B1DB1-Normal12"/>
              <w:spacing w:after="120"/>
              <w:rPr>
                <w:noProof/>
              </w:rPr>
            </w:pPr>
            <w:r>
              <w:rPr>
                <w:noProof/>
              </w:rPr>
              <w:t>b) Vedyn varastointi, kuljetus ja muuntaminen johdannaisiksi ja sähköpolttoaineiksi</w:t>
            </w:r>
          </w:p>
          <w:p w14:paraId="755069B6" w14:textId="77777777" w:rsidR="00E42B18" w:rsidRDefault="009629C4" w:rsidP="007F4B94">
            <w:pPr>
              <w:pStyle w:val="P68B1DB1-Normal12"/>
              <w:spacing w:after="120"/>
              <w:rPr>
                <w:noProof/>
              </w:rPr>
            </w:pPr>
            <w:r>
              <w:rPr>
                <w:noProof/>
              </w:rPr>
              <w:t xml:space="preserve">C) Polttokennot </w:t>
            </w:r>
          </w:p>
          <w:p w14:paraId="418154A9" w14:textId="53B05575" w:rsidR="00E42B18" w:rsidRDefault="009629C4" w:rsidP="007F4B94">
            <w:pPr>
              <w:pStyle w:val="P68B1DB1-Normal12"/>
              <w:spacing w:after="120"/>
              <w:rPr>
                <w:noProof/>
              </w:rPr>
            </w:pPr>
            <w:r>
              <w:rPr>
                <w:noProof/>
              </w:rPr>
              <w:t>d) älykkäiden vetypohjaisten infrastruktuurien yhdennetty älykäs hallinta</w:t>
            </w:r>
          </w:p>
        </w:tc>
      </w:tr>
      <w:tr w:rsidR="00E42B18" w14:paraId="1248F73E"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08522" w14:textId="77777777" w:rsidR="00E42B18" w:rsidRDefault="009629C4" w:rsidP="007F4B94">
            <w:pPr>
              <w:pStyle w:val="P68B1DB1-Normal11"/>
              <w:jc w:val="center"/>
              <w:rPr>
                <w:noProof/>
              </w:rPr>
            </w:pPr>
            <w:r>
              <w:rPr>
                <w:noProof/>
              </w:rPr>
              <w:t>M2C2–24</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B04A4E" w14:textId="77777777" w:rsidR="00E42B18" w:rsidRDefault="009629C4" w:rsidP="007F4B94">
            <w:pPr>
              <w:pStyle w:val="P68B1DB1-Normal11"/>
              <w:jc w:val="center"/>
              <w:rPr>
                <w:noProof/>
              </w:rPr>
            </w:pPr>
            <w:r>
              <w:rPr>
                <w:noProof/>
              </w:rPr>
              <w:t xml:space="preserve">Investointi 4.2 Nopean joukkoliikenteen järjestelmien kehittäminen </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F942F" w14:textId="77777777" w:rsidR="00E42B18" w:rsidRDefault="009629C4" w:rsidP="007F4B94">
            <w:pPr>
              <w:pStyle w:val="P68B1DB1-Normal11"/>
              <w:jc w:val="center"/>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84C70A" w14:textId="77777777" w:rsidR="00E42B18" w:rsidRDefault="009629C4" w:rsidP="007F4B94">
            <w:pPr>
              <w:pStyle w:val="P68B1DB1-Normal11"/>
              <w:jc w:val="center"/>
              <w:rPr>
                <w:noProof/>
                <w:szCs w:val="20"/>
              </w:rPr>
            </w:pPr>
            <w:r>
              <w:rPr>
                <w:noProof/>
              </w:rPr>
              <w:t>Nopeiden joukkoliikennejärjestelmien</w:t>
            </w:r>
            <w:r>
              <w:rPr>
                <w:noProof/>
                <w:shd w:val="clear" w:color="auto" w:fill="E6E6E6"/>
              </w:rPr>
              <w:t xml:space="preserve"> </w:t>
            </w:r>
            <w:r>
              <w:rPr>
                <w:noProof/>
              </w:rPr>
              <w:t xml:space="preserve">infrastruktuurin rakentamista koskevien julkisten hankintasopimusten tekeminen </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476C4" w14:textId="77777777" w:rsidR="00E42B18" w:rsidRDefault="009629C4" w:rsidP="007F4B94">
            <w:pPr>
              <w:pStyle w:val="P68B1DB1-Normal11"/>
              <w:jc w:val="center"/>
              <w:rPr>
                <w:noProof/>
              </w:rPr>
            </w:pPr>
            <w:r>
              <w:rPr>
                <w:noProof/>
              </w:rPr>
              <w:t>Ilmoitus kaikkien julkisia hankintoja koskevien sopimusten tekemisestä</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DD1685" w14:textId="77777777" w:rsidR="00E42B18" w:rsidRDefault="009629C4" w:rsidP="007F4B94">
            <w:pPr>
              <w:pStyle w:val="P68B1DB1-Normal11"/>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B5B392" w14:textId="77777777" w:rsidR="00E42B18" w:rsidRDefault="009629C4" w:rsidP="007F4B94">
            <w:pPr>
              <w:pStyle w:val="P68B1DB1-Normal11"/>
              <w:jc w:val="center"/>
              <w:rPr>
                <w:noProof/>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B6DE47" w14:textId="77777777" w:rsidR="00E42B18" w:rsidRDefault="009629C4" w:rsidP="007F4B94">
            <w:pPr>
              <w:pStyle w:val="P68B1DB1-Normal11"/>
              <w:jc w:val="center"/>
              <w:rPr>
                <w:noProof/>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7A1565" w14:textId="77777777" w:rsidR="00E42B18" w:rsidRDefault="009629C4" w:rsidP="007F4B94">
            <w:pPr>
              <w:pStyle w:val="P68B1DB1-Normal11"/>
              <w:jc w:val="center"/>
              <w:rPr>
                <w:noProof/>
              </w:rPr>
            </w:pPr>
            <w:r>
              <w:rPr>
                <w:noProof/>
              </w:rPr>
              <w:t>Q4</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93A818" w14:textId="77777777" w:rsidR="00E42B18" w:rsidRDefault="009629C4" w:rsidP="007F4B94">
            <w:pPr>
              <w:pStyle w:val="P68B1DB1-Normal11"/>
              <w:jc w:val="center"/>
              <w:rPr>
                <w:noProof/>
              </w:rPr>
            </w:pPr>
            <w:r>
              <w:rPr>
                <w:noProof/>
              </w:rPr>
              <w:t>2023</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489D8" w14:textId="77777777" w:rsidR="00E42B18" w:rsidRDefault="009629C4" w:rsidP="007F4B94">
            <w:pPr>
              <w:pStyle w:val="P68B1DB1-Normal11"/>
              <w:rPr>
                <w:noProof/>
              </w:rPr>
            </w:pPr>
            <w:r>
              <w:rPr>
                <w:noProof/>
              </w:rPr>
              <w:t>Ilmoitus kaikkien infrastruktuurihankkeiden rakentamista koskevien julkisten hankintasopimusten tekemisestä, sellaisena kuin se on määritelty toimenpiteen kuvauksessa.</w:t>
            </w:r>
          </w:p>
        </w:tc>
      </w:tr>
      <w:tr w:rsidR="00E42B18" w14:paraId="11E82CB5"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41BBD9" w14:textId="77777777" w:rsidR="00E42B18" w:rsidRDefault="009629C4" w:rsidP="007F4B94">
            <w:pPr>
              <w:pStyle w:val="P68B1DB1-Normal11"/>
              <w:jc w:val="center"/>
              <w:rPr>
                <w:noProof/>
              </w:rPr>
            </w:pPr>
            <w:r>
              <w:rPr>
                <w:noProof/>
              </w:rPr>
              <w:t>M2C2–25</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D041C2" w14:textId="77777777" w:rsidR="00E42B18" w:rsidRDefault="009629C4" w:rsidP="007F4B94">
            <w:pPr>
              <w:pStyle w:val="P68B1DB1-Normal11"/>
              <w:jc w:val="center"/>
              <w:rPr>
                <w:noProof/>
              </w:rPr>
            </w:pPr>
            <w:r>
              <w:rPr>
                <w:noProof/>
              </w:rPr>
              <w:t>Investointi 4.2 Nopean joukkoliikenteen järjestelmien kehittäminen</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7785B9" w14:textId="77777777" w:rsidR="00E42B18" w:rsidRDefault="009629C4" w:rsidP="007F4B94">
            <w:pPr>
              <w:pStyle w:val="P68B1DB1-Normal11"/>
              <w:jc w:val="center"/>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1C04F" w14:textId="77777777" w:rsidR="00E42B18" w:rsidRDefault="009629C4" w:rsidP="007F4B94">
            <w:pPr>
              <w:pStyle w:val="P68B1DB1-Normal14"/>
              <w:jc w:val="center"/>
              <w:rPr>
                <w:noProof/>
                <w:color w:val="006100"/>
              </w:rPr>
            </w:pPr>
            <w:r>
              <w:rPr>
                <w:noProof/>
                <w:color w:val="006100"/>
              </w:rPr>
              <w:t>Kaikkien</w:t>
            </w:r>
            <w:r>
              <w:rPr>
                <w:noProof/>
              </w:rPr>
              <w:t xml:space="preserve"> </w:t>
            </w:r>
            <w:r>
              <w:rPr>
                <w:noProof/>
                <w:color w:val="006100"/>
              </w:rPr>
              <w:t>päästöttömän liikkuvan kaluston hankintaa koskevien julkisten hankintasopimusten tekeminen ja toimenpiteet nopeiden joukkoliikennejärjestelmien infrastruktuurin parantamiseksi</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4B4FB8" w14:textId="77777777" w:rsidR="00E42B18" w:rsidRDefault="009629C4" w:rsidP="007F4B94">
            <w:pPr>
              <w:pStyle w:val="P68B1DB1-Normal11"/>
              <w:jc w:val="center"/>
              <w:rPr>
                <w:noProof/>
              </w:rPr>
            </w:pPr>
            <w:r>
              <w:rPr>
                <w:noProof/>
              </w:rPr>
              <w:t xml:space="preserve">Ilmoitus kaikkien julkisia hankintoja koskevien sopimusten tekemisestä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E2873" w14:textId="77777777" w:rsidR="00E42B18" w:rsidRDefault="009629C4" w:rsidP="007F4B94">
            <w:pPr>
              <w:pStyle w:val="P68B1DB1-Normal11"/>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A29F1D" w14:textId="77777777" w:rsidR="00E42B18" w:rsidRDefault="009629C4" w:rsidP="007F4B94">
            <w:pPr>
              <w:pStyle w:val="P68B1DB1-Normal11"/>
              <w:jc w:val="center"/>
              <w:rPr>
                <w:noProof/>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F057B" w14:textId="77777777" w:rsidR="00E42B18" w:rsidRDefault="009629C4" w:rsidP="007F4B94">
            <w:pPr>
              <w:pStyle w:val="P68B1DB1-Normal11"/>
              <w:jc w:val="center"/>
              <w:rPr>
                <w:noProof/>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239E5" w14:textId="77777777" w:rsidR="00E42B18" w:rsidRDefault="009629C4" w:rsidP="007F4B94">
            <w:pPr>
              <w:pStyle w:val="P68B1DB1-Normal11"/>
              <w:jc w:val="center"/>
              <w:rPr>
                <w:noProof/>
                <w:szCs w:val="20"/>
              </w:rPr>
            </w:pPr>
            <w:r>
              <w:rPr>
                <w:noProof/>
              </w:rPr>
              <w:t>Q3</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3C38F" w14:textId="77777777" w:rsidR="00E42B18" w:rsidRDefault="009629C4" w:rsidP="007F4B94">
            <w:pPr>
              <w:pStyle w:val="P68B1DB1-Normal11"/>
              <w:jc w:val="center"/>
              <w:rPr>
                <w:noProof/>
              </w:rPr>
            </w:pPr>
            <w:r>
              <w:rPr>
                <w:noProof/>
              </w:rPr>
              <w:t>2024</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6215BA" w14:textId="77777777" w:rsidR="00E42B18" w:rsidRDefault="009629C4" w:rsidP="007F4B94">
            <w:pPr>
              <w:pStyle w:val="P68B1DB1-Normal14"/>
              <w:rPr>
                <w:noProof/>
              </w:rPr>
            </w:pPr>
            <w:r>
              <w:rPr>
                <w:noProof/>
                <w:color w:val="006100"/>
              </w:rPr>
              <w:t>Ilmoitus kaikkien sellaisten julkisten hankintasopimusten tekemisestä, jotka koskevat vähintään 85 liikkuvan kaluston yksikön hankintaa ja vähintään 5 toimenpidettä nopeiden joukkoliikennejärjestelmien infrastruktuurin parantamiseksi, kuten toimenpiteen kuvauksessa on määritelty.</w:t>
            </w:r>
          </w:p>
        </w:tc>
      </w:tr>
      <w:tr w:rsidR="00E42B18" w14:paraId="5EF261F6"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07CEB5" w14:textId="77777777" w:rsidR="00E42B18" w:rsidRDefault="009629C4" w:rsidP="007F4B94">
            <w:pPr>
              <w:pStyle w:val="P68B1DB1-Normal12"/>
              <w:jc w:val="center"/>
              <w:rPr>
                <w:noProof/>
              </w:rPr>
            </w:pPr>
            <w:r>
              <w:rPr>
                <w:noProof/>
              </w:rPr>
              <w:t>M2C2–26</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1BD03" w14:textId="77777777" w:rsidR="00E42B18" w:rsidRDefault="009629C4" w:rsidP="007F4B94">
            <w:pPr>
              <w:pStyle w:val="P68B1DB1-Normal11"/>
              <w:jc w:val="center"/>
              <w:rPr>
                <w:noProof/>
              </w:rPr>
            </w:pPr>
            <w:r>
              <w:rPr>
                <w:noProof/>
              </w:rPr>
              <w:t>Investointi 4.2 Nopean joukkoliikenteen järjestelmien kehittäminen</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0CEBF7" w14:textId="77777777" w:rsidR="00E42B18" w:rsidRDefault="009629C4" w:rsidP="007F4B94">
            <w:pPr>
              <w:pStyle w:val="P68B1DB1-Normal12"/>
              <w:jc w:val="center"/>
              <w:rPr>
                <w:noProof/>
              </w:rPr>
            </w:pPr>
            <w:r>
              <w:rPr>
                <w:noProof/>
              </w:rPr>
              <w:t xml:space="preserve">Virstanpylväs </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52E55" w14:textId="461FE16F" w:rsidR="00E42B18" w:rsidRDefault="009629C4" w:rsidP="007F4B94">
            <w:pPr>
              <w:pStyle w:val="P68B1DB1-Normal12"/>
              <w:jc w:val="center"/>
              <w:rPr>
                <w:noProof/>
              </w:rPr>
            </w:pPr>
            <w:r>
              <w:rPr>
                <w:noProof/>
              </w:rPr>
              <w:t>Joukkoliikenteen nopeaa kehittämistä varten rakennettu tai parannettu julkinen infrastruktuuri, ostettu liikkuva kalusto</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8F5749" w14:textId="50184467" w:rsidR="00E42B18" w:rsidRDefault="009629C4" w:rsidP="007F4B94">
            <w:pPr>
              <w:pStyle w:val="P68B1DB1-Normal12"/>
              <w:jc w:val="center"/>
              <w:rPr>
                <w:rFonts w:eastAsia="Arial Narrow" w:cs="Arial Narrow"/>
                <w:noProof/>
              </w:rPr>
            </w:pPr>
            <w:r>
              <w:rPr>
                <w:noProof/>
              </w:rPr>
              <w:t>Annetut täyttö- tai rekisteröintitodistukset</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44E49" w14:textId="4E04FE88" w:rsidR="00E42B18" w:rsidRDefault="009629C4" w:rsidP="007F4B94">
            <w:pPr>
              <w:pStyle w:val="P68B1DB1-Normal11"/>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BF3ED" w14:textId="53C56BBC" w:rsidR="00E42B18" w:rsidRDefault="009629C4" w:rsidP="007F4B94">
            <w:pPr>
              <w:pStyle w:val="P68B1DB1-Normal12"/>
              <w:jc w:val="center"/>
              <w:rPr>
                <w:noProof/>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99A7C8" w14:textId="108831CF" w:rsidR="00E42B18" w:rsidRDefault="009629C4" w:rsidP="007F4B94">
            <w:pPr>
              <w:pStyle w:val="P68B1DB1-Normal12"/>
              <w:jc w:val="center"/>
              <w:rPr>
                <w:noProof/>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C697F3" w14:textId="77777777" w:rsidR="00E42B18" w:rsidRDefault="009629C4" w:rsidP="007F4B94">
            <w:pPr>
              <w:pStyle w:val="P68B1DB1-Normal11"/>
              <w:jc w:val="center"/>
              <w:rPr>
                <w:noProof/>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BFF529" w14:textId="77777777" w:rsidR="00E42B18" w:rsidRDefault="009629C4" w:rsidP="007F4B94">
            <w:pPr>
              <w:pStyle w:val="P68B1DB1-Normal11"/>
              <w:jc w:val="center"/>
              <w:rPr>
                <w:noProof/>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CDBFF" w14:textId="329A4C08" w:rsidR="00E42B18" w:rsidRDefault="009629C4" w:rsidP="007F4B94">
            <w:pPr>
              <w:pStyle w:val="P68B1DB1-ListParagraph13"/>
              <w:numPr>
                <w:ilvl w:val="0"/>
                <w:numId w:val="84"/>
              </w:numPr>
              <w:spacing w:before="120" w:after="120" w:line="240" w:lineRule="auto"/>
              <w:jc w:val="both"/>
              <w:rPr>
                <w:noProof/>
              </w:rPr>
            </w:pPr>
            <w:r>
              <w:rPr>
                <w:noProof/>
              </w:rPr>
              <w:t>Rakennusurakoiden valmistumistodistukset, jotka on myönnetty vähintään 186 kilometrin pituiselle julkisen liikenteen infrastruktuurille toiminnallisilla kaupunkialueilla.</w:t>
            </w:r>
          </w:p>
          <w:p w14:paraId="660095A8" w14:textId="5F308ED7" w:rsidR="00E42B18" w:rsidRDefault="009629C4" w:rsidP="007F4B94">
            <w:pPr>
              <w:pStyle w:val="P68B1DB1-ListParagraph13"/>
              <w:numPr>
                <w:ilvl w:val="0"/>
                <w:numId w:val="84"/>
              </w:numPr>
              <w:spacing w:before="120" w:after="120" w:line="240" w:lineRule="auto"/>
              <w:jc w:val="both"/>
              <w:rPr>
                <w:noProof/>
              </w:rPr>
            </w:pPr>
            <w:r>
              <w:rPr>
                <w:noProof/>
              </w:rPr>
              <w:t>Rekisteröidään vähintään 311 päästötöntä liikkuvaa kalustoa nopeita joukkokuljetuksia varten toiminnallisilla kaupunkialueilla.</w:t>
            </w:r>
          </w:p>
          <w:p w14:paraId="3F7A4DEF" w14:textId="35EE7F5A" w:rsidR="00E42B18" w:rsidRDefault="009629C4" w:rsidP="007F4B94">
            <w:pPr>
              <w:pStyle w:val="P68B1DB1-ListParagraph13"/>
              <w:numPr>
                <w:ilvl w:val="0"/>
                <w:numId w:val="84"/>
              </w:numPr>
              <w:spacing w:before="120" w:after="120" w:line="240" w:lineRule="auto"/>
              <w:jc w:val="both"/>
              <w:rPr>
                <w:noProof/>
              </w:rPr>
            </w:pPr>
            <w:r>
              <w:rPr>
                <w:noProof/>
              </w:rPr>
              <w:t>Valmistumistodistus, joka on annettu vähintään kymmenestä nopean joukkoliikenneinfrastruktuurin parannustoimesta, joihin voi sisältyä niiden digitalisointi. Näitä toimia ovat metroasemien ja metroratainfrastruktuurin parantaminen, rautatie- tai raitiotieliikenteen merkinantojärjestelmät sekä julkisen liikenteen varastot.</w:t>
            </w:r>
          </w:p>
          <w:p w14:paraId="4A489E6C" w14:textId="57A427D6" w:rsidR="00E42B18" w:rsidRDefault="009629C4" w:rsidP="007F4B94">
            <w:pPr>
              <w:pStyle w:val="P68B1DB1-Normal11"/>
              <w:rPr>
                <w:noProof/>
              </w:rPr>
            </w:pPr>
            <w:r>
              <w:rPr>
                <w:noProof/>
              </w:rPr>
              <w:t>Investointiin ei saa liittyä teiden rakentamista tai parantamista toimenpiteen soveltamisalan ulkopuolella, elleivät ne ole erottamaton osa infrastruktuuria, joka mahdollistaa päästöttömän liikkuvan kaluston käytön.</w:t>
            </w:r>
          </w:p>
        </w:tc>
      </w:tr>
      <w:tr w:rsidR="00E42B18" w14:paraId="1E4F27E7"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A4F436" w14:textId="77777777" w:rsidR="00E42B18" w:rsidRDefault="009629C4" w:rsidP="007F4B94">
            <w:pPr>
              <w:pStyle w:val="P68B1DB1-Normal11"/>
              <w:jc w:val="center"/>
              <w:rPr>
                <w:noProof/>
              </w:rPr>
            </w:pPr>
            <w:r>
              <w:rPr>
                <w:noProof/>
              </w:rPr>
              <w:t>M2C2–31</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3966ED" w14:textId="77777777" w:rsidR="00E42B18" w:rsidRDefault="009629C4" w:rsidP="007F4B94">
            <w:pPr>
              <w:pStyle w:val="P68B1DB1-Normal11"/>
              <w:jc w:val="center"/>
              <w:rPr>
                <w:noProof/>
              </w:rPr>
            </w:pPr>
            <w:r>
              <w:rPr>
                <w:noProof/>
              </w:rPr>
              <w:t>Investointi 4.4.3: Kansallisen palokunnan komentokaluston uusiminen</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E6B7D" w14:textId="77777777" w:rsidR="00E42B18" w:rsidRDefault="009629C4" w:rsidP="007F4B94">
            <w:pPr>
              <w:pStyle w:val="P68B1DB1-Normal11"/>
              <w:jc w:val="center"/>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E68A2" w14:textId="77777777" w:rsidR="00E42B18" w:rsidRDefault="009629C4" w:rsidP="007F4B94">
            <w:pPr>
              <w:pStyle w:val="P68B1DB1-Normal11"/>
              <w:jc w:val="center"/>
              <w:rPr>
                <w:noProof/>
              </w:rPr>
            </w:pPr>
            <w:r>
              <w:rPr>
                <w:noProof/>
              </w:rPr>
              <w:t>Kaikkien julkisten hankintasopimusten tekeminen kansallisen palokunnan komentokaluston uudistamiseksi</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6100F8" w14:textId="77777777" w:rsidR="00E42B18" w:rsidRDefault="009629C4" w:rsidP="007F4B94">
            <w:pPr>
              <w:pStyle w:val="P68B1DB1-Normal11"/>
              <w:jc w:val="center"/>
              <w:rPr>
                <w:noProof/>
              </w:rPr>
            </w:pPr>
            <w:r>
              <w:rPr>
                <w:noProof/>
              </w:rPr>
              <w:t>Ilmoitus kaikkien kansallisen palokunnan komentokaluston uusimista koskevien sopimusten tekemisestä</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6EF613" w14:textId="77777777" w:rsidR="00E42B18" w:rsidRDefault="009629C4" w:rsidP="007F4B94">
            <w:pPr>
              <w:pStyle w:val="P68B1DB1-Normal11"/>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2F16C" w14:textId="77777777" w:rsidR="00E42B18" w:rsidRDefault="009629C4" w:rsidP="007F4B94">
            <w:pPr>
              <w:pStyle w:val="P68B1DB1-Normal11"/>
              <w:jc w:val="center"/>
              <w:rPr>
                <w:noProof/>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5490C0" w14:textId="77777777" w:rsidR="00E42B18" w:rsidRDefault="009629C4" w:rsidP="007F4B94">
            <w:pPr>
              <w:pStyle w:val="P68B1DB1-Normal11"/>
              <w:jc w:val="center"/>
              <w:rPr>
                <w:noProof/>
              </w:rPr>
            </w:pPr>
            <w:r>
              <w:rPr>
                <w:noProof/>
              </w:rPr>
              <w:t>EI MERKINTÄÄ</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211C2" w14:textId="77777777" w:rsidR="00E42B18" w:rsidRDefault="009629C4" w:rsidP="007F4B94">
            <w:pPr>
              <w:pStyle w:val="P68B1DB1-Normal11"/>
              <w:jc w:val="center"/>
              <w:rPr>
                <w:noProof/>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B00AA2" w14:textId="77777777" w:rsidR="00E42B18" w:rsidRDefault="009629C4" w:rsidP="007F4B94">
            <w:pPr>
              <w:pStyle w:val="P68B1DB1-Normal11"/>
              <w:jc w:val="center"/>
              <w:rPr>
                <w:noProof/>
              </w:rPr>
            </w:pPr>
            <w:r>
              <w:rPr>
                <w:noProof/>
              </w:rPr>
              <w:t>2024</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94A372" w14:textId="77777777" w:rsidR="00E42B18" w:rsidRDefault="009629C4" w:rsidP="007F4B94">
            <w:pPr>
              <w:pStyle w:val="P68B1DB1-Normal11"/>
              <w:rPr>
                <w:noProof/>
              </w:rPr>
            </w:pPr>
            <w:r>
              <w:rPr>
                <w:noProof/>
              </w:rPr>
              <w:t>Ilmoitus kaikkien kansallisten palokunta-ajoneuvojen hankintaa koskevien julkisten hankintasopimusten tekemisestä.</w:t>
            </w:r>
          </w:p>
        </w:tc>
      </w:tr>
      <w:tr w:rsidR="00E42B18" w14:paraId="6E2E9D52"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BA9A70" w14:textId="77777777" w:rsidR="00E42B18" w:rsidRDefault="009629C4" w:rsidP="007F4B94">
            <w:pPr>
              <w:pStyle w:val="P68B1DB1-Normal11"/>
              <w:jc w:val="center"/>
              <w:rPr>
                <w:noProof/>
              </w:rPr>
            </w:pPr>
            <w:r>
              <w:rPr>
                <w:noProof/>
              </w:rPr>
              <w:t>M2C2–32</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3AC81" w14:textId="77777777" w:rsidR="00E42B18" w:rsidRDefault="009629C4" w:rsidP="007F4B94">
            <w:pPr>
              <w:pStyle w:val="P68B1DB1-Normal11"/>
              <w:jc w:val="center"/>
              <w:rPr>
                <w:noProof/>
              </w:rPr>
            </w:pPr>
            <w:r>
              <w:rPr>
                <w:noProof/>
              </w:rPr>
              <w:t>Investointi 4.4.1: Alueellisen julkisen liikenteen linja-autokannan vahvistaminen päästöttömillä matalalattiabusseilla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BDA755" w14:textId="77777777" w:rsidR="00E42B18" w:rsidRDefault="009629C4" w:rsidP="007F4B94">
            <w:pPr>
              <w:pStyle w:val="P68B1DB1-Normal11"/>
              <w:jc w:val="center"/>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932E2" w14:textId="77777777" w:rsidR="00E42B18" w:rsidRDefault="009629C4" w:rsidP="007F4B94">
            <w:pPr>
              <w:pStyle w:val="P68B1DB1-Normal11"/>
              <w:jc w:val="center"/>
              <w:rPr>
                <w:noProof/>
              </w:rPr>
            </w:pPr>
            <w:r>
              <w:rPr>
                <w:noProof/>
              </w:rPr>
              <w:t>Kaikkien julkisten hankintojen tekeminen alueellisen julkisen liikenteen linja-autokannan vahvistamiseksi päästöttömillä vähäpäästöisillä linja-autoilla</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1DB1F" w14:textId="77777777" w:rsidR="00E42B18" w:rsidRDefault="009629C4" w:rsidP="007F4B94">
            <w:pPr>
              <w:pStyle w:val="P68B1DB1-Normal11"/>
              <w:jc w:val="center"/>
              <w:rPr>
                <w:noProof/>
              </w:rPr>
            </w:pPr>
            <w:r>
              <w:rPr>
                <w:noProof/>
              </w:rPr>
              <w:t xml:space="preserve">Ilmoitus kaikkien hankintasopimusten tekemisestä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3017FE" w14:textId="77777777" w:rsidR="00E42B18" w:rsidRDefault="009629C4" w:rsidP="007F4B94">
            <w:pPr>
              <w:pStyle w:val="P68B1DB1-Normal11"/>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153C0C" w14:textId="77777777" w:rsidR="00E42B18" w:rsidRDefault="009629C4" w:rsidP="007F4B94">
            <w:pPr>
              <w:pStyle w:val="P68B1DB1-Normal11"/>
              <w:jc w:val="center"/>
              <w:rPr>
                <w:noProof/>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AD6ADC" w14:textId="77777777" w:rsidR="00E42B18" w:rsidRDefault="009629C4" w:rsidP="007F4B94">
            <w:pPr>
              <w:pStyle w:val="P68B1DB1-Normal11"/>
              <w:jc w:val="center"/>
              <w:rPr>
                <w:noProof/>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E92CDF" w14:textId="77777777" w:rsidR="00E42B18" w:rsidRDefault="009629C4" w:rsidP="007F4B94">
            <w:pPr>
              <w:pStyle w:val="P68B1DB1-Normal11"/>
              <w:jc w:val="center"/>
              <w:rPr>
                <w:noProof/>
              </w:rPr>
            </w:pPr>
            <w:r>
              <w:rPr>
                <w:noProof/>
              </w:rPr>
              <w:t>Q4</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B54A1" w14:textId="77777777" w:rsidR="00E42B18" w:rsidRDefault="009629C4" w:rsidP="007F4B94">
            <w:pPr>
              <w:pStyle w:val="P68B1DB1-Normal11"/>
              <w:jc w:val="center"/>
              <w:rPr>
                <w:noProof/>
              </w:rPr>
            </w:pPr>
            <w:r>
              <w:rPr>
                <w:noProof/>
              </w:rPr>
              <w:t>2023</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9A9ABA" w14:textId="68878985" w:rsidR="00E42B18" w:rsidRDefault="009629C4" w:rsidP="007F4B94">
            <w:pPr>
              <w:pStyle w:val="P68B1DB1-Normal11"/>
              <w:rPr>
                <w:noProof/>
              </w:rPr>
            </w:pPr>
            <w:r>
              <w:rPr>
                <w:noProof/>
              </w:rPr>
              <w:t>Ilmoitus vähintään 3000 päästöttömän vähäpäästöisen linja-auton hankintaa koskevien julkisten hankintasopimusten tekemisestä.</w:t>
            </w:r>
          </w:p>
        </w:tc>
      </w:tr>
      <w:tr w:rsidR="00E42B18" w14:paraId="0AD27A62"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564522" w14:textId="77777777" w:rsidR="00E42B18" w:rsidRDefault="009629C4" w:rsidP="007F4B94">
            <w:pPr>
              <w:pStyle w:val="P68B1DB1-Normal11"/>
              <w:jc w:val="center"/>
              <w:rPr>
                <w:noProof/>
              </w:rPr>
            </w:pPr>
            <w:r>
              <w:rPr>
                <w:noProof/>
              </w:rPr>
              <w:t>M2C2–34</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6E405" w14:textId="77777777" w:rsidR="00E42B18" w:rsidRDefault="009629C4" w:rsidP="007F4B94">
            <w:pPr>
              <w:pStyle w:val="P68B1DB1-Normal11"/>
              <w:jc w:val="center"/>
              <w:rPr>
                <w:noProof/>
              </w:rPr>
            </w:pPr>
            <w:r>
              <w:rPr>
                <w:noProof/>
              </w:rPr>
              <w:t>Investointi 4.4.1: Alueellisen julkisen liikenteen linja-autokannan vahvistaminen päästöttömillä matalalattiabusseilla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867646" w14:textId="77777777" w:rsidR="00E42B18" w:rsidRDefault="009629C4" w:rsidP="007F4B94">
            <w:pPr>
              <w:pStyle w:val="P68B1DB1-Normal11"/>
              <w:jc w:val="center"/>
              <w:rPr>
                <w:noProof/>
              </w:rPr>
            </w:pPr>
            <w:r>
              <w:rPr>
                <w:noProof/>
              </w:rPr>
              <w:t>Kohde</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428D4" w14:textId="77777777" w:rsidR="00E42B18" w:rsidRDefault="009629C4" w:rsidP="007F4B94">
            <w:pPr>
              <w:pStyle w:val="P68B1DB1-Normal11"/>
              <w:jc w:val="center"/>
              <w:rPr>
                <w:noProof/>
              </w:rPr>
            </w:pPr>
            <w:r>
              <w:rPr>
                <w:noProof/>
              </w:rPr>
              <w:t>Rekisteröityjen päästöttömien matalalattiabussien lukumäärä</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F3F35" w14:textId="77777777" w:rsidR="00E42B18" w:rsidRDefault="009629C4" w:rsidP="007F4B94">
            <w:pPr>
              <w:pStyle w:val="P68B1DB1-Normal11"/>
              <w:jc w:val="center"/>
              <w:rPr>
                <w:noProof/>
              </w:rPr>
            </w:pPr>
            <w:r>
              <w:rPr>
                <w:noProof/>
              </w:rPr>
              <w:t>EI OLE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8A733" w14:textId="77777777" w:rsidR="00E42B18" w:rsidRDefault="009629C4" w:rsidP="007F4B94">
            <w:pPr>
              <w:pStyle w:val="P68B1DB1-Normal11"/>
              <w:jc w:val="center"/>
              <w:rPr>
                <w:noProof/>
              </w:rPr>
            </w:pPr>
            <w:r>
              <w:rPr>
                <w:noProof/>
              </w:rPr>
              <w:t>Numero</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732C4A" w14:textId="77777777" w:rsidR="00E42B18" w:rsidRDefault="009629C4" w:rsidP="007F4B94">
            <w:pPr>
              <w:pStyle w:val="P68B1DB1-Normal11"/>
              <w:jc w:val="center"/>
              <w:rPr>
                <w:noProof/>
              </w:rPr>
            </w:pPr>
            <w:r>
              <w:rPr>
                <w:noProof/>
              </w:rPr>
              <w:t>0</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6E7C6" w14:textId="77777777" w:rsidR="00E42B18" w:rsidRDefault="009629C4" w:rsidP="007F4B94">
            <w:pPr>
              <w:pStyle w:val="P68B1DB1-Normal11"/>
              <w:jc w:val="center"/>
              <w:rPr>
                <w:noProof/>
              </w:rPr>
            </w:pPr>
            <w:r>
              <w:rPr>
                <w:noProof/>
              </w:rPr>
              <w:t>800</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68F6A" w14:textId="77777777" w:rsidR="00E42B18" w:rsidRDefault="009629C4" w:rsidP="007F4B94">
            <w:pPr>
              <w:pStyle w:val="P68B1DB1-Normal11"/>
              <w:jc w:val="center"/>
              <w:rPr>
                <w:noProof/>
              </w:rPr>
            </w:pPr>
            <w:r>
              <w:rPr>
                <w:noProof/>
              </w:rPr>
              <w:t>Q4</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8B259" w14:textId="77777777" w:rsidR="00E42B18" w:rsidRDefault="009629C4" w:rsidP="007F4B94">
            <w:pPr>
              <w:pStyle w:val="P68B1DB1-Normal11"/>
              <w:jc w:val="center"/>
              <w:rPr>
                <w:noProof/>
              </w:rPr>
            </w:pPr>
            <w:r>
              <w:rPr>
                <w:noProof/>
              </w:rPr>
              <w:t>2024</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EB5D5" w14:textId="77777777" w:rsidR="00E42B18" w:rsidRDefault="009629C4" w:rsidP="007F4B94">
            <w:pPr>
              <w:pStyle w:val="P68B1DB1-Normal11"/>
              <w:rPr>
                <w:noProof/>
              </w:rPr>
            </w:pPr>
            <w:r>
              <w:rPr>
                <w:noProof/>
              </w:rPr>
              <w:t>Rekisteröidään vähintään 800 päästötöntä vähäpäästöistä linja-autoa, jotka on hankittu M2C2–32:n mukaisesti kyseisen kaluston vahvistamiseksi.</w:t>
            </w:r>
          </w:p>
        </w:tc>
      </w:tr>
      <w:tr w:rsidR="00E42B18" w14:paraId="4B95E251"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ADB873" w14:textId="77777777" w:rsidR="00E42B18" w:rsidRDefault="009629C4" w:rsidP="007F4B94">
            <w:pPr>
              <w:pStyle w:val="P68B1DB1-Normal12"/>
              <w:jc w:val="center"/>
              <w:rPr>
                <w:noProof/>
              </w:rPr>
            </w:pPr>
            <w:r>
              <w:rPr>
                <w:noProof/>
              </w:rPr>
              <w:t>M2C2–34a</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9EC1E" w14:textId="4F991156" w:rsidR="00E42B18" w:rsidRDefault="009629C4" w:rsidP="007F4B94">
            <w:pPr>
              <w:pStyle w:val="P68B1DB1-Normal11"/>
              <w:jc w:val="center"/>
              <w:rPr>
                <w:noProof/>
              </w:rPr>
            </w:pPr>
            <w:r>
              <w:rPr>
                <w:noProof/>
              </w:rPr>
              <w:t>Investointi 4.4.2: Alueellisen julkisen liikenteen rautatiekaluston vahvistaminen päästöttömillä junilla ja yleispalvelulla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341AA8" w14:textId="77777777" w:rsidR="00E42B18" w:rsidRDefault="009629C4" w:rsidP="007F4B94">
            <w:pPr>
              <w:pStyle w:val="P68B1DB1-Normal11"/>
              <w:jc w:val="center"/>
              <w:rPr>
                <w:noProof/>
              </w:rPr>
            </w:pPr>
            <w:r>
              <w:rPr>
                <w:noProof/>
              </w:rPr>
              <w:t>Kohde</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EF7E44" w14:textId="77777777" w:rsidR="00E42B18" w:rsidRDefault="009629C4" w:rsidP="007F4B94">
            <w:pPr>
              <w:pStyle w:val="P68B1DB1-Normal12"/>
              <w:jc w:val="center"/>
              <w:rPr>
                <w:noProof/>
              </w:rPr>
            </w:pPr>
            <w:r>
              <w:rPr>
                <w:noProof/>
              </w:rPr>
              <w:t xml:space="preserve">Päästöttömien junien lukumäärä </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CBCB5F" w14:textId="77777777" w:rsidR="00E42B18" w:rsidRDefault="009629C4" w:rsidP="007F4B94">
            <w:pPr>
              <w:pStyle w:val="P68B1DB1-Normal11"/>
              <w:jc w:val="center"/>
              <w:rPr>
                <w:noProof/>
              </w:rPr>
            </w:pPr>
            <w:r>
              <w:rPr>
                <w:noProof/>
              </w:rPr>
              <w:t>EI OLE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45DF18" w14:textId="77777777" w:rsidR="00E42B18" w:rsidRDefault="009629C4" w:rsidP="007F4B94">
            <w:pPr>
              <w:pStyle w:val="P68B1DB1-Normal11"/>
              <w:jc w:val="center"/>
              <w:rPr>
                <w:noProof/>
              </w:rPr>
            </w:pPr>
            <w:r>
              <w:rPr>
                <w:noProof/>
              </w:rPr>
              <w:t>Numero</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8C5E8D" w14:textId="77777777" w:rsidR="00E42B18" w:rsidRDefault="009629C4" w:rsidP="007F4B94">
            <w:pPr>
              <w:pStyle w:val="P68B1DB1-Normal11"/>
              <w:jc w:val="center"/>
              <w:rPr>
                <w:noProof/>
              </w:rPr>
            </w:pPr>
            <w:r>
              <w:rPr>
                <w:noProof/>
              </w:rPr>
              <w:t>0</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144853" w14:textId="77777777" w:rsidR="00E42B18" w:rsidRDefault="009629C4" w:rsidP="007F4B94">
            <w:pPr>
              <w:pStyle w:val="P68B1DB1-Normal11"/>
              <w:jc w:val="center"/>
              <w:rPr>
                <w:noProof/>
              </w:rPr>
            </w:pPr>
            <w:r>
              <w:rPr>
                <w:noProof/>
              </w:rPr>
              <w:t>25</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770CB" w14:textId="77777777" w:rsidR="00E42B18" w:rsidRDefault="009629C4" w:rsidP="007F4B94">
            <w:pPr>
              <w:pStyle w:val="P68B1DB1-Normal11"/>
              <w:jc w:val="center"/>
              <w:rPr>
                <w:noProof/>
                <w:szCs w:val="20"/>
              </w:rPr>
            </w:pPr>
            <w:r>
              <w:rPr>
                <w:noProof/>
              </w:rPr>
              <w:t>Q4</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1EF104" w14:textId="77777777" w:rsidR="00E42B18" w:rsidRDefault="009629C4" w:rsidP="007F4B94">
            <w:pPr>
              <w:pStyle w:val="P68B1DB1-Normal11"/>
              <w:jc w:val="center"/>
              <w:rPr>
                <w:noProof/>
              </w:rPr>
            </w:pPr>
            <w:r>
              <w:rPr>
                <w:noProof/>
              </w:rPr>
              <w:t>2024</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10F50D" w14:textId="77777777" w:rsidR="00E42B18" w:rsidRDefault="009629C4" w:rsidP="007F4B94">
            <w:pPr>
              <w:pStyle w:val="P68B1DB1-Normal12"/>
              <w:rPr>
                <w:noProof/>
              </w:rPr>
            </w:pPr>
            <w:r>
              <w:rPr>
                <w:noProof/>
              </w:rPr>
              <w:t>Vähintään 25 päästöttömän junan toimittaminen.</w:t>
            </w:r>
          </w:p>
        </w:tc>
      </w:tr>
      <w:tr w:rsidR="00E42B18" w14:paraId="27D75847"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0335D1" w14:textId="77777777" w:rsidR="00E42B18" w:rsidRDefault="009629C4" w:rsidP="007F4B94">
            <w:pPr>
              <w:pStyle w:val="P68B1DB1-Normal12"/>
              <w:jc w:val="center"/>
              <w:rPr>
                <w:noProof/>
              </w:rPr>
            </w:pPr>
            <w:r>
              <w:rPr>
                <w:noProof/>
              </w:rPr>
              <w:t xml:space="preserve">M2C2–35 a </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4912F" w14:textId="3E3AECDB" w:rsidR="00E42B18" w:rsidRDefault="009629C4" w:rsidP="007F4B94">
            <w:pPr>
              <w:pStyle w:val="P68B1DB1-Normal11"/>
              <w:jc w:val="center"/>
              <w:rPr>
                <w:noProof/>
              </w:rPr>
            </w:pPr>
            <w:r>
              <w:rPr>
                <w:noProof/>
              </w:rPr>
              <w:t>Investointi 4.4.2: Alueellisen julkisen liikenteen rautatiekaluston vahvistaminen päästöttömillä junilla ja yleispalvelulla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B26E06" w14:textId="77777777" w:rsidR="00E42B18" w:rsidRDefault="009629C4" w:rsidP="007F4B94">
            <w:pPr>
              <w:pStyle w:val="P68B1DB1-Normal11"/>
              <w:jc w:val="center"/>
              <w:rPr>
                <w:noProof/>
              </w:rPr>
            </w:pPr>
            <w:r>
              <w:rPr>
                <w:noProof/>
              </w:rPr>
              <w:t>Kohde</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3ADA0" w14:textId="77777777" w:rsidR="00E42B18" w:rsidRDefault="009629C4" w:rsidP="007F4B94">
            <w:pPr>
              <w:pStyle w:val="P68B1DB1-Normal12"/>
              <w:jc w:val="center"/>
              <w:rPr>
                <w:noProof/>
              </w:rPr>
            </w:pPr>
            <w:r>
              <w:rPr>
                <w:noProof/>
              </w:rPr>
              <w:t xml:space="preserve">Rekisteröityjen junien lukumäärä </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98BDF9" w14:textId="77777777" w:rsidR="00E42B18" w:rsidRDefault="009629C4" w:rsidP="007F4B94">
            <w:pPr>
              <w:pStyle w:val="P68B1DB1-Normal12"/>
              <w:jc w:val="center"/>
              <w:rPr>
                <w:noProof/>
              </w:rPr>
            </w:pPr>
            <w:r>
              <w:rPr>
                <w:noProof/>
              </w:rPr>
              <w:t>EI OLE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BCD40B" w14:textId="77777777" w:rsidR="00E42B18" w:rsidRDefault="009629C4" w:rsidP="007F4B94">
            <w:pPr>
              <w:pStyle w:val="P68B1DB1-Normal11"/>
              <w:jc w:val="center"/>
              <w:rPr>
                <w:noProof/>
              </w:rPr>
            </w:pPr>
            <w:r>
              <w:rPr>
                <w:noProof/>
              </w:rPr>
              <w:t>Numero</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1F9AFC" w14:textId="77777777" w:rsidR="00E42B18" w:rsidRDefault="009629C4" w:rsidP="007F4B94">
            <w:pPr>
              <w:pStyle w:val="P68B1DB1-Normal11"/>
              <w:jc w:val="center"/>
              <w:rPr>
                <w:noProof/>
              </w:rPr>
            </w:pPr>
            <w:r>
              <w:rPr>
                <w:noProof/>
              </w:rPr>
              <w:t>25</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89B273" w14:textId="77777777" w:rsidR="00E42B18" w:rsidRDefault="009629C4" w:rsidP="007F4B94">
            <w:pPr>
              <w:pStyle w:val="P68B1DB1-Normal12"/>
              <w:jc w:val="center"/>
              <w:rPr>
                <w:noProof/>
              </w:rPr>
            </w:pPr>
            <w:r>
              <w:rPr>
                <w:noProof/>
              </w:rPr>
              <w:t>97</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8FDE1D" w14:textId="77777777" w:rsidR="00E42B18" w:rsidRDefault="009629C4" w:rsidP="007F4B94">
            <w:pPr>
              <w:pStyle w:val="P68B1DB1-Normal11"/>
              <w:jc w:val="center"/>
              <w:rPr>
                <w:noProof/>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8CD96" w14:textId="77777777" w:rsidR="00E42B18" w:rsidRDefault="009629C4" w:rsidP="007F4B94">
            <w:pPr>
              <w:pStyle w:val="P68B1DB1-Normal11"/>
              <w:jc w:val="center"/>
              <w:rPr>
                <w:noProof/>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C9BFFF" w14:textId="4D945CCE" w:rsidR="00E42B18" w:rsidRDefault="009629C4" w:rsidP="007F4B94">
            <w:pPr>
              <w:pStyle w:val="P68B1DB1-Normal12"/>
              <w:spacing w:after="120"/>
              <w:rPr>
                <w:noProof/>
              </w:rPr>
            </w:pPr>
            <w:r>
              <w:rPr>
                <w:noProof/>
              </w:rPr>
              <w:t>Vähintään 97 päästöttömän junan rekisteröinti. Tukikelpoisia junia ovat sähkö- ja vetypolttokennot ja enintään 20 kahden liikennemuodon junaa.</w:t>
            </w:r>
          </w:p>
        </w:tc>
      </w:tr>
      <w:tr w:rsidR="00E42B18" w14:paraId="202C9C5B"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FFA0F" w14:textId="77777777" w:rsidR="00E42B18" w:rsidRDefault="009629C4" w:rsidP="007F4B94">
            <w:pPr>
              <w:pStyle w:val="P68B1DB1-Normal11"/>
              <w:jc w:val="center"/>
              <w:rPr>
                <w:noProof/>
              </w:rPr>
            </w:pPr>
            <w:r>
              <w:rPr>
                <w:noProof/>
              </w:rPr>
              <w:t>M2C2–38a</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F8FB07" w14:textId="77777777" w:rsidR="00E42B18" w:rsidRDefault="009629C4" w:rsidP="007F4B94">
            <w:pPr>
              <w:pStyle w:val="P68B1DB1-Normal11"/>
              <w:jc w:val="center"/>
              <w:rPr>
                <w:noProof/>
              </w:rPr>
            </w:pPr>
            <w:r>
              <w:rPr>
                <w:noProof/>
              </w:rPr>
              <w:t>Investointi 5.1. Tuki ekologisen siirtymän tuotantojärjestelmälle, nettonollateknologiat sekä strategisten toimitusketjujen kilpailukyky ja häiriönsietokyky</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2EC67" w14:textId="77777777" w:rsidR="00E42B18" w:rsidRDefault="009629C4" w:rsidP="007F4B94">
            <w:pPr>
              <w:pStyle w:val="P68B1DB1-Normal11"/>
              <w:jc w:val="center"/>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F3C904" w14:textId="77777777" w:rsidR="00E42B18" w:rsidRDefault="009629C4" w:rsidP="007F4B94">
            <w:pPr>
              <w:pStyle w:val="P68B1DB1-Normal11"/>
              <w:jc w:val="center"/>
              <w:rPr>
                <w:noProof/>
              </w:rPr>
            </w:pPr>
            <w:r>
              <w:rPr>
                <w:noProof/>
              </w:rPr>
              <w:t>Täytäntöönpanosopimus</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736EA1" w14:textId="77777777" w:rsidR="00E42B18" w:rsidRDefault="009629C4" w:rsidP="007F4B94">
            <w:pPr>
              <w:pStyle w:val="P68B1DB1-Normal11"/>
              <w:jc w:val="center"/>
              <w:rPr>
                <w:noProof/>
              </w:rPr>
            </w:pPr>
            <w:r>
              <w:rPr>
                <w:noProof/>
              </w:rPr>
              <w:t>Täytäntöönpanosopimuksen voimaantulo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67E310" w14:textId="77777777" w:rsidR="00E42B18" w:rsidRDefault="009629C4" w:rsidP="007F4B94">
            <w:pPr>
              <w:pStyle w:val="P68B1DB1-Normal11"/>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7ECF15" w14:textId="77777777" w:rsidR="00E42B18" w:rsidRDefault="009629C4" w:rsidP="007F4B94">
            <w:pPr>
              <w:pStyle w:val="P68B1DB1-Normal11"/>
              <w:jc w:val="center"/>
              <w:rPr>
                <w:noProof/>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DB0C40" w14:textId="77777777" w:rsidR="00E42B18" w:rsidRDefault="009629C4" w:rsidP="007F4B94">
            <w:pPr>
              <w:pStyle w:val="P68B1DB1-Normal11"/>
              <w:jc w:val="center"/>
              <w:rPr>
                <w:noProof/>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1F938" w14:textId="77777777" w:rsidR="00E42B18" w:rsidRDefault="009629C4" w:rsidP="007F4B94">
            <w:pPr>
              <w:pStyle w:val="P68B1DB1-Normal11"/>
              <w:jc w:val="center"/>
              <w:rPr>
                <w:noProof/>
                <w:szCs w:val="20"/>
              </w:rPr>
            </w:pPr>
            <w:r>
              <w:rPr>
                <w:noProof/>
              </w:rPr>
              <w:t>Q4</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72D0DC" w14:textId="77777777" w:rsidR="00E42B18" w:rsidRDefault="009629C4" w:rsidP="007F4B94">
            <w:pPr>
              <w:pStyle w:val="P68B1DB1-Normal11"/>
              <w:jc w:val="center"/>
              <w:rPr>
                <w:noProof/>
              </w:rPr>
            </w:pPr>
            <w:r>
              <w:rPr>
                <w:noProof/>
              </w:rPr>
              <w:t>2024</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3309D" w14:textId="77777777" w:rsidR="00E42B18" w:rsidRDefault="009629C4" w:rsidP="007F4B94">
            <w:pPr>
              <w:pStyle w:val="P68B1DB1-Normal11"/>
              <w:rPr>
                <w:noProof/>
              </w:rPr>
            </w:pPr>
            <w:r>
              <w:rPr>
                <w:noProof/>
              </w:rPr>
              <w:t>Täytäntöönpanosopimus tulee voimaan.</w:t>
            </w:r>
          </w:p>
        </w:tc>
      </w:tr>
      <w:tr w:rsidR="00E42B18" w14:paraId="632B61C0"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7704B2" w14:textId="77777777" w:rsidR="00E42B18" w:rsidRDefault="009629C4" w:rsidP="007F4B94">
            <w:pPr>
              <w:pStyle w:val="P68B1DB1-Normal11"/>
              <w:jc w:val="center"/>
              <w:rPr>
                <w:noProof/>
              </w:rPr>
            </w:pPr>
            <w:r>
              <w:rPr>
                <w:noProof/>
              </w:rPr>
              <w:t>M2C2–39</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FC13B7" w14:textId="77777777" w:rsidR="00E42B18" w:rsidRDefault="009629C4" w:rsidP="007F4B94">
            <w:pPr>
              <w:pStyle w:val="P68B1DB1-Normal11"/>
              <w:jc w:val="center"/>
              <w:rPr>
                <w:noProof/>
              </w:rPr>
            </w:pPr>
            <w:r>
              <w:rPr>
                <w:noProof/>
              </w:rPr>
              <w:t>Investointi 5.1 Tuki ekologisen siirtymän tuotantojärjestelmälle, nettonollateknologiat sekä strategisten toimitusketjujen kilpailukyky ja häiriönsietokyky</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D3CFB" w14:textId="77777777" w:rsidR="00E42B18" w:rsidRDefault="009629C4" w:rsidP="007F4B94">
            <w:pPr>
              <w:pStyle w:val="P68B1DB1-Normal11"/>
              <w:jc w:val="center"/>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93970" w14:textId="77777777" w:rsidR="00E42B18" w:rsidRDefault="009629C4" w:rsidP="007F4B94">
            <w:pPr>
              <w:pStyle w:val="P68B1DB1-Normal11"/>
              <w:jc w:val="center"/>
              <w:rPr>
                <w:noProof/>
              </w:rPr>
            </w:pPr>
            <w:r>
              <w:rPr>
                <w:noProof/>
              </w:rPr>
              <w:t>Italian yritys- ja Made-ministeriö on saattanut päätökseen varojen siirron Invitalia S.p.A:lle.</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CD1F68" w14:textId="77777777" w:rsidR="00E42B18" w:rsidRDefault="009629C4" w:rsidP="007F4B94">
            <w:pPr>
              <w:pStyle w:val="P68B1DB1-Normal11"/>
              <w:jc w:val="center"/>
              <w:rPr>
                <w:noProof/>
              </w:rPr>
            </w:pPr>
            <w:r>
              <w:rPr>
                <w:noProof/>
              </w:rPr>
              <w:t xml:space="preserve">Todistus siirrosta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3AA894" w14:textId="77777777" w:rsidR="00E42B18" w:rsidRDefault="009629C4" w:rsidP="007F4B94">
            <w:pPr>
              <w:pStyle w:val="P68B1DB1-Normal11"/>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220C4" w14:textId="77777777" w:rsidR="00E42B18" w:rsidRDefault="009629C4" w:rsidP="007F4B94">
            <w:pPr>
              <w:pStyle w:val="P68B1DB1-Normal11"/>
              <w:jc w:val="center"/>
              <w:rPr>
                <w:noProof/>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8FC15E" w14:textId="77777777" w:rsidR="00E42B18" w:rsidRDefault="009629C4" w:rsidP="007F4B94">
            <w:pPr>
              <w:pStyle w:val="P68B1DB1-Normal11"/>
              <w:jc w:val="center"/>
              <w:rPr>
                <w:noProof/>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F9F58A" w14:textId="77777777" w:rsidR="00E42B18" w:rsidRDefault="009629C4" w:rsidP="007F4B94">
            <w:pPr>
              <w:pStyle w:val="P68B1DB1-Normal11"/>
              <w:jc w:val="center"/>
              <w:rPr>
                <w:noProof/>
              </w:rPr>
            </w:pPr>
            <w:r>
              <w:rPr>
                <w:noProof/>
              </w:rPr>
              <w:t>Q4</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4D6010" w14:textId="77777777" w:rsidR="00E42B18" w:rsidRDefault="009629C4" w:rsidP="007F4B94">
            <w:pPr>
              <w:pStyle w:val="P68B1DB1-Normal11"/>
              <w:jc w:val="center"/>
              <w:rPr>
                <w:noProof/>
              </w:rPr>
            </w:pPr>
            <w:r>
              <w:rPr>
                <w:noProof/>
              </w:rPr>
              <w:t>2024</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6B10BE" w14:textId="77777777" w:rsidR="00E42B18" w:rsidRDefault="009629C4" w:rsidP="007F4B94">
            <w:pPr>
              <w:pStyle w:val="P68B1DB1-Normal44"/>
              <w:spacing w:before="120" w:after="120"/>
              <w:rPr>
                <w:rFonts w:hAnsi="Arial Narrow"/>
                <w:noProof/>
              </w:rPr>
            </w:pPr>
            <w:r>
              <w:rPr>
                <w:noProof/>
              </w:rPr>
              <w:t>Italia siirt</w:t>
            </w:r>
            <w:r>
              <w:rPr>
                <w:noProof/>
              </w:rPr>
              <w:t>ää</w:t>
            </w:r>
            <w:r>
              <w:rPr>
                <w:noProof/>
              </w:rPr>
              <w:t xml:space="preserve"> 3500000000 euroa Invitalialle tukiv</w:t>
            </w:r>
            <w:r>
              <w:rPr>
                <w:noProof/>
              </w:rPr>
              <w:t>ä</w:t>
            </w:r>
            <w:r>
              <w:rPr>
                <w:noProof/>
              </w:rPr>
              <w:t>linett</w:t>
            </w:r>
            <w:r>
              <w:rPr>
                <w:noProof/>
              </w:rPr>
              <w:t>ä</w:t>
            </w:r>
            <w:r>
              <w:rPr>
                <w:noProof/>
              </w:rPr>
              <w:t xml:space="preserve"> varten.</w:t>
            </w:r>
          </w:p>
          <w:p w14:paraId="5D6E1513" w14:textId="77777777" w:rsidR="00E42B18" w:rsidRDefault="00E42B18" w:rsidP="007F4B94">
            <w:pPr>
              <w:rPr>
                <w:rFonts w:ascii="Arial Narrow" w:hAnsi="Arial Narrow"/>
                <w:noProof/>
                <w:sz w:val="20"/>
              </w:rPr>
            </w:pPr>
          </w:p>
        </w:tc>
      </w:tr>
      <w:tr w:rsidR="00E42B18" w14:paraId="49B359F5"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51F984" w14:textId="77777777" w:rsidR="00E42B18" w:rsidRDefault="009629C4" w:rsidP="007F4B94">
            <w:pPr>
              <w:pStyle w:val="P68B1DB1-Normal11"/>
              <w:jc w:val="center"/>
              <w:rPr>
                <w:noProof/>
                <w:szCs w:val="20"/>
              </w:rPr>
            </w:pPr>
            <w:r>
              <w:rPr>
                <w:noProof/>
              </w:rPr>
              <w:t>M2C2–40</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DDEC9B" w14:textId="77777777" w:rsidR="00E42B18" w:rsidRDefault="009629C4" w:rsidP="007F4B94">
            <w:pPr>
              <w:pStyle w:val="P68B1DB1-Normal11"/>
              <w:jc w:val="center"/>
              <w:rPr>
                <w:noProof/>
              </w:rPr>
            </w:pPr>
            <w:r>
              <w:rPr>
                <w:noProof/>
              </w:rPr>
              <w:t>Investointi 5.1. Tuki ekologisen siirtymän tuotantojärjestelmälle, nettonollateknologiat sekä strategisten toimitusketjujen kilpailukyky ja häiriönsietokyky</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AE43A" w14:textId="77777777" w:rsidR="00E42B18" w:rsidRDefault="009629C4" w:rsidP="007F4B94">
            <w:pPr>
              <w:pStyle w:val="P68B1DB1-Normal11"/>
              <w:jc w:val="center"/>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A270E5" w14:textId="77777777" w:rsidR="00E42B18" w:rsidRDefault="009629C4" w:rsidP="007F4B94">
            <w:pPr>
              <w:pStyle w:val="P68B1DB1-Normal11"/>
              <w:jc w:val="center"/>
              <w:rPr>
                <w:noProof/>
              </w:rPr>
            </w:pPr>
            <w:r>
              <w:rPr>
                <w:noProof/>
              </w:rPr>
              <w:t>Täytäntöönpanosopimuksen muuttaminen, lopullisten edunsaajien kanssa allekirjoitetut oikeudelliset sopimukset ja investoinnin loppuun saattaminen</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03C72" w14:textId="77777777" w:rsidR="00E42B18" w:rsidRDefault="009629C4" w:rsidP="007F4B94">
            <w:pPr>
              <w:pStyle w:val="P68B1DB1-Normal11"/>
              <w:jc w:val="center"/>
              <w:rPr>
                <w:noProof/>
              </w:rPr>
            </w:pPr>
            <w:r>
              <w:rPr>
                <w:noProof/>
              </w:rPr>
              <w:t>Muutetun täytäntöönpanosopimuksen, lopullisten edunsaajien kanssa allekirjoitettujen oikeudellisten sopimusten ja siirtotodistuksen voimaantulo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BB8B4" w14:textId="77777777" w:rsidR="00E42B18" w:rsidRDefault="009629C4" w:rsidP="007F4B94">
            <w:pPr>
              <w:pStyle w:val="P68B1DB1-Normal11"/>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9C2AE" w14:textId="77777777" w:rsidR="00E42B18" w:rsidRDefault="009629C4" w:rsidP="007F4B94">
            <w:pPr>
              <w:pStyle w:val="P68B1DB1-Normal11"/>
              <w:jc w:val="center"/>
              <w:rPr>
                <w:noProof/>
              </w:rPr>
            </w:pPr>
            <w:r>
              <w:rPr>
                <w:noProof/>
              </w:rPr>
              <w:t>0</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E7FA1" w14:textId="77777777" w:rsidR="00E42B18" w:rsidRDefault="009629C4" w:rsidP="007F4B94">
            <w:pPr>
              <w:pStyle w:val="P68B1DB1-Normal11"/>
              <w:jc w:val="center"/>
              <w:rPr>
                <w:noProof/>
              </w:rPr>
            </w:pPr>
            <w:r>
              <w:rPr>
                <w:noProof/>
              </w:rPr>
              <w:t>100</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304FA" w14:textId="77777777" w:rsidR="00E42B18" w:rsidRDefault="009629C4" w:rsidP="007F4B94">
            <w:pPr>
              <w:pStyle w:val="P68B1DB1-Normal11"/>
              <w:jc w:val="center"/>
              <w:rPr>
                <w:noProof/>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D2BB37" w14:textId="77777777" w:rsidR="00E42B18" w:rsidRDefault="009629C4" w:rsidP="007F4B94">
            <w:pPr>
              <w:pStyle w:val="P68B1DB1-Normal11"/>
              <w:jc w:val="center"/>
              <w:rPr>
                <w:noProof/>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5295D" w14:textId="77777777" w:rsidR="00E42B18" w:rsidRDefault="009629C4" w:rsidP="007F4B94">
            <w:pPr>
              <w:pStyle w:val="P68B1DB1-Normal11"/>
              <w:spacing w:before="120" w:after="120"/>
              <w:rPr>
                <w:noProof/>
              </w:rPr>
            </w:pPr>
            <w:r>
              <w:rPr>
                <w:noProof/>
              </w:rPr>
              <w:t>Täytäntöönpanosopimuksen muuttaminen.</w:t>
            </w:r>
          </w:p>
          <w:p w14:paraId="36F09C58" w14:textId="20605199" w:rsidR="00E42B18" w:rsidRDefault="009629C4" w:rsidP="007F4B94">
            <w:pPr>
              <w:pStyle w:val="P68B1DB1-Normal11"/>
              <w:spacing w:before="120" w:after="120"/>
              <w:rPr>
                <w:noProof/>
              </w:rPr>
            </w:pPr>
            <w:r>
              <w:rPr>
                <w:noProof/>
              </w:rPr>
              <w:t>Italia siirtää 400000000 euroa Invitalialle tukivälinettä varten.</w:t>
            </w:r>
          </w:p>
          <w:p w14:paraId="47AAA15A" w14:textId="63780104" w:rsidR="00E42B18" w:rsidRDefault="009629C4" w:rsidP="007F4B94">
            <w:pPr>
              <w:pStyle w:val="P68B1DB1-Normal21"/>
              <w:spacing w:before="120" w:after="120"/>
              <w:rPr>
                <w:rFonts w:ascii="Arial Narrow" w:hAnsi="Arial Narrow"/>
                <w:noProof/>
                <w:szCs w:val="20"/>
              </w:rPr>
            </w:pPr>
            <w:r>
              <w:rPr>
                <w:rFonts w:ascii="Arial Narrow" w:hAnsi="Arial Narrow"/>
                <w:noProof/>
              </w:rPr>
              <w:t>Invitalia on tehnyt lopullisten tuensaajien kanssa oikeudellisia rahoitussopimuksia, jotka koskevat määrää, joka tarvitaan 100 prosenttiin elpymis-</w:t>
            </w:r>
            <w:r>
              <w:rPr>
                <w:rFonts w:ascii="Arial Narrow"/>
                <w:noProof/>
              </w:rPr>
              <w:t xml:space="preserve"> ja palautumistukiv</w:t>
            </w:r>
            <w:r>
              <w:rPr>
                <w:rFonts w:ascii="Arial Narrow"/>
                <w:noProof/>
              </w:rPr>
              <w:t>ä</w:t>
            </w:r>
            <w:r>
              <w:rPr>
                <w:rFonts w:ascii="Arial Narrow"/>
                <w:noProof/>
              </w:rPr>
              <w:t>lineen 3900000000 euron investoinnista (hallinnointipalkkiot</w:t>
            </w:r>
            <w:r>
              <w:rPr>
                <w:rFonts w:ascii="Arial Narrow" w:hAnsi="Arial Narrow"/>
                <w:noProof/>
                <w:szCs w:val="20"/>
              </w:rPr>
              <w:t>huomioon ottaen</w:t>
            </w:r>
            <w:r>
              <w:rPr>
                <w:rFonts w:ascii="Arial Narrow"/>
                <w:noProof/>
              </w:rPr>
              <w:t xml:space="preserve">). </w:t>
            </w:r>
            <w:bookmarkStart w:id="17" w:name="_Hlk212583418"/>
            <w:r>
              <w:rPr>
                <w:rFonts w:ascii="Arial Narrow"/>
                <w:noProof/>
              </w:rPr>
              <w:t>T</w:t>
            </w:r>
            <w:r>
              <w:rPr>
                <w:rFonts w:ascii="Arial Narrow"/>
                <w:noProof/>
              </w:rPr>
              <w:t>ä</w:t>
            </w:r>
            <w:r>
              <w:rPr>
                <w:rFonts w:ascii="Arial Narrow"/>
                <w:noProof/>
              </w:rPr>
              <w:t>st</w:t>
            </w:r>
            <w:r>
              <w:rPr>
                <w:rFonts w:ascii="Arial Narrow"/>
                <w:noProof/>
              </w:rPr>
              <w:t>ä</w:t>
            </w:r>
            <w:r>
              <w:rPr>
                <w:rFonts w:ascii="Arial Narrow"/>
                <w:noProof/>
              </w:rPr>
              <w:t xml:space="preserve"> rahoituksesta v</w:t>
            </w:r>
            <w:r>
              <w:rPr>
                <w:rFonts w:ascii="Arial Narrow"/>
                <w:noProof/>
              </w:rPr>
              <w:t>ä</w:t>
            </w:r>
            <w:r>
              <w:rPr>
                <w:rFonts w:ascii="Arial Narrow"/>
                <w:noProof/>
              </w:rPr>
              <w:t>hint</w:t>
            </w:r>
            <w:r>
              <w:rPr>
                <w:rFonts w:ascii="Arial Narrow"/>
                <w:noProof/>
              </w:rPr>
              <w:t>ää</w:t>
            </w:r>
            <w:r>
              <w:rPr>
                <w:rFonts w:ascii="Arial Narrow"/>
                <w:noProof/>
              </w:rPr>
              <w:t>n 460 miljoonalla eurolla on edistett</w:t>
            </w:r>
            <w:r>
              <w:rPr>
                <w:rFonts w:ascii="Arial Narrow"/>
                <w:noProof/>
              </w:rPr>
              <w:t>ä</w:t>
            </w:r>
            <w:r>
              <w:rPr>
                <w:rFonts w:ascii="Arial Narrow"/>
                <w:noProof/>
              </w:rPr>
              <w:t>v</w:t>
            </w:r>
            <w:r>
              <w:rPr>
                <w:rFonts w:ascii="Arial Narrow"/>
                <w:noProof/>
              </w:rPr>
              <w:t>ä</w:t>
            </w:r>
            <w:r>
              <w:rPr>
                <w:rFonts w:ascii="Arial Narrow"/>
                <w:noProof/>
              </w:rPr>
              <w:t xml:space="preserve"> ilmastotavoitteita elpymis- ja palautumistukiv</w:t>
            </w:r>
            <w:r>
              <w:rPr>
                <w:rFonts w:ascii="Arial Narrow"/>
                <w:noProof/>
              </w:rPr>
              <w:t>ä</w:t>
            </w:r>
            <w:r>
              <w:rPr>
                <w:rFonts w:ascii="Arial Narrow"/>
                <w:noProof/>
              </w:rPr>
              <w:t>linett</w:t>
            </w:r>
            <w:r>
              <w:rPr>
                <w:rFonts w:ascii="Arial Narrow"/>
                <w:noProof/>
              </w:rPr>
              <w:t>ä</w:t>
            </w:r>
            <w:r>
              <w:rPr>
                <w:rFonts w:ascii="Arial Narrow"/>
                <w:noProof/>
              </w:rPr>
              <w:t xml:space="preserve"> koskevan asetuksen liitteess</w:t>
            </w:r>
            <w:r>
              <w:rPr>
                <w:rFonts w:ascii="Arial Narrow"/>
                <w:noProof/>
              </w:rPr>
              <w:t>ä</w:t>
            </w:r>
            <w:r>
              <w:rPr>
                <w:rFonts w:ascii="Arial Narrow"/>
                <w:noProof/>
              </w:rPr>
              <w:t xml:space="preserve"> VI esitetyn menetelm</w:t>
            </w:r>
            <w:r>
              <w:rPr>
                <w:rFonts w:ascii="Arial Narrow"/>
                <w:noProof/>
              </w:rPr>
              <w:t>ä</w:t>
            </w:r>
            <w:r>
              <w:rPr>
                <w:rFonts w:ascii="Arial Narrow"/>
                <w:noProof/>
              </w:rPr>
              <w:t>n mukaisesti.</w:t>
            </w:r>
            <w:bookmarkEnd w:id="17"/>
          </w:p>
          <w:p w14:paraId="77FCDB2D" w14:textId="77777777" w:rsidR="00E42B18" w:rsidRDefault="009629C4" w:rsidP="007F4B94">
            <w:pPr>
              <w:pStyle w:val="P68B1DB1-Normal12"/>
              <w:spacing w:before="120" w:after="120"/>
              <w:rPr>
                <w:noProof/>
              </w:rPr>
            </w:pPr>
            <w:r>
              <w:rPr>
                <w:noProof/>
              </w:rPr>
              <w:t xml:space="preserve">Erityisesti: </w:t>
            </w:r>
          </w:p>
          <w:p w14:paraId="3A713340" w14:textId="04BC23CC" w:rsidR="00E42B18" w:rsidRDefault="009629C4" w:rsidP="007F4B94">
            <w:pPr>
              <w:pStyle w:val="P68B1DB1-Normal12"/>
              <w:spacing w:before="120" w:after="120"/>
              <w:rPr>
                <w:noProof/>
              </w:rPr>
            </w:pPr>
            <w:r>
              <w:rPr>
                <w:noProof/>
              </w:rPr>
              <w:t>—Vähintään 700000000 euroa kohdennetaan alainvestointiin 1 Net Zero Technologies;</w:t>
            </w:r>
          </w:p>
          <w:p w14:paraId="23C7F94A" w14:textId="5B3658DF" w:rsidR="00E42B18" w:rsidRDefault="009629C4" w:rsidP="007F4B94">
            <w:pPr>
              <w:pStyle w:val="P68B1DB1-Normal11"/>
              <w:rPr>
                <w:noProof/>
              </w:rPr>
            </w:pPr>
            <w:r>
              <w:rPr>
                <w:noProof/>
              </w:rPr>
              <w:t>—Muut elpymis- ja palautumistukivälineen investoinnit kohdennetaan alainvestointiin 2 ”Strategisten toimitusketjujen kilpailukyky ja häiriönsietokyky, mukaan lukien puolijohdehankkeet”. Alainvestoinneista 2 myönnetään enintään 400000000 euroa maatalousteollisuudelle ja maatalouselintarvikealalle.</w:t>
            </w:r>
          </w:p>
        </w:tc>
      </w:tr>
      <w:tr w:rsidR="00E42B18" w14:paraId="3A58B0AA"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8EF030" w14:textId="77777777" w:rsidR="00E42B18" w:rsidRDefault="009629C4" w:rsidP="007F4B94">
            <w:pPr>
              <w:pStyle w:val="P68B1DB1-Normal11"/>
              <w:jc w:val="center"/>
              <w:rPr>
                <w:noProof/>
              </w:rPr>
            </w:pPr>
            <w:r>
              <w:rPr>
                <w:noProof/>
              </w:rPr>
              <w:t>M2C2–42a</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10F4C" w14:textId="77777777" w:rsidR="00E42B18" w:rsidRDefault="009629C4" w:rsidP="007F4B94">
            <w:pPr>
              <w:pStyle w:val="P68B1DB1-Normal11"/>
              <w:jc w:val="both"/>
              <w:rPr>
                <w:noProof/>
              </w:rPr>
            </w:pPr>
            <w:r>
              <w:rPr>
                <w:noProof/>
              </w:rPr>
              <w:t>Investointi 5.4 – Pääomanlisäys vihreän siirtymän rahastoon (GTF)</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D49061" w14:textId="77777777" w:rsidR="00E42B18" w:rsidRDefault="009629C4" w:rsidP="007F4B94">
            <w:pPr>
              <w:pStyle w:val="P68B1DB1-Normal11"/>
              <w:jc w:val="both"/>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3C04C" w14:textId="77777777" w:rsidR="00E42B18" w:rsidRDefault="009629C4" w:rsidP="007F4B94">
            <w:pPr>
              <w:pStyle w:val="P68B1DB1-Normal11"/>
              <w:jc w:val="both"/>
              <w:rPr>
                <w:noProof/>
              </w:rPr>
            </w:pPr>
            <w:r>
              <w:rPr>
                <w:noProof/>
              </w:rPr>
              <w:t>Pääomanlisäys vihreän siirtymän rahastoon</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50325" w14:textId="77777777" w:rsidR="00E42B18" w:rsidRDefault="009629C4" w:rsidP="007F4B94">
            <w:pPr>
              <w:pStyle w:val="P68B1DB1-Normal11"/>
              <w:jc w:val="center"/>
              <w:rPr>
                <w:noProof/>
              </w:rPr>
            </w:pPr>
            <w:r>
              <w:rPr>
                <w:noProof/>
              </w:rPr>
              <w:t>Todistus siirrosta</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B66CA0" w14:textId="77777777" w:rsidR="00E42B18" w:rsidRDefault="009629C4" w:rsidP="007F4B94">
            <w:pPr>
              <w:pStyle w:val="P68B1DB1-Normal11"/>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71E2DC" w14:textId="77777777" w:rsidR="00E42B18" w:rsidRDefault="009629C4" w:rsidP="007F4B94">
            <w:pPr>
              <w:pStyle w:val="P68B1DB1-Normal11"/>
              <w:jc w:val="center"/>
              <w:rPr>
                <w:noProof/>
              </w:rPr>
            </w:pPr>
            <w:r>
              <w:rPr>
                <w:noProof/>
              </w:rPr>
              <w:t xml:space="preserve"> 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18D642" w14:textId="77777777" w:rsidR="00E42B18" w:rsidRDefault="009629C4" w:rsidP="007F4B94">
            <w:pPr>
              <w:pStyle w:val="P68B1DB1-Normal11"/>
              <w:jc w:val="center"/>
              <w:rPr>
                <w:noProof/>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E085A2" w14:textId="77777777" w:rsidR="00E42B18" w:rsidRDefault="009629C4" w:rsidP="007F4B94">
            <w:pPr>
              <w:pStyle w:val="P68B1DB1-Normal11"/>
              <w:jc w:val="center"/>
              <w:rPr>
                <w:noProof/>
                <w:szCs w:val="20"/>
              </w:rPr>
            </w:pPr>
            <w:r>
              <w:rPr>
                <w:noProof/>
              </w:rPr>
              <w:t>Q4</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361A8" w14:textId="77777777" w:rsidR="00E42B18" w:rsidRDefault="009629C4" w:rsidP="007F4B94">
            <w:pPr>
              <w:pStyle w:val="P68B1DB1-Normal11"/>
              <w:jc w:val="center"/>
              <w:rPr>
                <w:noProof/>
              </w:rPr>
            </w:pPr>
            <w:r>
              <w:rPr>
                <w:noProof/>
              </w:rPr>
              <w:t>2024</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7640A6" w14:textId="77777777" w:rsidR="00E42B18" w:rsidRDefault="009629C4" w:rsidP="007F4B94">
            <w:pPr>
              <w:spacing w:after="120"/>
              <w:jc w:val="both"/>
              <w:rPr>
                <w:rFonts w:ascii="Arial Narrow" w:hAnsi="Arial Narrow"/>
                <w:noProof/>
                <w:color w:val="006100"/>
                <w:sz w:val="20"/>
                <w:szCs w:val="20"/>
              </w:rPr>
            </w:pPr>
            <w:r>
              <w:rPr>
                <w:rFonts w:ascii="Arial Narrow" w:hAnsi="Arial Narrow"/>
                <w:noProof/>
                <w:color w:val="006100"/>
                <w:sz w:val="20"/>
                <w:szCs w:val="20"/>
              </w:rPr>
              <w:t>Italia siirtää 250000000 euroa</w:t>
            </w:r>
            <w:r>
              <w:rPr>
                <w:noProof/>
                <w:sz w:val="23"/>
                <w:szCs w:val="23"/>
              </w:rPr>
              <w:t xml:space="preserve">  </w:t>
            </w:r>
            <w:r>
              <w:rPr>
                <w:rFonts w:ascii="Arial Narrow" w:hAnsi="Arial Narrow"/>
                <w:noProof/>
                <w:color w:val="006100"/>
                <w:sz w:val="20"/>
                <w:szCs w:val="20"/>
              </w:rPr>
              <w:t>GTF:ään.</w:t>
            </w:r>
          </w:p>
          <w:p w14:paraId="1E9AF93F" w14:textId="77777777" w:rsidR="00E42B18" w:rsidRDefault="009629C4" w:rsidP="007F4B94">
            <w:pPr>
              <w:pStyle w:val="P68B1DB1-Normal12"/>
              <w:rPr>
                <w:noProof/>
              </w:rPr>
            </w:pPr>
            <w:r>
              <w:rPr>
                <w:noProof/>
              </w:rPr>
              <w:t>Lisäksi sijoituspolitiikan (”Accordo Finanziario”) on oltava toimenpiteen kuvauksen mukainen.</w:t>
            </w:r>
          </w:p>
        </w:tc>
      </w:tr>
      <w:tr w:rsidR="00E42B18" w14:paraId="0263B7BD"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E4E3C" w14:textId="77777777" w:rsidR="00E42B18" w:rsidRDefault="009629C4" w:rsidP="007F4B94">
            <w:pPr>
              <w:pStyle w:val="P68B1DB1-Normal11"/>
              <w:jc w:val="center"/>
              <w:rPr>
                <w:noProof/>
              </w:rPr>
            </w:pPr>
            <w:r>
              <w:rPr>
                <w:noProof/>
              </w:rPr>
              <w:t>M2C2–43</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8C43E4" w14:textId="77777777" w:rsidR="00E42B18" w:rsidRDefault="009629C4" w:rsidP="007F4B94">
            <w:pPr>
              <w:pStyle w:val="P68B1DB1-Normal11"/>
              <w:jc w:val="both"/>
              <w:rPr>
                <w:noProof/>
              </w:rPr>
            </w:pPr>
            <w:r>
              <w:rPr>
                <w:noProof/>
              </w:rPr>
              <w:t>Investointi 5.4: Pääomanlisäys vihreän siirtymän rahastoon (GTF)</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55179" w14:textId="77777777" w:rsidR="00E42B18" w:rsidRDefault="009629C4" w:rsidP="007F4B94">
            <w:pPr>
              <w:pStyle w:val="P68B1DB1-Normal11"/>
              <w:jc w:val="both"/>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39263" w14:textId="77777777" w:rsidR="00E42B18" w:rsidRDefault="009629C4" w:rsidP="007F4B94">
            <w:pPr>
              <w:pStyle w:val="P68B1DB1-Normal11"/>
              <w:jc w:val="both"/>
              <w:rPr>
                <w:noProof/>
              </w:rPr>
            </w:pPr>
            <w:r>
              <w:rPr>
                <w:noProof/>
              </w:rPr>
              <w:t>Mietinnön hyväksyminen</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738428" w14:textId="77777777" w:rsidR="00E42B18" w:rsidRDefault="009629C4" w:rsidP="007F4B94">
            <w:pPr>
              <w:pStyle w:val="P68B1DB1-Normal11"/>
              <w:jc w:val="center"/>
              <w:rPr>
                <w:noProof/>
              </w:rPr>
            </w:pPr>
            <w:r>
              <w:rPr>
                <w:noProof/>
              </w:rPr>
              <w:t>Mietinnön hyväksyminen</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A1C21B" w14:textId="77777777" w:rsidR="00E42B18" w:rsidRDefault="009629C4" w:rsidP="007F4B94">
            <w:pPr>
              <w:pStyle w:val="P68B1DB1-Normal11"/>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A05BE7" w14:textId="77777777" w:rsidR="00E42B18" w:rsidRDefault="009629C4" w:rsidP="007F4B94">
            <w:pPr>
              <w:pStyle w:val="P68B1DB1-Normal11"/>
              <w:jc w:val="center"/>
              <w:rPr>
                <w:noProof/>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F27B72" w14:textId="77777777" w:rsidR="00E42B18" w:rsidRDefault="009629C4" w:rsidP="007F4B94">
            <w:pPr>
              <w:pStyle w:val="P68B1DB1-Normal11"/>
              <w:jc w:val="center"/>
              <w:rPr>
                <w:noProof/>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685AD" w14:textId="77777777" w:rsidR="00E42B18" w:rsidRDefault="009629C4" w:rsidP="007F4B94">
            <w:pPr>
              <w:pStyle w:val="P68B1DB1-Normal11"/>
              <w:jc w:val="center"/>
              <w:rPr>
                <w:noProof/>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F31FB5" w14:textId="77777777" w:rsidR="00E42B18" w:rsidRDefault="009629C4" w:rsidP="007F4B94">
            <w:pPr>
              <w:pStyle w:val="P68B1DB1-Normal11"/>
              <w:jc w:val="center"/>
              <w:rPr>
                <w:noProof/>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41EC5" w14:textId="77777777" w:rsidR="00E42B18" w:rsidRDefault="009629C4" w:rsidP="007F4B94">
            <w:pPr>
              <w:pStyle w:val="P68B1DB1-Normal11"/>
              <w:spacing w:after="120"/>
              <w:rPr>
                <w:noProof/>
              </w:rPr>
            </w:pPr>
            <w:r>
              <w:rPr>
                <w:noProof/>
              </w:rPr>
              <w:t>Italian on toimitettava raportti, jossa esitetään GTF:n sijoituspolitiikan täytäntöönpanemiseksi toteuttamat toimet, mukaan lukien toimet, joita on toteutettu niiden rahoitustuotteiden täytäntöönpanemiseksi, joita pääomalla odotetaan tuettavan, sekä toimet, joita odotetaan toteutettavan kyseisten tuotteiden täytäntöönpanon jatkamiseksi.</w:t>
            </w:r>
          </w:p>
          <w:p w14:paraId="4EED585D" w14:textId="77777777" w:rsidR="00E42B18" w:rsidRDefault="009629C4" w:rsidP="007F4B94">
            <w:pPr>
              <w:pStyle w:val="P68B1DB1-Normal11"/>
              <w:spacing w:after="120"/>
              <w:jc w:val="both"/>
              <w:rPr>
                <w:noProof/>
                <w:szCs w:val="20"/>
              </w:rPr>
            </w:pPr>
            <w:r>
              <w:rPr>
                <w:noProof/>
              </w:rPr>
              <w:t>Kertomuksessa on myös ilmoitettava määrät, jotka on sijoitettu suoraan tai välillisesti kuhunkin rahoitustuotteeseen.</w:t>
            </w:r>
          </w:p>
        </w:tc>
      </w:tr>
      <w:tr w:rsidR="00E42B18" w14:paraId="64450C95"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8C79DE" w14:textId="77777777" w:rsidR="00E42B18" w:rsidRDefault="009629C4" w:rsidP="007F4B94">
            <w:pPr>
              <w:pStyle w:val="P68B1DB1-Normal11"/>
              <w:jc w:val="center"/>
              <w:rPr>
                <w:noProof/>
                <w:szCs w:val="20"/>
              </w:rPr>
            </w:pPr>
            <w:r>
              <w:rPr>
                <w:noProof/>
              </w:rPr>
              <w:t>M2C2–44</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2C19F0" w14:textId="77777777" w:rsidR="00E42B18" w:rsidRDefault="009629C4" w:rsidP="007F4B94">
            <w:pPr>
              <w:pStyle w:val="P68B1DB1-Normal11"/>
              <w:jc w:val="center"/>
              <w:rPr>
                <w:noProof/>
                <w:szCs w:val="20"/>
              </w:rPr>
            </w:pPr>
            <w:r>
              <w:rPr>
                <w:noProof/>
              </w:rPr>
              <w:t>Investointi 1.1 Maatalousjännitejärjestelmien kehittäminen</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4EBBFF7" w14:textId="77777777" w:rsidR="00E42B18" w:rsidRDefault="009629C4" w:rsidP="007F4B94">
            <w:pPr>
              <w:pStyle w:val="P68B1DB1-Normal11"/>
              <w:jc w:val="center"/>
              <w:rPr>
                <w:noProof/>
                <w:szCs w:val="20"/>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302DE9" w14:textId="77777777" w:rsidR="00E42B18" w:rsidRDefault="009629C4" w:rsidP="007F4B94">
            <w:pPr>
              <w:pStyle w:val="P68B1DB1-Normal11"/>
              <w:jc w:val="center"/>
              <w:rPr>
                <w:noProof/>
                <w:szCs w:val="20"/>
              </w:rPr>
            </w:pPr>
            <w:r>
              <w:rPr>
                <w:noProof/>
              </w:rPr>
              <w:t>Kaikkien aurinkosähköpaneelien asentamista maataloussähköjärjestelmiin koskevien julkisten hankintasopimusten tekeminen</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5E32E9" w14:textId="77777777" w:rsidR="00E42B18" w:rsidRDefault="009629C4" w:rsidP="007F4B94">
            <w:pPr>
              <w:pStyle w:val="P68B1DB1-Normal67"/>
              <w:jc w:val="center"/>
              <w:rPr>
                <w:rFonts w:eastAsia="Arial Narrow"/>
                <w:noProof/>
              </w:rPr>
            </w:pPr>
            <w:r>
              <w:rPr>
                <w:noProof/>
              </w:rPr>
              <w:t>Julkaistaan hyväksymisasetukset, jotka koskevat aurinkosähköpaneelien asentamista maataloussähköjärjestelmiin koskevien julkisten hankintasopimusten tekemistä (sopimuksia)</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D40ABC" w14:textId="77777777" w:rsidR="00E42B18" w:rsidRDefault="009629C4" w:rsidP="007F4B94">
            <w:pPr>
              <w:pStyle w:val="P68B1DB1-Normal11"/>
              <w:jc w:val="center"/>
              <w:rPr>
                <w:noProof/>
                <w:szCs w:val="20"/>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3AC8BF8" w14:textId="77777777" w:rsidR="00E42B18" w:rsidRDefault="009629C4" w:rsidP="007F4B94">
            <w:pPr>
              <w:pStyle w:val="P68B1DB1-Normal11"/>
              <w:jc w:val="center"/>
              <w:rPr>
                <w:noProof/>
                <w:szCs w:val="20"/>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D824904" w14:textId="77777777" w:rsidR="00E42B18" w:rsidRDefault="009629C4" w:rsidP="007F4B94">
            <w:pPr>
              <w:pStyle w:val="P68B1DB1-Normal11"/>
              <w:jc w:val="center"/>
              <w:rPr>
                <w:noProof/>
                <w:szCs w:val="20"/>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37E077" w14:textId="77777777" w:rsidR="00E42B18" w:rsidRDefault="009629C4" w:rsidP="007F4B94">
            <w:pPr>
              <w:pStyle w:val="P68B1DB1-Normal11"/>
              <w:jc w:val="center"/>
              <w:rPr>
                <w:noProof/>
                <w:szCs w:val="20"/>
              </w:rPr>
            </w:pPr>
            <w:r>
              <w:rPr>
                <w:noProof/>
              </w:rPr>
              <w:t>Q4</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CAB100C" w14:textId="77777777" w:rsidR="00E42B18" w:rsidRDefault="009629C4" w:rsidP="007F4B94">
            <w:pPr>
              <w:pStyle w:val="P68B1DB1-Normal11"/>
              <w:jc w:val="center"/>
              <w:rPr>
                <w:noProof/>
                <w:szCs w:val="20"/>
              </w:rPr>
            </w:pPr>
            <w:r>
              <w:rPr>
                <w:noProof/>
              </w:rPr>
              <w:t>2024</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9935588" w14:textId="77777777" w:rsidR="00E42B18" w:rsidRDefault="009629C4" w:rsidP="007F4B94">
            <w:pPr>
              <w:pStyle w:val="P68B1DB1-Normal12"/>
              <w:rPr>
                <w:noProof/>
              </w:rPr>
            </w:pPr>
            <w:r>
              <w:rPr>
                <w:noProof/>
              </w:rPr>
              <w:t xml:space="preserve">Julkaistaan hyväksymisasetukset, joihin liittyy kaikkien aurinkosähköpaneelien ja mittauslaitteiden asentamista maatalousjännitejärjestelmiin koskevien julkisten hankintasopimusten tekeminen. </w:t>
            </w:r>
          </w:p>
        </w:tc>
      </w:tr>
      <w:tr w:rsidR="00E42B18" w14:paraId="5337BA2E"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0A996" w14:textId="77777777" w:rsidR="00E42B18" w:rsidRDefault="009629C4" w:rsidP="007F4B94">
            <w:pPr>
              <w:pStyle w:val="P68B1DB1-Normal11"/>
              <w:jc w:val="center"/>
              <w:rPr>
                <w:noProof/>
              </w:rPr>
            </w:pPr>
            <w:r>
              <w:rPr>
                <w:noProof/>
              </w:rPr>
              <w:t>M2C2–45</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76CA30" w14:textId="77777777" w:rsidR="00E42B18" w:rsidRDefault="009629C4" w:rsidP="007F4B94">
            <w:pPr>
              <w:pStyle w:val="P68B1DB1-Normal11"/>
              <w:jc w:val="center"/>
              <w:rPr>
                <w:noProof/>
              </w:rPr>
            </w:pPr>
            <w:r>
              <w:rPr>
                <w:noProof/>
              </w:rPr>
              <w:t>Maatalousjännitejärjestelmien kehittäminen</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378674" w14:textId="77777777" w:rsidR="00E42B18" w:rsidRDefault="009629C4" w:rsidP="007F4B94">
            <w:pPr>
              <w:pStyle w:val="P68B1DB1-Normal11"/>
              <w:jc w:val="center"/>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2DE302" w14:textId="77777777" w:rsidR="00E42B18" w:rsidRDefault="009629C4" w:rsidP="007F4B94">
            <w:pPr>
              <w:pStyle w:val="P68B1DB1-Normal11"/>
              <w:jc w:val="center"/>
              <w:rPr>
                <w:noProof/>
              </w:rPr>
            </w:pPr>
            <w:r>
              <w:rPr>
                <w:noProof/>
              </w:rPr>
              <w:t>Täytäntöönpanosopimus, lopullisten edunsaajien kanssa allekirjoitetut oikeudelliset sopimukset ja investointien loppuun saattaminen</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ABFE3" w14:textId="77777777" w:rsidR="00E42B18" w:rsidRDefault="009629C4" w:rsidP="007F4B94">
            <w:pPr>
              <w:pStyle w:val="P68B1DB1-Normal11"/>
              <w:jc w:val="center"/>
              <w:rPr>
                <w:noProof/>
              </w:rPr>
            </w:pPr>
            <w:r>
              <w:rPr>
                <w:noProof/>
              </w:rPr>
              <w:t>Täytäntöönpanosopimuksen, allekirjoitettujen oikeudellisten sopimusten ja siirtotodistuksen voimaantulo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501A32" w14:textId="77777777" w:rsidR="00E42B18" w:rsidRDefault="00E42B18" w:rsidP="007F4B94">
            <w:pPr>
              <w:jc w:val="center"/>
              <w:rPr>
                <w:rFonts w:ascii="Arial Narrow" w:hAnsi="Arial Narrow"/>
                <w:noProof/>
                <w:color w:val="006100"/>
                <w:sz w:val="20"/>
              </w:rPr>
            </w:pP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9A284" w14:textId="77777777" w:rsidR="00E42B18" w:rsidRDefault="00E42B18" w:rsidP="007F4B94">
            <w:pPr>
              <w:jc w:val="center"/>
              <w:rPr>
                <w:rFonts w:ascii="Arial Narrow" w:hAnsi="Arial Narrow"/>
                <w:noProof/>
                <w:color w:val="006100"/>
                <w:sz w:val="20"/>
              </w:rPr>
            </w:pP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AC7E31" w14:textId="77777777" w:rsidR="00E42B18" w:rsidRDefault="00E42B18" w:rsidP="007F4B94">
            <w:pPr>
              <w:jc w:val="center"/>
              <w:rPr>
                <w:rFonts w:ascii="Arial Narrow" w:hAnsi="Arial Narrow"/>
                <w:noProof/>
                <w:color w:val="006100"/>
                <w:sz w:val="20"/>
              </w:rPr>
            </w:pP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71FF48" w14:textId="77777777" w:rsidR="00E42B18" w:rsidRDefault="009629C4" w:rsidP="007F4B94">
            <w:pPr>
              <w:pStyle w:val="P68B1DB1-Normal11"/>
              <w:jc w:val="center"/>
              <w:rPr>
                <w:noProof/>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B530E" w14:textId="77777777" w:rsidR="00E42B18" w:rsidRDefault="009629C4" w:rsidP="007F4B94">
            <w:pPr>
              <w:pStyle w:val="P68B1DB1-Normal11"/>
              <w:jc w:val="center"/>
              <w:rPr>
                <w:noProof/>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8E417D" w14:textId="77777777" w:rsidR="00E42B18" w:rsidRDefault="009629C4" w:rsidP="007F4B94">
            <w:pPr>
              <w:pStyle w:val="P68B1DB1-Normal12"/>
              <w:rPr>
                <w:noProof/>
              </w:rPr>
            </w:pPr>
            <w:r>
              <w:rPr>
                <w:noProof/>
              </w:rPr>
              <w:t>Täytäntöönpanosopimus tulee voimaan.</w:t>
            </w:r>
          </w:p>
          <w:p w14:paraId="2C732690" w14:textId="455F2313" w:rsidR="00E42B18" w:rsidRDefault="009629C4" w:rsidP="007F4B94">
            <w:pPr>
              <w:pStyle w:val="P68B1DB1-Normal12"/>
              <w:rPr>
                <w:noProof/>
              </w:rPr>
            </w:pPr>
            <w:r>
              <w:rPr>
                <w:noProof/>
              </w:rPr>
              <w:t>Italia siirtää 1099000000 euroa GSE:lle tukivälinettä varten.</w:t>
            </w:r>
          </w:p>
          <w:p w14:paraId="589B2718" w14:textId="7BE0FBE3" w:rsidR="00E42B18" w:rsidRDefault="009629C4" w:rsidP="007F4B94">
            <w:pPr>
              <w:pStyle w:val="P68B1DB1-Normal12"/>
              <w:rPr>
                <w:noProof/>
              </w:rPr>
            </w:pPr>
            <w:r>
              <w:rPr>
                <w:noProof/>
              </w:rPr>
              <w:t xml:space="preserve">GSE:n on tehtävä lopullisten edunsaajien kanssa oikeudellisia avustussopimuksia määrästä, joka tarvitaan, jotta elpymis- ja palautumistukivälineen investoinneista voidaan käyttää 100 prosenttia järjestelmään (hallinnointipalkkiot huomioon ottaen). </w:t>
            </w:r>
          </w:p>
        </w:tc>
      </w:tr>
      <w:tr w:rsidR="00E42B18" w14:paraId="0966369D"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3EAA58" w14:textId="77777777" w:rsidR="00E42B18" w:rsidRDefault="009629C4" w:rsidP="007F4B94">
            <w:pPr>
              <w:pStyle w:val="P68B1DB1-Normal12"/>
              <w:jc w:val="center"/>
              <w:rPr>
                <w:noProof/>
              </w:rPr>
            </w:pPr>
            <w:r>
              <w:rPr>
                <w:noProof/>
              </w:rPr>
              <w:t>M2C2–47</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19BB79" w14:textId="77777777" w:rsidR="00E42B18" w:rsidRDefault="009629C4" w:rsidP="007F4B94">
            <w:pPr>
              <w:pStyle w:val="P68B1DB1-Normal11"/>
              <w:jc w:val="center"/>
              <w:rPr>
                <w:noProof/>
              </w:rPr>
            </w:pPr>
            <w:r>
              <w:rPr>
                <w:noProof/>
              </w:rPr>
              <w:t>Investointi 1.2 Uusiutuvien energialähteiden edistäminen energiayhteisöille ja yhdessä toimiville itse tuotettua uusiutuvaa energiaa käyttäville kuluttajille</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9F211" w14:textId="77777777" w:rsidR="00E42B18" w:rsidRDefault="009629C4" w:rsidP="007F4B94">
            <w:pPr>
              <w:pStyle w:val="P68B1DB1-Normal11"/>
              <w:jc w:val="center"/>
              <w:rPr>
                <w:noProof/>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8393C" w14:textId="77777777" w:rsidR="00E42B18" w:rsidRDefault="009629C4" w:rsidP="007F4B94">
            <w:pPr>
              <w:pStyle w:val="P68B1DB1-Normal11"/>
              <w:jc w:val="center"/>
              <w:rPr>
                <w:noProof/>
              </w:rPr>
            </w:pPr>
            <w:r>
              <w:rPr>
                <w:noProof/>
              </w:rPr>
              <w:t>Täytäntöönpanosopimus, lopullisten edunsaajien kanssa allekirjoitetut oikeudelliset sopimukset ja investointien loppuun saattaminen</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8A270" w14:textId="77777777" w:rsidR="00E42B18" w:rsidRDefault="009629C4" w:rsidP="007F4B94">
            <w:pPr>
              <w:pStyle w:val="P68B1DB1-Normal11"/>
              <w:jc w:val="center"/>
              <w:rPr>
                <w:noProof/>
                <w:szCs w:val="20"/>
              </w:rPr>
            </w:pPr>
            <w:r>
              <w:rPr>
                <w:noProof/>
              </w:rPr>
              <w:t>Täytäntöönpanosopimuksen, allekirjoitettujen oikeudellisten sopimusten ja siirtotodistuksen voimaantulo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CC9541" w14:textId="77777777" w:rsidR="00E42B18" w:rsidRDefault="009629C4" w:rsidP="007F4B94">
            <w:pPr>
              <w:pStyle w:val="P68B1DB1-Normal12"/>
              <w:jc w:val="center"/>
              <w:rPr>
                <w:noProof/>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86AE0A" w14:textId="77777777" w:rsidR="00E42B18" w:rsidRDefault="009629C4" w:rsidP="007F4B94">
            <w:pPr>
              <w:pStyle w:val="P68B1DB1-Normal12"/>
              <w:jc w:val="center"/>
              <w:rPr>
                <w:noProof/>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F7DCB" w14:textId="77777777" w:rsidR="00E42B18" w:rsidRDefault="009629C4" w:rsidP="007F4B94">
            <w:pPr>
              <w:pStyle w:val="P68B1DB1-Normal12"/>
              <w:jc w:val="center"/>
              <w:rPr>
                <w:noProof/>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198527" w14:textId="77777777" w:rsidR="00E42B18" w:rsidRDefault="009629C4" w:rsidP="007F4B94">
            <w:pPr>
              <w:pStyle w:val="P68B1DB1-Normal11"/>
              <w:jc w:val="center"/>
              <w:rPr>
                <w:noProof/>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15E9AF" w14:textId="77777777" w:rsidR="00E42B18" w:rsidRDefault="009629C4" w:rsidP="007F4B94">
            <w:pPr>
              <w:pStyle w:val="P68B1DB1-Normal11"/>
              <w:jc w:val="center"/>
              <w:rPr>
                <w:noProof/>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2A11C" w14:textId="77777777" w:rsidR="00E42B18" w:rsidRDefault="009629C4" w:rsidP="007F4B94">
            <w:pPr>
              <w:pStyle w:val="P68B1DB1-Normal11"/>
              <w:rPr>
                <w:noProof/>
              </w:rPr>
            </w:pPr>
            <w:r>
              <w:rPr>
                <w:noProof/>
              </w:rPr>
              <w:t>Täytäntöönpanosopimus tulee voimaan.</w:t>
            </w:r>
          </w:p>
          <w:p w14:paraId="29DB9467" w14:textId="42BAE8A4" w:rsidR="00E42B18" w:rsidRDefault="009629C4" w:rsidP="007F4B94">
            <w:pPr>
              <w:pStyle w:val="P68B1DB1-Normal12"/>
              <w:rPr>
                <w:noProof/>
              </w:rPr>
            </w:pPr>
            <w:r>
              <w:rPr>
                <w:noProof/>
              </w:rPr>
              <w:t>Italia siirtää 795500000 euroa GSE:lle järjestelyä varten.</w:t>
            </w:r>
          </w:p>
          <w:p w14:paraId="67D8F61A" w14:textId="55149862" w:rsidR="00E42B18" w:rsidRDefault="009629C4" w:rsidP="007F4B94">
            <w:pPr>
              <w:pStyle w:val="P68B1DB1-Normal11"/>
              <w:rPr>
                <w:noProof/>
                <w:szCs w:val="20"/>
              </w:rPr>
            </w:pPr>
            <w:r>
              <w:rPr>
                <w:noProof/>
              </w:rPr>
              <w:t xml:space="preserve">GSE:n on tehtävä lopullisten tuensaajien kanssa oikeudellisia avustussopimuksia määrästä, joka tarvitaan, jotta vähintään 100 prosenttia elpymis- ja palautumistukivälineen investoinneista voidaan käyttää järjestelmään (ottaen huomioon tilinhoitopalkkiot). </w:t>
            </w:r>
          </w:p>
        </w:tc>
      </w:tr>
      <w:tr w:rsidR="00E42B18" w14:paraId="26FE3D63"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9DF7B" w14:textId="77777777" w:rsidR="00E42B18" w:rsidRDefault="009629C4" w:rsidP="007F4B94">
            <w:pPr>
              <w:pStyle w:val="P68B1DB1-Normal11"/>
              <w:jc w:val="center"/>
              <w:rPr>
                <w:noProof/>
                <w:szCs w:val="20"/>
              </w:rPr>
            </w:pPr>
            <w:r>
              <w:rPr>
                <w:noProof/>
              </w:rPr>
              <w:t>M2C2–48</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0F3F3B" w14:textId="77777777" w:rsidR="00E42B18" w:rsidRDefault="009629C4" w:rsidP="007F4B94">
            <w:pPr>
              <w:pStyle w:val="P68B1DB1-Normal11"/>
              <w:jc w:val="center"/>
              <w:rPr>
                <w:noProof/>
                <w:szCs w:val="20"/>
              </w:rPr>
            </w:pPr>
            <w:r>
              <w:rPr>
                <w:noProof/>
              </w:rPr>
              <w:t>Investointi 3.1 Vedyn tuotanto ympäristövaurioalueilla (vetylaaksot)</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F9BA90" w14:textId="77777777" w:rsidR="00E42B18" w:rsidRDefault="009629C4" w:rsidP="007F4B94">
            <w:pPr>
              <w:pStyle w:val="P68B1DB1-Normal11"/>
              <w:jc w:val="center"/>
              <w:rPr>
                <w:noProof/>
                <w:szCs w:val="20"/>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76F12A" w14:textId="77777777" w:rsidR="00E42B18" w:rsidRDefault="009629C4" w:rsidP="007F4B94">
            <w:pPr>
              <w:pStyle w:val="P68B1DB1-Normal11"/>
              <w:jc w:val="center"/>
              <w:rPr>
                <w:noProof/>
                <w:szCs w:val="20"/>
              </w:rPr>
            </w:pPr>
            <w:r>
              <w:rPr>
                <w:noProof/>
              </w:rPr>
              <w:t>Vedyn tuotantoa hylättyjen teollisuusalueiden keskuksissa koskevan julkisen hankintasopimuksen tekeminen</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EC3B5" w14:textId="77777777" w:rsidR="00E42B18" w:rsidRDefault="009629C4" w:rsidP="007F4B94">
            <w:pPr>
              <w:pStyle w:val="P68B1DB1-Normal11"/>
              <w:jc w:val="center"/>
              <w:rPr>
                <w:noProof/>
                <w:szCs w:val="20"/>
              </w:rPr>
            </w:pPr>
            <w:r>
              <w:rPr>
                <w:noProof/>
              </w:rPr>
              <w:t>Ilmoitus kaikkien vedyn tuotantoa hylättyjen teollisuusalueiden keskuksissa koskevien julkisten hankintasopimusten tekemisestä</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76BC5D" w14:textId="77777777" w:rsidR="00E42B18" w:rsidRDefault="009629C4" w:rsidP="007F4B94">
            <w:pPr>
              <w:pStyle w:val="P68B1DB1-Normal11"/>
              <w:jc w:val="center"/>
              <w:rPr>
                <w:noProof/>
                <w:szCs w:val="20"/>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250BD0" w14:textId="77777777" w:rsidR="00E42B18" w:rsidRDefault="009629C4" w:rsidP="007F4B94">
            <w:pPr>
              <w:pStyle w:val="P68B1DB1-Normal11"/>
              <w:jc w:val="center"/>
              <w:rPr>
                <w:noProof/>
                <w:szCs w:val="20"/>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42DDBD" w14:textId="77777777" w:rsidR="00E42B18" w:rsidRDefault="009629C4" w:rsidP="007F4B94">
            <w:pPr>
              <w:pStyle w:val="P68B1DB1-Normal11"/>
              <w:jc w:val="center"/>
              <w:rPr>
                <w:noProof/>
                <w:szCs w:val="20"/>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4177D2" w14:textId="77777777" w:rsidR="00E42B18" w:rsidRDefault="009629C4" w:rsidP="007F4B94">
            <w:pPr>
              <w:pStyle w:val="P68B1DB1-Normal11"/>
              <w:jc w:val="center"/>
              <w:rPr>
                <w:noProof/>
                <w:szCs w:val="20"/>
              </w:rPr>
            </w:pPr>
            <w:r>
              <w:rPr>
                <w:noProof/>
              </w:rPr>
              <w:t>Q1</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E9D29" w14:textId="77777777" w:rsidR="00E42B18" w:rsidRDefault="009629C4" w:rsidP="007F4B94">
            <w:pPr>
              <w:pStyle w:val="P68B1DB1-Normal11"/>
              <w:jc w:val="center"/>
              <w:rPr>
                <w:noProof/>
                <w:szCs w:val="20"/>
              </w:rPr>
            </w:pPr>
            <w:r>
              <w:rPr>
                <w:noProof/>
              </w:rPr>
              <w:t>2023</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0020FC" w14:textId="77777777" w:rsidR="00E42B18" w:rsidRDefault="009629C4" w:rsidP="007F4B94">
            <w:pPr>
              <w:pStyle w:val="P68B1DB1-Normal14"/>
              <w:rPr>
                <w:noProof/>
                <w:color w:val="006100"/>
                <w:szCs w:val="20"/>
              </w:rPr>
            </w:pPr>
            <w:r>
              <w:rPr>
                <w:noProof/>
              </w:rPr>
              <w:t xml:space="preserve">Vedyn tuotantoa hylättyjen teollisuusalueiden keskuksissa koskevien hankkeiden </w:t>
            </w:r>
            <w:r>
              <w:rPr>
                <w:noProof/>
                <w:color w:val="006100"/>
              </w:rPr>
              <w:t>myöntäminen. Rahoitusta on myönnettävä sellaisen vihreän vedyn tuotantoon, jonka hiilidioksidipäästöt ovat alle 3 tCO2eq/tH2, jotta saavutetaan paras tulos hiilestä irtautumisessa.</w:t>
            </w:r>
            <w:r>
              <w:rPr>
                <w:noProof/>
              </w:rPr>
              <w:t xml:space="preserve"> </w:t>
            </w:r>
            <w:r>
              <w:rPr>
                <w:noProof/>
                <w:color w:val="006100"/>
              </w:rPr>
              <w:t>Tällä toimenpiteellä tuetaan vedyn tuotantoa, joka perustuu direktiivissä (EU) 2018/2001 (uusiutuvia energialähteitä koskeva direktiivi) määriteltyjä uusiutuvia energialähteitä tai verkkosähköä käyttävään elektrolyysiin</w:t>
            </w:r>
            <w:r>
              <w:rPr>
                <w:noProof/>
              </w:rPr>
              <w:t>.</w:t>
            </w:r>
          </w:p>
        </w:tc>
      </w:tr>
      <w:tr w:rsidR="00E42B18" w14:paraId="6D59FE80"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85D0A4" w14:textId="77777777" w:rsidR="00E42B18" w:rsidRDefault="009629C4" w:rsidP="007F4B94">
            <w:pPr>
              <w:pStyle w:val="P68B1DB1-Normal11"/>
              <w:jc w:val="center"/>
              <w:rPr>
                <w:noProof/>
                <w:szCs w:val="20"/>
              </w:rPr>
            </w:pPr>
            <w:r>
              <w:rPr>
                <w:noProof/>
              </w:rPr>
              <w:t>M2C2–49</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A1D69A" w14:textId="77777777" w:rsidR="00E42B18" w:rsidRDefault="009629C4" w:rsidP="007F4B94">
            <w:pPr>
              <w:pStyle w:val="P68B1DB1-Normal11"/>
              <w:jc w:val="center"/>
              <w:rPr>
                <w:noProof/>
                <w:szCs w:val="20"/>
              </w:rPr>
            </w:pPr>
            <w:r>
              <w:rPr>
                <w:noProof/>
              </w:rPr>
              <w:t>Investointi 3.1 Vedyn tuotanto ympäristövaurioalueilla (vetylaaksot)</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B2C688" w14:textId="77777777" w:rsidR="00E42B18" w:rsidRDefault="009629C4" w:rsidP="007F4B94">
            <w:pPr>
              <w:pStyle w:val="P68B1DB1-Normal11"/>
              <w:jc w:val="center"/>
              <w:rPr>
                <w:noProof/>
                <w:szCs w:val="20"/>
              </w:rPr>
            </w:pPr>
            <w:r>
              <w:rPr>
                <w:noProof/>
              </w:rPr>
              <w:t>Kohde</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775886" w14:textId="77777777" w:rsidR="00E42B18" w:rsidRDefault="009629C4" w:rsidP="007F4B94">
            <w:pPr>
              <w:pStyle w:val="P68B1DB1-Normal11"/>
              <w:jc w:val="center"/>
              <w:rPr>
                <w:noProof/>
                <w:szCs w:val="20"/>
              </w:rPr>
            </w:pPr>
            <w:r>
              <w:rPr>
                <w:noProof/>
              </w:rPr>
              <w:t>Toteutetut hankkeet</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8BF61B" w14:textId="77777777" w:rsidR="00E42B18" w:rsidRDefault="009629C4" w:rsidP="007F4B94">
            <w:pPr>
              <w:pStyle w:val="P68B1DB1-Normal11"/>
              <w:jc w:val="center"/>
              <w:rPr>
                <w:noProof/>
                <w:szCs w:val="20"/>
              </w:rPr>
            </w:pPr>
            <w:r>
              <w:rPr>
                <w:noProof/>
              </w:rPr>
              <w:t>EI OLE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D3317" w14:textId="77777777" w:rsidR="00E42B18" w:rsidRDefault="009629C4" w:rsidP="007F4B94">
            <w:pPr>
              <w:pStyle w:val="P68B1DB1-Normal11"/>
              <w:jc w:val="center"/>
              <w:rPr>
                <w:noProof/>
                <w:szCs w:val="20"/>
              </w:rPr>
            </w:pPr>
            <w:r>
              <w:rPr>
                <w:noProof/>
              </w:rPr>
              <w:t>Numero</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4DC58E" w14:textId="77777777" w:rsidR="00E42B18" w:rsidRDefault="009629C4" w:rsidP="007F4B94">
            <w:pPr>
              <w:pStyle w:val="P68B1DB1-Normal11"/>
              <w:jc w:val="center"/>
              <w:rPr>
                <w:noProof/>
                <w:szCs w:val="20"/>
              </w:rPr>
            </w:pPr>
            <w:r>
              <w:rPr>
                <w:noProof/>
              </w:rPr>
              <w:t>0</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0CE60" w14:textId="77777777" w:rsidR="00E42B18" w:rsidRDefault="009629C4" w:rsidP="007F4B94">
            <w:pPr>
              <w:pStyle w:val="P68B1DB1-Normal11"/>
              <w:jc w:val="center"/>
              <w:rPr>
                <w:noProof/>
                <w:szCs w:val="20"/>
              </w:rPr>
            </w:pPr>
            <w:r>
              <w:rPr>
                <w:noProof/>
              </w:rPr>
              <w:t>10</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1A0108" w14:textId="77777777" w:rsidR="00E42B18" w:rsidRDefault="009629C4" w:rsidP="007F4B94">
            <w:pPr>
              <w:pStyle w:val="P68B1DB1-Normal11"/>
              <w:jc w:val="center"/>
              <w:rPr>
                <w:noProof/>
                <w:szCs w:val="20"/>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A666AD" w14:textId="77777777" w:rsidR="00E42B18" w:rsidRDefault="009629C4" w:rsidP="007F4B94">
            <w:pPr>
              <w:pStyle w:val="P68B1DB1-Normal11"/>
              <w:jc w:val="center"/>
              <w:rPr>
                <w:noProof/>
                <w:szCs w:val="20"/>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BDBB5D" w14:textId="77777777" w:rsidR="00E42B18" w:rsidRDefault="009629C4" w:rsidP="007F4B94">
            <w:pPr>
              <w:pStyle w:val="P68B1DB1-Normal11"/>
              <w:spacing w:after="120"/>
              <w:rPr>
                <w:noProof/>
              </w:rPr>
            </w:pPr>
            <w:r>
              <w:rPr>
                <w:noProof/>
              </w:rPr>
              <w:t>Kymmenelle vetylaaksohankkeelle annettujen töiden valmistumistodistukset, mukaan lukien 10 elektrolyysilaitteen asentaminen, joiden kapasiteetti on kussakin vähintään 1 MW.</w:t>
            </w:r>
          </w:p>
          <w:p w14:paraId="463EAC04" w14:textId="177BC647" w:rsidR="00E42B18" w:rsidRDefault="009629C4" w:rsidP="007F4B94">
            <w:pPr>
              <w:pStyle w:val="P68B1DB1-Normal11"/>
              <w:spacing w:after="120"/>
              <w:rPr>
                <w:noProof/>
                <w:szCs w:val="20"/>
              </w:rPr>
            </w:pPr>
            <w:r>
              <w:rPr>
                <w:noProof/>
              </w:rPr>
              <w:t>Kehittäjän hyväksymät liitäntäkustannusarviot annetaan verkkoliitäntää edellyttävistä elektrolyysilaitteista.</w:t>
            </w:r>
          </w:p>
        </w:tc>
      </w:tr>
      <w:tr w:rsidR="00E42B18" w14:paraId="78E5612A"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8567AB" w14:textId="77777777" w:rsidR="00E42B18" w:rsidRDefault="009629C4" w:rsidP="007F4B94">
            <w:pPr>
              <w:pStyle w:val="P68B1DB1-Normal12"/>
              <w:jc w:val="center"/>
              <w:rPr>
                <w:noProof/>
              </w:rPr>
            </w:pPr>
            <w:r>
              <w:rPr>
                <w:noProof/>
              </w:rPr>
              <w:t>M2C2–50</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E6C5A5" w14:textId="77777777" w:rsidR="00E42B18" w:rsidRDefault="009629C4" w:rsidP="007F4B94">
            <w:pPr>
              <w:pStyle w:val="P68B1DB1-Normal11"/>
              <w:jc w:val="center"/>
              <w:rPr>
                <w:noProof/>
                <w:szCs w:val="20"/>
              </w:rPr>
            </w:pPr>
            <w:r>
              <w:rPr>
                <w:noProof/>
              </w:rPr>
              <w:t>Investointi 3.2 Vetyn käyttö teollisuudessa, jolla päästöjä on vaikea vähentää</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8F91A" w14:textId="77777777" w:rsidR="00E42B18" w:rsidRDefault="009629C4" w:rsidP="007F4B94">
            <w:pPr>
              <w:pStyle w:val="P68B1DB1-Normal11"/>
              <w:jc w:val="center"/>
              <w:rPr>
                <w:noProof/>
                <w:szCs w:val="20"/>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909B9" w14:textId="77777777" w:rsidR="00E42B18" w:rsidRDefault="009629C4" w:rsidP="007F4B94">
            <w:pPr>
              <w:pStyle w:val="P68B1DB1-Normal11"/>
              <w:jc w:val="center"/>
              <w:rPr>
                <w:noProof/>
                <w:szCs w:val="20"/>
              </w:rPr>
            </w:pPr>
            <w:r>
              <w:rPr>
                <w:noProof/>
              </w:rPr>
              <w:t>Sopimus metaanista vihreään vetyyn siirtymisen edistämisestä</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6EFA6" w14:textId="77777777" w:rsidR="00E42B18" w:rsidRDefault="009629C4" w:rsidP="007F4B94">
            <w:pPr>
              <w:pStyle w:val="P68B1DB1-Normal11"/>
              <w:jc w:val="center"/>
              <w:rPr>
                <w:noProof/>
                <w:szCs w:val="20"/>
              </w:rPr>
            </w:pPr>
            <w:r>
              <w:rPr>
                <w:noProof/>
              </w:rPr>
              <w:t>Sopimuksen allekirjoittaminen</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148D4C" w14:textId="77777777" w:rsidR="00E42B18" w:rsidRDefault="009629C4" w:rsidP="007F4B94">
            <w:pPr>
              <w:pStyle w:val="P68B1DB1-Normal11"/>
              <w:jc w:val="center"/>
              <w:rPr>
                <w:noProof/>
                <w:szCs w:val="20"/>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7D55DC" w14:textId="77777777" w:rsidR="00E42B18" w:rsidRDefault="009629C4" w:rsidP="007F4B94">
            <w:pPr>
              <w:pStyle w:val="P68B1DB1-Normal11"/>
              <w:jc w:val="center"/>
              <w:rPr>
                <w:noProof/>
                <w:szCs w:val="20"/>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5383B5" w14:textId="77777777" w:rsidR="00E42B18" w:rsidRDefault="009629C4" w:rsidP="007F4B94">
            <w:pPr>
              <w:pStyle w:val="P68B1DB1-Normal11"/>
              <w:jc w:val="center"/>
              <w:rPr>
                <w:noProof/>
                <w:szCs w:val="20"/>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085BB" w14:textId="77777777" w:rsidR="00E42B18" w:rsidRDefault="009629C4" w:rsidP="007F4B94">
            <w:pPr>
              <w:pStyle w:val="P68B1DB1-Normal11"/>
              <w:jc w:val="center"/>
              <w:rPr>
                <w:noProof/>
                <w:szCs w:val="20"/>
              </w:rPr>
            </w:pPr>
            <w:r>
              <w:rPr>
                <w:noProof/>
              </w:rPr>
              <w:t>Q1</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71BA4" w14:textId="77777777" w:rsidR="00E42B18" w:rsidRDefault="009629C4" w:rsidP="007F4B94">
            <w:pPr>
              <w:pStyle w:val="P68B1DB1-Normal11"/>
              <w:jc w:val="center"/>
              <w:rPr>
                <w:noProof/>
                <w:szCs w:val="20"/>
              </w:rPr>
            </w:pPr>
            <w:r>
              <w:rPr>
                <w:noProof/>
              </w:rPr>
              <w:t>2023</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FC5212" w14:textId="77777777" w:rsidR="00E42B18" w:rsidRDefault="009629C4" w:rsidP="007F4B94">
            <w:pPr>
              <w:pStyle w:val="P68B1DB1-Normal14"/>
              <w:rPr>
                <w:noProof/>
                <w:color w:val="006100"/>
                <w:szCs w:val="20"/>
              </w:rPr>
            </w:pPr>
            <w:r>
              <w:rPr>
                <w:noProof/>
                <w:color w:val="006100"/>
              </w:rPr>
              <w:t>Sopimuksen allekirjoittaminen valittujen hankkeiden omistajien kanssa metaanista vihreään vetyyn siirtymisen edistämiseksi. Hankkeet on osittain omistettava T &amp; K &amp; I-prosessiin, jossa kehitetään vetyä, ja osittain teollisen prototyypin toteuttamiseen ja testaamiseen vetyä käyttäen.</w:t>
            </w:r>
            <w:r>
              <w:rPr>
                <w:noProof/>
              </w:rPr>
              <w:t xml:space="preserve"> </w:t>
            </w:r>
            <w:r>
              <w:rPr>
                <w:noProof/>
                <w:color w:val="006100"/>
              </w:rPr>
              <w:t>Tällä toimenpiteellä tuetaan elektrolyysiin perustuvaa vedyn tuotantoa, jossa käytetään direktiivissä (EU) 2018/2001 (uusiutuvia energialähteitä koskeva direktiivi) määriteltyjä uusiutuvia energialähteitä tai verkkosähköä.</w:t>
            </w:r>
          </w:p>
        </w:tc>
      </w:tr>
      <w:tr w:rsidR="00E42B18" w14:paraId="095C9F2C"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CD864A" w14:textId="77777777" w:rsidR="00E42B18" w:rsidRDefault="009629C4" w:rsidP="007F4B94">
            <w:pPr>
              <w:pStyle w:val="P68B1DB1-Normal11"/>
              <w:jc w:val="center"/>
              <w:rPr>
                <w:noProof/>
                <w:szCs w:val="20"/>
              </w:rPr>
            </w:pPr>
            <w:r>
              <w:rPr>
                <w:noProof/>
              </w:rPr>
              <w:t>M2C2–52</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A58C70" w14:textId="77777777" w:rsidR="00E42B18" w:rsidRDefault="009629C4" w:rsidP="007F4B94">
            <w:pPr>
              <w:pStyle w:val="P68B1DB1-Normal11"/>
              <w:jc w:val="center"/>
              <w:rPr>
                <w:noProof/>
                <w:szCs w:val="20"/>
              </w:rPr>
            </w:pPr>
            <w:r>
              <w:rPr>
                <w:noProof/>
              </w:rPr>
              <w:t>Investointi 5.2 Vety</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09906E" w14:textId="77777777" w:rsidR="00E42B18" w:rsidRDefault="009629C4" w:rsidP="007F4B94">
            <w:pPr>
              <w:pStyle w:val="P68B1DB1-Normal11"/>
              <w:jc w:val="center"/>
              <w:rPr>
                <w:noProof/>
                <w:szCs w:val="20"/>
              </w:rPr>
            </w:pPr>
            <w:r>
              <w:rPr>
                <w:noProof/>
              </w:rPr>
              <w:t>Virstanpylväs</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6D3F5" w14:textId="77777777" w:rsidR="00E42B18" w:rsidRDefault="009629C4" w:rsidP="007F4B94">
            <w:pPr>
              <w:pStyle w:val="P68B1DB1-Normal11"/>
              <w:jc w:val="center"/>
              <w:rPr>
                <w:noProof/>
                <w:szCs w:val="20"/>
              </w:rPr>
            </w:pPr>
            <w:r>
              <w:rPr>
                <w:noProof/>
              </w:rPr>
              <w:t>Elektrolyysilaitteiden tuotanto</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E2B8E" w14:textId="77777777" w:rsidR="00E42B18" w:rsidRDefault="009629C4" w:rsidP="007F4B94">
            <w:pPr>
              <w:pStyle w:val="P68B1DB1-Normal11"/>
              <w:jc w:val="center"/>
              <w:rPr>
                <w:noProof/>
                <w:szCs w:val="20"/>
              </w:rPr>
            </w:pPr>
            <w:r>
              <w:rPr>
                <w:noProof/>
              </w:rPr>
              <w:t>Ilmoitus kaikkien julkisten hankintasopimusten julkaisemisesta</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49C05A" w14:textId="77777777" w:rsidR="00E42B18" w:rsidRDefault="009629C4" w:rsidP="007F4B94">
            <w:pPr>
              <w:pStyle w:val="P68B1DB1-Normal11"/>
              <w:jc w:val="center"/>
              <w:rPr>
                <w:noProof/>
                <w:szCs w:val="20"/>
              </w:rPr>
            </w:pPr>
            <w:r>
              <w:rPr>
                <w:noProof/>
              </w:rPr>
              <w:t>EI OLE</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650767" w14:textId="77777777" w:rsidR="00E42B18" w:rsidRDefault="009629C4" w:rsidP="007F4B94">
            <w:pPr>
              <w:pStyle w:val="P68B1DB1-Normal11"/>
              <w:jc w:val="center"/>
              <w:rPr>
                <w:noProof/>
                <w:szCs w:val="20"/>
              </w:rPr>
            </w:pPr>
            <w:r>
              <w:rPr>
                <w:noProof/>
              </w:rPr>
              <w:t>EI OLE</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D9B190" w14:textId="77777777" w:rsidR="00E42B18" w:rsidRDefault="009629C4" w:rsidP="007F4B94">
            <w:pPr>
              <w:pStyle w:val="P68B1DB1-Normal11"/>
              <w:jc w:val="center"/>
              <w:rPr>
                <w:noProof/>
                <w:szCs w:val="20"/>
              </w:rPr>
            </w:pPr>
            <w:r>
              <w:rPr>
                <w:noProof/>
              </w:rPr>
              <w:t>EI OLE</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DD587" w14:textId="77777777" w:rsidR="00E42B18" w:rsidRDefault="009629C4" w:rsidP="007F4B94">
            <w:pPr>
              <w:pStyle w:val="P68B1DB1-Normal11"/>
              <w:jc w:val="center"/>
              <w:rPr>
                <w:noProof/>
                <w:szCs w:val="20"/>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758252" w14:textId="77777777" w:rsidR="00E42B18" w:rsidRDefault="009629C4" w:rsidP="007F4B94">
            <w:pPr>
              <w:pStyle w:val="P68B1DB1-Normal11"/>
              <w:jc w:val="center"/>
              <w:rPr>
                <w:noProof/>
                <w:szCs w:val="20"/>
              </w:rPr>
            </w:pPr>
            <w:r>
              <w:rPr>
                <w:noProof/>
              </w:rPr>
              <w:t>2022</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55B4D" w14:textId="77777777" w:rsidR="00E42B18" w:rsidRDefault="009629C4" w:rsidP="007F4B94">
            <w:pPr>
              <w:pStyle w:val="P68B1DB1-Normal11"/>
              <w:rPr>
                <w:noProof/>
                <w:szCs w:val="20"/>
              </w:rPr>
            </w:pPr>
            <w:r>
              <w:rPr>
                <w:noProof/>
              </w:rPr>
              <w:t xml:space="preserve">Hankintasopimuksen tekeminen teollisuuslaitoksen rakentamisesta elektrolyysilaitteiden tuotantoa varten. </w:t>
            </w:r>
          </w:p>
        </w:tc>
      </w:tr>
      <w:tr w:rsidR="00E42B18" w14:paraId="2F6F8428" w14:textId="77777777" w:rsidTr="007F4B94">
        <w:trPr>
          <w:trHeight w:val="309"/>
          <w:jc w:val="center"/>
        </w:trPr>
        <w:tc>
          <w:tcPr>
            <w:tcW w:w="15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531AC0" w14:textId="77777777" w:rsidR="00E42B18" w:rsidRDefault="009629C4" w:rsidP="007F4B94">
            <w:pPr>
              <w:pStyle w:val="P68B1DB1-Normal12"/>
              <w:jc w:val="center"/>
              <w:rPr>
                <w:noProof/>
              </w:rPr>
            </w:pPr>
            <w:r>
              <w:rPr>
                <w:noProof/>
              </w:rPr>
              <w:t>M2C2–53</w:t>
            </w:r>
          </w:p>
        </w:tc>
        <w:tc>
          <w:tcPr>
            <w:tcW w:w="23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360155" w14:textId="77777777" w:rsidR="00E42B18" w:rsidRDefault="009629C4" w:rsidP="007F4B94">
            <w:pPr>
              <w:pStyle w:val="P68B1DB1-Normal11"/>
              <w:jc w:val="center"/>
              <w:rPr>
                <w:noProof/>
                <w:szCs w:val="20"/>
              </w:rPr>
            </w:pPr>
            <w:r>
              <w:rPr>
                <w:noProof/>
              </w:rPr>
              <w:t>Investointi 5.2 Vety</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DDB98" w14:textId="77777777" w:rsidR="00E42B18" w:rsidRDefault="009629C4" w:rsidP="007F4B94">
            <w:pPr>
              <w:pStyle w:val="P68B1DB1-Normal11"/>
              <w:jc w:val="center"/>
              <w:rPr>
                <w:noProof/>
                <w:szCs w:val="20"/>
              </w:rPr>
            </w:pPr>
            <w:r>
              <w:rPr>
                <w:noProof/>
              </w:rPr>
              <w:t>Kohde</w:t>
            </w:r>
          </w:p>
        </w:tc>
        <w:tc>
          <w:tcPr>
            <w:tcW w:w="227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3E1529" w14:textId="77777777" w:rsidR="00E42B18" w:rsidRDefault="009629C4" w:rsidP="007F4B94">
            <w:pPr>
              <w:pStyle w:val="P68B1DB1-Normal11"/>
              <w:jc w:val="center"/>
              <w:rPr>
                <w:noProof/>
                <w:szCs w:val="20"/>
              </w:rPr>
            </w:pPr>
            <w:r>
              <w:rPr>
                <w:noProof/>
              </w:rPr>
              <w:t xml:space="preserve">Rakennetut teollisuuslaitokset </w:t>
            </w:r>
          </w:p>
        </w:tc>
        <w:tc>
          <w:tcPr>
            <w:tcW w:w="23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E8F8D" w14:textId="77777777" w:rsidR="00E42B18" w:rsidRDefault="009629C4" w:rsidP="007F4B94">
            <w:pPr>
              <w:pStyle w:val="P68B1DB1-Normal11"/>
              <w:jc w:val="center"/>
              <w:rPr>
                <w:noProof/>
                <w:szCs w:val="20"/>
              </w:rPr>
            </w:pPr>
            <w:r>
              <w:rPr>
                <w:noProof/>
              </w:rPr>
              <w:t>EI OLE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95DCE8" w14:textId="77777777" w:rsidR="00E42B18" w:rsidRDefault="009629C4" w:rsidP="007F4B94">
            <w:pPr>
              <w:pStyle w:val="P68B1DB1-Normal11"/>
              <w:jc w:val="center"/>
              <w:rPr>
                <w:noProof/>
                <w:szCs w:val="20"/>
              </w:rPr>
            </w:pPr>
            <w:r>
              <w:rPr>
                <w:noProof/>
              </w:rPr>
              <w:t>Numero</w:t>
            </w:r>
          </w:p>
        </w:tc>
        <w:tc>
          <w:tcPr>
            <w:tcW w:w="11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486B19" w14:textId="77777777" w:rsidR="00E42B18" w:rsidRDefault="009629C4" w:rsidP="007F4B94">
            <w:pPr>
              <w:pStyle w:val="P68B1DB1-Normal11"/>
              <w:jc w:val="center"/>
              <w:rPr>
                <w:noProof/>
                <w:szCs w:val="20"/>
              </w:rPr>
            </w:pPr>
            <w:r>
              <w:rPr>
                <w:noProof/>
              </w:rPr>
              <w:t>0</w:t>
            </w:r>
          </w:p>
        </w:tc>
        <w:tc>
          <w:tcPr>
            <w:tcW w:w="11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18E7B" w14:textId="77777777" w:rsidR="00E42B18" w:rsidRDefault="009629C4" w:rsidP="007F4B94">
            <w:pPr>
              <w:pStyle w:val="P68B1DB1-Normal11"/>
              <w:jc w:val="center"/>
              <w:rPr>
                <w:noProof/>
                <w:szCs w:val="20"/>
              </w:rPr>
            </w:pPr>
            <w:r>
              <w:rPr>
                <w:noProof/>
              </w:rPr>
              <w:t>1</w:t>
            </w:r>
          </w:p>
        </w:tc>
        <w:tc>
          <w:tcPr>
            <w:tcW w:w="9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03AF06" w14:textId="77777777" w:rsidR="00E42B18" w:rsidRDefault="009629C4" w:rsidP="007F4B94">
            <w:pPr>
              <w:pStyle w:val="P68B1DB1-Normal11"/>
              <w:jc w:val="center"/>
              <w:rPr>
                <w:noProof/>
                <w:szCs w:val="20"/>
              </w:rPr>
            </w:pPr>
            <w:r>
              <w:rPr>
                <w:noProof/>
              </w:rPr>
              <w:t>Q2</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E1E59" w14:textId="77777777" w:rsidR="00E42B18" w:rsidRDefault="009629C4" w:rsidP="007F4B94">
            <w:pPr>
              <w:pStyle w:val="P68B1DB1-Normal11"/>
              <w:jc w:val="center"/>
              <w:rPr>
                <w:noProof/>
                <w:szCs w:val="20"/>
              </w:rPr>
            </w:pPr>
            <w:r>
              <w:rPr>
                <w:noProof/>
              </w:rPr>
              <w:t>2026</w:t>
            </w:r>
          </w:p>
        </w:tc>
        <w:tc>
          <w:tcPr>
            <w:tcW w:w="12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8CA3A9" w14:textId="02725E73" w:rsidR="00E42B18" w:rsidRDefault="009629C4" w:rsidP="007F4B94">
            <w:pPr>
              <w:pStyle w:val="P68B1DB1-Normal12"/>
              <w:rPr>
                <w:noProof/>
              </w:rPr>
            </w:pPr>
            <w:r>
              <w:rPr>
                <w:noProof/>
              </w:rPr>
              <w:t>Vähintään yhden elektrolyysilaitteiden tai modulaarisen pinon valmistukseen tarkoitetun teollisuuslaitoksen rakennustöiden valmistumistodistukset. Laitosten yhteenlasketun valmistuskapasiteetin on oltava vähintään 890 MW vuodessa.</w:t>
            </w:r>
          </w:p>
        </w:tc>
      </w:tr>
    </w:tbl>
    <w:p w14:paraId="3C108043" w14:textId="77777777" w:rsidR="00E42B18" w:rsidRDefault="00E42B18">
      <w:pPr>
        <w:rPr>
          <w:noProof/>
        </w:rPr>
        <w:sectPr w:rsidR="00E42B18" w:rsidSect="005A558B">
          <w:headerReference w:type="default" r:id="rId98"/>
          <w:footerReference w:type="default" r:id="rId99"/>
          <w:pgSz w:w="16838" w:h="11906" w:orient="landscape"/>
          <w:pgMar w:top="1440" w:right="1440" w:bottom="1440" w:left="1440" w:header="708" w:footer="708" w:gutter="0"/>
          <w:cols w:space="708"/>
          <w:docGrid w:linePitch="360"/>
        </w:sectPr>
      </w:pPr>
    </w:p>
    <w:p w14:paraId="4EBCA40F" w14:textId="6296DC50" w:rsidR="00E42B18" w:rsidRDefault="009629C4">
      <w:pPr>
        <w:pStyle w:val="P68B1DB1-Heading23"/>
        <w:ind w:left="1080"/>
        <w:rPr>
          <w:noProof/>
        </w:rPr>
      </w:pPr>
      <w:r>
        <w:rPr>
          <w:noProof/>
        </w:rPr>
        <w:t>F. 2 KOSKEVAT MÄÄRÄT 3 – Rakennusten energiatehokkuus ja uudelleenvalidointi</w:t>
      </w:r>
    </w:p>
    <w:p w14:paraId="35EEBAED" w14:textId="77777777" w:rsidR="00E42B18" w:rsidRDefault="009629C4">
      <w:pPr>
        <w:pStyle w:val="P68B1DB1-Normal7"/>
        <w:spacing w:before="120" w:after="120"/>
        <w:jc w:val="both"/>
        <w:rPr>
          <w:noProof/>
        </w:rPr>
      </w:pPr>
      <w:r>
        <w:rPr>
          <w:noProof/>
        </w:rPr>
        <w:t xml:space="preserve">Energiatehokkuus on tämän komponentin kulmakivi, ja se jakautuu kolmeen pääpilariin. </w:t>
      </w:r>
    </w:p>
    <w:p w14:paraId="2285EA05" w14:textId="77777777" w:rsidR="00E42B18" w:rsidRDefault="009629C4">
      <w:pPr>
        <w:pStyle w:val="P68B1DB1-Normal7"/>
        <w:numPr>
          <w:ilvl w:val="0"/>
          <w:numId w:val="29"/>
        </w:numPr>
        <w:spacing w:before="120" w:after="120" w:line="240" w:lineRule="auto"/>
        <w:ind w:left="360"/>
        <w:contextualSpacing/>
        <w:jc w:val="both"/>
        <w:rPr>
          <w:noProof/>
        </w:rPr>
      </w:pPr>
      <w:r>
        <w:rPr>
          <w:noProof/>
        </w:rPr>
        <w:t xml:space="preserve">Ensimmäisessä pilarissa otetaan käyttöön väliaikainen kannustin yksityisten kiinteistöjen energia-alan kunnostamiseen ja maanjäristysten torjuntaan vähentämällä toimista aiheutuneet kustannukset verotuksessa. Tukikelpoisia ovat toimet, joilla lisätään asunnon energiatehokkuutta vähintään kahdella energiatodistuksen luokalla, jolloin energiankulutus paranee keskimäärin yli 30 prosenttia. </w:t>
      </w:r>
    </w:p>
    <w:p w14:paraId="066F8614" w14:textId="77777777" w:rsidR="00E42B18" w:rsidRDefault="009629C4">
      <w:pPr>
        <w:pStyle w:val="P68B1DB1-Normal7"/>
        <w:numPr>
          <w:ilvl w:val="0"/>
          <w:numId w:val="29"/>
        </w:numPr>
        <w:spacing w:before="120" w:after="120" w:line="240" w:lineRule="auto"/>
        <w:ind w:left="360"/>
        <w:contextualSpacing/>
        <w:jc w:val="both"/>
        <w:rPr>
          <w:noProof/>
        </w:rPr>
      </w:pPr>
      <w:r>
        <w:rPr>
          <w:noProof/>
        </w:rPr>
        <w:t>Osa-alueen toinen pilari on julkisten koulujen ja oikeusoppilaitosten tehokkuuden ja turvallisuuden parantaminen.</w:t>
      </w:r>
    </w:p>
    <w:p w14:paraId="7F7772F2" w14:textId="77777777" w:rsidR="00E42B18" w:rsidRDefault="009629C4">
      <w:pPr>
        <w:pStyle w:val="P68B1DB1-Normal7"/>
        <w:numPr>
          <w:ilvl w:val="0"/>
          <w:numId w:val="29"/>
        </w:numPr>
        <w:spacing w:before="120" w:after="120" w:line="240" w:lineRule="auto"/>
        <w:ind w:left="360"/>
        <w:contextualSpacing/>
        <w:jc w:val="both"/>
        <w:rPr>
          <w:noProof/>
        </w:rPr>
      </w:pPr>
      <w:r>
        <w:rPr>
          <w:noProof/>
        </w:rPr>
        <w:t xml:space="preserve">Kolmannen pilarin tavoitteena on edistää tehokkaiden kaukolämpöverkkojen rakentamista ja laajentamista kaupunkialueilla. </w:t>
      </w:r>
    </w:p>
    <w:p w14:paraId="2481AB45" w14:textId="77777777" w:rsidR="00E42B18" w:rsidRDefault="009629C4">
      <w:pPr>
        <w:pStyle w:val="P68B1DB1-Normal7"/>
        <w:spacing w:before="120" w:after="120"/>
        <w:jc w:val="both"/>
        <w:rPr>
          <w:noProof/>
        </w:rPr>
      </w:pPr>
      <w:r>
        <w:rPr>
          <w:noProof/>
        </w:rPr>
        <w:t xml:space="preserve">Lisäksi on tehty useita uudistuksia, joilla yksinkertaistetaan ja nopeutetaan rakennusten energiatehokkuuden parantamiseen tähtäävien hankkeiden toteuttamista. </w:t>
      </w:r>
    </w:p>
    <w:p w14:paraId="1D944B90" w14:textId="76982F28" w:rsidR="00E42B18" w:rsidRDefault="009629C4">
      <w:pPr>
        <w:pStyle w:val="P68B1DB1-Normal7"/>
        <w:spacing w:before="120" w:after="120"/>
        <w:jc w:val="both"/>
        <w:rPr>
          <w:noProof/>
        </w:rPr>
      </w:pPr>
      <w:r>
        <w:rPr>
          <w:noProof/>
        </w:rPr>
        <w:t xml:space="preserve">Tämän komponentin odotetaan edistävän voimakkaasti Italian vuoden 2030 ilmasto- ja energiatavoitteiden saavuttamista, koska siviilialan osuus Italian kokonaisenergiankulutuksesta on lähes puolet. Suurin osa rakennuksista on rakennettu ennen energiansäästökriteerien hyväksymistä ja vastaavan lainsäädännön voimaantuloa, joten energiatehokkuuteen ja maanjäristyksiin sopeutumiseen liittyvät tarpeet ovat huomattavat. </w:t>
      </w:r>
    </w:p>
    <w:p w14:paraId="5D239074" w14:textId="77777777" w:rsidR="00E42B18" w:rsidRDefault="009629C4">
      <w:pPr>
        <w:pStyle w:val="P68B1DB1-Normal7"/>
        <w:spacing w:before="120" w:after="120"/>
        <w:jc w:val="both"/>
        <w:rPr>
          <w:noProof/>
        </w:rPr>
      </w:pPr>
      <w:r>
        <w:rPr>
          <w:noProof/>
        </w:rPr>
        <w:t>Tällä osa-alueella käsitellään osaa vuoden 2020 maakohtaisesta suosituksesta 3, jossa neuvosto suositti Italialle, että se toteuttaisi toimia vihreään ja digitaaliseen siirtymään, erityisesti [...] vesihuoltoon, sekä vahvistettuun digitaaliseen infrastruktuuriin tehtävien investointien edistämiseksi keskeisten palvelujen tarjoamisen varmistamiseksi. Siinä käsitellään myös osia vuoden 2019 maakohtaisista suosituksista 3 (”Infrastruktuurin laatua koskeva painopiste-investointeihin liittyvä talouspolitiikka, jossa otetaan huomioon alueelliset erot. [...] ja parantaa julkishallinnon tehokkuutta [...] nopeuttamalla digitalisaatiota ja parantamalla paikallisten julkisten palvelujen tehokkuutta ja laatua).</w:t>
      </w:r>
    </w:p>
    <w:p w14:paraId="3869945F" w14:textId="77777777" w:rsidR="00E42B18" w:rsidRDefault="009629C4">
      <w:pPr>
        <w:pStyle w:val="P68B1DB1-Normal7"/>
        <w:spacing w:before="120" w:after="120"/>
        <w:jc w:val="both"/>
        <w:rPr>
          <w:noProof/>
        </w:rPr>
      </w:pPr>
      <w:r>
        <w:rPr>
          <w:noProof/>
        </w:rPr>
        <w:t xml:space="preserve">Minkään tämän komponentin toimenpiteen ei odoteta aiheuttavan asetuksen (EU) 2020/852 17 artiklassa tarkoitettua merkittävää haittaa ympäristötavoitteille, kun otetaan huomioon ”ei merkittävää haittaa” -periaatteen soveltamista koskevien teknisten ohjeiden (2021/C58/01) mukaiset elpymis- ja palautumissuunnitelmassa esitettyjen toimenpiteiden kuvaus ja lieventävät toimet. </w:t>
      </w:r>
    </w:p>
    <w:p w14:paraId="456DDF5F" w14:textId="77777777" w:rsidR="00E42B18" w:rsidRDefault="009629C4">
      <w:pPr>
        <w:pStyle w:val="P68B1DB1-Heading39"/>
        <w:ind w:left="850" w:hanging="850"/>
        <w:rPr>
          <w:b/>
          <w:bCs/>
          <w:i/>
          <w:iCs/>
          <w:noProof/>
          <w:color w:val="156082" w:themeColor="accent1"/>
          <w:u w:val="single"/>
        </w:rPr>
      </w:pPr>
      <w:r>
        <w:rPr>
          <w:b/>
          <w:noProof/>
          <w:u w:val="single"/>
        </w:rPr>
        <w:t xml:space="preserve">F.1 </w:t>
      </w:r>
      <w:r>
        <w:rPr>
          <w:noProof/>
        </w:rPr>
        <w:t xml:space="preserve"> </w:t>
      </w:r>
      <w:r>
        <w:rPr>
          <w:b/>
          <w:noProof/>
          <w:u w:val="single"/>
        </w:rPr>
        <w:t>Kuvaus uudistuksista ja investoinneista, joita rahoitetaan rahoitustuella, jota ei makseta takaisin</w:t>
      </w:r>
    </w:p>
    <w:p w14:paraId="231F17B4" w14:textId="77777777" w:rsidR="00E42B18" w:rsidRDefault="009629C4">
      <w:pPr>
        <w:pStyle w:val="P68B1DB1-Normal5"/>
        <w:spacing w:before="120" w:after="120" w:line="257" w:lineRule="auto"/>
        <w:jc w:val="both"/>
        <w:rPr>
          <w:bCs/>
          <w:noProof/>
        </w:rPr>
      </w:pPr>
      <w:r>
        <w:rPr>
          <w:noProof/>
        </w:rPr>
        <w:t>Investointi 2.1: Energiatehokkuutta koskevan ekobonuksen vahvistaminen</w:t>
      </w:r>
    </w:p>
    <w:p w14:paraId="7ADD2636" w14:textId="5A1DD616" w:rsidR="00E42B18" w:rsidRDefault="009629C4">
      <w:pPr>
        <w:pStyle w:val="P68B1DB1-Normal7"/>
        <w:spacing w:before="120" w:after="120"/>
        <w:jc w:val="both"/>
        <w:rPr>
          <w:noProof/>
        </w:rPr>
      </w:pPr>
      <w:r>
        <w:rPr>
          <w:noProof/>
        </w:rPr>
        <w:t>Tämän toimenpiteen tavoitteena on tukea asuinrakennusten energiaperuskorjausta. Toimenpide koostuu tuen tarjoamisesta verovähennyksen muodossa tai vaihtoehtona verovähennysvälineelle rahoitusvälineiden muodossa (ns. tilisiirto ja laskutusalennus) tietyille organisaatioiden ja kotitalouksien ryhmille.</w:t>
      </w:r>
    </w:p>
    <w:p w14:paraId="263625F9" w14:textId="77777777" w:rsidR="00E42B18" w:rsidRDefault="009629C4">
      <w:pPr>
        <w:pStyle w:val="P68B1DB1-Normal5"/>
        <w:spacing w:before="120" w:after="120"/>
        <w:jc w:val="both"/>
        <w:rPr>
          <w:bCs/>
          <w:noProof/>
        </w:rPr>
      </w:pPr>
      <w:r>
        <w:rPr>
          <w:noProof/>
        </w:rPr>
        <w:t>Uudistus 1.1 – Energiatehokkuustoimia koskevien menettelyjen yksinkertaistaminen ja nopeuttaminen</w:t>
      </w:r>
    </w:p>
    <w:p w14:paraId="065B94EE" w14:textId="77777777" w:rsidR="00E42B18" w:rsidRDefault="009629C4">
      <w:pPr>
        <w:pStyle w:val="P68B1DB1-Normal7"/>
        <w:spacing w:before="120" w:after="120"/>
        <w:jc w:val="both"/>
        <w:rPr>
          <w:noProof/>
        </w:rPr>
      </w:pPr>
      <w:r>
        <w:rPr>
          <w:noProof/>
        </w:rPr>
        <w:t>Uudistuksella pyritään yksinkertaistamaan ja nopeuttamaan energiatehokkuuteen liittyvien toimien täytäntöönpanomenettelyjä. Se koostuu neljästä päätoimesta:</w:t>
      </w:r>
    </w:p>
    <w:p w14:paraId="026D2F47" w14:textId="77777777" w:rsidR="00E42B18" w:rsidRDefault="009629C4">
      <w:pPr>
        <w:pStyle w:val="P68B1DB1-Normal7"/>
        <w:numPr>
          <w:ilvl w:val="0"/>
          <w:numId w:val="30"/>
        </w:numPr>
        <w:spacing w:before="120" w:after="120" w:line="240" w:lineRule="auto"/>
        <w:ind w:left="357" w:hanging="357"/>
        <w:contextualSpacing/>
        <w:jc w:val="both"/>
        <w:rPr>
          <w:noProof/>
        </w:rPr>
      </w:pPr>
      <w:r>
        <w:rPr>
          <w:noProof/>
        </w:rPr>
        <w:t xml:space="preserve">Rakennusten energiatehokkuutta koskevan kansallisen portaalin </w:t>
      </w:r>
      <w:r>
        <w:rPr>
          <w:b/>
          <w:noProof/>
        </w:rPr>
        <w:t xml:space="preserve">käyttöönotto: </w:t>
      </w:r>
      <w:r>
        <w:rPr>
          <w:noProof/>
        </w:rPr>
        <w:t xml:space="preserve">Portaali tukee kansalaisia ja toimijoita energiatehokkuushankkeiden hallinnoinnissa, ja sen on oltava päätöksentekijöiden kannalta helppo tiedonlähde. Sen on sisällettävä tietoja kansallisen rakennuskannan energiatehokkuudesta, jonka odotetaan auttavan yrityksiä ja kansalaisia niiden kiinteistöjen energiatehokkuuden parantamista koskevissa päätöksissä. Perustetaan keskitetty palvelupiste, joka tarjoaa kansalaisille ja yrityksille apua ja kaikkea hyödyllistä tietoa rakennusten energiakartoituksesta, alakohtaisten säännösten noudattamisesta, tehokkuusmahdollisuuksien arvioinnista ja ensisijaisten toimien valinnasta, mukaan lukien vaiheittain toteutettavat uudelleenkehittämissuunnitelmat, tarkoitukseen sopivimpien edistämisvälineiden valinnasta ja ammatillisten taitojen koulutuksesta. </w:t>
      </w:r>
    </w:p>
    <w:p w14:paraId="31BB6ED7" w14:textId="77777777" w:rsidR="00E42B18" w:rsidRDefault="009629C4">
      <w:pPr>
        <w:pStyle w:val="P68B1DB1-Normal7"/>
        <w:numPr>
          <w:ilvl w:val="0"/>
          <w:numId w:val="30"/>
        </w:numPr>
        <w:spacing w:before="120" w:after="120" w:line="240" w:lineRule="auto"/>
        <w:ind w:left="357" w:hanging="357"/>
        <w:contextualSpacing/>
        <w:jc w:val="both"/>
        <w:rPr>
          <w:b/>
          <w:noProof/>
        </w:rPr>
      </w:pPr>
      <w:r>
        <w:rPr>
          <w:noProof/>
        </w:rPr>
        <w:t xml:space="preserve">Siviilialalle </w:t>
      </w:r>
      <w:r>
        <w:rPr>
          <w:b/>
          <w:noProof/>
        </w:rPr>
        <w:t xml:space="preserve">suunnattuun tiedotus- ja koulutussuunnitelmaan sisältyvien toimien vahvistaminen – </w:t>
      </w:r>
      <w:r>
        <w:rPr>
          <w:noProof/>
        </w:rPr>
        <w:t>Tiedotus- ja koulutussuunnitelmassa on otettava huomioon tarve kehittää sekä erityisiä aloitteita, joilla pyritään paikkaamaan kotitalouksien loppukäyttäjien tietovajetta, että asianmukaisia koulutustoimia, jotka koskevat kannustimia ja tehokkaimpia toimia energiapalveluja tarjoaville yrityksille, jotka toteuttavat toimia, ja kondominiumin hallinnoijille. Suunnitelma on laadittava ottaen huomioon Superbonus-toimenpiteestä johtuvat tarpeet, jotta voidaan maksimoida sen vaikuttavuus ja luoda perusta kestävälle rakennusalan tehokkuuskulttuurille.</w:t>
      </w:r>
      <w:r>
        <w:rPr>
          <w:b/>
          <w:noProof/>
        </w:rPr>
        <w:t xml:space="preserve"> </w:t>
      </w:r>
    </w:p>
    <w:p w14:paraId="7E9802D9" w14:textId="77777777" w:rsidR="00E42B18" w:rsidRDefault="009629C4">
      <w:pPr>
        <w:pStyle w:val="P68B1DB1-Normal7"/>
        <w:numPr>
          <w:ilvl w:val="0"/>
          <w:numId w:val="30"/>
        </w:numPr>
        <w:spacing w:before="120" w:after="120" w:line="240" w:lineRule="auto"/>
        <w:ind w:left="357" w:hanging="357"/>
        <w:contextualSpacing/>
        <w:jc w:val="both"/>
        <w:rPr>
          <w:noProof/>
        </w:rPr>
      </w:pPr>
      <w:r>
        <w:rPr>
          <w:noProof/>
        </w:rPr>
        <w:t xml:space="preserve">Kansallisen energiatehokkuusrahaston </w:t>
      </w:r>
      <w:r>
        <w:rPr>
          <w:b/>
          <w:noProof/>
        </w:rPr>
        <w:t xml:space="preserve">päivittäminen ja vahvistaminen: Kansallisen energiatehokkuusrahaston perustamisesta ja hallinnoinnista annettujen asetusten (asetuksen 102/2014 15 § ja 22. joulukuuta 2017 annettu ministeriöiden välinen asetus) tarkistamisen </w:t>
      </w:r>
      <w:r>
        <w:rPr>
          <w:noProof/>
        </w:rPr>
        <w:t xml:space="preserve">myötä tulee voimaan muutoksia, joilla edistetään käytettävissä olevien resurssien tehostamista ja käyttöä. </w:t>
      </w:r>
    </w:p>
    <w:p w14:paraId="5C05EB22" w14:textId="77777777" w:rsidR="00E42B18" w:rsidRDefault="009629C4">
      <w:pPr>
        <w:pStyle w:val="P68B1DB1-Normal7"/>
        <w:numPr>
          <w:ilvl w:val="0"/>
          <w:numId w:val="30"/>
        </w:numPr>
        <w:spacing w:before="120" w:after="120" w:line="240" w:lineRule="auto"/>
        <w:ind w:left="357" w:hanging="357"/>
        <w:contextualSpacing/>
        <w:jc w:val="both"/>
        <w:rPr>
          <w:noProof/>
        </w:rPr>
      </w:pPr>
      <w:r>
        <w:rPr>
          <w:noProof/>
        </w:rPr>
        <w:t xml:space="preserve">Keskitetyn julkisen kehittämisohjelman EPAC-ohjelmasta rahoitettujen hankkeiden täytäntöönpanovaiheen </w:t>
      </w:r>
      <w:r>
        <w:rPr>
          <w:b/>
          <w:noProof/>
        </w:rPr>
        <w:t xml:space="preserve">nopeuttaminen: On toteutettava </w:t>
      </w:r>
      <w:r>
        <w:rPr>
          <w:noProof/>
        </w:rPr>
        <w:t>sääntelyn uudelleentarkastelu, jonka tarkoituksena on edistää keskushallinnon (PREPAC) rakennusten uudelleenjärjestelyohjelmaan (PREPAC) osoitettujen resurssien tehokkaampaa hallinnointia.</w:t>
      </w:r>
    </w:p>
    <w:p w14:paraId="5BCAB7CB" w14:textId="38E98E5A" w:rsidR="00E42B18" w:rsidRDefault="00E42B18">
      <w:pPr>
        <w:numPr>
          <w:ilvl w:val="0"/>
          <w:numId w:val="30"/>
        </w:numPr>
        <w:spacing w:before="120" w:after="120" w:line="240" w:lineRule="auto"/>
        <w:ind w:left="357" w:hanging="357"/>
        <w:contextualSpacing/>
        <w:jc w:val="both"/>
        <w:rPr>
          <w:rFonts w:ascii="Times New Roman" w:hAnsi="Times New Roman" w:cs="Times New Roman"/>
          <w:noProof/>
        </w:rPr>
        <w:sectPr w:rsidR="00E42B18" w:rsidSect="005F11B9">
          <w:headerReference w:type="default" r:id="rId100"/>
          <w:footerReference w:type="default" r:id="rId101"/>
          <w:pgSz w:w="11906" w:h="16838"/>
          <w:pgMar w:top="1440" w:right="1440" w:bottom="1440" w:left="1440" w:header="708" w:footer="708" w:gutter="0"/>
          <w:cols w:space="708"/>
          <w:docGrid w:linePitch="360"/>
        </w:sectPr>
      </w:pPr>
    </w:p>
    <w:p w14:paraId="0C67A6EB" w14:textId="15E665A6" w:rsidR="00E42B18" w:rsidRDefault="009629C4">
      <w:pPr>
        <w:pStyle w:val="P68B1DB1-Heading368"/>
        <w:ind w:left="850" w:hanging="850"/>
        <w:rPr>
          <w:noProof/>
        </w:rPr>
      </w:pPr>
      <w:r>
        <w:rPr>
          <w:noProof/>
        </w:rPr>
        <w:t xml:space="preserve">F.2 </w:t>
      </w:r>
      <w:r>
        <w:rPr>
          <w:noProof/>
        </w:rPr>
        <w:tab/>
        <w:t>Seurantaa ja täytäntöönpanoa koskevat välitavoitteet, tavoitteet, indikaattorit ja aikataulu – rahoitustuki, jota ei makseta takaisin</w:t>
      </w:r>
    </w:p>
    <w:p w14:paraId="35F5C65B" w14:textId="77777777" w:rsidR="00E42B18" w:rsidRDefault="00E42B18">
      <w:pPr>
        <w:spacing w:before="120" w:after="120"/>
        <w:ind w:left="709"/>
        <w:jc w:val="both"/>
        <w:rPr>
          <w:noProof/>
        </w:rPr>
      </w:pPr>
    </w:p>
    <w:tbl>
      <w:tblPr>
        <w:tblOverlap w:val="never"/>
        <w:tblW w:w="15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3"/>
        <w:gridCol w:w="1574"/>
        <w:gridCol w:w="1133"/>
        <w:gridCol w:w="1843"/>
        <w:gridCol w:w="1560"/>
        <w:gridCol w:w="1256"/>
        <w:gridCol w:w="871"/>
        <w:gridCol w:w="989"/>
        <w:gridCol w:w="994"/>
        <w:gridCol w:w="710"/>
        <w:gridCol w:w="3902"/>
      </w:tblGrid>
      <w:tr w:rsidR="00E42B18" w14:paraId="7287959F" w14:textId="77777777">
        <w:trPr>
          <w:cantSplit/>
          <w:trHeight w:val="300"/>
          <w:tblHeader/>
          <w:jc w:val="center"/>
        </w:trPr>
        <w:tc>
          <w:tcPr>
            <w:tcW w:w="1123" w:type="dxa"/>
            <w:vMerge w:val="restart"/>
            <w:shd w:val="clear" w:color="auto" w:fill="BBD2EA"/>
            <w:vAlign w:val="center"/>
          </w:tcPr>
          <w:p w14:paraId="000551F7" w14:textId="77777777" w:rsidR="00E42B18" w:rsidRDefault="009629C4">
            <w:pPr>
              <w:pStyle w:val="Other10"/>
              <w:jc w:val="center"/>
              <w:rPr>
                <w:rFonts w:ascii="Arial Narrow" w:hAnsi="Arial Narrow" w:cs="Arial"/>
                <w:noProof/>
                <w:sz w:val="20"/>
                <w:szCs w:val="20"/>
              </w:rPr>
            </w:pPr>
            <w:bookmarkStart w:id="18" w:name="_Hlk132960760"/>
            <w:r>
              <w:rPr>
                <w:rStyle w:val="Other1"/>
                <w:rFonts w:ascii="Arial Narrow" w:hAnsi="Arial Narrow" w:cs="Arial"/>
                <w:b/>
                <w:noProof/>
                <w:color w:val="000000" w:themeColor="text1"/>
                <w:sz w:val="20"/>
                <w:szCs w:val="20"/>
              </w:rPr>
              <w:t>Juokseva numero</w:t>
            </w:r>
          </w:p>
        </w:tc>
        <w:tc>
          <w:tcPr>
            <w:tcW w:w="1574" w:type="dxa"/>
            <w:vMerge w:val="restart"/>
            <w:shd w:val="clear" w:color="auto" w:fill="BBD2EA"/>
            <w:vAlign w:val="center"/>
          </w:tcPr>
          <w:p w14:paraId="67262ED8"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Liittyvät</w:t>
            </w:r>
          </w:p>
          <w:p w14:paraId="3EE00490"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Toimenpide (uudistus tai investointi)</w:t>
            </w:r>
          </w:p>
        </w:tc>
        <w:tc>
          <w:tcPr>
            <w:tcW w:w="1133" w:type="dxa"/>
            <w:vMerge w:val="restart"/>
            <w:shd w:val="clear" w:color="auto" w:fill="BBD2EA"/>
            <w:vAlign w:val="center"/>
          </w:tcPr>
          <w:p w14:paraId="331BE5D3"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Välitavoite/tavoite</w:t>
            </w:r>
          </w:p>
        </w:tc>
        <w:tc>
          <w:tcPr>
            <w:tcW w:w="1843" w:type="dxa"/>
            <w:vMerge w:val="restart"/>
            <w:shd w:val="clear" w:color="auto" w:fill="BBD2EA"/>
            <w:vAlign w:val="center"/>
          </w:tcPr>
          <w:p w14:paraId="504C9D81"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Nimi</w:t>
            </w:r>
          </w:p>
        </w:tc>
        <w:tc>
          <w:tcPr>
            <w:tcW w:w="1560" w:type="dxa"/>
            <w:vMerge w:val="restart"/>
            <w:shd w:val="clear" w:color="auto" w:fill="BBD2EA"/>
            <w:vAlign w:val="center"/>
          </w:tcPr>
          <w:p w14:paraId="26432D24"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Laadulliset indikaattorit (välitavoitteiden osalta)</w:t>
            </w:r>
          </w:p>
        </w:tc>
        <w:tc>
          <w:tcPr>
            <w:tcW w:w="3116" w:type="dxa"/>
            <w:gridSpan w:val="3"/>
            <w:shd w:val="clear" w:color="auto" w:fill="BBD2EA"/>
            <w:vAlign w:val="center"/>
          </w:tcPr>
          <w:p w14:paraId="7A27784B"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Määrälliset indikaattorit (tavoitteiden osalta)</w:t>
            </w:r>
          </w:p>
        </w:tc>
        <w:tc>
          <w:tcPr>
            <w:tcW w:w="1704" w:type="dxa"/>
            <w:gridSpan w:val="2"/>
            <w:shd w:val="clear" w:color="auto" w:fill="BBD2EA"/>
            <w:vAlign w:val="center"/>
          </w:tcPr>
          <w:p w14:paraId="573EDA9E"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Alustava toteutusaikataulu</w:t>
            </w:r>
          </w:p>
        </w:tc>
        <w:tc>
          <w:tcPr>
            <w:tcW w:w="3902" w:type="dxa"/>
            <w:vMerge w:val="restart"/>
            <w:shd w:val="clear" w:color="auto" w:fill="BBD2EA"/>
            <w:vAlign w:val="center"/>
          </w:tcPr>
          <w:p w14:paraId="2155C587" w14:textId="77777777" w:rsidR="00E42B18" w:rsidRDefault="009629C4">
            <w:pPr>
              <w:pStyle w:val="Other10"/>
              <w:ind w:firstLine="22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Kunkin välitavoitteen ja tavoitteen kuvaus</w:t>
            </w:r>
          </w:p>
        </w:tc>
      </w:tr>
      <w:tr w:rsidR="00E42B18" w14:paraId="22ACB0E6" w14:textId="77777777">
        <w:trPr>
          <w:cantSplit/>
          <w:trHeight w:val="300"/>
          <w:tblHeader/>
          <w:jc w:val="center"/>
        </w:trPr>
        <w:tc>
          <w:tcPr>
            <w:tcW w:w="1123" w:type="dxa"/>
            <w:vMerge/>
            <w:vAlign w:val="center"/>
          </w:tcPr>
          <w:p w14:paraId="5683DCD6" w14:textId="77777777" w:rsidR="00E42B18" w:rsidRDefault="00E42B18">
            <w:pPr>
              <w:jc w:val="center"/>
              <w:rPr>
                <w:rFonts w:ascii="Arial Narrow" w:hAnsi="Arial Narrow" w:cs="Arial"/>
                <w:noProof/>
                <w:sz w:val="20"/>
                <w:szCs w:val="20"/>
              </w:rPr>
            </w:pPr>
          </w:p>
        </w:tc>
        <w:tc>
          <w:tcPr>
            <w:tcW w:w="1574" w:type="dxa"/>
            <w:vMerge/>
            <w:vAlign w:val="center"/>
          </w:tcPr>
          <w:p w14:paraId="1BBBE31F" w14:textId="77777777" w:rsidR="00E42B18" w:rsidRDefault="00E42B18">
            <w:pPr>
              <w:jc w:val="center"/>
              <w:rPr>
                <w:rFonts w:ascii="Arial Narrow" w:hAnsi="Arial Narrow" w:cs="Arial"/>
                <w:noProof/>
                <w:sz w:val="20"/>
                <w:szCs w:val="20"/>
              </w:rPr>
            </w:pPr>
          </w:p>
        </w:tc>
        <w:tc>
          <w:tcPr>
            <w:tcW w:w="1133" w:type="dxa"/>
            <w:vMerge/>
            <w:vAlign w:val="center"/>
          </w:tcPr>
          <w:p w14:paraId="1204ECE3" w14:textId="77777777" w:rsidR="00E42B18" w:rsidRDefault="00E42B18">
            <w:pPr>
              <w:jc w:val="center"/>
              <w:rPr>
                <w:rFonts w:ascii="Arial Narrow" w:hAnsi="Arial Narrow" w:cs="Arial"/>
                <w:noProof/>
                <w:sz w:val="20"/>
                <w:szCs w:val="20"/>
              </w:rPr>
            </w:pPr>
          </w:p>
        </w:tc>
        <w:tc>
          <w:tcPr>
            <w:tcW w:w="1843" w:type="dxa"/>
            <w:vMerge/>
            <w:vAlign w:val="center"/>
          </w:tcPr>
          <w:p w14:paraId="62008506" w14:textId="77777777" w:rsidR="00E42B18" w:rsidRDefault="00E42B18">
            <w:pPr>
              <w:jc w:val="center"/>
              <w:rPr>
                <w:rFonts w:ascii="Arial Narrow" w:hAnsi="Arial Narrow" w:cs="Arial"/>
                <w:noProof/>
                <w:sz w:val="20"/>
                <w:szCs w:val="20"/>
              </w:rPr>
            </w:pPr>
          </w:p>
        </w:tc>
        <w:tc>
          <w:tcPr>
            <w:tcW w:w="1560" w:type="dxa"/>
            <w:vMerge/>
            <w:vAlign w:val="center"/>
          </w:tcPr>
          <w:p w14:paraId="48FC18BC" w14:textId="77777777" w:rsidR="00E42B18" w:rsidRDefault="00E42B18">
            <w:pPr>
              <w:jc w:val="center"/>
              <w:rPr>
                <w:rFonts w:ascii="Arial Narrow" w:hAnsi="Arial Narrow" w:cs="Arial"/>
                <w:noProof/>
                <w:sz w:val="20"/>
                <w:szCs w:val="20"/>
              </w:rPr>
            </w:pPr>
          </w:p>
        </w:tc>
        <w:tc>
          <w:tcPr>
            <w:tcW w:w="1256" w:type="dxa"/>
            <w:shd w:val="clear" w:color="auto" w:fill="BBD2EA"/>
            <w:vAlign w:val="center"/>
          </w:tcPr>
          <w:p w14:paraId="0A4DD12C"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Mitta-yksikkö</w:t>
            </w:r>
          </w:p>
        </w:tc>
        <w:tc>
          <w:tcPr>
            <w:tcW w:w="871" w:type="dxa"/>
            <w:shd w:val="clear" w:color="auto" w:fill="BBD2EA"/>
            <w:vAlign w:val="center"/>
          </w:tcPr>
          <w:p w14:paraId="665E3589"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Lähtötilanne</w:t>
            </w:r>
          </w:p>
        </w:tc>
        <w:tc>
          <w:tcPr>
            <w:tcW w:w="989" w:type="dxa"/>
            <w:shd w:val="clear" w:color="auto" w:fill="BBD2EA"/>
            <w:vAlign w:val="center"/>
          </w:tcPr>
          <w:p w14:paraId="4738BD95" w14:textId="77777777" w:rsidR="00E42B18" w:rsidRDefault="009629C4">
            <w:pPr>
              <w:pStyle w:val="Other10"/>
              <w:ind w:firstLine="28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Päämäärä</w:t>
            </w:r>
          </w:p>
        </w:tc>
        <w:tc>
          <w:tcPr>
            <w:tcW w:w="994" w:type="dxa"/>
            <w:shd w:val="clear" w:color="auto" w:fill="BBD2EA"/>
            <w:vAlign w:val="center"/>
          </w:tcPr>
          <w:p w14:paraId="66CDDDC9"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Neljännes</w:t>
            </w:r>
          </w:p>
        </w:tc>
        <w:tc>
          <w:tcPr>
            <w:tcW w:w="710" w:type="dxa"/>
            <w:shd w:val="clear" w:color="auto" w:fill="BBD2EA"/>
            <w:vAlign w:val="center"/>
          </w:tcPr>
          <w:p w14:paraId="02C24E00"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Vuosi</w:t>
            </w:r>
          </w:p>
        </w:tc>
        <w:tc>
          <w:tcPr>
            <w:tcW w:w="3902" w:type="dxa"/>
            <w:vMerge/>
            <w:vAlign w:val="center"/>
          </w:tcPr>
          <w:p w14:paraId="733711A4" w14:textId="77777777" w:rsidR="00E42B18" w:rsidRDefault="00E42B18">
            <w:pPr>
              <w:jc w:val="center"/>
              <w:rPr>
                <w:rFonts w:ascii="Arial Narrow" w:hAnsi="Arial Narrow" w:cs="Arial"/>
                <w:noProof/>
                <w:sz w:val="20"/>
                <w:szCs w:val="20"/>
              </w:rPr>
            </w:pPr>
          </w:p>
        </w:tc>
      </w:tr>
      <w:tr w:rsidR="00E42B18" w14:paraId="49704447" w14:textId="77777777">
        <w:trPr>
          <w:cantSplit/>
          <w:trHeight w:val="300"/>
          <w:jc w:val="center"/>
        </w:trPr>
        <w:tc>
          <w:tcPr>
            <w:tcW w:w="1123" w:type="dxa"/>
            <w:shd w:val="clear" w:color="auto" w:fill="C6EFCD"/>
            <w:vAlign w:val="center"/>
          </w:tcPr>
          <w:p w14:paraId="560B3CBF" w14:textId="66CA4BAF" w:rsidR="00E42B18" w:rsidRDefault="009629C4">
            <w:pPr>
              <w:pStyle w:val="P68B1DB1-Other1069"/>
              <w:jc w:val="center"/>
              <w:rPr>
                <w:rFonts w:cs="Arial"/>
                <w:noProof/>
              </w:rPr>
            </w:pPr>
            <w:r>
              <w:rPr>
                <w:noProof/>
              </w:rPr>
              <w:t>M2C3–1</w:t>
            </w:r>
          </w:p>
        </w:tc>
        <w:tc>
          <w:tcPr>
            <w:tcW w:w="1574" w:type="dxa"/>
            <w:shd w:val="clear" w:color="auto" w:fill="C6EFCD"/>
            <w:vAlign w:val="center"/>
          </w:tcPr>
          <w:p w14:paraId="08265963" w14:textId="169959F6" w:rsidR="00E42B18" w:rsidRDefault="009629C4">
            <w:pPr>
              <w:pStyle w:val="P68B1DB1-Other1069"/>
              <w:jc w:val="center"/>
              <w:rPr>
                <w:rStyle w:val="Other1"/>
                <w:rFonts w:cs="Arial"/>
                <w:noProof/>
              </w:rPr>
            </w:pPr>
            <w:r>
              <w:rPr>
                <w:noProof/>
              </w:rPr>
              <w:t>Investointi 2.1 – Energiatehokkuuden ekobonuksen vahvistaminen</w:t>
            </w:r>
          </w:p>
        </w:tc>
        <w:tc>
          <w:tcPr>
            <w:tcW w:w="1133" w:type="dxa"/>
            <w:shd w:val="clear" w:color="auto" w:fill="C6EFCD"/>
            <w:vAlign w:val="center"/>
          </w:tcPr>
          <w:p w14:paraId="423FD0F4" w14:textId="4B11DEA0" w:rsidR="00E42B18" w:rsidRDefault="009629C4">
            <w:pPr>
              <w:pStyle w:val="P68B1DB1-Other1069"/>
              <w:jc w:val="center"/>
              <w:rPr>
                <w:rStyle w:val="Other1"/>
                <w:rFonts w:cs="Arial"/>
                <w:noProof/>
              </w:rPr>
            </w:pPr>
            <w:r>
              <w:rPr>
                <w:noProof/>
              </w:rPr>
              <w:t>Virstanpylväs</w:t>
            </w:r>
          </w:p>
        </w:tc>
        <w:tc>
          <w:tcPr>
            <w:tcW w:w="1843" w:type="dxa"/>
            <w:shd w:val="clear" w:color="auto" w:fill="C6EFCD"/>
            <w:vAlign w:val="center"/>
          </w:tcPr>
          <w:p w14:paraId="253FFE01" w14:textId="07967193" w:rsidR="00E42B18" w:rsidRDefault="009629C4">
            <w:pPr>
              <w:pStyle w:val="P68B1DB1-Other1069"/>
              <w:jc w:val="center"/>
              <w:rPr>
                <w:rStyle w:val="Other1"/>
                <w:rFonts w:cs="Arial"/>
                <w:noProof/>
              </w:rPr>
            </w:pPr>
            <w:r>
              <w:rPr>
                <w:noProof/>
              </w:rPr>
              <w:t>Superbonuksen jatkamisen voimaantulo</w:t>
            </w:r>
          </w:p>
        </w:tc>
        <w:tc>
          <w:tcPr>
            <w:tcW w:w="1560" w:type="dxa"/>
            <w:shd w:val="clear" w:color="auto" w:fill="C6EFCD"/>
            <w:vAlign w:val="center"/>
          </w:tcPr>
          <w:p w14:paraId="23002C47" w14:textId="318FD8E3" w:rsidR="00E42B18" w:rsidRDefault="009629C4">
            <w:pPr>
              <w:pStyle w:val="P68B1DB1-Other1069"/>
              <w:jc w:val="center"/>
              <w:rPr>
                <w:rStyle w:val="Other1"/>
                <w:rFonts w:cs="Arial"/>
                <w:noProof/>
              </w:rPr>
            </w:pPr>
            <w:r>
              <w:rPr>
                <w:noProof/>
              </w:rPr>
              <w:t>Voimaantuloon viittaava säännös säädöksessä (säädöksissä)</w:t>
            </w:r>
          </w:p>
        </w:tc>
        <w:tc>
          <w:tcPr>
            <w:tcW w:w="1256" w:type="dxa"/>
            <w:shd w:val="clear" w:color="auto" w:fill="C6EFCD"/>
            <w:vAlign w:val="center"/>
          </w:tcPr>
          <w:p w14:paraId="58AF774F" w14:textId="7680570D" w:rsidR="00E42B18" w:rsidRDefault="009629C4">
            <w:pPr>
              <w:pStyle w:val="P68B1DB1-Other1069"/>
              <w:jc w:val="center"/>
              <w:rPr>
                <w:noProof/>
              </w:rPr>
            </w:pPr>
            <w:r>
              <w:rPr>
                <w:noProof/>
              </w:rPr>
              <w:t>EI OLE</w:t>
            </w:r>
          </w:p>
        </w:tc>
        <w:tc>
          <w:tcPr>
            <w:tcW w:w="871" w:type="dxa"/>
            <w:shd w:val="clear" w:color="auto" w:fill="C6EFCD"/>
            <w:vAlign w:val="center"/>
          </w:tcPr>
          <w:p w14:paraId="5E80F188" w14:textId="34987EB7" w:rsidR="00E42B18" w:rsidRDefault="009629C4">
            <w:pPr>
              <w:pStyle w:val="P68B1DB1-Other1069"/>
              <w:jc w:val="center"/>
              <w:rPr>
                <w:noProof/>
              </w:rPr>
            </w:pPr>
            <w:r>
              <w:rPr>
                <w:noProof/>
              </w:rPr>
              <w:t>EI OLE</w:t>
            </w:r>
          </w:p>
        </w:tc>
        <w:tc>
          <w:tcPr>
            <w:tcW w:w="989" w:type="dxa"/>
            <w:shd w:val="clear" w:color="auto" w:fill="C6EFCD"/>
            <w:vAlign w:val="center"/>
          </w:tcPr>
          <w:p w14:paraId="13BED476" w14:textId="59420905" w:rsidR="00E42B18" w:rsidRDefault="009629C4">
            <w:pPr>
              <w:pStyle w:val="P68B1DB1-Other1069"/>
              <w:jc w:val="center"/>
              <w:rPr>
                <w:noProof/>
              </w:rPr>
            </w:pPr>
            <w:r>
              <w:rPr>
                <w:noProof/>
              </w:rPr>
              <w:t>EI OLE</w:t>
            </w:r>
          </w:p>
        </w:tc>
        <w:tc>
          <w:tcPr>
            <w:tcW w:w="994" w:type="dxa"/>
            <w:shd w:val="clear" w:color="auto" w:fill="C6EFCD"/>
            <w:vAlign w:val="center"/>
          </w:tcPr>
          <w:p w14:paraId="1AE9757B" w14:textId="5560FD26" w:rsidR="00E42B18" w:rsidRDefault="009629C4">
            <w:pPr>
              <w:pStyle w:val="P68B1DB1-Other1069"/>
              <w:jc w:val="center"/>
              <w:rPr>
                <w:rFonts w:cs="Arial"/>
                <w:noProof/>
              </w:rPr>
            </w:pPr>
            <w:r>
              <w:rPr>
                <w:noProof/>
              </w:rPr>
              <w:t>Q4</w:t>
            </w:r>
          </w:p>
        </w:tc>
        <w:tc>
          <w:tcPr>
            <w:tcW w:w="710" w:type="dxa"/>
            <w:shd w:val="clear" w:color="auto" w:fill="C6EFCD"/>
            <w:vAlign w:val="center"/>
          </w:tcPr>
          <w:p w14:paraId="094CB585" w14:textId="04DC9012" w:rsidR="00E42B18" w:rsidRDefault="009629C4">
            <w:pPr>
              <w:pStyle w:val="P68B1DB1-Other1069"/>
              <w:jc w:val="center"/>
              <w:rPr>
                <w:rFonts w:cs="Arial"/>
                <w:noProof/>
              </w:rPr>
            </w:pPr>
            <w:r>
              <w:rPr>
                <w:noProof/>
              </w:rPr>
              <w:t>2021</w:t>
            </w:r>
          </w:p>
        </w:tc>
        <w:tc>
          <w:tcPr>
            <w:tcW w:w="3902" w:type="dxa"/>
            <w:shd w:val="clear" w:color="auto" w:fill="C6EFCD"/>
          </w:tcPr>
          <w:p w14:paraId="5EDC6DE1" w14:textId="1C8FC048" w:rsidR="00E42B18" w:rsidRDefault="009629C4">
            <w:pPr>
              <w:pStyle w:val="P68B1DB1-Other1069"/>
              <w:rPr>
                <w:rFonts w:cs="Arial"/>
                <w:noProof/>
              </w:rPr>
            </w:pPr>
            <w:r>
              <w:rPr>
                <w:noProof/>
              </w:rPr>
              <w:t>Säädöksellä jatketaan Ecobonus- ja ismabonus-etuuksia 31 päivään joulukuuta 2022 saakka kondominiumien osalta ja 30 päivään kesäkuuta 2023 sosiaalisen asuntotuotannon (IACP) osalta.</w:t>
            </w:r>
          </w:p>
        </w:tc>
      </w:tr>
      <w:tr w:rsidR="00E42B18" w14:paraId="4B03D9BA" w14:textId="77777777">
        <w:trPr>
          <w:cantSplit/>
          <w:trHeight w:val="300"/>
          <w:jc w:val="center"/>
        </w:trPr>
        <w:tc>
          <w:tcPr>
            <w:tcW w:w="1123" w:type="dxa"/>
            <w:shd w:val="clear" w:color="auto" w:fill="C6EFCD"/>
            <w:vAlign w:val="center"/>
          </w:tcPr>
          <w:p w14:paraId="72F83513" w14:textId="5A3559C1" w:rsidR="00E42B18" w:rsidRDefault="009629C4">
            <w:pPr>
              <w:pStyle w:val="P68B1DB1-Other1069"/>
              <w:jc w:val="center"/>
              <w:rPr>
                <w:rFonts w:cs="Arial"/>
                <w:noProof/>
              </w:rPr>
            </w:pPr>
            <w:r>
              <w:rPr>
                <w:noProof/>
              </w:rPr>
              <w:t>M2C3–2</w:t>
            </w:r>
          </w:p>
        </w:tc>
        <w:tc>
          <w:tcPr>
            <w:tcW w:w="1574" w:type="dxa"/>
            <w:shd w:val="clear" w:color="auto" w:fill="C6EFCD"/>
            <w:vAlign w:val="center"/>
          </w:tcPr>
          <w:p w14:paraId="37191F93" w14:textId="4BC123F1" w:rsidR="00E42B18" w:rsidRDefault="009629C4">
            <w:pPr>
              <w:pStyle w:val="P68B1DB1-Other1069"/>
              <w:jc w:val="center"/>
              <w:rPr>
                <w:rStyle w:val="Other1"/>
                <w:rFonts w:cs="Arial"/>
                <w:noProof/>
              </w:rPr>
            </w:pPr>
            <w:r>
              <w:rPr>
                <w:noProof/>
              </w:rPr>
              <w:t>Investointi 2.1 – Energiatehokkuuden ekobonuksen vahvistaminen</w:t>
            </w:r>
          </w:p>
        </w:tc>
        <w:tc>
          <w:tcPr>
            <w:tcW w:w="1133" w:type="dxa"/>
            <w:shd w:val="clear" w:color="auto" w:fill="C6EFCD"/>
            <w:vAlign w:val="center"/>
          </w:tcPr>
          <w:p w14:paraId="59DD260A" w14:textId="4B8CC4CB" w:rsidR="00E42B18" w:rsidRDefault="009629C4">
            <w:pPr>
              <w:pStyle w:val="P68B1DB1-Other1069"/>
              <w:jc w:val="center"/>
              <w:rPr>
                <w:rFonts w:cs="Arial"/>
                <w:noProof/>
              </w:rPr>
            </w:pPr>
            <w:r>
              <w:rPr>
                <w:noProof/>
              </w:rPr>
              <w:t>Kohde</w:t>
            </w:r>
          </w:p>
        </w:tc>
        <w:tc>
          <w:tcPr>
            <w:tcW w:w="1843" w:type="dxa"/>
            <w:shd w:val="clear" w:color="auto" w:fill="C6EFCD"/>
            <w:vAlign w:val="center"/>
          </w:tcPr>
          <w:p w14:paraId="14092D18" w14:textId="72667D54" w:rsidR="00E42B18" w:rsidRDefault="009629C4">
            <w:pPr>
              <w:pStyle w:val="P68B1DB1-Other1069"/>
              <w:jc w:val="center"/>
              <w:rPr>
                <w:rStyle w:val="Other1"/>
                <w:rFonts w:cs="Arial"/>
                <w:noProof/>
              </w:rPr>
            </w:pPr>
            <w:r>
              <w:rPr>
                <w:noProof/>
              </w:rPr>
              <w:t>Rakennusten perusparannus Superbonus T1</w:t>
            </w:r>
          </w:p>
        </w:tc>
        <w:tc>
          <w:tcPr>
            <w:tcW w:w="1560" w:type="dxa"/>
            <w:shd w:val="clear" w:color="auto" w:fill="C6EFCD"/>
            <w:vAlign w:val="center"/>
          </w:tcPr>
          <w:p w14:paraId="3F13B4EE" w14:textId="60E2FAB2" w:rsidR="00E42B18" w:rsidRDefault="009629C4">
            <w:pPr>
              <w:pStyle w:val="P68B1DB1-Other1069"/>
              <w:jc w:val="center"/>
              <w:rPr>
                <w:rFonts w:cs="Arial"/>
                <w:noProof/>
              </w:rPr>
            </w:pPr>
            <w:r>
              <w:rPr>
                <w:noProof/>
              </w:rPr>
              <w:t>EI OLE</w:t>
            </w:r>
          </w:p>
        </w:tc>
        <w:tc>
          <w:tcPr>
            <w:tcW w:w="1256" w:type="dxa"/>
            <w:shd w:val="clear" w:color="auto" w:fill="C6EFCD"/>
            <w:vAlign w:val="center"/>
          </w:tcPr>
          <w:p w14:paraId="7210E5AD" w14:textId="141CE4F2" w:rsidR="00E42B18" w:rsidRDefault="009629C4">
            <w:pPr>
              <w:pStyle w:val="P68B1DB1-Other1069"/>
              <w:jc w:val="center"/>
              <w:rPr>
                <w:rFonts w:cs="Arial"/>
                <w:noProof/>
              </w:rPr>
            </w:pPr>
            <w:r>
              <w:rPr>
                <w:noProof/>
              </w:rPr>
              <w:t>Numero</w:t>
            </w:r>
          </w:p>
        </w:tc>
        <w:tc>
          <w:tcPr>
            <w:tcW w:w="871" w:type="dxa"/>
            <w:shd w:val="clear" w:color="auto" w:fill="C6EFCD"/>
            <w:vAlign w:val="center"/>
          </w:tcPr>
          <w:p w14:paraId="0D48082D" w14:textId="04B475AC" w:rsidR="00E42B18" w:rsidRDefault="009629C4">
            <w:pPr>
              <w:pStyle w:val="P68B1DB1-Other1069"/>
              <w:jc w:val="center"/>
              <w:rPr>
                <w:rFonts w:cs="Arial"/>
                <w:noProof/>
              </w:rPr>
            </w:pPr>
            <w:r>
              <w:rPr>
                <w:noProof/>
              </w:rPr>
              <w:t>0</w:t>
            </w:r>
          </w:p>
        </w:tc>
        <w:tc>
          <w:tcPr>
            <w:tcW w:w="989" w:type="dxa"/>
            <w:shd w:val="clear" w:color="auto" w:fill="C6EFCD"/>
            <w:vAlign w:val="center"/>
          </w:tcPr>
          <w:p w14:paraId="1F6E503C" w14:textId="3795401B" w:rsidR="00E42B18" w:rsidRDefault="009629C4">
            <w:pPr>
              <w:pStyle w:val="P68B1DB1-Other1069"/>
              <w:jc w:val="center"/>
              <w:rPr>
                <w:rFonts w:cs="Arial"/>
                <w:noProof/>
              </w:rPr>
            </w:pPr>
            <w:r>
              <w:rPr>
                <w:noProof/>
              </w:rPr>
              <w:t>17 000 000</w:t>
            </w:r>
          </w:p>
        </w:tc>
        <w:tc>
          <w:tcPr>
            <w:tcW w:w="994" w:type="dxa"/>
            <w:shd w:val="clear" w:color="auto" w:fill="C6EFCD"/>
            <w:vAlign w:val="center"/>
          </w:tcPr>
          <w:p w14:paraId="6608D5E0" w14:textId="65777DEF" w:rsidR="00E42B18" w:rsidRDefault="009629C4">
            <w:pPr>
              <w:pStyle w:val="P68B1DB1-Other1069"/>
              <w:jc w:val="center"/>
              <w:rPr>
                <w:rFonts w:cs="Arial"/>
                <w:noProof/>
              </w:rPr>
            </w:pPr>
            <w:r>
              <w:rPr>
                <w:noProof/>
              </w:rPr>
              <w:t>Q2</w:t>
            </w:r>
          </w:p>
        </w:tc>
        <w:tc>
          <w:tcPr>
            <w:tcW w:w="710" w:type="dxa"/>
            <w:shd w:val="clear" w:color="auto" w:fill="C6EFCD"/>
            <w:vAlign w:val="center"/>
          </w:tcPr>
          <w:p w14:paraId="7C01E889" w14:textId="34272366" w:rsidR="00E42B18" w:rsidRDefault="009629C4">
            <w:pPr>
              <w:pStyle w:val="P68B1DB1-Other1069"/>
              <w:jc w:val="center"/>
              <w:rPr>
                <w:rFonts w:cs="Arial"/>
                <w:noProof/>
              </w:rPr>
            </w:pPr>
            <w:r>
              <w:rPr>
                <w:noProof/>
              </w:rPr>
              <w:t>2023</w:t>
            </w:r>
          </w:p>
        </w:tc>
        <w:tc>
          <w:tcPr>
            <w:tcW w:w="3902" w:type="dxa"/>
            <w:shd w:val="clear" w:color="auto" w:fill="C6EFCD"/>
          </w:tcPr>
          <w:p w14:paraId="7042BAC4" w14:textId="32072631" w:rsidR="00E42B18" w:rsidRDefault="009629C4">
            <w:pPr>
              <w:pStyle w:val="P68B1DB1-Other1069"/>
              <w:rPr>
                <w:rFonts w:cs="Arial"/>
                <w:noProof/>
              </w:rPr>
            </w:pPr>
            <w:r>
              <w:rPr>
                <w:noProof/>
              </w:rPr>
              <w:t>Rakennuksen perusparannus on saatettava päätökseen (vähintään 17000000 neliömetriä, mikä johtaa vähintään 40 prosentin primäärienergiasäästöihin ja kasvattaa vähintään kahta energiatehokkuustodistuksen luokkaa).</w:t>
            </w:r>
          </w:p>
        </w:tc>
      </w:tr>
      <w:tr w:rsidR="00E42B18" w14:paraId="60FA6456" w14:textId="77777777">
        <w:trPr>
          <w:cantSplit/>
          <w:trHeight w:val="300"/>
          <w:jc w:val="center"/>
        </w:trPr>
        <w:tc>
          <w:tcPr>
            <w:tcW w:w="1123" w:type="dxa"/>
            <w:shd w:val="clear" w:color="auto" w:fill="C6EFCD"/>
            <w:vAlign w:val="center"/>
          </w:tcPr>
          <w:p w14:paraId="6DC49D64" w14:textId="25F6B46A" w:rsidR="00E42B18" w:rsidRDefault="009629C4">
            <w:pPr>
              <w:pStyle w:val="P68B1DB1-Other1069"/>
              <w:jc w:val="center"/>
              <w:rPr>
                <w:rFonts w:cs="Arial"/>
                <w:noProof/>
              </w:rPr>
            </w:pPr>
            <w:r>
              <w:rPr>
                <w:noProof/>
              </w:rPr>
              <w:t>M2C3–3</w:t>
            </w:r>
          </w:p>
        </w:tc>
        <w:tc>
          <w:tcPr>
            <w:tcW w:w="1574" w:type="dxa"/>
            <w:shd w:val="clear" w:color="auto" w:fill="C6EFCD"/>
            <w:vAlign w:val="center"/>
          </w:tcPr>
          <w:p w14:paraId="2AD709F4" w14:textId="0474029B" w:rsidR="00E42B18" w:rsidRDefault="009629C4">
            <w:pPr>
              <w:pStyle w:val="P68B1DB1-Other1069"/>
              <w:jc w:val="center"/>
              <w:rPr>
                <w:rStyle w:val="Other1"/>
                <w:rFonts w:cs="Arial"/>
                <w:noProof/>
              </w:rPr>
            </w:pPr>
            <w:r>
              <w:rPr>
                <w:noProof/>
              </w:rPr>
              <w:t>Investointi 2.1 – Energiatehokkuuden ekobonuksen vahvistaminen</w:t>
            </w:r>
          </w:p>
        </w:tc>
        <w:tc>
          <w:tcPr>
            <w:tcW w:w="1133" w:type="dxa"/>
            <w:shd w:val="clear" w:color="auto" w:fill="C6EFCD"/>
            <w:vAlign w:val="center"/>
          </w:tcPr>
          <w:p w14:paraId="16A59C9A" w14:textId="71949B58" w:rsidR="00E42B18" w:rsidRDefault="009629C4">
            <w:pPr>
              <w:pStyle w:val="P68B1DB1-Other1069"/>
              <w:jc w:val="center"/>
              <w:rPr>
                <w:rFonts w:cs="Arial"/>
                <w:noProof/>
              </w:rPr>
            </w:pPr>
            <w:r>
              <w:rPr>
                <w:noProof/>
              </w:rPr>
              <w:t>Kohde</w:t>
            </w:r>
          </w:p>
        </w:tc>
        <w:tc>
          <w:tcPr>
            <w:tcW w:w="1843" w:type="dxa"/>
            <w:shd w:val="clear" w:color="auto" w:fill="C6EFCD"/>
            <w:vAlign w:val="center"/>
          </w:tcPr>
          <w:p w14:paraId="6A7573F1" w14:textId="6D187128" w:rsidR="00E42B18" w:rsidRDefault="009629C4">
            <w:pPr>
              <w:pStyle w:val="P68B1DB1-Other1069"/>
              <w:jc w:val="center"/>
              <w:rPr>
                <w:rStyle w:val="Other1"/>
                <w:rFonts w:cs="Arial"/>
                <w:noProof/>
              </w:rPr>
            </w:pPr>
            <w:r>
              <w:rPr>
                <w:noProof/>
              </w:rPr>
              <w:t>Rakennusten perusparannus Superbonus T2</w:t>
            </w:r>
          </w:p>
        </w:tc>
        <w:tc>
          <w:tcPr>
            <w:tcW w:w="1560" w:type="dxa"/>
            <w:shd w:val="clear" w:color="auto" w:fill="C6EFCD"/>
            <w:vAlign w:val="center"/>
          </w:tcPr>
          <w:p w14:paraId="36EDE700" w14:textId="5DBA04D7" w:rsidR="00E42B18" w:rsidRDefault="009629C4">
            <w:pPr>
              <w:pStyle w:val="P68B1DB1-Other1069"/>
              <w:jc w:val="center"/>
              <w:rPr>
                <w:rFonts w:cs="Arial"/>
                <w:noProof/>
              </w:rPr>
            </w:pPr>
            <w:r>
              <w:rPr>
                <w:noProof/>
              </w:rPr>
              <w:t>EI OLE</w:t>
            </w:r>
          </w:p>
        </w:tc>
        <w:tc>
          <w:tcPr>
            <w:tcW w:w="1256" w:type="dxa"/>
            <w:shd w:val="clear" w:color="auto" w:fill="C6EFCD"/>
            <w:vAlign w:val="center"/>
          </w:tcPr>
          <w:p w14:paraId="5FC3CDE7" w14:textId="3387E2B2" w:rsidR="00E42B18" w:rsidRDefault="009629C4">
            <w:pPr>
              <w:pStyle w:val="P68B1DB1-Other1069"/>
              <w:jc w:val="center"/>
              <w:rPr>
                <w:rFonts w:cs="Arial"/>
                <w:noProof/>
              </w:rPr>
            </w:pPr>
            <w:r>
              <w:rPr>
                <w:noProof/>
              </w:rPr>
              <w:t>Numero</w:t>
            </w:r>
          </w:p>
        </w:tc>
        <w:tc>
          <w:tcPr>
            <w:tcW w:w="871" w:type="dxa"/>
            <w:shd w:val="clear" w:color="auto" w:fill="C6EFCD"/>
            <w:vAlign w:val="center"/>
          </w:tcPr>
          <w:p w14:paraId="75BF0E20" w14:textId="2C79906E" w:rsidR="00E42B18" w:rsidRDefault="009629C4">
            <w:pPr>
              <w:pStyle w:val="P68B1DB1-Other1069"/>
              <w:jc w:val="center"/>
              <w:rPr>
                <w:rFonts w:cs="Arial"/>
                <w:noProof/>
              </w:rPr>
            </w:pPr>
            <w:r>
              <w:rPr>
                <w:noProof/>
              </w:rPr>
              <w:t>17 000 000</w:t>
            </w:r>
          </w:p>
        </w:tc>
        <w:tc>
          <w:tcPr>
            <w:tcW w:w="989" w:type="dxa"/>
            <w:shd w:val="clear" w:color="auto" w:fill="C6EFCD"/>
            <w:vAlign w:val="center"/>
          </w:tcPr>
          <w:p w14:paraId="3D8DE174" w14:textId="0EF9BFA0" w:rsidR="00E42B18" w:rsidRDefault="009629C4">
            <w:pPr>
              <w:pStyle w:val="P68B1DB1-Other1069"/>
              <w:jc w:val="center"/>
              <w:rPr>
                <w:rFonts w:cs="Arial"/>
                <w:noProof/>
              </w:rPr>
            </w:pPr>
            <w:r>
              <w:rPr>
                <w:noProof/>
              </w:rPr>
              <w:t>35 800 000</w:t>
            </w:r>
          </w:p>
        </w:tc>
        <w:tc>
          <w:tcPr>
            <w:tcW w:w="994" w:type="dxa"/>
            <w:shd w:val="clear" w:color="auto" w:fill="C6EFCD"/>
            <w:vAlign w:val="center"/>
          </w:tcPr>
          <w:p w14:paraId="070EF47D" w14:textId="16EF7171" w:rsidR="00E42B18" w:rsidRDefault="009629C4">
            <w:pPr>
              <w:pStyle w:val="P68B1DB1-Other1069"/>
              <w:jc w:val="center"/>
              <w:rPr>
                <w:rFonts w:cs="Arial"/>
                <w:noProof/>
              </w:rPr>
            </w:pPr>
            <w:r>
              <w:rPr>
                <w:noProof/>
              </w:rPr>
              <w:t>Q4</w:t>
            </w:r>
          </w:p>
        </w:tc>
        <w:tc>
          <w:tcPr>
            <w:tcW w:w="710" w:type="dxa"/>
            <w:shd w:val="clear" w:color="auto" w:fill="C6EFCD"/>
            <w:vAlign w:val="center"/>
          </w:tcPr>
          <w:p w14:paraId="63C60E9D" w14:textId="7ADFAE06" w:rsidR="00E42B18" w:rsidRDefault="009629C4">
            <w:pPr>
              <w:pStyle w:val="P68B1DB1-Other1069"/>
              <w:jc w:val="center"/>
              <w:rPr>
                <w:rFonts w:cs="Arial"/>
                <w:noProof/>
              </w:rPr>
            </w:pPr>
            <w:r>
              <w:rPr>
                <w:noProof/>
              </w:rPr>
              <w:t>2025</w:t>
            </w:r>
          </w:p>
        </w:tc>
        <w:tc>
          <w:tcPr>
            <w:tcW w:w="3902" w:type="dxa"/>
            <w:shd w:val="clear" w:color="auto" w:fill="C6EFCD"/>
          </w:tcPr>
          <w:p w14:paraId="0681AB9B" w14:textId="5E4AE060" w:rsidR="00E42B18" w:rsidRDefault="009629C4">
            <w:pPr>
              <w:pStyle w:val="P68B1DB1-Other1069"/>
              <w:rPr>
                <w:noProof/>
              </w:rPr>
            </w:pPr>
            <w:r>
              <w:rPr>
                <w:noProof/>
              </w:rPr>
              <w:t xml:space="preserve">On myönnettävä sertifikaatteja (”asseverazioni”) vähintään 35800000 neliömetrin mittaisista rakennusten peruskorjauksista, jotka johtavat vähintään 40 prosentin primäärienergiasäästöihin, mikä lisää vähintään kahta energiatehokkuustodistuksen luokkaa (asetuksessa 63/2013 määritelty energiatehokkuustodistus). </w:t>
            </w:r>
          </w:p>
          <w:p w14:paraId="390CA5D6" w14:textId="77777777" w:rsidR="00E42B18" w:rsidRDefault="00E42B18">
            <w:pPr>
              <w:pStyle w:val="Other10"/>
              <w:rPr>
                <w:rFonts w:ascii="Arial Narrow" w:hAnsi="Arial Narrow"/>
                <w:noProof/>
                <w:sz w:val="20"/>
                <w:szCs w:val="20"/>
              </w:rPr>
            </w:pPr>
          </w:p>
          <w:p w14:paraId="7FED8816" w14:textId="37A110C2" w:rsidR="00E42B18" w:rsidRDefault="009629C4">
            <w:pPr>
              <w:pStyle w:val="P68B1DB1-Other1069"/>
              <w:rPr>
                <w:noProof/>
              </w:rPr>
            </w:pPr>
            <w:r>
              <w:rPr>
                <w:noProof/>
              </w:rPr>
              <w:t>Jos olemassa olevien tehottomien kaasu-, hiili- ja öljykattiloiden tilalle asennetaan kaasulauhdutinkattiloita, niillä on oltava A-arvo. Kaasulauhduttimien asennuskustannusten on oltava enintään 20 prosenttia peruskorjausohjelman kokonaiskustannuksista.</w:t>
            </w:r>
          </w:p>
          <w:p w14:paraId="259C7274" w14:textId="77777777" w:rsidR="00E42B18" w:rsidRDefault="00E42B18">
            <w:pPr>
              <w:pStyle w:val="Other10"/>
              <w:rPr>
                <w:rFonts w:ascii="Arial Narrow" w:hAnsi="Arial Narrow"/>
                <w:noProof/>
                <w:sz w:val="20"/>
                <w:szCs w:val="20"/>
              </w:rPr>
            </w:pPr>
          </w:p>
          <w:p w14:paraId="402B8782" w14:textId="0A046722" w:rsidR="00E42B18" w:rsidRDefault="009629C4">
            <w:pPr>
              <w:pStyle w:val="P68B1DB1-Other1069"/>
              <w:rPr>
                <w:rStyle w:val="Other1"/>
                <w:rFonts w:cs="Arial"/>
                <w:noProof/>
              </w:rPr>
            </w:pPr>
            <w:r>
              <w:rPr>
                <w:noProof/>
              </w:rPr>
              <w:t>Tukitoimien tuottaman kokonaisenergiansäästön arvioidaan olevan vähintään 191 Ktoe.</w:t>
            </w:r>
          </w:p>
        </w:tc>
      </w:tr>
      <w:tr w:rsidR="00E42B18" w14:paraId="764FDB8A" w14:textId="77777777">
        <w:trPr>
          <w:cantSplit/>
          <w:trHeight w:val="300"/>
          <w:jc w:val="center"/>
        </w:trPr>
        <w:tc>
          <w:tcPr>
            <w:tcW w:w="1123" w:type="dxa"/>
            <w:shd w:val="clear" w:color="auto" w:fill="C6EFCD"/>
            <w:vAlign w:val="center"/>
          </w:tcPr>
          <w:p w14:paraId="00E8167B" w14:textId="149B8798" w:rsidR="00E42B18" w:rsidRDefault="009629C4">
            <w:pPr>
              <w:pStyle w:val="P68B1DB1-Other1069"/>
              <w:jc w:val="center"/>
              <w:rPr>
                <w:rFonts w:cs="Arial"/>
                <w:noProof/>
              </w:rPr>
            </w:pPr>
            <w:r>
              <w:rPr>
                <w:noProof/>
              </w:rPr>
              <w:t>M2C3–4</w:t>
            </w:r>
          </w:p>
        </w:tc>
        <w:tc>
          <w:tcPr>
            <w:tcW w:w="1574" w:type="dxa"/>
            <w:shd w:val="clear" w:color="auto" w:fill="C6EFCD"/>
            <w:vAlign w:val="center"/>
          </w:tcPr>
          <w:p w14:paraId="62B31AFD" w14:textId="2DAD9189" w:rsidR="00E42B18" w:rsidRDefault="009629C4">
            <w:pPr>
              <w:pStyle w:val="P68B1DB1-Other1069"/>
              <w:jc w:val="center"/>
              <w:rPr>
                <w:rStyle w:val="Other1"/>
                <w:rFonts w:cs="Arial"/>
                <w:noProof/>
              </w:rPr>
            </w:pPr>
            <w:r>
              <w:rPr>
                <w:noProof/>
              </w:rPr>
              <w:t>Uudistus 1.1: Energiatehokkuustoimia koskevien menettelyjen yksinkertaistaminen ja nopeuttaminen</w:t>
            </w:r>
          </w:p>
        </w:tc>
        <w:tc>
          <w:tcPr>
            <w:tcW w:w="1133" w:type="dxa"/>
            <w:shd w:val="clear" w:color="auto" w:fill="C6EFCD"/>
            <w:vAlign w:val="center"/>
          </w:tcPr>
          <w:p w14:paraId="0C1F3F7F" w14:textId="76B4FAE6" w:rsidR="00E42B18" w:rsidRDefault="009629C4">
            <w:pPr>
              <w:pStyle w:val="P68B1DB1-Other1069"/>
              <w:jc w:val="center"/>
              <w:rPr>
                <w:rStyle w:val="Other1"/>
                <w:rFonts w:cs="Arial"/>
                <w:noProof/>
              </w:rPr>
            </w:pPr>
            <w:r>
              <w:rPr>
                <w:noProof/>
              </w:rPr>
              <w:t>Virstanpylväs</w:t>
            </w:r>
          </w:p>
        </w:tc>
        <w:tc>
          <w:tcPr>
            <w:tcW w:w="1843" w:type="dxa"/>
            <w:shd w:val="clear" w:color="auto" w:fill="C6EFCD"/>
            <w:vAlign w:val="center"/>
          </w:tcPr>
          <w:p w14:paraId="25D39313" w14:textId="180A4A5C" w:rsidR="00E42B18" w:rsidRDefault="009629C4">
            <w:pPr>
              <w:pStyle w:val="P68B1DB1-Other1069"/>
              <w:jc w:val="center"/>
              <w:rPr>
                <w:rStyle w:val="Other1"/>
                <w:rFonts w:cs="Arial"/>
                <w:noProof/>
              </w:rPr>
            </w:pPr>
            <w:r>
              <w:rPr>
                <w:noProof/>
              </w:rPr>
              <w:t>Energiatehokkuustoimia koskevien menettelyjen yksinkertaistaminen ja nopeuttaminen</w:t>
            </w:r>
          </w:p>
        </w:tc>
        <w:tc>
          <w:tcPr>
            <w:tcW w:w="1560" w:type="dxa"/>
            <w:shd w:val="clear" w:color="auto" w:fill="C6EFCD"/>
            <w:vAlign w:val="center"/>
          </w:tcPr>
          <w:p w14:paraId="40BE12A0" w14:textId="7F1084C7" w:rsidR="00E42B18" w:rsidRDefault="009629C4">
            <w:pPr>
              <w:pStyle w:val="P68B1DB1-Other1069"/>
              <w:jc w:val="center"/>
              <w:rPr>
                <w:rStyle w:val="Other1"/>
                <w:rFonts w:cs="Arial"/>
                <w:noProof/>
              </w:rPr>
            </w:pPr>
            <w:r>
              <w:rPr>
                <w:noProof/>
              </w:rPr>
              <w:t>Voimaantuloon viittaava säännös säädöksessä (säädöksissä)</w:t>
            </w:r>
          </w:p>
        </w:tc>
        <w:tc>
          <w:tcPr>
            <w:tcW w:w="1256" w:type="dxa"/>
            <w:shd w:val="clear" w:color="auto" w:fill="C6EFCD"/>
            <w:vAlign w:val="center"/>
          </w:tcPr>
          <w:p w14:paraId="56DD4BFB" w14:textId="1250DF31" w:rsidR="00E42B18" w:rsidRDefault="009629C4">
            <w:pPr>
              <w:pStyle w:val="P68B1DB1-Other1069"/>
              <w:jc w:val="center"/>
              <w:rPr>
                <w:noProof/>
              </w:rPr>
            </w:pPr>
            <w:r>
              <w:rPr>
                <w:noProof/>
              </w:rPr>
              <w:t>EI OLE</w:t>
            </w:r>
          </w:p>
        </w:tc>
        <w:tc>
          <w:tcPr>
            <w:tcW w:w="871" w:type="dxa"/>
            <w:shd w:val="clear" w:color="auto" w:fill="C6EFCD"/>
            <w:vAlign w:val="center"/>
          </w:tcPr>
          <w:p w14:paraId="02B8BD72" w14:textId="438F27E7" w:rsidR="00E42B18" w:rsidRDefault="009629C4">
            <w:pPr>
              <w:pStyle w:val="P68B1DB1-Other1069"/>
              <w:jc w:val="center"/>
              <w:rPr>
                <w:noProof/>
              </w:rPr>
            </w:pPr>
            <w:r>
              <w:rPr>
                <w:noProof/>
              </w:rPr>
              <w:t>EI OLE</w:t>
            </w:r>
          </w:p>
        </w:tc>
        <w:tc>
          <w:tcPr>
            <w:tcW w:w="989" w:type="dxa"/>
            <w:shd w:val="clear" w:color="auto" w:fill="C6EFCD"/>
            <w:vAlign w:val="center"/>
          </w:tcPr>
          <w:p w14:paraId="0448690D" w14:textId="65FA9F3C" w:rsidR="00E42B18" w:rsidRDefault="009629C4">
            <w:pPr>
              <w:pStyle w:val="P68B1DB1-Other1069"/>
              <w:jc w:val="center"/>
              <w:rPr>
                <w:noProof/>
              </w:rPr>
            </w:pPr>
            <w:r>
              <w:rPr>
                <w:noProof/>
              </w:rPr>
              <w:t>EI OLE</w:t>
            </w:r>
          </w:p>
        </w:tc>
        <w:tc>
          <w:tcPr>
            <w:tcW w:w="994" w:type="dxa"/>
            <w:shd w:val="clear" w:color="auto" w:fill="C6EFCD"/>
            <w:vAlign w:val="center"/>
          </w:tcPr>
          <w:p w14:paraId="68F2D8C3" w14:textId="5ABBA43A" w:rsidR="00E42B18" w:rsidRDefault="009629C4">
            <w:pPr>
              <w:pStyle w:val="P68B1DB1-Other1069"/>
              <w:jc w:val="center"/>
              <w:rPr>
                <w:rFonts w:cs="Arial"/>
                <w:noProof/>
              </w:rPr>
            </w:pPr>
            <w:r>
              <w:rPr>
                <w:noProof/>
              </w:rPr>
              <w:t>Q2</w:t>
            </w:r>
          </w:p>
        </w:tc>
        <w:tc>
          <w:tcPr>
            <w:tcW w:w="710" w:type="dxa"/>
            <w:shd w:val="clear" w:color="auto" w:fill="C6EFCD"/>
            <w:vAlign w:val="center"/>
          </w:tcPr>
          <w:p w14:paraId="477294C9" w14:textId="6B982055" w:rsidR="00E42B18" w:rsidRDefault="009629C4">
            <w:pPr>
              <w:pStyle w:val="P68B1DB1-Other1069"/>
              <w:jc w:val="center"/>
              <w:rPr>
                <w:rFonts w:cs="Arial"/>
                <w:noProof/>
              </w:rPr>
            </w:pPr>
            <w:r>
              <w:rPr>
                <w:noProof/>
              </w:rPr>
              <w:t>2022</w:t>
            </w:r>
          </w:p>
        </w:tc>
        <w:tc>
          <w:tcPr>
            <w:tcW w:w="3902" w:type="dxa"/>
            <w:shd w:val="clear" w:color="auto" w:fill="C6EFCD"/>
          </w:tcPr>
          <w:p w14:paraId="781EA6CF" w14:textId="77777777" w:rsidR="00E42B18" w:rsidRDefault="009629C4">
            <w:pPr>
              <w:pStyle w:val="P68B1DB1-Other1069"/>
              <w:rPr>
                <w:noProof/>
              </w:rPr>
            </w:pPr>
            <w:r>
              <w:rPr>
                <w:noProof/>
              </w:rPr>
              <w:t>Säädöksellä yksinkertaistetaan ja nopeutetaan energiatehokkuustoimia koskevia menettelyjä</w:t>
            </w:r>
          </w:p>
          <w:p w14:paraId="4E455EDA" w14:textId="77777777" w:rsidR="00E42B18" w:rsidRDefault="00E42B18">
            <w:pPr>
              <w:pStyle w:val="Other10"/>
              <w:rPr>
                <w:rFonts w:ascii="Arial Narrow" w:hAnsi="Arial Narrow"/>
                <w:noProof/>
                <w:sz w:val="20"/>
                <w:szCs w:val="20"/>
              </w:rPr>
            </w:pPr>
          </w:p>
          <w:p w14:paraId="5654BBBE" w14:textId="77777777" w:rsidR="00E42B18" w:rsidRDefault="009629C4">
            <w:pPr>
              <w:pStyle w:val="P68B1DB1-ListParagraph13"/>
              <w:numPr>
                <w:ilvl w:val="0"/>
                <w:numId w:val="31"/>
              </w:numPr>
              <w:spacing w:before="120" w:after="120" w:line="276" w:lineRule="auto"/>
              <w:rPr>
                <w:noProof/>
              </w:rPr>
            </w:pPr>
            <w:r>
              <w:rPr>
                <w:noProof/>
              </w:rPr>
              <w:t>Rakennusten energiatehokkuutta koskevan kansallisen portaalin käyttöönotto</w:t>
            </w:r>
          </w:p>
          <w:p w14:paraId="0BB34D1B" w14:textId="77777777" w:rsidR="00E42B18" w:rsidRDefault="009629C4">
            <w:pPr>
              <w:pStyle w:val="P68B1DB1-ListParagraph13"/>
              <w:numPr>
                <w:ilvl w:val="0"/>
                <w:numId w:val="31"/>
              </w:numPr>
              <w:spacing w:before="120" w:after="120" w:line="276" w:lineRule="auto"/>
              <w:rPr>
                <w:noProof/>
              </w:rPr>
            </w:pPr>
            <w:r>
              <w:rPr>
                <w:noProof/>
              </w:rPr>
              <w:t>Vahvistetaan siviilialalle suunnattua tiedotus- ja koulutussuunnitelmaa</w:t>
            </w:r>
          </w:p>
          <w:p w14:paraId="3734E5CA" w14:textId="77777777" w:rsidR="00E42B18" w:rsidRDefault="009629C4">
            <w:pPr>
              <w:pStyle w:val="P68B1DB1-ListParagraph13"/>
              <w:numPr>
                <w:ilvl w:val="0"/>
                <w:numId w:val="31"/>
              </w:numPr>
              <w:spacing w:before="120" w:after="120" w:line="276" w:lineRule="auto"/>
              <w:rPr>
                <w:noProof/>
              </w:rPr>
            </w:pPr>
            <w:r>
              <w:rPr>
                <w:noProof/>
              </w:rPr>
              <w:t>Kansallisen energiatehokkuusrahaston päivittäminen ja vahvistaminen</w:t>
            </w:r>
          </w:p>
          <w:p w14:paraId="11C2B96A" w14:textId="03605180" w:rsidR="00E42B18" w:rsidRDefault="009629C4">
            <w:pPr>
              <w:pStyle w:val="P68B1DB1-ListParagraph13"/>
              <w:numPr>
                <w:ilvl w:val="0"/>
                <w:numId w:val="31"/>
              </w:numPr>
              <w:spacing w:before="120" w:after="120" w:line="276" w:lineRule="auto"/>
              <w:rPr>
                <w:rFonts w:cs="Arial"/>
                <w:noProof/>
              </w:rPr>
            </w:pPr>
            <w:r>
              <w:rPr>
                <w:noProof/>
              </w:rPr>
              <w:t>PREPAC-ohjelmasta rahoitettujen hankkeiden täytäntöönpanovaiheen nopeuttaminen</w:t>
            </w:r>
          </w:p>
        </w:tc>
      </w:tr>
      <w:bookmarkEnd w:id="18"/>
    </w:tbl>
    <w:p w14:paraId="2ABFE4DB" w14:textId="77777777" w:rsidR="00E42B18" w:rsidRDefault="00E42B18">
      <w:pPr>
        <w:spacing w:before="120" w:after="120"/>
        <w:ind w:left="709"/>
        <w:jc w:val="both"/>
        <w:rPr>
          <w:noProof/>
        </w:rPr>
      </w:pPr>
    </w:p>
    <w:p w14:paraId="7198DB20" w14:textId="77777777" w:rsidR="00E42B18" w:rsidRDefault="00E42B18">
      <w:pPr>
        <w:spacing w:before="120" w:after="120"/>
        <w:ind w:left="709"/>
        <w:jc w:val="both"/>
        <w:rPr>
          <w:noProof/>
        </w:rPr>
        <w:sectPr w:rsidR="00E42B18" w:rsidSect="005F11B9">
          <w:headerReference w:type="even" r:id="rId102"/>
          <w:headerReference w:type="default" r:id="rId103"/>
          <w:footerReference w:type="even" r:id="rId104"/>
          <w:footerReference w:type="default" r:id="rId105"/>
          <w:headerReference w:type="first" r:id="rId106"/>
          <w:footerReference w:type="first" r:id="rId107"/>
          <w:pgSz w:w="16839" w:h="11907" w:orient="landscape"/>
          <w:pgMar w:top="1134" w:right="1134" w:bottom="1134" w:left="1134" w:header="567" w:footer="567" w:gutter="0"/>
          <w:cols w:space="720"/>
          <w:docGrid w:linePitch="360"/>
        </w:sectPr>
      </w:pPr>
    </w:p>
    <w:p w14:paraId="101B4600" w14:textId="77777777" w:rsidR="00E42B18" w:rsidRDefault="009629C4">
      <w:pPr>
        <w:pStyle w:val="P68B1DB1-Heading39"/>
        <w:ind w:left="850" w:hanging="850"/>
        <w:rPr>
          <w:b/>
          <w:bCs/>
          <w:i/>
          <w:iCs/>
          <w:noProof/>
          <w:color w:val="156082" w:themeColor="accent1"/>
          <w:u w:val="single"/>
        </w:rPr>
      </w:pPr>
      <w:r>
        <w:rPr>
          <w:b/>
          <w:noProof/>
          <w:u w:val="single"/>
        </w:rPr>
        <w:t xml:space="preserve">F.3 </w:t>
      </w:r>
      <w:r>
        <w:rPr>
          <w:noProof/>
        </w:rPr>
        <w:t xml:space="preserve"> </w:t>
      </w:r>
      <w:r>
        <w:rPr>
          <w:b/>
          <w:noProof/>
          <w:u w:val="single"/>
        </w:rPr>
        <w:t xml:space="preserve">Kuvaus lainamuotoisella tuella rahoitettavista uudistuksista ja investoinneista </w:t>
      </w:r>
    </w:p>
    <w:p w14:paraId="01592CB8" w14:textId="77777777" w:rsidR="00E42B18" w:rsidRDefault="009629C4">
      <w:pPr>
        <w:pStyle w:val="P68B1DB1-Normal70"/>
        <w:spacing w:before="120" w:after="120"/>
        <w:jc w:val="both"/>
        <w:rPr>
          <w:rFonts w:eastAsia="Calibri"/>
          <w:noProof/>
          <w:color w:val="156082" w:themeColor="accent1"/>
        </w:rPr>
      </w:pPr>
      <w:r>
        <w:rPr>
          <w:noProof/>
        </w:rPr>
        <w:t xml:space="preserve">Investointi 1.1: Uusien koulujen rakentaminen rakennusten vaihtamisen avulla </w:t>
      </w:r>
    </w:p>
    <w:p w14:paraId="55154398" w14:textId="77777777" w:rsidR="00E42B18" w:rsidRDefault="009629C4">
      <w:pPr>
        <w:pStyle w:val="P68B1DB1-Normal7"/>
        <w:spacing w:before="120" w:after="120"/>
        <w:jc w:val="both"/>
        <w:rPr>
          <w:noProof/>
        </w:rPr>
      </w:pPr>
      <w:r>
        <w:rPr>
          <w:noProof/>
        </w:rPr>
        <w:t>Toimenpiteen tavoitteena on luoda nykyaikaisia ja kestäviä koulurakenteita erityisesti vähentämällä energiankulutusta ja lisäämällä maanjäristysturvallisuutta. Toimenpiteellä korvataan osa julkisten koulujen rakennuskannasta.</w:t>
      </w:r>
    </w:p>
    <w:p w14:paraId="2BCEF344" w14:textId="77777777" w:rsidR="00E42B18" w:rsidRDefault="009629C4">
      <w:pPr>
        <w:pStyle w:val="P68B1DB1-Normal5"/>
        <w:spacing w:before="120" w:after="120"/>
        <w:jc w:val="both"/>
        <w:rPr>
          <w:rFonts w:eastAsia="Calibri"/>
          <w:bCs/>
          <w:noProof/>
        </w:rPr>
      </w:pPr>
      <w:r>
        <w:rPr>
          <w:noProof/>
        </w:rPr>
        <w:t>Investointi 1.2 – Oikeushallinnon osittain tai kokonaan käyttämien julkisten kiinteistöjen tasaaminen</w:t>
      </w:r>
    </w:p>
    <w:p w14:paraId="3D573CDD" w14:textId="454FADA1" w:rsidR="00E42B18" w:rsidRDefault="009629C4">
      <w:pPr>
        <w:pStyle w:val="P68B1DB1-Normal7"/>
        <w:spacing w:before="120" w:after="120"/>
        <w:jc w:val="both"/>
        <w:rPr>
          <w:b/>
          <w:bCs/>
          <w:noProof/>
          <w:u w:val="single"/>
        </w:rPr>
      </w:pPr>
      <w:r>
        <w:rPr>
          <w:noProof/>
        </w:rPr>
        <w:t>Toimenpiteen tavoitteena on uudistaa ja nykyaikaistaa osittain tai kokonaan oikeudenkäytössä olevia rakennuksia. Toimenpide koostuu useissa Italian kunnissa sijaitsevien kiinteistöomaisuuden peruskorjaus- ja uudelleenvalmistustöiden toteuttamisesta, mukaan lukien muun muassa energiatehokkuustoimenpiteet.</w:t>
      </w:r>
    </w:p>
    <w:p w14:paraId="56C6B6DC" w14:textId="77777777" w:rsidR="00E42B18" w:rsidRDefault="009629C4">
      <w:pPr>
        <w:pStyle w:val="P68B1DB1-Normal5"/>
        <w:spacing w:before="120" w:after="120"/>
        <w:jc w:val="both"/>
        <w:rPr>
          <w:rFonts w:eastAsia="Calibri"/>
          <w:bCs/>
          <w:noProof/>
        </w:rPr>
      </w:pPr>
      <w:r>
        <w:rPr>
          <w:noProof/>
        </w:rPr>
        <w:t>Investointi 3.1: Tehokkaan kaukolämmön edistäminen</w:t>
      </w:r>
    </w:p>
    <w:p w14:paraId="723900FA" w14:textId="621064D9" w:rsidR="00E42B18" w:rsidRDefault="009629C4">
      <w:pPr>
        <w:pStyle w:val="P68B1DB1-Normal7"/>
        <w:spacing w:before="120" w:after="120"/>
        <w:jc w:val="both"/>
        <w:rPr>
          <w:b/>
          <w:noProof/>
          <w:sz w:val="24"/>
          <w:szCs w:val="24"/>
          <w:u w:val="single"/>
        </w:rPr>
        <w:sectPr w:rsidR="00E42B18" w:rsidSect="005F11B9">
          <w:headerReference w:type="even" r:id="rId108"/>
          <w:headerReference w:type="default" r:id="rId109"/>
          <w:footerReference w:type="even" r:id="rId110"/>
          <w:footerReference w:type="default" r:id="rId111"/>
          <w:headerReference w:type="first" r:id="rId112"/>
          <w:footerReference w:type="first" r:id="rId113"/>
          <w:pgSz w:w="11907" w:h="16839"/>
          <w:pgMar w:top="1134" w:right="1134" w:bottom="1134" w:left="1134" w:header="567" w:footer="567" w:gutter="0"/>
          <w:cols w:space="720"/>
          <w:docGrid w:linePitch="360"/>
        </w:sectPr>
      </w:pPr>
      <w:r>
        <w:rPr>
          <w:noProof/>
        </w:rPr>
        <w:t>Toimenpiteen tavoitteena on laajentaa tehokkaan kaukolämmön käyttöä, joka perustuu uusiutuvista lähteistä, hukkalämmöstä tai korkeatehoisissa laitoksissa yhteistuotannosta tuotetun lämmön jakeluun. Toimenpiteellä rahoitetaan hankkeita, jotka liittyvät uusien kaukolämpöverkkojen rakentamiseen tai olemassa olevien kaukolämpöverkkojen laajentamiseen, ensisijaisesti hankkeisiin, joilla taataan suurimmat säästöt uusiutumattomassa primäärienergiassa.</w:t>
      </w:r>
      <w:r>
        <w:rPr>
          <w:b/>
          <w:noProof/>
          <w:sz w:val="24"/>
          <w:szCs w:val="24"/>
          <w:u w:val="single"/>
        </w:rPr>
        <w:t xml:space="preserve"> </w:t>
      </w:r>
    </w:p>
    <w:p w14:paraId="223989E4" w14:textId="29F9B6B8" w:rsidR="00E42B18" w:rsidRDefault="009629C4">
      <w:pPr>
        <w:pStyle w:val="P68B1DB1-Heading368"/>
        <w:ind w:left="850" w:hanging="850"/>
        <w:rPr>
          <w:noProof/>
        </w:rPr>
      </w:pPr>
      <w:r>
        <w:rPr>
          <w:noProof/>
        </w:rPr>
        <w:t xml:space="preserve">F.4 </w:t>
      </w:r>
      <w:r>
        <w:rPr>
          <w:noProof/>
        </w:rPr>
        <w:tab/>
        <w:t>Lainamuotoisen tuen seurantaa ja täytäntöönpanoa koskevat välitavoitteet, tavoitteet, indikaattorit ja aikataulu</w:t>
      </w:r>
    </w:p>
    <w:p w14:paraId="583B494E" w14:textId="77777777" w:rsidR="00E42B18" w:rsidRDefault="00E42B18">
      <w:pPr>
        <w:spacing w:before="120" w:after="120"/>
        <w:jc w:val="both"/>
        <w:rPr>
          <w:rFonts w:ascii="Times New Roman" w:hAnsi="Times New Roman" w:cs="Times New Roman"/>
          <w:noProof/>
        </w:rPr>
      </w:pPr>
    </w:p>
    <w:tbl>
      <w:tblPr>
        <w:tblOverlap w:val="never"/>
        <w:tblW w:w="15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3"/>
        <w:gridCol w:w="1574"/>
        <w:gridCol w:w="1133"/>
        <w:gridCol w:w="1843"/>
        <w:gridCol w:w="1560"/>
        <w:gridCol w:w="1256"/>
        <w:gridCol w:w="871"/>
        <w:gridCol w:w="989"/>
        <w:gridCol w:w="994"/>
        <w:gridCol w:w="710"/>
        <w:gridCol w:w="3902"/>
      </w:tblGrid>
      <w:tr w:rsidR="00E42B18" w14:paraId="70170A06" w14:textId="77777777">
        <w:trPr>
          <w:cantSplit/>
          <w:trHeight w:val="300"/>
          <w:tblHeader/>
          <w:jc w:val="center"/>
        </w:trPr>
        <w:tc>
          <w:tcPr>
            <w:tcW w:w="1123" w:type="dxa"/>
            <w:vMerge w:val="restart"/>
            <w:shd w:val="clear" w:color="auto" w:fill="BBD2EA"/>
            <w:vAlign w:val="center"/>
          </w:tcPr>
          <w:p w14:paraId="02A367C7"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Juokseva numero</w:t>
            </w:r>
          </w:p>
        </w:tc>
        <w:tc>
          <w:tcPr>
            <w:tcW w:w="1574" w:type="dxa"/>
            <w:vMerge w:val="restart"/>
            <w:shd w:val="clear" w:color="auto" w:fill="BBD2EA"/>
            <w:vAlign w:val="center"/>
          </w:tcPr>
          <w:p w14:paraId="51D0EDB2"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Liittyvät</w:t>
            </w:r>
          </w:p>
          <w:p w14:paraId="573BAC8B"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Toimenpide (uudistus tai investointi)</w:t>
            </w:r>
          </w:p>
        </w:tc>
        <w:tc>
          <w:tcPr>
            <w:tcW w:w="1133" w:type="dxa"/>
            <w:vMerge w:val="restart"/>
            <w:shd w:val="clear" w:color="auto" w:fill="BBD2EA"/>
            <w:vAlign w:val="center"/>
          </w:tcPr>
          <w:p w14:paraId="27572A0A"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Välitavoite/tavoite</w:t>
            </w:r>
          </w:p>
        </w:tc>
        <w:tc>
          <w:tcPr>
            <w:tcW w:w="1843" w:type="dxa"/>
            <w:vMerge w:val="restart"/>
            <w:shd w:val="clear" w:color="auto" w:fill="BBD2EA"/>
            <w:vAlign w:val="center"/>
          </w:tcPr>
          <w:p w14:paraId="55F4776E"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Nimi</w:t>
            </w:r>
          </w:p>
        </w:tc>
        <w:tc>
          <w:tcPr>
            <w:tcW w:w="1560" w:type="dxa"/>
            <w:vMerge w:val="restart"/>
            <w:shd w:val="clear" w:color="auto" w:fill="BBD2EA"/>
            <w:vAlign w:val="center"/>
          </w:tcPr>
          <w:p w14:paraId="1E96A0D6"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Laadulliset indikaattorit (välitavoitteiden osalta)</w:t>
            </w:r>
          </w:p>
        </w:tc>
        <w:tc>
          <w:tcPr>
            <w:tcW w:w="3116" w:type="dxa"/>
            <w:gridSpan w:val="3"/>
            <w:shd w:val="clear" w:color="auto" w:fill="BBD2EA"/>
            <w:vAlign w:val="center"/>
          </w:tcPr>
          <w:p w14:paraId="13A4FE79"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Määrälliset indikaattorit (tavoitteiden osalta)</w:t>
            </w:r>
          </w:p>
        </w:tc>
        <w:tc>
          <w:tcPr>
            <w:tcW w:w="1704" w:type="dxa"/>
            <w:gridSpan w:val="2"/>
            <w:shd w:val="clear" w:color="auto" w:fill="BBD2EA"/>
            <w:vAlign w:val="center"/>
          </w:tcPr>
          <w:p w14:paraId="3BC31B6F"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Alustava toteutusaikataulu</w:t>
            </w:r>
          </w:p>
        </w:tc>
        <w:tc>
          <w:tcPr>
            <w:tcW w:w="3902" w:type="dxa"/>
            <w:vMerge w:val="restart"/>
            <w:shd w:val="clear" w:color="auto" w:fill="BBD2EA"/>
            <w:vAlign w:val="center"/>
          </w:tcPr>
          <w:p w14:paraId="470042FF" w14:textId="77777777" w:rsidR="00E42B18" w:rsidRDefault="009629C4">
            <w:pPr>
              <w:pStyle w:val="Other10"/>
              <w:ind w:firstLine="22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Kunkin välitavoitteen ja tavoitteen kuvaus</w:t>
            </w:r>
          </w:p>
        </w:tc>
      </w:tr>
      <w:tr w:rsidR="00E42B18" w14:paraId="766D9935" w14:textId="77777777">
        <w:trPr>
          <w:cantSplit/>
          <w:trHeight w:val="300"/>
          <w:tblHeader/>
          <w:jc w:val="center"/>
        </w:trPr>
        <w:tc>
          <w:tcPr>
            <w:tcW w:w="1123" w:type="dxa"/>
            <w:vMerge/>
            <w:vAlign w:val="center"/>
          </w:tcPr>
          <w:p w14:paraId="3EE87CC5" w14:textId="77777777" w:rsidR="00E42B18" w:rsidRDefault="00E42B18">
            <w:pPr>
              <w:jc w:val="center"/>
              <w:rPr>
                <w:rFonts w:ascii="Arial Narrow" w:hAnsi="Arial Narrow" w:cs="Arial"/>
                <w:noProof/>
                <w:sz w:val="20"/>
                <w:szCs w:val="20"/>
              </w:rPr>
            </w:pPr>
          </w:p>
        </w:tc>
        <w:tc>
          <w:tcPr>
            <w:tcW w:w="1574" w:type="dxa"/>
            <w:vMerge/>
            <w:vAlign w:val="center"/>
          </w:tcPr>
          <w:p w14:paraId="78075D51" w14:textId="77777777" w:rsidR="00E42B18" w:rsidRDefault="00E42B18">
            <w:pPr>
              <w:jc w:val="center"/>
              <w:rPr>
                <w:rFonts w:ascii="Arial Narrow" w:hAnsi="Arial Narrow" w:cs="Arial"/>
                <w:noProof/>
                <w:sz w:val="20"/>
                <w:szCs w:val="20"/>
              </w:rPr>
            </w:pPr>
          </w:p>
        </w:tc>
        <w:tc>
          <w:tcPr>
            <w:tcW w:w="1133" w:type="dxa"/>
            <w:vMerge/>
            <w:vAlign w:val="center"/>
          </w:tcPr>
          <w:p w14:paraId="4D93DEC4" w14:textId="77777777" w:rsidR="00E42B18" w:rsidRDefault="00E42B18">
            <w:pPr>
              <w:jc w:val="center"/>
              <w:rPr>
                <w:rFonts w:ascii="Arial Narrow" w:hAnsi="Arial Narrow" w:cs="Arial"/>
                <w:noProof/>
                <w:sz w:val="20"/>
                <w:szCs w:val="20"/>
              </w:rPr>
            </w:pPr>
          </w:p>
        </w:tc>
        <w:tc>
          <w:tcPr>
            <w:tcW w:w="1843" w:type="dxa"/>
            <w:vMerge/>
            <w:vAlign w:val="center"/>
          </w:tcPr>
          <w:p w14:paraId="3CD5E63C" w14:textId="77777777" w:rsidR="00E42B18" w:rsidRDefault="00E42B18">
            <w:pPr>
              <w:jc w:val="center"/>
              <w:rPr>
                <w:rFonts w:ascii="Arial Narrow" w:hAnsi="Arial Narrow" w:cs="Arial"/>
                <w:noProof/>
                <w:sz w:val="20"/>
                <w:szCs w:val="20"/>
              </w:rPr>
            </w:pPr>
          </w:p>
        </w:tc>
        <w:tc>
          <w:tcPr>
            <w:tcW w:w="1560" w:type="dxa"/>
            <w:vMerge/>
            <w:vAlign w:val="center"/>
          </w:tcPr>
          <w:p w14:paraId="74EE6E40" w14:textId="77777777" w:rsidR="00E42B18" w:rsidRDefault="00E42B18">
            <w:pPr>
              <w:jc w:val="center"/>
              <w:rPr>
                <w:rFonts w:ascii="Arial Narrow" w:hAnsi="Arial Narrow" w:cs="Arial"/>
                <w:noProof/>
                <w:sz w:val="20"/>
                <w:szCs w:val="20"/>
              </w:rPr>
            </w:pPr>
          </w:p>
        </w:tc>
        <w:tc>
          <w:tcPr>
            <w:tcW w:w="1256" w:type="dxa"/>
            <w:shd w:val="clear" w:color="auto" w:fill="BBD2EA"/>
            <w:vAlign w:val="center"/>
          </w:tcPr>
          <w:p w14:paraId="7A088103"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Mitta-yksikkö</w:t>
            </w:r>
          </w:p>
        </w:tc>
        <w:tc>
          <w:tcPr>
            <w:tcW w:w="871" w:type="dxa"/>
            <w:shd w:val="clear" w:color="auto" w:fill="BBD2EA"/>
            <w:vAlign w:val="center"/>
          </w:tcPr>
          <w:p w14:paraId="334A425B"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Lähtötilanne</w:t>
            </w:r>
          </w:p>
        </w:tc>
        <w:tc>
          <w:tcPr>
            <w:tcW w:w="989" w:type="dxa"/>
            <w:shd w:val="clear" w:color="auto" w:fill="BBD2EA"/>
            <w:vAlign w:val="center"/>
          </w:tcPr>
          <w:p w14:paraId="42E0770C" w14:textId="77777777" w:rsidR="00E42B18" w:rsidRDefault="009629C4">
            <w:pPr>
              <w:pStyle w:val="Other10"/>
              <w:ind w:firstLine="28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Päämäärä</w:t>
            </w:r>
          </w:p>
        </w:tc>
        <w:tc>
          <w:tcPr>
            <w:tcW w:w="994" w:type="dxa"/>
            <w:shd w:val="clear" w:color="auto" w:fill="BBD2EA"/>
            <w:vAlign w:val="center"/>
          </w:tcPr>
          <w:p w14:paraId="3843E6F8"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Neljännes</w:t>
            </w:r>
          </w:p>
        </w:tc>
        <w:tc>
          <w:tcPr>
            <w:tcW w:w="710" w:type="dxa"/>
            <w:shd w:val="clear" w:color="auto" w:fill="BBD2EA"/>
            <w:vAlign w:val="center"/>
          </w:tcPr>
          <w:p w14:paraId="2000893E" w14:textId="77777777" w:rsidR="00E42B18" w:rsidRDefault="009629C4">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Vuosi</w:t>
            </w:r>
          </w:p>
        </w:tc>
        <w:tc>
          <w:tcPr>
            <w:tcW w:w="3902" w:type="dxa"/>
            <w:vMerge/>
            <w:vAlign w:val="center"/>
          </w:tcPr>
          <w:p w14:paraId="4F9DDE7F" w14:textId="77777777" w:rsidR="00E42B18" w:rsidRDefault="00E42B18">
            <w:pPr>
              <w:jc w:val="center"/>
              <w:rPr>
                <w:rFonts w:ascii="Arial Narrow" w:hAnsi="Arial Narrow" w:cs="Arial"/>
                <w:noProof/>
                <w:sz w:val="20"/>
                <w:szCs w:val="20"/>
              </w:rPr>
            </w:pPr>
          </w:p>
        </w:tc>
      </w:tr>
      <w:tr w:rsidR="00E42B18" w14:paraId="02F0B870" w14:textId="77777777">
        <w:trPr>
          <w:cantSplit/>
          <w:trHeight w:val="300"/>
          <w:jc w:val="center"/>
        </w:trPr>
        <w:tc>
          <w:tcPr>
            <w:tcW w:w="1123" w:type="dxa"/>
            <w:shd w:val="clear" w:color="auto" w:fill="C6EFCD"/>
            <w:vAlign w:val="center"/>
          </w:tcPr>
          <w:p w14:paraId="659B75BF" w14:textId="55B1FF3C" w:rsidR="00E42B18" w:rsidRDefault="009629C4">
            <w:pPr>
              <w:pStyle w:val="P68B1DB1-Other1069"/>
              <w:jc w:val="center"/>
              <w:rPr>
                <w:rFonts w:cs="Arial"/>
                <w:noProof/>
              </w:rPr>
            </w:pPr>
            <w:r>
              <w:rPr>
                <w:noProof/>
              </w:rPr>
              <w:t>M2C3–5</w:t>
            </w:r>
          </w:p>
        </w:tc>
        <w:tc>
          <w:tcPr>
            <w:tcW w:w="1574" w:type="dxa"/>
            <w:shd w:val="clear" w:color="auto" w:fill="C6EFCD"/>
            <w:vAlign w:val="center"/>
          </w:tcPr>
          <w:p w14:paraId="18010505" w14:textId="00195232" w:rsidR="00E42B18" w:rsidRDefault="009629C4">
            <w:pPr>
              <w:pStyle w:val="P68B1DB1-Other1069"/>
              <w:jc w:val="center"/>
              <w:rPr>
                <w:rStyle w:val="Other1"/>
                <w:rFonts w:cs="Arial"/>
                <w:noProof/>
              </w:rPr>
            </w:pPr>
            <w:r>
              <w:rPr>
                <w:noProof/>
              </w:rPr>
              <w:t>Investointi 1.1: Uusien koulujen rakentaminen rakennusten vaihtamisen avulla</w:t>
            </w:r>
          </w:p>
        </w:tc>
        <w:tc>
          <w:tcPr>
            <w:tcW w:w="1133" w:type="dxa"/>
            <w:shd w:val="clear" w:color="auto" w:fill="C6EFCD"/>
            <w:vAlign w:val="center"/>
          </w:tcPr>
          <w:p w14:paraId="7A2A421E" w14:textId="269A6781" w:rsidR="00E42B18" w:rsidRDefault="009629C4">
            <w:pPr>
              <w:pStyle w:val="P68B1DB1-Other1069"/>
              <w:jc w:val="center"/>
              <w:rPr>
                <w:rStyle w:val="Other1"/>
                <w:rFonts w:cs="Arial"/>
                <w:noProof/>
              </w:rPr>
            </w:pPr>
            <w:r>
              <w:rPr>
                <w:noProof/>
              </w:rPr>
              <w:t>Virstanpylväs</w:t>
            </w:r>
          </w:p>
        </w:tc>
        <w:tc>
          <w:tcPr>
            <w:tcW w:w="1843" w:type="dxa"/>
            <w:shd w:val="clear" w:color="auto" w:fill="C6EFCD"/>
            <w:vAlign w:val="center"/>
          </w:tcPr>
          <w:p w14:paraId="423766AB" w14:textId="6672EFE0" w:rsidR="00E42B18" w:rsidRDefault="009629C4">
            <w:pPr>
              <w:pStyle w:val="P68B1DB1-Other1069"/>
              <w:jc w:val="center"/>
              <w:rPr>
                <w:rStyle w:val="Other1"/>
                <w:rFonts w:cs="Arial"/>
                <w:noProof/>
              </w:rPr>
            </w:pPr>
            <w:r>
              <w:rPr>
                <w:noProof/>
              </w:rPr>
              <w:t>Kaikkien uusien koulujen rakentamista koskevien julkisten hankintasopimusten tekeminen koulurakennusten energiapäivityksiä uudistamalla julkisen tarjouskilpailumenettelyn jälkeen</w:t>
            </w:r>
          </w:p>
        </w:tc>
        <w:tc>
          <w:tcPr>
            <w:tcW w:w="1560" w:type="dxa"/>
            <w:shd w:val="clear" w:color="auto" w:fill="C6EFCD"/>
            <w:vAlign w:val="center"/>
          </w:tcPr>
          <w:p w14:paraId="626A8C01" w14:textId="60B939AB" w:rsidR="00E42B18" w:rsidRDefault="009629C4">
            <w:pPr>
              <w:pStyle w:val="P68B1DB1-Other1069"/>
              <w:jc w:val="center"/>
              <w:rPr>
                <w:rStyle w:val="Other1"/>
                <w:rFonts w:cs="Arial"/>
                <w:noProof/>
              </w:rPr>
            </w:pPr>
            <w:r>
              <w:rPr>
                <w:noProof/>
              </w:rPr>
              <w:t>Ilmoitus kaikkien julkisten hankintasopimusten tekemisestä julkisen tarjouskilpailun perusteella</w:t>
            </w:r>
          </w:p>
        </w:tc>
        <w:tc>
          <w:tcPr>
            <w:tcW w:w="1256" w:type="dxa"/>
            <w:shd w:val="clear" w:color="auto" w:fill="C6EFCD"/>
            <w:vAlign w:val="center"/>
          </w:tcPr>
          <w:p w14:paraId="2C89F30F" w14:textId="3CE638DA" w:rsidR="00E42B18" w:rsidRDefault="009629C4">
            <w:pPr>
              <w:pStyle w:val="P68B1DB1-Other1069"/>
              <w:jc w:val="center"/>
              <w:rPr>
                <w:noProof/>
              </w:rPr>
            </w:pPr>
            <w:r>
              <w:rPr>
                <w:noProof/>
              </w:rPr>
              <w:t>EI OLE</w:t>
            </w:r>
          </w:p>
        </w:tc>
        <w:tc>
          <w:tcPr>
            <w:tcW w:w="871" w:type="dxa"/>
            <w:shd w:val="clear" w:color="auto" w:fill="C6EFCD"/>
            <w:vAlign w:val="center"/>
          </w:tcPr>
          <w:p w14:paraId="433E411E" w14:textId="671FD3F7" w:rsidR="00E42B18" w:rsidRDefault="009629C4">
            <w:pPr>
              <w:pStyle w:val="P68B1DB1-Other1069"/>
              <w:jc w:val="center"/>
              <w:rPr>
                <w:noProof/>
              </w:rPr>
            </w:pPr>
            <w:r>
              <w:rPr>
                <w:noProof/>
              </w:rPr>
              <w:t>EI OLE</w:t>
            </w:r>
          </w:p>
        </w:tc>
        <w:tc>
          <w:tcPr>
            <w:tcW w:w="989" w:type="dxa"/>
            <w:shd w:val="clear" w:color="auto" w:fill="C6EFCD"/>
            <w:vAlign w:val="center"/>
          </w:tcPr>
          <w:p w14:paraId="4654FE5B" w14:textId="4B13A397" w:rsidR="00E42B18" w:rsidRDefault="009629C4">
            <w:pPr>
              <w:pStyle w:val="P68B1DB1-Other1069"/>
              <w:jc w:val="center"/>
              <w:rPr>
                <w:noProof/>
              </w:rPr>
            </w:pPr>
            <w:r>
              <w:rPr>
                <w:noProof/>
              </w:rPr>
              <w:t>EI OLE</w:t>
            </w:r>
          </w:p>
        </w:tc>
        <w:tc>
          <w:tcPr>
            <w:tcW w:w="994" w:type="dxa"/>
            <w:shd w:val="clear" w:color="auto" w:fill="C6EFCD"/>
            <w:vAlign w:val="center"/>
          </w:tcPr>
          <w:p w14:paraId="45AEB676" w14:textId="4B77B12B" w:rsidR="00E42B18" w:rsidRDefault="009629C4">
            <w:pPr>
              <w:pStyle w:val="P68B1DB1-Other1069"/>
              <w:jc w:val="center"/>
              <w:rPr>
                <w:rFonts w:cs="Arial"/>
                <w:noProof/>
              </w:rPr>
            </w:pPr>
            <w:r>
              <w:rPr>
                <w:noProof/>
              </w:rPr>
              <w:t>Q3</w:t>
            </w:r>
          </w:p>
        </w:tc>
        <w:tc>
          <w:tcPr>
            <w:tcW w:w="710" w:type="dxa"/>
            <w:shd w:val="clear" w:color="auto" w:fill="C6EFCD"/>
            <w:vAlign w:val="center"/>
          </w:tcPr>
          <w:p w14:paraId="5A9A98B1" w14:textId="49D4AC3E" w:rsidR="00E42B18" w:rsidRDefault="009629C4">
            <w:pPr>
              <w:pStyle w:val="P68B1DB1-Other1069"/>
              <w:jc w:val="center"/>
              <w:rPr>
                <w:rFonts w:cs="Arial"/>
                <w:noProof/>
              </w:rPr>
            </w:pPr>
            <w:r>
              <w:rPr>
                <w:noProof/>
              </w:rPr>
              <w:t>2023</w:t>
            </w:r>
          </w:p>
        </w:tc>
        <w:tc>
          <w:tcPr>
            <w:tcW w:w="3902" w:type="dxa"/>
            <w:shd w:val="clear" w:color="auto" w:fill="C6EFCD"/>
          </w:tcPr>
          <w:p w14:paraId="77E0B79B" w14:textId="2141E118" w:rsidR="00E42B18" w:rsidRDefault="009629C4">
            <w:pPr>
              <w:pStyle w:val="P68B1DB1-Other1069"/>
              <w:rPr>
                <w:rFonts w:cs="Arial"/>
                <w:noProof/>
              </w:rPr>
            </w:pPr>
            <w:r>
              <w:rPr>
                <w:noProof/>
              </w:rPr>
              <w:t>Ilmoitus kaikkien sellaisten uusien koulurakennusten korvaamista koskevien julkisten hankintasopimusten tekemisestä, joille voidaan myöntää paikallisviranomaisten virallista rahoitusta, jonka kokonaispinta-ala on vähintään 400000 neliömetriä</w:t>
            </w:r>
          </w:p>
        </w:tc>
      </w:tr>
      <w:tr w:rsidR="00E42B18" w14:paraId="1FDC172A" w14:textId="77777777">
        <w:trPr>
          <w:cantSplit/>
          <w:trHeight w:val="300"/>
          <w:jc w:val="center"/>
        </w:trPr>
        <w:tc>
          <w:tcPr>
            <w:tcW w:w="1123" w:type="dxa"/>
            <w:shd w:val="clear" w:color="auto" w:fill="C6EFCD"/>
            <w:vAlign w:val="center"/>
          </w:tcPr>
          <w:p w14:paraId="67E04F5E" w14:textId="7504287D" w:rsidR="00E42B18" w:rsidRDefault="009629C4">
            <w:pPr>
              <w:pStyle w:val="P68B1DB1-Other1069"/>
              <w:jc w:val="center"/>
              <w:rPr>
                <w:rFonts w:cs="Arial"/>
                <w:noProof/>
              </w:rPr>
            </w:pPr>
            <w:r>
              <w:rPr>
                <w:noProof/>
              </w:rPr>
              <w:t>M2C3–6</w:t>
            </w:r>
          </w:p>
        </w:tc>
        <w:tc>
          <w:tcPr>
            <w:tcW w:w="1574" w:type="dxa"/>
            <w:shd w:val="clear" w:color="auto" w:fill="C6EFCD"/>
            <w:vAlign w:val="center"/>
          </w:tcPr>
          <w:p w14:paraId="2351A936" w14:textId="3B923F7E" w:rsidR="00E42B18" w:rsidRDefault="009629C4">
            <w:pPr>
              <w:pStyle w:val="P68B1DB1-Other1069"/>
              <w:jc w:val="center"/>
              <w:rPr>
                <w:rStyle w:val="Other1"/>
                <w:rFonts w:cs="Arial"/>
                <w:noProof/>
              </w:rPr>
            </w:pPr>
            <w:r>
              <w:rPr>
                <w:noProof/>
              </w:rPr>
              <w:t>Investointi 1.1: Uusien koulujen rakentaminen rakennusten vaihtamisen avulla</w:t>
            </w:r>
          </w:p>
        </w:tc>
        <w:tc>
          <w:tcPr>
            <w:tcW w:w="1133" w:type="dxa"/>
            <w:shd w:val="clear" w:color="auto" w:fill="C6EFCD"/>
            <w:vAlign w:val="center"/>
          </w:tcPr>
          <w:p w14:paraId="0ED541DB" w14:textId="749A96D1" w:rsidR="00E42B18" w:rsidRDefault="009629C4">
            <w:pPr>
              <w:pStyle w:val="P68B1DB1-Other1069"/>
              <w:jc w:val="center"/>
              <w:rPr>
                <w:rFonts w:cs="Arial"/>
                <w:noProof/>
              </w:rPr>
            </w:pPr>
            <w:r>
              <w:rPr>
                <w:noProof/>
              </w:rPr>
              <w:t>Kohde</w:t>
            </w:r>
          </w:p>
        </w:tc>
        <w:tc>
          <w:tcPr>
            <w:tcW w:w="1843" w:type="dxa"/>
            <w:shd w:val="clear" w:color="auto" w:fill="C6EFCD"/>
            <w:vAlign w:val="center"/>
          </w:tcPr>
          <w:p w14:paraId="264C1BBE" w14:textId="6998CC28" w:rsidR="00E42B18" w:rsidRDefault="009629C4">
            <w:pPr>
              <w:pStyle w:val="P68B1DB1-Other1069"/>
              <w:jc w:val="center"/>
              <w:rPr>
                <w:rStyle w:val="Other1"/>
                <w:rFonts w:cs="Arial"/>
                <w:noProof/>
              </w:rPr>
            </w:pPr>
            <w:r>
              <w:rPr>
                <w:noProof/>
              </w:rPr>
              <w:t>Rakennusten uusimisen avulla rakennetaan vähintään 166 uutta koulua.</w:t>
            </w:r>
          </w:p>
        </w:tc>
        <w:tc>
          <w:tcPr>
            <w:tcW w:w="1560" w:type="dxa"/>
            <w:shd w:val="clear" w:color="auto" w:fill="C6EFCD"/>
            <w:vAlign w:val="center"/>
          </w:tcPr>
          <w:p w14:paraId="50D10FCE" w14:textId="25DCFAAB" w:rsidR="00E42B18" w:rsidRDefault="009629C4">
            <w:pPr>
              <w:pStyle w:val="P68B1DB1-Other1069"/>
              <w:jc w:val="center"/>
              <w:rPr>
                <w:rFonts w:cs="Arial"/>
                <w:noProof/>
              </w:rPr>
            </w:pPr>
            <w:r>
              <w:rPr>
                <w:noProof/>
              </w:rPr>
              <w:t>EI OLE</w:t>
            </w:r>
          </w:p>
        </w:tc>
        <w:tc>
          <w:tcPr>
            <w:tcW w:w="1256" w:type="dxa"/>
            <w:shd w:val="clear" w:color="auto" w:fill="C6EFCD"/>
            <w:vAlign w:val="center"/>
          </w:tcPr>
          <w:p w14:paraId="7F582C1F" w14:textId="29892752" w:rsidR="00E42B18" w:rsidRDefault="009629C4">
            <w:pPr>
              <w:pStyle w:val="P68B1DB1-Other1069"/>
              <w:jc w:val="center"/>
              <w:rPr>
                <w:rFonts w:cs="Arial"/>
                <w:noProof/>
              </w:rPr>
            </w:pPr>
            <w:r>
              <w:rPr>
                <w:noProof/>
              </w:rPr>
              <w:t>Numero</w:t>
            </w:r>
          </w:p>
        </w:tc>
        <w:tc>
          <w:tcPr>
            <w:tcW w:w="871" w:type="dxa"/>
            <w:shd w:val="clear" w:color="auto" w:fill="C6EFCD"/>
            <w:vAlign w:val="center"/>
          </w:tcPr>
          <w:p w14:paraId="74A19CBE" w14:textId="0DB64D48" w:rsidR="00E42B18" w:rsidRDefault="009629C4">
            <w:pPr>
              <w:pStyle w:val="P68B1DB1-Other1069"/>
              <w:jc w:val="center"/>
              <w:rPr>
                <w:rFonts w:cs="Arial"/>
                <w:noProof/>
              </w:rPr>
            </w:pPr>
            <w:r>
              <w:rPr>
                <w:noProof/>
              </w:rPr>
              <w:t>0</w:t>
            </w:r>
          </w:p>
        </w:tc>
        <w:tc>
          <w:tcPr>
            <w:tcW w:w="989" w:type="dxa"/>
            <w:shd w:val="clear" w:color="auto" w:fill="C6EFCD"/>
            <w:vAlign w:val="center"/>
          </w:tcPr>
          <w:p w14:paraId="77070C0C" w14:textId="25BF8A7D" w:rsidR="00E42B18" w:rsidRDefault="009629C4">
            <w:pPr>
              <w:pStyle w:val="P68B1DB1-Other1069"/>
              <w:jc w:val="center"/>
              <w:rPr>
                <w:rFonts w:cs="Arial"/>
                <w:noProof/>
              </w:rPr>
            </w:pPr>
            <w:r>
              <w:rPr>
                <w:noProof/>
              </w:rPr>
              <w:t>166</w:t>
            </w:r>
          </w:p>
        </w:tc>
        <w:tc>
          <w:tcPr>
            <w:tcW w:w="994" w:type="dxa"/>
            <w:shd w:val="clear" w:color="auto" w:fill="C6EFCD"/>
            <w:vAlign w:val="center"/>
          </w:tcPr>
          <w:p w14:paraId="64661F45" w14:textId="4030B441" w:rsidR="00E42B18" w:rsidRDefault="009629C4">
            <w:pPr>
              <w:pStyle w:val="P68B1DB1-Other1069"/>
              <w:jc w:val="center"/>
              <w:rPr>
                <w:rFonts w:cs="Arial"/>
                <w:noProof/>
              </w:rPr>
            </w:pPr>
            <w:r>
              <w:rPr>
                <w:noProof/>
              </w:rPr>
              <w:t>Q1</w:t>
            </w:r>
          </w:p>
        </w:tc>
        <w:tc>
          <w:tcPr>
            <w:tcW w:w="710" w:type="dxa"/>
            <w:shd w:val="clear" w:color="auto" w:fill="C6EFCD"/>
            <w:vAlign w:val="center"/>
          </w:tcPr>
          <w:p w14:paraId="3CCA7E19" w14:textId="277FE919" w:rsidR="00E42B18" w:rsidRDefault="009629C4">
            <w:pPr>
              <w:pStyle w:val="P68B1DB1-Other1069"/>
              <w:jc w:val="center"/>
              <w:rPr>
                <w:rFonts w:cs="Arial"/>
                <w:noProof/>
              </w:rPr>
            </w:pPr>
            <w:r>
              <w:rPr>
                <w:noProof/>
              </w:rPr>
              <w:t>2026</w:t>
            </w:r>
          </w:p>
        </w:tc>
        <w:tc>
          <w:tcPr>
            <w:tcW w:w="3902" w:type="dxa"/>
            <w:shd w:val="clear" w:color="auto" w:fill="C6EFCD"/>
          </w:tcPr>
          <w:p w14:paraId="0E850D4A" w14:textId="77777777" w:rsidR="00E42B18" w:rsidRDefault="009629C4">
            <w:pPr>
              <w:pStyle w:val="P68B1DB1-Other1069"/>
              <w:rPr>
                <w:noProof/>
              </w:rPr>
            </w:pPr>
            <w:r>
              <w:rPr>
                <w:noProof/>
              </w:rPr>
              <w:t>Todistukset töiden päätökseen saattamisesta vähintään 166 uuden koulun rakentamiseksi uudistamalla rakennus.</w:t>
            </w:r>
          </w:p>
          <w:p w14:paraId="527A07AD" w14:textId="77777777" w:rsidR="00E42B18" w:rsidRDefault="00E42B18">
            <w:pPr>
              <w:pStyle w:val="Other10"/>
              <w:rPr>
                <w:rFonts w:ascii="Arial Narrow" w:hAnsi="Arial Narrow"/>
                <w:noProof/>
                <w:sz w:val="20"/>
                <w:szCs w:val="20"/>
              </w:rPr>
            </w:pPr>
          </w:p>
          <w:p w14:paraId="3F544B5D" w14:textId="2E85483F" w:rsidR="00E42B18" w:rsidRDefault="009629C4">
            <w:pPr>
              <w:pStyle w:val="P68B1DB1-Other1069"/>
              <w:rPr>
                <w:rFonts w:cs="Arial"/>
                <w:noProof/>
              </w:rPr>
            </w:pPr>
            <w:r>
              <w:rPr>
                <w:noProof/>
              </w:rPr>
              <w:t>Näiden 166 uuden koulun primäärienergian kulutuksen on oltava vähintään 20 prosenttia alhaisempi kuin lähes nollaenergiarakennuksia koskeva vaatimus, mistä on osoituksena energiatehokkuustodistusten myöntäminen.</w:t>
            </w:r>
          </w:p>
        </w:tc>
      </w:tr>
      <w:tr w:rsidR="00E42B18" w14:paraId="12B61452" w14:textId="77777777">
        <w:trPr>
          <w:cantSplit/>
          <w:trHeight w:val="300"/>
          <w:jc w:val="center"/>
        </w:trPr>
        <w:tc>
          <w:tcPr>
            <w:tcW w:w="1123" w:type="dxa"/>
            <w:shd w:val="clear" w:color="auto" w:fill="C6EFCD"/>
            <w:vAlign w:val="center"/>
          </w:tcPr>
          <w:p w14:paraId="59715AB5" w14:textId="44CB2FC7" w:rsidR="00E42B18" w:rsidRDefault="009629C4">
            <w:pPr>
              <w:pStyle w:val="P68B1DB1-Other1069"/>
              <w:jc w:val="center"/>
              <w:rPr>
                <w:rFonts w:cs="Arial"/>
                <w:noProof/>
              </w:rPr>
            </w:pPr>
            <w:r>
              <w:rPr>
                <w:noProof/>
              </w:rPr>
              <w:t>M2C3–7</w:t>
            </w:r>
          </w:p>
        </w:tc>
        <w:tc>
          <w:tcPr>
            <w:tcW w:w="1574" w:type="dxa"/>
            <w:shd w:val="clear" w:color="auto" w:fill="C6EFCD"/>
            <w:vAlign w:val="center"/>
          </w:tcPr>
          <w:p w14:paraId="6CB1B149" w14:textId="41F4ABE0" w:rsidR="00E42B18" w:rsidRDefault="009629C4">
            <w:pPr>
              <w:pStyle w:val="P68B1DB1-Other1069"/>
              <w:jc w:val="center"/>
              <w:rPr>
                <w:rStyle w:val="Other1"/>
                <w:rFonts w:cs="Arial"/>
                <w:noProof/>
              </w:rPr>
            </w:pPr>
            <w:r>
              <w:rPr>
                <w:noProof/>
              </w:rPr>
              <w:t>Investointi 1.2 – Kiinteistöjen rakentaminen, oikeudenkäyttöön liittyvän kiinteistöomaisuuden uudelleenkoulutus ja vahvistaminen</w:t>
            </w:r>
          </w:p>
        </w:tc>
        <w:tc>
          <w:tcPr>
            <w:tcW w:w="1133" w:type="dxa"/>
            <w:shd w:val="clear" w:color="auto" w:fill="C6EFCD"/>
            <w:vAlign w:val="center"/>
          </w:tcPr>
          <w:p w14:paraId="77EB2E0F" w14:textId="62728E42" w:rsidR="00E42B18" w:rsidRDefault="009629C4">
            <w:pPr>
              <w:pStyle w:val="P68B1DB1-Other1069"/>
              <w:jc w:val="center"/>
              <w:rPr>
                <w:rFonts w:cs="Arial"/>
                <w:noProof/>
              </w:rPr>
            </w:pPr>
            <w:r>
              <w:rPr>
                <w:noProof/>
              </w:rPr>
              <w:t>Virstanpylväs</w:t>
            </w:r>
          </w:p>
        </w:tc>
        <w:tc>
          <w:tcPr>
            <w:tcW w:w="1843" w:type="dxa"/>
            <w:shd w:val="clear" w:color="auto" w:fill="C6EFCD"/>
            <w:vAlign w:val="center"/>
          </w:tcPr>
          <w:p w14:paraId="1452EF10" w14:textId="5FC86AAB" w:rsidR="00E42B18" w:rsidRDefault="009629C4">
            <w:pPr>
              <w:pStyle w:val="P68B1DB1-Other1069"/>
              <w:jc w:val="center"/>
              <w:rPr>
                <w:rStyle w:val="Other1"/>
                <w:rFonts w:cs="Arial"/>
                <w:noProof/>
              </w:rPr>
            </w:pPr>
            <w:r>
              <w:rPr>
                <w:noProof/>
              </w:rPr>
              <w:t>Hankintaviranomainen allekirjoittaa kaikkien uusien rakennusten rakentamista, oikeudenhoidon kiinteistöomaisuuden uudelleenmäärittelyä ja vahvistamista koskevien hankintasopimusten tekemisen julkisen tarjouskilpailun perusteella.</w:t>
            </w:r>
          </w:p>
        </w:tc>
        <w:tc>
          <w:tcPr>
            <w:tcW w:w="1560" w:type="dxa"/>
            <w:shd w:val="clear" w:color="auto" w:fill="C6EFCD"/>
            <w:vAlign w:val="center"/>
          </w:tcPr>
          <w:p w14:paraId="4CA9E4CC" w14:textId="26B10328" w:rsidR="00E42B18" w:rsidRDefault="009629C4">
            <w:pPr>
              <w:pStyle w:val="P68B1DB1-Other1069"/>
              <w:jc w:val="center"/>
              <w:rPr>
                <w:rFonts w:cs="Arial"/>
                <w:noProof/>
              </w:rPr>
            </w:pPr>
            <w:r>
              <w:rPr>
                <w:noProof/>
              </w:rPr>
              <w:t>Ilmoitus kaikkien julkisten hankintasopimusten tekemisestä julkisen tarjouskilpailun perusteella</w:t>
            </w:r>
          </w:p>
        </w:tc>
        <w:tc>
          <w:tcPr>
            <w:tcW w:w="1256" w:type="dxa"/>
            <w:shd w:val="clear" w:color="auto" w:fill="C6EFCD"/>
            <w:vAlign w:val="center"/>
          </w:tcPr>
          <w:p w14:paraId="2CBB317D" w14:textId="6FD2D19F" w:rsidR="00E42B18" w:rsidRDefault="009629C4">
            <w:pPr>
              <w:pStyle w:val="P68B1DB1-Other1069"/>
              <w:jc w:val="center"/>
              <w:rPr>
                <w:rFonts w:cs="Arial"/>
                <w:noProof/>
              </w:rPr>
            </w:pPr>
            <w:r>
              <w:rPr>
                <w:noProof/>
              </w:rPr>
              <w:t>EI OLE</w:t>
            </w:r>
          </w:p>
        </w:tc>
        <w:tc>
          <w:tcPr>
            <w:tcW w:w="871" w:type="dxa"/>
            <w:shd w:val="clear" w:color="auto" w:fill="C6EFCD"/>
            <w:vAlign w:val="center"/>
          </w:tcPr>
          <w:p w14:paraId="246657E9" w14:textId="05C0B488" w:rsidR="00E42B18" w:rsidRDefault="009629C4">
            <w:pPr>
              <w:pStyle w:val="P68B1DB1-Other1069"/>
              <w:jc w:val="center"/>
              <w:rPr>
                <w:rFonts w:cs="Arial"/>
                <w:noProof/>
              </w:rPr>
            </w:pPr>
            <w:r>
              <w:rPr>
                <w:noProof/>
              </w:rPr>
              <w:t>EI OLE</w:t>
            </w:r>
          </w:p>
        </w:tc>
        <w:tc>
          <w:tcPr>
            <w:tcW w:w="989" w:type="dxa"/>
            <w:shd w:val="clear" w:color="auto" w:fill="C6EFCD"/>
            <w:vAlign w:val="center"/>
          </w:tcPr>
          <w:p w14:paraId="054754C6" w14:textId="4CDA6AF2" w:rsidR="00E42B18" w:rsidRDefault="009629C4">
            <w:pPr>
              <w:pStyle w:val="P68B1DB1-Other1069"/>
              <w:jc w:val="center"/>
              <w:rPr>
                <w:rFonts w:cs="Arial"/>
                <w:noProof/>
              </w:rPr>
            </w:pPr>
            <w:r>
              <w:rPr>
                <w:noProof/>
              </w:rPr>
              <w:t>EI OLE</w:t>
            </w:r>
          </w:p>
        </w:tc>
        <w:tc>
          <w:tcPr>
            <w:tcW w:w="994" w:type="dxa"/>
            <w:shd w:val="clear" w:color="auto" w:fill="C6EFCD"/>
            <w:vAlign w:val="center"/>
          </w:tcPr>
          <w:p w14:paraId="1C8BDC37" w14:textId="72459FD3" w:rsidR="00E42B18" w:rsidRDefault="009629C4">
            <w:pPr>
              <w:pStyle w:val="P68B1DB1-Other1069"/>
              <w:jc w:val="center"/>
              <w:rPr>
                <w:rFonts w:cs="Arial"/>
                <w:noProof/>
              </w:rPr>
            </w:pPr>
            <w:r>
              <w:rPr>
                <w:noProof/>
              </w:rPr>
              <w:t>Q4</w:t>
            </w:r>
          </w:p>
        </w:tc>
        <w:tc>
          <w:tcPr>
            <w:tcW w:w="710" w:type="dxa"/>
            <w:shd w:val="clear" w:color="auto" w:fill="C6EFCD"/>
            <w:vAlign w:val="center"/>
          </w:tcPr>
          <w:p w14:paraId="3C8BEADE" w14:textId="741160A7" w:rsidR="00E42B18" w:rsidRDefault="009629C4">
            <w:pPr>
              <w:pStyle w:val="P68B1DB1-Other1069"/>
              <w:jc w:val="center"/>
              <w:rPr>
                <w:rFonts w:cs="Arial"/>
                <w:noProof/>
              </w:rPr>
            </w:pPr>
            <w:r>
              <w:rPr>
                <w:noProof/>
              </w:rPr>
              <w:t>2023</w:t>
            </w:r>
          </w:p>
        </w:tc>
        <w:tc>
          <w:tcPr>
            <w:tcW w:w="3902" w:type="dxa"/>
            <w:shd w:val="clear" w:color="auto" w:fill="C6EFCD"/>
          </w:tcPr>
          <w:p w14:paraId="7B80AE92" w14:textId="59B5E260" w:rsidR="00E42B18" w:rsidRDefault="009629C4">
            <w:pPr>
              <w:pStyle w:val="P68B1DB1-Other1069"/>
              <w:rPr>
                <w:rStyle w:val="Other1"/>
                <w:rFonts w:cs="Arial"/>
                <w:noProof/>
              </w:rPr>
            </w:pPr>
            <w:r>
              <w:rPr>
                <w:noProof/>
              </w:rPr>
              <w:t>Ilmoitus kaikkien sellaisten julkisten hankintasopimusten tekemisestä, jotka koskevat kiinteistöjen rakentamista sekä oikeudenkäyttöön liittyvän kiinteistöomaisuuden uudelleenkoulutusta ja vahvistamista.</w:t>
            </w:r>
          </w:p>
        </w:tc>
      </w:tr>
      <w:tr w:rsidR="00E42B18" w14:paraId="7DB75A60" w14:textId="77777777">
        <w:trPr>
          <w:cantSplit/>
          <w:trHeight w:val="300"/>
          <w:jc w:val="center"/>
        </w:trPr>
        <w:tc>
          <w:tcPr>
            <w:tcW w:w="1123" w:type="dxa"/>
            <w:shd w:val="clear" w:color="auto" w:fill="C6EFCD"/>
            <w:vAlign w:val="center"/>
          </w:tcPr>
          <w:p w14:paraId="6E365C3D" w14:textId="5E7AA3B9" w:rsidR="00E42B18" w:rsidRDefault="009629C4">
            <w:pPr>
              <w:pStyle w:val="P68B1DB1-Other1069"/>
              <w:jc w:val="center"/>
              <w:rPr>
                <w:rFonts w:cs="Arial"/>
                <w:noProof/>
              </w:rPr>
            </w:pPr>
            <w:r>
              <w:rPr>
                <w:noProof/>
              </w:rPr>
              <w:t>M2C3–8</w:t>
            </w:r>
          </w:p>
        </w:tc>
        <w:tc>
          <w:tcPr>
            <w:tcW w:w="1574" w:type="dxa"/>
            <w:shd w:val="clear" w:color="auto" w:fill="C6EFCD"/>
            <w:vAlign w:val="center"/>
          </w:tcPr>
          <w:p w14:paraId="367D70D2" w14:textId="21E7CCBF" w:rsidR="00E42B18" w:rsidRDefault="009629C4">
            <w:pPr>
              <w:pStyle w:val="P68B1DB1-Other1069"/>
              <w:jc w:val="center"/>
              <w:rPr>
                <w:rStyle w:val="Other1"/>
                <w:rFonts w:cs="Arial"/>
                <w:noProof/>
              </w:rPr>
            </w:pPr>
            <w:r>
              <w:rPr>
                <w:noProof/>
              </w:rPr>
              <w:t>Investointi 1.2 – Oikeushallinnon osittain tai kokonaan käyttämien julkisten kiinteistöjen tasaaminen</w:t>
            </w:r>
          </w:p>
        </w:tc>
        <w:tc>
          <w:tcPr>
            <w:tcW w:w="1133" w:type="dxa"/>
            <w:shd w:val="clear" w:color="auto" w:fill="C6EFCD"/>
            <w:vAlign w:val="center"/>
          </w:tcPr>
          <w:p w14:paraId="055DE80F" w14:textId="54A67B60" w:rsidR="00E42B18" w:rsidRDefault="009629C4">
            <w:pPr>
              <w:pStyle w:val="P68B1DB1-Other1069"/>
              <w:jc w:val="center"/>
              <w:rPr>
                <w:rStyle w:val="Other1"/>
                <w:rFonts w:cs="Arial"/>
                <w:noProof/>
              </w:rPr>
            </w:pPr>
            <w:r>
              <w:rPr>
                <w:noProof/>
              </w:rPr>
              <w:t>Kohde</w:t>
            </w:r>
          </w:p>
        </w:tc>
        <w:tc>
          <w:tcPr>
            <w:tcW w:w="1843" w:type="dxa"/>
            <w:shd w:val="clear" w:color="auto" w:fill="C6EFCD"/>
            <w:vAlign w:val="center"/>
          </w:tcPr>
          <w:p w14:paraId="7E9C2AA9" w14:textId="6269488E" w:rsidR="00E42B18" w:rsidRDefault="009629C4">
            <w:pPr>
              <w:pStyle w:val="P68B1DB1-Other1069"/>
              <w:jc w:val="center"/>
              <w:rPr>
                <w:rStyle w:val="Other1"/>
                <w:rFonts w:cs="Arial"/>
                <w:noProof/>
              </w:rPr>
            </w:pPr>
            <w:r>
              <w:rPr>
                <w:noProof/>
              </w:rPr>
              <w:t>Julkisten kiinteistöjen vähintään 289000 neliömetrin suuruiset työt</w:t>
            </w:r>
          </w:p>
        </w:tc>
        <w:tc>
          <w:tcPr>
            <w:tcW w:w="1560" w:type="dxa"/>
            <w:shd w:val="clear" w:color="auto" w:fill="C6EFCD"/>
            <w:vAlign w:val="center"/>
          </w:tcPr>
          <w:p w14:paraId="481DA3D5" w14:textId="242CD523" w:rsidR="00E42B18" w:rsidRDefault="009629C4">
            <w:pPr>
              <w:pStyle w:val="P68B1DB1-Other1069"/>
              <w:jc w:val="center"/>
              <w:rPr>
                <w:rStyle w:val="Other1"/>
                <w:rFonts w:cs="Arial"/>
                <w:noProof/>
              </w:rPr>
            </w:pPr>
            <w:r>
              <w:rPr>
                <w:noProof/>
              </w:rPr>
              <w:t>EI OLE</w:t>
            </w:r>
          </w:p>
        </w:tc>
        <w:tc>
          <w:tcPr>
            <w:tcW w:w="1256" w:type="dxa"/>
            <w:shd w:val="clear" w:color="auto" w:fill="C6EFCD"/>
            <w:vAlign w:val="center"/>
          </w:tcPr>
          <w:p w14:paraId="342307C2" w14:textId="66F95FC7" w:rsidR="00E42B18" w:rsidRDefault="009629C4">
            <w:pPr>
              <w:pStyle w:val="P68B1DB1-Other1069"/>
              <w:jc w:val="center"/>
              <w:rPr>
                <w:noProof/>
              </w:rPr>
            </w:pPr>
            <w:r>
              <w:rPr>
                <w:noProof/>
              </w:rPr>
              <w:t>Numero</w:t>
            </w:r>
          </w:p>
        </w:tc>
        <w:tc>
          <w:tcPr>
            <w:tcW w:w="871" w:type="dxa"/>
            <w:shd w:val="clear" w:color="auto" w:fill="C6EFCD"/>
            <w:vAlign w:val="center"/>
          </w:tcPr>
          <w:p w14:paraId="3EED6E1A" w14:textId="07DC3AC0" w:rsidR="00E42B18" w:rsidRDefault="009629C4">
            <w:pPr>
              <w:pStyle w:val="P68B1DB1-Other1069"/>
              <w:jc w:val="center"/>
              <w:rPr>
                <w:noProof/>
              </w:rPr>
            </w:pPr>
            <w:r>
              <w:rPr>
                <w:noProof/>
              </w:rPr>
              <w:t>0</w:t>
            </w:r>
          </w:p>
        </w:tc>
        <w:tc>
          <w:tcPr>
            <w:tcW w:w="989" w:type="dxa"/>
            <w:shd w:val="clear" w:color="auto" w:fill="C6EFCD"/>
            <w:vAlign w:val="center"/>
          </w:tcPr>
          <w:p w14:paraId="35A5A001" w14:textId="6CC7DB82" w:rsidR="00E42B18" w:rsidRDefault="009629C4">
            <w:pPr>
              <w:pStyle w:val="P68B1DB1-Other1069"/>
              <w:jc w:val="center"/>
              <w:rPr>
                <w:noProof/>
              </w:rPr>
            </w:pPr>
            <w:r>
              <w:rPr>
                <w:noProof/>
              </w:rPr>
              <w:t>289 000</w:t>
            </w:r>
          </w:p>
        </w:tc>
        <w:tc>
          <w:tcPr>
            <w:tcW w:w="994" w:type="dxa"/>
            <w:shd w:val="clear" w:color="auto" w:fill="C6EFCD"/>
            <w:vAlign w:val="center"/>
          </w:tcPr>
          <w:p w14:paraId="2DF827EC" w14:textId="2981C5A0" w:rsidR="00E42B18" w:rsidRDefault="009629C4">
            <w:pPr>
              <w:pStyle w:val="P68B1DB1-Other1069"/>
              <w:jc w:val="center"/>
              <w:rPr>
                <w:rFonts w:cs="Arial"/>
                <w:noProof/>
              </w:rPr>
            </w:pPr>
            <w:r>
              <w:rPr>
                <w:noProof/>
              </w:rPr>
              <w:t>Q1</w:t>
            </w:r>
          </w:p>
        </w:tc>
        <w:tc>
          <w:tcPr>
            <w:tcW w:w="710" w:type="dxa"/>
            <w:shd w:val="clear" w:color="auto" w:fill="C6EFCD"/>
            <w:vAlign w:val="center"/>
          </w:tcPr>
          <w:p w14:paraId="24204F3E" w14:textId="728746B1" w:rsidR="00E42B18" w:rsidRDefault="009629C4">
            <w:pPr>
              <w:pStyle w:val="P68B1DB1-Other1069"/>
              <w:jc w:val="center"/>
              <w:rPr>
                <w:rFonts w:cs="Arial"/>
                <w:noProof/>
              </w:rPr>
            </w:pPr>
            <w:r>
              <w:rPr>
                <w:noProof/>
              </w:rPr>
              <w:t>2026</w:t>
            </w:r>
          </w:p>
        </w:tc>
        <w:tc>
          <w:tcPr>
            <w:tcW w:w="3902" w:type="dxa"/>
            <w:shd w:val="clear" w:color="auto" w:fill="C6EFCD"/>
          </w:tcPr>
          <w:p w14:paraId="528970C0" w14:textId="798EA747" w:rsidR="00E42B18" w:rsidRDefault="009629C4">
            <w:pPr>
              <w:pStyle w:val="P68B1DB1-Other1069"/>
              <w:rPr>
                <w:rFonts w:cs="Arial"/>
                <w:noProof/>
              </w:rPr>
            </w:pPr>
            <w:r>
              <w:rPr>
                <w:noProof/>
              </w:rPr>
              <w:t>Todistus oikeuslaitoksen osittain tai kokonaan käyttämän julkisen kiinteistöomaisuuden vähintään 289000 neliömetrin suuruisten töiden valmistumisesta annetaan.</w:t>
            </w:r>
          </w:p>
        </w:tc>
      </w:tr>
      <w:tr w:rsidR="00E42B18" w14:paraId="1D575B72" w14:textId="77777777">
        <w:trPr>
          <w:cantSplit/>
          <w:trHeight w:val="300"/>
          <w:jc w:val="center"/>
        </w:trPr>
        <w:tc>
          <w:tcPr>
            <w:tcW w:w="1123" w:type="dxa"/>
            <w:shd w:val="clear" w:color="auto" w:fill="C6EFCD"/>
            <w:vAlign w:val="center"/>
          </w:tcPr>
          <w:p w14:paraId="281AA1C3" w14:textId="0B527F29" w:rsidR="00E42B18" w:rsidRDefault="009629C4">
            <w:pPr>
              <w:pStyle w:val="P68B1DB1-Other1069"/>
              <w:jc w:val="center"/>
              <w:rPr>
                <w:rFonts w:cs="Arial"/>
                <w:noProof/>
              </w:rPr>
            </w:pPr>
            <w:r>
              <w:rPr>
                <w:noProof/>
              </w:rPr>
              <w:t>M2C3–9</w:t>
            </w:r>
          </w:p>
        </w:tc>
        <w:tc>
          <w:tcPr>
            <w:tcW w:w="1574" w:type="dxa"/>
            <w:shd w:val="clear" w:color="auto" w:fill="C6EFCD"/>
            <w:vAlign w:val="center"/>
          </w:tcPr>
          <w:p w14:paraId="20BC6D8D" w14:textId="76E4FF6A" w:rsidR="00E42B18" w:rsidRDefault="009629C4">
            <w:pPr>
              <w:pStyle w:val="P68B1DB1-Other1069"/>
              <w:jc w:val="center"/>
              <w:rPr>
                <w:rStyle w:val="Other1"/>
                <w:rFonts w:cs="Arial"/>
                <w:noProof/>
              </w:rPr>
            </w:pPr>
            <w:r>
              <w:rPr>
                <w:noProof/>
              </w:rPr>
              <w:t>Investointi 3.1: Tehokkaan kaukolämmön edistäminen</w:t>
            </w:r>
          </w:p>
        </w:tc>
        <w:tc>
          <w:tcPr>
            <w:tcW w:w="1133" w:type="dxa"/>
            <w:shd w:val="clear" w:color="auto" w:fill="C6EFCD"/>
            <w:vAlign w:val="center"/>
          </w:tcPr>
          <w:p w14:paraId="77C382CA" w14:textId="4A277633" w:rsidR="00E42B18" w:rsidRDefault="009629C4">
            <w:pPr>
              <w:pStyle w:val="P68B1DB1-Other1069"/>
              <w:jc w:val="center"/>
              <w:rPr>
                <w:rStyle w:val="Other1"/>
                <w:rFonts w:cs="Arial"/>
                <w:noProof/>
              </w:rPr>
            </w:pPr>
            <w:r>
              <w:rPr>
                <w:noProof/>
              </w:rPr>
              <w:t>Virstanpylväs</w:t>
            </w:r>
          </w:p>
        </w:tc>
        <w:tc>
          <w:tcPr>
            <w:tcW w:w="1843" w:type="dxa"/>
            <w:shd w:val="clear" w:color="auto" w:fill="C6EFCD"/>
            <w:vAlign w:val="center"/>
          </w:tcPr>
          <w:p w14:paraId="227D694C" w14:textId="66EE638F" w:rsidR="00E42B18" w:rsidRDefault="009629C4">
            <w:pPr>
              <w:pStyle w:val="P68B1DB1-Other1069"/>
              <w:jc w:val="center"/>
              <w:rPr>
                <w:rStyle w:val="Other1"/>
                <w:rFonts w:cs="Arial"/>
                <w:noProof/>
              </w:rPr>
            </w:pPr>
            <w:r>
              <w:rPr>
                <w:noProof/>
              </w:rPr>
              <w:t>Ekologisesta siirtymästä vastaava ministeriö tekee lämmitysverkkojen parantamista koskevat sopimukset julkisen tarjouskilpailun perusteella.</w:t>
            </w:r>
          </w:p>
        </w:tc>
        <w:tc>
          <w:tcPr>
            <w:tcW w:w="1560" w:type="dxa"/>
            <w:shd w:val="clear" w:color="auto" w:fill="C6EFCD"/>
            <w:vAlign w:val="center"/>
          </w:tcPr>
          <w:p w14:paraId="403D45AD" w14:textId="626E4767" w:rsidR="00E42B18" w:rsidRDefault="009629C4">
            <w:pPr>
              <w:pStyle w:val="P68B1DB1-Other1069"/>
              <w:jc w:val="center"/>
              <w:rPr>
                <w:rStyle w:val="Other1"/>
                <w:rFonts w:cs="Arial"/>
                <w:noProof/>
              </w:rPr>
            </w:pPr>
            <w:r>
              <w:rPr>
                <w:noProof/>
              </w:rPr>
              <w:t>Ilmoitus kaikkien julkisten hankintasopimusten tekemisestä julkisen tarjouskilpailun perusteella</w:t>
            </w:r>
          </w:p>
        </w:tc>
        <w:tc>
          <w:tcPr>
            <w:tcW w:w="1256" w:type="dxa"/>
            <w:shd w:val="clear" w:color="auto" w:fill="C6EFCD"/>
            <w:vAlign w:val="center"/>
          </w:tcPr>
          <w:p w14:paraId="09A6D91D" w14:textId="3BB62E2F" w:rsidR="00E42B18" w:rsidRDefault="009629C4">
            <w:pPr>
              <w:pStyle w:val="P68B1DB1-Other1069"/>
              <w:jc w:val="center"/>
              <w:rPr>
                <w:noProof/>
              </w:rPr>
            </w:pPr>
            <w:r>
              <w:rPr>
                <w:noProof/>
              </w:rPr>
              <w:t>EI OLE</w:t>
            </w:r>
          </w:p>
        </w:tc>
        <w:tc>
          <w:tcPr>
            <w:tcW w:w="871" w:type="dxa"/>
            <w:shd w:val="clear" w:color="auto" w:fill="C6EFCD"/>
            <w:vAlign w:val="center"/>
          </w:tcPr>
          <w:p w14:paraId="60E3EA27" w14:textId="57168CE7" w:rsidR="00E42B18" w:rsidRDefault="009629C4">
            <w:pPr>
              <w:pStyle w:val="P68B1DB1-Other1069"/>
              <w:jc w:val="center"/>
              <w:rPr>
                <w:noProof/>
              </w:rPr>
            </w:pPr>
            <w:r>
              <w:rPr>
                <w:noProof/>
              </w:rPr>
              <w:t>EI OLE</w:t>
            </w:r>
          </w:p>
        </w:tc>
        <w:tc>
          <w:tcPr>
            <w:tcW w:w="989" w:type="dxa"/>
            <w:shd w:val="clear" w:color="auto" w:fill="C6EFCD"/>
            <w:vAlign w:val="center"/>
          </w:tcPr>
          <w:p w14:paraId="229AB1FC" w14:textId="17284CDE" w:rsidR="00E42B18" w:rsidRDefault="009629C4">
            <w:pPr>
              <w:pStyle w:val="P68B1DB1-Other1069"/>
              <w:jc w:val="center"/>
              <w:rPr>
                <w:noProof/>
              </w:rPr>
            </w:pPr>
            <w:r>
              <w:rPr>
                <w:noProof/>
              </w:rPr>
              <w:t>EI OLE</w:t>
            </w:r>
          </w:p>
        </w:tc>
        <w:tc>
          <w:tcPr>
            <w:tcW w:w="994" w:type="dxa"/>
            <w:shd w:val="clear" w:color="auto" w:fill="C6EFCD"/>
            <w:vAlign w:val="center"/>
          </w:tcPr>
          <w:p w14:paraId="23AAE5E4" w14:textId="0019970D" w:rsidR="00E42B18" w:rsidRDefault="009629C4">
            <w:pPr>
              <w:pStyle w:val="P68B1DB1-Other1069"/>
              <w:jc w:val="center"/>
              <w:rPr>
                <w:rFonts w:cs="Arial"/>
                <w:noProof/>
              </w:rPr>
            </w:pPr>
            <w:r>
              <w:rPr>
                <w:noProof/>
              </w:rPr>
              <w:t>Q4</w:t>
            </w:r>
          </w:p>
        </w:tc>
        <w:tc>
          <w:tcPr>
            <w:tcW w:w="710" w:type="dxa"/>
            <w:shd w:val="clear" w:color="auto" w:fill="C6EFCD"/>
            <w:vAlign w:val="center"/>
          </w:tcPr>
          <w:p w14:paraId="6E423165" w14:textId="70C47C40" w:rsidR="00E42B18" w:rsidRDefault="009629C4">
            <w:pPr>
              <w:pStyle w:val="P68B1DB1-Other1069"/>
              <w:jc w:val="center"/>
              <w:rPr>
                <w:rFonts w:cs="Arial"/>
                <w:noProof/>
              </w:rPr>
            </w:pPr>
            <w:r>
              <w:rPr>
                <w:noProof/>
              </w:rPr>
              <w:t>2022</w:t>
            </w:r>
          </w:p>
        </w:tc>
        <w:tc>
          <w:tcPr>
            <w:tcW w:w="3902" w:type="dxa"/>
            <w:shd w:val="clear" w:color="auto" w:fill="C6EFCD"/>
          </w:tcPr>
          <w:p w14:paraId="0B6A92A1" w14:textId="77777777" w:rsidR="00E42B18" w:rsidRDefault="009629C4">
            <w:pPr>
              <w:pStyle w:val="P68B1DB1-Other1069"/>
              <w:rPr>
                <w:noProof/>
              </w:rPr>
            </w:pPr>
            <w:r>
              <w:rPr>
                <w:noProof/>
              </w:rPr>
              <w:t>Kaikkien uusien kaukolämpöverkkojen rakentamista tai olemassa olevien kaukolämpöverkkojen laajentamista koskevien julkisten hankintasopimusten tekeminen, mihin olisi sisällyttävä vaatimus energiankulutuksen vähentämisestä.</w:t>
            </w:r>
          </w:p>
          <w:p w14:paraId="0241140F" w14:textId="77777777" w:rsidR="00E42B18" w:rsidRDefault="00E42B18">
            <w:pPr>
              <w:pStyle w:val="Other10"/>
              <w:rPr>
                <w:rFonts w:ascii="Arial Narrow" w:hAnsi="Arial Narrow"/>
                <w:noProof/>
                <w:sz w:val="20"/>
                <w:szCs w:val="20"/>
              </w:rPr>
            </w:pPr>
          </w:p>
          <w:p w14:paraId="7C6DDA29" w14:textId="15AB4610" w:rsidR="00E42B18" w:rsidRDefault="009629C4">
            <w:pPr>
              <w:pStyle w:val="P68B1DB1-Other1071"/>
              <w:rPr>
                <w:rFonts w:cs="Arial"/>
                <w:noProof/>
                <w:szCs w:val="20"/>
              </w:rPr>
            </w:pPr>
            <w:r>
              <w:rPr>
                <w:noProof/>
              </w:rPr>
              <w:t>Sopimusten tekeminen kilpailuun perustuvien ehdotuspyyntöjen perusteella valittujen hankkeiden kanssa ”ei merkittävää haittaa” -periaatetta koskevien teknisten ohjeiden (2021/C58/01) mukaisesti käyttämällä poissulkemisluetteloa ja vaatimusta asiaa koskevan EU:n ja kansallisen ympäristölainsäädännön noudattamisesta.</w:t>
            </w:r>
          </w:p>
        </w:tc>
      </w:tr>
      <w:tr w:rsidR="00E42B18" w14:paraId="25DF86C3" w14:textId="77777777">
        <w:trPr>
          <w:cantSplit/>
          <w:trHeight w:val="300"/>
          <w:jc w:val="center"/>
        </w:trPr>
        <w:tc>
          <w:tcPr>
            <w:tcW w:w="1123" w:type="dxa"/>
            <w:shd w:val="clear" w:color="auto" w:fill="C6EFCD"/>
            <w:vAlign w:val="center"/>
          </w:tcPr>
          <w:p w14:paraId="537CEDF8" w14:textId="1D96E7D6" w:rsidR="00E42B18" w:rsidRDefault="009629C4">
            <w:pPr>
              <w:pStyle w:val="P68B1DB1-Other1069"/>
              <w:jc w:val="center"/>
              <w:rPr>
                <w:rFonts w:cs="Arial"/>
                <w:noProof/>
              </w:rPr>
            </w:pPr>
            <w:r>
              <w:rPr>
                <w:noProof/>
              </w:rPr>
              <w:t>M2C3–10</w:t>
            </w:r>
          </w:p>
        </w:tc>
        <w:tc>
          <w:tcPr>
            <w:tcW w:w="1574" w:type="dxa"/>
            <w:shd w:val="clear" w:color="auto" w:fill="C6EFCD"/>
            <w:vAlign w:val="center"/>
          </w:tcPr>
          <w:p w14:paraId="7AC22CD0" w14:textId="4148C93F" w:rsidR="00E42B18" w:rsidRDefault="009629C4">
            <w:pPr>
              <w:pStyle w:val="P68B1DB1-Other1069"/>
              <w:jc w:val="center"/>
              <w:rPr>
                <w:rStyle w:val="Other1"/>
                <w:rFonts w:cs="Arial"/>
                <w:noProof/>
              </w:rPr>
            </w:pPr>
            <w:r>
              <w:rPr>
                <w:noProof/>
              </w:rPr>
              <w:t>Investointi 3.1: Tehokkaan kaukolämmön edistäminen</w:t>
            </w:r>
          </w:p>
        </w:tc>
        <w:tc>
          <w:tcPr>
            <w:tcW w:w="1133" w:type="dxa"/>
            <w:shd w:val="clear" w:color="auto" w:fill="C6EFCD"/>
            <w:vAlign w:val="center"/>
          </w:tcPr>
          <w:p w14:paraId="063E3315" w14:textId="205D3AD3" w:rsidR="00E42B18" w:rsidRDefault="009629C4">
            <w:pPr>
              <w:pStyle w:val="P68B1DB1-Other1069"/>
              <w:jc w:val="center"/>
              <w:rPr>
                <w:rStyle w:val="Other1"/>
                <w:rFonts w:cs="Arial"/>
                <w:noProof/>
              </w:rPr>
            </w:pPr>
            <w:r>
              <w:rPr>
                <w:noProof/>
              </w:rPr>
              <w:t>Kohde</w:t>
            </w:r>
          </w:p>
        </w:tc>
        <w:tc>
          <w:tcPr>
            <w:tcW w:w="1843" w:type="dxa"/>
            <w:shd w:val="clear" w:color="auto" w:fill="C6EFCD"/>
            <w:vAlign w:val="center"/>
          </w:tcPr>
          <w:p w14:paraId="1B3A6880" w14:textId="33A66853" w:rsidR="00E42B18" w:rsidRDefault="009629C4">
            <w:pPr>
              <w:pStyle w:val="P68B1DB1-Other1069"/>
              <w:jc w:val="center"/>
              <w:rPr>
                <w:rStyle w:val="Other1"/>
                <w:rFonts w:cs="Arial"/>
                <w:noProof/>
              </w:rPr>
            </w:pPr>
            <w:r>
              <w:rPr>
                <w:noProof/>
              </w:rPr>
              <w:t>Kaukolämpöverkkojen rakentaminen tai laajentaminen energiankulutuksen vähentämiseksi</w:t>
            </w:r>
          </w:p>
        </w:tc>
        <w:tc>
          <w:tcPr>
            <w:tcW w:w="1560" w:type="dxa"/>
            <w:shd w:val="clear" w:color="auto" w:fill="C6EFCD"/>
            <w:vAlign w:val="center"/>
          </w:tcPr>
          <w:p w14:paraId="2AC7AEFF" w14:textId="11FD106C" w:rsidR="00E42B18" w:rsidRDefault="009629C4">
            <w:pPr>
              <w:pStyle w:val="P68B1DB1-Other1069"/>
              <w:jc w:val="center"/>
              <w:rPr>
                <w:rStyle w:val="Other1"/>
                <w:rFonts w:cs="Arial"/>
                <w:noProof/>
              </w:rPr>
            </w:pPr>
            <w:r>
              <w:rPr>
                <w:noProof/>
              </w:rPr>
              <w:t>EI OLE</w:t>
            </w:r>
          </w:p>
        </w:tc>
        <w:tc>
          <w:tcPr>
            <w:tcW w:w="1256" w:type="dxa"/>
            <w:shd w:val="clear" w:color="auto" w:fill="C6EFCD"/>
            <w:vAlign w:val="center"/>
          </w:tcPr>
          <w:p w14:paraId="499144D4" w14:textId="346BB1AA" w:rsidR="00E42B18" w:rsidRDefault="009629C4">
            <w:pPr>
              <w:pStyle w:val="P68B1DB1-Other1069"/>
              <w:jc w:val="center"/>
              <w:rPr>
                <w:noProof/>
              </w:rPr>
            </w:pPr>
            <w:r>
              <w:rPr>
                <w:noProof/>
              </w:rPr>
              <w:t>KTOE</w:t>
            </w:r>
          </w:p>
        </w:tc>
        <w:tc>
          <w:tcPr>
            <w:tcW w:w="871" w:type="dxa"/>
            <w:shd w:val="clear" w:color="auto" w:fill="C6EFCD"/>
            <w:vAlign w:val="center"/>
          </w:tcPr>
          <w:p w14:paraId="650A4AD6" w14:textId="228B839A" w:rsidR="00E42B18" w:rsidRDefault="009629C4">
            <w:pPr>
              <w:pStyle w:val="P68B1DB1-Other1069"/>
              <w:jc w:val="center"/>
              <w:rPr>
                <w:noProof/>
              </w:rPr>
            </w:pPr>
            <w:r>
              <w:rPr>
                <w:noProof/>
              </w:rPr>
              <w:t>0</w:t>
            </w:r>
          </w:p>
        </w:tc>
        <w:tc>
          <w:tcPr>
            <w:tcW w:w="989" w:type="dxa"/>
            <w:shd w:val="clear" w:color="auto" w:fill="C6EFCD"/>
            <w:vAlign w:val="center"/>
          </w:tcPr>
          <w:p w14:paraId="56E5DB11" w14:textId="7C115170" w:rsidR="00E42B18" w:rsidRDefault="009629C4">
            <w:pPr>
              <w:pStyle w:val="P68B1DB1-Other1069"/>
              <w:jc w:val="center"/>
              <w:rPr>
                <w:noProof/>
              </w:rPr>
            </w:pPr>
            <w:r>
              <w:rPr>
                <w:noProof/>
              </w:rPr>
              <w:t>30</w:t>
            </w:r>
          </w:p>
        </w:tc>
        <w:tc>
          <w:tcPr>
            <w:tcW w:w="994" w:type="dxa"/>
            <w:shd w:val="clear" w:color="auto" w:fill="C6EFCD"/>
            <w:vAlign w:val="center"/>
          </w:tcPr>
          <w:p w14:paraId="4B120786" w14:textId="25BB8651" w:rsidR="00E42B18" w:rsidRDefault="009629C4">
            <w:pPr>
              <w:pStyle w:val="P68B1DB1-Other1069"/>
              <w:jc w:val="center"/>
              <w:rPr>
                <w:rFonts w:cs="Arial"/>
                <w:noProof/>
              </w:rPr>
            </w:pPr>
            <w:r>
              <w:rPr>
                <w:noProof/>
              </w:rPr>
              <w:t>Q1</w:t>
            </w:r>
          </w:p>
        </w:tc>
        <w:tc>
          <w:tcPr>
            <w:tcW w:w="710" w:type="dxa"/>
            <w:shd w:val="clear" w:color="auto" w:fill="C6EFCD"/>
            <w:vAlign w:val="center"/>
          </w:tcPr>
          <w:p w14:paraId="0DB76C2F" w14:textId="261CA81F" w:rsidR="00E42B18" w:rsidRDefault="009629C4">
            <w:pPr>
              <w:pStyle w:val="P68B1DB1-Other1069"/>
              <w:jc w:val="center"/>
              <w:rPr>
                <w:rFonts w:cs="Arial"/>
                <w:noProof/>
              </w:rPr>
            </w:pPr>
            <w:r>
              <w:rPr>
                <w:noProof/>
              </w:rPr>
              <w:t>2026</w:t>
            </w:r>
          </w:p>
        </w:tc>
        <w:tc>
          <w:tcPr>
            <w:tcW w:w="3902" w:type="dxa"/>
            <w:shd w:val="clear" w:color="auto" w:fill="C6EFCD"/>
          </w:tcPr>
          <w:p w14:paraId="15132EB1" w14:textId="280E001F" w:rsidR="00E42B18" w:rsidRDefault="009629C4">
            <w:pPr>
              <w:pStyle w:val="P68B1DB1-Normal11"/>
              <w:spacing w:after="120"/>
              <w:rPr>
                <w:noProof/>
              </w:rPr>
            </w:pPr>
            <w:r>
              <w:rPr>
                <w:noProof/>
              </w:rPr>
              <w:t xml:space="preserve">Uusien kaukolämpöverkkojen rakentamiseen tai olemassa olevien verkkojen laajentamiseen liittyvien töiden valmistumisesta annetaan todistukset, jotka mahdollistavat energiankulutuksen vähentämisen vähintään 30 KTOE:lla vuodessa, mikä todistetaan riippumattoman insinöörin raportilla. </w:t>
            </w:r>
          </w:p>
          <w:p w14:paraId="53025886" w14:textId="4A96C512" w:rsidR="00E42B18" w:rsidRDefault="009629C4">
            <w:pPr>
              <w:pStyle w:val="P68B1DB1-Normal12"/>
              <w:spacing w:after="120"/>
              <w:rPr>
                <w:noProof/>
              </w:rPr>
            </w:pPr>
            <w:r>
              <w:rPr>
                <w:noProof/>
              </w:rPr>
              <w:t>Investoinnin on täytettävä elpymis- ja palautumistukivälineestä annetun asetuksen 241/2021/EU liitteessä VI olevassa alaviitteessä 9 vahvistetut edellytykset.</w:t>
            </w:r>
          </w:p>
          <w:p w14:paraId="50BE0C02" w14:textId="52F3755D" w:rsidR="00E42B18" w:rsidRDefault="009629C4">
            <w:pPr>
              <w:pStyle w:val="P68B1DB1-Other1069"/>
              <w:rPr>
                <w:rFonts w:cs="Arial"/>
                <w:noProof/>
              </w:rPr>
            </w:pPr>
            <w:r>
              <w:rPr>
                <w:noProof/>
              </w:rPr>
              <w:t>Jotta kaukolämpöjärjestelmät olisivat tukikelpoisia, niiden on käytettävä pääasiallisena lämmönlähteenä uusiutuvista lähteistä, hukkalämmöstä tai korkean suorituskyvyn laitoksissa yhteistuotannosta tuotettua lämpöä. Fossiilisia polttoaineita on käytettävä ainoastaan varapolttoaineena.</w:t>
            </w:r>
          </w:p>
        </w:tc>
      </w:tr>
    </w:tbl>
    <w:p w14:paraId="7A3CF2D4" w14:textId="77777777" w:rsidR="00E42B18" w:rsidRDefault="00E42B18">
      <w:pPr>
        <w:tabs>
          <w:tab w:val="left" w:pos="4252"/>
        </w:tabs>
        <w:rPr>
          <w:i/>
          <w:noProof/>
        </w:rPr>
        <w:sectPr w:rsidR="00E42B18" w:rsidSect="006C4CAC">
          <w:headerReference w:type="even" r:id="rId114"/>
          <w:headerReference w:type="default" r:id="rId115"/>
          <w:footerReference w:type="even" r:id="rId116"/>
          <w:footerReference w:type="default" r:id="rId117"/>
          <w:headerReference w:type="first" r:id="rId118"/>
          <w:footerReference w:type="first" r:id="rId119"/>
          <w:pgSz w:w="16838" w:h="11906" w:orient="landscape"/>
          <w:pgMar w:top="1440" w:right="1440" w:bottom="1440" w:left="1440" w:header="708" w:footer="708" w:gutter="0"/>
          <w:cols w:space="708"/>
          <w:docGrid w:linePitch="360"/>
        </w:sectPr>
      </w:pPr>
    </w:p>
    <w:p w14:paraId="4AA1843D" w14:textId="77777777" w:rsidR="00E42B18" w:rsidRDefault="009629C4">
      <w:pPr>
        <w:pStyle w:val="P68B1DB1-Heading23"/>
        <w:ind w:left="1080"/>
        <w:rPr>
          <w:noProof/>
        </w:rPr>
      </w:pPr>
      <w:r>
        <w:rPr>
          <w:noProof/>
        </w:rPr>
        <w:t>G. MISSION 2 COMPONENT 4 – Aluesuunnittelu ja vesivarat</w:t>
      </w:r>
    </w:p>
    <w:p w14:paraId="315AFA18" w14:textId="77777777" w:rsidR="00E42B18" w:rsidRDefault="009629C4">
      <w:pPr>
        <w:pStyle w:val="P68B1DB1-Times1272"/>
        <w:rPr>
          <w:noProof/>
        </w:rPr>
      </w:pPr>
      <w:r>
        <w:rPr>
          <w:noProof/>
        </w:rPr>
        <w:t>Italian elpymis- ja palautumissuunnitelman tämän osan tavoitteena on puuttua useisiin pitkäaikaisiin heikkouksiin, jotka liittyvät vesivarojen hoitoon ja hydrogeologisiin riskeihin Italiassa, ja hyväksyä useita toimenpiteitä biologisen monimuotoisuuden säilyttämiseksi. Tämä on tarkoitus saavuttaa näiden eri ulottuvuuksien uudistusten ja investointien merkittävällä ja tasapainoisella yhdistelmällä.</w:t>
      </w:r>
    </w:p>
    <w:p w14:paraId="0A392DB5" w14:textId="2AA29ED0" w:rsidR="00E42B18" w:rsidRDefault="009629C4">
      <w:pPr>
        <w:pStyle w:val="P68B1DB1-Times1272"/>
        <w:rPr>
          <w:noProof/>
        </w:rPr>
      </w:pPr>
      <w:r>
        <w:rPr>
          <w:noProof/>
        </w:rPr>
        <w:t>Uudistusten osalta komponentissa ehdotetaan toimenpiteitä, joilla pyritään pääasiassa tehostamaan vesivarojen hoitoa vähentämällä alan hajanaisuutta, ottamalla käyttöön asianmukainen hinnoittelupolitiikka ja ottamalla käyttöön useita kannustimia jätevesihuoltoon liittyvien ongelmien ratkaisemiseksi. Tämän osa-alueen uudistuksiin sisältyy myös toimenpiteitä, joilla yksinkertaistetaan vesi-infrastruktuuriin sekä hydrologisten riskien hallintaan ja vähentämiseen liittyvien hankkeiden suunnittelua ja täytäntöönpanoa.</w:t>
      </w:r>
    </w:p>
    <w:p w14:paraId="4E9B3B11" w14:textId="77777777" w:rsidR="00E42B18" w:rsidRDefault="009629C4">
      <w:pPr>
        <w:pStyle w:val="P68B1DB1-Times1272"/>
        <w:rPr>
          <w:noProof/>
        </w:rPr>
      </w:pPr>
      <w:r>
        <w:rPr>
          <w:noProof/>
        </w:rPr>
        <w:t>Tähän komponenttiin liittyvillä investoinneilla on edistettävä hydrogeologisen riskin lieventämistä ja parempaa hallintaa Italiassa sekä ennaltaehkäisyn että sopeutumisen näkökulmasta, ja niillä on pyrittävä parantamaan veteen liittyvän infrastruktuurin häiriönsietokykyä. Lisäksi niillä pyritään parantamaan merkittävästi vesivarojen hoitoa parantamalla jätevesihuoltoa ja vähentämällä merkittävästi vesivuotoja, myös maatalousalalla. Investoinneilla on vahvistettava näiden alojen digitalisaatiota ja tehtävä niistä energiatehokkaampia ja ilmastonmuutokseen paremmin soveltuvia. Tähän komponenttiin sisältyy myös joukko toimenpiteitä, joilla pyritään säilyttämään luonnon monimuotoisuus ja viheralueet vuoteen 2030 ulottuvan EU:n biodiversiteettistrategian mukaisesti.</w:t>
      </w:r>
    </w:p>
    <w:p w14:paraId="3435CB80" w14:textId="77777777" w:rsidR="00E42B18" w:rsidRDefault="009629C4">
      <w:pPr>
        <w:pStyle w:val="P68B1DB1-Times1273"/>
        <w:rPr>
          <w:rFonts w:ascii="Times New Roman" w:hAnsi="Times New Roman" w:cs="Times New Roman"/>
          <w:noProof/>
        </w:rPr>
      </w:pPr>
      <w:r>
        <w:rPr>
          <w:rFonts w:ascii="Times New Roman" w:hAnsi="Times New Roman" w:cs="Times New Roman"/>
          <w:noProof/>
        </w:rPr>
        <w:t>Tällä osa-alueella käsitellään osaa vuoden 2020</w:t>
      </w:r>
      <w:r>
        <w:rPr>
          <w:rFonts w:ascii="Arial Narrow" w:hAnsi="Arial Narrow"/>
          <w:noProof/>
          <w:color w:val="006100"/>
        </w:rPr>
        <w:t xml:space="preserve"> </w:t>
      </w:r>
      <w:r>
        <w:rPr>
          <w:rFonts w:ascii="Times New Roman" w:hAnsi="Times New Roman" w:cs="Times New Roman"/>
          <w:noProof/>
        </w:rPr>
        <w:t>maakohtaisesta suosituksesta 3, jossa Euroopan unionin neuvosto suositti Italialle, että se toteuttaisi toimia vihreään ja digitaaliseen siirtymään, erityisesti [...] vesihuoltoon, sekä vahvistettuun digitaaliseen infrastruktuuriin tehtävillä investoinneilla keskeisten palvelujen tarjoamisen varmistamiseksi. Siinä käsitellään myös osia vuoden 2019 maakohtaisesta suosituksesta 3 (”Infrastruktuurin laatua koskeva painopiste-investointeihin liittyvä talouspolitiikka, jossa otetaan huomioon alueelliset erot. [...] ja parantaa julkishallinnon tehokkuutta [...] nopeuttamalla digitalisaatiota ja parantamalla paikallisten julkisten palvelujen tehokkuutta ja laatua).</w:t>
      </w:r>
    </w:p>
    <w:p w14:paraId="5F6A38E6" w14:textId="4EEF0492" w:rsidR="00E42B18" w:rsidRDefault="009629C4">
      <w:pPr>
        <w:pStyle w:val="P68B1DB1-Times1272"/>
        <w:rPr>
          <w:b/>
          <w:noProof/>
          <w:u w:val="single"/>
        </w:rPr>
      </w:pPr>
      <w:r>
        <w:rPr>
          <w:noProof/>
        </w:rPr>
        <w:t>Minkään tämän komponentin toimenpiteen ei odoteta aiheuttavan asetuksen (EU) 2020/852 17 artiklassa tarkoitettua merkittävää haittaa ympäristötavoitteille, kun otetaan huomioon ”ei merkittävää haittaa” -periaatteen soveltamista koskevien teknisten ohjeiden (2021/C58/01) mukaiset elpymis- ja palautumissuunnitelmassa esitettyjen toimenpiteiden kuvaus ja lieventävät toimet.</w:t>
      </w:r>
    </w:p>
    <w:p w14:paraId="0915BAEE" w14:textId="77777777" w:rsidR="00E42B18" w:rsidRDefault="009629C4">
      <w:pPr>
        <w:pStyle w:val="P68B1DB1-Heading368"/>
        <w:ind w:left="850" w:hanging="850"/>
        <w:rPr>
          <w:noProof/>
        </w:rPr>
      </w:pPr>
      <w:r>
        <w:rPr>
          <w:noProof/>
        </w:rPr>
        <w:t xml:space="preserve">G.1 </w:t>
      </w:r>
      <w:r>
        <w:rPr>
          <w:noProof/>
        </w:rPr>
        <w:tab/>
        <w:t>Kuvaus uudistuksista ja investoinneista, joita rahoitetaan rahoitustuella, jota ei makseta takaisin</w:t>
      </w:r>
    </w:p>
    <w:p w14:paraId="21B0FB1A" w14:textId="77777777" w:rsidR="00E42B18" w:rsidRDefault="009629C4">
      <w:pPr>
        <w:pStyle w:val="P68B1DB1-Times1274"/>
        <w:rPr>
          <w:bCs/>
          <w:noProof/>
        </w:rPr>
      </w:pPr>
      <w:r>
        <w:rPr>
          <w:noProof/>
        </w:rPr>
        <w:t xml:space="preserve">Uudistus 2.1 – Hydrogeologisen epävakauden vastaisten toimien täytäntöönpanomenettelyjen yksinkertaistaminen ja nopeuttaminen </w:t>
      </w:r>
    </w:p>
    <w:p w14:paraId="1D9DE898" w14:textId="77777777" w:rsidR="00E42B18" w:rsidRDefault="009629C4">
      <w:pPr>
        <w:pStyle w:val="P68B1DB1-Times1272"/>
        <w:rPr>
          <w:noProof/>
        </w:rPr>
      </w:pPr>
      <w:r>
        <w:rPr>
          <w:noProof/>
        </w:rPr>
        <w:t>Uudistuksen tavoitteena on korjata Italian tilintarkastustuomioistuimen esiin tuomat hydrogeologisten riskien hallinnan nykyiset heikkoudet. Siinä yksinkertaistetaan ja nopeutetaan tämän alan hankkeiden täytäntöönpanomenettelyjä muun muassa vahvistamalla kullekin vaiheelle enimmäisajat; toimien priorisointi kansallisen riskinarvioinnin ja päätöksen N:o 1313/2013 6 artiklan sekä riskinhallintavalmiuksien arvioinnin ja ”ei merkittävää haittaa” -periaatteen mukaisesti; laaditaan suunnitelma näiden hankkeiden täytäntöönpanosta vastaavien yksiköiden hallinnollisten valmiuksien lisäämiseksi ja asianomaisten hallinnon eri tasojen välisen koordinoinnin vahvistamiseksi muun muassa virtaviivaistamalla tietovirtoja.</w:t>
      </w:r>
    </w:p>
    <w:p w14:paraId="4DF0C205" w14:textId="77777777" w:rsidR="00E42B18" w:rsidRDefault="009629C4">
      <w:pPr>
        <w:pStyle w:val="P68B1DB1-Times1274"/>
        <w:rPr>
          <w:bCs/>
          <w:noProof/>
        </w:rPr>
      </w:pPr>
      <w:r>
        <w:rPr>
          <w:noProof/>
        </w:rPr>
        <w:t xml:space="preserve">Uudistus 2 – Lainsäädännön uudistaminen veden hallinnan ja kestävän käytön parantamiseksi </w:t>
      </w:r>
    </w:p>
    <w:p w14:paraId="28501980" w14:textId="77777777" w:rsidR="00E42B18" w:rsidRDefault="009629C4">
      <w:pPr>
        <w:pStyle w:val="P68B1DB1-Times1275"/>
        <w:rPr>
          <w:noProof/>
          <w:sz w:val="22"/>
          <w:szCs w:val="22"/>
        </w:rPr>
      </w:pPr>
      <w:r>
        <w:rPr>
          <w:noProof/>
          <w:sz w:val="22"/>
          <w:szCs w:val="22"/>
        </w:rPr>
        <w:t xml:space="preserve">Uudistuksella pyritään puuttumaan Italian vesialan pitkäaikaisiin ongelmiin, jotka näkyvät monissa meneillään olevissa rikkomusmenettelyissä, jotka liittyvät neuvoston direktiivin 91/271/ETY noudattamatta jättämiseen, alan liialliseen pirstoutumiseen ja riittävien kannustimien ja hinnoittelupolitiikan puuttumiseen. Suunniteltujen toimenpiteiden odotetaan vähentävän merkittävästi alan hajanaisuutta vähentämällä toimijoiden määrää ja kannustamalla mittakaavaetuihin, luomalla kannustimia vesivuotojen ja maataloussektorin liiallisen vedenkulutuksen vähentämiseksi ja ottamalla käyttöön asianmukaisia hinnoittelupolitiikkoja kestävämmän vedenkulutuksen varmistamiseksi. </w:t>
      </w:r>
    </w:p>
    <w:p w14:paraId="23EF1B9E" w14:textId="3BB35227" w:rsidR="00E42B18" w:rsidRDefault="009629C4">
      <w:pPr>
        <w:pStyle w:val="P68B1DB1-Times1272"/>
        <w:rPr>
          <w:noProof/>
        </w:rPr>
      </w:pPr>
      <w:r>
        <w:rPr>
          <w:noProof/>
        </w:rPr>
        <w:t xml:space="preserve">Campanian, Calabrian, Molisen ja Sicilian alueiden kanssa allekirjoitetaan yhteisymmärryspöytäkirjat vesipalveluja tarjoavien toimijoiden määrän hajanaisuuden vähentämiseksi. Yhteisymmärryspöytäkirjassa asetetaan tavoitteita paikallishallinnon elinten asettamiselle, toimijoiden määrän vähentämiselle ja mittakaavaetujen saavuttamiselle, jotta voidaan perustaa yksi toimija vähintään 40000 asukkaalle kahden vuoden kuluessa yhteisymmärryspöytäkirjan allekirjoittamisesta.  </w:t>
      </w:r>
    </w:p>
    <w:p w14:paraId="27034741" w14:textId="77777777" w:rsidR="00E42B18" w:rsidRDefault="009629C4">
      <w:pPr>
        <w:pStyle w:val="P68B1DB1-Times1274"/>
        <w:rPr>
          <w:bCs/>
          <w:noProof/>
        </w:rPr>
      </w:pPr>
      <w:r>
        <w:rPr>
          <w:noProof/>
        </w:rPr>
        <w:t>Uudistus 4.2 ”Toimenpiteet integroitujen vesipalvelujen täydellisten johtamisvalmiuksien varmistamiseksi”</w:t>
      </w:r>
    </w:p>
    <w:p w14:paraId="43D14DB2" w14:textId="77777777" w:rsidR="00E42B18" w:rsidRDefault="009629C4">
      <w:pPr>
        <w:pStyle w:val="P68B1DB1-Times1272"/>
        <w:rPr>
          <w:bCs/>
          <w:noProof/>
        </w:rPr>
      </w:pPr>
      <w:r>
        <w:rPr>
          <w:noProof/>
        </w:rPr>
        <w:t xml:space="preserve">Uudistuksella pyritään puuttumaan merkittäviin ongelmiin vesivarojen hoidossa ja tehostamaan järjestelmää. </w:t>
      </w:r>
    </w:p>
    <w:p w14:paraId="1145EA3E" w14:textId="085CD28E" w:rsidR="00E42B18" w:rsidRDefault="009629C4">
      <w:pPr>
        <w:pStyle w:val="P68B1DB1-Times1272"/>
        <w:rPr>
          <w:b/>
          <w:noProof/>
        </w:rPr>
      </w:pPr>
      <w:r>
        <w:rPr>
          <w:noProof/>
        </w:rPr>
        <w:t>Järjestelmän odotetaan vähentävän toiminnanharjoittajien määrän nykyistä hajanaisuutta, joka tällä hetkellä haittaa vesivarojen tehokasta käyttöä joissakin osissa maata. Uudistuksen odotetaan myös tarjoavan oikeat kannustimet vesivarojen käytön parantamiseksi maatalousalalla, ottavan käyttöön seuraamusjärjestelmän laittoman vedenlouhinnan varalta ja ottavan käyttöön hintajärjestelmän, joka heijastaa paremmin ja paremmin saastuttaja maksaa -periaatetta välttäen samalla nykyisten kastelujärjestelmien laajentamista. Toimenpiteet toteutetaan yhteistyössä niiden alueiden kanssa, joilla vesivarojen hoito on tällä hetkellä ongelmallisempaa.</w:t>
      </w:r>
    </w:p>
    <w:p w14:paraId="4237FFB3" w14:textId="77777777" w:rsidR="00E42B18" w:rsidRDefault="009629C4">
      <w:pPr>
        <w:pStyle w:val="P68B1DB1-Times1274"/>
        <w:rPr>
          <w:bCs/>
          <w:noProof/>
        </w:rPr>
      </w:pPr>
      <w:r>
        <w:rPr>
          <w:noProof/>
        </w:rPr>
        <w:t>Investointi 3.2 – Kansallispuistojen ja suojeltujen merialueiden digitalisointi</w:t>
      </w:r>
    </w:p>
    <w:p w14:paraId="17B46CDF" w14:textId="70B437EA" w:rsidR="00E42B18" w:rsidRDefault="009629C4">
      <w:pPr>
        <w:pStyle w:val="P68B1DB1-Times1272"/>
        <w:rPr>
          <w:noProof/>
        </w:rPr>
      </w:pPr>
      <w:r>
        <w:rPr>
          <w:noProof/>
        </w:rPr>
        <w:t>Toimenpiteen tavoitteena on nykyaikaistaa ja digitalisoida kansallispuistojen ja suojeltujen merialueiden toimintaan liittyviä menettelyjä. Toimenpide koostuu vierailijoille tarjottavista digitaalisista palveluista sekä toimista luonnonsuojelun ja luonnonvarojen seurannan alalla.</w:t>
      </w:r>
    </w:p>
    <w:p w14:paraId="54FA06DB" w14:textId="77777777" w:rsidR="00E42B18" w:rsidRDefault="009629C4">
      <w:pPr>
        <w:pStyle w:val="P68B1DB1-Times1274"/>
        <w:rPr>
          <w:bCs/>
          <w:noProof/>
        </w:rPr>
      </w:pPr>
      <w:r>
        <w:rPr>
          <w:noProof/>
        </w:rPr>
        <w:t>Investointi 4.2. Vedenjakeluverkkojen hävikin vähentäminen, mukaan lukien verkkojen digitalisointi ja seuranta</w:t>
      </w:r>
    </w:p>
    <w:p w14:paraId="16E5E683" w14:textId="69636BAC" w:rsidR="00E42B18" w:rsidRDefault="009629C4">
      <w:pPr>
        <w:pStyle w:val="P68B1DB1-Normal7"/>
        <w:spacing w:before="120" w:after="120"/>
        <w:jc w:val="both"/>
        <w:rPr>
          <w:noProof/>
        </w:rPr>
      </w:pPr>
      <w:r>
        <w:rPr>
          <w:noProof/>
        </w:rPr>
        <w:t>Tämän investoinnin tavoitteena on vähentää juomavesihävikkiä. Toimenpide koostuu vedenjakeluverkkojen parantamisesta ja nykyaikaistamisesta sellaisten kehittyneiden valvontajärjestelmien avulla, joiden avulla voidaan seurata verkon tärkeimpiä solmukohtia ja haavoittuvimpia kohtia (vesipiiri).</w:t>
      </w:r>
    </w:p>
    <w:p w14:paraId="79595230" w14:textId="77777777" w:rsidR="00E42B18" w:rsidRDefault="00E42B18">
      <w:pPr>
        <w:pStyle w:val="Times12"/>
        <w:rPr>
          <w:rFonts w:ascii="Times New Roman" w:hAnsi="Times New Roman" w:cs="Times New Roman"/>
          <w:noProof/>
        </w:rPr>
        <w:sectPr w:rsidR="00E42B18" w:rsidSect="005F11B9">
          <w:headerReference w:type="default" r:id="rId120"/>
          <w:footerReference w:type="default" r:id="rId121"/>
          <w:pgSz w:w="11906" w:h="16838"/>
          <w:pgMar w:top="1440" w:right="1440" w:bottom="1440" w:left="1440" w:header="708" w:footer="708" w:gutter="0"/>
          <w:cols w:space="708"/>
          <w:docGrid w:linePitch="360"/>
        </w:sectPr>
      </w:pPr>
    </w:p>
    <w:p w14:paraId="72B2E54F" w14:textId="77777777" w:rsidR="00E42B18" w:rsidRDefault="009629C4">
      <w:pPr>
        <w:pStyle w:val="P68B1DB1-Heading39"/>
        <w:ind w:left="850" w:hanging="850"/>
        <w:rPr>
          <w:b/>
          <w:bCs/>
          <w:i/>
          <w:iCs/>
          <w:noProof/>
          <w:u w:val="single"/>
        </w:rPr>
      </w:pPr>
      <w:r>
        <w:rPr>
          <w:b/>
          <w:noProof/>
          <w:u w:val="single"/>
        </w:rPr>
        <w:t xml:space="preserve">G.2 </w:t>
      </w:r>
      <w:r>
        <w:rPr>
          <w:noProof/>
        </w:rPr>
        <w:t xml:space="preserve"> </w:t>
      </w:r>
      <w:r>
        <w:rPr>
          <w:b/>
          <w:noProof/>
          <w:u w:val="single"/>
        </w:rPr>
        <w:t>Seurantaa ja täytäntöönpanoa koskevat välitavoitteet, tavoitteet, indikaattorit ja aikataulu – rahoitustuki, jota ei makseta takaisin</w:t>
      </w:r>
    </w:p>
    <w:tbl>
      <w:tblPr>
        <w:tblW w:w="14560" w:type="dxa"/>
        <w:jc w:val="center"/>
        <w:tblLook w:val="04A0" w:firstRow="1" w:lastRow="0" w:firstColumn="1" w:lastColumn="0" w:noHBand="0" w:noVBand="1"/>
      </w:tblPr>
      <w:tblGrid>
        <w:gridCol w:w="1140"/>
        <w:gridCol w:w="1899"/>
        <w:gridCol w:w="1355"/>
        <w:gridCol w:w="1550"/>
        <w:gridCol w:w="1928"/>
        <w:gridCol w:w="1191"/>
        <w:gridCol w:w="1012"/>
        <w:gridCol w:w="849"/>
        <w:gridCol w:w="849"/>
        <w:gridCol w:w="688"/>
        <w:gridCol w:w="2325"/>
      </w:tblGrid>
      <w:tr w:rsidR="00E42B18" w14:paraId="17CF8AB2" w14:textId="77777777">
        <w:trPr>
          <w:trHeight w:val="927"/>
          <w:tblHeader/>
          <w:jc w:val="center"/>
        </w:trPr>
        <w:tc>
          <w:tcPr>
            <w:tcW w:w="1347"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413FADD" w14:textId="4617DBD5" w:rsidR="00E42B18" w:rsidRDefault="009629C4">
            <w:pPr>
              <w:pStyle w:val="P68B1DB1-Normal10"/>
              <w:jc w:val="center"/>
              <w:rPr>
                <w:noProof/>
                <w:szCs w:val="20"/>
              </w:rPr>
            </w:pPr>
            <w:r>
              <w:rPr>
                <w:noProof/>
              </w:rPr>
              <w:t>Juokseva numero</w:t>
            </w:r>
          </w:p>
        </w:tc>
        <w:tc>
          <w:tcPr>
            <w:tcW w:w="1495"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D8BD12B" w14:textId="77777777" w:rsidR="00E42B18" w:rsidRDefault="009629C4">
            <w:pPr>
              <w:pStyle w:val="P68B1DB1-Normal10"/>
              <w:jc w:val="center"/>
              <w:rPr>
                <w:noProof/>
                <w:szCs w:val="20"/>
              </w:rPr>
            </w:pPr>
            <w:r>
              <w:rPr>
                <w:noProof/>
              </w:rPr>
              <w:t>Toimenpide (uudistus tai investointi)</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7E43325" w14:textId="77777777" w:rsidR="00E42B18" w:rsidRDefault="009629C4">
            <w:pPr>
              <w:pStyle w:val="P68B1DB1-Normal10"/>
              <w:jc w:val="center"/>
              <w:rPr>
                <w:noProof/>
                <w:szCs w:val="20"/>
              </w:rPr>
            </w:pPr>
            <w:r>
              <w:rPr>
                <w:noProof/>
              </w:rPr>
              <w:t>Välitavoite/tavoite</w:t>
            </w:r>
          </w:p>
        </w:tc>
        <w:tc>
          <w:tcPr>
            <w:tcW w:w="1460" w:type="dxa"/>
            <w:vMerge w:val="restart"/>
            <w:tcBorders>
              <w:top w:val="single" w:sz="4" w:space="0" w:color="auto"/>
              <w:left w:val="nil"/>
              <w:bottom w:val="single" w:sz="4" w:space="0" w:color="auto"/>
              <w:right w:val="single" w:sz="4" w:space="0" w:color="auto"/>
            </w:tcBorders>
            <w:shd w:val="clear" w:color="auto" w:fill="BDD7EE"/>
            <w:vAlign w:val="center"/>
            <w:hideMark/>
          </w:tcPr>
          <w:p w14:paraId="288AC1B9" w14:textId="77777777" w:rsidR="00E42B18" w:rsidRDefault="009629C4">
            <w:pPr>
              <w:pStyle w:val="P68B1DB1-Normal10"/>
              <w:jc w:val="center"/>
              <w:rPr>
                <w:noProof/>
                <w:szCs w:val="20"/>
              </w:rPr>
            </w:pPr>
            <w:r>
              <w:rPr>
                <w:noProof/>
              </w:rPr>
              <w:t>Nimi</w:t>
            </w:r>
          </w:p>
        </w:tc>
        <w:tc>
          <w:tcPr>
            <w:tcW w:w="1414"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6E36A148" w14:textId="1CA9EB70"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t xml:space="preserve"> </w:t>
            </w:r>
            <w:r>
              <w:rPr>
                <w:noProof/>
              </w:rPr>
              <w:br/>
            </w:r>
            <w:r>
              <w:rPr>
                <w:rFonts w:ascii="Arial Narrow" w:hAnsi="Arial Narrow"/>
                <w:b/>
                <w:noProof/>
                <w:sz w:val="20"/>
              </w:rPr>
              <w:t>(välitavoitteiden osalta)</w:t>
            </w:r>
          </w:p>
        </w:tc>
        <w:tc>
          <w:tcPr>
            <w:tcW w:w="3176" w:type="dxa"/>
            <w:gridSpan w:val="3"/>
            <w:tcBorders>
              <w:top w:val="single" w:sz="4" w:space="0" w:color="auto"/>
              <w:left w:val="nil"/>
              <w:bottom w:val="single" w:sz="4" w:space="0" w:color="auto"/>
              <w:right w:val="single" w:sz="4" w:space="0" w:color="auto"/>
            </w:tcBorders>
            <w:shd w:val="clear" w:color="auto" w:fill="BDD7EE"/>
            <w:vAlign w:val="center"/>
            <w:hideMark/>
          </w:tcPr>
          <w:p w14:paraId="40D64782" w14:textId="00AA22C6"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t xml:space="preserve"> </w:t>
            </w:r>
            <w:r>
              <w:rPr>
                <w:noProof/>
              </w:rPr>
              <w:br/>
            </w:r>
            <w:r>
              <w:rPr>
                <w:rFonts w:ascii="Arial Narrow" w:hAnsi="Arial Narrow"/>
                <w:b/>
                <w:noProof/>
                <w:sz w:val="20"/>
              </w:rPr>
              <w:t>(tavoitteiden osalta)</w:t>
            </w:r>
          </w:p>
        </w:tc>
        <w:tc>
          <w:tcPr>
            <w:tcW w:w="1603" w:type="dxa"/>
            <w:gridSpan w:val="2"/>
            <w:tcBorders>
              <w:top w:val="single" w:sz="4" w:space="0" w:color="auto"/>
              <w:left w:val="nil"/>
              <w:bottom w:val="single" w:sz="4" w:space="0" w:color="auto"/>
              <w:right w:val="single" w:sz="4" w:space="0" w:color="auto"/>
            </w:tcBorders>
            <w:shd w:val="clear" w:color="auto" w:fill="BDD7EE"/>
            <w:vAlign w:val="center"/>
            <w:hideMark/>
          </w:tcPr>
          <w:p w14:paraId="778225E8" w14:textId="77777777" w:rsidR="00E42B18" w:rsidRDefault="009629C4">
            <w:pPr>
              <w:pStyle w:val="P68B1DB1-Normal10"/>
              <w:jc w:val="center"/>
              <w:rPr>
                <w:noProof/>
                <w:szCs w:val="20"/>
              </w:rPr>
            </w:pPr>
            <w:r>
              <w:rPr>
                <w:noProof/>
              </w:rPr>
              <w:t>Alustava toteutusaikataulu</w:t>
            </w:r>
          </w:p>
        </w:tc>
        <w:tc>
          <w:tcPr>
            <w:tcW w:w="2799"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6F533C2" w14:textId="77777777" w:rsidR="00E42B18" w:rsidRDefault="009629C4">
            <w:pPr>
              <w:pStyle w:val="P68B1DB1-Normal10"/>
              <w:jc w:val="center"/>
              <w:rPr>
                <w:noProof/>
                <w:szCs w:val="20"/>
              </w:rPr>
            </w:pPr>
            <w:r>
              <w:rPr>
                <w:noProof/>
              </w:rPr>
              <w:t>Kunkin välitavoitteen ja tavoitteen kuvaus</w:t>
            </w:r>
          </w:p>
        </w:tc>
      </w:tr>
      <w:tr w:rsidR="00E42B18" w14:paraId="3EDF3579" w14:textId="77777777">
        <w:trPr>
          <w:trHeight w:val="1013"/>
          <w:tblHeader/>
          <w:jc w:val="center"/>
        </w:trPr>
        <w:tc>
          <w:tcPr>
            <w:tcW w:w="1347" w:type="dxa"/>
            <w:vMerge/>
            <w:tcBorders>
              <w:top w:val="single" w:sz="4" w:space="0" w:color="auto"/>
              <w:left w:val="single" w:sz="4" w:space="0" w:color="auto"/>
              <w:bottom w:val="single" w:sz="4" w:space="0" w:color="auto"/>
              <w:right w:val="single" w:sz="4" w:space="0" w:color="auto"/>
            </w:tcBorders>
            <w:vAlign w:val="center"/>
            <w:hideMark/>
          </w:tcPr>
          <w:p w14:paraId="100893C0" w14:textId="77777777" w:rsidR="00E42B18" w:rsidRDefault="00E42B18">
            <w:pPr>
              <w:jc w:val="center"/>
              <w:rPr>
                <w:rFonts w:ascii="Arial Narrow" w:hAnsi="Arial Narrow"/>
                <w:b/>
                <w:bCs/>
                <w:noProof/>
                <w:sz w:val="20"/>
                <w:szCs w:val="20"/>
              </w:rPr>
            </w:pPr>
          </w:p>
        </w:tc>
        <w:tc>
          <w:tcPr>
            <w:tcW w:w="1495" w:type="dxa"/>
            <w:vMerge/>
            <w:tcBorders>
              <w:left w:val="single" w:sz="4" w:space="0" w:color="auto"/>
              <w:right w:val="single" w:sz="4" w:space="0" w:color="auto"/>
            </w:tcBorders>
            <w:vAlign w:val="center"/>
            <w:hideMark/>
          </w:tcPr>
          <w:p w14:paraId="3418F25C" w14:textId="77777777" w:rsidR="00E42B18" w:rsidRDefault="00E42B18">
            <w:pPr>
              <w:jc w:val="center"/>
              <w:rPr>
                <w:rFonts w:ascii="Arial Narrow" w:hAnsi="Arial Narrow"/>
                <w:b/>
                <w:bCs/>
                <w:noProof/>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3C168372" w14:textId="77777777" w:rsidR="00E42B18" w:rsidRDefault="00E42B18">
            <w:pPr>
              <w:jc w:val="center"/>
              <w:rPr>
                <w:rFonts w:ascii="Arial Narrow" w:hAnsi="Arial Narrow"/>
                <w:b/>
                <w:bCs/>
                <w:noProof/>
                <w:sz w:val="20"/>
                <w:szCs w:val="20"/>
              </w:rPr>
            </w:pPr>
          </w:p>
        </w:tc>
        <w:tc>
          <w:tcPr>
            <w:tcW w:w="1460" w:type="dxa"/>
            <w:vMerge/>
            <w:tcBorders>
              <w:left w:val="single" w:sz="4" w:space="0" w:color="auto"/>
              <w:right w:val="single" w:sz="4" w:space="0" w:color="auto"/>
            </w:tcBorders>
            <w:vAlign w:val="center"/>
            <w:hideMark/>
          </w:tcPr>
          <w:p w14:paraId="46BD85F4" w14:textId="77777777" w:rsidR="00E42B18" w:rsidRDefault="00E42B18">
            <w:pPr>
              <w:jc w:val="center"/>
              <w:rPr>
                <w:rFonts w:ascii="Arial Narrow" w:hAnsi="Arial Narrow"/>
                <w:b/>
                <w:bCs/>
                <w:noProof/>
                <w:sz w:val="20"/>
                <w:szCs w:val="20"/>
              </w:rPr>
            </w:pPr>
          </w:p>
        </w:tc>
        <w:tc>
          <w:tcPr>
            <w:tcW w:w="1414" w:type="dxa"/>
            <w:vMerge/>
            <w:tcBorders>
              <w:top w:val="single" w:sz="4" w:space="0" w:color="auto"/>
              <w:left w:val="single" w:sz="4" w:space="0" w:color="auto"/>
              <w:bottom w:val="single" w:sz="4" w:space="0" w:color="auto"/>
            </w:tcBorders>
            <w:vAlign w:val="center"/>
            <w:hideMark/>
          </w:tcPr>
          <w:p w14:paraId="6FC8BDCD" w14:textId="77777777" w:rsidR="00E42B18" w:rsidRDefault="00E42B18">
            <w:pPr>
              <w:jc w:val="center"/>
              <w:rPr>
                <w:rFonts w:ascii="Arial Narrow" w:hAnsi="Arial Narrow"/>
                <w:b/>
                <w:bCs/>
                <w:noProof/>
                <w:sz w:val="20"/>
                <w:szCs w:val="20"/>
              </w:rPr>
            </w:pPr>
          </w:p>
        </w:tc>
        <w:tc>
          <w:tcPr>
            <w:tcW w:w="1410" w:type="dxa"/>
            <w:tcBorders>
              <w:top w:val="nil"/>
              <w:left w:val="single" w:sz="4" w:space="0" w:color="auto"/>
              <w:bottom w:val="single" w:sz="4" w:space="0" w:color="auto"/>
              <w:right w:val="single" w:sz="4" w:space="0" w:color="auto"/>
            </w:tcBorders>
            <w:shd w:val="clear" w:color="auto" w:fill="BDD7EE"/>
            <w:vAlign w:val="center"/>
            <w:hideMark/>
          </w:tcPr>
          <w:p w14:paraId="03264B5A" w14:textId="77777777" w:rsidR="00E42B18" w:rsidRDefault="009629C4">
            <w:pPr>
              <w:pStyle w:val="P68B1DB1-Normal10"/>
              <w:jc w:val="center"/>
              <w:rPr>
                <w:noProof/>
                <w:szCs w:val="20"/>
              </w:rPr>
            </w:pPr>
            <w:r>
              <w:rPr>
                <w:noProof/>
              </w:rPr>
              <w:t>Mitta-yksikkö</w:t>
            </w:r>
          </w:p>
        </w:tc>
        <w:tc>
          <w:tcPr>
            <w:tcW w:w="1047" w:type="dxa"/>
            <w:tcBorders>
              <w:top w:val="nil"/>
              <w:left w:val="nil"/>
              <w:bottom w:val="single" w:sz="4" w:space="0" w:color="auto"/>
              <w:right w:val="single" w:sz="4" w:space="0" w:color="auto"/>
            </w:tcBorders>
            <w:shd w:val="clear" w:color="auto" w:fill="BDD7EE"/>
            <w:vAlign w:val="center"/>
            <w:hideMark/>
          </w:tcPr>
          <w:p w14:paraId="6F256222" w14:textId="77777777" w:rsidR="00E42B18" w:rsidRDefault="009629C4">
            <w:pPr>
              <w:pStyle w:val="P68B1DB1-Normal10"/>
              <w:jc w:val="center"/>
              <w:rPr>
                <w:noProof/>
                <w:szCs w:val="20"/>
              </w:rPr>
            </w:pPr>
            <w:r>
              <w:rPr>
                <w:noProof/>
              </w:rPr>
              <w:t>Lähtötilanne</w:t>
            </w:r>
          </w:p>
        </w:tc>
        <w:tc>
          <w:tcPr>
            <w:tcW w:w="719" w:type="dxa"/>
            <w:tcBorders>
              <w:top w:val="nil"/>
              <w:left w:val="nil"/>
              <w:bottom w:val="single" w:sz="4" w:space="0" w:color="auto"/>
              <w:right w:val="single" w:sz="4" w:space="0" w:color="auto"/>
            </w:tcBorders>
            <w:shd w:val="clear" w:color="auto" w:fill="BDD7EE"/>
            <w:vAlign w:val="center"/>
            <w:hideMark/>
          </w:tcPr>
          <w:p w14:paraId="0832932A" w14:textId="77777777" w:rsidR="00E42B18" w:rsidRDefault="009629C4">
            <w:pPr>
              <w:pStyle w:val="P68B1DB1-Normal10"/>
              <w:jc w:val="center"/>
              <w:rPr>
                <w:noProof/>
                <w:szCs w:val="20"/>
              </w:rPr>
            </w:pPr>
            <w:r>
              <w:rPr>
                <w:noProof/>
              </w:rPr>
              <w:t>Päämäärä</w:t>
            </w:r>
          </w:p>
        </w:tc>
        <w:tc>
          <w:tcPr>
            <w:tcW w:w="809" w:type="dxa"/>
            <w:tcBorders>
              <w:top w:val="nil"/>
              <w:left w:val="nil"/>
              <w:bottom w:val="single" w:sz="4" w:space="0" w:color="auto"/>
              <w:right w:val="single" w:sz="4" w:space="0" w:color="auto"/>
            </w:tcBorders>
            <w:shd w:val="clear" w:color="auto" w:fill="BDD7EE"/>
            <w:vAlign w:val="center"/>
            <w:hideMark/>
          </w:tcPr>
          <w:p w14:paraId="17447087" w14:textId="77777777" w:rsidR="00E42B18" w:rsidRDefault="009629C4">
            <w:pPr>
              <w:pStyle w:val="P68B1DB1-Normal10"/>
              <w:jc w:val="center"/>
              <w:rPr>
                <w:noProof/>
                <w:szCs w:val="20"/>
              </w:rPr>
            </w:pPr>
            <w:r>
              <w:rPr>
                <w:noProof/>
              </w:rPr>
              <w:t>Neljännes</w:t>
            </w:r>
          </w:p>
        </w:tc>
        <w:tc>
          <w:tcPr>
            <w:tcW w:w="794" w:type="dxa"/>
            <w:tcBorders>
              <w:top w:val="nil"/>
              <w:left w:val="nil"/>
              <w:bottom w:val="single" w:sz="4" w:space="0" w:color="auto"/>
              <w:right w:val="single" w:sz="4" w:space="0" w:color="auto"/>
            </w:tcBorders>
            <w:shd w:val="clear" w:color="auto" w:fill="BDD7EE"/>
            <w:vAlign w:val="center"/>
            <w:hideMark/>
          </w:tcPr>
          <w:p w14:paraId="379D9C59" w14:textId="77777777" w:rsidR="00E42B18" w:rsidRDefault="009629C4">
            <w:pPr>
              <w:pStyle w:val="P68B1DB1-Normal10"/>
              <w:jc w:val="center"/>
              <w:rPr>
                <w:noProof/>
                <w:szCs w:val="20"/>
              </w:rPr>
            </w:pPr>
            <w:r>
              <w:rPr>
                <w:noProof/>
              </w:rPr>
              <w:t>Vuosi</w:t>
            </w:r>
          </w:p>
        </w:tc>
        <w:tc>
          <w:tcPr>
            <w:tcW w:w="2799" w:type="dxa"/>
            <w:vMerge/>
            <w:tcBorders>
              <w:top w:val="single" w:sz="4" w:space="0" w:color="auto"/>
              <w:bottom w:val="single" w:sz="4" w:space="0" w:color="auto"/>
              <w:right w:val="single" w:sz="4" w:space="0" w:color="auto"/>
            </w:tcBorders>
            <w:vAlign w:val="center"/>
            <w:hideMark/>
          </w:tcPr>
          <w:p w14:paraId="3483C9BD" w14:textId="77777777" w:rsidR="00E42B18" w:rsidRDefault="00E42B18">
            <w:pPr>
              <w:rPr>
                <w:rFonts w:ascii="Arial Narrow" w:hAnsi="Arial Narrow"/>
                <w:b/>
                <w:bCs/>
                <w:noProof/>
                <w:sz w:val="20"/>
                <w:szCs w:val="20"/>
              </w:rPr>
            </w:pPr>
          </w:p>
        </w:tc>
      </w:tr>
      <w:tr w:rsidR="00E42B18" w14:paraId="6279EAA0" w14:textId="77777777">
        <w:trPr>
          <w:trHeight w:val="170"/>
          <w:jc w:val="center"/>
        </w:trPr>
        <w:tc>
          <w:tcPr>
            <w:tcW w:w="134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4132652" w14:textId="77777777" w:rsidR="00E42B18" w:rsidRDefault="009629C4">
            <w:pPr>
              <w:pStyle w:val="P68B1DB1-Normal11"/>
              <w:spacing w:line="276" w:lineRule="auto"/>
              <w:jc w:val="center"/>
              <w:rPr>
                <w:noProof/>
                <w:szCs w:val="20"/>
              </w:rPr>
            </w:pPr>
            <w:r>
              <w:rPr>
                <w:noProof/>
              </w:rPr>
              <w:t>M2C4–1</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3DB1D694" w14:textId="77777777" w:rsidR="00E42B18" w:rsidRDefault="009629C4">
            <w:pPr>
              <w:pStyle w:val="P68B1DB1-Normal11"/>
              <w:spacing w:line="276" w:lineRule="auto"/>
              <w:jc w:val="center"/>
              <w:rPr>
                <w:noProof/>
                <w:szCs w:val="20"/>
              </w:rPr>
            </w:pPr>
            <w:r>
              <w:rPr>
                <w:noProof/>
              </w:rPr>
              <w:t>Uudistus 2.1. Hydrogeologisen epävakauden torjuntatoimien täytäntöönpanomenettelyjen yksinkertaistaminen ja nopeuttaminen</w:t>
            </w:r>
          </w:p>
        </w:tc>
        <w:tc>
          <w:tcPr>
            <w:tcW w:w="1266" w:type="dxa"/>
            <w:tcBorders>
              <w:top w:val="single" w:sz="4" w:space="0" w:color="auto"/>
              <w:left w:val="nil"/>
              <w:bottom w:val="single" w:sz="4" w:space="0" w:color="auto"/>
              <w:right w:val="single" w:sz="4" w:space="0" w:color="auto"/>
            </w:tcBorders>
            <w:shd w:val="clear" w:color="auto" w:fill="C6EFCE"/>
            <w:noWrap/>
            <w:vAlign w:val="center"/>
            <w:hideMark/>
          </w:tcPr>
          <w:p w14:paraId="6A81CDD8" w14:textId="77777777" w:rsidR="00E42B18" w:rsidRDefault="009629C4">
            <w:pPr>
              <w:pStyle w:val="P68B1DB1-Normal11"/>
              <w:spacing w:line="276" w:lineRule="auto"/>
              <w:jc w:val="center"/>
              <w:rPr>
                <w:noProof/>
                <w:szCs w:val="20"/>
              </w:rPr>
            </w:pPr>
            <w:r>
              <w:rPr>
                <w:noProof/>
              </w:rPr>
              <w:t>Virstanpylväs</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10C2CEC2" w14:textId="77777777" w:rsidR="00E42B18" w:rsidRDefault="009629C4">
            <w:pPr>
              <w:pStyle w:val="P68B1DB1-Normal11"/>
              <w:spacing w:line="276" w:lineRule="auto"/>
              <w:jc w:val="center"/>
              <w:rPr>
                <w:noProof/>
                <w:szCs w:val="20"/>
              </w:rPr>
            </w:pPr>
            <w:r>
              <w:rPr>
                <w:noProof/>
              </w:rPr>
              <w:t>Oikeudellisen kehyksen yksinkertaistaminen hydrologisten riskien hallinnan parantamiseksi tulee voimaan</w:t>
            </w:r>
          </w:p>
        </w:tc>
        <w:tc>
          <w:tcPr>
            <w:tcW w:w="1414" w:type="dxa"/>
            <w:tcBorders>
              <w:top w:val="single" w:sz="4" w:space="0" w:color="auto"/>
              <w:left w:val="nil"/>
              <w:bottom w:val="single" w:sz="4" w:space="0" w:color="auto"/>
              <w:right w:val="single" w:sz="4" w:space="0" w:color="auto"/>
            </w:tcBorders>
            <w:shd w:val="clear" w:color="auto" w:fill="C6EFCE"/>
            <w:noWrap/>
            <w:vAlign w:val="center"/>
            <w:hideMark/>
          </w:tcPr>
          <w:p w14:paraId="1C82A28C" w14:textId="77777777" w:rsidR="00E42B18" w:rsidRDefault="009629C4">
            <w:pPr>
              <w:pStyle w:val="P68B1DB1-Normal11"/>
              <w:spacing w:line="276" w:lineRule="auto"/>
              <w:jc w:val="center"/>
              <w:rPr>
                <w:noProof/>
                <w:szCs w:val="20"/>
              </w:rPr>
            </w:pPr>
            <w:r>
              <w:rPr>
                <w:noProof/>
              </w:rPr>
              <w:t>Voimaantuloon viittaava säännös asianomaisessa säädöksessä (säädöksissä)</w:t>
            </w:r>
          </w:p>
        </w:tc>
        <w:tc>
          <w:tcPr>
            <w:tcW w:w="1410" w:type="dxa"/>
            <w:tcBorders>
              <w:top w:val="nil"/>
              <w:left w:val="nil"/>
              <w:bottom w:val="single" w:sz="4" w:space="0" w:color="auto"/>
              <w:right w:val="single" w:sz="4" w:space="0" w:color="auto"/>
            </w:tcBorders>
            <w:shd w:val="clear" w:color="auto" w:fill="C6EFCE"/>
            <w:noWrap/>
            <w:vAlign w:val="center"/>
            <w:hideMark/>
          </w:tcPr>
          <w:p w14:paraId="5AA2A5EE" w14:textId="77777777" w:rsidR="00E42B18" w:rsidRDefault="009629C4">
            <w:pPr>
              <w:pStyle w:val="P68B1DB1-Normal11"/>
              <w:spacing w:line="276" w:lineRule="auto"/>
              <w:jc w:val="center"/>
              <w:rPr>
                <w:noProof/>
                <w:szCs w:val="20"/>
              </w:rPr>
            </w:pPr>
            <w:r>
              <w:rPr>
                <w:noProof/>
              </w:rPr>
              <w:t>EI OLE</w:t>
            </w:r>
          </w:p>
        </w:tc>
        <w:tc>
          <w:tcPr>
            <w:tcW w:w="1047" w:type="dxa"/>
            <w:tcBorders>
              <w:top w:val="nil"/>
              <w:left w:val="nil"/>
              <w:bottom w:val="single" w:sz="4" w:space="0" w:color="auto"/>
              <w:right w:val="single" w:sz="4" w:space="0" w:color="auto"/>
            </w:tcBorders>
            <w:shd w:val="clear" w:color="auto" w:fill="C6EFCE"/>
            <w:noWrap/>
            <w:vAlign w:val="center"/>
            <w:hideMark/>
          </w:tcPr>
          <w:p w14:paraId="2CC489D5" w14:textId="77777777" w:rsidR="00E42B18" w:rsidRDefault="009629C4">
            <w:pPr>
              <w:pStyle w:val="P68B1DB1-Normal11"/>
              <w:spacing w:line="276" w:lineRule="auto"/>
              <w:jc w:val="center"/>
              <w:rPr>
                <w:noProof/>
                <w:szCs w:val="20"/>
              </w:rPr>
            </w:pPr>
            <w:r>
              <w:rPr>
                <w:noProof/>
              </w:rPr>
              <w:t>EI OLE</w:t>
            </w:r>
          </w:p>
        </w:tc>
        <w:tc>
          <w:tcPr>
            <w:tcW w:w="719" w:type="dxa"/>
            <w:tcBorders>
              <w:top w:val="nil"/>
              <w:left w:val="nil"/>
              <w:bottom w:val="single" w:sz="4" w:space="0" w:color="auto"/>
              <w:right w:val="single" w:sz="4" w:space="0" w:color="auto"/>
            </w:tcBorders>
            <w:shd w:val="clear" w:color="auto" w:fill="C6EFCE"/>
            <w:noWrap/>
            <w:vAlign w:val="center"/>
            <w:hideMark/>
          </w:tcPr>
          <w:p w14:paraId="0AE87936" w14:textId="77777777" w:rsidR="00E42B18" w:rsidRDefault="009629C4">
            <w:pPr>
              <w:pStyle w:val="P68B1DB1-Normal11"/>
              <w:spacing w:line="276" w:lineRule="auto"/>
              <w:jc w:val="center"/>
              <w:rPr>
                <w:noProof/>
                <w:szCs w:val="20"/>
              </w:rPr>
            </w:pPr>
            <w:r>
              <w:rPr>
                <w:noProof/>
              </w:rPr>
              <w:t>EI OLE</w:t>
            </w:r>
          </w:p>
        </w:tc>
        <w:tc>
          <w:tcPr>
            <w:tcW w:w="809" w:type="dxa"/>
            <w:tcBorders>
              <w:top w:val="nil"/>
              <w:left w:val="nil"/>
              <w:bottom w:val="single" w:sz="4" w:space="0" w:color="auto"/>
              <w:right w:val="single" w:sz="4" w:space="0" w:color="auto"/>
            </w:tcBorders>
            <w:shd w:val="clear" w:color="auto" w:fill="C6EFCE"/>
            <w:noWrap/>
            <w:vAlign w:val="center"/>
            <w:hideMark/>
          </w:tcPr>
          <w:p w14:paraId="137ED560" w14:textId="77777777" w:rsidR="00E42B18" w:rsidRDefault="009629C4">
            <w:pPr>
              <w:pStyle w:val="P68B1DB1-Normal11"/>
              <w:spacing w:line="276" w:lineRule="auto"/>
              <w:jc w:val="center"/>
              <w:rPr>
                <w:noProof/>
                <w:szCs w:val="20"/>
              </w:rPr>
            </w:pPr>
            <w:r>
              <w:rPr>
                <w:noProof/>
              </w:rPr>
              <w:t>Q2</w:t>
            </w:r>
          </w:p>
        </w:tc>
        <w:tc>
          <w:tcPr>
            <w:tcW w:w="794" w:type="dxa"/>
            <w:tcBorders>
              <w:top w:val="nil"/>
              <w:left w:val="nil"/>
              <w:bottom w:val="single" w:sz="4" w:space="0" w:color="auto"/>
              <w:right w:val="single" w:sz="4" w:space="0" w:color="auto"/>
            </w:tcBorders>
            <w:shd w:val="clear" w:color="auto" w:fill="C6EFCE"/>
            <w:noWrap/>
            <w:vAlign w:val="center"/>
            <w:hideMark/>
          </w:tcPr>
          <w:p w14:paraId="03CC85AB" w14:textId="77777777" w:rsidR="00E42B18" w:rsidRDefault="009629C4">
            <w:pPr>
              <w:pStyle w:val="P68B1DB1-Normal11"/>
              <w:spacing w:line="276" w:lineRule="auto"/>
              <w:jc w:val="center"/>
              <w:rPr>
                <w:noProof/>
                <w:szCs w:val="20"/>
              </w:rPr>
            </w:pPr>
            <w:r>
              <w:rPr>
                <w:noProof/>
              </w:rPr>
              <w:t>2022</w:t>
            </w:r>
          </w:p>
        </w:tc>
        <w:tc>
          <w:tcPr>
            <w:tcW w:w="2799" w:type="dxa"/>
            <w:tcBorders>
              <w:top w:val="single" w:sz="4" w:space="0" w:color="auto"/>
              <w:left w:val="nil"/>
              <w:bottom w:val="single" w:sz="4" w:space="0" w:color="auto"/>
              <w:right w:val="single" w:sz="4" w:space="0" w:color="auto"/>
            </w:tcBorders>
            <w:shd w:val="clear" w:color="auto" w:fill="C6EFCE"/>
            <w:noWrap/>
            <w:vAlign w:val="center"/>
          </w:tcPr>
          <w:p w14:paraId="583090AA" w14:textId="77777777" w:rsidR="00E42B18" w:rsidRDefault="009629C4">
            <w:pPr>
              <w:pStyle w:val="P68B1DB1-Normal11"/>
              <w:spacing w:line="276" w:lineRule="auto"/>
              <w:rPr>
                <w:noProof/>
                <w:szCs w:val="20"/>
              </w:rPr>
            </w:pPr>
            <w:r>
              <w:rPr>
                <w:noProof/>
              </w:rPr>
              <w:t>Uuden oikeudellisen kehyksen on (vähintään)</w:t>
            </w:r>
          </w:p>
          <w:p w14:paraId="5A2AB5A7" w14:textId="1A04B656" w:rsidR="00E42B18" w:rsidRDefault="009629C4">
            <w:pPr>
              <w:pStyle w:val="P68B1DB1-ListParagraph15"/>
              <w:numPr>
                <w:ilvl w:val="0"/>
                <w:numId w:val="27"/>
              </w:numPr>
              <w:tabs>
                <w:tab w:val="left" w:pos="321"/>
              </w:tabs>
              <w:spacing w:before="120" w:after="0" w:line="276" w:lineRule="auto"/>
              <w:ind w:left="0" w:firstLine="37"/>
              <w:rPr>
                <w:noProof/>
                <w:szCs w:val="20"/>
              </w:rPr>
            </w:pPr>
            <w:r>
              <w:rPr>
                <w:noProof/>
              </w:rPr>
              <w:t>Priorisoidaan ennaltaehkäisytoimet kansallisen riskinarvioinnin ja päätöksen N:o 1313/2013 6 artiklan sekä riskinhallintavalmiuksien arvioinnin ja ”ei merkittävää haittaa” -periaatteen mukaisesti;</w:t>
            </w:r>
          </w:p>
          <w:p w14:paraId="3387B716" w14:textId="77777777" w:rsidR="00E42B18" w:rsidRDefault="009629C4">
            <w:pPr>
              <w:pStyle w:val="P68B1DB1-ListParagraph15"/>
              <w:numPr>
                <w:ilvl w:val="0"/>
                <w:numId w:val="27"/>
              </w:numPr>
              <w:tabs>
                <w:tab w:val="left" w:pos="321"/>
              </w:tabs>
              <w:spacing w:before="120" w:after="0" w:line="276" w:lineRule="auto"/>
              <w:ind w:left="0" w:firstLine="37"/>
              <w:rPr>
                <w:noProof/>
                <w:szCs w:val="20"/>
              </w:rPr>
            </w:pPr>
            <w:r>
              <w:rPr>
                <w:noProof/>
              </w:rPr>
              <w:t>Nopeuttaa hankkeiden suunnittelumenettelyjä ja vahvistaa yleiset periaatteet, joilla yksinkertaistetaan hankkeiden täytäntöönpano- ja rahoitusmenettelyjä sekä hydrologisia riskejä koskevia hankkeita;</w:t>
            </w:r>
          </w:p>
          <w:p w14:paraId="7887A4A6" w14:textId="77777777" w:rsidR="00E42B18" w:rsidRDefault="009629C4">
            <w:pPr>
              <w:pStyle w:val="P68B1DB1-ListParagraph15"/>
              <w:numPr>
                <w:ilvl w:val="0"/>
                <w:numId w:val="27"/>
              </w:numPr>
              <w:tabs>
                <w:tab w:val="left" w:pos="321"/>
              </w:tabs>
              <w:spacing w:before="120" w:after="0" w:line="276" w:lineRule="auto"/>
              <w:ind w:left="0" w:firstLine="37"/>
              <w:rPr>
                <w:noProof/>
              </w:rPr>
            </w:pPr>
            <w:r>
              <w:rPr>
                <w:noProof/>
              </w:rPr>
              <w:t>Yhdenmukaistetaan ja virtaviivaistetaan tietovirtoja, jotta voidaan vähentää valtion eri tietojärjestelmien välisiä päällekkäisyyksiä raportoinnissa, ja kehitetään indikaattorijärjestelmä, jonka avulla hydrologiset riskit voidaan tunnistaa paremmin Italian tilintarkastustuomioistuimen suositusten mukaisesti.</w:t>
            </w:r>
          </w:p>
          <w:p w14:paraId="06C47675" w14:textId="77777777" w:rsidR="00E42B18" w:rsidRDefault="009629C4">
            <w:pPr>
              <w:pStyle w:val="P68B1DB1-ListParagraph15"/>
              <w:numPr>
                <w:ilvl w:val="0"/>
                <w:numId w:val="27"/>
              </w:numPr>
              <w:tabs>
                <w:tab w:val="left" w:pos="321"/>
              </w:tabs>
              <w:spacing w:before="120" w:after="0" w:line="276" w:lineRule="auto"/>
              <w:ind w:left="0" w:firstLine="37"/>
              <w:rPr>
                <w:noProof/>
              </w:rPr>
            </w:pPr>
            <w:r>
              <w:rPr>
                <w:noProof/>
              </w:rPr>
              <w:t>Tehostaa toimien koordinointia hallinnon eri tasojen välillä Italian tilintarkastustuomioistuimen suositusten mukaisesti;</w:t>
            </w:r>
          </w:p>
          <w:p w14:paraId="3A012D9D" w14:textId="77777777" w:rsidR="00E42B18" w:rsidRDefault="009629C4">
            <w:pPr>
              <w:pStyle w:val="P68B1DB1-ListParagraph15"/>
              <w:numPr>
                <w:ilvl w:val="0"/>
                <w:numId w:val="27"/>
              </w:numPr>
              <w:tabs>
                <w:tab w:val="left" w:pos="321"/>
              </w:tabs>
              <w:spacing w:before="120" w:after="0" w:line="276" w:lineRule="auto"/>
              <w:ind w:left="0" w:firstLine="37"/>
              <w:rPr>
                <w:noProof/>
              </w:rPr>
            </w:pPr>
            <w:r>
              <w:rPr>
                <w:noProof/>
              </w:rPr>
              <w:t>Luodaan vaaratilanteita koskevia yhteisiä tietokantoja, jäljempänä ’dissesto’, Italian tilintarkastustuomioistuimen suositusten mukaisesti;</w:t>
            </w:r>
          </w:p>
          <w:p w14:paraId="5A3FA1F9" w14:textId="77777777" w:rsidR="00E42B18" w:rsidRDefault="009629C4">
            <w:pPr>
              <w:pStyle w:val="P68B1DB1-ListParagraph15"/>
              <w:numPr>
                <w:ilvl w:val="0"/>
                <w:numId w:val="27"/>
              </w:numPr>
              <w:tabs>
                <w:tab w:val="left" w:pos="321"/>
              </w:tabs>
              <w:spacing w:before="120" w:after="0" w:line="276" w:lineRule="auto"/>
              <w:ind w:left="0" w:firstLine="37"/>
              <w:rPr>
                <w:noProof/>
              </w:rPr>
            </w:pPr>
            <w:r>
              <w:rPr>
                <w:noProof/>
              </w:rPr>
              <w:t>Vahvistaa kunkin vaiheen enimmäisaikataulut.</w:t>
            </w:r>
          </w:p>
          <w:p w14:paraId="5635A14D" w14:textId="77777777" w:rsidR="00E42B18" w:rsidRDefault="009629C4">
            <w:pPr>
              <w:pStyle w:val="P68B1DB1-ListParagraph15"/>
              <w:numPr>
                <w:ilvl w:val="0"/>
                <w:numId w:val="27"/>
              </w:numPr>
              <w:tabs>
                <w:tab w:val="left" w:pos="321"/>
              </w:tabs>
              <w:spacing w:before="120" w:after="0" w:line="276" w:lineRule="auto"/>
              <w:ind w:left="0" w:firstLine="37"/>
              <w:rPr>
                <w:noProof/>
                <w:szCs w:val="20"/>
              </w:rPr>
            </w:pPr>
            <w:r>
              <w:rPr>
                <w:noProof/>
              </w:rPr>
              <w:t>Laadittava suunnitelma asianomaisten toimijoiden valmiuksien vahvistamiseksi.</w:t>
            </w:r>
          </w:p>
        </w:tc>
      </w:tr>
      <w:tr w:rsidR="00E42B18" w14:paraId="5D60658B"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7A2AEC4A" w14:textId="77777777" w:rsidR="00E42B18" w:rsidRDefault="009629C4">
            <w:pPr>
              <w:pStyle w:val="P68B1DB1-Normal11"/>
              <w:spacing w:line="276" w:lineRule="auto"/>
              <w:jc w:val="center"/>
              <w:rPr>
                <w:noProof/>
                <w:szCs w:val="20"/>
              </w:rPr>
            </w:pPr>
            <w:r>
              <w:rPr>
                <w:noProof/>
              </w:rPr>
              <w:t>M2C4–2</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5BB7CFDD" w14:textId="77777777" w:rsidR="00E42B18" w:rsidRDefault="009629C4">
            <w:pPr>
              <w:pStyle w:val="P68B1DB1-Normal11"/>
              <w:spacing w:line="276" w:lineRule="auto"/>
              <w:jc w:val="center"/>
              <w:rPr>
                <w:noProof/>
                <w:szCs w:val="20"/>
              </w:rPr>
            </w:pPr>
            <w:r>
              <w:rPr>
                <w:noProof/>
              </w:rPr>
              <w:t>Uudistus 4.2 ”Toimenpiteet integroitujen vesipalvelujen täydellisten johtamisvalmiuksien varmistamiseksi”</w:t>
            </w:r>
          </w:p>
        </w:tc>
        <w:tc>
          <w:tcPr>
            <w:tcW w:w="1266" w:type="dxa"/>
            <w:tcBorders>
              <w:top w:val="nil"/>
              <w:left w:val="nil"/>
              <w:bottom w:val="single" w:sz="4" w:space="0" w:color="auto"/>
              <w:right w:val="single" w:sz="4" w:space="0" w:color="auto"/>
            </w:tcBorders>
            <w:shd w:val="clear" w:color="auto" w:fill="C6EFCE"/>
            <w:noWrap/>
            <w:vAlign w:val="center"/>
            <w:hideMark/>
          </w:tcPr>
          <w:p w14:paraId="35AE2A3A" w14:textId="77777777" w:rsidR="00E42B18" w:rsidRDefault="009629C4">
            <w:pPr>
              <w:pStyle w:val="P68B1DB1-Normal11"/>
              <w:spacing w:line="276" w:lineRule="auto"/>
              <w:jc w:val="center"/>
              <w:rPr>
                <w:noProof/>
                <w:szCs w:val="20"/>
              </w:rPr>
            </w:pPr>
            <w:r>
              <w:rPr>
                <w:noProof/>
              </w:rPr>
              <w:t>Virstanpylväs</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596BDD9" w14:textId="77777777" w:rsidR="00E42B18" w:rsidRDefault="009629C4">
            <w:pPr>
              <w:pStyle w:val="P68B1DB1-Normal11"/>
              <w:spacing w:line="276" w:lineRule="auto"/>
              <w:jc w:val="center"/>
              <w:rPr>
                <w:noProof/>
                <w:szCs w:val="20"/>
              </w:rPr>
            </w:pPr>
            <w:r>
              <w:rPr>
                <w:noProof/>
              </w:rPr>
              <w:t>Uudistus, jolla varmistetaan integroitujen vesipalvelujen täydet johtamisvalmiudet, tulee voimaan</w:t>
            </w:r>
          </w:p>
        </w:tc>
        <w:tc>
          <w:tcPr>
            <w:tcW w:w="1414" w:type="dxa"/>
            <w:tcBorders>
              <w:top w:val="nil"/>
              <w:left w:val="nil"/>
              <w:bottom w:val="single" w:sz="4" w:space="0" w:color="auto"/>
              <w:right w:val="single" w:sz="4" w:space="0" w:color="auto"/>
            </w:tcBorders>
            <w:shd w:val="clear" w:color="auto" w:fill="C6EFCE"/>
            <w:noWrap/>
            <w:vAlign w:val="center"/>
            <w:hideMark/>
          </w:tcPr>
          <w:p w14:paraId="32FE1250" w14:textId="77777777" w:rsidR="00E42B18" w:rsidRDefault="009629C4">
            <w:pPr>
              <w:pStyle w:val="P68B1DB1-Normal11"/>
              <w:spacing w:line="276" w:lineRule="auto"/>
              <w:jc w:val="center"/>
              <w:rPr>
                <w:noProof/>
                <w:szCs w:val="20"/>
              </w:rPr>
            </w:pPr>
            <w:r>
              <w:rPr>
                <w:noProof/>
              </w:rPr>
              <w:t>Voimaantuloon viittaava säännös asianomaisessa säädöksessä (säädöksissä)</w:t>
            </w:r>
          </w:p>
        </w:tc>
        <w:tc>
          <w:tcPr>
            <w:tcW w:w="1410" w:type="dxa"/>
            <w:tcBorders>
              <w:top w:val="nil"/>
              <w:left w:val="nil"/>
              <w:bottom w:val="single" w:sz="4" w:space="0" w:color="auto"/>
              <w:right w:val="single" w:sz="4" w:space="0" w:color="auto"/>
            </w:tcBorders>
            <w:shd w:val="clear" w:color="auto" w:fill="C6EFCE"/>
            <w:noWrap/>
            <w:vAlign w:val="center"/>
            <w:hideMark/>
          </w:tcPr>
          <w:p w14:paraId="581150DE" w14:textId="77777777" w:rsidR="00E42B18" w:rsidRDefault="009629C4">
            <w:pPr>
              <w:pStyle w:val="P68B1DB1-Normal11"/>
              <w:spacing w:line="276" w:lineRule="auto"/>
              <w:jc w:val="center"/>
              <w:rPr>
                <w:noProof/>
                <w:szCs w:val="20"/>
              </w:rPr>
            </w:pPr>
            <w:r>
              <w:rPr>
                <w:noProof/>
              </w:rPr>
              <w:t>EI OLE</w:t>
            </w:r>
          </w:p>
        </w:tc>
        <w:tc>
          <w:tcPr>
            <w:tcW w:w="1047" w:type="dxa"/>
            <w:tcBorders>
              <w:top w:val="nil"/>
              <w:left w:val="nil"/>
              <w:bottom w:val="single" w:sz="4" w:space="0" w:color="auto"/>
              <w:right w:val="single" w:sz="4" w:space="0" w:color="auto"/>
            </w:tcBorders>
            <w:shd w:val="clear" w:color="auto" w:fill="C6EFCE"/>
            <w:noWrap/>
            <w:vAlign w:val="center"/>
            <w:hideMark/>
          </w:tcPr>
          <w:p w14:paraId="2B582B44" w14:textId="77777777" w:rsidR="00E42B18" w:rsidRDefault="009629C4">
            <w:pPr>
              <w:pStyle w:val="P68B1DB1-Normal11"/>
              <w:spacing w:line="276" w:lineRule="auto"/>
              <w:jc w:val="center"/>
              <w:rPr>
                <w:noProof/>
                <w:szCs w:val="20"/>
              </w:rPr>
            </w:pPr>
            <w:r>
              <w:rPr>
                <w:noProof/>
              </w:rPr>
              <w:t>EI OLE</w:t>
            </w:r>
          </w:p>
        </w:tc>
        <w:tc>
          <w:tcPr>
            <w:tcW w:w="719" w:type="dxa"/>
            <w:tcBorders>
              <w:top w:val="nil"/>
              <w:left w:val="nil"/>
              <w:bottom w:val="single" w:sz="4" w:space="0" w:color="auto"/>
              <w:right w:val="single" w:sz="4" w:space="0" w:color="auto"/>
            </w:tcBorders>
            <w:shd w:val="clear" w:color="auto" w:fill="C6EFCE"/>
            <w:noWrap/>
            <w:vAlign w:val="center"/>
            <w:hideMark/>
          </w:tcPr>
          <w:p w14:paraId="7080A8A4" w14:textId="77777777" w:rsidR="00E42B18" w:rsidRDefault="009629C4">
            <w:pPr>
              <w:pStyle w:val="P68B1DB1-Normal11"/>
              <w:spacing w:line="276" w:lineRule="auto"/>
              <w:jc w:val="center"/>
              <w:rPr>
                <w:noProof/>
                <w:szCs w:val="20"/>
              </w:rPr>
            </w:pPr>
            <w:r>
              <w:rPr>
                <w:noProof/>
              </w:rPr>
              <w:t>EI OLE</w:t>
            </w:r>
          </w:p>
        </w:tc>
        <w:tc>
          <w:tcPr>
            <w:tcW w:w="809" w:type="dxa"/>
            <w:tcBorders>
              <w:top w:val="nil"/>
              <w:left w:val="nil"/>
              <w:bottom w:val="single" w:sz="4" w:space="0" w:color="auto"/>
              <w:right w:val="single" w:sz="4" w:space="0" w:color="auto"/>
            </w:tcBorders>
            <w:shd w:val="clear" w:color="auto" w:fill="C6EFCE"/>
            <w:noWrap/>
            <w:vAlign w:val="center"/>
            <w:hideMark/>
          </w:tcPr>
          <w:p w14:paraId="12D28CB9" w14:textId="77777777" w:rsidR="00E42B18" w:rsidRDefault="009629C4">
            <w:pPr>
              <w:pStyle w:val="P68B1DB1-Normal11"/>
              <w:spacing w:line="276" w:lineRule="auto"/>
              <w:jc w:val="center"/>
              <w:rPr>
                <w:noProof/>
                <w:szCs w:val="20"/>
              </w:rPr>
            </w:pPr>
            <w:r>
              <w:rPr>
                <w:noProof/>
              </w:rPr>
              <w:t>Q3</w:t>
            </w:r>
          </w:p>
        </w:tc>
        <w:tc>
          <w:tcPr>
            <w:tcW w:w="794" w:type="dxa"/>
            <w:tcBorders>
              <w:top w:val="nil"/>
              <w:left w:val="nil"/>
              <w:bottom w:val="single" w:sz="4" w:space="0" w:color="auto"/>
              <w:right w:val="single" w:sz="4" w:space="0" w:color="auto"/>
            </w:tcBorders>
            <w:shd w:val="clear" w:color="auto" w:fill="C6EFCE"/>
            <w:noWrap/>
            <w:vAlign w:val="center"/>
            <w:hideMark/>
          </w:tcPr>
          <w:p w14:paraId="326D5379" w14:textId="77777777" w:rsidR="00E42B18" w:rsidRDefault="009629C4">
            <w:pPr>
              <w:pStyle w:val="P68B1DB1-Normal11"/>
              <w:spacing w:line="276" w:lineRule="auto"/>
              <w:jc w:val="center"/>
              <w:rPr>
                <w:noProof/>
                <w:szCs w:val="20"/>
              </w:rPr>
            </w:pPr>
            <w:r>
              <w:rPr>
                <w:noProof/>
              </w:rPr>
              <w:t>2022</w:t>
            </w:r>
          </w:p>
        </w:tc>
        <w:tc>
          <w:tcPr>
            <w:tcW w:w="2799" w:type="dxa"/>
            <w:tcBorders>
              <w:top w:val="nil"/>
              <w:left w:val="nil"/>
              <w:bottom w:val="single" w:sz="4" w:space="0" w:color="auto"/>
              <w:right w:val="single" w:sz="4" w:space="0" w:color="auto"/>
            </w:tcBorders>
            <w:shd w:val="clear" w:color="auto" w:fill="C6EFCE"/>
            <w:noWrap/>
            <w:vAlign w:val="center"/>
            <w:hideMark/>
          </w:tcPr>
          <w:p w14:paraId="272820A0" w14:textId="73BCFD83" w:rsidR="00E42B18" w:rsidRDefault="009629C4">
            <w:pPr>
              <w:pStyle w:val="P68B1DB1-Normal11"/>
              <w:spacing w:line="276" w:lineRule="auto"/>
              <w:rPr>
                <w:noProof/>
                <w:szCs w:val="20"/>
              </w:rPr>
            </w:pPr>
            <w:r>
              <w:rPr>
                <w:noProof/>
              </w:rPr>
              <w:t>Vesipalveluja koskeva yleinen laki/asetukset niiden kestävää käyttöä varten ja kannustimet vesi-infrastruktuuriin tehtäviin investointeihin, joiden on vähintään</w:t>
            </w:r>
          </w:p>
          <w:p w14:paraId="49786188" w14:textId="77777777" w:rsidR="00E42B18" w:rsidRDefault="009629C4">
            <w:pPr>
              <w:pStyle w:val="P68B1DB1-ListParagraph15"/>
              <w:numPr>
                <w:ilvl w:val="0"/>
                <w:numId w:val="27"/>
              </w:numPr>
              <w:tabs>
                <w:tab w:val="left" w:pos="321"/>
              </w:tabs>
              <w:spacing w:before="120" w:after="0" w:line="276" w:lineRule="auto"/>
              <w:ind w:left="0" w:firstLine="37"/>
              <w:rPr>
                <w:noProof/>
              </w:rPr>
            </w:pPr>
            <w:r>
              <w:rPr>
                <w:noProof/>
              </w:rPr>
              <w:t>Vähennetään yksiköiden hajanaisuutta säännöillä ja yhdistämismekanismeilla, joilla kannustetaan tällä hetkellä itsenäisiä hallinnoijia integroitumaan yhteen ainoaan operaattoriin koko Ambito Territoriale Ottimale -alueella;</w:t>
            </w:r>
          </w:p>
          <w:p w14:paraId="2A427C38" w14:textId="34567E6E" w:rsidR="00E42B18" w:rsidRDefault="009629C4">
            <w:pPr>
              <w:pStyle w:val="P68B1DB1-ListParagraph15"/>
              <w:numPr>
                <w:ilvl w:val="0"/>
                <w:numId w:val="27"/>
              </w:numPr>
              <w:tabs>
                <w:tab w:val="left" w:pos="321"/>
              </w:tabs>
              <w:spacing w:before="120" w:after="0" w:line="276" w:lineRule="auto"/>
              <w:ind w:left="0" w:firstLine="37"/>
              <w:rPr>
                <w:noProof/>
              </w:rPr>
            </w:pPr>
            <w:r>
              <w:rPr>
                <w:noProof/>
              </w:rPr>
              <w:t>Tarjotaan kannustimia veden kestävään käyttöön maataloudessa ja tuetaan erityisesti vedenkäytön yhteisen seurantajärjestelmän (SIGRIAN) käyttöä kollektiivisiin ja omavaraisiin kastelutarkoituksiin;</w:t>
            </w:r>
          </w:p>
          <w:p w14:paraId="53A433B4" w14:textId="77777777" w:rsidR="00E42B18" w:rsidRDefault="009629C4">
            <w:pPr>
              <w:pStyle w:val="P68B1DB1-ListParagraph15"/>
              <w:numPr>
                <w:ilvl w:val="0"/>
                <w:numId w:val="27"/>
              </w:numPr>
              <w:tabs>
                <w:tab w:val="left" w:pos="321"/>
              </w:tabs>
              <w:spacing w:before="120" w:after="0" w:line="276" w:lineRule="auto"/>
              <w:ind w:left="0" w:firstLine="37"/>
              <w:rPr>
                <w:noProof/>
                <w:szCs w:val="20"/>
              </w:rPr>
            </w:pPr>
            <w:r>
              <w:rPr>
                <w:noProof/>
              </w:rPr>
              <w:t>Otetaan käyttöön säänneltyjen hintojen järjestelmä, jossa otetaan asianmukaisesti huomioon ympäristöresurssien käyttö ja saastuminen saastuttaja maksaa -periaatteen mukaisesti</w:t>
            </w:r>
          </w:p>
        </w:tc>
      </w:tr>
      <w:tr w:rsidR="00E42B18" w14:paraId="4FEFCDD5"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56246794" w14:textId="77777777" w:rsidR="00E42B18" w:rsidRDefault="009629C4">
            <w:pPr>
              <w:pStyle w:val="P68B1DB1-Normal11"/>
              <w:spacing w:line="276" w:lineRule="auto"/>
              <w:jc w:val="center"/>
              <w:rPr>
                <w:noProof/>
                <w:szCs w:val="20"/>
              </w:rPr>
            </w:pPr>
            <w:r>
              <w:rPr>
                <w:noProof/>
              </w:rPr>
              <w:t>M2C4–3</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4DA669B0" w14:textId="77777777" w:rsidR="00E42B18" w:rsidRDefault="009629C4">
            <w:pPr>
              <w:pStyle w:val="P68B1DB1-Normal11"/>
              <w:spacing w:line="276" w:lineRule="auto"/>
              <w:jc w:val="center"/>
              <w:rPr>
                <w:noProof/>
                <w:szCs w:val="20"/>
              </w:rPr>
            </w:pPr>
            <w:r>
              <w:rPr>
                <w:noProof/>
              </w:rPr>
              <w:t>Uudistus 4.2 ”Toimenpiteet integroitujen vesipalvelujen täydellisten johtamisvalmiuksien varmistamiseksi”</w:t>
            </w:r>
          </w:p>
        </w:tc>
        <w:tc>
          <w:tcPr>
            <w:tcW w:w="1266" w:type="dxa"/>
            <w:tcBorders>
              <w:top w:val="nil"/>
              <w:left w:val="nil"/>
              <w:bottom w:val="single" w:sz="4" w:space="0" w:color="auto"/>
              <w:right w:val="single" w:sz="4" w:space="0" w:color="auto"/>
            </w:tcBorders>
            <w:shd w:val="clear" w:color="auto" w:fill="C6EFCE"/>
            <w:noWrap/>
            <w:vAlign w:val="center"/>
            <w:hideMark/>
          </w:tcPr>
          <w:p w14:paraId="04316560" w14:textId="77777777" w:rsidR="00E42B18" w:rsidRDefault="009629C4">
            <w:pPr>
              <w:pStyle w:val="P68B1DB1-Normal11"/>
              <w:spacing w:line="276" w:lineRule="auto"/>
              <w:jc w:val="center"/>
              <w:rPr>
                <w:noProof/>
                <w:szCs w:val="20"/>
              </w:rPr>
            </w:pPr>
            <w:r>
              <w:rPr>
                <w:noProof/>
              </w:rPr>
              <w:t>Virstanpylväs</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60ABE95" w14:textId="77777777" w:rsidR="00E42B18" w:rsidRDefault="009629C4">
            <w:pPr>
              <w:pStyle w:val="P68B1DB1-Normal11"/>
              <w:spacing w:line="276" w:lineRule="auto"/>
              <w:jc w:val="center"/>
              <w:rPr>
                <w:noProof/>
                <w:szCs w:val="20"/>
              </w:rPr>
            </w:pPr>
            <w:r>
              <w:rPr>
                <w:noProof/>
              </w:rPr>
              <w:t>Oikeudellisen kehyksen uudistaminen vesienhoidon ja kestävän käytön parantamiseksi</w:t>
            </w:r>
          </w:p>
        </w:tc>
        <w:tc>
          <w:tcPr>
            <w:tcW w:w="1414" w:type="dxa"/>
            <w:tcBorders>
              <w:top w:val="nil"/>
              <w:left w:val="nil"/>
              <w:bottom w:val="single" w:sz="4" w:space="0" w:color="auto"/>
              <w:right w:val="single" w:sz="4" w:space="0" w:color="auto"/>
            </w:tcBorders>
            <w:shd w:val="clear" w:color="auto" w:fill="C6EFCE"/>
            <w:noWrap/>
            <w:vAlign w:val="center"/>
            <w:hideMark/>
          </w:tcPr>
          <w:p w14:paraId="153E4880" w14:textId="77777777" w:rsidR="00E42B18" w:rsidRDefault="009629C4">
            <w:pPr>
              <w:pStyle w:val="P68B1DB1-Normal11"/>
              <w:spacing w:line="276" w:lineRule="auto"/>
              <w:jc w:val="center"/>
              <w:rPr>
                <w:noProof/>
                <w:szCs w:val="20"/>
              </w:rPr>
            </w:pPr>
            <w:r>
              <w:rPr>
                <w:noProof/>
              </w:rPr>
              <w:t>Yhteisymmärryspöytäkirjojen voimaantulo</w:t>
            </w:r>
          </w:p>
        </w:tc>
        <w:tc>
          <w:tcPr>
            <w:tcW w:w="1410" w:type="dxa"/>
            <w:tcBorders>
              <w:top w:val="nil"/>
              <w:left w:val="nil"/>
              <w:bottom w:val="single" w:sz="4" w:space="0" w:color="auto"/>
              <w:right w:val="single" w:sz="4" w:space="0" w:color="auto"/>
            </w:tcBorders>
            <w:shd w:val="clear" w:color="auto" w:fill="C6EFCE"/>
            <w:noWrap/>
            <w:vAlign w:val="center"/>
            <w:hideMark/>
          </w:tcPr>
          <w:p w14:paraId="11701F69" w14:textId="77777777" w:rsidR="00E42B18" w:rsidRDefault="009629C4">
            <w:pPr>
              <w:pStyle w:val="P68B1DB1-Normal11"/>
              <w:spacing w:line="276" w:lineRule="auto"/>
              <w:jc w:val="center"/>
              <w:rPr>
                <w:noProof/>
                <w:szCs w:val="20"/>
              </w:rPr>
            </w:pPr>
            <w:r>
              <w:rPr>
                <w:noProof/>
              </w:rPr>
              <w:t>EI OLE</w:t>
            </w:r>
          </w:p>
        </w:tc>
        <w:tc>
          <w:tcPr>
            <w:tcW w:w="1047" w:type="dxa"/>
            <w:tcBorders>
              <w:top w:val="nil"/>
              <w:left w:val="nil"/>
              <w:bottom w:val="single" w:sz="4" w:space="0" w:color="auto"/>
              <w:right w:val="single" w:sz="4" w:space="0" w:color="auto"/>
            </w:tcBorders>
            <w:shd w:val="clear" w:color="auto" w:fill="C6EFCE"/>
            <w:noWrap/>
            <w:vAlign w:val="center"/>
            <w:hideMark/>
          </w:tcPr>
          <w:p w14:paraId="1571A882" w14:textId="77777777" w:rsidR="00E42B18" w:rsidRDefault="009629C4">
            <w:pPr>
              <w:pStyle w:val="P68B1DB1-Normal11"/>
              <w:spacing w:line="276" w:lineRule="auto"/>
              <w:jc w:val="center"/>
              <w:rPr>
                <w:noProof/>
                <w:szCs w:val="20"/>
              </w:rPr>
            </w:pPr>
            <w:r>
              <w:rPr>
                <w:noProof/>
              </w:rPr>
              <w:t>EI OLE</w:t>
            </w:r>
          </w:p>
        </w:tc>
        <w:tc>
          <w:tcPr>
            <w:tcW w:w="719" w:type="dxa"/>
            <w:tcBorders>
              <w:top w:val="nil"/>
              <w:left w:val="nil"/>
              <w:bottom w:val="single" w:sz="4" w:space="0" w:color="auto"/>
              <w:right w:val="single" w:sz="4" w:space="0" w:color="auto"/>
            </w:tcBorders>
            <w:shd w:val="clear" w:color="auto" w:fill="C6EFCE"/>
            <w:noWrap/>
            <w:vAlign w:val="center"/>
            <w:hideMark/>
          </w:tcPr>
          <w:p w14:paraId="445A40E5" w14:textId="77777777" w:rsidR="00E42B18" w:rsidRDefault="009629C4">
            <w:pPr>
              <w:pStyle w:val="P68B1DB1-Normal11"/>
              <w:spacing w:line="276" w:lineRule="auto"/>
              <w:jc w:val="center"/>
              <w:rPr>
                <w:noProof/>
                <w:szCs w:val="20"/>
              </w:rPr>
            </w:pPr>
            <w:r>
              <w:rPr>
                <w:noProof/>
              </w:rPr>
              <w:t>EI OLE</w:t>
            </w:r>
          </w:p>
        </w:tc>
        <w:tc>
          <w:tcPr>
            <w:tcW w:w="809" w:type="dxa"/>
            <w:tcBorders>
              <w:top w:val="nil"/>
              <w:left w:val="nil"/>
              <w:bottom w:val="single" w:sz="4" w:space="0" w:color="auto"/>
              <w:right w:val="single" w:sz="4" w:space="0" w:color="auto"/>
            </w:tcBorders>
            <w:shd w:val="clear" w:color="auto" w:fill="C6EFCE"/>
            <w:noWrap/>
            <w:vAlign w:val="center"/>
            <w:hideMark/>
          </w:tcPr>
          <w:p w14:paraId="55785779" w14:textId="77777777" w:rsidR="00E42B18" w:rsidRDefault="009629C4">
            <w:pPr>
              <w:pStyle w:val="P68B1DB1-Normal11"/>
              <w:spacing w:line="276" w:lineRule="auto"/>
              <w:jc w:val="center"/>
              <w:rPr>
                <w:noProof/>
                <w:szCs w:val="20"/>
              </w:rPr>
            </w:pPr>
            <w:r>
              <w:rPr>
                <w:noProof/>
              </w:rPr>
              <w:t>Q4</w:t>
            </w:r>
          </w:p>
        </w:tc>
        <w:tc>
          <w:tcPr>
            <w:tcW w:w="794" w:type="dxa"/>
            <w:tcBorders>
              <w:top w:val="nil"/>
              <w:left w:val="nil"/>
              <w:bottom w:val="single" w:sz="4" w:space="0" w:color="auto"/>
              <w:right w:val="single" w:sz="4" w:space="0" w:color="auto"/>
            </w:tcBorders>
            <w:shd w:val="clear" w:color="auto" w:fill="C6EFCE"/>
            <w:noWrap/>
            <w:vAlign w:val="center"/>
            <w:hideMark/>
          </w:tcPr>
          <w:p w14:paraId="04C0A556" w14:textId="77777777" w:rsidR="00E42B18" w:rsidRDefault="009629C4">
            <w:pPr>
              <w:pStyle w:val="P68B1DB1-Normal11"/>
              <w:spacing w:line="276" w:lineRule="auto"/>
              <w:jc w:val="center"/>
              <w:rPr>
                <w:noProof/>
                <w:szCs w:val="20"/>
              </w:rPr>
            </w:pPr>
            <w:r>
              <w:rPr>
                <w:noProof/>
              </w:rPr>
              <w:t>2021</w:t>
            </w:r>
          </w:p>
        </w:tc>
        <w:tc>
          <w:tcPr>
            <w:tcW w:w="2799" w:type="dxa"/>
            <w:tcBorders>
              <w:top w:val="nil"/>
              <w:left w:val="nil"/>
              <w:bottom w:val="single" w:sz="4" w:space="0" w:color="auto"/>
              <w:right w:val="single" w:sz="4" w:space="0" w:color="auto"/>
            </w:tcBorders>
            <w:shd w:val="clear" w:color="auto" w:fill="C6EFCE"/>
            <w:noWrap/>
            <w:vAlign w:val="center"/>
            <w:hideMark/>
          </w:tcPr>
          <w:p w14:paraId="6D9388B1" w14:textId="77777777" w:rsidR="00E42B18" w:rsidRDefault="009629C4">
            <w:pPr>
              <w:pStyle w:val="P68B1DB1-Normal21"/>
              <w:spacing w:line="276" w:lineRule="auto"/>
              <w:rPr>
                <w:rFonts w:ascii="Arial Narrow" w:hAnsi="Arial Narrow"/>
                <w:noProof/>
                <w:szCs w:val="20"/>
              </w:rPr>
            </w:pPr>
            <w:r>
              <w:rPr>
                <w:noProof/>
              </w:rPr>
              <w:t xml:space="preserve">Ekologisesta siirtymästä vastaavan ministeriön Campanian, Calabrian, Molisen ja Sisilian alueiden kanssa </w:t>
            </w:r>
            <w:r>
              <w:rPr>
                <w:rFonts w:ascii="Arial Narrow" w:hAnsi="Arial Narrow"/>
                <w:noProof/>
              </w:rPr>
              <w:t>allekirjoittamat pöytäkirjat vesipalveluja tarjoavien toimijoiden määrän hajanaisuuden vähentämiseksi. Yhteisymmärryspöytäkirjassa olisi asetettava tavoitteita paikallishallinnon elinten asettamiselle, toimijoiden määrän vähentämiselle ja mittakaavaetujen saavuttamiselle, jotta voidaan perustaa yksi toimija vähintään</w:t>
            </w:r>
            <w:r>
              <w:rPr>
                <w:noProof/>
              </w:rPr>
              <w:t xml:space="preserve"> </w:t>
            </w:r>
            <w:r>
              <w:rPr>
                <w:rFonts w:ascii="Arial Narrow" w:hAnsi="Arial Narrow"/>
                <w:noProof/>
              </w:rPr>
              <w:t>40000 asukkaalle</w:t>
            </w:r>
            <w:r>
              <w:rPr>
                <w:noProof/>
              </w:rPr>
              <w:t>.</w:t>
            </w:r>
          </w:p>
        </w:tc>
      </w:tr>
      <w:tr w:rsidR="00E42B18" w14:paraId="3E47CD17"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3DB854FF" w14:textId="77777777" w:rsidR="00E42B18" w:rsidRDefault="009629C4">
            <w:pPr>
              <w:pStyle w:val="P68B1DB1-Normal11"/>
              <w:spacing w:line="276" w:lineRule="auto"/>
              <w:jc w:val="center"/>
              <w:rPr>
                <w:noProof/>
                <w:szCs w:val="20"/>
              </w:rPr>
            </w:pPr>
            <w:r>
              <w:rPr>
                <w:noProof/>
              </w:rPr>
              <w:t>M2C4–4</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63A194B3" w14:textId="77777777" w:rsidR="00E42B18" w:rsidRDefault="009629C4">
            <w:pPr>
              <w:pStyle w:val="P68B1DB1-Normal11"/>
              <w:spacing w:line="276" w:lineRule="auto"/>
              <w:jc w:val="center"/>
              <w:rPr>
                <w:noProof/>
                <w:szCs w:val="20"/>
              </w:rPr>
            </w:pPr>
            <w:r>
              <w:rPr>
                <w:noProof/>
              </w:rPr>
              <w:t>Uudistus 4.2 ”Toimenpiteet integroitujen vesipalvelujen täydellisten johtamisvalmiuksien varmistamiseksi”</w:t>
            </w:r>
          </w:p>
        </w:tc>
        <w:tc>
          <w:tcPr>
            <w:tcW w:w="1266" w:type="dxa"/>
            <w:tcBorders>
              <w:top w:val="nil"/>
              <w:left w:val="nil"/>
              <w:bottom w:val="single" w:sz="4" w:space="0" w:color="auto"/>
              <w:right w:val="single" w:sz="4" w:space="0" w:color="auto"/>
            </w:tcBorders>
            <w:shd w:val="clear" w:color="auto" w:fill="C6EFCE"/>
            <w:noWrap/>
            <w:vAlign w:val="center"/>
            <w:hideMark/>
          </w:tcPr>
          <w:p w14:paraId="48D27D9B" w14:textId="77777777" w:rsidR="00E42B18" w:rsidRDefault="009629C4">
            <w:pPr>
              <w:pStyle w:val="P68B1DB1-Normal11"/>
              <w:spacing w:line="276" w:lineRule="auto"/>
              <w:jc w:val="center"/>
              <w:rPr>
                <w:noProof/>
                <w:szCs w:val="20"/>
              </w:rPr>
            </w:pPr>
            <w:r>
              <w:rPr>
                <w:noProof/>
              </w:rPr>
              <w:t>Virstanpylväs</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4E297056" w14:textId="753D14E7" w:rsidR="00E42B18" w:rsidRDefault="009629C4">
            <w:pPr>
              <w:pStyle w:val="P68B1DB1-Normal11"/>
              <w:spacing w:line="276" w:lineRule="auto"/>
              <w:jc w:val="center"/>
              <w:rPr>
                <w:noProof/>
                <w:szCs w:val="20"/>
              </w:rPr>
            </w:pPr>
            <w:r>
              <w:rPr>
                <w:noProof/>
              </w:rPr>
              <w:t>Kastelua koskevan uuden oikeudellisen kehyksen voimaantulo</w:t>
            </w:r>
          </w:p>
        </w:tc>
        <w:tc>
          <w:tcPr>
            <w:tcW w:w="1414" w:type="dxa"/>
            <w:tcBorders>
              <w:top w:val="nil"/>
              <w:left w:val="nil"/>
              <w:bottom w:val="single" w:sz="4" w:space="0" w:color="auto"/>
              <w:right w:val="single" w:sz="4" w:space="0" w:color="auto"/>
            </w:tcBorders>
            <w:shd w:val="clear" w:color="auto" w:fill="C6EFCE"/>
            <w:noWrap/>
            <w:vAlign w:val="center"/>
            <w:hideMark/>
          </w:tcPr>
          <w:p w14:paraId="26C76298" w14:textId="4357E50B" w:rsidR="00E42B18" w:rsidRDefault="009629C4">
            <w:pPr>
              <w:pStyle w:val="P68B1DB1-Normal11"/>
              <w:spacing w:line="276" w:lineRule="auto"/>
              <w:jc w:val="center"/>
              <w:rPr>
                <w:noProof/>
                <w:szCs w:val="20"/>
              </w:rPr>
            </w:pPr>
            <w:r>
              <w:rPr>
                <w:noProof/>
              </w:rPr>
              <w:t>Voimaantuloon viittaava säännös asianomaisessa säädöksessä</w:t>
            </w:r>
          </w:p>
        </w:tc>
        <w:tc>
          <w:tcPr>
            <w:tcW w:w="1410" w:type="dxa"/>
            <w:tcBorders>
              <w:top w:val="nil"/>
              <w:left w:val="nil"/>
              <w:bottom w:val="single" w:sz="4" w:space="0" w:color="auto"/>
              <w:right w:val="single" w:sz="4" w:space="0" w:color="auto"/>
            </w:tcBorders>
            <w:shd w:val="clear" w:color="auto" w:fill="C6EFCE"/>
            <w:noWrap/>
            <w:vAlign w:val="center"/>
            <w:hideMark/>
          </w:tcPr>
          <w:p w14:paraId="4A1E2268" w14:textId="77777777" w:rsidR="00E42B18" w:rsidRDefault="009629C4">
            <w:pPr>
              <w:pStyle w:val="P68B1DB1-Normal11"/>
              <w:spacing w:line="276" w:lineRule="auto"/>
              <w:jc w:val="center"/>
              <w:rPr>
                <w:noProof/>
                <w:szCs w:val="20"/>
              </w:rPr>
            </w:pPr>
            <w:r>
              <w:rPr>
                <w:noProof/>
              </w:rPr>
              <w:t>EI OLE</w:t>
            </w:r>
          </w:p>
        </w:tc>
        <w:tc>
          <w:tcPr>
            <w:tcW w:w="1047" w:type="dxa"/>
            <w:tcBorders>
              <w:top w:val="nil"/>
              <w:left w:val="nil"/>
              <w:bottom w:val="single" w:sz="4" w:space="0" w:color="auto"/>
              <w:right w:val="single" w:sz="4" w:space="0" w:color="auto"/>
            </w:tcBorders>
            <w:shd w:val="clear" w:color="auto" w:fill="C6EFCE"/>
            <w:noWrap/>
            <w:vAlign w:val="center"/>
            <w:hideMark/>
          </w:tcPr>
          <w:p w14:paraId="011ACAAC" w14:textId="77777777" w:rsidR="00E42B18" w:rsidRDefault="009629C4">
            <w:pPr>
              <w:pStyle w:val="P68B1DB1-Normal11"/>
              <w:spacing w:line="276" w:lineRule="auto"/>
              <w:jc w:val="center"/>
              <w:rPr>
                <w:noProof/>
                <w:szCs w:val="20"/>
              </w:rPr>
            </w:pPr>
            <w:r>
              <w:rPr>
                <w:noProof/>
              </w:rPr>
              <w:t>EI OLE</w:t>
            </w:r>
          </w:p>
        </w:tc>
        <w:tc>
          <w:tcPr>
            <w:tcW w:w="719" w:type="dxa"/>
            <w:tcBorders>
              <w:top w:val="nil"/>
              <w:left w:val="nil"/>
              <w:bottom w:val="single" w:sz="4" w:space="0" w:color="auto"/>
              <w:right w:val="single" w:sz="4" w:space="0" w:color="auto"/>
            </w:tcBorders>
            <w:shd w:val="clear" w:color="auto" w:fill="C6EFCE"/>
            <w:noWrap/>
            <w:vAlign w:val="center"/>
            <w:hideMark/>
          </w:tcPr>
          <w:p w14:paraId="7BDDE89F" w14:textId="77777777" w:rsidR="00E42B18" w:rsidRDefault="009629C4">
            <w:pPr>
              <w:pStyle w:val="P68B1DB1-Normal11"/>
              <w:spacing w:line="276" w:lineRule="auto"/>
              <w:jc w:val="center"/>
              <w:rPr>
                <w:noProof/>
                <w:szCs w:val="20"/>
              </w:rPr>
            </w:pPr>
            <w:r>
              <w:rPr>
                <w:noProof/>
              </w:rPr>
              <w:t>EI OLE</w:t>
            </w:r>
          </w:p>
        </w:tc>
        <w:tc>
          <w:tcPr>
            <w:tcW w:w="809" w:type="dxa"/>
            <w:tcBorders>
              <w:top w:val="nil"/>
              <w:left w:val="nil"/>
              <w:bottom w:val="single" w:sz="4" w:space="0" w:color="auto"/>
              <w:right w:val="single" w:sz="4" w:space="0" w:color="auto"/>
            </w:tcBorders>
            <w:shd w:val="clear" w:color="auto" w:fill="C6EFCE"/>
            <w:noWrap/>
            <w:vAlign w:val="center"/>
            <w:hideMark/>
          </w:tcPr>
          <w:p w14:paraId="0B320830" w14:textId="77777777" w:rsidR="00E42B18" w:rsidRDefault="009629C4">
            <w:pPr>
              <w:pStyle w:val="P68B1DB1-Normal11"/>
              <w:spacing w:line="276" w:lineRule="auto"/>
              <w:jc w:val="center"/>
              <w:rPr>
                <w:noProof/>
                <w:szCs w:val="20"/>
              </w:rPr>
            </w:pPr>
            <w:r>
              <w:rPr>
                <w:noProof/>
              </w:rPr>
              <w:t>Q2</w:t>
            </w:r>
          </w:p>
        </w:tc>
        <w:tc>
          <w:tcPr>
            <w:tcW w:w="794" w:type="dxa"/>
            <w:tcBorders>
              <w:top w:val="nil"/>
              <w:left w:val="nil"/>
              <w:bottom w:val="single" w:sz="4" w:space="0" w:color="auto"/>
              <w:right w:val="single" w:sz="4" w:space="0" w:color="auto"/>
            </w:tcBorders>
            <w:shd w:val="clear" w:color="auto" w:fill="C6EFCE"/>
            <w:noWrap/>
            <w:vAlign w:val="center"/>
            <w:hideMark/>
          </w:tcPr>
          <w:p w14:paraId="1970D229" w14:textId="77777777" w:rsidR="00E42B18" w:rsidRDefault="009629C4">
            <w:pPr>
              <w:pStyle w:val="P68B1DB1-Normal11"/>
              <w:spacing w:line="276" w:lineRule="auto"/>
              <w:jc w:val="center"/>
              <w:rPr>
                <w:noProof/>
                <w:szCs w:val="20"/>
              </w:rPr>
            </w:pPr>
            <w:r>
              <w:rPr>
                <w:noProof/>
              </w:rPr>
              <w:t>2022</w:t>
            </w:r>
          </w:p>
        </w:tc>
        <w:tc>
          <w:tcPr>
            <w:tcW w:w="2799" w:type="dxa"/>
            <w:tcBorders>
              <w:top w:val="nil"/>
              <w:left w:val="nil"/>
              <w:bottom w:val="single" w:sz="4" w:space="0" w:color="auto"/>
              <w:right w:val="single" w:sz="4" w:space="0" w:color="auto"/>
            </w:tcBorders>
            <w:shd w:val="clear" w:color="auto" w:fill="C6EFCE"/>
            <w:noWrap/>
            <w:vAlign w:val="center"/>
            <w:hideMark/>
          </w:tcPr>
          <w:p w14:paraId="183B35A1" w14:textId="77777777" w:rsidR="00E42B18" w:rsidRDefault="009629C4">
            <w:pPr>
              <w:pStyle w:val="P68B1DB1-Normal11"/>
              <w:spacing w:line="276" w:lineRule="auto"/>
              <w:rPr>
                <w:noProof/>
                <w:szCs w:val="20"/>
              </w:rPr>
            </w:pPr>
            <w:r>
              <w:rPr>
                <w:noProof/>
              </w:rPr>
              <w:t>Tarkistetussa oikeudellisessa kehyksessä on vähintään</w:t>
            </w:r>
          </w:p>
          <w:p w14:paraId="328526F3" w14:textId="1DFAAC0B" w:rsidR="00E42B18" w:rsidRDefault="009629C4">
            <w:pPr>
              <w:pStyle w:val="P68B1DB1-Normal11"/>
              <w:spacing w:line="276" w:lineRule="auto"/>
              <w:rPr>
                <w:noProof/>
                <w:szCs w:val="20"/>
              </w:rPr>
            </w:pPr>
            <w:r>
              <w:rPr>
                <w:noProof/>
              </w:rPr>
              <w:t>—Laitonta vedenottoa koskevan seuraamusjärjestelmän perustaminen</w:t>
            </w:r>
          </w:p>
          <w:p w14:paraId="3933FA5D" w14:textId="77777777" w:rsidR="00E42B18" w:rsidRDefault="009629C4">
            <w:pPr>
              <w:pStyle w:val="P68B1DB1-Normal11"/>
              <w:spacing w:line="276" w:lineRule="auto"/>
              <w:rPr>
                <w:noProof/>
                <w:szCs w:val="20"/>
              </w:rPr>
            </w:pPr>
            <w:r>
              <w:rPr>
                <w:noProof/>
              </w:rPr>
              <w:t>Edellytetään vesipuitedirektiivin 4 artiklan 7 kohdan mukaista vaikutustenarviointia, jotta voidaan arvioida (mahdollisesti kumulatiivisia) vaikutuksia kaikkiin vesimuodostumiin, joihin vaikutukset voivat kohdistua.</w:t>
            </w:r>
          </w:p>
          <w:p w14:paraId="1A18A392" w14:textId="34A6DBB1" w:rsidR="00E42B18" w:rsidRDefault="009629C4">
            <w:pPr>
              <w:pStyle w:val="P68B1DB1-Normal11"/>
              <w:spacing w:line="276" w:lineRule="auto"/>
              <w:rPr>
                <w:noProof/>
                <w:szCs w:val="20"/>
              </w:rPr>
            </w:pPr>
            <w:r>
              <w:rPr>
                <w:noProof/>
              </w:rPr>
              <w:t>—Varmistaa, että nykyistä kastelujärjestelmää ei laajenneta (myös lisäämällä veden käyttöä eli ei pelkästään lisäämällä fyysistä laajenemista) jopa tehokkaampien menetelmien avulla, jos kyseisten vesimuodostumien (pinta- tai pohjavesien) tila on tai sen ennustetaan olevan (ilmastonmuutoksen voimistuessa) huonompi tai mahdollisesti hyvä.</w:t>
            </w:r>
          </w:p>
        </w:tc>
      </w:tr>
      <w:tr w:rsidR="00E42B18" w14:paraId="006AC47F"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6393B5E8" w14:textId="77777777" w:rsidR="00E42B18" w:rsidRDefault="009629C4">
            <w:pPr>
              <w:pStyle w:val="P68B1DB1-Normal11"/>
              <w:spacing w:line="276" w:lineRule="auto"/>
              <w:jc w:val="center"/>
              <w:rPr>
                <w:noProof/>
                <w:szCs w:val="20"/>
              </w:rPr>
            </w:pPr>
            <w:r>
              <w:rPr>
                <w:noProof/>
              </w:rPr>
              <w:t>M2C4–5</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34B67B38" w14:textId="77777777" w:rsidR="00E42B18" w:rsidRDefault="009629C4">
            <w:pPr>
              <w:pStyle w:val="P68B1DB1-Normal11"/>
              <w:spacing w:line="276" w:lineRule="auto"/>
              <w:jc w:val="center"/>
              <w:rPr>
                <w:noProof/>
                <w:szCs w:val="20"/>
              </w:rPr>
            </w:pPr>
            <w:r>
              <w:rPr>
                <w:noProof/>
              </w:rPr>
              <w:t>Investointi 3.2: Kansallispuistojen digitalisointi</w:t>
            </w:r>
          </w:p>
        </w:tc>
        <w:tc>
          <w:tcPr>
            <w:tcW w:w="1266" w:type="dxa"/>
            <w:tcBorders>
              <w:top w:val="nil"/>
              <w:left w:val="nil"/>
              <w:bottom w:val="single" w:sz="4" w:space="0" w:color="auto"/>
              <w:right w:val="single" w:sz="4" w:space="0" w:color="auto"/>
            </w:tcBorders>
            <w:shd w:val="clear" w:color="auto" w:fill="C6EFCE"/>
            <w:noWrap/>
            <w:vAlign w:val="center"/>
            <w:hideMark/>
          </w:tcPr>
          <w:p w14:paraId="57A1E96F" w14:textId="77777777" w:rsidR="00E42B18" w:rsidRDefault="009629C4">
            <w:pPr>
              <w:pStyle w:val="P68B1DB1-Normal11"/>
              <w:spacing w:line="276" w:lineRule="auto"/>
              <w:jc w:val="center"/>
              <w:rPr>
                <w:noProof/>
                <w:szCs w:val="20"/>
              </w:rPr>
            </w:pPr>
            <w:r>
              <w:rPr>
                <w:noProof/>
              </w:rPr>
              <w:t>Virstanpylväs</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9853C36" w14:textId="77777777" w:rsidR="00E42B18" w:rsidRDefault="009629C4">
            <w:pPr>
              <w:pStyle w:val="P68B1DB1-Normal11"/>
              <w:spacing w:line="276" w:lineRule="auto"/>
              <w:jc w:val="center"/>
              <w:rPr>
                <w:noProof/>
                <w:szCs w:val="20"/>
              </w:rPr>
            </w:pPr>
            <w:r>
              <w:rPr>
                <w:noProof/>
              </w:rPr>
              <w:t>Kansallispuistojen ja suojeltujen merialueiden vierailijoille tarkoitettujen digitaalisten palvelujen hallinnollisen yksinkertaistamisen ja kehittämisen voimaantulo</w:t>
            </w:r>
          </w:p>
        </w:tc>
        <w:tc>
          <w:tcPr>
            <w:tcW w:w="1414" w:type="dxa"/>
            <w:tcBorders>
              <w:top w:val="nil"/>
              <w:left w:val="nil"/>
              <w:bottom w:val="single" w:sz="4" w:space="0" w:color="auto"/>
              <w:right w:val="single" w:sz="4" w:space="0" w:color="auto"/>
            </w:tcBorders>
            <w:shd w:val="clear" w:color="auto" w:fill="C6EFCE"/>
            <w:noWrap/>
            <w:vAlign w:val="center"/>
            <w:hideMark/>
          </w:tcPr>
          <w:p w14:paraId="0763CB3F" w14:textId="0046E9E6" w:rsidR="00E42B18" w:rsidRDefault="009629C4">
            <w:pPr>
              <w:pStyle w:val="P68B1DB1-Normal11"/>
              <w:spacing w:line="276" w:lineRule="auto"/>
              <w:jc w:val="center"/>
              <w:rPr>
                <w:noProof/>
                <w:szCs w:val="20"/>
              </w:rPr>
            </w:pPr>
            <w:r>
              <w:rPr>
                <w:noProof/>
              </w:rPr>
              <w:t>Ministeriön asetuksen voimaantuloa koskeva säännös</w:t>
            </w:r>
          </w:p>
        </w:tc>
        <w:tc>
          <w:tcPr>
            <w:tcW w:w="1410" w:type="dxa"/>
            <w:tcBorders>
              <w:top w:val="nil"/>
              <w:left w:val="nil"/>
              <w:bottom w:val="single" w:sz="4" w:space="0" w:color="auto"/>
              <w:right w:val="single" w:sz="4" w:space="0" w:color="auto"/>
            </w:tcBorders>
            <w:shd w:val="clear" w:color="auto" w:fill="C6EFCE"/>
            <w:noWrap/>
            <w:vAlign w:val="center"/>
            <w:hideMark/>
          </w:tcPr>
          <w:p w14:paraId="1A78EB75" w14:textId="77777777" w:rsidR="00E42B18" w:rsidRDefault="009629C4">
            <w:pPr>
              <w:pStyle w:val="P68B1DB1-Normal11"/>
              <w:spacing w:line="276" w:lineRule="auto"/>
              <w:jc w:val="center"/>
              <w:rPr>
                <w:noProof/>
                <w:szCs w:val="20"/>
              </w:rPr>
            </w:pPr>
            <w:r>
              <w:rPr>
                <w:noProof/>
              </w:rPr>
              <w:t>EI OLE</w:t>
            </w:r>
          </w:p>
        </w:tc>
        <w:tc>
          <w:tcPr>
            <w:tcW w:w="1047" w:type="dxa"/>
            <w:tcBorders>
              <w:top w:val="nil"/>
              <w:left w:val="nil"/>
              <w:bottom w:val="single" w:sz="4" w:space="0" w:color="auto"/>
              <w:right w:val="single" w:sz="4" w:space="0" w:color="auto"/>
            </w:tcBorders>
            <w:shd w:val="clear" w:color="auto" w:fill="C6EFCE"/>
            <w:noWrap/>
            <w:vAlign w:val="center"/>
            <w:hideMark/>
          </w:tcPr>
          <w:p w14:paraId="2BEDAA7E" w14:textId="77777777" w:rsidR="00E42B18" w:rsidRDefault="009629C4">
            <w:pPr>
              <w:pStyle w:val="P68B1DB1-Normal11"/>
              <w:spacing w:line="276" w:lineRule="auto"/>
              <w:jc w:val="center"/>
              <w:rPr>
                <w:noProof/>
                <w:szCs w:val="20"/>
              </w:rPr>
            </w:pPr>
            <w:r>
              <w:rPr>
                <w:noProof/>
              </w:rPr>
              <w:t>EI OLE</w:t>
            </w:r>
          </w:p>
        </w:tc>
        <w:tc>
          <w:tcPr>
            <w:tcW w:w="719" w:type="dxa"/>
            <w:tcBorders>
              <w:top w:val="nil"/>
              <w:left w:val="nil"/>
              <w:bottom w:val="single" w:sz="4" w:space="0" w:color="auto"/>
              <w:right w:val="single" w:sz="4" w:space="0" w:color="auto"/>
            </w:tcBorders>
            <w:shd w:val="clear" w:color="auto" w:fill="C6EFCE"/>
            <w:noWrap/>
            <w:vAlign w:val="center"/>
            <w:hideMark/>
          </w:tcPr>
          <w:p w14:paraId="57B26615" w14:textId="77777777" w:rsidR="00E42B18" w:rsidRDefault="009629C4">
            <w:pPr>
              <w:pStyle w:val="P68B1DB1-Normal11"/>
              <w:spacing w:line="276" w:lineRule="auto"/>
              <w:jc w:val="center"/>
              <w:rPr>
                <w:noProof/>
                <w:szCs w:val="20"/>
              </w:rPr>
            </w:pPr>
            <w:r>
              <w:rPr>
                <w:noProof/>
              </w:rPr>
              <w:t>EI OLE</w:t>
            </w:r>
          </w:p>
        </w:tc>
        <w:tc>
          <w:tcPr>
            <w:tcW w:w="809" w:type="dxa"/>
            <w:tcBorders>
              <w:top w:val="nil"/>
              <w:left w:val="nil"/>
              <w:bottom w:val="single" w:sz="4" w:space="0" w:color="auto"/>
              <w:right w:val="single" w:sz="4" w:space="0" w:color="auto"/>
            </w:tcBorders>
            <w:shd w:val="clear" w:color="auto" w:fill="C6EFCE"/>
            <w:noWrap/>
            <w:vAlign w:val="center"/>
            <w:hideMark/>
          </w:tcPr>
          <w:p w14:paraId="72032A50" w14:textId="77777777" w:rsidR="00E42B18" w:rsidRDefault="009629C4">
            <w:pPr>
              <w:pStyle w:val="P68B1DB1-Normal11"/>
              <w:spacing w:line="276" w:lineRule="auto"/>
              <w:jc w:val="center"/>
              <w:rPr>
                <w:noProof/>
                <w:szCs w:val="20"/>
              </w:rPr>
            </w:pPr>
            <w:r>
              <w:rPr>
                <w:noProof/>
              </w:rPr>
              <w:t>Q1</w:t>
            </w:r>
          </w:p>
        </w:tc>
        <w:tc>
          <w:tcPr>
            <w:tcW w:w="794" w:type="dxa"/>
            <w:tcBorders>
              <w:top w:val="nil"/>
              <w:left w:val="nil"/>
              <w:bottom w:val="single" w:sz="4" w:space="0" w:color="auto"/>
              <w:right w:val="single" w:sz="4" w:space="0" w:color="auto"/>
            </w:tcBorders>
            <w:shd w:val="clear" w:color="auto" w:fill="C6EFCE"/>
            <w:noWrap/>
            <w:vAlign w:val="center"/>
            <w:hideMark/>
          </w:tcPr>
          <w:p w14:paraId="7E7B3479" w14:textId="77777777" w:rsidR="00E42B18" w:rsidRDefault="009629C4">
            <w:pPr>
              <w:pStyle w:val="P68B1DB1-Normal11"/>
              <w:spacing w:line="276" w:lineRule="auto"/>
              <w:jc w:val="center"/>
              <w:rPr>
                <w:noProof/>
                <w:szCs w:val="20"/>
              </w:rPr>
            </w:pPr>
            <w:r>
              <w:rPr>
                <w:noProof/>
              </w:rPr>
              <w:t>2022</w:t>
            </w:r>
          </w:p>
        </w:tc>
        <w:tc>
          <w:tcPr>
            <w:tcW w:w="2799" w:type="dxa"/>
            <w:tcBorders>
              <w:top w:val="nil"/>
              <w:left w:val="nil"/>
              <w:bottom w:val="single" w:sz="4" w:space="0" w:color="auto"/>
              <w:right w:val="single" w:sz="4" w:space="0" w:color="auto"/>
            </w:tcBorders>
            <w:shd w:val="clear" w:color="auto" w:fill="C6EFCE"/>
            <w:noWrap/>
            <w:vAlign w:val="center"/>
            <w:hideMark/>
          </w:tcPr>
          <w:p w14:paraId="5798F812" w14:textId="4CD20637" w:rsidR="00E42B18" w:rsidRDefault="009629C4">
            <w:pPr>
              <w:pStyle w:val="P68B1DB1-Normal11"/>
              <w:spacing w:line="276" w:lineRule="auto"/>
              <w:rPr>
                <w:noProof/>
                <w:szCs w:val="20"/>
              </w:rPr>
            </w:pPr>
            <w:r>
              <w:rPr>
                <w:noProof/>
              </w:rPr>
              <w:t>Ministeriön asetuksella annetaan valtuudet kehittää digitaalisia palveluja kansallispuistojen ja suojeltujen merialueiden vierailijoille.</w:t>
            </w:r>
          </w:p>
          <w:p w14:paraId="2271BCF5" w14:textId="77777777" w:rsidR="00E42B18" w:rsidRDefault="00E42B18">
            <w:pPr>
              <w:spacing w:line="276" w:lineRule="auto"/>
              <w:rPr>
                <w:rFonts w:ascii="Arial Narrow" w:hAnsi="Arial Narrow"/>
                <w:noProof/>
                <w:color w:val="006100"/>
                <w:sz w:val="20"/>
                <w:szCs w:val="20"/>
              </w:rPr>
            </w:pPr>
          </w:p>
        </w:tc>
      </w:tr>
      <w:tr w:rsidR="00E42B18" w14:paraId="13D75684"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32BFD37D" w14:textId="77777777" w:rsidR="00E42B18" w:rsidRDefault="009629C4">
            <w:pPr>
              <w:pStyle w:val="P68B1DB1-Normal11"/>
              <w:spacing w:line="276" w:lineRule="auto"/>
              <w:jc w:val="center"/>
              <w:rPr>
                <w:noProof/>
              </w:rPr>
            </w:pPr>
            <w:r>
              <w:rPr>
                <w:noProof/>
              </w:rPr>
              <w:t>M2C4–32</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04213ECD" w14:textId="77777777" w:rsidR="00E42B18" w:rsidRDefault="009629C4">
            <w:pPr>
              <w:pStyle w:val="P68B1DB1-Normal11"/>
              <w:spacing w:line="276" w:lineRule="auto"/>
              <w:jc w:val="center"/>
              <w:rPr>
                <w:noProof/>
              </w:rPr>
            </w:pPr>
            <w:r>
              <w:rPr>
                <w:noProof/>
              </w:rPr>
              <w:t>Investointi 4.2. Vedenjakeluverkkojen hävikin vähentäminen, mukaan lukien verkkojen digitalisointi ja seuranta</w:t>
            </w:r>
          </w:p>
        </w:tc>
        <w:tc>
          <w:tcPr>
            <w:tcW w:w="1266" w:type="dxa"/>
            <w:tcBorders>
              <w:top w:val="nil"/>
              <w:left w:val="nil"/>
              <w:bottom w:val="single" w:sz="4" w:space="0" w:color="auto"/>
              <w:right w:val="single" w:sz="4" w:space="0" w:color="auto"/>
            </w:tcBorders>
            <w:shd w:val="clear" w:color="auto" w:fill="C6EFCE"/>
            <w:noWrap/>
            <w:vAlign w:val="center"/>
            <w:hideMark/>
          </w:tcPr>
          <w:p w14:paraId="0A72F087" w14:textId="77777777" w:rsidR="00E42B18" w:rsidRDefault="009629C4">
            <w:pPr>
              <w:pStyle w:val="P68B1DB1-Normal11"/>
              <w:spacing w:line="276" w:lineRule="auto"/>
              <w:jc w:val="center"/>
              <w:rPr>
                <w:noProof/>
              </w:rPr>
            </w:pPr>
            <w:r>
              <w:rPr>
                <w:noProof/>
              </w:rPr>
              <w:t>Kohde</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6822B67" w14:textId="77777777" w:rsidR="00E42B18" w:rsidRDefault="009629C4">
            <w:pPr>
              <w:pStyle w:val="P68B1DB1-Normal11"/>
              <w:spacing w:line="276" w:lineRule="auto"/>
              <w:jc w:val="center"/>
              <w:rPr>
                <w:noProof/>
              </w:rPr>
            </w:pPr>
            <w:r>
              <w:rPr>
                <w:noProof/>
              </w:rPr>
              <w:t>Vedenjakeluverkkoihin liittyvät toimet, mukaan lukien T2-verkkojen digitalisointi ja seuranta</w:t>
            </w:r>
          </w:p>
        </w:tc>
        <w:tc>
          <w:tcPr>
            <w:tcW w:w="1414" w:type="dxa"/>
            <w:tcBorders>
              <w:top w:val="nil"/>
              <w:left w:val="nil"/>
              <w:bottom w:val="single" w:sz="4" w:space="0" w:color="auto"/>
              <w:right w:val="single" w:sz="4" w:space="0" w:color="auto"/>
            </w:tcBorders>
            <w:shd w:val="clear" w:color="auto" w:fill="C6EFCE"/>
            <w:noWrap/>
            <w:vAlign w:val="center"/>
            <w:hideMark/>
          </w:tcPr>
          <w:p w14:paraId="7AC80FBE" w14:textId="77777777" w:rsidR="00E42B18" w:rsidRDefault="009629C4">
            <w:pPr>
              <w:pStyle w:val="P68B1DB1-Normal11"/>
              <w:spacing w:line="276" w:lineRule="auto"/>
              <w:jc w:val="center"/>
              <w:rPr>
                <w:noProof/>
              </w:rPr>
            </w:pPr>
            <w:r>
              <w:rPr>
                <w:noProof/>
              </w:rPr>
              <w:t>EI OLE</w:t>
            </w:r>
          </w:p>
        </w:tc>
        <w:tc>
          <w:tcPr>
            <w:tcW w:w="1410" w:type="dxa"/>
            <w:tcBorders>
              <w:top w:val="nil"/>
              <w:left w:val="nil"/>
              <w:bottom w:val="single" w:sz="4" w:space="0" w:color="auto"/>
              <w:right w:val="single" w:sz="4" w:space="0" w:color="auto"/>
            </w:tcBorders>
            <w:shd w:val="clear" w:color="auto" w:fill="C6EFCE"/>
            <w:noWrap/>
            <w:vAlign w:val="center"/>
            <w:hideMark/>
          </w:tcPr>
          <w:p w14:paraId="6810D9A4" w14:textId="77777777" w:rsidR="00E42B18" w:rsidRDefault="009629C4">
            <w:pPr>
              <w:pStyle w:val="P68B1DB1-Normal11"/>
              <w:spacing w:line="276" w:lineRule="auto"/>
              <w:jc w:val="center"/>
              <w:rPr>
                <w:noProof/>
              </w:rPr>
            </w:pPr>
            <w:r>
              <w:rPr>
                <w:noProof/>
              </w:rPr>
              <w:t>Numero</w:t>
            </w:r>
          </w:p>
        </w:tc>
        <w:tc>
          <w:tcPr>
            <w:tcW w:w="1047" w:type="dxa"/>
            <w:tcBorders>
              <w:top w:val="nil"/>
              <w:left w:val="nil"/>
              <w:bottom w:val="single" w:sz="4" w:space="0" w:color="auto"/>
              <w:right w:val="single" w:sz="4" w:space="0" w:color="auto"/>
            </w:tcBorders>
            <w:shd w:val="clear" w:color="auto" w:fill="C6EFCE"/>
            <w:noWrap/>
            <w:vAlign w:val="center"/>
            <w:hideMark/>
          </w:tcPr>
          <w:p w14:paraId="697A5EE3" w14:textId="77777777" w:rsidR="00E42B18" w:rsidRDefault="009629C4">
            <w:pPr>
              <w:pStyle w:val="P68B1DB1-Normal11"/>
              <w:spacing w:line="276" w:lineRule="auto"/>
              <w:jc w:val="center"/>
              <w:rPr>
                <w:noProof/>
              </w:rPr>
            </w:pPr>
            <w:r>
              <w:rPr>
                <w:noProof/>
              </w:rPr>
              <w:t>14 000</w:t>
            </w:r>
          </w:p>
        </w:tc>
        <w:tc>
          <w:tcPr>
            <w:tcW w:w="719" w:type="dxa"/>
            <w:tcBorders>
              <w:top w:val="nil"/>
              <w:left w:val="nil"/>
              <w:bottom w:val="single" w:sz="4" w:space="0" w:color="auto"/>
              <w:right w:val="single" w:sz="4" w:space="0" w:color="auto"/>
            </w:tcBorders>
            <w:shd w:val="clear" w:color="auto" w:fill="C6EFCE"/>
            <w:noWrap/>
            <w:vAlign w:val="center"/>
            <w:hideMark/>
          </w:tcPr>
          <w:p w14:paraId="16972367" w14:textId="77777777" w:rsidR="00E42B18" w:rsidRDefault="009629C4">
            <w:pPr>
              <w:pStyle w:val="P68B1DB1-Normal11"/>
              <w:spacing w:line="276" w:lineRule="auto"/>
              <w:jc w:val="center"/>
              <w:rPr>
                <w:noProof/>
              </w:rPr>
            </w:pPr>
            <w:r>
              <w:rPr>
                <w:noProof/>
              </w:rPr>
              <w:t>45 000</w:t>
            </w:r>
          </w:p>
        </w:tc>
        <w:tc>
          <w:tcPr>
            <w:tcW w:w="809" w:type="dxa"/>
            <w:tcBorders>
              <w:top w:val="nil"/>
              <w:left w:val="nil"/>
              <w:bottom w:val="single" w:sz="4" w:space="0" w:color="auto"/>
              <w:right w:val="single" w:sz="4" w:space="0" w:color="auto"/>
            </w:tcBorders>
            <w:shd w:val="clear" w:color="auto" w:fill="C6EFCE"/>
            <w:noWrap/>
            <w:vAlign w:val="center"/>
            <w:hideMark/>
          </w:tcPr>
          <w:p w14:paraId="3F35E057" w14:textId="77777777" w:rsidR="00E42B18" w:rsidRDefault="009629C4">
            <w:pPr>
              <w:pStyle w:val="P68B1DB1-Normal11"/>
              <w:spacing w:line="276" w:lineRule="auto"/>
              <w:jc w:val="center"/>
              <w:rPr>
                <w:noProof/>
              </w:rPr>
            </w:pPr>
            <w:r>
              <w:rPr>
                <w:noProof/>
              </w:rPr>
              <w:t>Q4</w:t>
            </w:r>
          </w:p>
        </w:tc>
        <w:tc>
          <w:tcPr>
            <w:tcW w:w="794" w:type="dxa"/>
            <w:tcBorders>
              <w:top w:val="nil"/>
              <w:left w:val="nil"/>
              <w:bottom w:val="single" w:sz="4" w:space="0" w:color="auto"/>
              <w:right w:val="single" w:sz="4" w:space="0" w:color="auto"/>
            </w:tcBorders>
            <w:shd w:val="clear" w:color="auto" w:fill="C6EFCE"/>
            <w:noWrap/>
            <w:vAlign w:val="center"/>
            <w:hideMark/>
          </w:tcPr>
          <w:p w14:paraId="10EC2CBF" w14:textId="77777777" w:rsidR="00E42B18" w:rsidRDefault="009629C4">
            <w:pPr>
              <w:pStyle w:val="P68B1DB1-Normal11"/>
              <w:spacing w:line="276" w:lineRule="auto"/>
              <w:jc w:val="center"/>
              <w:rPr>
                <w:noProof/>
              </w:rPr>
            </w:pPr>
            <w:r>
              <w:rPr>
                <w:noProof/>
              </w:rPr>
              <w:t>2025</w:t>
            </w:r>
          </w:p>
        </w:tc>
        <w:tc>
          <w:tcPr>
            <w:tcW w:w="2799" w:type="dxa"/>
            <w:tcBorders>
              <w:top w:val="nil"/>
              <w:left w:val="nil"/>
              <w:bottom w:val="single" w:sz="4" w:space="0" w:color="auto"/>
              <w:right w:val="single" w:sz="4" w:space="0" w:color="auto"/>
            </w:tcBorders>
            <w:shd w:val="clear" w:color="auto" w:fill="C6EFCE"/>
            <w:noWrap/>
            <w:vAlign w:val="center"/>
            <w:hideMark/>
          </w:tcPr>
          <w:p w14:paraId="4F7D4545" w14:textId="77777777" w:rsidR="00E42B18" w:rsidRDefault="009629C4">
            <w:pPr>
              <w:pStyle w:val="P68B1DB1-Normal11"/>
              <w:spacing w:line="276" w:lineRule="auto"/>
              <w:rPr>
                <w:noProof/>
              </w:rPr>
            </w:pPr>
            <w:r>
              <w:rPr>
                <w:noProof/>
              </w:rPr>
              <w:t>Vähintään 45000 kilometriä vesiverkostoa</w:t>
            </w:r>
          </w:p>
        </w:tc>
      </w:tr>
    </w:tbl>
    <w:p w14:paraId="1B00E62D" w14:textId="77777777" w:rsidR="00E42B18" w:rsidRDefault="00E42B18">
      <w:pPr>
        <w:spacing w:before="120" w:after="120"/>
        <w:ind w:left="709"/>
        <w:jc w:val="both"/>
        <w:rPr>
          <w:noProof/>
        </w:rPr>
      </w:pPr>
    </w:p>
    <w:p w14:paraId="0C8AFC02" w14:textId="77777777" w:rsidR="00E42B18" w:rsidRDefault="00E42B18">
      <w:pPr>
        <w:spacing w:before="120" w:after="120"/>
        <w:ind w:left="709"/>
        <w:jc w:val="both"/>
        <w:rPr>
          <w:noProof/>
        </w:rPr>
        <w:sectPr w:rsidR="00E42B18" w:rsidSect="005F11B9">
          <w:headerReference w:type="even" r:id="rId122"/>
          <w:headerReference w:type="default" r:id="rId123"/>
          <w:footerReference w:type="even" r:id="rId124"/>
          <w:footerReference w:type="default" r:id="rId125"/>
          <w:headerReference w:type="first" r:id="rId126"/>
          <w:footerReference w:type="first" r:id="rId127"/>
          <w:pgSz w:w="16838" w:h="11906" w:orient="landscape" w:code="9"/>
          <w:pgMar w:top="1134" w:right="1134" w:bottom="1134" w:left="1134" w:header="567" w:footer="567" w:gutter="0"/>
          <w:cols w:space="720"/>
          <w:docGrid w:linePitch="360"/>
        </w:sectPr>
      </w:pPr>
    </w:p>
    <w:p w14:paraId="4AF2856C" w14:textId="77777777" w:rsidR="00E42B18" w:rsidRDefault="009629C4">
      <w:pPr>
        <w:pStyle w:val="P68B1DB1-Heading39"/>
        <w:ind w:left="850" w:hanging="850"/>
        <w:rPr>
          <w:b/>
          <w:bCs/>
          <w:i/>
          <w:iCs/>
          <w:noProof/>
          <w:color w:val="156082" w:themeColor="accent1"/>
          <w:u w:val="single"/>
        </w:rPr>
      </w:pPr>
      <w:r>
        <w:rPr>
          <w:b/>
          <w:noProof/>
          <w:u w:val="single"/>
        </w:rPr>
        <w:t xml:space="preserve">G.3 </w:t>
      </w:r>
      <w:r>
        <w:rPr>
          <w:noProof/>
        </w:rPr>
        <w:t xml:space="preserve"> </w:t>
      </w:r>
      <w:r>
        <w:rPr>
          <w:b/>
          <w:noProof/>
          <w:u w:val="single"/>
        </w:rPr>
        <w:t xml:space="preserve">Kuvaus lainamuotoisella tuella rahoitettavista uudistuksista ja investoinneista </w:t>
      </w:r>
    </w:p>
    <w:p w14:paraId="54F55444" w14:textId="77777777" w:rsidR="00E42B18" w:rsidRDefault="009629C4">
      <w:pPr>
        <w:pStyle w:val="P68B1DB1-Normal5"/>
        <w:spacing w:before="120" w:after="120" w:line="257" w:lineRule="auto"/>
        <w:jc w:val="both"/>
        <w:rPr>
          <w:noProof/>
        </w:rPr>
      </w:pPr>
      <w:r>
        <w:rPr>
          <w:noProof/>
        </w:rPr>
        <w:t xml:space="preserve">Uudistus 3.1 Ilman pilaantumisen valvontaa koskevien kansallisten ohjelmien hyväksyminen </w:t>
      </w:r>
    </w:p>
    <w:p w14:paraId="62AE968F" w14:textId="77777777" w:rsidR="00E42B18" w:rsidRDefault="009629C4">
      <w:pPr>
        <w:pStyle w:val="P68B1DB1-Normal7"/>
        <w:spacing w:before="120" w:after="120"/>
        <w:jc w:val="both"/>
        <w:rPr>
          <w:noProof/>
        </w:rPr>
      </w:pPr>
      <w:r>
        <w:rPr>
          <w:noProof/>
        </w:rPr>
        <w:t>Uudistuksella pyritään yhdenmukaistamaan kansallista ja alueellista lainsäädäntöä ja ottamaan käyttöön siihen liittyviä toimenpiteitä ilman epäpuhtauksien päästöjen vähentämiseksi (kansallisista päästörajoista ja ilmastokaasujen muuttamisesta annetussa direktiivissä 2016/2284 asetettujen tavoitteiden mukaisesti).</w:t>
      </w:r>
    </w:p>
    <w:p w14:paraId="5ED2CE54" w14:textId="77777777" w:rsidR="00E42B18" w:rsidRDefault="009629C4">
      <w:pPr>
        <w:pStyle w:val="P68B1DB1-Normal5"/>
        <w:spacing w:before="120" w:after="120" w:line="257" w:lineRule="auto"/>
        <w:jc w:val="both"/>
        <w:rPr>
          <w:bCs/>
          <w:noProof/>
        </w:rPr>
      </w:pPr>
      <w:r>
        <w:rPr>
          <w:noProof/>
        </w:rPr>
        <w:t>Investointi 1.1: Kehittyneen ja integroidun seuranta- ja ennustejärjestelmän täytäntöönpano</w:t>
      </w:r>
    </w:p>
    <w:p w14:paraId="5842594F" w14:textId="3B87D2CE" w:rsidR="00E42B18" w:rsidRDefault="009629C4">
      <w:pPr>
        <w:pStyle w:val="P68B1DB1-Normal7"/>
        <w:spacing w:before="120" w:after="120"/>
        <w:jc w:val="both"/>
        <w:rPr>
          <w:noProof/>
        </w:rPr>
      </w:pPr>
      <w:r>
        <w:rPr>
          <w:noProof/>
        </w:rPr>
        <w:t>Tämän investoinnin tavoitteena on tunnistaa ja ennustaa ilmastonmuutoksen vaikutuksista ja riittämättömästä aluesuunnittelusta aiheutuvat riskit sekä tarjota tietoa riskienehkäisysuunnitelmia varten. Investointi koostuu sellaisen seurantajärjestelmän perustamisesta, joka mahdollistaa suurten alueiden kaukovalvonnan ja jätteiden laittoman loppukäsittelyn tunnistamisen.</w:t>
      </w:r>
    </w:p>
    <w:p w14:paraId="04692204" w14:textId="77777777" w:rsidR="00E42B18" w:rsidRDefault="009629C4">
      <w:pPr>
        <w:pStyle w:val="P68B1DB1-Normal5"/>
        <w:spacing w:before="120" w:after="120" w:line="257" w:lineRule="auto"/>
        <w:jc w:val="both"/>
        <w:rPr>
          <w:bCs/>
          <w:noProof/>
        </w:rPr>
      </w:pPr>
      <w:r>
        <w:rPr>
          <w:noProof/>
        </w:rPr>
        <w:t>Investointi 2.1: Toimenpiteet tulvariskien ja hydrogeologisten riskien vähentämiseksi</w:t>
      </w:r>
    </w:p>
    <w:p w14:paraId="59DBF6AD" w14:textId="14513EE2" w:rsidR="00E42B18" w:rsidRDefault="009629C4">
      <w:pPr>
        <w:pStyle w:val="P68B1DB1-Normal7"/>
        <w:spacing w:after="120"/>
        <w:jc w:val="both"/>
        <w:rPr>
          <w:noProof/>
        </w:rPr>
      </w:pPr>
      <w:r>
        <w:rPr>
          <w:noProof/>
        </w:rPr>
        <w:t xml:space="preserve">Tämän toimenpiteen tavoitteena on puuttua hydrogeologiseen epävakauteen Italian alueella. Toimenpide koostuu kahdesta toimintalinjasta: </w:t>
      </w:r>
      <w:r>
        <w:rPr>
          <w:i/>
          <w:noProof/>
        </w:rPr>
        <w:t>Protezione Civile ja toukokuun</w:t>
      </w:r>
      <w:r>
        <w:rPr>
          <w:noProof/>
        </w:rPr>
        <w:t xml:space="preserve"> 2023 tulvien koettelemien Emilia Romagnan, Toscanan ja Marchen alueiden jälleenrakentamista koskevasta hätätilanteesta</w:t>
      </w:r>
      <w:r>
        <w:rPr>
          <w:i/>
          <w:noProof/>
        </w:rPr>
        <w:t xml:space="preserve"> </w:t>
      </w:r>
      <w:r>
        <w:rPr>
          <w:noProof/>
        </w:rPr>
        <w:t>vastaava komission jäsen</w:t>
      </w:r>
      <w:r>
        <w:rPr>
          <w:i/>
          <w:noProof/>
        </w:rPr>
        <w:t xml:space="preserve"> (Commissario per la ricostruzione nel territorio della regione Emilia Romagna, Toscana e Marche)</w:t>
      </w:r>
      <w:r>
        <w:rPr>
          <w:noProof/>
        </w:rPr>
        <w:t xml:space="preserve"> vastuullisena hallinnona: ensimmäinen toimintalinja koskee joukkoa toimia, joilla palautetaan vahingoittuneet julkiset rakenteet ja infrastruktuurit (E-tyypin toimet) ja vähennetään tapahtumaan läheisesti liittyvää jäännösriskiä ja joiden ensisijaisena tavoitteena on suojella julkista ja yksityistä turvallisuutta (D-tyypin toimet); toinen toimintalinja koskee toimia vesiväylien ennallistamiseksi ja tulvilta ja maanvyöryiltä suojelun lisäämiseksi sekä liikenneverkon kunnostamista toukokuun 2023 tulvista kärsivillä alueilla.</w:t>
      </w:r>
    </w:p>
    <w:p w14:paraId="66933458" w14:textId="77777777" w:rsidR="00E42B18" w:rsidRDefault="009629C4">
      <w:pPr>
        <w:pStyle w:val="P68B1DB1-Normal5"/>
        <w:spacing w:before="120" w:after="120" w:line="257" w:lineRule="auto"/>
        <w:jc w:val="both"/>
        <w:rPr>
          <w:bCs/>
          <w:noProof/>
        </w:rPr>
      </w:pPr>
      <w:r>
        <w:rPr>
          <w:noProof/>
        </w:rPr>
        <w:t xml:space="preserve">Investointi 3.1: Kaupunkien ja niiden lähialueiden metsien suojelu ja parantaminen </w:t>
      </w:r>
    </w:p>
    <w:p w14:paraId="384C0A95" w14:textId="0BE62598" w:rsidR="00E42B18" w:rsidRDefault="009629C4">
      <w:pPr>
        <w:pStyle w:val="P68B1DB1-Normal7"/>
        <w:spacing w:before="120" w:after="120"/>
        <w:jc w:val="both"/>
        <w:rPr>
          <w:noProof/>
        </w:rPr>
      </w:pPr>
      <w:r>
        <w:rPr>
          <w:noProof/>
        </w:rPr>
        <w:t>Tämän toimenpiteen tavoitteena on suojella viheralueita ja lisätä niiden määrää biologisen monimuotoisuuden säilyttämiseksi ja parantamiseksi sekä näiden alueiden asukkaiden elämänlaadun parantamiseksi. Toimenpiteeseen kuuluu metsänviljelyaineiston (siementen tai kasvien) istuttaminen vähintään 4500000 puulle ja pensaille (4500 hehtaarilla), joista vähintään 3,5 miljoonaa puuta on siirretty lopulliseen määräpaikkaansa Italian 14 suurkaupunkikaupungissa.</w:t>
      </w:r>
    </w:p>
    <w:p w14:paraId="583EBE35" w14:textId="77777777" w:rsidR="00E42B18" w:rsidRDefault="009629C4">
      <w:pPr>
        <w:pStyle w:val="P68B1DB1-Times1276"/>
        <w:rPr>
          <w:noProof/>
        </w:rPr>
      </w:pPr>
      <w:r>
        <w:rPr>
          <w:noProof/>
        </w:rPr>
        <w:t>Investointi 3.2 – Kansallispuistojen ja suojeltujen merialueiden digitalisointi</w:t>
      </w:r>
    </w:p>
    <w:p w14:paraId="7A13ED6A" w14:textId="30454FB6" w:rsidR="00E42B18" w:rsidRDefault="009629C4">
      <w:pPr>
        <w:pStyle w:val="P68B1DB1-Times1277"/>
        <w:rPr>
          <w:noProof/>
        </w:rPr>
      </w:pPr>
      <w:r>
        <w:rPr>
          <w:noProof/>
        </w:rPr>
        <w:t>Tämän toimenpiteen tavoitteena on nykyaikaistaa ja digitalisoida kansallispuistojen ja suojeltujen merialueiden toimintaan liittyviä menettelyjä. Toimenpide koostuu vierailijoille tarjottavista digitaalisista palveluista sekä toimista luonnonsuojelun ja luonnonvarojen seurannan alalla.</w:t>
      </w:r>
    </w:p>
    <w:p w14:paraId="6987E681" w14:textId="77777777" w:rsidR="00E42B18" w:rsidRDefault="009629C4">
      <w:pPr>
        <w:pStyle w:val="P68B1DB1-Normal5"/>
        <w:spacing w:before="120" w:after="120" w:line="257" w:lineRule="auto"/>
        <w:jc w:val="both"/>
        <w:rPr>
          <w:bCs/>
          <w:noProof/>
        </w:rPr>
      </w:pPr>
      <w:r>
        <w:rPr>
          <w:noProof/>
        </w:rPr>
        <w:t>Investointi 3.3 – Po-alueen kunnostaminen</w:t>
      </w:r>
    </w:p>
    <w:p w14:paraId="1DA2CB64" w14:textId="77777777" w:rsidR="00E42B18" w:rsidRDefault="009629C4">
      <w:pPr>
        <w:pStyle w:val="P68B1DB1-Normal7"/>
        <w:spacing w:before="120" w:after="120"/>
        <w:jc w:val="both"/>
        <w:rPr>
          <w:noProof/>
        </w:rPr>
      </w:pPr>
      <w:r>
        <w:rPr>
          <w:noProof/>
        </w:rPr>
        <w:t>Tämän toimenpiteen tavoitteena on aktivoida uudelleen luonnolliset prosessit ja edistää luonnon monimuotoisuuden elpymistä Po-joen alueella. Toimenpide koostuu toimenpiteiden toteuttamisesta jokiuomien keinotekoisuuden vähentämiseksi.</w:t>
      </w:r>
    </w:p>
    <w:p w14:paraId="09617DB8" w14:textId="77777777" w:rsidR="00E42B18" w:rsidRDefault="009629C4">
      <w:pPr>
        <w:pStyle w:val="P68B1DB1-Normal5"/>
        <w:spacing w:before="120" w:after="120" w:line="257" w:lineRule="auto"/>
        <w:jc w:val="both"/>
        <w:rPr>
          <w:bCs/>
          <w:noProof/>
        </w:rPr>
      </w:pPr>
      <w:r>
        <w:rPr>
          <w:noProof/>
        </w:rPr>
        <w:t>Investointi 3.4: Isännättömien alueiden kunnostaminen</w:t>
      </w:r>
    </w:p>
    <w:p w14:paraId="7C20ACC5" w14:textId="77777777" w:rsidR="00E42B18" w:rsidRDefault="009629C4">
      <w:pPr>
        <w:pStyle w:val="P68B1DB1-Normal7"/>
        <w:spacing w:before="120" w:after="120"/>
        <w:jc w:val="both"/>
        <w:rPr>
          <w:noProof/>
        </w:rPr>
      </w:pPr>
      <w:r>
        <w:rPr>
          <w:noProof/>
        </w:rPr>
        <w:t>Tämän toimenpiteen tavoitteena on vähentää harvinaisten alueiden ympäristövaikutuksia ja edistää siten välillisesti kiertotaloutta. Investointi koostuu toimintasuunnitelman hyväksymisestä isännättömien alueiden yksilöimiseksi ja elvyttämiseksi Italian alueilla ja autonomisissa maakunnissa sekä erityistoimien toteuttamisesta niiden ennallistamiseksi.</w:t>
      </w:r>
    </w:p>
    <w:p w14:paraId="0C90F2DD" w14:textId="77777777" w:rsidR="00E42B18" w:rsidRDefault="009629C4">
      <w:pPr>
        <w:pStyle w:val="P68B1DB1-Normal5"/>
        <w:spacing w:before="120" w:after="120" w:line="257" w:lineRule="auto"/>
        <w:jc w:val="both"/>
        <w:rPr>
          <w:bCs/>
          <w:noProof/>
        </w:rPr>
      </w:pPr>
      <w:r>
        <w:rPr>
          <w:noProof/>
        </w:rPr>
        <w:t>Investointi 3.5: Merenpohjan ja merellisten luontotyyppien ennallistaminen ja suojelu</w:t>
      </w:r>
    </w:p>
    <w:p w14:paraId="2FC1ADFA" w14:textId="77777777" w:rsidR="00E42B18" w:rsidRDefault="009629C4">
      <w:pPr>
        <w:pStyle w:val="P68B1DB1-Normal7"/>
        <w:jc w:val="both"/>
        <w:rPr>
          <w:noProof/>
        </w:rPr>
      </w:pPr>
      <w:r>
        <w:rPr>
          <w:noProof/>
        </w:rPr>
        <w:t>Tämän toimenpiteen tavoitteena on edistää merenpohjan ja merellisten luontotyyppien huonontumisen suunnan kääntämistä. Toimenpiteellä tuetaan hankkeita, joilla kartoitetaan merenpohjan luontotyyppejä ja ympäristön seurantaa, suunnittelua ja laajamittaisia ennallistamis- ja suojelutoimenpiteitä, sekä parannetaan merenseuranta-alustoja.</w:t>
      </w:r>
    </w:p>
    <w:p w14:paraId="2DCA7B9B" w14:textId="77777777" w:rsidR="00E42B18" w:rsidRDefault="009629C4">
      <w:pPr>
        <w:pStyle w:val="P68B1DB1-Normal7"/>
        <w:rPr>
          <w:b/>
          <w:noProof/>
        </w:rPr>
      </w:pPr>
      <w:r>
        <w:rPr>
          <w:noProof/>
        </w:rPr>
        <w:br w:type="page"/>
      </w:r>
    </w:p>
    <w:p w14:paraId="343C114F" w14:textId="332F0473" w:rsidR="00E42B18" w:rsidRDefault="009629C4">
      <w:pPr>
        <w:pStyle w:val="P68B1DB1-Normal5"/>
        <w:spacing w:before="120" w:after="120" w:line="257" w:lineRule="auto"/>
        <w:jc w:val="both"/>
        <w:rPr>
          <w:rFonts w:eastAsia="Calibri"/>
          <w:noProof/>
        </w:rPr>
      </w:pPr>
      <w:r>
        <w:rPr>
          <w:noProof/>
        </w:rPr>
        <w:t>Uudistus 4.1 Lainsäädännön yksinkertaistaminen ja hallinnon vahvistaminen vesihuollon infrastruktuureihin tehtävien investointien toteuttamiseksi</w:t>
      </w:r>
    </w:p>
    <w:p w14:paraId="7F70D418" w14:textId="77777777" w:rsidR="00E42B18" w:rsidRDefault="009629C4">
      <w:pPr>
        <w:pStyle w:val="P68B1DB1-Paragrafoelenco178"/>
        <w:spacing w:after="120" w:line="240" w:lineRule="auto"/>
        <w:ind w:left="0"/>
        <w:jc w:val="both"/>
        <w:rPr>
          <w:iCs/>
          <w:noProof/>
        </w:rPr>
      </w:pPr>
      <w:r>
        <w:rPr>
          <w:noProof/>
        </w:rPr>
        <w:t xml:space="preserve">Nykyinen sääntelykehys ja hallinnon nykyinen hajanaisuus vaikuttavat kielteisesti valmiuksiin suunnitella ja toteuttaa investointeja vesihuoltoinfrastruktuureihin. </w:t>
      </w:r>
    </w:p>
    <w:p w14:paraId="2685991A" w14:textId="77777777" w:rsidR="00E42B18" w:rsidRDefault="009629C4">
      <w:pPr>
        <w:pStyle w:val="P68B1DB1-Normal7"/>
        <w:suppressAutoHyphens/>
        <w:jc w:val="both"/>
        <w:rPr>
          <w:noProof/>
        </w:rPr>
      </w:pPr>
      <w:r>
        <w:rPr>
          <w:noProof/>
        </w:rPr>
        <w:t>Uudistuksen tavoitteena on yksinkertaistaa ja tehostaa oikeudellista kehystä ja tarjota tarvittaessa apua täytäntöönpanoelimille, joilla ei ole riittäviä valmiuksia tehdä ja saattaa päätökseen kyseiset investoinnit alun perin asetetuissa määräajoissa.</w:t>
      </w:r>
    </w:p>
    <w:p w14:paraId="6E4F4200" w14:textId="77777777" w:rsidR="00E42B18" w:rsidRDefault="009629C4">
      <w:pPr>
        <w:pStyle w:val="P68B1DB1-Normal7"/>
        <w:suppressAutoHyphens/>
        <w:jc w:val="both"/>
        <w:rPr>
          <w:noProof/>
        </w:rPr>
      </w:pPr>
      <w:r>
        <w:rPr>
          <w:noProof/>
        </w:rPr>
        <w:t>Tärkeimmät toimenpiteet näiden tavoitteiden saavuttamiseksi ovat seuraavat: i) vesialan investointeja varten perustetaan keskitetty julkinen rahoitusväline, jolla yhdistetään nykyisin melko hajanaiset resurssit, II) yksinkertaistetaan rahoitettujen investointien raportointi- ja seurantamenettelyjä, iii) otetaan sääntelyviranomainen tiiviimmin mukaan toteutettavien investointien suunnitteluun ja suunnitelmaan mahdollisesti tehtäviin tarkistuksiin.</w:t>
      </w:r>
    </w:p>
    <w:p w14:paraId="71A3E5BF" w14:textId="77777777" w:rsidR="00E42B18" w:rsidRDefault="009629C4">
      <w:pPr>
        <w:pStyle w:val="P68B1DB1-Normal7"/>
        <w:suppressAutoHyphens/>
        <w:jc w:val="both"/>
        <w:rPr>
          <w:noProof/>
        </w:rPr>
      </w:pPr>
      <w:r>
        <w:rPr>
          <w:noProof/>
        </w:rPr>
        <w:t xml:space="preserve">Infrastruktuuri- ja liikenneministeriö esittää vesihuoltoalaa koskevan uudistusehdotuksen. </w:t>
      </w:r>
    </w:p>
    <w:p w14:paraId="37B1B205" w14:textId="77777777" w:rsidR="00E42B18" w:rsidRDefault="009629C4">
      <w:pPr>
        <w:pStyle w:val="P68B1DB1-Normal5"/>
        <w:spacing w:before="120" w:after="120" w:line="257" w:lineRule="auto"/>
        <w:jc w:val="both"/>
        <w:rPr>
          <w:bCs/>
          <w:noProof/>
        </w:rPr>
      </w:pPr>
      <w:r>
        <w:rPr>
          <w:noProof/>
        </w:rPr>
        <w:t>Investointi 4.1 Päävesiinfrastruktuuri vedensaannin turvaamiseksi</w:t>
      </w:r>
    </w:p>
    <w:p w14:paraId="3707375E" w14:textId="77777777" w:rsidR="00E42B18" w:rsidRDefault="009629C4">
      <w:pPr>
        <w:pStyle w:val="P68B1DB1-Normal7"/>
        <w:spacing w:before="120" w:after="120"/>
        <w:jc w:val="both"/>
        <w:rPr>
          <w:noProof/>
        </w:rPr>
      </w:pPr>
      <w:r>
        <w:rPr>
          <w:noProof/>
        </w:rPr>
        <w:t>Tämän toimenpiteen tavoitteena on varmistaa veden toimitusvarmuus tärkeillä kaupunkialueilla ja laajoilla kastelluilla alueilla sekä parantaa verkon turvallisuutta ja häiriönsietokykyä myös veden siirtokapasiteetin osalta. Toimenpide koostuu päävesiinfrastruktuuriin liittyvistä töistä koko maan alueella.</w:t>
      </w:r>
    </w:p>
    <w:p w14:paraId="2AE3EAEA" w14:textId="77777777" w:rsidR="00E42B18" w:rsidRDefault="009629C4">
      <w:pPr>
        <w:pStyle w:val="P68B1DB1-Normal5"/>
        <w:rPr>
          <w:bCs/>
          <w:noProof/>
        </w:rPr>
      </w:pPr>
      <w:r>
        <w:rPr>
          <w:noProof/>
        </w:rPr>
        <w:t>Investointi 4.2. Vedenjakeluverkkojen hävikin vähentäminen, mukaan lukien verkkojen digitalisointi ja seuranta</w:t>
      </w:r>
    </w:p>
    <w:p w14:paraId="04B7DDB7" w14:textId="173CE242" w:rsidR="00E42B18" w:rsidRDefault="009629C4">
      <w:pPr>
        <w:pStyle w:val="P68B1DB1-Normal7"/>
        <w:spacing w:before="120" w:after="120"/>
        <w:jc w:val="both"/>
        <w:rPr>
          <w:noProof/>
        </w:rPr>
      </w:pPr>
      <w:r>
        <w:rPr>
          <w:noProof/>
        </w:rPr>
        <w:t>Tämän investoinnin tavoitteena on vähentää juomavesihävikkiä. Toimenpide koostuu vedenjakeluverkkojen parantamisesta ja nykyaikaistamisesta sellaisten kehittyneiden valvontajärjestelmien avulla, joiden avulla voidaan seurata verkon tärkeimpiä solmukohtia ja haavoittuvimpia kohtia (vesipiiri).</w:t>
      </w:r>
    </w:p>
    <w:p w14:paraId="1CC16CA1" w14:textId="77777777" w:rsidR="00E42B18" w:rsidRDefault="009629C4">
      <w:pPr>
        <w:pStyle w:val="P68B1DB1-Normal5"/>
        <w:spacing w:before="120" w:after="120" w:line="257" w:lineRule="auto"/>
        <w:jc w:val="both"/>
        <w:rPr>
          <w:bCs/>
          <w:noProof/>
        </w:rPr>
      </w:pPr>
      <w:r>
        <w:rPr>
          <w:noProof/>
        </w:rPr>
        <w:t xml:space="preserve">Investointi 4.3. Investoinnit kasteluviljelyjärjestelmän kestokykyyn vesivarojen hoidon parantamiseksi </w:t>
      </w:r>
    </w:p>
    <w:p w14:paraId="43712A57" w14:textId="5BC2C4EC" w:rsidR="00E42B18" w:rsidRDefault="009629C4">
      <w:pPr>
        <w:pStyle w:val="P68B1DB1-Normal7"/>
        <w:spacing w:before="120" w:after="120" w:line="257" w:lineRule="auto"/>
        <w:jc w:val="both"/>
        <w:rPr>
          <w:b/>
          <w:bCs/>
          <w:noProof/>
        </w:rPr>
      </w:pPr>
      <w:r>
        <w:rPr>
          <w:noProof/>
        </w:rPr>
        <w:t>Tämän toimenpiteen tavoitteena on lisätä kastelujärjestelmien tehokkuutta digitalisaation ja infrastruktuuriin liittyvien toimien avulla, jotta maatalousala olisi kestävämpi ja ilmastonmuutokseen sopeutuvampi.</w:t>
      </w:r>
    </w:p>
    <w:p w14:paraId="67721AE1" w14:textId="77777777" w:rsidR="00E42B18" w:rsidRDefault="009629C4">
      <w:pPr>
        <w:pStyle w:val="P68B1DB1-Normal5"/>
        <w:rPr>
          <w:bCs/>
          <w:noProof/>
        </w:rPr>
      </w:pPr>
      <w:r>
        <w:rPr>
          <w:noProof/>
        </w:rPr>
        <w:t>Investointi 4.4. Jäteveden käsittely ja puhdistus</w:t>
      </w:r>
    </w:p>
    <w:p w14:paraId="1F7E0A53" w14:textId="77777777" w:rsidR="00E42B18" w:rsidRDefault="009629C4">
      <w:pPr>
        <w:pStyle w:val="P68B1DB1-Normal7"/>
        <w:tabs>
          <w:tab w:val="left" w:pos="720"/>
        </w:tabs>
        <w:spacing w:before="120" w:after="120"/>
        <w:jc w:val="both"/>
        <w:rPr>
          <w:noProof/>
        </w:rPr>
      </w:pPr>
      <w:r>
        <w:rPr>
          <w:noProof/>
        </w:rPr>
        <w:t>Toimenpiteen tavoitteena on vähentää Italian jätevesien viemäröinti- ja puhdistusjärjestelmien heikkoutta sekä niiden taajamien määrää, joissa viemäröinti- ja puhdistusjärjestelmät ovat heikot. Toimenpiteellä pyritään tehostamaan meri- ja sisävesiin päästetyn jäteveden puhdistusta.</w:t>
      </w:r>
    </w:p>
    <w:p w14:paraId="415ECACC" w14:textId="77777777" w:rsidR="00E42B18" w:rsidRDefault="009629C4">
      <w:pPr>
        <w:pStyle w:val="P68B1DB1-Normal5"/>
        <w:rPr>
          <w:bCs/>
          <w:noProof/>
        </w:rPr>
      </w:pPr>
      <w:r>
        <w:rPr>
          <w:noProof/>
        </w:rPr>
        <w:t>Investointi 4.5. Tukijärjestelmä vesi-infrastruktuureihin tehtäviä investointeja varten</w:t>
      </w:r>
    </w:p>
    <w:p w14:paraId="6C96DA3C" w14:textId="1BD1E769" w:rsidR="00E42B18" w:rsidRDefault="009629C4">
      <w:pPr>
        <w:pStyle w:val="P68B1DB1-Normal7"/>
        <w:spacing w:line="240" w:lineRule="auto"/>
        <w:jc w:val="both"/>
        <w:rPr>
          <w:noProof/>
        </w:rPr>
      </w:pPr>
      <w:r>
        <w:rPr>
          <w:noProof/>
        </w:rPr>
        <w:t>Tämä toimenpide koostuu julkisesta investoinnista avustusjärjestelmään, jotta voidaan kannustaa yksityisiä investointeja ja parantaa rahoituksen saantia Italian vesihuoltosektorilla. Järjestelmä toimii myöntämällä elinkelpoisuusvajeavustuksia suoraan yksityiselle sektorille sekä vastaavaa toimintaa harjoittaville julkisyhteisöille ja julkisoikeudellisille laitoksille.</w:t>
      </w:r>
    </w:p>
    <w:p w14:paraId="38DD10A6" w14:textId="77777777" w:rsidR="00E42B18" w:rsidRDefault="009629C4">
      <w:pPr>
        <w:pStyle w:val="P68B1DB1-Normal7"/>
        <w:rPr>
          <w:noProof/>
        </w:rPr>
      </w:pPr>
      <w:r>
        <w:rPr>
          <w:noProof/>
        </w:rPr>
        <w:br w:type="page"/>
      </w:r>
    </w:p>
    <w:p w14:paraId="723F1FBD" w14:textId="026A08B7" w:rsidR="00E42B18" w:rsidRDefault="009629C4">
      <w:pPr>
        <w:pStyle w:val="P68B1DB1-Normal7"/>
        <w:spacing w:line="240" w:lineRule="auto"/>
        <w:jc w:val="both"/>
        <w:rPr>
          <w:noProof/>
        </w:rPr>
      </w:pPr>
      <w:r>
        <w:rPr>
          <w:noProof/>
        </w:rPr>
        <w:t>Järjestelmää hallinnoi toteutuskumppanina toimiva Invitalia S.p.A.. Ohjelmaan on sisällyttävä seuraava tuotelinja:</w:t>
      </w:r>
    </w:p>
    <w:p w14:paraId="7AB17DE2" w14:textId="77777777" w:rsidR="00E42B18" w:rsidRDefault="009629C4">
      <w:pPr>
        <w:pStyle w:val="P68B1DB1-ListParagraph37"/>
        <w:keepNext/>
        <w:numPr>
          <w:ilvl w:val="0"/>
          <w:numId w:val="73"/>
        </w:numPr>
        <w:spacing w:line="240" w:lineRule="auto"/>
        <w:jc w:val="both"/>
        <w:rPr>
          <w:noProof/>
        </w:rPr>
      </w:pPr>
      <w:r>
        <w:rPr>
          <w:noProof/>
        </w:rPr>
        <w:t>Elinkelpoisuusvajeavustus, jonka tarkoituksena on kattaa vesihuoltoalan infrastruktuurihankkeiden rahoitusvaje. Tuella tuetaan osaa kokonaisinvestoinnista hankkeen rahoituskelpoisuuden varmistamiseksi. Avustusrakenteen suunnittelussa on kannustettava vesipalvelujen tarjoajien järkeistämiseen ja yhdistämiseen ottamalla käyttöön palkitsemismekanismi.</w:t>
      </w:r>
    </w:p>
    <w:p w14:paraId="06373A6C" w14:textId="77777777" w:rsidR="00E42B18" w:rsidRDefault="009629C4">
      <w:pPr>
        <w:pStyle w:val="P68B1DB1-Normal7"/>
        <w:spacing w:line="240" w:lineRule="auto"/>
        <w:jc w:val="both"/>
        <w:rPr>
          <w:noProof/>
        </w:rPr>
      </w:pPr>
      <w:r>
        <w:rPr>
          <w:noProof/>
        </w:rPr>
        <w:t>Ohjelmaan tehtävän investoinnin toteuttamiseksi Italian ja Invitalia S.p.A:n on allekirjoitettava täytäntöönpanosopimus, jonka sisältö on seuraava:</w:t>
      </w:r>
    </w:p>
    <w:p w14:paraId="0FC8E354" w14:textId="64008D17" w:rsidR="00E42B18" w:rsidRDefault="009629C4">
      <w:pPr>
        <w:pStyle w:val="P68B1DB1-LegalNumPar79"/>
        <w:numPr>
          <w:ilvl w:val="0"/>
          <w:numId w:val="0"/>
        </w:numPr>
        <w:spacing w:line="259" w:lineRule="auto"/>
        <w:jc w:val="both"/>
        <w:rPr>
          <w:rFonts w:eastAsia="Times New Roman"/>
          <w:noProof/>
        </w:rPr>
      </w:pPr>
      <w:r>
        <w:rPr>
          <w:noProof/>
        </w:rPr>
        <w:t>1. Kuvaus ohjelman päätöksentekoprosessista: Lopullisen myöntämispäätöksen ohjelmassa tekee investointikomitea tai muu asianmukainen vastaava hallinnollinen elin ja päätös hyväksytään hallituksesta riippumattomien jäsenten ääntenenemmistöllä.</w:t>
      </w:r>
    </w:p>
    <w:p w14:paraId="28C5D9CB" w14:textId="1069B619" w:rsidR="00E42B18" w:rsidRDefault="009629C4">
      <w:pPr>
        <w:pStyle w:val="P68B1DB1-LegalNumPar79"/>
        <w:numPr>
          <w:ilvl w:val="0"/>
          <w:numId w:val="0"/>
        </w:numPr>
        <w:spacing w:line="259" w:lineRule="auto"/>
        <w:ind w:left="476" w:hanging="476"/>
        <w:jc w:val="both"/>
        <w:rPr>
          <w:noProof/>
        </w:rPr>
      </w:pPr>
      <w:r>
        <w:rPr>
          <w:noProof/>
        </w:rPr>
        <w:t>2. Avustuspolitiikan keskeiset vaatimukset,</w:t>
      </w:r>
      <w:r>
        <w:rPr>
          <w:b/>
          <w:noProof/>
        </w:rPr>
        <w:t xml:space="preserve"> </w:t>
      </w:r>
      <w:r>
        <w:rPr>
          <w:noProof/>
        </w:rPr>
        <w:t>joita ovat muun muassa seuraavat:</w:t>
      </w:r>
    </w:p>
    <w:p w14:paraId="49411723" w14:textId="14C676C4" w:rsidR="00E42B18" w:rsidRDefault="009629C4">
      <w:pPr>
        <w:pStyle w:val="P68B1DB1-LegalNumPar280"/>
        <w:jc w:val="both"/>
        <w:rPr>
          <w:noProof/>
        </w:rPr>
      </w:pPr>
      <w:r>
        <w:rPr>
          <w:noProof/>
        </w:rPr>
        <w:t>Kuvaus myönnetyistä avustuksista ja tukikelpoisista lopullisista edunsaajista. Lopullisia tuensaajia ovat periaatteessa yritykset, joilla on yksityisiä osakkuuksia. Syrjimättömyysperiaatteen mukaisesti lopullisiksi edunsaajiksi voitaisiin hyväksyä myös julkisyhteisöt, jotka harjoittavat samankaltaista toimintaa kuin järjestelmästä hyötyvät yksityiset yhteisöt.</w:t>
      </w:r>
    </w:p>
    <w:p w14:paraId="6121841C" w14:textId="77777777" w:rsidR="00E42B18" w:rsidRDefault="009629C4">
      <w:pPr>
        <w:pStyle w:val="P68B1DB1-LegalNumPar280"/>
        <w:numPr>
          <w:ilvl w:val="1"/>
          <w:numId w:val="85"/>
        </w:numPr>
        <w:spacing w:line="259" w:lineRule="auto"/>
        <w:jc w:val="both"/>
        <w:rPr>
          <w:noProof/>
        </w:rPr>
      </w:pPr>
      <w:r>
        <w:rPr>
          <w:noProof/>
        </w:rPr>
        <w:t>Vaatimus, jonka mukaan kaikkien tuettujen investointien on oltava taloudellisesti kannattavia</w:t>
      </w:r>
      <w:r>
        <w:rPr>
          <w:b/>
          <w:noProof/>
        </w:rPr>
        <w:t>.</w:t>
      </w:r>
    </w:p>
    <w:p w14:paraId="5DD623AD" w14:textId="08542841" w:rsidR="00E42B18" w:rsidRDefault="009629C4">
      <w:pPr>
        <w:pStyle w:val="P68B1DB1-LegalNumPar280"/>
        <w:spacing w:line="259" w:lineRule="auto"/>
        <w:jc w:val="both"/>
        <w:rPr>
          <w:noProof/>
        </w:rPr>
      </w:pPr>
      <w:r>
        <w:rPr>
          <w:noProof/>
        </w:rPr>
        <w:t>Vaatimus noudattaa ”ei merkittävää haittaa” -periaatetta sitä koskevien teknisten ohjeiden (2021/C58/01) mukaisesti. Avustuspolitiikassa suljetaan tukikelpoisuuden ulkopuolelle erityisesti seuraava luettelo toiminnoista ja omaisuuseristä: fossiilisiin polttoaineisiin liittyvä toiminta ja omaisuus, mukaan lukien tuotantoketjun loppupään käyttö</w:t>
      </w:r>
      <w:r>
        <w:rPr>
          <w:noProof/>
        </w:rPr>
        <w:footnoteReference w:id="71"/>
      </w:r>
      <w:r>
        <w:rPr>
          <w:noProof/>
        </w:rPr>
        <w:t>. Lisäksi avustuspolitiikkaan on sisällyttävä vaatimus, jonka mukaan rahoituksen ulkopuolelle on jätettävä: investoinnit, joihin liittyy uusien patojen rakentaminen; investoinnit yhteisön vesipolitiikan puitteista 23.10.2000 annetun Euroopan parlamentin ja neuvoston direktiivin 2000/60 4 artiklan 7 kohdan soveltamisalaan.</w:t>
      </w:r>
    </w:p>
    <w:p w14:paraId="7B238733" w14:textId="77777777" w:rsidR="00E42B18" w:rsidRDefault="009629C4">
      <w:pPr>
        <w:pStyle w:val="P68B1DB1-LegalNumPar280"/>
        <w:numPr>
          <w:ilvl w:val="1"/>
          <w:numId w:val="85"/>
        </w:numPr>
        <w:spacing w:line="259" w:lineRule="auto"/>
        <w:jc w:val="both"/>
        <w:rPr>
          <w:bCs/>
          <w:noProof/>
        </w:rPr>
      </w:pPr>
      <w:r>
        <w:rPr>
          <w:noProof/>
        </w:rPr>
        <w:t>Vaatimus siitä, että ohjelman lopulliset tuensaajat eivät saa tukea muista unionin välineistä samojen kustannusten kattamiseen.</w:t>
      </w:r>
    </w:p>
    <w:p w14:paraId="1D06AA30" w14:textId="2DAB9B34" w:rsidR="00E42B18" w:rsidRDefault="009629C4">
      <w:pPr>
        <w:pStyle w:val="P68B1DB1-LegalNumPar79"/>
        <w:numPr>
          <w:ilvl w:val="0"/>
          <w:numId w:val="0"/>
        </w:numPr>
        <w:spacing w:line="259" w:lineRule="auto"/>
        <w:ind w:left="476" w:hanging="476"/>
        <w:jc w:val="both"/>
        <w:rPr>
          <w:noProof/>
        </w:rPr>
      </w:pPr>
      <w:r>
        <w:rPr>
          <w:noProof/>
        </w:rPr>
        <w:t>3. Täytäntöönpanosopimuksen kattama määrä, maksurakenne toteutuskumppania varten sekä vaatimus käyttää järjestelmän käyttämättömät tuotot, myös vuoden 2026 jälkeen, samoihin poliittisiin tavoitteisiin.</w:t>
      </w:r>
    </w:p>
    <w:p w14:paraId="2B6DF3F5" w14:textId="77777777" w:rsidR="00E42B18" w:rsidRDefault="009629C4">
      <w:pPr>
        <w:pStyle w:val="P68B1DB1-Normal7"/>
        <w:rPr>
          <w:noProof/>
          <w:kern w:val="0"/>
        </w:rPr>
      </w:pPr>
      <w:r>
        <w:rPr>
          <w:noProof/>
        </w:rPr>
        <w:br w:type="page"/>
      </w:r>
    </w:p>
    <w:p w14:paraId="23BBB441" w14:textId="7A02B015" w:rsidR="00E42B18" w:rsidRDefault="009629C4">
      <w:pPr>
        <w:pStyle w:val="P68B1DB1-LegalNumPar79"/>
        <w:numPr>
          <w:ilvl w:val="0"/>
          <w:numId w:val="0"/>
        </w:numPr>
        <w:spacing w:line="259" w:lineRule="auto"/>
        <w:ind w:left="476" w:hanging="476"/>
        <w:jc w:val="both"/>
        <w:rPr>
          <w:noProof/>
        </w:rPr>
      </w:pPr>
      <w:r>
        <w:rPr>
          <w:noProof/>
        </w:rPr>
        <w:t>4. Seuranta-, valvonta- ja tarkastusvaatimukset, joihin sisältyvät</w:t>
      </w:r>
    </w:p>
    <w:p w14:paraId="72FED9A8" w14:textId="77777777" w:rsidR="00E42B18" w:rsidRDefault="009629C4">
      <w:pPr>
        <w:pStyle w:val="P68B1DB1-Normal7"/>
        <w:numPr>
          <w:ilvl w:val="0"/>
          <w:numId w:val="175"/>
        </w:numPr>
        <w:spacing w:line="240" w:lineRule="auto"/>
        <w:jc w:val="both"/>
        <w:rPr>
          <w:noProof/>
        </w:rPr>
      </w:pPr>
      <w:r>
        <w:rPr>
          <w:noProof/>
        </w:rPr>
        <w:t>Kuvaus toteutuskumppanin seurantajärjestelmästä, jolla raportoidaan käyttöön otetuista avustuksista.</w:t>
      </w:r>
    </w:p>
    <w:p w14:paraId="35F0FD24" w14:textId="77777777" w:rsidR="00E42B18" w:rsidRDefault="009629C4">
      <w:pPr>
        <w:pStyle w:val="P68B1DB1-Normal7"/>
        <w:numPr>
          <w:ilvl w:val="0"/>
          <w:numId w:val="175"/>
        </w:numPr>
        <w:jc w:val="both"/>
        <w:rPr>
          <w:noProof/>
        </w:rPr>
      </w:pPr>
      <w:r>
        <w:rPr>
          <w:noProof/>
        </w:rPr>
        <w:t xml:space="preserve">Kuvaus toteutuskumppanin menettelyistä, joilla varmistetaan petosten, lahjonnan ja eturistiriitojen ehkäiseminen, havaitseminen ja korjaaminen. </w:t>
      </w:r>
    </w:p>
    <w:p w14:paraId="792C1256" w14:textId="77777777" w:rsidR="00E42B18" w:rsidRDefault="009629C4">
      <w:pPr>
        <w:pStyle w:val="P68B1DB1-Normal7"/>
        <w:numPr>
          <w:ilvl w:val="0"/>
          <w:numId w:val="175"/>
        </w:numPr>
        <w:jc w:val="both"/>
        <w:rPr>
          <w:noProof/>
        </w:rPr>
      </w:pPr>
      <w:r>
        <w:rPr>
          <w:noProof/>
        </w:rPr>
        <w:t>Velvollisuus tarkistaa jokaisen toimen tukikelpoisuus täytäntöönpanosopimuksessa vahvistettujen vaatimusten mukaisesti ennen avustuksen myöntämistä toimelle.</w:t>
      </w:r>
    </w:p>
    <w:p w14:paraId="2AC8594A" w14:textId="77777777" w:rsidR="00E42B18" w:rsidRDefault="009629C4">
      <w:pPr>
        <w:pStyle w:val="P68B1DB1-Normal7"/>
        <w:numPr>
          <w:ilvl w:val="0"/>
          <w:numId w:val="175"/>
        </w:numPr>
        <w:spacing w:line="240" w:lineRule="auto"/>
        <w:jc w:val="both"/>
        <w:rPr>
          <w:noProof/>
        </w:rPr>
      </w:pPr>
      <w:r>
        <w:rPr>
          <w:noProof/>
        </w:rPr>
        <w:t xml:space="preserve">Velvollisuus suorittaa riskiperusteisia jälkitarkastuksia Invitalia S.p.A:n tarkastussuunnitelman mukaisesti. Näissä tarkastuksissa on varmistettava i) valvontajärjestelmien tehokkuus, mukaan lukien petosten, lahjonnan ja eturistiriitojen havaitseminen; II) ”ei merkittävää haittaa” -periaatteen, valtiontukisääntöjen ja ilmastotavoitteita koskevien vaatimusten noudattaminen; ja iii) noudatetaan vaatimusta, jonka mukaan järjestelmän lopulliset edunsaajat eivät ole saaneet tukea muista unionin välineistä samojen kustannusten kattamiseksi. Tarkastuksissa on myös todennettava toimien laillisuus ja se, että sovellettavan täytäntöönpanosopimuksen ja avustussopimusten ehtoja noudatetaan. </w:t>
      </w:r>
    </w:p>
    <w:p w14:paraId="68162088" w14:textId="28AB8506" w:rsidR="00E42B18" w:rsidRDefault="009629C4">
      <w:pPr>
        <w:numPr>
          <w:ilvl w:val="0"/>
          <w:numId w:val="85"/>
        </w:numPr>
        <w:spacing w:line="240" w:lineRule="auto"/>
        <w:ind w:left="720" w:hanging="360"/>
        <w:jc w:val="both"/>
        <w:rPr>
          <w:rFonts w:ascii="Times New Roman" w:hAnsi="Times New Roman" w:cs="Times New Roman"/>
          <w:noProof/>
        </w:rPr>
        <w:sectPr w:rsidR="00E42B18" w:rsidSect="005F11B9">
          <w:headerReference w:type="even" r:id="rId128"/>
          <w:headerReference w:type="default" r:id="rId129"/>
          <w:footerReference w:type="even" r:id="rId130"/>
          <w:footerReference w:type="default" r:id="rId131"/>
          <w:headerReference w:type="first" r:id="rId132"/>
          <w:footerReference w:type="first" r:id="rId133"/>
          <w:pgSz w:w="11907" w:h="16839"/>
          <w:pgMar w:top="1134" w:right="1134" w:bottom="1134" w:left="1134" w:header="567" w:footer="567" w:gutter="0"/>
          <w:cols w:space="720"/>
          <w:docGrid w:linePitch="360"/>
        </w:sectPr>
      </w:pPr>
      <w:r>
        <w:rPr>
          <w:rFonts w:ascii="Times New Roman" w:hAnsi="Times New Roman" w:cs="Times New Roman"/>
          <w:noProof/>
        </w:rPr>
        <w:t>Vaatimukset toteutuskumppanin tekemiä ilmastoinvestointeja varten: Elpymis- ja palautumistukivälineeseen perustuvista investoinneista vähintään 400000000 euroa osoitetaan ilmastonmuutokseen liittyviin tavoitteisiin elpymis- ja palautumistukivälineestä annetun asetuksen liitteen VI mukaisesti.</w:t>
      </w:r>
      <w:r>
        <w:rPr>
          <w:rStyle w:val="FootnoteReference"/>
          <w:rFonts w:ascii="Times New Roman" w:hAnsi="Times New Roman" w:cs="Times New Roman"/>
          <w:noProof/>
        </w:rPr>
        <w:footnoteReference w:id="72"/>
      </w:r>
    </w:p>
    <w:p w14:paraId="33EAFC11" w14:textId="77777777" w:rsidR="00E42B18" w:rsidRDefault="009629C4">
      <w:pPr>
        <w:pStyle w:val="Heading3"/>
        <w:rPr>
          <w:rStyle w:val="SubtleEmphasis"/>
          <w:rFonts w:ascii="Times New Roman" w:hAnsi="Times New Roman" w:cs="Times New Roman"/>
          <w:b/>
          <w:bCs/>
          <w:i w:val="0"/>
          <w:iCs w:val="0"/>
          <w:noProof/>
          <w:sz w:val="24"/>
          <w:szCs w:val="24"/>
        </w:rPr>
      </w:pPr>
      <w:r>
        <w:rPr>
          <w:rStyle w:val="SubtleEmphasis"/>
          <w:rFonts w:ascii="Times New Roman" w:hAnsi="Times New Roman" w:cs="Times New Roman"/>
          <w:b/>
          <w:i w:val="0"/>
          <w:iCs w:val="0"/>
          <w:noProof/>
          <w:sz w:val="24"/>
          <w:szCs w:val="24"/>
        </w:rPr>
        <w:t xml:space="preserve">G.4 </w:t>
      </w:r>
      <w:r>
        <w:rPr>
          <w:rFonts w:ascii="Times New Roman" w:hAnsi="Times New Roman" w:cs="Times New Roman"/>
          <w:b/>
          <w:i/>
          <w:noProof/>
          <w:sz w:val="24"/>
          <w:szCs w:val="24"/>
        </w:rPr>
        <w:t xml:space="preserve"> </w:t>
      </w:r>
      <w:r>
        <w:rPr>
          <w:rStyle w:val="SubtleEmphasis"/>
          <w:rFonts w:ascii="Times New Roman" w:hAnsi="Times New Roman" w:cs="Times New Roman"/>
          <w:b/>
          <w:i w:val="0"/>
          <w:iCs w:val="0"/>
          <w:noProof/>
          <w:sz w:val="24"/>
          <w:szCs w:val="24"/>
        </w:rPr>
        <w:t xml:space="preserve">Lainamuotoisen tuen seurantaa ja täytäntöönpanoa koskevat välitavoitteet, tavoitteet, indikaattorit ja aikataulu </w:t>
      </w: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736"/>
        <w:gridCol w:w="1261"/>
        <w:gridCol w:w="1365"/>
        <w:gridCol w:w="1264"/>
        <w:gridCol w:w="1055"/>
        <w:gridCol w:w="946"/>
        <w:gridCol w:w="1000"/>
        <w:gridCol w:w="809"/>
        <w:gridCol w:w="770"/>
        <w:gridCol w:w="3544"/>
      </w:tblGrid>
      <w:tr w:rsidR="00E42B18" w14:paraId="46CA287B" w14:textId="77777777" w:rsidTr="007F4B94">
        <w:trPr>
          <w:trHeight w:val="300"/>
          <w:tblHeader/>
        </w:trPr>
        <w:tc>
          <w:tcPr>
            <w:tcW w:w="1134" w:type="dxa"/>
            <w:vMerge w:val="restart"/>
            <w:shd w:val="clear" w:color="auto" w:fill="A5C9EB" w:themeFill="text2" w:themeFillTint="40"/>
            <w:noWrap/>
            <w:vAlign w:val="center"/>
          </w:tcPr>
          <w:p w14:paraId="58D4D8EA" w14:textId="77777777" w:rsidR="00E42B18" w:rsidRDefault="009629C4">
            <w:pPr>
              <w:pStyle w:val="P68B1DB1-Normal10"/>
              <w:jc w:val="center"/>
              <w:rPr>
                <w:noProof/>
              </w:rPr>
            </w:pPr>
            <w:r>
              <w:rPr>
                <w:noProof/>
              </w:rPr>
              <w:t>Juokseva numero</w:t>
            </w:r>
          </w:p>
        </w:tc>
        <w:tc>
          <w:tcPr>
            <w:tcW w:w="1736" w:type="dxa"/>
            <w:vMerge w:val="restart"/>
            <w:shd w:val="clear" w:color="auto" w:fill="A5C9EB" w:themeFill="text2" w:themeFillTint="40"/>
            <w:noWrap/>
            <w:vAlign w:val="center"/>
          </w:tcPr>
          <w:p w14:paraId="78926072" w14:textId="77777777" w:rsidR="00E42B18" w:rsidRDefault="009629C4">
            <w:pPr>
              <w:pStyle w:val="P68B1DB1-Normal10"/>
              <w:jc w:val="center"/>
              <w:rPr>
                <w:noProof/>
              </w:rPr>
            </w:pPr>
            <w:r>
              <w:rPr>
                <w:noProof/>
              </w:rPr>
              <w:t>Toimenpide (uudistus tai investointi)</w:t>
            </w:r>
          </w:p>
        </w:tc>
        <w:tc>
          <w:tcPr>
            <w:tcW w:w="1261" w:type="dxa"/>
            <w:vMerge w:val="restart"/>
            <w:shd w:val="clear" w:color="auto" w:fill="A5C9EB" w:themeFill="text2" w:themeFillTint="40"/>
            <w:noWrap/>
            <w:vAlign w:val="center"/>
          </w:tcPr>
          <w:p w14:paraId="228AF4A5" w14:textId="77777777" w:rsidR="00E42B18" w:rsidRDefault="009629C4">
            <w:pPr>
              <w:pStyle w:val="P68B1DB1-Normal10"/>
              <w:jc w:val="center"/>
              <w:rPr>
                <w:noProof/>
              </w:rPr>
            </w:pPr>
            <w:r>
              <w:rPr>
                <w:noProof/>
              </w:rPr>
              <w:t>Välitavoite/tavoite</w:t>
            </w:r>
          </w:p>
        </w:tc>
        <w:tc>
          <w:tcPr>
            <w:tcW w:w="1365" w:type="dxa"/>
            <w:vMerge w:val="restart"/>
            <w:shd w:val="clear" w:color="auto" w:fill="A5C9EB" w:themeFill="text2" w:themeFillTint="40"/>
            <w:noWrap/>
            <w:vAlign w:val="center"/>
          </w:tcPr>
          <w:p w14:paraId="47D821E7" w14:textId="77777777" w:rsidR="00E42B18" w:rsidRDefault="009629C4">
            <w:pPr>
              <w:pStyle w:val="P68B1DB1-Normal10"/>
              <w:jc w:val="center"/>
              <w:rPr>
                <w:noProof/>
              </w:rPr>
            </w:pPr>
            <w:r>
              <w:rPr>
                <w:noProof/>
              </w:rPr>
              <w:t>Nimi</w:t>
            </w:r>
          </w:p>
        </w:tc>
        <w:tc>
          <w:tcPr>
            <w:tcW w:w="1264" w:type="dxa"/>
            <w:vMerge w:val="restart"/>
            <w:shd w:val="clear" w:color="auto" w:fill="A5C9EB" w:themeFill="text2" w:themeFillTint="40"/>
            <w:noWrap/>
            <w:vAlign w:val="center"/>
          </w:tcPr>
          <w:p w14:paraId="49996B17" w14:textId="77777777" w:rsidR="00E42B18" w:rsidRDefault="009629C4">
            <w:pPr>
              <w:jc w:val="center"/>
              <w:rPr>
                <w:rFonts w:ascii="Arial Narrow" w:hAnsi="Arial Narrow"/>
                <w:b/>
                <w:noProof/>
                <w:sz w:val="20"/>
              </w:rPr>
            </w:pPr>
            <w:r>
              <w:rPr>
                <w:rFonts w:ascii="Arial Narrow" w:hAnsi="Arial Narrow"/>
                <w:b/>
                <w:noProof/>
                <w:sz w:val="20"/>
              </w:rPr>
              <w:t>Laadulliset indikaattorit</w:t>
            </w:r>
            <w:r>
              <w:rPr>
                <w:noProof/>
              </w:rPr>
              <w:t xml:space="preserve"> </w:t>
            </w:r>
            <w:r>
              <w:rPr>
                <w:noProof/>
              </w:rPr>
              <w:br/>
            </w:r>
            <w:r>
              <w:rPr>
                <w:rFonts w:ascii="Arial Narrow" w:hAnsi="Arial Narrow"/>
                <w:b/>
                <w:noProof/>
                <w:sz w:val="20"/>
              </w:rPr>
              <w:t>(välitavoitteiden osalta)</w:t>
            </w:r>
          </w:p>
        </w:tc>
        <w:tc>
          <w:tcPr>
            <w:tcW w:w="3001" w:type="dxa"/>
            <w:gridSpan w:val="3"/>
            <w:shd w:val="clear" w:color="auto" w:fill="A5C9EB" w:themeFill="text2" w:themeFillTint="40"/>
            <w:noWrap/>
            <w:vAlign w:val="center"/>
          </w:tcPr>
          <w:p w14:paraId="1DAE38D5" w14:textId="77777777" w:rsidR="00E42B18" w:rsidRDefault="009629C4">
            <w:pPr>
              <w:jc w:val="center"/>
              <w:rPr>
                <w:rFonts w:ascii="Arial Narrow" w:hAnsi="Arial Narrow"/>
                <w:b/>
                <w:noProof/>
                <w:sz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579" w:type="dxa"/>
            <w:gridSpan w:val="2"/>
            <w:shd w:val="clear" w:color="auto" w:fill="A5C9EB" w:themeFill="text2" w:themeFillTint="40"/>
            <w:noWrap/>
            <w:vAlign w:val="center"/>
          </w:tcPr>
          <w:p w14:paraId="3FC7174D" w14:textId="77777777" w:rsidR="00E42B18" w:rsidRDefault="009629C4">
            <w:pPr>
              <w:pStyle w:val="P68B1DB1-Normal10"/>
              <w:jc w:val="center"/>
              <w:rPr>
                <w:noProof/>
              </w:rPr>
            </w:pPr>
            <w:r>
              <w:rPr>
                <w:noProof/>
              </w:rPr>
              <w:t>Alustava toteutusaikataulu</w:t>
            </w:r>
          </w:p>
        </w:tc>
        <w:tc>
          <w:tcPr>
            <w:tcW w:w="3544" w:type="dxa"/>
            <w:vMerge w:val="restart"/>
            <w:shd w:val="clear" w:color="auto" w:fill="A5C9EB" w:themeFill="text2" w:themeFillTint="40"/>
            <w:noWrap/>
            <w:vAlign w:val="center"/>
          </w:tcPr>
          <w:p w14:paraId="53D5A93B" w14:textId="77777777" w:rsidR="00E42B18" w:rsidRDefault="009629C4">
            <w:pPr>
              <w:pStyle w:val="P68B1DB1-Normal10"/>
              <w:jc w:val="center"/>
              <w:rPr>
                <w:noProof/>
              </w:rPr>
            </w:pPr>
            <w:r>
              <w:rPr>
                <w:noProof/>
              </w:rPr>
              <w:t>Kunkin välitavoitteen ja tavoitteen kuvaus</w:t>
            </w:r>
          </w:p>
        </w:tc>
      </w:tr>
      <w:tr w:rsidR="00E42B18" w14:paraId="61D30D9F" w14:textId="77777777" w:rsidTr="007F4B94">
        <w:trPr>
          <w:trHeight w:val="300"/>
          <w:tblHeader/>
        </w:trPr>
        <w:tc>
          <w:tcPr>
            <w:tcW w:w="1134" w:type="dxa"/>
            <w:vMerge/>
            <w:noWrap/>
            <w:vAlign w:val="center"/>
          </w:tcPr>
          <w:p w14:paraId="547FCDAD" w14:textId="77777777" w:rsidR="00E42B18" w:rsidRDefault="00E42B18">
            <w:pPr>
              <w:jc w:val="center"/>
              <w:rPr>
                <w:rFonts w:ascii="Arial Narrow" w:hAnsi="Arial Narrow"/>
                <w:b/>
                <w:bCs/>
                <w:noProof/>
                <w:sz w:val="20"/>
                <w:szCs w:val="20"/>
              </w:rPr>
            </w:pPr>
          </w:p>
        </w:tc>
        <w:tc>
          <w:tcPr>
            <w:tcW w:w="1736" w:type="dxa"/>
            <w:vMerge/>
            <w:noWrap/>
            <w:vAlign w:val="center"/>
          </w:tcPr>
          <w:p w14:paraId="46023B44" w14:textId="77777777" w:rsidR="00E42B18" w:rsidRDefault="00E42B18">
            <w:pPr>
              <w:jc w:val="center"/>
              <w:rPr>
                <w:rFonts w:ascii="Arial Narrow" w:hAnsi="Arial Narrow"/>
                <w:b/>
                <w:bCs/>
                <w:noProof/>
                <w:sz w:val="20"/>
                <w:szCs w:val="20"/>
              </w:rPr>
            </w:pPr>
          </w:p>
        </w:tc>
        <w:tc>
          <w:tcPr>
            <w:tcW w:w="1261" w:type="dxa"/>
            <w:vMerge/>
            <w:noWrap/>
            <w:vAlign w:val="center"/>
          </w:tcPr>
          <w:p w14:paraId="5EA87C3D" w14:textId="77777777" w:rsidR="00E42B18" w:rsidRDefault="00E42B18">
            <w:pPr>
              <w:jc w:val="center"/>
              <w:rPr>
                <w:rFonts w:ascii="Arial Narrow" w:hAnsi="Arial Narrow"/>
                <w:b/>
                <w:bCs/>
                <w:noProof/>
                <w:sz w:val="20"/>
                <w:szCs w:val="20"/>
              </w:rPr>
            </w:pPr>
          </w:p>
        </w:tc>
        <w:tc>
          <w:tcPr>
            <w:tcW w:w="1365" w:type="dxa"/>
            <w:vMerge/>
            <w:noWrap/>
            <w:vAlign w:val="center"/>
          </w:tcPr>
          <w:p w14:paraId="00B31684" w14:textId="77777777" w:rsidR="00E42B18" w:rsidRDefault="00E42B18">
            <w:pPr>
              <w:jc w:val="center"/>
              <w:rPr>
                <w:rFonts w:ascii="Arial Narrow" w:hAnsi="Arial Narrow"/>
                <w:b/>
                <w:bCs/>
                <w:noProof/>
                <w:sz w:val="20"/>
                <w:szCs w:val="20"/>
              </w:rPr>
            </w:pPr>
          </w:p>
        </w:tc>
        <w:tc>
          <w:tcPr>
            <w:tcW w:w="1264" w:type="dxa"/>
            <w:vMerge/>
            <w:noWrap/>
            <w:vAlign w:val="center"/>
          </w:tcPr>
          <w:p w14:paraId="71737E12" w14:textId="77777777" w:rsidR="00E42B18" w:rsidRDefault="00E42B18">
            <w:pPr>
              <w:jc w:val="center"/>
              <w:rPr>
                <w:rFonts w:ascii="Arial Narrow" w:hAnsi="Arial Narrow"/>
                <w:b/>
                <w:bCs/>
                <w:noProof/>
                <w:sz w:val="20"/>
                <w:szCs w:val="20"/>
              </w:rPr>
            </w:pPr>
          </w:p>
        </w:tc>
        <w:tc>
          <w:tcPr>
            <w:tcW w:w="1055" w:type="dxa"/>
            <w:shd w:val="clear" w:color="auto" w:fill="A5C9EB" w:themeFill="text2" w:themeFillTint="40"/>
            <w:noWrap/>
            <w:vAlign w:val="center"/>
          </w:tcPr>
          <w:p w14:paraId="76B87A9D" w14:textId="77777777" w:rsidR="00E42B18" w:rsidRDefault="009629C4">
            <w:pPr>
              <w:pStyle w:val="P68B1DB1-Normal10"/>
              <w:jc w:val="center"/>
              <w:rPr>
                <w:bCs/>
                <w:noProof/>
                <w:szCs w:val="20"/>
              </w:rPr>
            </w:pPr>
            <w:r>
              <w:rPr>
                <w:noProof/>
              </w:rPr>
              <w:t>Mitta-yksikkö</w:t>
            </w:r>
          </w:p>
        </w:tc>
        <w:tc>
          <w:tcPr>
            <w:tcW w:w="946" w:type="dxa"/>
            <w:shd w:val="clear" w:color="auto" w:fill="A5C9EB" w:themeFill="text2" w:themeFillTint="40"/>
            <w:vAlign w:val="center"/>
          </w:tcPr>
          <w:p w14:paraId="1E44CB01" w14:textId="77777777" w:rsidR="00E42B18" w:rsidRDefault="009629C4">
            <w:pPr>
              <w:pStyle w:val="P68B1DB1-Normal10"/>
              <w:jc w:val="center"/>
              <w:rPr>
                <w:bCs/>
                <w:noProof/>
                <w:szCs w:val="20"/>
              </w:rPr>
            </w:pPr>
            <w:r>
              <w:rPr>
                <w:noProof/>
              </w:rPr>
              <w:t>Lähtötilanne</w:t>
            </w:r>
          </w:p>
        </w:tc>
        <w:tc>
          <w:tcPr>
            <w:tcW w:w="1000" w:type="dxa"/>
            <w:shd w:val="clear" w:color="auto" w:fill="A5C9EB" w:themeFill="text2" w:themeFillTint="40"/>
            <w:vAlign w:val="center"/>
          </w:tcPr>
          <w:p w14:paraId="502CA37A" w14:textId="77777777" w:rsidR="00E42B18" w:rsidRDefault="009629C4">
            <w:pPr>
              <w:pStyle w:val="P68B1DB1-Normal10"/>
              <w:jc w:val="center"/>
              <w:rPr>
                <w:bCs/>
                <w:noProof/>
                <w:szCs w:val="20"/>
              </w:rPr>
            </w:pPr>
            <w:r>
              <w:rPr>
                <w:noProof/>
              </w:rPr>
              <w:t>Päämäärä</w:t>
            </w:r>
          </w:p>
        </w:tc>
        <w:tc>
          <w:tcPr>
            <w:tcW w:w="809" w:type="dxa"/>
            <w:shd w:val="clear" w:color="auto" w:fill="A5C9EB" w:themeFill="text2" w:themeFillTint="40"/>
            <w:noWrap/>
            <w:vAlign w:val="center"/>
          </w:tcPr>
          <w:p w14:paraId="5B886F69" w14:textId="77777777" w:rsidR="00E42B18" w:rsidRDefault="009629C4">
            <w:pPr>
              <w:pStyle w:val="P68B1DB1-Normal10"/>
              <w:jc w:val="center"/>
              <w:rPr>
                <w:noProof/>
                <w:szCs w:val="20"/>
              </w:rPr>
            </w:pPr>
            <w:r>
              <w:rPr>
                <w:noProof/>
              </w:rPr>
              <w:t>Neljännes</w:t>
            </w:r>
          </w:p>
        </w:tc>
        <w:tc>
          <w:tcPr>
            <w:tcW w:w="770" w:type="dxa"/>
            <w:shd w:val="clear" w:color="auto" w:fill="A5C9EB" w:themeFill="text2" w:themeFillTint="40"/>
            <w:vAlign w:val="center"/>
          </w:tcPr>
          <w:p w14:paraId="1C270529" w14:textId="77777777" w:rsidR="00E42B18" w:rsidRDefault="009629C4">
            <w:pPr>
              <w:pStyle w:val="P68B1DB1-Normal10"/>
              <w:jc w:val="center"/>
              <w:rPr>
                <w:noProof/>
                <w:szCs w:val="20"/>
              </w:rPr>
            </w:pPr>
            <w:r>
              <w:rPr>
                <w:noProof/>
              </w:rPr>
              <w:t>Vuosi</w:t>
            </w:r>
          </w:p>
        </w:tc>
        <w:tc>
          <w:tcPr>
            <w:tcW w:w="3544" w:type="dxa"/>
            <w:vMerge/>
            <w:noWrap/>
            <w:vAlign w:val="center"/>
          </w:tcPr>
          <w:p w14:paraId="1FFDAC98" w14:textId="77777777" w:rsidR="00E42B18" w:rsidRDefault="00E42B18">
            <w:pPr>
              <w:rPr>
                <w:rFonts w:ascii="Arial Narrow" w:hAnsi="Arial Narrow"/>
                <w:noProof/>
                <w:sz w:val="20"/>
                <w:szCs w:val="20"/>
              </w:rPr>
            </w:pPr>
          </w:p>
        </w:tc>
      </w:tr>
      <w:tr w:rsidR="00E42B18" w14:paraId="14B78B0D" w14:textId="77777777" w:rsidTr="007F4B94">
        <w:trPr>
          <w:trHeight w:val="300"/>
        </w:trPr>
        <w:tc>
          <w:tcPr>
            <w:tcW w:w="1134" w:type="dxa"/>
            <w:shd w:val="clear" w:color="auto" w:fill="C6EFCE"/>
            <w:noWrap/>
            <w:vAlign w:val="center"/>
          </w:tcPr>
          <w:p w14:paraId="78BE74C2" w14:textId="77777777" w:rsidR="00E42B18" w:rsidRDefault="009629C4">
            <w:pPr>
              <w:pStyle w:val="P68B1DB1-Normal11"/>
              <w:spacing w:line="276" w:lineRule="auto"/>
              <w:jc w:val="center"/>
              <w:rPr>
                <w:noProof/>
              </w:rPr>
            </w:pPr>
            <w:r>
              <w:rPr>
                <w:noProof/>
              </w:rPr>
              <w:t>M2C4–6</w:t>
            </w:r>
          </w:p>
        </w:tc>
        <w:tc>
          <w:tcPr>
            <w:tcW w:w="1736" w:type="dxa"/>
            <w:shd w:val="clear" w:color="auto" w:fill="C6EFCE"/>
            <w:noWrap/>
            <w:vAlign w:val="center"/>
          </w:tcPr>
          <w:p w14:paraId="3D923B2D" w14:textId="77777777" w:rsidR="00E42B18" w:rsidRDefault="009629C4">
            <w:pPr>
              <w:pStyle w:val="P68B1DB1-Normal11"/>
              <w:spacing w:line="276" w:lineRule="auto"/>
              <w:jc w:val="center"/>
              <w:rPr>
                <w:noProof/>
              </w:rPr>
            </w:pPr>
            <w:r>
              <w:rPr>
                <w:noProof/>
              </w:rPr>
              <w:t>Investointi 3.2: Kansallispuistojen digitalisointi</w:t>
            </w:r>
          </w:p>
        </w:tc>
        <w:tc>
          <w:tcPr>
            <w:tcW w:w="1261" w:type="dxa"/>
            <w:shd w:val="clear" w:color="auto" w:fill="C6EFCE"/>
            <w:noWrap/>
            <w:vAlign w:val="center"/>
          </w:tcPr>
          <w:p w14:paraId="2DF4FB33" w14:textId="77777777" w:rsidR="00E42B18" w:rsidRDefault="009629C4">
            <w:pPr>
              <w:pStyle w:val="P68B1DB1-Normal11"/>
              <w:spacing w:line="276" w:lineRule="auto"/>
              <w:jc w:val="center"/>
              <w:rPr>
                <w:noProof/>
              </w:rPr>
            </w:pPr>
            <w:r>
              <w:rPr>
                <w:noProof/>
              </w:rPr>
              <w:t>Kohde</w:t>
            </w:r>
          </w:p>
        </w:tc>
        <w:tc>
          <w:tcPr>
            <w:tcW w:w="1365" w:type="dxa"/>
            <w:shd w:val="clear" w:color="auto" w:fill="C6EFCE"/>
            <w:noWrap/>
            <w:vAlign w:val="center"/>
          </w:tcPr>
          <w:p w14:paraId="2A55A2CE" w14:textId="77777777" w:rsidR="00E42B18" w:rsidRDefault="009629C4">
            <w:pPr>
              <w:pStyle w:val="P68B1DB1-Normal11"/>
              <w:spacing w:line="276" w:lineRule="auto"/>
              <w:jc w:val="center"/>
              <w:rPr>
                <w:noProof/>
              </w:rPr>
            </w:pPr>
            <w:r>
              <w:rPr>
                <w:noProof/>
              </w:rPr>
              <w:t>Digitaalisten palvelujen kehittäminen kansallispuistojen ja suojeltujen merialueiden vierailijoille</w:t>
            </w:r>
          </w:p>
        </w:tc>
        <w:tc>
          <w:tcPr>
            <w:tcW w:w="1264" w:type="dxa"/>
            <w:shd w:val="clear" w:color="auto" w:fill="C6EFCE"/>
            <w:noWrap/>
            <w:vAlign w:val="center"/>
          </w:tcPr>
          <w:p w14:paraId="3253730E" w14:textId="77777777" w:rsidR="00E42B18" w:rsidRDefault="009629C4">
            <w:pPr>
              <w:pStyle w:val="P68B1DB1-Normal11"/>
              <w:spacing w:line="276" w:lineRule="auto"/>
              <w:jc w:val="center"/>
              <w:rPr>
                <w:noProof/>
              </w:rPr>
            </w:pPr>
            <w:r>
              <w:rPr>
                <w:noProof/>
              </w:rPr>
              <w:t>EI OLE</w:t>
            </w:r>
          </w:p>
        </w:tc>
        <w:tc>
          <w:tcPr>
            <w:tcW w:w="1055" w:type="dxa"/>
            <w:shd w:val="clear" w:color="auto" w:fill="C6EFCE"/>
            <w:noWrap/>
            <w:vAlign w:val="center"/>
          </w:tcPr>
          <w:p w14:paraId="4671BF18" w14:textId="77777777" w:rsidR="00E42B18" w:rsidRDefault="009629C4">
            <w:pPr>
              <w:pStyle w:val="P68B1DB1-Normal11"/>
              <w:spacing w:line="276" w:lineRule="auto"/>
              <w:jc w:val="center"/>
              <w:rPr>
                <w:noProof/>
              </w:rPr>
            </w:pPr>
            <w:r>
              <w:rPr>
                <w:noProof/>
              </w:rPr>
              <w:t>Prosenttiosuus</w:t>
            </w:r>
          </w:p>
        </w:tc>
        <w:tc>
          <w:tcPr>
            <w:tcW w:w="946" w:type="dxa"/>
            <w:shd w:val="clear" w:color="auto" w:fill="C6EFCE"/>
            <w:noWrap/>
            <w:vAlign w:val="center"/>
          </w:tcPr>
          <w:p w14:paraId="14BCE1D9" w14:textId="77777777" w:rsidR="00E42B18" w:rsidRDefault="009629C4">
            <w:pPr>
              <w:pStyle w:val="P68B1DB1-Normal11"/>
              <w:spacing w:line="276" w:lineRule="auto"/>
              <w:jc w:val="center"/>
              <w:rPr>
                <w:noProof/>
              </w:rPr>
            </w:pPr>
            <w:r>
              <w:rPr>
                <w:noProof/>
              </w:rPr>
              <w:t>0</w:t>
            </w:r>
          </w:p>
        </w:tc>
        <w:tc>
          <w:tcPr>
            <w:tcW w:w="1000" w:type="dxa"/>
            <w:shd w:val="clear" w:color="auto" w:fill="C6EFCE"/>
            <w:noWrap/>
            <w:vAlign w:val="center"/>
          </w:tcPr>
          <w:p w14:paraId="2D310B6A" w14:textId="77777777" w:rsidR="00E42B18" w:rsidRDefault="009629C4">
            <w:pPr>
              <w:pStyle w:val="P68B1DB1-Normal11"/>
              <w:spacing w:line="276" w:lineRule="auto"/>
              <w:jc w:val="center"/>
              <w:rPr>
                <w:noProof/>
              </w:rPr>
            </w:pPr>
            <w:r>
              <w:rPr>
                <w:noProof/>
              </w:rPr>
              <w:t>70</w:t>
            </w:r>
          </w:p>
        </w:tc>
        <w:tc>
          <w:tcPr>
            <w:tcW w:w="809" w:type="dxa"/>
            <w:shd w:val="clear" w:color="auto" w:fill="C6EFCE"/>
            <w:noWrap/>
            <w:vAlign w:val="center"/>
          </w:tcPr>
          <w:p w14:paraId="4D8FA338" w14:textId="77777777" w:rsidR="00E42B18" w:rsidRDefault="009629C4">
            <w:pPr>
              <w:pStyle w:val="P68B1DB1-Normal11"/>
              <w:spacing w:line="276" w:lineRule="auto"/>
              <w:jc w:val="center"/>
              <w:rPr>
                <w:noProof/>
              </w:rPr>
            </w:pPr>
            <w:r>
              <w:rPr>
                <w:noProof/>
              </w:rPr>
              <w:t>Q2</w:t>
            </w:r>
          </w:p>
        </w:tc>
        <w:tc>
          <w:tcPr>
            <w:tcW w:w="770" w:type="dxa"/>
            <w:shd w:val="clear" w:color="auto" w:fill="C6EFCE"/>
            <w:noWrap/>
            <w:vAlign w:val="center"/>
          </w:tcPr>
          <w:p w14:paraId="1A7580A6" w14:textId="77777777" w:rsidR="00E42B18" w:rsidRDefault="009629C4">
            <w:pPr>
              <w:pStyle w:val="P68B1DB1-Normal11"/>
              <w:spacing w:line="276" w:lineRule="auto"/>
              <w:jc w:val="center"/>
              <w:rPr>
                <w:noProof/>
              </w:rPr>
            </w:pPr>
            <w:r>
              <w:rPr>
                <w:noProof/>
              </w:rPr>
              <w:t>2024</w:t>
            </w:r>
          </w:p>
        </w:tc>
        <w:tc>
          <w:tcPr>
            <w:tcW w:w="3544" w:type="dxa"/>
            <w:shd w:val="clear" w:color="auto" w:fill="C6EFCE"/>
            <w:noWrap/>
            <w:vAlign w:val="center"/>
          </w:tcPr>
          <w:p w14:paraId="28D529F6" w14:textId="022A8E96" w:rsidR="00E42B18" w:rsidRDefault="009629C4">
            <w:pPr>
              <w:pStyle w:val="P68B1DB1-Normal11"/>
              <w:spacing w:line="276" w:lineRule="auto"/>
              <w:rPr>
                <w:noProof/>
              </w:rPr>
            </w:pPr>
            <w:r>
              <w:rPr>
                <w:noProof/>
              </w:rPr>
              <w:t>Vähintään 70 prosenttia kansallispuistoista ja suojelluista merialueista on kehittänyt digitaalisia palveluja kansallispuistojen ja suojeltujen merialueiden vierailijoille (vähintään kaksi seuraavista: yhteys Naturitalia.IT-portaaliin; hallinnollisia menettelyjä koskeva hakemus tai kestävän liikkuvuuden sovellus).</w:t>
            </w:r>
          </w:p>
        </w:tc>
      </w:tr>
      <w:tr w:rsidR="00E42B18" w14:paraId="75B78CF8" w14:textId="77777777" w:rsidTr="007F4B94">
        <w:trPr>
          <w:trHeight w:val="300"/>
        </w:trPr>
        <w:tc>
          <w:tcPr>
            <w:tcW w:w="1134" w:type="dxa"/>
            <w:shd w:val="clear" w:color="auto" w:fill="C6EFCE"/>
            <w:noWrap/>
            <w:vAlign w:val="center"/>
            <w:hideMark/>
          </w:tcPr>
          <w:p w14:paraId="605E2C8A" w14:textId="77777777" w:rsidR="00E42B18" w:rsidRDefault="009629C4">
            <w:pPr>
              <w:pStyle w:val="P68B1DB1-Normal11"/>
              <w:spacing w:line="276" w:lineRule="auto"/>
              <w:jc w:val="center"/>
              <w:rPr>
                <w:rFonts w:eastAsia="Arial Narrow" w:cs="Arial Narrow"/>
                <w:noProof/>
                <w:szCs w:val="20"/>
              </w:rPr>
            </w:pPr>
            <w:r>
              <w:rPr>
                <w:noProof/>
              </w:rPr>
              <w:t>M2C4–6bis</w:t>
            </w:r>
          </w:p>
        </w:tc>
        <w:tc>
          <w:tcPr>
            <w:tcW w:w="1736" w:type="dxa"/>
            <w:shd w:val="clear" w:color="auto" w:fill="C6EFCE"/>
            <w:noWrap/>
            <w:vAlign w:val="center"/>
          </w:tcPr>
          <w:p w14:paraId="17DF9A87" w14:textId="77777777" w:rsidR="00E42B18" w:rsidRDefault="009629C4">
            <w:pPr>
              <w:pStyle w:val="P68B1DB1-Normal12"/>
              <w:spacing w:line="276" w:lineRule="auto"/>
              <w:jc w:val="center"/>
              <w:rPr>
                <w:rFonts w:eastAsia="Arial Narrow" w:cs="Arial Narrow"/>
                <w:noProof/>
              </w:rPr>
            </w:pPr>
            <w:r>
              <w:rPr>
                <w:noProof/>
              </w:rPr>
              <w:t>Investointi 3.2: Kansallispuistojen digitalisointi</w:t>
            </w:r>
          </w:p>
        </w:tc>
        <w:tc>
          <w:tcPr>
            <w:tcW w:w="1261" w:type="dxa"/>
            <w:shd w:val="clear" w:color="auto" w:fill="C6EFCE"/>
            <w:noWrap/>
            <w:vAlign w:val="center"/>
            <w:hideMark/>
          </w:tcPr>
          <w:p w14:paraId="7837F233"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tcPr>
          <w:p w14:paraId="15538178" w14:textId="77777777" w:rsidR="00E42B18" w:rsidRDefault="009629C4">
            <w:pPr>
              <w:pStyle w:val="P68B1DB1-Normal12"/>
              <w:spacing w:line="276" w:lineRule="auto"/>
              <w:jc w:val="center"/>
              <w:rPr>
                <w:noProof/>
              </w:rPr>
            </w:pPr>
            <w:r>
              <w:rPr>
                <w:noProof/>
              </w:rPr>
              <w:t xml:space="preserve"> Toteutetut luonnonsuojeluun ja luonnonvarojen seurantaan liittyvät toimet </w:t>
            </w:r>
          </w:p>
        </w:tc>
        <w:tc>
          <w:tcPr>
            <w:tcW w:w="1264" w:type="dxa"/>
            <w:shd w:val="clear" w:color="auto" w:fill="C6EFCE"/>
            <w:noWrap/>
            <w:vAlign w:val="center"/>
            <w:hideMark/>
          </w:tcPr>
          <w:p w14:paraId="3F9AA4A5" w14:textId="77777777" w:rsidR="00E42B18" w:rsidRDefault="009629C4">
            <w:pPr>
              <w:pStyle w:val="P68B1DB1-Normal81"/>
              <w:spacing w:line="276" w:lineRule="auto"/>
              <w:jc w:val="center"/>
              <w:rPr>
                <w:rFonts w:eastAsia="Arial Narrow" w:cs="Arial Narrow"/>
                <w:noProof/>
                <w:sz w:val="20"/>
                <w:szCs w:val="20"/>
              </w:rPr>
            </w:pPr>
            <w:r>
              <w:rPr>
                <w:noProof/>
              </w:rPr>
              <w:t xml:space="preserve">Annetut varmenteet </w:t>
            </w:r>
          </w:p>
        </w:tc>
        <w:tc>
          <w:tcPr>
            <w:tcW w:w="1055" w:type="dxa"/>
            <w:shd w:val="clear" w:color="auto" w:fill="C6EFCE"/>
            <w:noWrap/>
            <w:vAlign w:val="center"/>
            <w:hideMark/>
          </w:tcPr>
          <w:p w14:paraId="2AAB35CB" w14:textId="77777777" w:rsidR="00E42B18" w:rsidRDefault="00E42B18">
            <w:pPr>
              <w:spacing w:line="276" w:lineRule="auto"/>
              <w:jc w:val="center"/>
              <w:rPr>
                <w:rFonts w:ascii="Arial Narrow" w:hAnsi="Arial Narrow"/>
                <w:noProof/>
                <w:color w:val="006100"/>
                <w:sz w:val="20"/>
                <w:szCs w:val="20"/>
              </w:rPr>
            </w:pPr>
          </w:p>
        </w:tc>
        <w:tc>
          <w:tcPr>
            <w:tcW w:w="946" w:type="dxa"/>
            <w:shd w:val="clear" w:color="auto" w:fill="C6EFCE"/>
            <w:noWrap/>
            <w:vAlign w:val="center"/>
          </w:tcPr>
          <w:p w14:paraId="053B7D26" w14:textId="77777777" w:rsidR="00E42B18" w:rsidRDefault="00E42B18">
            <w:pPr>
              <w:spacing w:line="276" w:lineRule="auto"/>
              <w:jc w:val="center"/>
              <w:rPr>
                <w:rFonts w:ascii="Arial Narrow" w:hAnsi="Arial Narrow"/>
                <w:noProof/>
                <w:color w:val="006100"/>
                <w:sz w:val="20"/>
                <w:szCs w:val="20"/>
              </w:rPr>
            </w:pPr>
          </w:p>
        </w:tc>
        <w:tc>
          <w:tcPr>
            <w:tcW w:w="1000" w:type="dxa"/>
            <w:shd w:val="clear" w:color="auto" w:fill="C6EFCE"/>
            <w:noWrap/>
            <w:vAlign w:val="center"/>
          </w:tcPr>
          <w:p w14:paraId="563CCA75" w14:textId="77777777" w:rsidR="00E42B18" w:rsidRDefault="00E42B18">
            <w:pPr>
              <w:spacing w:line="276" w:lineRule="auto"/>
              <w:jc w:val="center"/>
              <w:rPr>
                <w:rFonts w:ascii="Arial Narrow" w:hAnsi="Arial Narrow"/>
                <w:noProof/>
                <w:color w:val="006100"/>
                <w:sz w:val="20"/>
                <w:szCs w:val="20"/>
              </w:rPr>
            </w:pPr>
          </w:p>
        </w:tc>
        <w:tc>
          <w:tcPr>
            <w:tcW w:w="809" w:type="dxa"/>
            <w:shd w:val="clear" w:color="auto" w:fill="C6EFCE"/>
            <w:noWrap/>
            <w:vAlign w:val="center"/>
            <w:hideMark/>
          </w:tcPr>
          <w:p w14:paraId="752FD86C" w14:textId="77777777" w:rsidR="00E42B18" w:rsidRDefault="009629C4">
            <w:pPr>
              <w:pStyle w:val="P68B1DB1-Normal11"/>
              <w:spacing w:line="276" w:lineRule="auto"/>
              <w:jc w:val="center"/>
              <w:rPr>
                <w:noProof/>
                <w:szCs w:val="20"/>
              </w:rPr>
            </w:pPr>
            <w:r>
              <w:rPr>
                <w:noProof/>
              </w:rPr>
              <w:t>Q2</w:t>
            </w:r>
          </w:p>
        </w:tc>
        <w:tc>
          <w:tcPr>
            <w:tcW w:w="770" w:type="dxa"/>
            <w:shd w:val="clear" w:color="auto" w:fill="C6EFCE"/>
            <w:noWrap/>
            <w:vAlign w:val="center"/>
            <w:hideMark/>
          </w:tcPr>
          <w:p w14:paraId="478E92FB" w14:textId="77777777" w:rsidR="00E42B18" w:rsidRDefault="009629C4">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48414D37" w14:textId="0F536883" w:rsidR="00E42B18" w:rsidRDefault="009629C4">
            <w:pPr>
              <w:pStyle w:val="P68B1DB1-ListParagraph13"/>
              <w:numPr>
                <w:ilvl w:val="0"/>
                <w:numId w:val="32"/>
              </w:numPr>
              <w:spacing w:after="0" w:line="276" w:lineRule="auto"/>
              <w:jc w:val="both"/>
              <w:rPr>
                <w:noProof/>
              </w:rPr>
            </w:pPr>
            <w:r>
              <w:rPr>
                <w:noProof/>
              </w:rPr>
              <w:t>Vaatimustenmukaisuustodistus (-todistukset) vähintään 12000 laitteelle, jotka on tarkoitettu luonnonsuojelu- ja seurantatoimiin;</w:t>
            </w:r>
          </w:p>
          <w:p w14:paraId="0C3C05CF" w14:textId="09D2CBA5" w:rsidR="00E42B18" w:rsidRDefault="009629C4">
            <w:pPr>
              <w:pStyle w:val="P68B1DB1-ListParagraph13"/>
              <w:numPr>
                <w:ilvl w:val="0"/>
                <w:numId w:val="32"/>
              </w:numPr>
              <w:spacing w:after="0" w:line="276" w:lineRule="auto"/>
              <w:jc w:val="both"/>
              <w:rPr>
                <w:noProof/>
              </w:rPr>
            </w:pPr>
            <w:r>
              <w:rPr>
                <w:noProof/>
              </w:rPr>
              <w:t>Todistus (todistukset) palvelujen säännöllisestä suorittamisesta luonnonpuistoissa ja suojelluilla merialueilla vähintään seitsemän erityyppisen teknisen palvelun tarjoamiseksi sekä tieteellistä ja paikalla tapahtuvaa seurantaa varten annettava koulutus.</w:t>
            </w:r>
          </w:p>
        </w:tc>
      </w:tr>
      <w:tr w:rsidR="00E42B18" w14:paraId="3A482D7F" w14:textId="77777777" w:rsidTr="007F4B94">
        <w:trPr>
          <w:trHeight w:val="300"/>
        </w:trPr>
        <w:tc>
          <w:tcPr>
            <w:tcW w:w="1134" w:type="dxa"/>
            <w:shd w:val="clear" w:color="auto" w:fill="C6EFCE"/>
            <w:noWrap/>
            <w:vAlign w:val="center"/>
            <w:hideMark/>
          </w:tcPr>
          <w:p w14:paraId="1DA7FDD5" w14:textId="77777777" w:rsidR="00E42B18" w:rsidRDefault="009629C4">
            <w:pPr>
              <w:pStyle w:val="P68B1DB1-Normal11"/>
              <w:spacing w:line="276" w:lineRule="auto"/>
              <w:jc w:val="center"/>
              <w:rPr>
                <w:noProof/>
                <w:szCs w:val="20"/>
              </w:rPr>
            </w:pPr>
            <w:r>
              <w:rPr>
                <w:noProof/>
              </w:rPr>
              <w:t>M2C4–7</w:t>
            </w:r>
          </w:p>
        </w:tc>
        <w:tc>
          <w:tcPr>
            <w:tcW w:w="1736" w:type="dxa"/>
            <w:shd w:val="clear" w:color="auto" w:fill="C6EFCE"/>
            <w:noWrap/>
            <w:vAlign w:val="center"/>
          </w:tcPr>
          <w:p w14:paraId="50C1920B" w14:textId="77777777" w:rsidR="00E42B18" w:rsidRDefault="009629C4">
            <w:pPr>
              <w:pStyle w:val="P68B1DB1-Normal11"/>
              <w:spacing w:line="276" w:lineRule="auto"/>
              <w:jc w:val="center"/>
              <w:rPr>
                <w:noProof/>
                <w:szCs w:val="20"/>
              </w:rPr>
            </w:pPr>
            <w:r>
              <w:rPr>
                <w:noProof/>
              </w:rPr>
              <w:t>Uudistus 3.1: Ilman pilaantumisen valvontaa koskevien kansallisten ohjelmien hyväksyminen</w:t>
            </w:r>
          </w:p>
        </w:tc>
        <w:tc>
          <w:tcPr>
            <w:tcW w:w="1261" w:type="dxa"/>
            <w:shd w:val="clear" w:color="auto" w:fill="C6EFCE"/>
            <w:noWrap/>
            <w:vAlign w:val="center"/>
            <w:hideMark/>
          </w:tcPr>
          <w:p w14:paraId="2D0C9CA5"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tcPr>
          <w:p w14:paraId="57E227F4" w14:textId="77777777" w:rsidR="00E42B18" w:rsidRDefault="009629C4">
            <w:pPr>
              <w:pStyle w:val="P68B1DB1-Normal11"/>
              <w:spacing w:line="276" w:lineRule="auto"/>
              <w:jc w:val="center"/>
              <w:rPr>
                <w:noProof/>
                <w:szCs w:val="20"/>
              </w:rPr>
            </w:pPr>
            <w:r>
              <w:rPr>
                <w:noProof/>
              </w:rPr>
              <w:t>Kansallisen ilmansuojeluohjelman voimaantulo</w:t>
            </w:r>
          </w:p>
        </w:tc>
        <w:tc>
          <w:tcPr>
            <w:tcW w:w="1264" w:type="dxa"/>
            <w:shd w:val="clear" w:color="auto" w:fill="C6EFCE"/>
            <w:noWrap/>
            <w:vAlign w:val="center"/>
            <w:hideMark/>
          </w:tcPr>
          <w:p w14:paraId="1A239675" w14:textId="77777777" w:rsidR="00E42B18" w:rsidRDefault="009629C4">
            <w:pPr>
              <w:pStyle w:val="P68B1DB1-Normal11"/>
              <w:spacing w:line="276" w:lineRule="auto"/>
              <w:jc w:val="center"/>
              <w:rPr>
                <w:noProof/>
                <w:szCs w:val="20"/>
              </w:rPr>
            </w:pPr>
            <w:r>
              <w:rPr>
                <w:noProof/>
              </w:rPr>
              <w:t>DPCM:n säännös, jossa ilmoitetaan voimaantulo</w:t>
            </w:r>
          </w:p>
        </w:tc>
        <w:tc>
          <w:tcPr>
            <w:tcW w:w="1055" w:type="dxa"/>
            <w:shd w:val="clear" w:color="auto" w:fill="C6EFCE"/>
            <w:noWrap/>
            <w:vAlign w:val="center"/>
            <w:hideMark/>
          </w:tcPr>
          <w:p w14:paraId="624FBFAC" w14:textId="77777777" w:rsidR="00E42B18" w:rsidRDefault="009629C4">
            <w:pPr>
              <w:pStyle w:val="P68B1DB1-Normal11"/>
              <w:spacing w:line="276" w:lineRule="auto"/>
              <w:jc w:val="center"/>
              <w:rPr>
                <w:noProof/>
                <w:szCs w:val="20"/>
              </w:rPr>
            </w:pPr>
            <w:r>
              <w:rPr>
                <w:noProof/>
              </w:rPr>
              <w:t>EI OLE</w:t>
            </w:r>
          </w:p>
        </w:tc>
        <w:tc>
          <w:tcPr>
            <w:tcW w:w="946" w:type="dxa"/>
            <w:shd w:val="clear" w:color="auto" w:fill="C6EFCE"/>
            <w:noWrap/>
            <w:vAlign w:val="center"/>
          </w:tcPr>
          <w:p w14:paraId="28791A07" w14:textId="77777777" w:rsidR="00E42B18" w:rsidRDefault="009629C4">
            <w:pPr>
              <w:pStyle w:val="P68B1DB1-Normal11"/>
              <w:spacing w:line="276" w:lineRule="auto"/>
              <w:jc w:val="center"/>
              <w:rPr>
                <w:noProof/>
                <w:szCs w:val="20"/>
              </w:rPr>
            </w:pPr>
            <w:r>
              <w:rPr>
                <w:noProof/>
              </w:rPr>
              <w:t>EI MERKINTÄÄ</w:t>
            </w:r>
          </w:p>
        </w:tc>
        <w:tc>
          <w:tcPr>
            <w:tcW w:w="1000" w:type="dxa"/>
            <w:shd w:val="clear" w:color="auto" w:fill="C6EFCE"/>
            <w:noWrap/>
            <w:vAlign w:val="center"/>
          </w:tcPr>
          <w:p w14:paraId="48E851A3" w14:textId="77777777" w:rsidR="00E42B18" w:rsidRDefault="009629C4">
            <w:pPr>
              <w:pStyle w:val="P68B1DB1-Normal11"/>
              <w:spacing w:line="276" w:lineRule="auto"/>
              <w:jc w:val="center"/>
              <w:rPr>
                <w:noProof/>
                <w:szCs w:val="20"/>
              </w:rPr>
            </w:pPr>
            <w:r>
              <w:rPr>
                <w:noProof/>
              </w:rPr>
              <w:t>EI OLE</w:t>
            </w:r>
          </w:p>
        </w:tc>
        <w:tc>
          <w:tcPr>
            <w:tcW w:w="809" w:type="dxa"/>
            <w:shd w:val="clear" w:color="auto" w:fill="C6EFCE"/>
            <w:noWrap/>
            <w:vAlign w:val="center"/>
            <w:hideMark/>
          </w:tcPr>
          <w:p w14:paraId="1390C4EA" w14:textId="77777777" w:rsidR="00E42B18" w:rsidRDefault="009629C4">
            <w:pPr>
              <w:pStyle w:val="P68B1DB1-Normal11"/>
              <w:spacing w:line="276" w:lineRule="auto"/>
              <w:jc w:val="center"/>
              <w:rPr>
                <w:noProof/>
                <w:szCs w:val="20"/>
              </w:rPr>
            </w:pPr>
            <w:r>
              <w:rPr>
                <w:noProof/>
              </w:rPr>
              <w:t>Q4</w:t>
            </w:r>
          </w:p>
        </w:tc>
        <w:tc>
          <w:tcPr>
            <w:tcW w:w="770" w:type="dxa"/>
            <w:shd w:val="clear" w:color="auto" w:fill="C6EFCE"/>
            <w:noWrap/>
            <w:vAlign w:val="center"/>
            <w:hideMark/>
          </w:tcPr>
          <w:p w14:paraId="33DF11A9" w14:textId="77777777" w:rsidR="00E42B18" w:rsidRDefault="009629C4">
            <w:pPr>
              <w:pStyle w:val="P68B1DB1-Normal11"/>
              <w:spacing w:line="276" w:lineRule="auto"/>
              <w:jc w:val="center"/>
              <w:rPr>
                <w:noProof/>
                <w:szCs w:val="20"/>
              </w:rPr>
            </w:pPr>
            <w:r>
              <w:rPr>
                <w:noProof/>
              </w:rPr>
              <w:t>2021</w:t>
            </w:r>
          </w:p>
        </w:tc>
        <w:tc>
          <w:tcPr>
            <w:tcW w:w="3544" w:type="dxa"/>
            <w:shd w:val="clear" w:color="auto" w:fill="C6EFCE"/>
            <w:noWrap/>
            <w:vAlign w:val="center"/>
            <w:hideMark/>
          </w:tcPr>
          <w:p w14:paraId="0FB55345" w14:textId="76DB328F" w:rsidR="00E42B18" w:rsidRDefault="009629C4">
            <w:pPr>
              <w:pStyle w:val="P68B1DB1-Normal11"/>
              <w:spacing w:line="276" w:lineRule="auto"/>
              <w:rPr>
                <w:noProof/>
                <w:szCs w:val="20"/>
              </w:rPr>
            </w:pPr>
            <w:r>
              <w:rPr>
                <w:noProof/>
              </w:rPr>
              <w:t>Ministerineuvoston puheenjohtajan asetuksella vahvistetaan kansallinen ilman pilaantumisen valvontaohjelma, jossa otetaan käyttöön asianmukaiset toimenpiteet ilman pilaantumisen vähentämiseksi EU:n direktiivin 2016/2284 ja 30 päivänä toukokuuta 2018 annetun asetuksen nro 81, jolla kyseinen direktiivi saatetaan osaksi kansallista lainsäädäntöä, mukaisesti.</w:t>
            </w:r>
          </w:p>
        </w:tc>
      </w:tr>
      <w:tr w:rsidR="00E42B18" w14:paraId="5120290A" w14:textId="77777777" w:rsidTr="007F4B94">
        <w:trPr>
          <w:trHeight w:val="300"/>
        </w:trPr>
        <w:tc>
          <w:tcPr>
            <w:tcW w:w="1134" w:type="dxa"/>
            <w:shd w:val="clear" w:color="auto" w:fill="C6EFCE"/>
            <w:noWrap/>
            <w:vAlign w:val="center"/>
            <w:hideMark/>
          </w:tcPr>
          <w:p w14:paraId="7E063A26" w14:textId="77777777" w:rsidR="00E42B18" w:rsidRDefault="009629C4">
            <w:pPr>
              <w:pStyle w:val="P68B1DB1-Normal11"/>
              <w:spacing w:line="276" w:lineRule="auto"/>
              <w:jc w:val="center"/>
              <w:rPr>
                <w:noProof/>
                <w:szCs w:val="20"/>
              </w:rPr>
            </w:pPr>
            <w:r>
              <w:rPr>
                <w:noProof/>
              </w:rPr>
              <w:t>M2C4–8</w:t>
            </w:r>
          </w:p>
        </w:tc>
        <w:tc>
          <w:tcPr>
            <w:tcW w:w="1736" w:type="dxa"/>
            <w:shd w:val="clear" w:color="auto" w:fill="C6EFCE"/>
            <w:noWrap/>
            <w:vAlign w:val="center"/>
          </w:tcPr>
          <w:p w14:paraId="4FF1BBEA" w14:textId="77777777" w:rsidR="00E42B18" w:rsidRDefault="009629C4">
            <w:pPr>
              <w:pStyle w:val="P68B1DB1-Normal11"/>
              <w:spacing w:line="276" w:lineRule="auto"/>
              <w:jc w:val="center"/>
              <w:rPr>
                <w:noProof/>
                <w:szCs w:val="20"/>
              </w:rPr>
            </w:pPr>
            <w:r>
              <w:rPr>
                <w:noProof/>
              </w:rPr>
              <w:t>Investointi 1.1. Kehittyneen ja integroidun seuranta- ja ennustejärjestelmän täytäntöönpano</w:t>
            </w:r>
          </w:p>
        </w:tc>
        <w:tc>
          <w:tcPr>
            <w:tcW w:w="1261" w:type="dxa"/>
            <w:shd w:val="clear" w:color="auto" w:fill="C6EFCE"/>
            <w:noWrap/>
            <w:vAlign w:val="center"/>
            <w:hideMark/>
          </w:tcPr>
          <w:p w14:paraId="07C2E072"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tcPr>
          <w:p w14:paraId="5A29201F" w14:textId="77777777" w:rsidR="00E42B18" w:rsidRDefault="009629C4">
            <w:pPr>
              <w:pStyle w:val="P68B1DB1-Normal11"/>
              <w:spacing w:line="276" w:lineRule="auto"/>
              <w:jc w:val="center"/>
              <w:rPr>
                <w:noProof/>
                <w:szCs w:val="20"/>
              </w:rPr>
            </w:pPr>
            <w:r>
              <w:rPr>
                <w:noProof/>
              </w:rPr>
              <w:t>Kehittyneen ja integroidun seuranta- ja ennustejärjestelmän toimintasuunnitelma hydrologisten riskien tunnistamiseksi</w:t>
            </w:r>
          </w:p>
        </w:tc>
        <w:tc>
          <w:tcPr>
            <w:tcW w:w="1264" w:type="dxa"/>
            <w:shd w:val="clear" w:color="auto" w:fill="C6EFCE"/>
            <w:noWrap/>
            <w:vAlign w:val="center"/>
            <w:hideMark/>
          </w:tcPr>
          <w:p w14:paraId="76C233A1" w14:textId="522F8BF0" w:rsidR="00E42B18" w:rsidRDefault="009629C4">
            <w:pPr>
              <w:pStyle w:val="P68B1DB1-Normal11"/>
              <w:spacing w:line="276" w:lineRule="auto"/>
              <w:jc w:val="center"/>
              <w:rPr>
                <w:noProof/>
                <w:szCs w:val="20"/>
              </w:rPr>
            </w:pPr>
            <w:r>
              <w:rPr>
                <w:noProof/>
              </w:rPr>
              <w:t>Ministeriön asetuksen voimaantuloa koskeva säännös</w:t>
            </w:r>
          </w:p>
        </w:tc>
        <w:tc>
          <w:tcPr>
            <w:tcW w:w="1055" w:type="dxa"/>
            <w:shd w:val="clear" w:color="auto" w:fill="C6EFCE"/>
            <w:noWrap/>
            <w:vAlign w:val="center"/>
            <w:hideMark/>
          </w:tcPr>
          <w:p w14:paraId="134396AF" w14:textId="77777777" w:rsidR="00E42B18" w:rsidRDefault="009629C4">
            <w:pPr>
              <w:pStyle w:val="P68B1DB1-Normal11"/>
              <w:spacing w:line="276" w:lineRule="auto"/>
              <w:jc w:val="center"/>
              <w:rPr>
                <w:noProof/>
                <w:szCs w:val="20"/>
              </w:rPr>
            </w:pPr>
            <w:r>
              <w:rPr>
                <w:noProof/>
              </w:rPr>
              <w:t>EI OLE</w:t>
            </w:r>
          </w:p>
        </w:tc>
        <w:tc>
          <w:tcPr>
            <w:tcW w:w="946" w:type="dxa"/>
            <w:shd w:val="clear" w:color="auto" w:fill="C6EFCE"/>
            <w:noWrap/>
            <w:vAlign w:val="center"/>
          </w:tcPr>
          <w:p w14:paraId="22F88055" w14:textId="77777777" w:rsidR="00E42B18" w:rsidRDefault="009629C4">
            <w:pPr>
              <w:pStyle w:val="P68B1DB1-Normal11"/>
              <w:spacing w:line="276" w:lineRule="auto"/>
              <w:jc w:val="center"/>
              <w:rPr>
                <w:noProof/>
                <w:szCs w:val="20"/>
              </w:rPr>
            </w:pPr>
            <w:r>
              <w:rPr>
                <w:noProof/>
              </w:rPr>
              <w:t>EI OLE</w:t>
            </w:r>
          </w:p>
        </w:tc>
        <w:tc>
          <w:tcPr>
            <w:tcW w:w="1000" w:type="dxa"/>
            <w:shd w:val="clear" w:color="auto" w:fill="C6EFCE"/>
            <w:noWrap/>
            <w:vAlign w:val="center"/>
          </w:tcPr>
          <w:p w14:paraId="325FFEAB" w14:textId="77777777" w:rsidR="00E42B18" w:rsidRDefault="009629C4">
            <w:pPr>
              <w:pStyle w:val="P68B1DB1-Normal11"/>
              <w:spacing w:line="276" w:lineRule="auto"/>
              <w:jc w:val="center"/>
              <w:rPr>
                <w:noProof/>
                <w:szCs w:val="20"/>
              </w:rPr>
            </w:pPr>
            <w:r>
              <w:rPr>
                <w:noProof/>
              </w:rPr>
              <w:t>EI OLE</w:t>
            </w:r>
          </w:p>
        </w:tc>
        <w:tc>
          <w:tcPr>
            <w:tcW w:w="809" w:type="dxa"/>
            <w:shd w:val="clear" w:color="auto" w:fill="C6EFCE"/>
            <w:noWrap/>
            <w:vAlign w:val="center"/>
            <w:hideMark/>
          </w:tcPr>
          <w:p w14:paraId="27B9AC08" w14:textId="77777777" w:rsidR="00E42B18" w:rsidRDefault="009629C4">
            <w:pPr>
              <w:pStyle w:val="P68B1DB1-Normal11"/>
              <w:spacing w:line="276" w:lineRule="auto"/>
              <w:jc w:val="center"/>
              <w:rPr>
                <w:noProof/>
                <w:szCs w:val="20"/>
              </w:rPr>
            </w:pPr>
            <w:r>
              <w:rPr>
                <w:noProof/>
              </w:rPr>
              <w:t>Q3</w:t>
            </w:r>
          </w:p>
        </w:tc>
        <w:tc>
          <w:tcPr>
            <w:tcW w:w="770" w:type="dxa"/>
            <w:shd w:val="clear" w:color="auto" w:fill="C6EFCE"/>
            <w:noWrap/>
            <w:vAlign w:val="center"/>
            <w:hideMark/>
          </w:tcPr>
          <w:p w14:paraId="19097471" w14:textId="77777777" w:rsidR="00E42B18" w:rsidRDefault="009629C4">
            <w:pPr>
              <w:pStyle w:val="P68B1DB1-Normal11"/>
              <w:spacing w:line="276" w:lineRule="auto"/>
              <w:jc w:val="center"/>
              <w:rPr>
                <w:noProof/>
                <w:szCs w:val="20"/>
              </w:rPr>
            </w:pPr>
            <w:r>
              <w:rPr>
                <w:noProof/>
              </w:rPr>
              <w:t>2021</w:t>
            </w:r>
          </w:p>
        </w:tc>
        <w:tc>
          <w:tcPr>
            <w:tcW w:w="3544" w:type="dxa"/>
            <w:shd w:val="clear" w:color="auto" w:fill="C6EFCE"/>
            <w:noWrap/>
            <w:vAlign w:val="center"/>
            <w:hideMark/>
          </w:tcPr>
          <w:p w14:paraId="1AC4DC1C" w14:textId="77777777" w:rsidR="00E42B18" w:rsidRDefault="009629C4">
            <w:pPr>
              <w:pStyle w:val="P68B1DB1-Normal11"/>
              <w:spacing w:line="276" w:lineRule="auto"/>
              <w:rPr>
                <w:noProof/>
                <w:szCs w:val="20"/>
              </w:rPr>
            </w:pPr>
            <w:r>
              <w:rPr>
                <w:noProof/>
              </w:rPr>
              <w:t>Ministeriön asetuksella hyväksytään toimintasuunnitelma kehittyneen ja integroidun seuranta- ja ennustejärjestelmän toteuttamiseksi hydrologisten riskien tunnistamiseksi. Sen on vähintään:</w:t>
            </w:r>
          </w:p>
          <w:p w14:paraId="0D3CD579" w14:textId="77777777" w:rsidR="00E42B18" w:rsidRDefault="009629C4">
            <w:pPr>
              <w:pStyle w:val="P68B1DB1-ListParagraph15"/>
              <w:numPr>
                <w:ilvl w:val="0"/>
                <w:numId w:val="27"/>
              </w:numPr>
              <w:spacing w:before="120" w:after="120" w:line="276" w:lineRule="auto"/>
              <w:ind w:left="424"/>
              <w:jc w:val="both"/>
              <w:rPr>
                <w:noProof/>
                <w:szCs w:val="20"/>
              </w:rPr>
            </w:pPr>
            <w:r>
              <w:rPr>
                <w:noProof/>
              </w:rPr>
              <w:t>Kaukokartoitussovellusten ja datakenttäantureiden suunnittelu;</w:t>
            </w:r>
          </w:p>
          <w:p w14:paraId="71D63861" w14:textId="77777777" w:rsidR="00E42B18" w:rsidRDefault="009629C4">
            <w:pPr>
              <w:pStyle w:val="P68B1DB1-ListParagraph15"/>
              <w:numPr>
                <w:ilvl w:val="0"/>
                <w:numId w:val="27"/>
              </w:numPr>
              <w:spacing w:before="120" w:after="120" w:line="276" w:lineRule="auto"/>
              <w:ind w:left="424"/>
              <w:jc w:val="both"/>
              <w:rPr>
                <w:noProof/>
                <w:szCs w:val="20"/>
              </w:rPr>
            </w:pPr>
            <w:r>
              <w:rPr>
                <w:noProof/>
              </w:rPr>
              <w:t>Kehitetään viestintäjärjestelmä, joka mahdollistaa koordinoinnin ja yhteentoimivuuden eri toimijoiden välillä valvontasaleissa</w:t>
            </w:r>
          </w:p>
          <w:p w14:paraId="423DCEA2" w14:textId="77777777" w:rsidR="00E42B18" w:rsidRDefault="009629C4">
            <w:pPr>
              <w:pStyle w:val="P68B1DB1-ListParagraph15"/>
              <w:numPr>
                <w:ilvl w:val="0"/>
                <w:numId w:val="27"/>
              </w:numPr>
              <w:spacing w:before="120" w:after="120" w:line="276" w:lineRule="auto"/>
              <w:ind w:left="424"/>
              <w:jc w:val="both"/>
              <w:rPr>
                <w:noProof/>
                <w:szCs w:val="20"/>
              </w:rPr>
            </w:pPr>
            <w:r>
              <w:rPr>
                <w:noProof/>
              </w:rPr>
              <w:t>Perustetaan keskus- ja aluevalvontahuoneita</w:t>
            </w:r>
          </w:p>
          <w:p w14:paraId="582CFE2F" w14:textId="77777777" w:rsidR="00E42B18" w:rsidRDefault="009629C4">
            <w:pPr>
              <w:pStyle w:val="P68B1DB1-ListParagraph15"/>
              <w:numPr>
                <w:ilvl w:val="0"/>
                <w:numId w:val="27"/>
              </w:numPr>
              <w:spacing w:before="120" w:after="120" w:line="276" w:lineRule="auto"/>
              <w:ind w:left="424"/>
              <w:jc w:val="both"/>
              <w:rPr>
                <w:noProof/>
                <w:szCs w:val="20"/>
              </w:rPr>
            </w:pPr>
            <w:r>
              <w:rPr>
                <w:noProof/>
              </w:rPr>
              <w:t>Kyberturvallisuusjärjestelmien ja -palvelujen kehittäminen</w:t>
            </w:r>
          </w:p>
        </w:tc>
      </w:tr>
      <w:tr w:rsidR="00E42B18" w14:paraId="3FAFBE0B" w14:textId="77777777" w:rsidTr="007F4B94">
        <w:trPr>
          <w:trHeight w:val="300"/>
        </w:trPr>
        <w:tc>
          <w:tcPr>
            <w:tcW w:w="1134" w:type="dxa"/>
            <w:shd w:val="clear" w:color="auto" w:fill="C6EFCE"/>
            <w:noWrap/>
            <w:vAlign w:val="center"/>
            <w:hideMark/>
          </w:tcPr>
          <w:p w14:paraId="59D347E9" w14:textId="77777777" w:rsidR="00E42B18" w:rsidRDefault="009629C4">
            <w:pPr>
              <w:pStyle w:val="P68B1DB1-Normal12"/>
              <w:spacing w:line="276" w:lineRule="auto"/>
              <w:jc w:val="center"/>
              <w:rPr>
                <w:noProof/>
              </w:rPr>
            </w:pPr>
            <w:r>
              <w:rPr>
                <w:noProof/>
              </w:rPr>
              <w:t>M2C4–9</w:t>
            </w:r>
          </w:p>
        </w:tc>
        <w:tc>
          <w:tcPr>
            <w:tcW w:w="1736" w:type="dxa"/>
            <w:shd w:val="clear" w:color="auto" w:fill="C6EFCE"/>
            <w:noWrap/>
            <w:vAlign w:val="center"/>
          </w:tcPr>
          <w:p w14:paraId="197AA956" w14:textId="77777777" w:rsidR="00E42B18" w:rsidRDefault="00E42B18">
            <w:pPr>
              <w:spacing w:line="276" w:lineRule="auto"/>
              <w:jc w:val="center"/>
              <w:rPr>
                <w:rFonts w:ascii="Arial Narrow" w:hAnsi="Arial Narrow"/>
                <w:noProof/>
                <w:color w:val="006100"/>
                <w:sz w:val="20"/>
                <w:szCs w:val="20"/>
              </w:rPr>
            </w:pPr>
          </w:p>
          <w:p w14:paraId="11BF0D1B" w14:textId="77777777" w:rsidR="00E42B18" w:rsidRDefault="009629C4">
            <w:pPr>
              <w:pStyle w:val="P68B1DB1-Normal11"/>
              <w:spacing w:line="276" w:lineRule="auto"/>
              <w:jc w:val="center"/>
              <w:rPr>
                <w:noProof/>
                <w:szCs w:val="20"/>
              </w:rPr>
            </w:pPr>
            <w:r>
              <w:rPr>
                <w:noProof/>
              </w:rPr>
              <w:t>Investointi 1.1. Kehittyneen ja integroidun seuranta- ja ennustejärjestelmän täytäntöönpano</w:t>
            </w:r>
          </w:p>
        </w:tc>
        <w:tc>
          <w:tcPr>
            <w:tcW w:w="1261" w:type="dxa"/>
            <w:shd w:val="clear" w:color="auto" w:fill="C6EFCE"/>
            <w:noWrap/>
            <w:vAlign w:val="center"/>
            <w:hideMark/>
          </w:tcPr>
          <w:p w14:paraId="69667583" w14:textId="77777777" w:rsidR="00E42B18" w:rsidRDefault="009629C4">
            <w:pPr>
              <w:pStyle w:val="P68B1DB1-Normal12"/>
              <w:spacing w:line="276" w:lineRule="auto"/>
              <w:jc w:val="center"/>
              <w:rPr>
                <w:noProof/>
              </w:rPr>
            </w:pPr>
            <w:r>
              <w:rPr>
                <w:noProof/>
              </w:rPr>
              <w:t>Virstanpylväs</w:t>
            </w:r>
          </w:p>
        </w:tc>
        <w:tc>
          <w:tcPr>
            <w:tcW w:w="1365" w:type="dxa"/>
            <w:shd w:val="clear" w:color="auto" w:fill="C6EFCE"/>
            <w:noWrap/>
            <w:vAlign w:val="center"/>
          </w:tcPr>
          <w:p w14:paraId="1AB6FEFB" w14:textId="051856ED" w:rsidR="00E42B18" w:rsidRDefault="009629C4">
            <w:pPr>
              <w:pStyle w:val="P68B1DB1-Normal12"/>
              <w:spacing w:line="276" w:lineRule="auto"/>
              <w:jc w:val="center"/>
              <w:rPr>
                <w:noProof/>
              </w:rPr>
            </w:pPr>
            <w:r>
              <w:rPr>
                <w:noProof/>
              </w:rPr>
              <w:t xml:space="preserve">Seuranta- ja ennustejärjestelmä on käytettävissä </w:t>
            </w:r>
          </w:p>
        </w:tc>
        <w:tc>
          <w:tcPr>
            <w:tcW w:w="1264" w:type="dxa"/>
            <w:shd w:val="clear" w:color="auto" w:fill="C6EFCE"/>
            <w:noWrap/>
            <w:vAlign w:val="center"/>
            <w:hideMark/>
          </w:tcPr>
          <w:p w14:paraId="7960953C" w14:textId="77777777" w:rsidR="00E42B18" w:rsidRDefault="009629C4">
            <w:pPr>
              <w:pStyle w:val="P68B1DB1-Normal12"/>
              <w:spacing w:line="276" w:lineRule="auto"/>
              <w:jc w:val="center"/>
              <w:rPr>
                <w:noProof/>
              </w:rPr>
            </w:pPr>
            <w:r>
              <w:rPr>
                <w:noProof/>
              </w:rPr>
              <w:t xml:space="preserve">Verkossa saatavilla oleva järjestelmä </w:t>
            </w:r>
          </w:p>
        </w:tc>
        <w:tc>
          <w:tcPr>
            <w:tcW w:w="1055" w:type="dxa"/>
            <w:shd w:val="clear" w:color="auto" w:fill="C6EFCE"/>
            <w:noWrap/>
            <w:vAlign w:val="center"/>
            <w:hideMark/>
          </w:tcPr>
          <w:p w14:paraId="094A0587" w14:textId="77777777" w:rsidR="00E42B18" w:rsidRDefault="009629C4">
            <w:pPr>
              <w:pStyle w:val="P68B1DB1-Normal12"/>
              <w:spacing w:line="276" w:lineRule="auto"/>
              <w:jc w:val="center"/>
              <w:rPr>
                <w:noProof/>
              </w:rPr>
            </w:pPr>
            <w:r>
              <w:rPr>
                <w:noProof/>
              </w:rPr>
              <w:t>EI OLE</w:t>
            </w:r>
          </w:p>
        </w:tc>
        <w:tc>
          <w:tcPr>
            <w:tcW w:w="946" w:type="dxa"/>
            <w:shd w:val="clear" w:color="auto" w:fill="C6EFCE"/>
            <w:noWrap/>
            <w:vAlign w:val="center"/>
          </w:tcPr>
          <w:p w14:paraId="77C2C0B7" w14:textId="77777777" w:rsidR="00E42B18" w:rsidRDefault="009629C4">
            <w:pPr>
              <w:pStyle w:val="P68B1DB1-Normal12"/>
              <w:spacing w:line="276" w:lineRule="auto"/>
              <w:jc w:val="center"/>
              <w:rPr>
                <w:noProof/>
              </w:rPr>
            </w:pPr>
            <w:r>
              <w:rPr>
                <w:noProof/>
              </w:rPr>
              <w:t>EI OLE</w:t>
            </w:r>
          </w:p>
        </w:tc>
        <w:tc>
          <w:tcPr>
            <w:tcW w:w="1000" w:type="dxa"/>
            <w:shd w:val="clear" w:color="auto" w:fill="C6EFCE"/>
            <w:noWrap/>
            <w:vAlign w:val="center"/>
          </w:tcPr>
          <w:p w14:paraId="056820EC" w14:textId="77777777" w:rsidR="00E42B18" w:rsidRDefault="009629C4">
            <w:pPr>
              <w:pStyle w:val="P68B1DB1-Normal12"/>
              <w:spacing w:line="276" w:lineRule="auto"/>
              <w:jc w:val="center"/>
              <w:rPr>
                <w:noProof/>
              </w:rPr>
            </w:pPr>
            <w:r>
              <w:rPr>
                <w:noProof/>
              </w:rPr>
              <w:t>EI OLE</w:t>
            </w:r>
          </w:p>
        </w:tc>
        <w:tc>
          <w:tcPr>
            <w:tcW w:w="809" w:type="dxa"/>
            <w:shd w:val="clear" w:color="auto" w:fill="C6EFCE"/>
            <w:noWrap/>
            <w:vAlign w:val="center"/>
            <w:hideMark/>
          </w:tcPr>
          <w:p w14:paraId="06C3BBB4" w14:textId="77777777" w:rsidR="00E42B18" w:rsidRDefault="009629C4">
            <w:pPr>
              <w:pStyle w:val="P68B1DB1-Normal11"/>
              <w:spacing w:line="276" w:lineRule="auto"/>
              <w:jc w:val="center"/>
              <w:rPr>
                <w:noProof/>
                <w:szCs w:val="20"/>
              </w:rPr>
            </w:pPr>
            <w:r>
              <w:rPr>
                <w:noProof/>
              </w:rPr>
              <w:t>Q2</w:t>
            </w:r>
          </w:p>
        </w:tc>
        <w:tc>
          <w:tcPr>
            <w:tcW w:w="770" w:type="dxa"/>
            <w:shd w:val="clear" w:color="auto" w:fill="C6EFCE"/>
            <w:noWrap/>
            <w:vAlign w:val="center"/>
            <w:hideMark/>
          </w:tcPr>
          <w:p w14:paraId="1E04A430" w14:textId="77777777" w:rsidR="00E42B18" w:rsidRDefault="009629C4">
            <w:pPr>
              <w:pStyle w:val="P68B1DB1-Normal11"/>
              <w:spacing w:line="276" w:lineRule="auto"/>
              <w:jc w:val="center"/>
              <w:rPr>
                <w:noProof/>
                <w:szCs w:val="20"/>
              </w:rPr>
            </w:pPr>
            <w:r>
              <w:rPr>
                <w:noProof/>
              </w:rPr>
              <w:t>2025</w:t>
            </w:r>
          </w:p>
        </w:tc>
        <w:tc>
          <w:tcPr>
            <w:tcW w:w="3544" w:type="dxa"/>
            <w:shd w:val="clear" w:color="auto" w:fill="C6EFCE"/>
            <w:noWrap/>
            <w:vAlign w:val="center"/>
            <w:hideMark/>
          </w:tcPr>
          <w:p w14:paraId="331B76F7" w14:textId="77777777" w:rsidR="00E42B18" w:rsidRDefault="009629C4">
            <w:pPr>
              <w:pStyle w:val="P68B1DB1-Normal12"/>
              <w:spacing w:line="276" w:lineRule="auto"/>
              <w:rPr>
                <w:noProof/>
              </w:rPr>
            </w:pPr>
            <w:r>
              <w:rPr>
                <w:noProof/>
              </w:rPr>
              <w:t>Seuranta- ja ennustejärjestelmä hydrologisten riskien ja jätteiden laittoman loppukäsittelyn tunnistamiseksi on saatavilla verkossa.</w:t>
            </w:r>
          </w:p>
        </w:tc>
      </w:tr>
      <w:tr w:rsidR="00E42B18" w14:paraId="28C3D97D" w14:textId="77777777" w:rsidTr="007F4B94">
        <w:trPr>
          <w:trHeight w:val="300"/>
        </w:trPr>
        <w:tc>
          <w:tcPr>
            <w:tcW w:w="1134" w:type="dxa"/>
            <w:shd w:val="clear" w:color="auto" w:fill="C6EFCE"/>
            <w:noWrap/>
            <w:vAlign w:val="center"/>
          </w:tcPr>
          <w:p w14:paraId="541A7D71" w14:textId="77777777" w:rsidR="00E42B18" w:rsidRDefault="009629C4">
            <w:pPr>
              <w:pStyle w:val="P68B1DB1-Normal11"/>
              <w:spacing w:line="276" w:lineRule="auto"/>
              <w:jc w:val="center"/>
              <w:rPr>
                <w:noProof/>
                <w:szCs w:val="20"/>
              </w:rPr>
            </w:pPr>
            <w:r>
              <w:rPr>
                <w:noProof/>
              </w:rPr>
              <w:t>M2C4–11</w:t>
            </w:r>
          </w:p>
        </w:tc>
        <w:tc>
          <w:tcPr>
            <w:tcW w:w="1736" w:type="dxa"/>
            <w:shd w:val="clear" w:color="auto" w:fill="C6EFCE"/>
            <w:noWrap/>
            <w:vAlign w:val="center"/>
          </w:tcPr>
          <w:p w14:paraId="174B42E7" w14:textId="77777777" w:rsidR="00E42B18" w:rsidRDefault="009629C4">
            <w:pPr>
              <w:pStyle w:val="P68B1DB1-Normal11"/>
              <w:spacing w:line="276" w:lineRule="auto"/>
              <w:jc w:val="center"/>
              <w:rPr>
                <w:noProof/>
                <w:szCs w:val="20"/>
              </w:rPr>
            </w:pPr>
            <w:r>
              <w:rPr>
                <w:noProof/>
              </w:rPr>
              <w:t>Investointi 2.1.a. Toimenpiteet tulvariskien ja hydrogeologisten riskien vähentämiseksi – interventiot Emilia Romagnassa, Toscanassa ja Marchessa</w:t>
            </w:r>
          </w:p>
        </w:tc>
        <w:tc>
          <w:tcPr>
            <w:tcW w:w="1261" w:type="dxa"/>
            <w:shd w:val="clear" w:color="auto" w:fill="C6EFCE"/>
            <w:noWrap/>
            <w:vAlign w:val="center"/>
          </w:tcPr>
          <w:p w14:paraId="3D524C25"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tcPr>
          <w:p w14:paraId="193FF213" w14:textId="77777777" w:rsidR="00E42B18" w:rsidRDefault="009629C4">
            <w:pPr>
              <w:pStyle w:val="P68B1DB1-Normal11"/>
              <w:spacing w:line="276" w:lineRule="auto"/>
              <w:jc w:val="center"/>
              <w:rPr>
                <w:noProof/>
                <w:szCs w:val="20"/>
              </w:rPr>
            </w:pPr>
            <w:r>
              <w:rPr>
                <w:noProof/>
              </w:rPr>
              <w:t>Interventioiden yksilöinti poikkeustilavaltuutetun määräyksellä (määräyksillä)</w:t>
            </w:r>
          </w:p>
        </w:tc>
        <w:tc>
          <w:tcPr>
            <w:tcW w:w="1264" w:type="dxa"/>
            <w:shd w:val="clear" w:color="auto" w:fill="C6EFCE"/>
            <w:noWrap/>
            <w:vAlign w:val="center"/>
          </w:tcPr>
          <w:p w14:paraId="45367315" w14:textId="77777777" w:rsidR="00E42B18" w:rsidRDefault="009629C4">
            <w:pPr>
              <w:pStyle w:val="P68B1DB1-Normal11"/>
              <w:spacing w:line="276" w:lineRule="auto"/>
              <w:jc w:val="center"/>
              <w:rPr>
                <w:noProof/>
                <w:szCs w:val="20"/>
              </w:rPr>
            </w:pPr>
            <w:r>
              <w:rPr>
                <w:noProof/>
              </w:rPr>
              <w:t>Poikkeustilavaltuutetun määräys (asetukset)</w:t>
            </w:r>
          </w:p>
        </w:tc>
        <w:tc>
          <w:tcPr>
            <w:tcW w:w="1055" w:type="dxa"/>
            <w:shd w:val="clear" w:color="auto" w:fill="C6EFCE"/>
            <w:noWrap/>
            <w:vAlign w:val="center"/>
          </w:tcPr>
          <w:p w14:paraId="54E9BE99" w14:textId="77777777" w:rsidR="00E42B18" w:rsidRDefault="00E42B18">
            <w:pPr>
              <w:spacing w:line="276" w:lineRule="auto"/>
              <w:jc w:val="center"/>
              <w:rPr>
                <w:rFonts w:ascii="Arial Narrow" w:hAnsi="Arial Narrow"/>
                <w:noProof/>
                <w:color w:val="006100"/>
                <w:sz w:val="20"/>
                <w:szCs w:val="20"/>
              </w:rPr>
            </w:pPr>
          </w:p>
        </w:tc>
        <w:tc>
          <w:tcPr>
            <w:tcW w:w="946" w:type="dxa"/>
            <w:shd w:val="clear" w:color="auto" w:fill="C6EFCE"/>
            <w:noWrap/>
            <w:vAlign w:val="center"/>
          </w:tcPr>
          <w:p w14:paraId="2641E8D9" w14:textId="77777777" w:rsidR="00E42B18" w:rsidRDefault="00E42B18">
            <w:pPr>
              <w:spacing w:line="276" w:lineRule="auto"/>
              <w:jc w:val="center"/>
              <w:rPr>
                <w:rFonts w:ascii="Arial Narrow" w:hAnsi="Arial Narrow"/>
                <w:noProof/>
                <w:color w:val="006100"/>
                <w:sz w:val="20"/>
                <w:szCs w:val="20"/>
              </w:rPr>
            </w:pPr>
          </w:p>
        </w:tc>
        <w:tc>
          <w:tcPr>
            <w:tcW w:w="1000" w:type="dxa"/>
            <w:shd w:val="clear" w:color="auto" w:fill="C6EFCE"/>
            <w:noWrap/>
            <w:vAlign w:val="center"/>
          </w:tcPr>
          <w:p w14:paraId="498E8A93" w14:textId="77777777" w:rsidR="00E42B18" w:rsidRDefault="00E42B18">
            <w:pPr>
              <w:spacing w:line="276" w:lineRule="auto"/>
              <w:jc w:val="center"/>
              <w:rPr>
                <w:rFonts w:ascii="Arial Narrow" w:hAnsi="Arial Narrow"/>
                <w:noProof/>
                <w:color w:val="006100"/>
                <w:sz w:val="20"/>
                <w:szCs w:val="20"/>
              </w:rPr>
            </w:pPr>
          </w:p>
        </w:tc>
        <w:tc>
          <w:tcPr>
            <w:tcW w:w="809" w:type="dxa"/>
            <w:shd w:val="clear" w:color="auto" w:fill="C6EFCE"/>
            <w:noWrap/>
            <w:vAlign w:val="center"/>
          </w:tcPr>
          <w:p w14:paraId="7C66F6A6" w14:textId="77777777" w:rsidR="00E42B18" w:rsidRDefault="009629C4">
            <w:pPr>
              <w:pStyle w:val="P68B1DB1-Normal11"/>
              <w:spacing w:line="276" w:lineRule="auto"/>
              <w:jc w:val="center"/>
              <w:rPr>
                <w:noProof/>
                <w:szCs w:val="20"/>
              </w:rPr>
            </w:pPr>
            <w:r>
              <w:rPr>
                <w:noProof/>
              </w:rPr>
              <w:t>Q3</w:t>
            </w:r>
          </w:p>
        </w:tc>
        <w:tc>
          <w:tcPr>
            <w:tcW w:w="770" w:type="dxa"/>
            <w:shd w:val="clear" w:color="auto" w:fill="C6EFCE"/>
            <w:noWrap/>
            <w:vAlign w:val="center"/>
          </w:tcPr>
          <w:p w14:paraId="151148ED" w14:textId="77777777" w:rsidR="00E42B18" w:rsidRDefault="009629C4">
            <w:pPr>
              <w:pStyle w:val="P68B1DB1-Normal11"/>
              <w:spacing w:line="276" w:lineRule="auto"/>
              <w:jc w:val="center"/>
              <w:rPr>
                <w:noProof/>
                <w:szCs w:val="20"/>
              </w:rPr>
            </w:pPr>
            <w:r>
              <w:rPr>
                <w:noProof/>
              </w:rPr>
              <w:t>2024</w:t>
            </w:r>
          </w:p>
        </w:tc>
        <w:tc>
          <w:tcPr>
            <w:tcW w:w="3544" w:type="dxa"/>
            <w:shd w:val="clear" w:color="auto" w:fill="C6EFCE"/>
            <w:noWrap/>
            <w:vAlign w:val="center"/>
          </w:tcPr>
          <w:p w14:paraId="53276112" w14:textId="77777777" w:rsidR="00E42B18" w:rsidRDefault="009629C4">
            <w:pPr>
              <w:rPr>
                <w:rFonts w:ascii="Arial Narrow" w:hAnsi="Arial Narrow"/>
                <w:i/>
                <w:noProof/>
                <w:color w:val="006100"/>
                <w:sz w:val="20"/>
                <w:szCs w:val="20"/>
              </w:rPr>
            </w:pPr>
            <w:r>
              <w:rPr>
                <w:rFonts w:ascii="Arial Narrow" w:hAnsi="Arial Narrow"/>
                <w:noProof/>
                <w:color w:val="006100"/>
                <w:sz w:val="20"/>
                <w:szCs w:val="20"/>
              </w:rPr>
              <w:t>Yhdessä tai useammassa hätävaltuutetun määräyksessä on esitettävä tarkka luettelo toimista vesiväylien ennallistamiseksi ja suojautumisen lisäämiseksi tulvilta ja maanvyöryiltä, julkisten rakennusten, mukaan lukien talot ja terveyskeskukset, ennallistamiseksi sekä kunnostettavan liikenneverkon kokonaiskilometrimäärä.</w:t>
            </w:r>
            <w:r>
              <w:rPr>
                <w:noProof/>
              </w:rPr>
              <w:t xml:space="preserve"> </w:t>
            </w:r>
            <w:r>
              <w:rPr>
                <w:rFonts w:ascii="Arial Narrow" w:hAnsi="Arial Narrow"/>
                <w:noProof/>
                <w:color w:val="006100"/>
                <w:sz w:val="20"/>
                <w:szCs w:val="20"/>
              </w:rPr>
              <w:t>Tukitoimien kokonaismäärän on oltava vähintään 1,2 miljardia euroa.</w:t>
            </w:r>
          </w:p>
        </w:tc>
      </w:tr>
      <w:tr w:rsidR="00E42B18" w14:paraId="3C804535" w14:textId="77777777" w:rsidTr="007F4B94">
        <w:trPr>
          <w:trHeight w:val="300"/>
        </w:trPr>
        <w:tc>
          <w:tcPr>
            <w:tcW w:w="1134" w:type="dxa"/>
            <w:shd w:val="clear" w:color="auto" w:fill="C6EFCE"/>
            <w:noWrap/>
            <w:vAlign w:val="center"/>
          </w:tcPr>
          <w:p w14:paraId="4C7A3218" w14:textId="77777777" w:rsidR="00E42B18" w:rsidRDefault="009629C4">
            <w:pPr>
              <w:pStyle w:val="P68B1DB1-Normal12"/>
              <w:spacing w:after="120"/>
              <w:jc w:val="center"/>
              <w:rPr>
                <w:noProof/>
              </w:rPr>
            </w:pPr>
            <w:r>
              <w:rPr>
                <w:noProof/>
              </w:rPr>
              <w:t>M2C4–11bis</w:t>
            </w:r>
          </w:p>
        </w:tc>
        <w:tc>
          <w:tcPr>
            <w:tcW w:w="1736" w:type="dxa"/>
            <w:shd w:val="clear" w:color="auto" w:fill="C6EFCE"/>
            <w:noWrap/>
            <w:vAlign w:val="center"/>
          </w:tcPr>
          <w:p w14:paraId="06E0B18B" w14:textId="77777777" w:rsidR="00E42B18" w:rsidRDefault="009629C4">
            <w:pPr>
              <w:pStyle w:val="P68B1DB1-Normal12"/>
              <w:spacing w:after="120"/>
              <w:jc w:val="center"/>
              <w:rPr>
                <w:noProof/>
              </w:rPr>
            </w:pPr>
            <w:bookmarkStart w:id="19" w:name="_Hlk160472904"/>
            <w:r>
              <w:rPr>
                <w:noProof/>
              </w:rPr>
              <w:t>Investointi 2.1.a. Toimenpiteet tulvariskien ja hydrogeologisten riskien vähentämiseksi – interventiot Emilia Romagnassa, Toscanassa ja Marchessa</w:t>
            </w:r>
            <w:bookmarkEnd w:id="19"/>
          </w:p>
        </w:tc>
        <w:tc>
          <w:tcPr>
            <w:tcW w:w="1261" w:type="dxa"/>
            <w:shd w:val="clear" w:color="auto" w:fill="C6EFCE"/>
            <w:noWrap/>
            <w:vAlign w:val="center"/>
          </w:tcPr>
          <w:p w14:paraId="7507C768" w14:textId="77777777" w:rsidR="00E42B18" w:rsidRDefault="009629C4">
            <w:pPr>
              <w:pStyle w:val="P68B1DB1-Normal12"/>
              <w:spacing w:after="120"/>
              <w:jc w:val="center"/>
              <w:rPr>
                <w:noProof/>
              </w:rPr>
            </w:pPr>
            <w:r>
              <w:rPr>
                <w:noProof/>
              </w:rPr>
              <w:t>Kohde</w:t>
            </w:r>
          </w:p>
        </w:tc>
        <w:tc>
          <w:tcPr>
            <w:tcW w:w="1365" w:type="dxa"/>
            <w:shd w:val="clear" w:color="auto" w:fill="C6EFCE"/>
            <w:noWrap/>
            <w:vAlign w:val="center"/>
          </w:tcPr>
          <w:p w14:paraId="4679DD89" w14:textId="77777777" w:rsidR="00E42B18" w:rsidRDefault="009629C4">
            <w:pPr>
              <w:pStyle w:val="P68B1DB1-Normal12"/>
              <w:spacing w:after="120"/>
              <w:jc w:val="center"/>
              <w:rPr>
                <w:noProof/>
              </w:rPr>
            </w:pPr>
            <w:r>
              <w:rPr>
                <w:noProof/>
              </w:rPr>
              <w:t>Toteutetut hankkeet</w:t>
            </w:r>
          </w:p>
        </w:tc>
        <w:tc>
          <w:tcPr>
            <w:tcW w:w="1264" w:type="dxa"/>
            <w:shd w:val="clear" w:color="auto" w:fill="C6EFCE"/>
            <w:noWrap/>
            <w:vAlign w:val="center"/>
          </w:tcPr>
          <w:p w14:paraId="4C34BB3E" w14:textId="77777777" w:rsidR="00E42B18" w:rsidRDefault="009629C4">
            <w:pPr>
              <w:pStyle w:val="P68B1DB1-Normal12"/>
              <w:spacing w:after="120"/>
              <w:jc w:val="center"/>
              <w:rPr>
                <w:noProof/>
              </w:rPr>
            </w:pPr>
            <w:r>
              <w:rPr>
                <w:noProof/>
              </w:rPr>
              <w:t>Hankkeiden päätökseen saattamisen varmentaminen</w:t>
            </w:r>
          </w:p>
        </w:tc>
        <w:tc>
          <w:tcPr>
            <w:tcW w:w="1055" w:type="dxa"/>
            <w:shd w:val="clear" w:color="auto" w:fill="C6EFCE"/>
            <w:noWrap/>
            <w:vAlign w:val="center"/>
          </w:tcPr>
          <w:p w14:paraId="1E0017A3" w14:textId="77777777" w:rsidR="00E42B18" w:rsidRDefault="009629C4">
            <w:pPr>
              <w:pStyle w:val="P68B1DB1-Normal12"/>
              <w:spacing w:after="120"/>
              <w:jc w:val="center"/>
              <w:rPr>
                <w:noProof/>
              </w:rPr>
            </w:pPr>
            <w:r>
              <w:rPr>
                <w:noProof/>
              </w:rPr>
              <w:t>Numero</w:t>
            </w:r>
          </w:p>
        </w:tc>
        <w:tc>
          <w:tcPr>
            <w:tcW w:w="946" w:type="dxa"/>
            <w:shd w:val="clear" w:color="auto" w:fill="C6EFCE"/>
            <w:noWrap/>
            <w:vAlign w:val="center"/>
          </w:tcPr>
          <w:p w14:paraId="04978117" w14:textId="77777777" w:rsidR="00E42B18" w:rsidRDefault="009629C4">
            <w:pPr>
              <w:pStyle w:val="P68B1DB1-Normal12"/>
              <w:spacing w:after="120"/>
              <w:jc w:val="center"/>
              <w:rPr>
                <w:noProof/>
              </w:rPr>
            </w:pPr>
            <w:r>
              <w:rPr>
                <w:noProof/>
              </w:rPr>
              <w:t>0</w:t>
            </w:r>
          </w:p>
        </w:tc>
        <w:tc>
          <w:tcPr>
            <w:tcW w:w="1000" w:type="dxa"/>
            <w:shd w:val="clear" w:color="auto" w:fill="C6EFCE"/>
            <w:noWrap/>
            <w:vAlign w:val="center"/>
          </w:tcPr>
          <w:p w14:paraId="433FFDA9" w14:textId="77777777" w:rsidR="00E42B18" w:rsidRDefault="009629C4">
            <w:pPr>
              <w:pStyle w:val="P68B1DB1-Normal12"/>
              <w:spacing w:after="120"/>
              <w:jc w:val="center"/>
              <w:rPr>
                <w:noProof/>
              </w:rPr>
            </w:pPr>
            <w:r>
              <w:rPr>
                <w:noProof/>
              </w:rPr>
              <w:t>190</w:t>
            </w:r>
          </w:p>
        </w:tc>
        <w:tc>
          <w:tcPr>
            <w:tcW w:w="809" w:type="dxa"/>
            <w:shd w:val="clear" w:color="auto" w:fill="C6EFCE"/>
            <w:noWrap/>
            <w:vAlign w:val="center"/>
          </w:tcPr>
          <w:p w14:paraId="08F31FFA" w14:textId="77777777" w:rsidR="00E42B18" w:rsidRDefault="009629C4">
            <w:pPr>
              <w:pStyle w:val="P68B1DB1-Normal12"/>
              <w:spacing w:after="120"/>
              <w:jc w:val="center"/>
              <w:rPr>
                <w:noProof/>
              </w:rPr>
            </w:pPr>
            <w:r>
              <w:rPr>
                <w:noProof/>
              </w:rPr>
              <w:t>Q2</w:t>
            </w:r>
          </w:p>
        </w:tc>
        <w:tc>
          <w:tcPr>
            <w:tcW w:w="770" w:type="dxa"/>
            <w:shd w:val="clear" w:color="auto" w:fill="C6EFCE"/>
            <w:noWrap/>
            <w:vAlign w:val="center"/>
          </w:tcPr>
          <w:p w14:paraId="721E7CA7" w14:textId="77777777" w:rsidR="00E42B18" w:rsidRDefault="009629C4">
            <w:pPr>
              <w:pStyle w:val="P68B1DB1-Normal12"/>
              <w:spacing w:after="120"/>
              <w:jc w:val="center"/>
              <w:rPr>
                <w:noProof/>
              </w:rPr>
            </w:pPr>
            <w:r>
              <w:rPr>
                <w:noProof/>
              </w:rPr>
              <w:t>2026</w:t>
            </w:r>
          </w:p>
        </w:tc>
        <w:tc>
          <w:tcPr>
            <w:tcW w:w="3544" w:type="dxa"/>
            <w:shd w:val="clear" w:color="auto" w:fill="C6EFCE"/>
            <w:noWrap/>
            <w:vAlign w:val="center"/>
          </w:tcPr>
          <w:p w14:paraId="16A113C6" w14:textId="1F8DDB5D" w:rsidR="00E42B18" w:rsidRDefault="009629C4">
            <w:pPr>
              <w:pStyle w:val="P68B1DB1-Normal12"/>
              <w:spacing w:after="120"/>
              <w:jc w:val="both"/>
              <w:rPr>
                <w:noProof/>
              </w:rPr>
            </w:pPr>
            <w:r>
              <w:rPr>
                <w:noProof/>
              </w:rPr>
              <w:t>Todistukset töiden valmistumisesta annetaan vähintään 190:lle toimenpiteelle, joilla pyritään ennallistamaan vesiväyliä ja parantamaan suojaa tulvilta ja maanvyöryiltä, sekä liikenneverkon kunnostustoimiin, jotka on määritelty hätäpäällikön asetuksissa.</w:t>
            </w:r>
          </w:p>
        </w:tc>
      </w:tr>
      <w:tr w:rsidR="00E42B18" w14:paraId="217B07D3" w14:textId="77777777" w:rsidTr="007F4B94">
        <w:trPr>
          <w:trHeight w:val="300"/>
        </w:trPr>
        <w:tc>
          <w:tcPr>
            <w:tcW w:w="1134" w:type="dxa"/>
            <w:shd w:val="clear" w:color="auto" w:fill="C6EFCE"/>
            <w:noWrap/>
            <w:vAlign w:val="center"/>
          </w:tcPr>
          <w:p w14:paraId="1FEBD786" w14:textId="77777777" w:rsidR="00E42B18" w:rsidRDefault="009629C4">
            <w:pPr>
              <w:pStyle w:val="P68B1DB1-Normal11"/>
              <w:spacing w:after="120"/>
              <w:jc w:val="center"/>
              <w:rPr>
                <w:noProof/>
                <w:szCs w:val="20"/>
              </w:rPr>
            </w:pPr>
            <w:r>
              <w:rPr>
                <w:noProof/>
              </w:rPr>
              <w:t>M2C4–12</w:t>
            </w:r>
          </w:p>
        </w:tc>
        <w:tc>
          <w:tcPr>
            <w:tcW w:w="1736" w:type="dxa"/>
            <w:shd w:val="clear" w:color="auto" w:fill="C6EFCE"/>
            <w:noWrap/>
            <w:vAlign w:val="center"/>
          </w:tcPr>
          <w:p w14:paraId="35B7FE48" w14:textId="77777777" w:rsidR="00E42B18" w:rsidRDefault="009629C4">
            <w:pPr>
              <w:pStyle w:val="P68B1DB1-Normal11"/>
              <w:spacing w:after="120"/>
              <w:jc w:val="center"/>
              <w:rPr>
                <w:noProof/>
                <w:szCs w:val="20"/>
              </w:rPr>
            </w:pPr>
            <w:r>
              <w:rPr>
                <w:noProof/>
              </w:rPr>
              <w:t>Investointi 2.1.b. Toimenpiteet tulvariskien ja hydrogeologisten riskien vähentämiseksi</w:t>
            </w:r>
          </w:p>
        </w:tc>
        <w:tc>
          <w:tcPr>
            <w:tcW w:w="1261" w:type="dxa"/>
            <w:shd w:val="clear" w:color="auto" w:fill="C6EFCE"/>
            <w:noWrap/>
            <w:vAlign w:val="center"/>
          </w:tcPr>
          <w:p w14:paraId="6EA2D862" w14:textId="77777777" w:rsidR="00E42B18" w:rsidRDefault="009629C4">
            <w:pPr>
              <w:pStyle w:val="P68B1DB1-Normal11"/>
              <w:spacing w:after="120"/>
              <w:jc w:val="center"/>
              <w:rPr>
                <w:noProof/>
                <w:szCs w:val="20"/>
              </w:rPr>
            </w:pPr>
            <w:r>
              <w:rPr>
                <w:noProof/>
              </w:rPr>
              <w:t>Virstanpylväs</w:t>
            </w:r>
          </w:p>
        </w:tc>
        <w:tc>
          <w:tcPr>
            <w:tcW w:w="1365" w:type="dxa"/>
            <w:shd w:val="clear" w:color="auto" w:fill="C6EFCE"/>
            <w:noWrap/>
            <w:vAlign w:val="center"/>
          </w:tcPr>
          <w:p w14:paraId="78542BB2" w14:textId="77777777" w:rsidR="00E42B18" w:rsidRDefault="009629C4">
            <w:pPr>
              <w:pStyle w:val="P68B1DB1-Normal11"/>
              <w:spacing w:after="120"/>
              <w:jc w:val="center"/>
              <w:rPr>
                <w:noProof/>
                <w:szCs w:val="20"/>
              </w:rPr>
            </w:pPr>
            <w:r>
              <w:rPr>
                <w:noProof/>
              </w:rPr>
              <w:t>Tulvariskien ja hydrogeologisten riskien torjuntaa koskevan tarkistetun oikeudellisen kehyksen voimaantulo</w:t>
            </w:r>
          </w:p>
        </w:tc>
        <w:tc>
          <w:tcPr>
            <w:tcW w:w="1264" w:type="dxa"/>
            <w:shd w:val="clear" w:color="auto" w:fill="C6EFCE"/>
            <w:noWrap/>
            <w:vAlign w:val="center"/>
          </w:tcPr>
          <w:p w14:paraId="501D54DB" w14:textId="77777777" w:rsidR="00E42B18" w:rsidRDefault="009629C4">
            <w:pPr>
              <w:pStyle w:val="P68B1DB1-Normal11"/>
              <w:spacing w:after="120"/>
              <w:jc w:val="center"/>
              <w:rPr>
                <w:noProof/>
                <w:szCs w:val="20"/>
              </w:rPr>
            </w:pPr>
            <w:r>
              <w:rPr>
                <w:noProof/>
              </w:rPr>
              <w:t>Asetuksen voimaantuloa koskevat määräykset</w:t>
            </w:r>
          </w:p>
        </w:tc>
        <w:tc>
          <w:tcPr>
            <w:tcW w:w="1055" w:type="dxa"/>
            <w:shd w:val="clear" w:color="auto" w:fill="C6EFCE"/>
            <w:noWrap/>
            <w:vAlign w:val="center"/>
          </w:tcPr>
          <w:p w14:paraId="104D45E1" w14:textId="77777777" w:rsidR="00E42B18" w:rsidRDefault="009629C4">
            <w:pPr>
              <w:pStyle w:val="P68B1DB1-Normal11"/>
              <w:spacing w:after="120"/>
              <w:jc w:val="center"/>
              <w:rPr>
                <w:noProof/>
                <w:szCs w:val="20"/>
              </w:rPr>
            </w:pPr>
            <w:r>
              <w:rPr>
                <w:noProof/>
              </w:rPr>
              <w:t>EI OLE</w:t>
            </w:r>
          </w:p>
        </w:tc>
        <w:tc>
          <w:tcPr>
            <w:tcW w:w="946" w:type="dxa"/>
            <w:shd w:val="clear" w:color="auto" w:fill="C6EFCE"/>
            <w:noWrap/>
            <w:vAlign w:val="center"/>
          </w:tcPr>
          <w:p w14:paraId="7F7E86ED" w14:textId="77777777" w:rsidR="00E42B18" w:rsidRDefault="009629C4">
            <w:pPr>
              <w:pStyle w:val="P68B1DB1-Normal11"/>
              <w:spacing w:after="120"/>
              <w:jc w:val="center"/>
              <w:rPr>
                <w:noProof/>
                <w:szCs w:val="20"/>
              </w:rPr>
            </w:pPr>
            <w:r>
              <w:rPr>
                <w:noProof/>
              </w:rPr>
              <w:t>EI OLE</w:t>
            </w:r>
          </w:p>
        </w:tc>
        <w:tc>
          <w:tcPr>
            <w:tcW w:w="1000" w:type="dxa"/>
            <w:shd w:val="clear" w:color="auto" w:fill="C6EFCE"/>
            <w:noWrap/>
            <w:vAlign w:val="center"/>
          </w:tcPr>
          <w:p w14:paraId="340B2929" w14:textId="77777777" w:rsidR="00E42B18" w:rsidRDefault="009629C4">
            <w:pPr>
              <w:pStyle w:val="P68B1DB1-Normal11"/>
              <w:spacing w:after="120"/>
              <w:jc w:val="center"/>
              <w:rPr>
                <w:noProof/>
                <w:szCs w:val="20"/>
              </w:rPr>
            </w:pPr>
            <w:r>
              <w:rPr>
                <w:noProof/>
              </w:rPr>
              <w:t>EI OLE</w:t>
            </w:r>
          </w:p>
        </w:tc>
        <w:tc>
          <w:tcPr>
            <w:tcW w:w="809" w:type="dxa"/>
            <w:shd w:val="clear" w:color="auto" w:fill="C6EFCE"/>
            <w:noWrap/>
            <w:vAlign w:val="center"/>
          </w:tcPr>
          <w:p w14:paraId="2B36D580" w14:textId="77777777" w:rsidR="00E42B18" w:rsidRDefault="009629C4">
            <w:pPr>
              <w:pStyle w:val="P68B1DB1-Normal11"/>
              <w:spacing w:after="120"/>
              <w:jc w:val="center"/>
              <w:rPr>
                <w:noProof/>
                <w:szCs w:val="20"/>
              </w:rPr>
            </w:pPr>
            <w:r>
              <w:rPr>
                <w:noProof/>
              </w:rPr>
              <w:t>Q4</w:t>
            </w:r>
          </w:p>
        </w:tc>
        <w:tc>
          <w:tcPr>
            <w:tcW w:w="770" w:type="dxa"/>
            <w:shd w:val="clear" w:color="auto" w:fill="C6EFCE"/>
            <w:noWrap/>
            <w:vAlign w:val="center"/>
          </w:tcPr>
          <w:p w14:paraId="71A94D8A" w14:textId="77777777" w:rsidR="00E42B18" w:rsidRDefault="009629C4">
            <w:pPr>
              <w:pStyle w:val="P68B1DB1-Normal11"/>
              <w:spacing w:after="120"/>
              <w:jc w:val="center"/>
              <w:rPr>
                <w:noProof/>
                <w:szCs w:val="20"/>
              </w:rPr>
            </w:pPr>
            <w:r>
              <w:rPr>
                <w:noProof/>
              </w:rPr>
              <w:t>2021</w:t>
            </w:r>
          </w:p>
        </w:tc>
        <w:tc>
          <w:tcPr>
            <w:tcW w:w="3544" w:type="dxa"/>
            <w:shd w:val="clear" w:color="auto" w:fill="C6EFCE"/>
            <w:noWrap/>
            <w:vAlign w:val="center"/>
          </w:tcPr>
          <w:p w14:paraId="07109043" w14:textId="77777777" w:rsidR="00E42B18" w:rsidRDefault="009629C4">
            <w:pPr>
              <w:pStyle w:val="P68B1DB1-Normal11"/>
              <w:spacing w:after="120"/>
              <w:jc w:val="both"/>
              <w:rPr>
                <w:noProof/>
                <w:szCs w:val="20"/>
              </w:rPr>
            </w:pPr>
            <w:r>
              <w:rPr>
                <w:noProof/>
              </w:rPr>
              <w:t>Asetuksilla, joilla hyväksytään tulvariskien ja hydrogeologisten riskien vähentämistä koskeva ensimmäinen interventio- ja investointisuunnitelma asianomaisella alueella (komission jäsen/alue/itsehallinnollinen maakunta), pyritään palauttamaan alku alku alkuun ja varmistamaan alueiden kyky selviytyä luonnonkatastrofeista.</w:t>
            </w:r>
          </w:p>
        </w:tc>
      </w:tr>
      <w:tr w:rsidR="00E42B18" w14:paraId="457146B8" w14:textId="77777777" w:rsidTr="007F4B94">
        <w:trPr>
          <w:trHeight w:val="300"/>
        </w:trPr>
        <w:tc>
          <w:tcPr>
            <w:tcW w:w="1134" w:type="dxa"/>
            <w:shd w:val="clear" w:color="auto" w:fill="C6EFCE"/>
            <w:noWrap/>
            <w:vAlign w:val="center"/>
          </w:tcPr>
          <w:p w14:paraId="07E7E6F3" w14:textId="77777777" w:rsidR="00E42B18" w:rsidRDefault="009629C4">
            <w:pPr>
              <w:pStyle w:val="P68B1DB1-Normal11"/>
              <w:spacing w:after="120"/>
              <w:jc w:val="center"/>
              <w:rPr>
                <w:noProof/>
                <w:szCs w:val="20"/>
              </w:rPr>
            </w:pPr>
            <w:r>
              <w:rPr>
                <w:noProof/>
              </w:rPr>
              <w:t>M2C4–13</w:t>
            </w:r>
          </w:p>
        </w:tc>
        <w:tc>
          <w:tcPr>
            <w:tcW w:w="1736" w:type="dxa"/>
            <w:shd w:val="clear" w:color="auto" w:fill="C6EFCE"/>
            <w:noWrap/>
            <w:vAlign w:val="center"/>
          </w:tcPr>
          <w:p w14:paraId="66939BB7" w14:textId="77777777" w:rsidR="00E42B18" w:rsidRDefault="009629C4">
            <w:pPr>
              <w:pStyle w:val="P68B1DB1-Normal11"/>
              <w:spacing w:after="120"/>
              <w:jc w:val="center"/>
              <w:rPr>
                <w:noProof/>
                <w:szCs w:val="20"/>
              </w:rPr>
            </w:pPr>
            <w:r>
              <w:rPr>
                <w:noProof/>
              </w:rPr>
              <w:t>Investointi 2.1b – Toimenpiteet tulvariskien ja hydrogeologisten riskien vähentämiseksi</w:t>
            </w:r>
          </w:p>
        </w:tc>
        <w:tc>
          <w:tcPr>
            <w:tcW w:w="1261" w:type="dxa"/>
            <w:shd w:val="clear" w:color="auto" w:fill="C6EFCE"/>
            <w:noWrap/>
            <w:vAlign w:val="center"/>
          </w:tcPr>
          <w:p w14:paraId="47C9B876" w14:textId="77777777" w:rsidR="00E42B18" w:rsidRDefault="009629C4">
            <w:pPr>
              <w:pStyle w:val="P68B1DB1-Normal11"/>
              <w:spacing w:after="120"/>
              <w:jc w:val="center"/>
              <w:rPr>
                <w:noProof/>
                <w:szCs w:val="20"/>
              </w:rPr>
            </w:pPr>
            <w:r>
              <w:rPr>
                <w:noProof/>
              </w:rPr>
              <w:t>Kohde</w:t>
            </w:r>
          </w:p>
        </w:tc>
        <w:tc>
          <w:tcPr>
            <w:tcW w:w="1365" w:type="dxa"/>
            <w:shd w:val="clear" w:color="auto" w:fill="C6EFCE"/>
            <w:noWrap/>
            <w:vAlign w:val="center"/>
          </w:tcPr>
          <w:p w14:paraId="20B65FCF" w14:textId="77777777" w:rsidR="00E42B18" w:rsidRDefault="009629C4">
            <w:pPr>
              <w:pStyle w:val="P68B1DB1-Normal12"/>
              <w:spacing w:after="120"/>
              <w:jc w:val="center"/>
              <w:rPr>
                <w:noProof/>
              </w:rPr>
            </w:pPr>
            <w:r>
              <w:rPr>
                <w:noProof/>
              </w:rPr>
              <w:t>Toteutetut tyypin D ja tyypin E interventiot</w:t>
            </w:r>
          </w:p>
        </w:tc>
        <w:tc>
          <w:tcPr>
            <w:tcW w:w="1264" w:type="dxa"/>
            <w:shd w:val="clear" w:color="auto" w:fill="C6EFCE"/>
            <w:noWrap/>
            <w:vAlign w:val="center"/>
          </w:tcPr>
          <w:p w14:paraId="0F8652FB" w14:textId="77777777" w:rsidR="00E42B18" w:rsidRDefault="009629C4">
            <w:pPr>
              <w:pStyle w:val="P68B1DB1-Normal11"/>
              <w:spacing w:after="120"/>
              <w:jc w:val="center"/>
              <w:rPr>
                <w:noProof/>
                <w:szCs w:val="20"/>
              </w:rPr>
            </w:pPr>
            <w:r>
              <w:rPr>
                <w:noProof/>
              </w:rPr>
              <w:t>EI OLE</w:t>
            </w:r>
          </w:p>
        </w:tc>
        <w:tc>
          <w:tcPr>
            <w:tcW w:w="1055" w:type="dxa"/>
            <w:shd w:val="clear" w:color="auto" w:fill="C6EFCE"/>
            <w:noWrap/>
            <w:vAlign w:val="center"/>
          </w:tcPr>
          <w:p w14:paraId="2F2A254D" w14:textId="77777777" w:rsidR="00E42B18" w:rsidRDefault="009629C4">
            <w:pPr>
              <w:pStyle w:val="P68B1DB1-Normal12"/>
              <w:spacing w:after="120"/>
              <w:jc w:val="center"/>
              <w:rPr>
                <w:noProof/>
              </w:rPr>
            </w:pPr>
            <w:r>
              <w:rPr>
                <w:noProof/>
              </w:rPr>
              <w:t>Prosenttiosuus</w:t>
            </w:r>
          </w:p>
        </w:tc>
        <w:tc>
          <w:tcPr>
            <w:tcW w:w="946" w:type="dxa"/>
            <w:shd w:val="clear" w:color="auto" w:fill="C6EFCE"/>
            <w:noWrap/>
            <w:vAlign w:val="center"/>
          </w:tcPr>
          <w:p w14:paraId="7EE5C4B3" w14:textId="77777777" w:rsidR="00E42B18" w:rsidRDefault="009629C4">
            <w:pPr>
              <w:pStyle w:val="P68B1DB1-Normal11"/>
              <w:spacing w:after="120"/>
              <w:jc w:val="center"/>
              <w:rPr>
                <w:noProof/>
                <w:szCs w:val="20"/>
              </w:rPr>
            </w:pPr>
            <w:r>
              <w:rPr>
                <w:noProof/>
              </w:rPr>
              <w:t>0</w:t>
            </w:r>
          </w:p>
        </w:tc>
        <w:tc>
          <w:tcPr>
            <w:tcW w:w="1000" w:type="dxa"/>
            <w:shd w:val="clear" w:color="auto" w:fill="C6EFCE"/>
            <w:noWrap/>
            <w:vAlign w:val="center"/>
          </w:tcPr>
          <w:p w14:paraId="4FB7FD0A" w14:textId="77777777" w:rsidR="00E42B18" w:rsidRDefault="009629C4">
            <w:pPr>
              <w:pStyle w:val="P68B1DB1-Normal12"/>
              <w:spacing w:after="120"/>
              <w:jc w:val="center"/>
              <w:rPr>
                <w:noProof/>
              </w:rPr>
            </w:pPr>
            <w:r>
              <w:rPr>
                <w:noProof/>
              </w:rPr>
              <w:t>90</w:t>
            </w:r>
          </w:p>
        </w:tc>
        <w:tc>
          <w:tcPr>
            <w:tcW w:w="809" w:type="dxa"/>
            <w:shd w:val="clear" w:color="auto" w:fill="C6EFCE"/>
            <w:noWrap/>
            <w:vAlign w:val="center"/>
          </w:tcPr>
          <w:p w14:paraId="607345C4" w14:textId="77777777" w:rsidR="00E42B18" w:rsidRDefault="009629C4">
            <w:pPr>
              <w:pStyle w:val="P68B1DB1-Normal11"/>
              <w:spacing w:after="120"/>
              <w:jc w:val="center"/>
              <w:rPr>
                <w:noProof/>
                <w:szCs w:val="20"/>
              </w:rPr>
            </w:pPr>
            <w:r>
              <w:rPr>
                <w:noProof/>
              </w:rPr>
              <w:t>Q2</w:t>
            </w:r>
          </w:p>
        </w:tc>
        <w:tc>
          <w:tcPr>
            <w:tcW w:w="770" w:type="dxa"/>
            <w:shd w:val="clear" w:color="auto" w:fill="C6EFCE"/>
            <w:noWrap/>
            <w:vAlign w:val="center"/>
          </w:tcPr>
          <w:p w14:paraId="414867F0" w14:textId="77777777" w:rsidR="00E42B18" w:rsidRDefault="009629C4">
            <w:pPr>
              <w:pStyle w:val="P68B1DB1-Normal11"/>
              <w:spacing w:after="120"/>
              <w:jc w:val="center"/>
              <w:rPr>
                <w:noProof/>
                <w:szCs w:val="20"/>
              </w:rPr>
            </w:pPr>
            <w:r>
              <w:rPr>
                <w:noProof/>
              </w:rPr>
              <w:t>2026</w:t>
            </w:r>
          </w:p>
        </w:tc>
        <w:tc>
          <w:tcPr>
            <w:tcW w:w="3544" w:type="dxa"/>
            <w:shd w:val="clear" w:color="auto" w:fill="C6EFCE"/>
            <w:noWrap/>
            <w:vAlign w:val="center"/>
          </w:tcPr>
          <w:p w14:paraId="4B34D8E3" w14:textId="20253AE1" w:rsidR="00E42B18" w:rsidRDefault="009629C4">
            <w:pPr>
              <w:pStyle w:val="P68B1DB1-Normal12"/>
              <w:spacing w:after="120"/>
              <w:rPr>
                <w:noProof/>
              </w:rPr>
            </w:pPr>
            <w:r>
              <w:rPr>
                <w:noProof/>
              </w:rPr>
              <w:t>Todistukset töiden valmistumisesta annetaan vähintään 90 prosentille E- ja D-tyypin toimista, joiden tarkoituksena on palauttaa vahingoittuneet julkiset rakenteet, sellaisina kuin ne on määritelty kansallisen pelastuspalvelun hyväksymisasiakirjoissa.</w:t>
            </w:r>
          </w:p>
        </w:tc>
      </w:tr>
      <w:tr w:rsidR="00E42B18" w14:paraId="01D2CA9A" w14:textId="77777777" w:rsidTr="007F4B94">
        <w:trPr>
          <w:trHeight w:val="300"/>
        </w:trPr>
        <w:tc>
          <w:tcPr>
            <w:tcW w:w="1134" w:type="dxa"/>
            <w:shd w:val="clear" w:color="auto" w:fill="C6EFCE"/>
            <w:noWrap/>
            <w:vAlign w:val="center"/>
            <w:hideMark/>
          </w:tcPr>
          <w:p w14:paraId="25B2DAE9" w14:textId="77777777" w:rsidR="00E42B18" w:rsidRDefault="009629C4">
            <w:pPr>
              <w:pStyle w:val="P68B1DB1-Normal11"/>
              <w:spacing w:line="276" w:lineRule="auto"/>
              <w:jc w:val="center"/>
              <w:rPr>
                <w:noProof/>
                <w:szCs w:val="20"/>
              </w:rPr>
            </w:pPr>
            <w:r>
              <w:rPr>
                <w:noProof/>
              </w:rPr>
              <w:t>M2C4–18</w:t>
            </w:r>
          </w:p>
        </w:tc>
        <w:tc>
          <w:tcPr>
            <w:tcW w:w="1736" w:type="dxa"/>
            <w:shd w:val="clear" w:color="auto" w:fill="C6EFCE"/>
            <w:noWrap/>
            <w:vAlign w:val="center"/>
            <w:hideMark/>
          </w:tcPr>
          <w:p w14:paraId="5984DCDB" w14:textId="77777777" w:rsidR="00E42B18" w:rsidRDefault="009629C4">
            <w:pPr>
              <w:pStyle w:val="P68B1DB1-Normal11"/>
              <w:spacing w:line="276" w:lineRule="auto"/>
              <w:jc w:val="center"/>
              <w:rPr>
                <w:noProof/>
                <w:szCs w:val="20"/>
              </w:rPr>
            </w:pPr>
            <w:r>
              <w:rPr>
                <w:noProof/>
              </w:rPr>
              <w:t>Sijoittaminen. 3.1: Kaupunkien ja niiden lähialueiden metsien suojelu ja parantaminen</w:t>
            </w:r>
          </w:p>
        </w:tc>
        <w:tc>
          <w:tcPr>
            <w:tcW w:w="1261" w:type="dxa"/>
            <w:shd w:val="clear" w:color="auto" w:fill="C6EFCE"/>
            <w:noWrap/>
            <w:vAlign w:val="center"/>
            <w:hideMark/>
          </w:tcPr>
          <w:p w14:paraId="5919B0F2"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hideMark/>
          </w:tcPr>
          <w:p w14:paraId="49A629A0" w14:textId="77777777" w:rsidR="00E42B18" w:rsidRDefault="009629C4">
            <w:pPr>
              <w:pStyle w:val="P68B1DB1-Normal11"/>
              <w:spacing w:line="276" w:lineRule="auto"/>
              <w:jc w:val="center"/>
              <w:rPr>
                <w:noProof/>
                <w:szCs w:val="20"/>
              </w:rPr>
            </w:pPr>
            <w:r>
              <w:rPr>
                <w:noProof/>
              </w:rPr>
              <w:t>Kaupunkien viheralueiden ja niiden lähialueiden suojelua ja hyödyntämistä koskevien tarkistettujen oikeudellisten muutosten voimaantulo</w:t>
            </w:r>
          </w:p>
        </w:tc>
        <w:tc>
          <w:tcPr>
            <w:tcW w:w="1264" w:type="dxa"/>
            <w:shd w:val="clear" w:color="auto" w:fill="C6EFCE"/>
            <w:noWrap/>
            <w:vAlign w:val="center"/>
            <w:hideMark/>
          </w:tcPr>
          <w:p w14:paraId="0697C6AE" w14:textId="61C30BE7" w:rsidR="00E42B18" w:rsidRDefault="009629C4">
            <w:pPr>
              <w:pStyle w:val="P68B1DB1-Normal11"/>
              <w:spacing w:line="276" w:lineRule="auto"/>
              <w:jc w:val="center"/>
              <w:rPr>
                <w:noProof/>
                <w:szCs w:val="20"/>
              </w:rPr>
            </w:pPr>
            <w:r>
              <w:rPr>
                <w:noProof/>
              </w:rPr>
              <w:t>Asiaa koskevien säädösten säännös, joka koskee kaupunkimetsityssuunnitelman hyväksymistä</w:t>
            </w:r>
          </w:p>
        </w:tc>
        <w:tc>
          <w:tcPr>
            <w:tcW w:w="1055" w:type="dxa"/>
            <w:shd w:val="clear" w:color="auto" w:fill="C6EFCE"/>
            <w:noWrap/>
            <w:vAlign w:val="center"/>
            <w:hideMark/>
          </w:tcPr>
          <w:p w14:paraId="07ADB5BD" w14:textId="77777777" w:rsidR="00E42B18" w:rsidRDefault="009629C4">
            <w:pPr>
              <w:pStyle w:val="P68B1DB1-Normal11"/>
              <w:spacing w:line="276" w:lineRule="auto"/>
              <w:jc w:val="center"/>
              <w:rPr>
                <w:noProof/>
                <w:szCs w:val="20"/>
              </w:rPr>
            </w:pPr>
            <w:r>
              <w:rPr>
                <w:noProof/>
              </w:rPr>
              <w:t>EI OLE</w:t>
            </w:r>
          </w:p>
        </w:tc>
        <w:tc>
          <w:tcPr>
            <w:tcW w:w="946" w:type="dxa"/>
            <w:shd w:val="clear" w:color="auto" w:fill="C6EFCE"/>
            <w:noWrap/>
            <w:vAlign w:val="center"/>
            <w:hideMark/>
          </w:tcPr>
          <w:p w14:paraId="2E21D3CD" w14:textId="77777777" w:rsidR="00E42B18" w:rsidRDefault="009629C4">
            <w:pPr>
              <w:pStyle w:val="P68B1DB1-Normal11"/>
              <w:spacing w:line="276" w:lineRule="auto"/>
              <w:jc w:val="center"/>
              <w:rPr>
                <w:noProof/>
                <w:szCs w:val="20"/>
              </w:rPr>
            </w:pPr>
            <w:r>
              <w:rPr>
                <w:noProof/>
              </w:rPr>
              <w:t>EI OLE</w:t>
            </w:r>
          </w:p>
        </w:tc>
        <w:tc>
          <w:tcPr>
            <w:tcW w:w="1000" w:type="dxa"/>
            <w:shd w:val="clear" w:color="auto" w:fill="C6EFCE"/>
            <w:noWrap/>
            <w:vAlign w:val="center"/>
            <w:hideMark/>
          </w:tcPr>
          <w:p w14:paraId="62C72587" w14:textId="77777777" w:rsidR="00E42B18" w:rsidRDefault="009629C4">
            <w:pPr>
              <w:pStyle w:val="P68B1DB1-Normal11"/>
              <w:spacing w:line="276" w:lineRule="auto"/>
              <w:jc w:val="center"/>
              <w:rPr>
                <w:noProof/>
                <w:szCs w:val="20"/>
              </w:rPr>
            </w:pPr>
            <w:r>
              <w:rPr>
                <w:noProof/>
              </w:rPr>
              <w:t>EI OLE</w:t>
            </w:r>
          </w:p>
        </w:tc>
        <w:tc>
          <w:tcPr>
            <w:tcW w:w="809" w:type="dxa"/>
            <w:shd w:val="clear" w:color="auto" w:fill="C6EFCE"/>
            <w:noWrap/>
            <w:vAlign w:val="center"/>
            <w:hideMark/>
          </w:tcPr>
          <w:p w14:paraId="0CF7A5E1" w14:textId="77777777" w:rsidR="00E42B18" w:rsidRDefault="009629C4">
            <w:pPr>
              <w:pStyle w:val="P68B1DB1-Normal11"/>
              <w:spacing w:line="276" w:lineRule="auto"/>
              <w:jc w:val="center"/>
              <w:rPr>
                <w:noProof/>
                <w:szCs w:val="20"/>
              </w:rPr>
            </w:pPr>
            <w:r>
              <w:rPr>
                <w:noProof/>
              </w:rPr>
              <w:t>Q4</w:t>
            </w:r>
          </w:p>
        </w:tc>
        <w:tc>
          <w:tcPr>
            <w:tcW w:w="770" w:type="dxa"/>
            <w:shd w:val="clear" w:color="auto" w:fill="C6EFCE"/>
            <w:noWrap/>
            <w:vAlign w:val="center"/>
            <w:hideMark/>
          </w:tcPr>
          <w:p w14:paraId="13A3698E" w14:textId="77777777" w:rsidR="00E42B18" w:rsidRDefault="009629C4">
            <w:pPr>
              <w:pStyle w:val="P68B1DB1-Normal11"/>
              <w:spacing w:line="276" w:lineRule="auto"/>
              <w:jc w:val="center"/>
              <w:rPr>
                <w:noProof/>
                <w:szCs w:val="20"/>
              </w:rPr>
            </w:pPr>
            <w:r>
              <w:rPr>
                <w:noProof/>
              </w:rPr>
              <w:t>2021</w:t>
            </w:r>
          </w:p>
        </w:tc>
        <w:tc>
          <w:tcPr>
            <w:tcW w:w="3544" w:type="dxa"/>
            <w:shd w:val="clear" w:color="auto" w:fill="C6EFCE"/>
            <w:noWrap/>
            <w:vAlign w:val="center"/>
            <w:hideMark/>
          </w:tcPr>
          <w:p w14:paraId="7F1524A1" w14:textId="77777777" w:rsidR="00E42B18" w:rsidRDefault="009629C4">
            <w:pPr>
              <w:pStyle w:val="P68B1DB1-Normal11"/>
              <w:rPr>
                <w:noProof/>
                <w:szCs w:val="20"/>
              </w:rPr>
            </w:pPr>
            <w:r>
              <w:rPr>
                <w:noProof/>
              </w:rPr>
              <w:t>Kaupunkimetsityssuunnitelman on oltava 12 päivänä joulukuuta 2019 annetun lain 141, jäljempänä ’ilmastolaki’, tavoitteiden mukainen ja suurkaupunkien toteuttaman suunnitteluvaiheen jälkeen. Suunnitelmassa olisi asetettava vähintään seuraavat tavoitteet:</w:t>
            </w:r>
          </w:p>
          <w:p w14:paraId="692B2F98" w14:textId="77777777" w:rsidR="00E42B18" w:rsidRDefault="009629C4">
            <w:pPr>
              <w:pStyle w:val="P68B1DB1-ListParagraph15"/>
              <w:numPr>
                <w:ilvl w:val="0"/>
                <w:numId w:val="27"/>
              </w:numPr>
              <w:spacing w:after="0" w:line="240" w:lineRule="auto"/>
              <w:ind w:left="446"/>
              <w:contextualSpacing w:val="0"/>
              <w:rPr>
                <w:noProof/>
                <w:szCs w:val="20"/>
              </w:rPr>
            </w:pPr>
            <w:r>
              <w:rPr>
                <w:noProof/>
              </w:rPr>
              <w:t>Biologisen monimuotoisuuden hajanaisuuden säilyttäminen ja parantaminen biologista monimuotoisuutta koskevan EU:n strategian mukaisesti,</w:t>
            </w:r>
          </w:p>
          <w:p w14:paraId="38CDC4D8" w14:textId="77777777" w:rsidR="00E42B18" w:rsidRDefault="009629C4">
            <w:pPr>
              <w:pStyle w:val="P68B1DB1-ListParagraph15"/>
              <w:numPr>
                <w:ilvl w:val="0"/>
                <w:numId w:val="27"/>
              </w:numPr>
              <w:spacing w:after="0" w:line="240" w:lineRule="auto"/>
              <w:ind w:left="446"/>
              <w:contextualSpacing w:val="0"/>
              <w:rPr>
                <w:noProof/>
                <w:szCs w:val="20"/>
              </w:rPr>
            </w:pPr>
            <w:r>
              <w:rPr>
                <w:noProof/>
              </w:rPr>
              <w:t>Edistää ilmansaasteiden vähentämistä suurkaupunkialueilla,</w:t>
            </w:r>
          </w:p>
          <w:p w14:paraId="49055827" w14:textId="77777777" w:rsidR="00E42B18" w:rsidRDefault="009629C4">
            <w:pPr>
              <w:pStyle w:val="P68B1DB1-ListParagraph15"/>
              <w:numPr>
                <w:ilvl w:val="0"/>
                <w:numId w:val="27"/>
              </w:numPr>
              <w:spacing w:after="0" w:line="240" w:lineRule="auto"/>
              <w:ind w:left="446"/>
              <w:contextualSpacing w:val="0"/>
              <w:rPr>
                <w:noProof/>
                <w:szCs w:val="20"/>
              </w:rPr>
            </w:pPr>
            <w:r>
              <w:rPr>
                <w:noProof/>
              </w:rPr>
              <w:t>Vähentää ilmanlaatua koskevia rikkomusmenettelyjä;</w:t>
            </w:r>
          </w:p>
          <w:p w14:paraId="6D13A728" w14:textId="77777777" w:rsidR="00E42B18" w:rsidRDefault="009629C4">
            <w:pPr>
              <w:pStyle w:val="P68B1DB1-ListParagraph15"/>
              <w:numPr>
                <w:ilvl w:val="0"/>
                <w:numId w:val="27"/>
              </w:numPr>
              <w:spacing w:after="0" w:line="240" w:lineRule="auto"/>
              <w:ind w:left="446"/>
              <w:contextualSpacing w:val="0"/>
              <w:rPr>
                <w:noProof/>
                <w:szCs w:val="20"/>
              </w:rPr>
            </w:pPr>
            <w:r>
              <w:rPr>
                <w:noProof/>
              </w:rPr>
              <w:t>Elvytetään ihmisen luomat maisemat ja parannetaan suurkaupunkialueiden välittömässä läheisyydessä olevia suojelualueita;</w:t>
            </w:r>
          </w:p>
          <w:p w14:paraId="2600A551" w14:textId="77777777" w:rsidR="00E42B18" w:rsidRDefault="009629C4">
            <w:pPr>
              <w:pStyle w:val="P68B1DB1-Normal11"/>
              <w:rPr>
                <w:noProof/>
                <w:szCs w:val="20"/>
              </w:rPr>
            </w:pPr>
            <w:r>
              <w:rPr>
                <w:noProof/>
              </w:rPr>
              <w:t>Hillitään maaperän kulutusta ja ennallistetaan käyttökelpoista maaperää.</w:t>
            </w:r>
          </w:p>
        </w:tc>
      </w:tr>
      <w:tr w:rsidR="00E42B18" w14:paraId="21752641" w14:textId="77777777" w:rsidTr="007F4B94">
        <w:trPr>
          <w:trHeight w:val="300"/>
        </w:trPr>
        <w:tc>
          <w:tcPr>
            <w:tcW w:w="1134" w:type="dxa"/>
            <w:shd w:val="clear" w:color="auto" w:fill="C6EFCE"/>
            <w:noWrap/>
            <w:vAlign w:val="center"/>
            <w:hideMark/>
          </w:tcPr>
          <w:p w14:paraId="0EB335F0" w14:textId="77777777" w:rsidR="00E42B18" w:rsidRDefault="009629C4">
            <w:pPr>
              <w:pStyle w:val="P68B1DB1-Normal11"/>
              <w:spacing w:line="276" w:lineRule="auto"/>
              <w:jc w:val="center"/>
              <w:rPr>
                <w:noProof/>
                <w:szCs w:val="20"/>
              </w:rPr>
            </w:pPr>
            <w:r>
              <w:rPr>
                <w:noProof/>
              </w:rPr>
              <w:t>M2C4–19</w:t>
            </w:r>
          </w:p>
        </w:tc>
        <w:tc>
          <w:tcPr>
            <w:tcW w:w="1736" w:type="dxa"/>
            <w:shd w:val="clear" w:color="auto" w:fill="C6EFCE"/>
            <w:noWrap/>
            <w:vAlign w:val="center"/>
            <w:hideMark/>
          </w:tcPr>
          <w:p w14:paraId="0C28F051" w14:textId="77777777" w:rsidR="00E42B18" w:rsidRDefault="009629C4">
            <w:pPr>
              <w:pStyle w:val="P68B1DB1-Normal11"/>
              <w:spacing w:line="276" w:lineRule="auto"/>
              <w:jc w:val="center"/>
              <w:rPr>
                <w:noProof/>
                <w:szCs w:val="20"/>
              </w:rPr>
            </w:pPr>
            <w:r>
              <w:rPr>
                <w:noProof/>
              </w:rPr>
              <w:t>Sijoittaminen. 3.1: Kaupunkien ja niiden lähialueiden metsien suojelu ja parantaminen</w:t>
            </w:r>
          </w:p>
        </w:tc>
        <w:tc>
          <w:tcPr>
            <w:tcW w:w="1261" w:type="dxa"/>
            <w:shd w:val="clear" w:color="auto" w:fill="C6EFCE"/>
            <w:noWrap/>
            <w:vAlign w:val="center"/>
            <w:hideMark/>
          </w:tcPr>
          <w:p w14:paraId="1997F96B"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764834DE" w14:textId="77777777" w:rsidR="00E42B18" w:rsidRDefault="009629C4">
            <w:pPr>
              <w:pStyle w:val="P68B1DB1-Normal11"/>
              <w:spacing w:line="276" w:lineRule="auto"/>
              <w:jc w:val="center"/>
              <w:rPr>
                <w:noProof/>
                <w:szCs w:val="20"/>
              </w:rPr>
            </w:pPr>
            <w:r>
              <w:rPr>
                <w:noProof/>
              </w:rPr>
              <w:t>Kasvipuut kaupunkien ja niiden lähialueiden viheralueiden T1 suojeluun ja hyödyntämiseen</w:t>
            </w:r>
          </w:p>
        </w:tc>
        <w:tc>
          <w:tcPr>
            <w:tcW w:w="1264" w:type="dxa"/>
            <w:shd w:val="clear" w:color="auto" w:fill="C6EFCE"/>
            <w:noWrap/>
            <w:vAlign w:val="center"/>
            <w:hideMark/>
          </w:tcPr>
          <w:p w14:paraId="4B210EED" w14:textId="77777777" w:rsidR="00E42B18" w:rsidRDefault="009629C4">
            <w:pPr>
              <w:pStyle w:val="P68B1DB1-Normal11"/>
              <w:spacing w:line="276" w:lineRule="auto"/>
              <w:jc w:val="center"/>
              <w:rPr>
                <w:noProof/>
                <w:szCs w:val="20"/>
              </w:rPr>
            </w:pPr>
            <w:r>
              <w:rPr>
                <w:noProof/>
              </w:rPr>
              <w:t>EI OLE</w:t>
            </w:r>
          </w:p>
        </w:tc>
        <w:tc>
          <w:tcPr>
            <w:tcW w:w="1055" w:type="dxa"/>
            <w:shd w:val="clear" w:color="auto" w:fill="C6EFCE"/>
            <w:noWrap/>
            <w:vAlign w:val="center"/>
            <w:hideMark/>
          </w:tcPr>
          <w:p w14:paraId="4E4671B0" w14:textId="77777777" w:rsidR="00E42B18" w:rsidRDefault="009629C4">
            <w:pPr>
              <w:pStyle w:val="P68B1DB1-Normal11"/>
              <w:spacing w:line="276" w:lineRule="auto"/>
              <w:jc w:val="center"/>
              <w:rPr>
                <w:noProof/>
                <w:szCs w:val="20"/>
              </w:rPr>
            </w:pPr>
            <w:r>
              <w:rPr>
                <w:noProof/>
              </w:rPr>
              <w:t>Numero</w:t>
            </w:r>
          </w:p>
        </w:tc>
        <w:tc>
          <w:tcPr>
            <w:tcW w:w="946" w:type="dxa"/>
            <w:shd w:val="clear" w:color="auto" w:fill="C6EFCE"/>
            <w:noWrap/>
            <w:vAlign w:val="center"/>
            <w:hideMark/>
          </w:tcPr>
          <w:p w14:paraId="7F8453BC" w14:textId="77777777" w:rsidR="00E42B18" w:rsidRDefault="009629C4">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128D5B98" w14:textId="77777777" w:rsidR="00E42B18" w:rsidRDefault="009629C4">
            <w:pPr>
              <w:pStyle w:val="P68B1DB1-Normal11"/>
              <w:spacing w:line="276" w:lineRule="auto"/>
              <w:jc w:val="center"/>
              <w:rPr>
                <w:noProof/>
                <w:szCs w:val="20"/>
              </w:rPr>
            </w:pPr>
            <w:r>
              <w:rPr>
                <w:noProof/>
              </w:rPr>
              <w:t>1 650 000</w:t>
            </w:r>
          </w:p>
        </w:tc>
        <w:tc>
          <w:tcPr>
            <w:tcW w:w="809" w:type="dxa"/>
            <w:shd w:val="clear" w:color="auto" w:fill="C6EFCE"/>
            <w:noWrap/>
            <w:vAlign w:val="center"/>
            <w:hideMark/>
          </w:tcPr>
          <w:p w14:paraId="53FF9947" w14:textId="77777777" w:rsidR="00E42B18" w:rsidRDefault="009629C4">
            <w:pPr>
              <w:pStyle w:val="P68B1DB1-Normal11"/>
              <w:spacing w:line="276" w:lineRule="auto"/>
              <w:jc w:val="center"/>
              <w:rPr>
                <w:noProof/>
                <w:szCs w:val="20"/>
              </w:rPr>
            </w:pPr>
            <w:r>
              <w:rPr>
                <w:noProof/>
              </w:rPr>
              <w:t>Q4</w:t>
            </w:r>
          </w:p>
        </w:tc>
        <w:tc>
          <w:tcPr>
            <w:tcW w:w="770" w:type="dxa"/>
            <w:shd w:val="clear" w:color="auto" w:fill="C6EFCE"/>
            <w:noWrap/>
            <w:vAlign w:val="center"/>
            <w:hideMark/>
          </w:tcPr>
          <w:p w14:paraId="0FA82870" w14:textId="77777777" w:rsidR="00E42B18" w:rsidRDefault="009629C4">
            <w:pPr>
              <w:pStyle w:val="P68B1DB1-Normal11"/>
              <w:spacing w:line="276" w:lineRule="auto"/>
              <w:jc w:val="center"/>
              <w:rPr>
                <w:noProof/>
                <w:szCs w:val="20"/>
              </w:rPr>
            </w:pPr>
            <w:r>
              <w:rPr>
                <w:noProof/>
              </w:rPr>
              <w:t>2022</w:t>
            </w:r>
          </w:p>
        </w:tc>
        <w:tc>
          <w:tcPr>
            <w:tcW w:w="3544" w:type="dxa"/>
            <w:shd w:val="clear" w:color="auto" w:fill="C6EFCE"/>
            <w:noWrap/>
            <w:vAlign w:val="center"/>
            <w:hideMark/>
          </w:tcPr>
          <w:p w14:paraId="41241CE4" w14:textId="77777777" w:rsidR="00E42B18" w:rsidRDefault="009629C4">
            <w:pPr>
              <w:pStyle w:val="P68B1DB1-Normal11"/>
              <w:spacing w:line="276" w:lineRule="auto"/>
              <w:rPr>
                <w:noProof/>
                <w:szCs w:val="20"/>
              </w:rPr>
            </w:pPr>
            <w:r>
              <w:rPr>
                <w:noProof/>
              </w:rPr>
              <w:t>Istutetaan vähintään 1650000 puuta kaupunkien ja niiden lähialueiden uudelleenmetsittämistä varten 12 päivänä joulukuuta 2019 annetun lain 141 (ns. ilmastolaki) 4 §:n mukaisesti.</w:t>
            </w:r>
          </w:p>
        </w:tc>
      </w:tr>
      <w:tr w:rsidR="00E42B18" w14:paraId="05C1A266" w14:textId="77777777" w:rsidTr="007F4B94">
        <w:trPr>
          <w:trHeight w:val="300"/>
        </w:trPr>
        <w:tc>
          <w:tcPr>
            <w:tcW w:w="1134" w:type="dxa"/>
            <w:shd w:val="clear" w:color="auto" w:fill="C6EFCE"/>
            <w:noWrap/>
            <w:vAlign w:val="center"/>
            <w:hideMark/>
          </w:tcPr>
          <w:p w14:paraId="264953C5" w14:textId="77777777" w:rsidR="00E42B18" w:rsidRDefault="009629C4">
            <w:pPr>
              <w:pStyle w:val="P68B1DB1-Normal11"/>
              <w:spacing w:line="276" w:lineRule="auto"/>
              <w:jc w:val="center"/>
              <w:rPr>
                <w:noProof/>
                <w:szCs w:val="20"/>
              </w:rPr>
            </w:pPr>
            <w:r>
              <w:rPr>
                <w:noProof/>
              </w:rPr>
              <w:t>M2C4–20</w:t>
            </w:r>
          </w:p>
        </w:tc>
        <w:tc>
          <w:tcPr>
            <w:tcW w:w="1736" w:type="dxa"/>
            <w:shd w:val="clear" w:color="auto" w:fill="C6EFCE"/>
            <w:noWrap/>
            <w:vAlign w:val="center"/>
            <w:hideMark/>
          </w:tcPr>
          <w:p w14:paraId="661F8355" w14:textId="77777777" w:rsidR="00E42B18" w:rsidRDefault="009629C4">
            <w:pPr>
              <w:pStyle w:val="P68B1DB1-Normal11"/>
              <w:spacing w:line="276" w:lineRule="auto"/>
              <w:jc w:val="center"/>
              <w:rPr>
                <w:noProof/>
                <w:szCs w:val="20"/>
              </w:rPr>
            </w:pPr>
            <w:r>
              <w:rPr>
                <w:noProof/>
              </w:rPr>
              <w:t>Sijoittaminen. 3.1: Kaupunkien ja niiden lähialueiden metsien suojelu ja parantaminen</w:t>
            </w:r>
          </w:p>
        </w:tc>
        <w:tc>
          <w:tcPr>
            <w:tcW w:w="1261" w:type="dxa"/>
            <w:shd w:val="clear" w:color="auto" w:fill="C6EFCE"/>
            <w:noWrap/>
            <w:vAlign w:val="center"/>
            <w:hideMark/>
          </w:tcPr>
          <w:p w14:paraId="61FE3AC1"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7120E703" w14:textId="77777777" w:rsidR="00E42B18" w:rsidRDefault="009629C4">
            <w:pPr>
              <w:pStyle w:val="P68B1DB1-Normal11"/>
              <w:spacing w:line="276" w:lineRule="auto"/>
              <w:jc w:val="center"/>
              <w:rPr>
                <w:noProof/>
                <w:szCs w:val="20"/>
              </w:rPr>
            </w:pPr>
            <w:r>
              <w:rPr>
                <w:noProof/>
              </w:rPr>
              <w:t>Kasvipuut kaupunkien ja niiden lähialueiden viheralueiden suojeluun ja hyödyntämiseen</w:t>
            </w:r>
          </w:p>
        </w:tc>
        <w:tc>
          <w:tcPr>
            <w:tcW w:w="1264" w:type="dxa"/>
            <w:shd w:val="clear" w:color="auto" w:fill="C6EFCE"/>
            <w:noWrap/>
            <w:vAlign w:val="center"/>
            <w:hideMark/>
          </w:tcPr>
          <w:p w14:paraId="164B4352" w14:textId="77777777" w:rsidR="00E42B18" w:rsidRDefault="009629C4">
            <w:pPr>
              <w:pStyle w:val="P68B1DB1-Normal11"/>
              <w:spacing w:line="276" w:lineRule="auto"/>
              <w:jc w:val="center"/>
              <w:rPr>
                <w:noProof/>
                <w:szCs w:val="20"/>
              </w:rPr>
            </w:pPr>
            <w:r>
              <w:rPr>
                <w:noProof/>
              </w:rPr>
              <w:t>EI OLE</w:t>
            </w:r>
          </w:p>
        </w:tc>
        <w:tc>
          <w:tcPr>
            <w:tcW w:w="1055" w:type="dxa"/>
            <w:shd w:val="clear" w:color="auto" w:fill="C6EFCE"/>
            <w:noWrap/>
            <w:vAlign w:val="center"/>
            <w:hideMark/>
          </w:tcPr>
          <w:p w14:paraId="6062638C" w14:textId="77777777" w:rsidR="00E42B18" w:rsidRDefault="009629C4">
            <w:pPr>
              <w:pStyle w:val="P68B1DB1-Normal11"/>
              <w:spacing w:line="276" w:lineRule="auto"/>
              <w:jc w:val="center"/>
              <w:rPr>
                <w:noProof/>
                <w:szCs w:val="20"/>
              </w:rPr>
            </w:pPr>
            <w:r>
              <w:rPr>
                <w:noProof/>
              </w:rPr>
              <w:t>Numero</w:t>
            </w:r>
          </w:p>
        </w:tc>
        <w:tc>
          <w:tcPr>
            <w:tcW w:w="946" w:type="dxa"/>
            <w:shd w:val="clear" w:color="auto" w:fill="C6EFCE"/>
            <w:noWrap/>
            <w:vAlign w:val="center"/>
            <w:hideMark/>
          </w:tcPr>
          <w:p w14:paraId="3991EBFE" w14:textId="77777777" w:rsidR="00E42B18" w:rsidRDefault="009629C4">
            <w:pPr>
              <w:pStyle w:val="P68B1DB1-Normal11"/>
              <w:spacing w:line="276" w:lineRule="auto"/>
              <w:jc w:val="center"/>
              <w:rPr>
                <w:noProof/>
                <w:szCs w:val="20"/>
              </w:rPr>
            </w:pPr>
            <w:r>
              <w:rPr>
                <w:noProof/>
              </w:rPr>
              <w:t>1 650 000</w:t>
            </w:r>
          </w:p>
        </w:tc>
        <w:tc>
          <w:tcPr>
            <w:tcW w:w="1000" w:type="dxa"/>
            <w:shd w:val="clear" w:color="auto" w:fill="C6EFCE"/>
            <w:noWrap/>
            <w:vAlign w:val="center"/>
            <w:hideMark/>
          </w:tcPr>
          <w:p w14:paraId="2E174BF6" w14:textId="77777777" w:rsidR="00E42B18" w:rsidRDefault="009629C4">
            <w:pPr>
              <w:pStyle w:val="P68B1DB1-Normal11"/>
              <w:spacing w:line="276" w:lineRule="auto"/>
              <w:jc w:val="center"/>
              <w:rPr>
                <w:noProof/>
                <w:szCs w:val="20"/>
              </w:rPr>
            </w:pPr>
            <w:r>
              <w:rPr>
                <w:noProof/>
              </w:rPr>
              <w:t>4 500 000</w:t>
            </w:r>
          </w:p>
        </w:tc>
        <w:tc>
          <w:tcPr>
            <w:tcW w:w="809" w:type="dxa"/>
            <w:shd w:val="clear" w:color="auto" w:fill="C6EFCE"/>
            <w:noWrap/>
            <w:vAlign w:val="center"/>
            <w:hideMark/>
          </w:tcPr>
          <w:p w14:paraId="4EC9EA4B" w14:textId="77777777" w:rsidR="00E42B18" w:rsidRDefault="009629C4">
            <w:pPr>
              <w:pStyle w:val="P68B1DB1-Normal11"/>
              <w:spacing w:line="276" w:lineRule="auto"/>
              <w:jc w:val="center"/>
              <w:rPr>
                <w:noProof/>
                <w:szCs w:val="20"/>
              </w:rPr>
            </w:pPr>
            <w:r>
              <w:rPr>
                <w:noProof/>
              </w:rPr>
              <w:t>Q4</w:t>
            </w:r>
          </w:p>
        </w:tc>
        <w:tc>
          <w:tcPr>
            <w:tcW w:w="770" w:type="dxa"/>
            <w:shd w:val="clear" w:color="auto" w:fill="C6EFCE"/>
            <w:noWrap/>
            <w:vAlign w:val="center"/>
            <w:hideMark/>
          </w:tcPr>
          <w:p w14:paraId="332E157D" w14:textId="77777777" w:rsidR="00E42B18" w:rsidRDefault="009629C4">
            <w:pPr>
              <w:pStyle w:val="P68B1DB1-Normal11"/>
              <w:spacing w:line="276" w:lineRule="auto"/>
              <w:jc w:val="center"/>
              <w:rPr>
                <w:noProof/>
                <w:szCs w:val="20"/>
              </w:rPr>
            </w:pPr>
            <w:r>
              <w:rPr>
                <w:noProof/>
              </w:rPr>
              <w:t>2024</w:t>
            </w:r>
          </w:p>
        </w:tc>
        <w:tc>
          <w:tcPr>
            <w:tcW w:w="3544" w:type="dxa"/>
            <w:shd w:val="clear" w:color="auto" w:fill="C6EFCE"/>
            <w:noWrap/>
            <w:vAlign w:val="center"/>
            <w:hideMark/>
          </w:tcPr>
          <w:p w14:paraId="09FB38E0" w14:textId="77777777" w:rsidR="00E42B18" w:rsidRDefault="009629C4">
            <w:pPr>
              <w:pStyle w:val="P68B1DB1-Normal11"/>
              <w:spacing w:line="276" w:lineRule="auto"/>
              <w:rPr>
                <w:noProof/>
                <w:szCs w:val="20"/>
              </w:rPr>
            </w:pPr>
            <w:r>
              <w:rPr>
                <w:noProof/>
              </w:rPr>
              <w:t>Metsänviljelyaineiston (siementen tai kasvien) istuttaminen vähintään 4500000 puulle ja pensaille kaupunkien ja niiden lähialueiden uudelleenmetsittämistä varten 12 päivänä joulukuuta 2019 annetun lain 141 (ns. ilmastolaki) 4 §:n mukaisesti.</w:t>
            </w:r>
          </w:p>
        </w:tc>
      </w:tr>
      <w:tr w:rsidR="00E42B18" w14:paraId="49876945" w14:textId="77777777" w:rsidTr="007F4B94">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7FDF4B" w14:textId="77777777" w:rsidR="00E42B18" w:rsidRDefault="009629C4">
            <w:pPr>
              <w:pStyle w:val="P68B1DB1-Normal11"/>
              <w:spacing w:line="276" w:lineRule="auto"/>
              <w:jc w:val="center"/>
              <w:rPr>
                <w:noProof/>
                <w:szCs w:val="20"/>
              </w:rPr>
            </w:pPr>
            <w:r>
              <w:rPr>
                <w:noProof/>
              </w:rPr>
              <w:t>M2C4–20a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A641F2" w14:textId="77777777" w:rsidR="00E42B18" w:rsidRDefault="009629C4">
            <w:pPr>
              <w:pStyle w:val="P68B1DB1-Normal11"/>
              <w:spacing w:line="276" w:lineRule="auto"/>
              <w:jc w:val="center"/>
              <w:rPr>
                <w:noProof/>
                <w:szCs w:val="20"/>
              </w:rPr>
            </w:pPr>
            <w:r>
              <w:rPr>
                <w:noProof/>
              </w:rPr>
              <w:t>Sijoittaminen. 3.1: Kaupunkien ja niiden lähialueiden metsien suojelu ja parantaminen</w:t>
            </w:r>
          </w:p>
        </w:tc>
        <w:tc>
          <w:tcPr>
            <w:tcW w:w="12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3CCAF0" w14:textId="77777777" w:rsidR="00E42B18" w:rsidRDefault="009629C4">
            <w:pPr>
              <w:pStyle w:val="P68B1DB1-Normal11"/>
              <w:spacing w:line="276" w:lineRule="auto"/>
              <w:jc w:val="center"/>
              <w:rPr>
                <w:noProof/>
                <w:szCs w:val="20"/>
              </w:rPr>
            </w:pPr>
            <w:r>
              <w:rPr>
                <w:noProof/>
              </w:rPr>
              <w:t>Kohde</w:t>
            </w:r>
          </w:p>
        </w:tc>
        <w:tc>
          <w:tcPr>
            <w:tcW w:w="13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33EE" w14:textId="77777777" w:rsidR="00E42B18" w:rsidRDefault="009629C4">
            <w:pPr>
              <w:pStyle w:val="P68B1DB1-Normal11"/>
              <w:spacing w:line="276" w:lineRule="auto"/>
              <w:jc w:val="center"/>
              <w:rPr>
                <w:noProof/>
                <w:szCs w:val="20"/>
              </w:rPr>
            </w:pPr>
            <w:r>
              <w:rPr>
                <w:noProof/>
              </w:rPr>
              <w:t>T3-kasvipuut kaupunkien ja niiden lähialueiden viheralueiden suojeluun ja hyödyntämiseen</w:t>
            </w:r>
          </w:p>
        </w:tc>
        <w:tc>
          <w:tcPr>
            <w:tcW w:w="12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EE3AA" w14:textId="77777777" w:rsidR="00E42B18" w:rsidRDefault="009629C4">
            <w:pPr>
              <w:pStyle w:val="P68B1DB1-Normal11"/>
              <w:spacing w:line="276" w:lineRule="auto"/>
              <w:jc w:val="center"/>
              <w:rPr>
                <w:noProof/>
                <w:szCs w:val="20"/>
              </w:rPr>
            </w:pPr>
            <w:r>
              <w:rPr>
                <w:noProof/>
              </w:rPr>
              <w:t>EI OLE</w:t>
            </w:r>
          </w:p>
        </w:tc>
        <w:tc>
          <w:tcPr>
            <w:tcW w:w="10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00BF0F" w14:textId="77777777" w:rsidR="00E42B18" w:rsidRDefault="009629C4">
            <w:pPr>
              <w:pStyle w:val="P68B1DB1-Normal11"/>
              <w:spacing w:line="276" w:lineRule="auto"/>
              <w:jc w:val="center"/>
              <w:rPr>
                <w:noProof/>
                <w:szCs w:val="20"/>
              </w:rPr>
            </w:pPr>
            <w:r>
              <w:rPr>
                <w:noProof/>
              </w:rPr>
              <w:t>Numero</w:t>
            </w:r>
          </w:p>
        </w:tc>
        <w:tc>
          <w:tcPr>
            <w:tcW w:w="9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E752C" w14:textId="77777777" w:rsidR="00E42B18" w:rsidRDefault="009629C4">
            <w:pPr>
              <w:pStyle w:val="P68B1DB1-Normal11"/>
              <w:spacing w:line="276" w:lineRule="auto"/>
              <w:jc w:val="center"/>
              <w:rPr>
                <w:noProof/>
                <w:szCs w:val="20"/>
              </w:rPr>
            </w:pPr>
            <w:r>
              <w:rPr>
                <w:noProof/>
              </w:rPr>
              <w:t>0</w:t>
            </w:r>
          </w:p>
        </w:tc>
        <w:tc>
          <w:tcPr>
            <w:tcW w:w="10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D1E0D8" w14:textId="77777777" w:rsidR="00E42B18" w:rsidRDefault="009629C4">
            <w:pPr>
              <w:pStyle w:val="P68B1DB1-Normal11"/>
              <w:spacing w:line="276" w:lineRule="auto"/>
              <w:jc w:val="center"/>
              <w:rPr>
                <w:noProof/>
                <w:szCs w:val="20"/>
              </w:rPr>
            </w:pPr>
            <w:r>
              <w:rPr>
                <w:noProof/>
              </w:rPr>
              <w:t>3 500 000</w:t>
            </w:r>
          </w:p>
        </w:tc>
        <w:tc>
          <w:tcPr>
            <w:tcW w:w="8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AB795C" w14:textId="77777777" w:rsidR="00E42B18" w:rsidRDefault="009629C4">
            <w:pPr>
              <w:pStyle w:val="P68B1DB1-Normal11"/>
              <w:spacing w:line="276" w:lineRule="auto"/>
              <w:jc w:val="center"/>
              <w:rPr>
                <w:noProof/>
                <w:szCs w:val="20"/>
              </w:rPr>
            </w:pPr>
            <w:r>
              <w:rPr>
                <w:noProof/>
              </w:rPr>
              <w:t>Q2</w:t>
            </w:r>
          </w:p>
        </w:tc>
        <w:tc>
          <w:tcPr>
            <w:tcW w:w="770" w:type="dxa"/>
            <w:tcBorders>
              <w:top w:val="single" w:sz="4" w:space="0" w:color="auto"/>
              <w:left w:val="single" w:sz="4" w:space="0" w:color="auto"/>
              <w:bottom w:val="single" w:sz="4" w:space="0" w:color="auto"/>
              <w:right w:val="single" w:sz="4" w:space="0" w:color="auto"/>
            </w:tcBorders>
            <w:shd w:val="clear" w:color="auto" w:fill="C6EFCE"/>
            <w:vAlign w:val="center"/>
          </w:tcPr>
          <w:p w14:paraId="135BB5C9" w14:textId="77777777" w:rsidR="00E42B18" w:rsidRDefault="009629C4">
            <w:pPr>
              <w:pStyle w:val="P68B1DB1-Normal11"/>
              <w:spacing w:line="276" w:lineRule="auto"/>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59A122" w14:textId="77777777" w:rsidR="00E42B18" w:rsidRDefault="009629C4">
            <w:pPr>
              <w:pStyle w:val="P68B1DB1-Normal12"/>
              <w:spacing w:line="276" w:lineRule="auto"/>
              <w:rPr>
                <w:noProof/>
              </w:rPr>
            </w:pPr>
            <w:r>
              <w:rPr>
                <w:noProof/>
              </w:rPr>
              <w:t>Metsänviljelyaineiston (siementen tai kasvien) siirtäminen vähintään 3500000 puulle ja pensaille kaupunkien ja niiden lähialueiden uudelleenmetsittämistä varten.</w:t>
            </w:r>
          </w:p>
        </w:tc>
      </w:tr>
      <w:tr w:rsidR="00E42B18" w14:paraId="136D37C5" w14:textId="77777777" w:rsidTr="007F4B94">
        <w:trPr>
          <w:trHeight w:val="300"/>
        </w:trPr>
        <w:tc>
          <w:tcPr>
            <w:tcW w:w="1134" w:type="dxa"/>
            <w:shd w:val="clear" w:color="auto" w:fill="C6EFCE"/>
            <w:noWrap/>
            <w:vAlign w:val="center"/>
            <w:hideMark/>
          </w:tcPr>
          <w:p w14:paraId="6ADE66B0" w14:textId="77777777" w:rsidR="00E42B18" w:rsidRDefault="009629C4">
            <w:pPr>
              <w:pStyle w:val="P68B1DB1-Normal11"/>
              <w:spacing w:line="276" w:lineRule="auto"/>
              <w:jc w:val="center"/>
              <w:rPr>
                <w:noProof/>
                <w:szCs w:val="20"/>
              </w:rPr>
            </w:pPr>
            <w:r>
              <w:rPr>
                <w:noProof/>
              </w:rPr>
              <w:t>M2C4–21</w:t>
            </w:r>
          </w:p>
        </w:tc>
        <w:tc>
          <w:tcPr>
            <w:tcW w:w="1736" w:type="dxa"/>
            <w:shd w:val="clear" w:color="auto" w:fill="C6EFCE"/>
            <w:noWrap/>
            <w:vAlign w:val="center"/>
            <w:hideMark/>
          </w:tcPr>
          <w:p w14:paraId="711659FB" w14:textId="77777777" w:rsidR="00E42B18" w:rsidRDefault="009629C4">
            <w:pPr>
              <w:pStyle w:val="P68B1DB1-Normal11"/>
              <w:spacing w:line="276" w:lineRule="auto"/>
              <w:jc w:val="center"/>
              <w:rPr>
                <w:noProof/>
                <w:szCs w:val="20"/>
              </w:rPr>
            </w:pPr>
            <w:r>
              <w:rPr>
                <w:noProof/>
              </w:rPr>
              <w:t>Investointi 3.3 Po-alueen ennallistaminen</w:t>
            </w:r>
          </w:p>
        </w:tc>
        <w:tc>
          <w:tcPr>
            <w:tcW w:w="1261" w:type="dxa"/>
            <w:shd w:val="clear" w:color="auto" w:fill="C6EFCE"/>
            <w:noWrap/>
            <w:vAlign w:val="center"/>
            <w:hideMark/>
          </w:tcPr>
          <w:p w14:paraId="0186EFB1"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hideMark/>
          </w:tcPr>
          <w:p w14:paraId="30A6165E" w14:textId="77777777" w:rsidR="00E42B18" w:rsidRDefault="009629C4">
            <w:pPr>
              <w:pStyle w:val="P68B1DB1-Normal11"/>
              <w:spacing w:line="276" w:lineRule="auto"/>
              <w:jc w:val="center"/>
              <w:rPr>
                <w:noProof/>
                <w:szCs w:val="20"/>
              </w:rPr>
            </w:pPr>
            <w:r>
              <w:rPr>
                <w:noProof/>
              </w:rPr>
              <w:t>Po-alueen elvyttämistä koskevien interventioiden oikeudellisen kehyksen tarkistaminen</w:t>
            </w:r>
          </w:p>
        </w:tc>
        <w:tc>
          <w:tcPr>
            <w:tcW w:w="1264" w:type="dxa"/>
            <w:shd w:val="clear" w:color="auto" w:fill="C6EFCE"/>
            <w:noWrap/>
            <w:vAlign w:val="center"/>
            <w:hideMark/>
          </w:tcPr>
          <w:p w14:paraId="6EB4EF69" w14:textId="77777777" w:rsidR="00E42B18" w:rsidRDefault="009629C4">
            <w:pPr>
              <w:pStyle w:val="P68B1DB1-Normal11"/>
              <w:spacing w:line="276" w:lineRule="auto"/>
              <w:jc w:val="center"/>
              <w:rPr>
                <w:noProof/>
                <w:szCs w:val="20"/>
              </w:rPr>
            </w:pPr>
            <w:r>
              <w:rPr>
                <w:noProof/>
              </w:rPr>
              <w:t>Voimaantuloon viittaava säännös asianomaisessa säädöksessä</w:t>
            </w:r>
          </w:p>
        </w:tc>
        <w:tc>
          <w:tcPr>
            <w:tcW w:w="1055" w:type="dxa"/>
            <w:shd w:val="clear" w:color="auto" w:fill="C6EFCE"/>
            <w:noWrap/>
            <w:vAlign w:val="center"/>
            <w:hideMark/>
          </w:tcPr>
          <w:p w14:paraId="2E517DA1" w14:textId="77777777" w:rsidR="00E42B18" w:rsidRDefault="009629C4">
            <w:pPr>
              <w:pStyle w:val="P68B1DB1-Normal11"/>
              <w:spacing w:line="276" w:lineRule="auto"/>
              <w:jc w:val="center"/>
              <w:rPr>
                <w:noProof/>
                <w:szCs w:val="20"/>
              </w:rPr>
            </w:pPr>
            <w:r>
              <w:rPr>
                <w:noProof/>
              </w:rPr>
              <w:t>EI OLE</w:t>
            </w:r>
          </w:p>
        </w:tc>
        <w:tc>
          <w:tcPr>
            <w:tcW w:w="946" w:type="dxa"/>
            <w:shd w:val="clear" w:color="auto" w:fill="C6EFCE"/>
            <w:noWrap/>
            <w:vAlign w:val="center"/>
            <w:hideMark/>
          </w:tcPr>
          <w:p w14:paraId="074D49B5" w14:textId="77777777" w:rsidR="00E42B18" w:rsidRDefault="009629C4">
            <w:pPr>
              <w:pStyle w:val="P68B1DB1-Normal11"/>
              <w:spacing w:line="276" w:lineRule="auto"/>
              <w:jc w:val="center"/>
              <w:rPr>
                <w:noProof/>
                <w:szCs w:val="20"/>
              </w:rPr>
            </w:pPr>
            <w:r>
              <w:rPr>
                <w:noProof/>
              </w:rPr>
              <w:t>EI OLE</w:t>
            </w:r>
          </w:p>
        </w:tc>
        <w:tc>
          <w:tcPr>
            <w:tcW w:w="1000" w:type="dxa"/>
            <w:shd w:val="clear" w:color="auto" w:fill="C6EFCE"/>
            <w:noWrap/>
            <w:vAlign w:val="center"/>
            <w:hideMark/>
          </w:tcPr>
          <w:p w14:paraId="3B114B6B" w14:textId="77777777" w:rsidR="00E42B18" w:rsidRDefault="009629C4">
            <w:pPr>
              <w:pStyle w:val="P68B1DB1-Normal11"/>
              <w:spacing w:line="276" w:lineRule="auto"/>
              <w:jc w:val="center"/>
              <w:rPr>
                <w:noProof/>
                <w:szCs w:val="20"/>
              </w:rPr>
            </w:pPr>
            <w:r>
              <w:rPr>
                <w:noProof/>
              </w:rPr>
              <w:t>EI OLE</w:t>
            </w:r>
          </w:p>
        </w:tc>
        <w:tc>
          <w:tcPr>
            <w:tcW w:w="809" w:type="dxa"/>
            <w:shd w:val="clear" w:color="auto" w:fill="C6EFCE"/>
            <w:noWrap/>
            <w:vAlign w:val="center"/>
            <w:hideMark/>
          </w:tcPr>
          <w:p w14:paraId="21871739" w14:textId="77777777" w:rsidR="00E42B18" w:rsidRDefault="009629C4">
            <w:pPr>
              <w:pStyle w:val="P68B1DB1-Normal11"/>
              <w:spacing w:line="276" w:lineRule="auto"/>
              <w:jc w:val="center"/>
              <w:rPr>
                <w:noProof/>
                <w:szCs w:val="20"/>
              </w:rPr>
            </w:pPr>
            <w:r>
              <w:rPr>
                <w:noProof/>
              </w:rPr>
              <w:t>Q2</w:t>
            </w:r>
          </w:p>
        </w:tc>
        <w:tc>
          <w:tcPr>
            <w:tcW w:w="770" w:type="dxa"/>
            <w:shd w:val="clear" w:color="auto" w:fill="C6EFCE"/>
            <w:noWrap/>
            <w:vAlign w:val="center"/>
            <w:hideMark/>
          </w:tcPr>
          <w:p w14:paraId="5692A6E5" w14:textId="77777777" w:rsidR="00E42B18" w:rsidRDefault="009629C4">
            <w:pPr>
              <w:pStyle w:val="P68B1DB1-Normal11"/>
              <w:spacing w:line="276" w:lineRule="auto"/>
              <w:jc w:val="center"/>
              <w:rPr>
                <w:noProof/>
                <w:szCs w:val="20"/>
              </w:rPr>
            </w:pPr>
            <w:r>
              <w:rPr>
                <w:noProof/>
              </w:rPr>
              <w:t>2023</w:t>
            </w:r>
          </w:p>
        </w:tc>
        <w:tc>
          <w:tcPr>
            <w:tcW w:w="3544" w:type="dxa"/>
            <w:shd w:val="clear" w:color="auto" w:fill="C6EFCE"/>
            <w:noWrap/>
            <w:vAlign w:val="center"/>
            <w:hideMark/>
          </w:tcPr>
          <w:p w14:paraId="53197A14" w14:textId="77777777" w:rsidR="00E42B18" w:rsidRDefault="009629C4">
            <w:pPr>
              <w:pStyle w:val="P68B1DB1-Normal11"/>
              <w:spacing w:line="276" w:lineRule="auto"/>
              <w:rPr>
                <w:noProof/>
                <w:szCs w:val="20"/>
              </w:rPr>
            </w:pPr>
            <w:r>
              <w:rPr>
                <w:noProof/>
              </w:rPr>
              <w:t xml:space="preserve">Sellaisen lainsäädännön voimaantulo, jonka tavoitteena on elvyttää </w:t>
            </w:r>
            <w:r>
              <w:rPr>
                <w:noProof/>
                <w:szCs w:val="20"/>
              </w:rPr>
              <w:t>joen</w:t>
            </w:r>
            <w:r>
              <w:rPr>
                <w:noProof/>
              </w:rPr>
              <w:t>pohjaa edustava ekologinen käytävä, mukaan lukien luonnollinen uudelleenmetsitys ja toimet sivuhaarojen ja haarukkien ennallistamiseksi ja uudelleenaktivoimiseksi.</w:t>
            </w:r>
          </w:p>
        </w:tc>
      </w:tr>
      <w:tr w:rsidR="00E42B18" w14:paraId="02FB9DCF" w14:textId="77777777" w:rsidTr="007F4B94">
        <w:trPr>
          <w:trHeight w:val="300"/>
        </w:trPr>
        <w:tc>
          <w:tcPr>
            <w:tcW w:w="1134" w:type="dxa"/>
            <w:shd w:val="clear" w:color="auto" w:fill="C6EFCE"/>
            <w:noWrap/>
            <w:vAlign w:val="center"/>
            <w:hideMark/>
          </w:tcPr>
          <w:p w14:paraId="6001469F" w14:textId="77777777" w:rsidR="00E42B18" w:rsidRDefault="009629C4">
            <w:pPr>
              <w:pStyle w:val="P68B1DB1-Normal11"/>
              <w:spacing w:line="276" w:lineRule="auto"/>
              <w:jc w:val="center"/>
              <w:rPr>
                <w:noProof/>
                <w:szCs w:val="20"/>
              </w:rPr>
            </w:pPr>
            <w:r>
              <w:rPr>
                <w:noProof/>
              </w:rPr>
              <w:t>M2C4–22</w:t>
            </w:r>
          </w:p>
        </w:tc>
        <w:tc>
          <w:tcPr>
            <w:tcW w:w="1736" w:type="dxa"/>
            <w:shd w:val="clear" w:color="auto" w:fill="C6EFCE"/>
            <w:noWrap/>
            <w:vAlign w:val="center"/>
            <w:hideMark/>
          </w:tcPr>
          <w:p w14:paraId="2BFF3B99" w14:textId="77777777" w:rsidR="00E42B18" w:rsidRDefault="009629C4">
            <w:pPr>
              <w:pStyle w:val="P68B1DB1-Normal11"/>
              <w:spacing w:line="276" w:lineRule="auto"/>
              <w:jc w:val="center"/>
              <w:rPr>
                <w:noProof/>
                <w:szCs w:val="20"/>
              </w:rPr>
            </w:pPr>
            <w:r>
              <w:rPr>
                <w:noProof/>
              </w:rPr>
              <w:t>Investointi 3.3 Po-alueen ennallistaminen</w:t>
            </w:r>
          </w:p>
        </w:tc>
        <w:tc>
          <w:tcPr>
            <w:tcW w:w="1261" w:type="dxa"/>
            <w:shd w:val="clear" w:color="auto" w:fill="C6EFCE"/>
            <w:noWrap/>
            <w:vAlign w:val="center"/>
            <w:hideMark/>
          </w:tcPr>
          <w:p w14:paraId="799E1D64"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41DA8A1A" w14:textId="77777777" w:rsidR="00E42B18" w:rsidRDefault="009629C4">
            <w:pPr>
              <w:pStyle w:val="P68B1DB1-Normal11"/>
              <w:spacing w:line="276" w:lineRule="auto"/>
              <w:jc w:val="center"/>
              <w:rPr>
                <w:noProof/>
                <w:szCs w:val="20"/>
              </w:rPr>
            </w:pPr>
            <w:r>
              <w:rPr>
                <w:noProof/>
              </w:rPr>
              <w:t>Joenpohjan keinotekoisuuden vähentäminen Po-alueen T1 elvyttämistä varten</w:t>
            </w:r>
          </w:p>
        </w:tc>
        <w:tc>
          <w:tcPr>
            <w:tcW w:w="1264" w:type="dxa"/>
            <w:shd w:val="clear" w:color="auto" w:fill="C6EFCE"/>
            <w:noWrap/>
            <w:vAlign w:val="center"/>
            <w:hideMark/>
          </w:tcPr>
          <w:p w14:paraId="77F0DC30" w14:textId="77777777" w:rsidR="00E42B18" w:rsidRDefault="009629C4">
            <w:pPr>
              <w:pStyle w:val="P68B1DB1-Normal11"/>
              <w:spacing w:line="276" w:lineRule="auto"/>
              <w:jc w:val="center"/>
              <w:rPr>
                <w:noProof/>
                <w:szCs w:val="20"/>
              </w:rPr>
            </w:pPr>
            <w:r>
              <w:rPr>
                <w:noProof/>
              </w:rPr>
              <w:t>EI OLE</w:t>
            </w:r>
          </w:p>
        </w:tc>
        <w:tc>
          <w:tcPr>
            <w:tcW w:w="1055" w:type="dxa"/>
            <w:shd w:val="clear" w:color="auto" w:fill="C6EFCE"/>
            <w:noWrap/>
            <w:vAlign w:val="center"/>
            <w:hideMark/>
          </w:tcPr>
          <w:p w14:paraId="6E3C07FC" w14:textId="77777777" w:rsidR="00E42B18" w:rsidRDefault="009629C4">
            <w:pPr>
              <w:pStyle w:val="P68B1DB1-Normal11"/>
              <w:spacing w:line="276" w:lineRule="auto"/>
              <w:jc w:val="center"/>
              <w:rPr>
                <w:noProof/>
                <w:szCs w:val="20"/>
              </w:rPr>
            </w:pPr>
            <w:r>
              <w:rPr>
                <w:noProof/>
              </w:rPr>
              <w:t>Numero</w:t>
            </w:r>
          </w:p>
        </w:tc>
        <w:tc>
          <w:tcPr>
            <w:tcW w:w="946" w:type="dxa"/>
            <w:shd w:val="clear" w:color="auto" w:fill="C6EFCE"/>
            <w:noWrap/>
            <w:vAlign w:val="center"/>
            <w:hideMark/>
          </w:tcPr>
          <w:p w14:paraId="100B33C7" w14:textId="77777777" w:rsidR="00E42B18" w:rsidRDefault="009629C4">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18CE1C0F" w14:textId="77777777" w:rsidR="00E42B18" w:rsidRDefault="009629C4">
            <w:pPr>
              <w:pStyle w:val="P68B1DB1-Normal11"/>
              <w:spacing w:line="276" w:lineRule="auto"/>
              <w:jc w:val="center"/>
              <w:rPr>
                <w:noProof/>
                <w:szCs w:val="20"/>
              </w:rPr>
            </w:pPr>
            <w:r>
              <w:rPr>
                <w:noProof/>
              </w:rPr>
              <w:t>13</w:t>
            </w:r>
          </w:p>
        </w:tc>
        <w:tc>
          <w:tcPr>
            <w:tcW w:w="809" w:type="dxa"/>
            <w:shd w:val="clear" w:color="auto" w:fill="C6EFCE"/>
            <w:noWrap/>
            <w:vAlign w:val="center"/>
            <w:hideMark/>
          </w:tcPr>
          <w:p w14:paraId="361718DB" w14:textId="77777777" w:rsidR="00E42B18" w:rsidRDefault="009629C4">
            <w:pPr>
              <w:pStyle w:val="P68B1DB1-Normal11"/>
              <w:spacing w:line="276" w:lineRule="auto"/>
              <w:jc w:val="center"/>
              <w:rPr>
                <w:noProof/>
                <w:szCs w:val="20"/>
              </w:rPr>
            </w:pPr>
            <w:r>
              <w:rPr>
                <w:noProof/>
              </w:rPr>
              <w:t>Q4</w:t>
            </w:r>
          </w:p>
        </w:tc>
        <w:tc>
          <w:tcPr>
            <w:tcW w:w="770" w:type="dxa"/>
            <w:shd w:val="clear" w:color="auto" w:fill="C6EFCE"/>
            <w:noWrap/>
            <w:vAlign w:val="center"/>
            <w:hideMark/>
          </w:tcPr>
          <w:p w14:paraId="2F21663F" w14:textId="77777777" w:rsidR="00E42B18" w:rsidRDefault="009629C4">
            <w:pPr>
              <w:pStyle w:val="P68B1DB1-Normal11"/>
              <w:spacing w:line="276" w:lineRule="auto"/>
              <w:jc w:val="center"/>
              <w:rPr>
                <w:noProof/>
                <w:szCs w:val="20"/>
              </w:rPr>
            </w:pPr>
            <w:r>
              <w:rPr>
                <w:noProof/>
              </w:rPr>
              <w:t>2024</w:t>
            </w:r>
          </w:p>
        </w:tc>
        <w:tc>
          <w:tcPr>
            <w:tcW w:w="3544" w:type="dxa"/>
            <w:shd w:val="clear" w:color="auto" w:fill="C6EFCE"/>
            <w:noWrap/>
            <w:vAlign w:val="center"/>
            <w:hideMark/>
          </w:tcPr>
          <w:p w14:paraId="2F5C4CD0" w14:textId="77777777" w:rsidR="00E42B18" w:rsidRDefault="009629C4">
            <w:pPr>
              <w:pStyle w:val="P68B1DB1-Normal12"/>
              <w:spacing w:line="276" w:lineRule="auto"/>
              <w:jc w:val="both"/>
              <w:rPr>
                <w:noProof/>
              </w:rPr>
            </w:pPr>
            <w:r>
              <w:rPr>
                <w:noProof/>
              </w:rPr>
              <w:t>Vähennetään joen uoman keinotekoisuutta vähintään 13 km Po-joen akselia pitkin.</w:t>
            </w:r>
          </w:p>
        </w:tc>
      </w:tr>
      <w:tr w:rsidR="00E42B18" w14:paraId="52767F20" w14:textId="77777777" w:rsidTr="007F4B94">
        <w:trPr>
          <w:trHeight w:val="300"/>
        </w:trPr>
        <w:tc>
          <w:tcPr>
            <w:tcW w:w="1134" w:type="dxa"/>
            <w:shd w:val="clear" w:color="auto" w:fill="C6EFCE"/>
            <w:noWrap/>
            <w:vAlign w:val="center"/>
            <w:hideMark/>
          </w:tcPr>
          <w:p w14:paraId="09E1C44D" w14:textId="77777777" w:rsidR="00E42B18" w:rsidRDefault="009629C4">
            <w:pPr>
              <w:pStyle w:val="P68B1DB1-Normal11"/>
              <w:spacing w:line="276" w:lineRule="auto"/>
              <w:jc w:val="center"/>
              <w:rPr>
                <w:noProof/>
                <w:szCs w:val="20"/>
              </w:rPr>
            </w:pPr>
            <w:r>
              <w:rPr>
                <w:noProof/>
              </w:rPr>
              <w:t>M2C4–23</w:t>
            </w:r>
          </w:p>
        </w:tc>
        <w:tc>
          <w:tcPr>
            <w:tcW w:w="1736" w:type="dxa"/>
            <w:shd w:val="clear" w:color="auto" w:fill="C6EFCE"/>
            <w:noWrap/>
            <w:vAlign w:val="center"/>
            <w:hideMark/>
          </w:tcPr>
          <w:p w14:paraId="353476FF" w14:textId="77777777" w:rsidR="00E42B18" w:rsidRDefault="009629C4">
            <w:pPr>
              <w:pStyle w:val="P68B1DB1-Normal11"/>
              <w:spacing w:line="276" w:lineRule="auto"/>
              <w:jc w:val="center"/>
              <w:rPr>
                <w:noProof/>
                <w:szCs w:val="20"/>
              </w:rPr>
            </w:pPr>
            <w:r>
              <w:rPr>
                <w:noProof/>
              </w:rPr>
              <w:t>Investointi 3.3 Po-alueen ennallistaminen</w:t>
            </w:r>
          </w:p>
        </w:tc>
        <w:tc>
          <w:tcPr>
            <w:tcW w:w="1261" w:type="dxa"/>
            <w:shd w:val="clear" w:color="auto" w:fill="C6EFCE"/>
            <w:noWrap/>
            <w:vAlign w:val="center"/>
            <w:hideMark/>
          </w:tcPr>
          <w:p w14:paraId="38C5E7E0"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1B5D3F67" w14:textId="77777777" w:rsidR="00E42B18" w:rsidRDefault="009629C4">
            <w:pPr>
              <w:pStyle w:val="P68B1DB1-Normal11"/>
              <w:spacing w:line="276" w:lineRule="auto"/>
              <w:jc w:val="center"/>
              <w:rPr>
                <w:noProof/>
                <w:szCs w:val="20"/>
              </w:rPr>
            </w:pPr>
            <w:r>
              <w:rPr>
                <w:noProof/>
              </w:rPr>
              <w:t>Joenpohjan keinotekoisuuden vähentäminen Po-alueen T2 elvyttämistä varten</w:t>
            </w:r>
          </w:p>
        </w:tc>
        <w:tc>
          <w:tcPr>
            <w:tcW w:w="1264" w:type="dxa"/>
            <w:shd w:val="clear" w:color="auto" w:fill="C6EFCE"/>
            <w:noWrap/>
            <w:vAlign w:val="center"/>
            <w:hideMark/>
          </w:tcPr>
          <w:p w14:paraId="63560511" w14:textId="77777777" w:rsidR="00E42B18" w:rsidRDefault="009629C4">
            <w:pPr>
              <w:pStyle w:val="P68B1DB1-Normal11"/>
              <w:spacing w:line="276" w:lineRule="auto"/>
              <w:jc w:val="center"/>
              <w:rPr>
                <w:noProof/>
                <w:szCs w:val="20"/>
              </w:rPr>
            </w:pPr>
            <w:r>
              <w:rPr>
                <w:noProof/>
              </w:rPr>
              <w:t>EI OLE</w:t>
            </w:r>
          </w:p>
        </w:tc>
        <w:tc>
          <w:tcPr>
            <w:tcW w:w="1055" w:type="dxa"/>
            <w:shd w:val="clear" w:color="auto" w:fill="C6EFCE"/>
            <w:noWrap/>
            <w:vAlign w:val="center"/>
            <w:hideMark/>
          </w:tcPr>
          <w:p w14:paraId="760D5548" w14:textId="77777777" w:rsidR="00E42B18" w:rsidRDefault="009629C4">
            <w:pPr>
              <w:pStyle w:val="P68B1DB1-Normal11"/>
              <w:spacing w:line="276" w:lineRule="auto"/>
              <w:jc w:val="center"/>
              <w:rPr>
                <w:noProof/>
                <w:szCs w:val="20"/>
              </w:rPr>
            </w:pPr>
            <w:r>
              <w:rPr>
                <w:noProof/>
              </w:rPr>
              <w:t>Numero</w:t>
            </w:r>
          </w:p>
        </w:tc>
        <w:tc>
          <w:tcPr>
            <w:tcW w:w="946" w:type="dxa"/>
            <w:shd w:val="clear" w:color="auto" w:fill="C6EFCE"/>
            <w:noWrap/>
            <w:vAlign w:val="center"/>
            <w:hideMark/>
          </w:tcPr>
          <w:p w14:paraId="788DB1E0" w14:textId="77777777" w:rsidR="00E42B18" w:rsidRDefault="009629C4">
            <w:pPr>
              <w:pStyle w:val="P68B1DB1-Normal11"/>
              <w:spacing w:line="276" w:lineRule="auto"/>
              <w:jc w:val="center"/>
              <w:rPr>
                <w:noProof/>
                <w:szCs w:val="20"/>
              </w:rPr>
            </w:pPr>
            <w:r>
              <w:rPr>
                <w:noProof/>
              </w:rPr>
              <w:t>13</w:t>
            </w:r>
          </w:p>
        </w:tc>
        <w:tc>
          <w:tcPr>
            <w:tcW w:w="1000" w:type="dxa"/>
            <w:shd w:val="clear" w:color="auto" w:fill="C6EFCE"/>
            <w:noWrap/>
            <w:vAlign w:val="center"/>
            <w:hideMark/>
          </w:tcPr>
          <w:p w14:paraId="6EEDCEFD" w14:textId="77777777" w:rsidR="00E42B18" w:rsidRDefault="009629C4">
            <w:pPr>
              <w:pStyle w:val="P68B1DB1-Normal11"/>
              <w:spacing w:line="276" w:lineRule="auto"/>
              <w:jc w:val="center"/>
              <w:rPr>
                <w:noProof/>
                <w:szCs w:val="20"/>
              </w:rPr>
            </w:pPr>
            <w:r>
              <w:rPr>
                <w:noProof/>
              </w:rPr>
              <w:t>37</w:t>
            </w:r>
          </w:p>
        </w:tc>
        <w:tc>
          <w:tcPr>
            <w:tcW w:w="809" w:type="dxa"/>
            <w:shd w:val="clear" w:color="auto" w:fill="C6EFCE"/>
            <w:noWrap/>
            <w:vAlign w:val="center"/>
            <w:hideMark/>
          </w:tcPr>
          <w:p w14:paraId="342AC06A" w14:textId="77777777" w:rsidR="00E42B18" w:rsidRDefault="009629C4">
            <w:pPr>
              <w:pStyle w:val="P68B1DB1-Normal11"/>
              <w:spacing w:line="276" w:lineRule="auto"/>
              <w:jc w:val="center"/>
              <w:rPr>
                <w:noProof/>
                <w:szCs w:val="20"/>
              </w:rPr>
            </w:pPr>
            <w:r>
              <w:rPr>
                <w:noProof/>
              </w:rPr>
              <w:t>Q1</w:t>
            </w:r>
          </w:p>
        </w:tc>
        <w:tc>
          <w:tcPr>
            <w:tcW w:w="770" w:type="dxa"/>
            <w:shd w:val="clear" w:color="auto" w:fill="C6EFCE"/>
            <w:noWrap/>
            <w:vAlign w:val="center"/>
            <w:hideMark/>
          </w:tcPr>
          <w:p w14:paraId="672469C3" w14:textId="77777777" w:rsidR="00E42B18" w:rsidRDefault="009629C4">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7AFA5413" w14:textId="77777777" w:rsidR="00E42B18" w:rsidRDefault="009629C4">
            <w:pPr>
              <w:pStyle w:val="P68B1DB1-Normal12"/>
              <w:spacing w:line="276" w:lineRule="auto"/>
              <w:rPr>
                <w:noProof/>
              </w:rPr>
            </w:pPr>
            <w:r>
              <w:rPr>
                <w:noProof/>
              </w:rPr>
              <w:t>Todistus sellaisten töiden loppuun saattamisesta, joiden tarkoituksena on vähentää jokiuoman keinotekoisuutta vähintään 37 kilometrin päässä Po-joen akselilla, annetaan.</w:t>
            </w:r>
          </w:p>
          <w:p w14:paraId="70784EDE" w14:textId="4CEF00B8" w:rsidR="00E42B18" w:rsidRDefault="009629C4">
            <w:pPr>
              <w:pStyle w:val="P68B1DB1-Normal12"/>
              <w:spacing w:line="276" w:lineRule="auto"/>
              <w:rPr>
                <w:noProof/>
              </w:rPr>
            </w:pPr>
            <w:r>
              <w:rPr>
                <w:noProof/>
              </w:rPr>
              <w:t>Annetaan todistus sellaisten töiden loppuun saattamisesta, joihin liittyy uudelleenmetsitystoimia, jotka kattavat vähintään 337 hehtaaria rantametsää.</w:t>
            </w:r>
          </w:p>
        </w:tc>
      </w:tr>
      <w:tr w:rsidR="00E42B18" w14:paraId="09546FBF" w14:textId="77777777" w:rsidTr="007F4B94">
        <w:trPr>
          <w:trHeight w:val="300"/>
        </w:trPr>
        <w:tc>
          <w:tcPr>
            <w:tcW w:w="1134" w:type="dxa"/>
            <w:shd w:val="clear" w:color="auto" w:fill="C6EFCE"/>
            <w:noWrap/>
            <w:vAlign w:val="center"/>
            <w:hideMark/>
          </w:tcPr>
          <w:p w14:paraId="26F7DECB" w14:textId="77777777" w:rsidR="00E42B18" w:rsidRDefault="009629C4">
            <w:pPr>
              <w:pStyle w:val="P68B1DB1-Normal11"/>
              <w:spacing w:line="276" w:lineRule="auto"/>
              <w:jc w:val="center"/>
              <w:rPr>
                <w:noProof/>
                <w:szCs w:val="20"/>
              </w:rPr>
            </w:pPr>
            <w:r>
              <w:rPr>
                <w:noProof/>
              </w:rPr>
              <w:t>M2C4–24</w:t>
            </w:r>
          </w:p>
        </w:tc>
        <w:tc>
          <w:tcPr>
            <w:tcW w:w="1736" w:type="dxa"/>
            <w:shd w:val="clear" w:color="auto" w:fill="C6EFCE"/>
            <w:noWrap/>
            <w:vAlign w:val="center"/>
            <w:hideMark/>
          </w:tcPr>
          <w:p w14:paraId="0E2AE85E" w14:textId="77777777" w:rsidR="00E42B18" w:rsidRDefault="009629C4">
            <w:pPr>
              <w:pStyle w:val="P68B1DB1-Normal11"/>
              <w:spacing w:line="276" w:lineRule="auto"/>
              <w:jc w:val="center"/>
              <w:rPr>
                <w:noProof/>
                <w:szCs w:val="20"/>
              </w:rPr>
            </w:pPr>
            <w:r>
              <w:rPr>
                <w:noProof/>
              </w:rPr>
              <w:t>Investointi 3.4. Harvinaisten alueiden maaperän kunnostaminen</w:t>
            </w:r>
          </w:p>
        </w:tc>
        <w:tc>
          <w:tcPr>
            <w:tcW w:w="1261" w:type="dxa"/>
            <w:shd w:val="clear" w:color="auto" w:fill="C6EFCE"/>
            <w:noWrap/>
            <w:vAlign w:val="center"/>
            <w:hideMark/>
          </w:tcPr>
          <w:p w14:paraId="1F2110BA"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hideMark/>
          </w:tcPr>
          <w:p w14:paraId="528B7A59" w14:textId="77777777" w:rsidR="00E42B18" w:rsidRDefault="009629C4">
            <w:pPr>
              <w:pStyle w:val="P68B1DB1-Normal11"/>
              <w:spacing w:line="276" w:lineRule="auto"/>
              <w:jc w:val="center"/>
              <w:rPr>
                <w:noProof/>
                <w:szCs w:val="20"/>
              </w:rPr>
            </w:pPr>
            <w:r>
              <w:rPr>
                <w:noProof/>
              </w:rPr>
              <w:t>Isännättömien alueiden kunnostamista koskeva oikeudellinen kehys</w:t>
            </w:r>
          </w:p>
        </w:tc>
        <w:tc>
          <w:tcPr>
            <w:tcW w:w="1264" w:type="dxa"/>
            <w:shd w:val="clear" w:color="auto" w:fill="C6EFCE"/>
            <w:noWrap/>
            <w:vAlign w:val="center"/>
            <w:hideMark/>
          </w:tcPr>
          <w:p w14:paraId="4BE18CCF" w14:textId="77777777" w:rsidR="00E42B18" w:rsidRDefault="009629C4">
            <w:pPr>
              <w:pStyle w:val="P68B1DB1-Normal11"/>
              <w:spacing w:line="276" w:lineRule="auto"/>
              <w:jc w:val="center"/>
              <w:rPr>
                <w:noProof/>
                <w:szCs w:val="20"/>
              </w:rPr>
            </w:pPr>
            <w:r>
              <w:rPr>
                <w:noProof/>
              </w:rPr>
              <w:t>Toimintasuunnitelman hyväksymistä koskeva säännös asianomaisessa säädöksessä</w:t>
            </w:r>
          </w:p>
        </w:tc>
        <w:tc>
          <w:tcPr>
            <w:tcW w:w="1055" w:type="dxa"/>
            <w:shd w:val="clear" w:color="auto" w:fill="C6EFCE"/>
            <w:noWrap/>
            <w:vAlign w:val="center"/>
            <w:hideMark/>
          </w:tcPr>
          <w:p w14:paraId="26E3D14B" w14:textId="77777777" w:rsidR="00E42B18" w:rsidRDefault="009629C4">
            <w:pPr>
              <w:pStyle w:val="P68B1DB1-Normal11"/>
              <w:spacing w:line="276" w:lineRule="auto"/>
              <w:jc w:val="center"/>
              <w:rPr>
                <w:noProof/>
                <w:szCs w:val="20"/>
              </w:rPr>
            </w:pPr>
            <w:r>
              <w:rPr>
                <w:noProof/>
              </w:rPr>
              <w:t>EI OLE</w:t>
            </w:r>
          </w:p>
        </w:tc>
        <w:tc>
          <w:tcPr>
            <w:tcW w:w="946" w:type="dxa"/>
            <w:shd w:val="clear" w:color="auto" w:fill="C6EFCE"/>
            <w:noWrap/>
            <w:vAlign w:val="center"/>
            <w:hideMark/>
          </w:tcPr>
          <w:p w14:paraId="0CE0F9E6" w14:textId="77777777" w:rsidR="00E42B18" w:rsidRDefault="009629C4">
            <w:pPr>
              <w:pStyle w:val="P68B1DB1-Normal11"/>
              <w:spacing w:line="276" w:lineRule="auto"/>
              <w:jc w:val="center"/>
              <w:rPr>
                <w:noProof/>
                <w:szCs w:val="20"/>
              </w:rPr>
            </w:pPr>
            <w:r>
              <w:rPr>
                <w:noProof/>
              </w:rPr>
              <w:t>EI OLE</w:t>
            </w:r>
          </w:p>
        </w:tc>
        <w:tc>
          <w:tcPr>
            <w:tcW w:w="1000" w:type="dxa"/>
            <w:shd w:val="clear" w:color="auto" w:fill="C6EFCE"/>
            <w:noWrap/>
            <w:vAlign w:val="center"/>
            <w:hideMark/>
          </w:tcPr>
          <w:p w14:paraId="2DDFA341" w14:textId="77777777" w:rsidR="00E42B18" w:rsidRDefault="009629C4">
            <w:pPr>
              <w:pStyle w:val="P68B1DB1-Normal11"/>
              <w:spacing w:line="276" w:lineRule="auto"/>
              <w:jc w:val="center"/>
              <w:rPr>
                <w:noProof/>
                <w:szCs w:val="20"/>
              </w:rPr>
            </w:pPr>
            <w:r>
              <w:rPr>
                <w:noProof/>
              </w:rPr>
              <w:t>EI OLE</w:t>
            </w:r>
          </w:p>
        </w:tc>
        <w:tc>
          <w:tcPr>
            <w:tcW w:w="809" w:type="dxa"/>
            <w:shd w:val="clear" w:color="auto" w:fill="C6EFCE"/>
            <w:noWrap/>
            <w:vAlign w:val="center"/>
            <w:hideMark/>
          </w:tcPr>
          <w:p w14:paraId="7786BF04" w14:textId="77777777" w:rsidR="00E42B18" w:rsidRDefault="009629C4">
            <w:pPr>
              <w:pStyle w:val="P68B1DB1-Normal11"/>
              <w:spacing w:line="276" w:lineRule="auto"/>
              <w:jc w:val="center"/>
              <w:rPr>
                <w:noProof/>
                <w:szCs w:val="20"/>
              </w:rPr>
            </w:pPr>
            <w:r>
              <w:rPr>
                <w:noProof/>
              </w:rPr>
              <w:t>Q4</w:t>
            </w:r>
          </w:p>
        </w:tc>
        <w:tc>
          <w:tcPr>
            <w:tcW w:w="770" w:type="dxa"/>
            <w:shd w:val="clear" w:color="auto" w:fill="C6EFCE"/>
            <w:noWrap/>
            <w:vAlign w:val="center"/>
            <w:hideMark/>
          </w:tcPr>
          <w:p w14:paraId="075AE475" w14:textId="77777777" w:rsidR="00E42B18" w:rsidRDefault="009629C4">
            <w:pPr>
              <w:pStyle w:val="P68B1DB1-Normal11"/>
              <w:spacing w:line="276" w:lineRule="auto"/>
              <w:jc w:val="center"/>
              <w:rPr>
                <w:noProof/>
                <w:szCs w:val="20"/>
              </w:rPr>
            </w:pPr>
            <w:r>
              <w:rPr>
                <w:noProof/>
              </w:rPr>
              <w:t>2022</w:t>
            </w:r>
          </w:p>
        </w:tc>
        <w:tc>
          <w:tcPr>
            <w:tcW w:w="3544" w:type="dxa"/>
            <w:shd w:val="clear" w:color="auto" w:fill="C6EFCE"/>
            <w:noWrap/>
            <w:vAlign w:val="center"/>
            <w:hideMark/>
          </w:tcPr>
          <w:p w14:paraId="44FB147A" w14:textId="77777777" w:rsidR="00E42B18" w:rsidRDefault="009629C4">
            <w:pPr>
              <w:pStyle w:val="P68B1DB1-Normal11"/>
              <w:spacing w:line="276" w:lineRule="auto"/>
              <w:rPr>
                <w:noProof/>
                <w:szCs w:val="20"/>
              </w:rPr>
            </w:pPr>
            <w:r>
              <w:rPr>
                <w:noProof/>
              </w:rPr>
              <w:t>Isännättömien alueiden elvyttämistä koskevalla toimintasuunnitelmalla on vähennettävä maan käyttöönottoa ja edistettävä kaupunkialueiden elvyttämistä. Tarjouspyyntökirjeeseen on sisällyttävä vähintään</w:t>
            </w:r>
          </w:p>
          <w:p w14:paraId="6F4D5A18" w14:textId="77777777" w:rsidR="00E42B18" w:rsidRDefault="009629C4">
            <w:pPr>
              <w:pStyle w:val="P68B1DB1-ListParagraph15"/>
              <w:numPr>
                <w:ilvl w:val="0"/>
                <w:numId w:val="27"/>
              </w:numPr>
              <w:spacing w:after="0" w:line="276" w:lineRule="auto"/>
              <w:ind w:left="305"/>
              <w:rPr>
                <w:noProof/>
                <w:szCs w:val="20"/>
              </w:rPr>
            </w:pPr>
            <w:r>
              <w:rPr>
                <w:noProof/>
              </w:rPr>
              <w:t>Isännättömien alueiden yksilöinti kaikilla 21 alueella ja/tai autonomisissa maakunnissa</w:t>
            </w:r>
          </w:p>
          <w:p w14:paraId="05863964" w14:textId="77777777" w:rsidR="00E42B18" w:rsidRDefault="009629C4">
            <w:pPr>
              <w:pStyle w:val="P68B1DB1-ListParagraph15"/>
              <w:numPr>
                <w:ilvl w:val="0"/>
                <w:numId w:val="27"/>
              </w:numPr>
              <w:spacing w:after="0" w:line="276" w:lineRule="auto"/>
              <w:ind w:left="305"/>
              <w:rPr>
                <w:noProof/>
                <w:szCs w:val="20"/>
              </w:rPr>
            </w:pPr>
            <w:r>
              <w:rPr>
                <w:noProof/>
              </w:rPr>
              <w:t>Erityistoimet, jotka on toteutettava kaikilla isännättömillä alueilla maan käyttöönoton vähentämiseksi ja kaupunkialueiden elvyttämisen edistämiseksi</w:t>
            </w:r>
          </w:p>
        </w:tc>
      </w:tr>
      <w:tr w:rsidR="00E42B18" w14:paraId="527B821A" w14:textId="77777777" w:rsidTr="007F4B94">
        <w:trPr>
          <w:trHeight w:val="300"/>
        </w:trPr>
        <w:tc>
          <w:tcPr>
            <w:tcW w:w="1134" w:type="dxa"/>
            <w:shd w:val="clear" w:color="auto" w:fill="C6EFCE"/>
            <w:noWrap/>
            <w:vAlign w:val="center"/>
            <w:hideMark/>
          </w:tcPr>
          <w:p w14:paraId="074FB1A1" w14:textId="77777777" w:rsidR="00E42B18" w:rsidRDefault="009629C4">
            <w:pPr>
              <w:pStyle w:val="P68B1DB1-Normal12"/>
              <w:spacing w:line="276" w:lineRule="auto"/>
              <w:jc w:val="center"/>
              <w:rPr>
                <w:noProof/>
              </w:rPr>
            </w:pPr>
            <w:r>
              <w:rPr>
                <w:noProof/>
              </w:rPr>
              <w:t>M2C4–25</w:t>
            </w:r>
          </w:p>
        </w:tc>
        <w:tc>
          <w:tcPr>
            <w:tcW w:w="1736" w:type="dxa"/>
            <w:shd w:val="clear" w:color="auto" w:fill="C6EFCE"/>
            <w:noWrap/>
            <w:vAlign w:val="center"/>
            <w:hideMark/>
          </w:tcPr>
          <w:p w14:paraId="175E2CA8" w14:textId="77777777" w:rsidR="00E42B18" w:rsidRDefault="009629C4">
            <w:pPr>
              <w:pStyle w:val="P68B1DB1-Normal11"/>
              <w:spacing w:line="276" w:lineRule="auto"/>
              <w:jc w:val="center"/>
              <w:rPr>
                <w:noProof/>
                <w:szCs w:val="20"/>
              </w:rPr>
            </w:pPr>
            <w:r>
              <w:rPr>
                <w:noProof/>
              </w:rPr>
              <w:t>Investointi 3.4. Harvinaisten alueiden maaperän kunnostaminen</w:t>
            </w:r>
          </w:p>
        </w:tc>
        <w:tc>
          <w:tcPr>
            <w:tcW w:w="1261" w:type="dxa"/>
            <w:shd w:val="clear" w:color="auto" w:fill="C6EFCE"/>
            <w:noWrap/>
            <w:vAlign w:val="center"/>
            <w:hideMark/>
          </w:tcPr>
          <w:p w14:paraId="12E3E13B"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4B4450C0" w14:textId="12AC963B" w:rsidR="00E42B18" w:rsidRDefault="009629C4">
            <w:pPr>
              <w:pStyle w:val="P68B1DB1-Normal11"/>
              <w:spacing w:line="276" w:lineRule="auto"/>
              <w:jc w:val="center"/>
              <w:rPr>
                <w:noProof/>
                <w:szCs w:val="20"/>
              </w:rPr>
            </w:pPr>
            <w:r>
              <w:rPr>
                <w:noProof/>
              </w:rPr>
              <w:t>Isännättömien alueiden elvyttäminen</w:t>
            </w:r>
          </w:p>
        </w:tc>
        <w:tc>
          <w:tcPr>
            <w:tcW w:w="1264" w:type="dxa"/>
            <w:shd w:val="clear" w:color="auto" w:fill="C6EFCE"/>
            <w:noWrap/>
            <w:vAlign w:val="center"/>
            <w:hideMark/>
          </w:tcPr>
          <w:p w14:paraId="16DAB80F" w14:textId="77777777" w:rsidR="00E42B18" w:rsidRDefault="009629C4">
            <w:pPr>
              <w:pStyle w:val="P68B1DB1-Normal12"/>
              <w:spacing w:line="276" w:lineRule="auto"/>
              <w:jc w:val="center"/>
              <w:rPr>
                <w:noProof/>
              </w:rPr>
            </w:pPr>
            <w:r>
              <w:rPr>
                <w:noProof/>
              </w:rPr>
              <w:t>EI OLE</w:t>
            </w:r>
          </w:p>
        </w:tc>
        <w:tc>
          <w:tcPr>
            <w:tcW w:w="1055" w:type="dxa"/>
            <w:shd w:val="clear" w:color="auto" w:fill="C6EFCE"/>
            <w:noWrap/>
            <w:vAlign w:val="center"/>
            <w:hideMark/>
          </w:tcPr>
          <w:p w14:paraId="5FD3D6E9" w14:textId="77777777" w:rsidR="00E42B18" w:rsidRDefault="009629C4">
            <w:pPr>
              <w:pStyle w:val="P68B1DB1-Normal11"/>
              <w:spacing w:line="276" w:lineRule="auto"/>
              <w:jc w:val="center"/>
              <w:rPr>
                <w:noProof/>
                <w:szCs w:val="20"/>
              </w:rPr>
            </w:pPr>
            <w:r>
              <w:rPr>
                <w:noProof/>
              </w:rPr>
              <w:t>Prosenttiosuus</w:t>
            </w:r>
          </w:p>
        </w:tc>
        <w:tc>
          <w:tcPr>
            <w:tcW w:w="946" w:type="dxa"/>
            <w:shd w:val="clear" w:color="auto" w:fill="C6EFCE"/>
            <w:noWrap/>
            <w:vAlign w:val="center"/>
            <w:hideMark/>
          </w:tcPr>
          <w:p w14:paraId="5CE8A313" w14:textId="77777777" w:rsidR="00E42B18" w:rsidRDefault="009629C4">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63C50876" w14:textId="77777777" w:rsidR="00E42B18" w:rsidRDefault="009629C4">
            <w:pPr>
              <w:pStyle w:val="P68B1DB1-Normal11"/>
              <w:spacing w:line="276" w:lineRule="auto"/>
              <w:jc w:val="center"/>
              <w:rPr>
                <w:noProof/>
                <w:szCs w:val="20"/>
              </w:rPr>
            </w:pPr>
            <w:r>
              <w:rPr>
                <w:noProof/>
              </w:rPr>
              <w:t>70</w:t>
            </w:r>
          </w:p>
        </w:tc>
        <w:tc>
          <w:tcPr>
            <w:tcW w:w="809" w:type="dxa"/>
            <w:shd w:val="clear" w:color="auto" w:fill="C6EFCE"/>
            <w:noWrap/>
            <w:vAlign w:val="center"/>
            <w:hideMark/>
          </w:tcPr>
          <w:p w14:paraId="18E27AAD" w14:textId="77777777" w:rsidR="00E42B18" w:rsidRDefault="009629C4">
            <w:pPr>
              <w:pStyle w:val="P68B1DB1-Normal11"/>
              <w:spacing w:line="276" w:lineRule="auto"/>
              <w:jc w:val="center"/>
              <w:rPr>
                <w:noProof/>
                <w:szCs w:val="20"/>
              </w:rPr>
            </w:pPr>
            <w:r>
              <w:rPr>
                <w:noProof/>
              </w:rPr>
              <w:t>Q1</w:t>
            </w:r>
          </w:p>
        </w:tc>
        <w:tc>
          <w:tcPr>
            <w:tcW w:w="770" w:type="dxa"/>
            <w:shd w:val="clear" w:color="auto" w:fill="C6EFCE"/>
            <w:noWrap/>
            <w:vAlign w:val="center"/>
            <w:hideMark/>
          </w:tcPr>
          <w:p w14:paraId="4388F03A" w14:textId="77777777" w:rsidR="00E42B18" w:rsidRDefault="009629C4">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7774AF71" w14:textId="092C81B9" w:rsidR="00E42B18" w:rsidRDefault="009629C4">
            <w:pPr>
              <w:pStyle w:val="P68B1DB1-Normal11"/>
              <w:spacing w:line="276" w:lineRule="auto"/>
              <w:rPr>
                <w:noProof/>
                <w:szCs w:val="20"/>
              </w:rPr>
            </w:pPr>
            <w:r>
              <w:rPr>
                <w:noProof/>
              </w:rPr>
              <w:t>Maaperän kunnostamista koskevat todistukset (toimintasuunnitelman 5 artiklan 3 kohdan mukaisesti), jotka on myönnetty 70 prosentille toimintasuunnitelmassa luetelluista orpoista alueista.</w:t>
            </w:r>
          </w:p>
        </w:tc>
      </w:tr>
      <w:tr w:rsidR="00E42B18" w14:paraId="1B5C7512" w14:textId="77777777" w:rsidTr="007F4B94">
        <w:trPr>
          <w:trHeight w:val="300"/>
        </w:trPr>
        <w:tc>
          <w:tcPr>
            <w:tcW w:w="1134" w:type="dxa"/>
            <w:shd w:val="clear" w:color="auto" w:fill="C6EFCE"/>
            <w:noWrap/>
            <w:vAlign w:val="center"/>
            <w:hideMark/>
          </w:tcPr>
          <w:p w14:paraId="673B099E" w14:textId="77777777" w:rsidR="00E42B18" w:rsidRDefault="009629C4">
            <w:pPr>
              <w:pStyle w:val="P68B1DB1-Normal11"/>
              <w:spacing w:line="276" w:lineRule="auto"/>
              <w:jc w:val="center"/>
              <w:rPr>
                <w:noProof/>
                <w:szCs w:val="20"/>
              </w:rPr>
            </w:pPr>
            <w:r>
              <w:rPr>
                <w:noProof/>
              </w:rPr>
              <w:t>M2C4–26</w:t>
            </w:r>
          </w:p>
        </w:tc>
        <w:tc>
          <w:tcPr>
            <w:tcW w:w="1736" w:type="dxa"/>
            <w:shd w:val="clear" w:color="auto" w:fill="C6EFCE"/>
            <w:noWrap/>
            <w:vAlign w:val="center"/>
            <w:hideMark/>
          </w:tcPr>
          <w:p w14:paraId="5EECDAFF" w14:textId="77777777" w:rsidR="00E42B18" w:rsidRDefault="009629C4">
            <w:pPr>
              <w:pStyle w:val="P68B1DB1-Normal11"/>
              <w:spacing w:line="276" w:lineRule="auto"/>
              <w:jc w:val="center"/>
              <w:rPr>
                <w:noProof/>
                <w:szCs w:val="20"/>
              </w:rPr>
            </w:pPr>
            <w:r>
              <w:rPr>
                <w:noProof/>
              </w:rPr>
              <w:t>Investointi 3.5. Merenpohjan ja merellisten luontotyyppien ennallistaminen ja suojelu</w:t>
            </w:r>
          </w:p>
        </w:tc>
        <w:tc>
          <w:tcPr>
            <w:tcW w:w="1261" w:type="dxa"/>
            <w:shd w:val="clear" w:color="auto" w:fill="C6EFCE"/>
            <w:noWrap/>
            <w:vAlign w:val="center"/>
            <w:hideMark/>
          </w:tcPr>
          <w:p w14:paraId="3F9A585B"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1F3C6E3B" w14:textId="77777777" w:rsidR="00E42B18" w:rsidRDefault="009629C4">
            <w:pPr>
              <w:pStyle w:val="P68B1DB1-Normal11"/>
              <w:spacing w:line="276" w:lineRule="auto"/>
              <w:jc w:val="center"/>
              <w:rPr>
                <w:noProof/>
                <w:szCs w:val="20"/>
              </w:rPr>
            </w:pPr>
            <w:r>
              <w:rPr>
                <w:noProof/>
              </w:rPr>
              <w:t>Merenpohjan ja merellisten luontotyyppien ennallistaminen ja suojelu</w:t>
            </w:r>
          </w:p>
        </w:tc>
        <w:tc>
          <w:tcPr>
            <w:tcW w:w="1264" w:type="dxa"/>
            <w:shd w:val="clear" w:color="auto" w:fill="C6EFCE"/>
            <w:noWrap/>
            <w:vAlign w:val="center"/>
            <w:hideMark/>
          </w:tcPr>
          <w:p w14:paraId="6C5D98BC" w14:textId="77777777" w:rsidR="00E42B18" w:rsidRDefault="009629C4">
            <w:pPr>
              <w:pStyle w:val="P68B1DB1-Normal11"/>
              <w:spacing w:line="276" w:lineRule="auto"/>
              <w:jc w:val="center"/>
              <w:rPr>
                <w:noProof/>
                <w:szCs w:val="20"/>
              </w:rPr>
            </w:pPr>
            <w:r>
              <w:rPr>
                <w:noProof/>
              </w:rPr>
              <w:t>EI OLE</w:t>
            </w:r>
          </w:p>
        </w:tc>
        <w:tc>
          <w:tcPr>
            <w:tcW w:w="1055" w:type="dxa"/>
            <w:shd w:val="clear" w:color="auto" w:fill="C6EFCE"/>
            <w:noWrap/>
            <w:vAlign w:val="center"/>
            <w:hideMark/>
          </w:tcPr>
          <w:p w14:paraId="5DB95330" w14:textId="77777777" w:rsidR="00E42B18" w:rsidRDefault="009629C4">
            <w:pPr>
              <w:pStyle w:val="P68B1DB1-Normal11"/>
              <w:spacing w:line="276" w:lineRule="auto"/>
              <w:jc w:val="center"/>
              <w:rPr>
                <w:noProof/>
                <w:szCs w:val="20"/>
              </w:rPr>
            </w:pPr>
            <w:r>
              <w:rPr>
                <w:noProof/>
              </w:rPr>
              <w:t>Numero</w:t>
            </w:r>
          </w:p>
        </w:tc>
        <w:tc>
          <w:tcPr>
            <w:tcW w:w="946" w:type="dxa"/>
            <w:shd w:val="clear" w:color="auto" w:fill="C6EFCE"/>
            <w:noWrap/>
            <w:vAlign w:val="center"/>
            <w:hideMark/>
          </w:tcPr>
          <w:p w14:paraId="29B9520C" w14:textId="77777777" w:rsidR="00E42B18" w:rsidRDefault="009629C4">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458D68A1" w14:textId="020C0BD6" w:rsidR="00E42B18" w:rsidRDefault="009629C4">
            <w:pPr>
              <w:pStyle w:val="P68B1DB1-Normal11"/>
              <w:spacing w:line="276" w:lineRule="auto"/>
              <w:jc w:val="center"/>
              <w:rPr>
                <w:noProof/>
                <w:szCs w:val="20"/>
              </w:rPr>
            </w:pPr>
            <w:r>
              <w:rPr>
                <w:noProof/>
              </w:rPr>
              <w:t>10</w:t>
            </w:r>
          </w:p>
        </w:tc>
        <w:tc>
          <w:tcPr>
            <w:tcW w:w="809" w:type="dxa"/>
            <w:shd w:val="clear" w:color="auto" w:fill="C6EFCE"/>
            <w:noWrap/>
            <w:vAlign w:val="center"/>
            <w:hideMark/>
          </w:tcPr>
          <w:p w14:paraId="5CF3D342" w14:textId="77777777" w:rsidR="00E42B18" w:rsidRDefault="009629C4">
            <w:pPr>
              <w:pStyle w:val="P68B1DB1-Normal11"/>
              <w:spacing w:line="276" w:lineRule="auto"/>
              <w:jc w:val="center"/>
              <w:rPr>
                <w:noProof/>
                <w:szCs w:val="20"/>
              </w:rPr>
            </w:pPr>
            <w:r>
              <w:rPr>
                <w:noProof/>
              </w:rPr>
              <w:t>Q2</w:t>
            </w:r>
          </w:p>
        </w:tc>
        <w:tc>
          <w:tcPr>
            <w:tcW w:w="770" w:type="dxa"/>
            <w:shd w:val="clear" w:color="auto" w:fill="C6EFCE"/>
            <w:noWrap/>
            <w:vAlign w:val="center"/>
            <w:hideMark/>
          </w:tcPr>
          <w:p w14:paraId="10FC84F7" w14:textId="77777777" w:rsidR="00E42B18" w:rsidRDefault="009629C4">
            <w:pPr>
              <w:pStyle w:val="P68B1DB1-Normal11"/>
              <w:spacing w:line="276" w:lineRule="auto"/>
              <w:jc w:val="center"/>
              <w:rPr>
                <w:noProof/>
                <w:szCs w:val="20"/>
              </w:rPr>
            </w:pPr>
            <w:r>
              <w:rPr>
                <w:noProof/>
              </w:rPr>
              <w:t>2025</w:t>
            </w:r>
          </w:p>
        </w:tc>
        <w:tc>
          <w:tcPr>
            <w:tcW w:w="3544" w:type="dxa"/>
            <w:shd w:val="clear" w:color="auto" w:fill="C6EFCE"/>
            <w:noWrap/>
            <w:vAlign w:val="center"/>
            <w:hideMark/>
          </w:tcPr>
          <w:p w14:paraId="55AA2B60" w14:textId="77777777" w:rsidR="00E42B18" w:rsidRDefault="009629C4">
            <w:pPr>
              <w:pStyle w:val="P68B1DB1-Normal12"/>
              <w:spacing w:line="276" w:lineRule="auto"/>
              <w:rPr>
                <w:noProof/>
              </w:rPr>
            </w:pPr>
            <w:r>
              <w:rPr>
                <w:noProof/>
              </w:rPr>
              <w:t xml:space="preserve">Seuraavat kymmenen toimea on toteutettu: </w:t>
            </w:r>
          </w:p>
          <w:p w14:paraId="7C4EF0D7" w14:textId="78143F30" w:rsidR="00E42B18" w:rsidRDefault="009629C4">
            <w:pPr>
              <w:pStyle w:val="P68B1DB1-Normal12"/>
              <w:numPr>
                <w:ilvl w:val="0"/>
                <w:numId w:val="174"/>
              </w:numPr>
              <w:spacing w:line="276" w:lineRule="auto"/>
              <w:rPr>
                <w:noProof/>
              </w:rPr>
            </w:pPr>
            <w:r>
              <w:rPr>
                <w:noProof/>
              </w:rPr>
              <w:t>Osterin ennallistamispaikkoja on sijoitettu vähintään yhteen paikkaan kutakin seuraavaa aluetta kohti:  Friuli Venezia Giulia ja Emilia Romagna;</w:t>
            </w:r>
          </w:p>
          <w:p w14:paraId="7B7A68AE" w14:textId="7368140D" w:rsidR="00E42B18" w:rsidRDefault="009629C4">
            <w:pPr>
              <w:pStyle w:val="P68B1DB1-Normal12"/>
              <w:numPr>
                <w:ilvl w:val="0"/>
                <w:numId w:val="174"/>
              </w:numPr>
              <w:spacing w:line="276" w:lineRule="auto"/>
              <w:rPr>
                <w:noProof/>
              </w:rPr>
            </w:pPr>
            <w:r>
              <w:rPr>
                <w:noProof/>
              </w:rPr>
              <w:t>Merenpohjaa ja meren kasvillisuutta on istutettu vähintään yhteen paikkaan kutakin seuraavaa aluetta kohti:   Lazio, Campania, Calabria, Sisilia;</w:t>
            </w:r>
          </w:p>
          <w:p w14:paraId="220ECFBA" w14:textId="77777777" w:rsidR="00E42B18" w:rsidRDefault="009629C4">
            <w:pPr>
              <w:pStyle w:val="P68B1DB1-Normal12"/>
              <w:numPr>
                <w:ilvl w:val="0"/>
                <w:numId w:val="174"/>
              </w:numPr>
              <w:spacing w:line="276" w:lineRule="auto"/>
              <w:rPr>
                <w:noProof/>
              </w:rPr>
            </w:pPr>
            <w:r>
              <w:rPr>
                <w:noProof/>
              </w:rPr>
              <w:t>Läntisen, keskisen ja eteläisen Välimeren alueille on asennettu poijuilla varustettuja kiinnityskenttiä;</w:t>
            </w:r>
          </w:p>
          <w:p w14:paraId="2D43D76E" w14:textId="3C943F42" w:rsidR="00E42B18" w:rsidRDefault="009629C4">
            <w:pPr>
              <w:pStyle w:val="P68B1DB1-Normal12"/>
              <w:numPr>
                <w:ilvl w:val="0"/>
                <w:numId w:val="174"/>
              </w:numPr>
              <w:spacing w:line="276" w:lineRule="auto"/>
              <w:rPr>
                <w:noProof/>
              </w:rPr>
            </w:pPr>
            <w:r>
              <w:rPr>
                <w:noProof/>
              </w:rPr>
              <w:t>Haamuverkot on poistettu yhteensä vähintään 15 kohteesta, jotka sijaitsevat Sisiliassa, Campaniassa, Laziossa, Pugliassa, Marchessa ja Emilia Romagnassa;</w:t>
            </w:r>
          </w:p>
          <w:p w14:paraId="1EAC6E08" w14:textId="54CFFFEC" w:rsidR="00E42B18" w:rsidRDefault="009629C4">
            <w:pPr>
              <w:pStyle w:val="P68B1DB1-Normal12"/>
              <w:numPr>
                <w:ilvl w:val="0"/>
                <w:numId w:val="174"/>
              </w:numPr>
              <w:spacing w:line="276" w:lineRule="auto"/>
              <w:rPr>
                <w:noProof/>
              </w:rPr>
            </w:pPr>
            <w:r>
              <w:rPr>
                <w:noProof/>
              </w:rPr>
              <w:t>Rannikon säteittäiset asemat on huollettu, asennettu tai varustettu valmistusohjelmistoilla vähintään yhdeksässä paikassa, ja merentutkimuksen liikkuva tutkimusyksikkö on ostettu;</w:t>
            </w:r>
          </w:p>
          <w:p w14:paraId="5805DEEE" w14:textId="602D454C" w:rsidR="00E42B18" w:rsidRDefault="009629C4">
            <w:pPr>
              <w:pStyle w:val="P68B1DB1-Normal12"/>
              <w:numPr>
                <w:ilvl w:val="0"/>
                <w:numId w:val="174"/>
              </w:numPr>
              <w:spacing w:line="276" w:lineRule="auto"/>
              <w:rPr>
                <w:noProof/>
              </w:rPr>
            </w:pPr>
            <w:r>
              <w:rPr>
                <w:noProof/>
              </w:rPr>
              <w:t>Vähintään 12 aallonmittauspoijua on laukaistanut;</w:t>
            </w:r>
          </w:p>
          <w:p w14:paraId="5AC6A412" w14:textId="77777777" w:rsidR="00E42B18" w:rsidRDefault="009629C4">
            <w:pPr>
              <w:pStyle w:val="P68B1DB1-ListParagraph13"/>
              <w:numPr>
                <w:ilvl w:val="0"/>
                <w:numId w:val="174"/>
              </w:numPr>
              <w:rPr>
                <w:noProof/>
              </w:rPr>
            </w:pPr>
            <w:r>
              <w:rPr>
                <w:noProof/>
              </w:rPr>
              <w:t>Uusia antureita on huollettu tai asennettu vähintään 25:llä raideleveydellä toimivalla verkkoasemalla;</w:t>
            </w:r>
          </w:p>
          <w:p w14:paraId="7FB9AE5A" w14:textId="15908631" w:rsidR="00E42B18" w:rsidRDefault="009629C4">
            <w:pPr>
              <w:pStyle w:val="P68B1DB1-ListParagraph13"/>
              <w:numPr>
                <w:ilvl w:val="0"/>
                <w:numId w:val="174"/>
              </w:numPr>
              <w:rPr>
                <w:noProof/>
              </w:rPr>
            </w:pPr>
            <w:r>
              <w:rPr>
                <w:noProof/>
              </w:rPr>
              <w:t>Vähintään kolmen uuden merisääaseman asentaminen ja vähintään 25 merisääaseman ylläpito Venetsian laguunin alueella;</w:t>
            </w:r>
          </w:p>
          <w:p w14:paraId="4F5FC07C" w14:textId="77777777" w:rsidR="00E42B18" w:rsidRDefault="009629C4">
            <w:pPr>
              <w:pStyle w:val="P68B1DB1-Normal12"/>
              <w:numPr>
                <w:ilvl w:val="0"/>
                <w:numId w:val="174"/>
              </w:numPr>
              <w:spacing w:line="276" w:lineRule="auto"/>
              <w:rPr>
                <w:noProof/>
              </w:rPr>
            </w:pPr>
            <w:r>
              <w:rPr>
                <w:noProof/>
              </w:rPr>
              <w:t>Laguunien kemiallisten, fyysisten ja trofiaparametrien jatkuvaa seurantaa varten on asennettu vähintään 10 kiinteää asemaa;</w:t>
            </w:r>
          </w:p>
          <w:p w14:paraId="27682320" w14:textId="05B89749" w:rsidR="00E42B18" w:rsidRDefault="009629C4">
            <w:pPr>
              <w:pStyle w:val="P68B1DB1-Normal12"/>
              <w:numPr>
                <w:ilvl w:val="0"/>
                <w:numId w:val="174"/>
              </w:numPr>
              <w:spacing w:line="276" w:lineRule="auto"/>
              <w:rPr>
                <w:noProof/>
              </w:rPr>
            </w:pPr>
            <w:r>
              <w:rPr>
                <w:noProof/>
              </w:rPr>
              <w:t xml:space="preserve">Tietoja on saatu vähintään viidestä havainnointiohjelmistojärjestelmästä meri- ja rannikkoluontotyyppien seurantaa varten. </w:t>
            </w:r>
          </w:p>
          <w:p w14:paraId="4285A01E" w14:textId="0C0ABF11" w:rsidR="00E42B18" w:rsidRDefault="009629C4">
            <w:pPr>
              <w:pStyle w:val="P68B1DB1-Normal12"/>
              <w:spacing w:line="276" w:lineRule="auto"/>
              <w:rPr>
                <w:noProof/>
              </w:rPr>
            </w:pPr>
            <w:r>
              <w:rPr>
                <w:noProof/>
              </w:rPr>
              <w:t>Kaikkien laivojen tai alusten ostojen on oltava parasta saatavilla olevaa teknologiaa, jolla on alalla vähiten ympäristövaikutuksia.</w:t>
            </w:r>
          </w:p>
        </w:tc>
      </w:tr>
      <w:tr w:rsidR="00E42B18" w14:paraId="1B5A200B" w14:textId="77777777" w:rsidTr="007F4B94">
        <w:trPr>
          <w:trHeight w:val="300"/>
        </w:trPr>
        <w:tc>
          <w:tcPr>
            <w:tcW w:w="1134" w:type="dxa"/>
            <w:shd w:val="clear" w:color="auto" w:fill="C6EFCE"/>
            <w:noWrap/>
            <w:vAlign w:val="center"/>
            <w:hideMark/>
          </w:tcPr>
          <w:p w14:paraId="4503E2AB" w14:textId="77777777" w:rsidR="00E42B18" w:rsidRDefault="009629C4">
            <w:pPr>
              <w:pStyle w:val="P68B1DB1-Normal11"/>
              <w:spacing w:line="276" w:lineRule="auto"/>
              <w:jc w:val="center"/>
              <w:rPr>
                <w:noProof/>
                <w:szCs w:val="20"/>
              </w:rPr>
            </w:pPr>
            <w:r>
              <w:rPr>
                <w:noProof/>
              </w:rPr>
              <w:t>M2C4–27</w:t>
            </w:r>
          </w:p>
        </w:tc>
        <w:tc>
          <w:tcPr>
            <w:tcW w:w="1736" w:type="dxa"/>
            <w:shd w:val="clear" w:color="auto" w:fill="C6EFCE"/>
            <w:noWrap/>
            <w:vAlign w:val="center"/>
            <w:hideMark/>
          </w:tcPr>
          <w:p w14:paraId="411B9DA0" w14:textId="77777777" w:rsidR="00E42B18" w:rsidRDefault="009629C4">
            <w:pPr>
              <w:pStyle w:val="P68B1DB1-Normal11"/>
              <w:spacing w:line="276" w:lineRule="auto"/>
              <w:jc w:val="center"/>
              <w:rPr>
                <w:noProof/>
                <w:szCs w:val="20"/>
              </w:rPr>
            </w:pPr>
            <w:r>
              <w:rPr>
                <w:noProof/>
              </w:rPr>
              <w:t>Uudistus 4.1. Lainsäädännön yksinkertaistaminen ja hallinnon vahvistaminen vesihuollon infrastruktuureihin tehtävien investointien toteuttamiseksi</w:t>
            </w:r>
          </w:p>
        </w:tc>
        <w:tc>
          <w:tcPr>
            <w:tcW w:w="1261" w:type="dxa"/>
            <w:shd w:val="clear" w:color="auto" w:fill="C6EFCE"/>
            <w:noWrap/>
            <w:vAlign w:val="center"/>
            <w:hideMark/>
          </w:tcPr>
          <w:p w14:paraId="5B7AE55B"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hideMark/>
          </w:tcPr>
          <w:p w14:paraId="14BDB2EC" w14:textId="77777777" w:rsidR="00E42B18" w:rsidRDefault="009629C4">
            <w:pPr>
              <w:pStyle w:val="P68B1DB1-Normal11"/>
              <w:spacing w:line="276" w:lineRule="auto"/>
              <w:jc w:val="center"/>
              <w:rPr>
                <w:noProof/>
                <w:szCs w:val="20"/>
              </w:rPr>
            </w:pPr>
            <w:r>
              <w:rPr>
                <w:noProof/>
              </w:rPr>
              <w:t>Lainsäädännön yksinkertaistaminen vedensaannin turvaamiseksi toteutettavan ensisijaisen vesi-infrastruktuurin interventioiden osalta tulee voimaan</w:t>
            </w:r>
          </w:p>
        </w:tc>
        <w:tc>
          <w:tcPr>
            <w:tcW w:w="1264" w:type="dxa"/>
            <w:shd w:val="clear" w:color="auto" w:fill="C6EFCE"/>
            <w:noWrap/>
            <w:vAlign w:val="center"/>
            <w:hideMark/>
          </w:tcPr>
          <w:p w14:paraId="4C85B990" w14:textId="166E7E80" w:rsidR="00E42B18" w:rsidRDefault="009629C4">
            <w:pPr>
              <w:pStyle w:val="P68B1DB1-Normal11"/>
              <w:spacing w:line="276" w:lineRule="auto"/>
              <w:jc w:val="center"/>
              <w:rPr>
                <w:noProof/>
                <w:szCs w:val="20"/>
              </w:rPr>
            </w:pPr>
            <w:r>
              <w:rPr>
                <w:noProof/>
              </w:rPr>
              <w:t>Voimaantuloon viittaavat säännökset asianomaisessa säädöksessä (säännöksissä)</w:t>
            </w:r>
          </w:p>
        </w:tc>
        <w:tc>
          <w:tcPr>
            <w:tcW w:w="1055" w:type="dxa"/>
            <w:shd w:val="clear" w:color="auto" w:fill="C6EFCE"/>
            <w:noWrap/>
            <w:vAlign w:val="center"/>
            <w:hideMark/>
          </w:tcPr>
          <w:p w14:paraId="412C9B22" w14:textId="77777777" w:rsidR="00E42B18" w:rsidRDefault="009629C4">
            <w:pPr>
              <w:pStyle w:val="P68B1DB1-Normal11"/>
              <w:spacing w:line="276" w:lineRule="auto"/>
              <w:jc w:val="center"/>
              <w:rPr>
                <w:noProof/>
                <w:szCs w:val="20"/>
              </w:rPr>
            </w:pPr>
            <w:r>
              <w:rPr>
                <w:noProof/>
              </w:rPr>
              <w:t>EI OLE</w:t>
            </w:r>
          </w:p>
        </w:tc>
        <w:tc>
          <w:tcPr>
            <w:tcW w:w="946" w:type="dxa"/>
            <w:shd w:val="clear" w:color="auto" w:fill="C6EFCE"/>
            <w:noWrap/>
            <w:vAlign w:val="center"/>
            <w:hideMark/>
          </w:tcPr>
          <w:p w14:paraId="67484EAD" w14:textId="77777777" w:rsidR="00E42B18" w:rsidRDefault="009629C4">
            <w:pPr>
              <w:pStyle w:val="P68B1DB1-Normal11"/>
              <w:spacing w:line="276" w:lineRule="auto"/>
              <w:jc w:val="center"/>
              <w:rPr>
                <w:noProof/>
                <w:szCs w:val="20"/>
              </w:rPr>
            </w:pPr>
            <w:r>
              <w:rPr>
                <w:noProof/>
              </w:rPr>
              <w:t>EI OLE</w:t>
            </w:r>
          </w:p>
        </w:tc>
        <w:tc>
          <w:tcPr>
            <w:tcW w:w="1000" w:type="dxa"/>
            <w:shd w:val="clear" w:color="auto" w:fill="C6EFCE"/>
            <w:noWrap/>
            <w:vAlign w:val="center"/>
            <w:hideMark/>
          </w:tcPr>
          <w:p w14:paraId="5BFF2F31" w14:textId="77777777" w:rsidR="00E42B18" w:rsidRDefault="009629C4">
            <w:pPr>
              <w:pStyle w:val="P68B1DB1-Normal11"/>
              <w:spacing w:line="276" w:lineRule="auto"/>
              <w:jc w:val="center"/>
              <w:rPr>
                <w:noProof/>
                <w:szCs w:val="20"/>
              </w:rPr>
            </w:pPr>
            <w:r>
              <w:rPr>
                <w:noProof/>
              </w:rPr>
              <w:t>EI OLE</w:t>
            </w:r>
          </w:p>
        </w:tc>
        <w:tc>
          <w:tcPr>
            <w:tcW w:w="809" w:type="dxa"/>
            <w:shd w:val="clear" w:color="auto" w:fill="C6EFCE"/>
            <w:noWrap/>
            <w:vAlign w:val="center"/>
            <w:hideMark/>
          </w:tcPr>
          <w:p w14:paraId="67C25DAA" w14:textId="77777777" w:rsidR="00E42B18" w:rsidRDefault="009629C4">
            <w:pPr>
              <w:pStyle w:val="P68B1DB1-Normal11"/>
              <w:spacing w:line="276" w:lineRule="auto"/>
              <w:jc w:val="center"/>
              <w:rPr>
                <w:noProof/>
                <w:szCs w:val="20"/>
              </w:rPr>
            </w:pPr>
            <w:r>
              <w:rPr>
                <w:noProof/>
              </w:rPr>
              <w:t>Q1</w:t>
            </w:r>
          </w:p>
        </w:tc>
        <w:tc>
          <w:tcPr>
            <w:tcW w:w="770" w:type="dxa"/>
            <w:shd w:val="clear" w:color="auto" w:fill="C6EFCE"/>
            <w:noWrap/>
            <w:vAlign w:val="center"/>
            <w:hideMark/>
          </w:tcPr>
          <w:p w14:paraId="26902E0F" w14:textId="77777777" w:rsidR="00E42B18" w:rsidRDefault="009629C4">
            <w:pPr>
              <w:pStyle w:val="P68B1DB1-Normal11"/>
              <w:spacing w:line="276" w:lineRule="auto"/>
              <w:jc w:val="center"/>
              <w:rPr>
                <w:noProof/>
                <w:szCs w:val="20"/>
              </w:rPr>
            </w:pPr>
            <w:r>
              <w:rPr>
                <w:noProof/>
              </w:rPr>
              <w:t>2022</w:t>
            </w:r>
          </w:p>
        </w:tc>
        <w:tc>
          <w:tcPr>
            <w:tcW w:w="3544" w:type="dxa"/>
            <w:shd w:val="clear" w:color="auto" w:fill="C6EFCE"/>
            <w:noWrap/>
            <w:vAlign w:val="center"/>
            <w:hideMark/>
          </w:tcPr>
          <w:p w14:paraId="0443AD20" w14:textId="77777777" w:rsidR="00E42B18" w:rsidRDefault="009629C4">
            <w:pPr>
              <w:pStyle w:val="P68B1DB1-Normal11"/>
              <w:spacing w:line="276" w:lineRule="auto"/>
              <w:rPr>
                <w:noProof/>
                <w:szCs w:val="20"/>
              </w:rPr>
            </w:pPr>
            <w:r>
              <w:rPr>
                <w:noProof/>
              </w:rPr>
              <w:t>Tarkistetulla lainsäädännöllä vahvistetaan vesihuoltoinfrastruktuuriin tehtävien investointien hallinnointia ja yksinkertaistetaan niiden täytäntöönpanoa. Uuden oikeudellisen kehyksen olisi oltava vähintään</w:t>
            </w:r>
          </w:p>
          <w:p w14:paraId="33555687" w14:textId="77777777" w:rsidR="00E42B18" w:rsidRDefault="009629C4">
            <w:pPr>
              <w:pStyle w:val="P68B1DB1-ListParagraph15"/>
              <w:spacing w:after="0" w:line="276" w:lineRule="auto"/>
              <w:ind w:left="0"/>
              <w:rPr>
                <w:noProof/>
                <w:szCs w:val="20"/>
              </w:rPr>
            </w:pPr>
            <w:r>
              <w:rPr>
                <w:noProof/>
              </w:rPr>
              <w:t>— Tehdään vesialan tukitoimia koskevasta kansallisesta suunnitelmasta vesialan investointien keskeinen rahoitusväline.</w:t>
            </w:r>
          </w:p>
          <w:p w14:paraId="6BE551D5" w14:textId="77777777" w:rsidR="00E42B18" w:rsidRDefault="009629C4">
            <w:pPr>
              <w:pStyle w:val="P68B1DB1-ListParagraph15"/>
              <w:spacing w:after="0" w:line="276" w:lineRule="auto"/>
              <w:ind w:left="0"/>
              <w:rPr>
                <w:noProof/>
                <w:szCs w:val="20"/>
              </w:rPr>
            </w:pPr>
            <w:r>
              <w:rPr>
                <w:noProof/>
              </w:rPr>
              <w:t>— Pyydetään lausuntoa ja otetaan aktiivisesti mukaan sääntelyviranomainen (Autorità di Regolazione per Energia Reti e Ambiente) kaikkiin suunnitelman muutoksiin tai päivityksiin.</w:t>
            </w:r>
          </w:p>
          <w:p w14:paraId="57813B95" w14:textId="77777777" w:rsidR="00E42B18" w:rsidRDefault="009629C4">
            <w:pPr>
              <w:pStyle w:val="P68B1DB1-ListParagraph15"/>
              <w:spacing w:after="0" w:line="276" w:lineRule="auto"/>
              <w:ind w:left="0"/>
              <w:rPr>
                <w:noProof/>
                <w:szCs w:val="20"/>
              </w:rPr>
            </w:pPr>
            <w:r>
              <w:rPr>
                <w:noProof/>
              </w:rPr>
              <w:t>— Tarjota tukea ja liitännäistoimenpiteitä täytäntöönpanoelimille, jotka eivät pysty toteuttamaan ensisijaisiin hankintoihin liittyviä investointeja asetetussa määräajassa.</w:t>
            </w:r>
          </w:p>
          <w:p w14:paraId="5482072D" w14:textId="77777777" w:rsidR="00E42B18" w:rsidRDefault="009629C4">
            <w:pPr>
              <w:pStyle w:val="P68B1DB1-ListParagraph15"/>
              <w:spacing w:after="0" w:line="276" w:lineRule="auto"/>
              <w:ind w:left="0"/>
              <w:rPr>
                <w:noProof/>
                <w:szCs w:val="20"/>
              </w:rPr>
            </w:pPr>
            <w:r>
              <w:rPr>
                <w:noProof/>
              </w:rPr>
              <w:t>— Yksinkertaistetaan vesialalla rahoitettujen investointien raportointi- ja seurantamenettelyjä.</w:t>
            </w:r>
          </w:p>
        </w:tc>
      </w:tr>
      <w:tr w:rsidR="00E42B18" w14:paraId="18653604" w14:textId="77777777" w:rsidTr="007F4B94">
        <w:trPr>
          <w:trHeight w:val="300"/>
        </w:trPr>
        <w:tc>
          <w:tcPr>
            <w:tcW w:w="1134" w:type="dxa"/>
            <w:shd w:val="clear" w:color="auto" w:fill="C6EFCE"/>
            <w:noWrap/>
            <w:vAlign w:val="center"/>
            <w:hideMark/>
          </w:tcPr>
          <w:p w14:paraId="6B8BFF8A" w14:textId="77777777" w:rsidR="00E42B18" w:rsidRDefault="009629C4">
            <w:pPr>
              <w:pStyle w:val="P68B1DB1-Normal11"/>
              <w:spacing w:line="276" w:lineRule="auto"/>
              <w:jc w:val="center"/>
              <w:rPr>
                <w:noProof/>
                <w:szCs w:val="20"/>
              </w:rPr>
            </w:pPr>
            <w:r>
              <w:rPr>
                <w:noProof/>
              </w:rPr>
              <w:t>M2C4–28</w:t>
            </w:r>
          </w:p>
        </w:tc>
        <w:tc>
          <w:tcPr>
            <w:tcW w:w="1736" w:type="dxa"/>
            <w:shd w:val="clear" w:color="auto" w:fill="C6EFCE"/>
            <w:noWrap/>
            <w:vAlign w:val="center"/>
            <w:hideMark/>
          </w:tcPr>
          <w:p w14:paraId="74D73E27" w14:textId="77777777" w:rsidR="00E42B18" w:rsidRDefault="009629C4">
            <w:pPr>
              <w:pStyle w:val="P68B1DB1-Normal11"/>
              <w:spacing w:line="276" w:lineRule="auto"/>
              <w:jc w:val="center"/>
              <w:rPr>
                <w:noProof/>
                <w:szCs w:val="20"/>
              </w:rPr>
            </w:pPr>
            <w:r>
              <w:rPr>
                <w:noProof/>
              </w:rPr>
              <w:t>Investointi 4.1. Investoinnit vedensaannin turvaamiseksi käytettäviin ensisijaisiin vesi-infrastruktuureihin</w:t>
            </w:r>
          </w:p>
        </w:tc>
        <w:tc>
          <w:tcPr>
            <w:tcW w:w="1261" w:type="dxa"/>
            <w:shd w:val="clear" w:color="auto" w:fill="C6EFCE"/>
            <w:noWrap/>
            <w:vAlign w:val="center"/>
            <w:hideMark/>
          </w:tcPr>
          <w:p w14:paraId="0078431A"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hideMark/>
          </w:tcPr>
          <w:p w14:paraId="20B2E356" w14:textId="77777777" w:rsidR="00E42B18" w:rsidRDefault="009629C4">
            <w:pPr>
              <w:pStyle w:val="P68B1DB1-Normal11"/>
              <w:spacing w:line="276" w:lineRule="auto"/>
              <w:jc w:val="center"/>
              <w:rPr>
                <w:noProof/>
                <w:szCs w:val="20"/>
              </w:rPr>
            </w:pPr>
            <w:r>
              <w:rPr>
                <w:noProof/>
              </w:rPr>
              <w:t>Rahoituksen myöntäminen kaikille hankkeille, jotka liittyvät ensisijaisiin vesi-infrastruktuureihin tehtäviin investointeihin ja vedensaannin turvaamiseen</w:t>
            </w:r>
          </w:p>
        </w:tc>
        <w:tc>
          <w:tcPr>
            <w:tcW w:w="1264" w:type="dxa"/>
            <w:shd w:val="clear" w:color="auto" w:fill="C6EFCE"/>
            <w:noWrap/>
            <w:vAlign w:val="center"/>
            <w:hideMark/>
          </w:tcPr>
          <w:p w14:paraId="09C81823" w14:textId="27F7AB46" w:rsidR="00E42B18" w:rsidRDefault="009629C4">
            <w:pPr>
              <w:pStyle w:val="P68B1DB1-Normal11"/>
              <w:spacing w:line="276" w:lineRule="auto"/>
              <w:jc w:val="center"/>
              <w:rPr>
                <w:noProof/>
                <w:szCs w:val="20"/>
              </w:rPr>
            </w:pPr>
            <w:r>
              <w:rPr>
                <w:noProof/>
              </w:rPr>
              <w:t>Asetuksen (asetusten) julkaiseminen</w:t>
            </w:r>
          </w:p>
        </w:tc>
        <w:tc>
          <w:tcPr>
            <w:tcW w:w="1055" w:type="dxa"/>
            <w:shd w:val="clear" w:color="auto" w:fill="C6EFCE"/>
            <w:noWrap/>
            <w:vAlign w:val="center"/>
            <w:hideMark/>
          </w:tcPr>
          <w:p w14:paraId="5C52B70A" w14:textId="77777777" w:rsidR="00E42B18" w:rsidRDefault="009629C4">
            <w:pPr>
              <w:pStyle w:val="P68B1DB1-Normal11"/>
              <w:spacing w:line="276" w:lineRule="auto"/>
              <w:jc w:val="center"/>
              <w:rPr>
                <w:noProof/>
                <w:szCs w:val="20"/>
              </w:rPr>
            </w:pPr>
            <w:r>
              <w:rPr>
                <w:noProof/>
              </w:rPr>
              <w:t>EI OLE</w:t>
            </w:r>
          </w:p>
        </w:tc>
        <w:tc>
          <w:tcPr>
            <w:tcW w:w="946" w:type="dxa"/>
            <w:shd w:val="clear" w:color="auto" w:fill="C6EFCE"/>
            <w:noWrap/>
            <w:vAlign w:val="center"/>
            <w:hideMark/>
          </w:tcPr>
          <w:p w14:paraId="6C44E54A" w14:textId="77777777" w:rsidR="00E42B18" w:rsidRDefault="009629C4">
            <w:pPr>
              <w:pStyle w:val="P68B1DB1-Normal11"/>
              <w:spacing w:line="276" w:lineRule="auto"/>
              <w:jc w:val="center"/>
              <w:rPr>
                <w:noProof/>
                <w:szCs w:val="20"/>
              </w:rPr>
            </w:pPr>
            <w:r>
              <w:rPr>
                <w:noProof/>
              </w:rPr>
              <w:t>EI OLE</w:t>
            </w:r>
          </w:p>
        </w:tc>
        <w:tc>
          <w:tcPr>
            <w:tcW w:w="1000" w:type="dxa"/>
            <w:shd w:val="clear" w:color="auto" w:fill="C6EFCE"/>
            <w:noWrap/>
            <w:vAlign w:val="center"/>
            <w:hideMark/>
          </w:tcPr>
          <w:p w14:paraId="2A1D4A8F" w14:textId="77777777" w:rsidR="00E42B18" w:rsidRDefault="009629C4">
            <w:pPr>
              <w:pStyle w:val="P68B1DB1-Normal11"/>
              <w:spacing w:line="276" w:lineRule="auto"/>
              <w:jc w:val="center"/>
              <w:rPr>
                <w:rFonts w:eastAsia="Arial Narrow" w:cs="Arial Narrow"/>
                <w:noProof/>
                <w:szCs w:val="20"/>
              </w:rPr>
            </w:pPr>
            <w:r>
              <w:rPr>
                <w:noProof/>
              </w:rPr>
              <w:t>EI OLE</w:t>
            </w:r>
          </w:p>
        </w:tc>
        <w:tc>
          <w:tcPr>
            <w:tcW w:w="809" w:type="dxa"/>
            <w:shd w:val="clear" w:color="auto" w:fill="C6EFCE"/>
            <w:noWrap/>
            <w:vAlign w:val="center"/>
            <w:hideMark/>
          </w:tcPr>
          <w:p w14:paraId="40C22166" w14:textId="77777777" w:rsidR="00E42B18" w:rsidRDefault="009629C4">
            <w:pPr>
              <w:pStyle w:val="P68B1DB1-Normal11"/>
              <w:spacing w:line="276" w:lineRule="auto"/>
              <w:jc w:val="center"/>
              <w:rPr>
                <w:noProof/>
                <w:szCs w:val="20"/>
              </w:rPr>
            </w:pPr>
            <w:r>
              <w:rPr>
                <w:noProof/>
              </w:rPr>
              <w:t>Q3</w:t>
            </w:r>
          </w:p>
        </w:tc>
        <w:tc>
          <w:tcPr>
            <w:tcW w:w="770" w:type="dxa"/>
            <w:shd w:val="clear" w:color="auto" w:fill="C6EFCE"/>
            <w:noWrap/>
            <w:vAlign w:val="center"/>
            <w:hideMark/>
          </w:tcPr>
          <w:p w14:paraId="72880A89" w14:textId="77777777" w:rsidR="00E42B18" w:rsidRDefault="009629C4">
            <w:pPr>
              <w:pStyle w:val="P68B1DB1-Normal11"/>
              <w:spacing w:line="276" w:lineRule="auto"/>
              <w:jc w:val="center"/>
              <w:rPr>
                <w:noProof/>
                <w:szCs w:val="20"/>
              </w:rPr>
            </w:pPr>
            <w:r>
              <w:rPr>
                <w:noProof/>
              </w:rPr>
              <w:t>2023</w:t>
            </w:r>
          </w:p>
        </w:tc>
        <w:tc>
          <w:tcPr>
            <w:tcW w:w="3544" w:type="dxa"/>
            <w:shd w:val="clear" w:color="auto" w:fill="C6EFCE"/>
            <w:noWrap/>
            <w:vAlign w:val="center"/>
            <w:hideMark/>
          </w:tcPr>
          <w:p w14:paraId="68092AB8" w14:textId="77777777" w:rsidR="00E42B18" w:rsidRDefault="009629C4">
            <w:pPr>
              <w:pStyle w:val="P68B1DB1-Normal11"/>
              <w:suppressAutoHyphens/>
              <w:spacing w:line="276" w:lineRule="auto"/>
              <w:rPr>
                <w:noProof/>
                <w:szCs w:val="20"/>
              </w:rPr>
            </w:pPr>
            <w:r>
              <w:rPr>
                <w:noProof/>
              </w:rPr>
              <w:t>Hyväksymisasetusten julkaiseminen ja rahoituksen myöntäminen (kohdentaminen) päävesi-infrastruktuuri-investointeihin ja vedensaannin turvaamiseen.</w:t>
            </w:r>
          </w:p>
          <w:p w14:paraId="42B8C5E9" w14:textId="77777777" w:rsidR="00E42B18" w:rsidRDefault="009629C4">
            <w:pPr>
              <w:pStyle w:val="P68B1DB1-Normal11"/>
              <w:suppressAutoHyphens/>
              <w:spacing w:line="276" w:lineRule="auto"/>
              <w:rPr>
                <w:noProof/>
                <w:szCs w:val="20"/>
              </w:rPr>
            </w:pPr>
            <w:r>
              <w:rPr>
                <w:noProof/>
              </w:rPr>
              <w:t>Sopimusten soveltamisala on seuraava:</w:t>
            </w:r>
          </w:p>
          <w:p w14:paraId="458D5928" w14:textId="77777777" w:rsidR="00E42B18" w:rsidRDefault="009629C4">
            <w:pPr>
              <w:pStyle w:val="P68B1DB1-ListParagraph15"/>
              <w:numPr>
                <w:ilvl w:val="0"/>
                <w:numId w:val="27"/>
              </w:numPr>
              <w:suppressAutoHyphens/>
              <w:spacing w:after="0" w:line="276" w:lineRule="auto"/>
              <w:ind w:left="305"/>
              <w:rPr>
                <w:noProof/>
                <w:szCs w:val="20"/>
              </w:rPr>
            </w:pPr>
            <w:r>
              <w:rPr>
                <w:noProof/>
              </w:rPr>
              <w:t>Tärkeiden kaupunkialueiden vesihuolto;</w:t>
            </w:r>
          </w:p>
          <w:p w14:paraId="5AA22161" w14:textId="77777777" w:rsidR="00E42B18" w:rsidRDefault="009629C4">
            <w:pPr>
              <w:pStyle w:val="P68B1DB1-ListParagraph15"/>
              <w:numPr>
                <w:ilvl w:val="0"/>
                <w:numId w:val="27"/>
              </w:numPr>
              <w:suppressAutoHyphens/>
              <w:spacing w:after="0" w:line="276" w:lineRule="auto"/>
              <w:ind w:left="305"/>
              <w:rPr>
                <w:noProof/>
                <w:szCs w:val="20"/>
              </w:rPr>
            </w:pPr>
            <w:r>
              <w:rPr>
                <w:noProof/>
              </w:rPr>
              <w:t>Rakenteelliset työt verkon turvallisuuden ja häiriönsietokyvyn parantamiseksi, mukaan lukien sopeutuminen ilmastonmuutokseen (lukuun ottamatta patoja);</w:t>
            </w:r>
          </w:p>
          <w:p w14:paraId="18E77BE1" w14:textId="77777777" w:rsidR="00E42B18" w:rsidRDefault="009629C4">
            <w:pPr>
              <w:pStyle w:val="P68B1DB1-ListParagraph15"/>
              <w:numPr>
                <w:ilvl w:val="0"/>
                <w:numId w:val="27"/>
              </w:numPr>
              <w:spacing w:after="0" w:line="276" w:lineRule="auto"/>
              <w:ind w:left="305"/>
              <w:rPr>
                <w:noProof/>
                <w:szCs w:val="20"/>
              </w:rPr>
            </w:pPr>
            <w:r>
              <w:rPr>
                <w:noProof/>
              </w:rPr>
              <w:t>Veden kuljetuskapasiteetin lisääminen.</w:t>
            </w:r>
          </w:p>
          <w:p w14:paraId="038820F6" w14:textId="77777777" w:rsidR="00E42B18" w:rsidRDefault="009629C4">
            <w:pPr>
              <w:pStyle w:val="P68B1DB1-Normal11"/>
              <w:spacing w:line="276" w:lineRule="auto"/>
              <w:ind w:left="-55"/>
              <w:rPr>
                <w:noProof/>
                <w:szCs w:val="20"/>
              </w:rPr>
            </w:pPr>
            <w:r>
              <w:rPr>
                <w:noProof/>
              </w:rPr>
              <w:t>Valintaperusteilla on varmistettava, että investoinnilla edistetään täysimääräisesti ilmastonmuutostavoitteiden saavuttamista 40 prosentin ilmastokertoimella elpymis- ja palautumistukivälinettä koskevan asetuksen (EU) 2021/241 liitteen VI mukaisesti.</w:t>
            </w:r>
          </w:p>
        </w:tc>
      </w:tr>
      <w:tr w:rsidR="00E42B18" w14:paraId="0778EDE3" w14:textId="77777777" w:rsidTr="007F4B94">
        <w:trPr>
          <w:trHeight w:val="300"/>
        </w:trPr>
        <w:tc>
          <w:tcPr>
            <w:tcW w:w="1134" w:type="dxa"/>
            <w:shd w:val="clear" w:color="auto" w:fill="C6EFCE"/>
            <w:noWrap/>
            <w:vAlign w:val="center"/>
            <w:hideMark/>
          </w:tcPr>
          <w:p w14:paraId="7DD5F737" w14:textId="77777777" w:rsidR="00E42B18" w:rsidRDefault="009629C4">
            <w:pPr>
              <w:pStyle w:val="P68B1DB1-Normal11"/>
              <w:spacing w:line="276" w:lineRule="auto"/>
              <w:jc w:val="center"/>
              <w:rPr>
                <w:noProof/>
                <w:szCs w:val="20"/>
              </w:rPr>
            </w:pPr>
            <w:r>
              <w:rPr>
                <w:noProof/>
              </w:rPr>
              <w:t>M2C4–29</w:t>
            </w:r>
          </w:p>
        </w:tc>
        <w:tc>
          <w:tcPr>
            <w:tcW w:w="1736" w:type="dxa"/>
            <w:shd w:val="clear" w:color="auto" w:fill="C6EFCE"/>
            <w:noWrap/>
            <w:vAlign w:val="center"/>
            <w:hideMark/>
          </w:tcPr>
          <w:p w14:paraId="1479E8ED" w14:textId="77777777" w:rsidR="00E42B18" w:rsidRDefault="009629C4">
            <w:pPr>
              <w:pStyle w:val="P68B1DB1-Normal11"/>
              <w:spacing w:line="276" w:lineRule="auto"/>
              <w:jc w:val="center"/>
              <w:rPr>
                <w:noProof/>
                <w:szCs w:val="20"/>
              </w:rPr>
            </w:pPr>
            <w:r>
              <w:rPr>
                <w:noProof/>
              </w:rPr>
              <w:t>Investointi 4.1. Investoinnit vedensaannin turvaamiseksi käytettäviin ensisijaisiin vesi-infrastruktuureihin</w:t>
            </w:r>
          </w:p>
        </w:tc>
        <w:tc>
          <w:tcPr>
            <w:tcW w:w="1261" w:type="dxa"/>
            <w:shd w:val="clear" w:color="auto" w:fill="C6EFCE"/>
            <w:noWrap/>
            <w:vAlign w:val="center"/>
            <w:hideMark/>
          </w:tcPr>
          <w:p w14:paraId="23E98DF6"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51F7E33E" w14:textId="63726DCD" w:rsidR="00E42B18" w:rsidRDefault="009629C4">
            <w:pPr>
              <w:pStyle w:val="P68B1DB1-Normal11"/>
              <w:spacing w:line="276" w:lineRule="auto"/>
              <w:jc w:val="center"/>
              <w:rPr>
                <w:noProof/>
                <w:szCs w:val="20"/>
              </w:rPr>
            </w:pPr>
            <w:r>
              <w:rPr>
                <w:noProof/>
                <w:szCs w:val="20"/>
              </w:rPr>
              <w:t xml:space="preserve">Vesi-infrastruktuuriin liittyvien töiden loppuun saattaminen </w:t>
            </w:r>
            <w:r>
              <w:rPr>
                <w:noProof/>
              </w:rPr>
              <w:t xml:space="preserve"> </w:t>
            </w:r>
          </w:p>
        </w:tc>
        <w:tc>
          <w:tcPr>
            <w:tcW w:w="1264" w:type="dxa"/>
            <w:shd w:val="clear" w:color="auto" w:fill="C6EFCE"/>
            <w:noWrap/>
            <w:vAlign w:val="center"/>
            <w:hideMark/>
          </w:tcPr>
          <w:p w14:paraId="2DD5A94D" w14:textId="77777777" w:rsidR="00E42B18" w:rsidRDefault="009629C4">
            <w:pPr>
              <w:pStyle w:val="P68B1DB1-Normal11"/>
              <w:spacing w:line="276" w:lineRule="auto"/>
              <w:jc w:val="center"/>
              <w:rPr>
                <w:noProof/>
                <w:szCs w:val="20"/>
              </w:rPr>
            </w:pPr>
            <w:r>
              <w:rPr>
                <w:noProof/>
              </w:rPr>
              <w:t>EI OLE</w:t>
            </w:r>
          </w:p>
        </w:tc>
        <w:tc>
          <w:tcPr>
            <w:tcW w:w="1055" w:type="dxa"/>
            <w:shd w:val="clear" w:color="auto" w:fill="C6EFCE"/>
            <w:noWrap/>
            <w:vAlign w:val="center"/>
            <w:hideMark/>
          </w:tcPr>
          <w:p w14:paraId="78CCB866" w14:textId="77777777" w:rsidR="00E42B18" w:rsidRDefault="009629C4">
            <w:pPr>
              <w:pStyle w:val="P68B1DB1-Normal11"/>
              <w:spacing w:line="276" w:lineRule="auto"/>
              <w:jc w:val="center"/>
              <w:rPr>
                <w:noProof/>
                <w:szCs w:val="20"/>
              </w:rPr>
            </w:pPr>
            <w:r>
              <w:rPr>
                <w:noProof/>
              </w:rPr>
              <w:t>Numero</w:t>
            </w:r>
          </w:p>
        </w:tc>
        <w:tc>
          <w:tcPr>
            <w:tcW w:w="946" w:type="dxa"/>
            <w:shd w:val="clear" w:color="auto" w:fill="C6EFCE"/>
            <w:noWrap/>
            <w:vAlign w:val="center"/>
            <w:hideMark/>
          </w:tcPr>
          <w:p w14:paraId="60CB218E" w14:textId="77777777" w:rsidR="00E42B18" w:rsidRDefault="009629C4">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6BD33234" w14:textId="39B54FB6" w:rsidR="00E42B18" w:rsidRDefault="009629C4">
            <w:pPr>
              <w:pStyle w:val="P68B1DB1-Normal11"/>
              <w:spacing w:line="276" w:lineRule="auto"/>
              <w:jc w:val="center"/>
              <w:rPr>
                <w:noProof/>
                <w:szCs w:val="20"/>
              </w:rPr>
            </w:pPr>
            <w:r>
              <w:rPr>
                <w:noProof/>
              </w:rPr>
              <w:t>45</w:t>
            </w:r>
          </w:p>
        </w:tc>
        <w:tc>
          <w:tcPr>
            <w:tcW w:w="809" w:type="dxa"/>
            <w:shd w:val="clear" w:color="auto" w:fill="C6EFCE"/>
            <w:noWrap/>
            <w:vAlign w:val="center"/>
            <w:hideMark/>
          </w:tcPr>
          <w:p w14:paraId="2039EB21" w14:textId="77777777" w:rsidR="00E42B18" w:rsidRDefault="009629C4">
            <w:pPr>
              <w:pStyle w:val="P68B1DB1-Normal11"/>
              <w:spacing w:line="276" w:lineRule="auto"/>
              <w:jc w:val="center"/>
              <w:rPr>
                <w:noProof/>
                <w:szCs w:val="20"/>
              </w:rPr>
            </w:pPr>
            <w:r>
              <w:rPr>
                <w:noProof/>
              </w:rPr>
              <w:t>Q1</w:t>
            </w:r>
          </w:p>
        </w:tc>
        <w:tc>
          <w:tcPr>
            <w:tcW w:w="770" w:type="dxa"/>
            <w:shd w:val="clear" w:color="auto" w:fill="C6EFCE"/>
            <w:noWrap/>
            <w:vAlign w:val="center"/>
            <w:hideMark/>
          </w:tcPr>
          <w:p w14:paraId="68FE1CBD" w14:textId="77777777" w:rsidR="00E42B18" w:rsidRDefault="009629C4">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77A170FF" w14:textId="37EB355A" w:rsidR="00E42B18" w:rsidRDefault="009629C4">
            <w:pPr>
              <w:pStyle w:val="P68B1DB1-Normal12"/>
              <w:spacing w:line="276" w:lineRule="auto"/>
              <w:rPr>
                <w:noProof/>
              </w:rPr>
            </w:pPr>
            <w:r>
              <w:rPr>
                <w:noProof/>
              </w:rPr>
              <w:t>Töiden valmistumistodistukset on annettu vähintään 45 vesijärjestelmässä (sekä kompleksissa että perusvesijärjestelmässä), joista vähintään 32:ssa monimutkaisessa vesijärjestelmässä.</w:t>
            </w:r>
          </w:p>
        </w:tc>
      </w:tr>
      <w:tr w:rsidR="00E42B18" w14:paraId="5E436F60" w14:textId="77777777" w:rsidTr="007F4B94">
        <w:trPr>
          <w:trHeight w:val="300"/>
        </w:trPr>
        <w:tc>
          <w:tcPr>
            <w:tcW w:w="1134" w:type="dxa"/>
            <w:shd w:val="clear" w:color="auto" w:fill="C6EFCE"/>
            <w:noWrap/>
            <w:vAlign w:val="center"/>
            <w:hideMark/>
          </w:tcPr>
          <w:p w14:paraId="454ACBB2" w14:textId="77777777" w:rsidR="00E42B18" w:rsidRDefault="009629C4">
            <w:pPr>
              <w:pStyle w:val="P68B1DB1-Normal11"/>
              <w:spacing w:line="276" w:lineRule="auto"/>
              <w:jc w:val="center"/>
              <w:rPr>
                <w:noProof/>
                <w:szCs w:val="20"/>
              </w:rPr>
            </w:pPr>
            <w:r>
              <w:rPr>
                <w:noProof/>
              </w:rPr>
              <w:t>M2C4–30</w:t>
            </w:r>
          </w:p>
        </w:tc>
        <w:tc>
          <w:tcPr>
            <w:tcW w:w="1736" w:type="dxa"/>
            <w:shd w:val="clear" w:color="auto" w:fill="C6EFCE"/>
            <w:noWrap/>
            <w:vAlign w:val="center"/>
            <w:hideMark/>
          </w:tcPr>
          <w:p w14:paraId="61754846" w14:textId="77777777" w:rsidR="00E42B18" w:rsidRDefault="009629C4">
            <w:pPr>
              <w:pStyle w:val="P68B1DB1-Normal11"/>
              <w:spacing w:line="276" w:lineRule="auto"/>
              <w:jc w:val="center"/>
              <w:rPr>
                <w:noProof/>
                <w:szCs w:val="20"/>
              </w:rPr>
            </w:pPr>
            <w:r>
              <w:rPr>
                <w:noProof/>
              </w:rPr>
              <w:t>Investointi 4.2. Vedenjakeluverkkojen hävikin vähentäminen, mukaan lukien verkkojen digitalisointi ja seuranta</w:t>
            </w:r>
          </w:p>
        </w:tc>
        <w:tc>
          <w:tcPr>
            <w:tcW w:w="1261" w:type="dxa"/>
            <w:shd w:val="clear" w:color="auto" w:fill="C6EFCE"/>
            <w:noWrap/>
            <w:vAlign w:val="center"/>
            <w:hideMark/>
          </w:tcPr>
          <w:p w14:paraId="6B6292BF"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hideMark/>
          </w:tcPr>
          <w:p w14:paraId="3FA4AA1D" w14:textId="77777777" w:rsidR="00E42B18" w:rsidRDefault="009629C4">
            <w:pPr>
              <w:pStyle w:val="P68B1DB1-Normal11"/>
              <w:spacing w:line="276" w:lineRule="auto"/>
              <w:jc w:val="center"/>
              <w:rPr>
                <w:noProof/>
                <w:szCs w:val="20"/>
              </w:rPr>
            </w:pPr>
            <w:r>
              <w:rPr>
                <w:noProof/>
              </w:rPr>
              <w:t>Rahoituksen myöntäminen kaikille vedenjakeluverkkoihin liittyville hankkeille, mukaan lukien verkkojen digitalisointi ja seuranta</w:t>
            </w:r>
          </w:p>
        </w:tc>
        <w:tc>
          <w:tcPr>
            <w:tcW w:w="1264" w:type="dxa"/>
            <w:shd w:val="clear" w:color="auto" w:fill="C6EFCE"/>
            <w:noWrap/>
            <w:vAlign w:val="center"/>
            <w:hideMark/>
          </w:tcPr>
          <w:p w14:paraId="2B1EF6C6" w14:textId="77777777" w:rsidR="00E42B18" w:rsidRDefault="009629C4">
            <w:pPr>
              <w:pStyle w:val="P68B1DB1-Normal11"/>
              <w:spacing w:line="276" w:lineRule="auto"/>
              <w:jc w:val="center"/>
              <w:rPr>
                <w:rFonts w:eastAsia="Arial Narrow" w:cs="Arial Narrow"/>
                <w:noProof/>
                <w:szCs w:val="20"/>
              </w:rPr>
            </w:pPr>
            <w:r>
              <w:rPr>
                <w:noProof/>
              </w:rPr>
              <w:t>Asetuksen (asetusten) julkaiseminen</w:t>
            </w:r>
          </w:p>
        </w:tc>
        <w:tc>
          <w:tcPr>
            <w:tcW w:w="1055" w:type="dxa"/>
            <w:shd w:val="clear" w:color="auto" w:fill="C6EFCE"/>
            <w:noWrap/>
            <w:vAlign w:val="center"/>
            <w:hideMark/>
          </w:tcPr>
          <w:p w14:paraId="5DEDD468" w14:textId="77777777" w:rsidR="00E42B18" w:rsidRDefault="009629C4">
            <w:pPr>
              <w:pStyle w:val="P68B1DB1-Normal11"/>
              <w:spacing w:line="276" w:lineRule="auto"/>
              <w:jc w:val="center"/>
              <w:rPr>
                <w:noProof/>
                <w:szCs w:val="20"/>
              </w:rPr>
            </w:pPr>
            <w:r>
              <w:rPr>
                <w:noProof/>
              </w:rPr>
              <w:t>EI OLE</w:t>
            </w:r>
          </w:p>
        </w:tc>
        <w:tc>
          <w:tcPr>
            <w:tcW w:w="946" w:type="dxa"/>
            <w:shd w:val="clear" w:color="auto" w:fill="C6EFCE"/>
            <w:noWrap/>
            <w:vAlign w:val="center"/>
            <w:hideMark/>
          </w:tcPr>
          <w:p w14:paraId="07FA88C1" w14:textId="77777777" w:rsidR="00E42B18" w:rsidRDefault="009629C4">
            <w:pPr>
              <w:pStyle w:val="P68B1DB1-Normal11"/>
              <w:spacing w:line="276" w:lineRule="auto"/>
              <w:jc w:val="center"/>
              <w:rPr>
                <w:noProof/>
                <w:szCs w:val="20"/>
              </w:rPr>
            </w:pPr>
            <w:r>
              <w:rPr>
                <w:noProof/>
              </w:rPr>
              <w:t>EI OLE</w:t>
            </w:r>
          </w:p>
        </w:tc>
        <w:tc>
          <w:tcPr>
            <w:tcW w:w="1000" w:type="dxa"/>
            <w:shd w:val="clear" w:color="auto" w:fill="C6EFCE"/>
            <w:noWrap/>
            <w:vAlign w:val="center"/>
            <w:hideMark/>
          </w:tcPr>
          <w:p w14:paraId="315D07F7" w14:textId="77777777" w:rsidR="00E42B18" w:rsidRDefault="009629C4">
            <w:pPr>
              <w:pStyle w:val="P68B1DB1-Normal11"/>
              <w:spacing w:line="276" w:lineRule="auto"/>
              <w:jc w:val="center"/>
              <w:rPr>
                <w:noProof/>
                <w:szCs w:val="20"/>
              </w:rPr>
            </w:pPr>
            <w:r>
              <w:rPr>
                <w:noProof/>
              </w:rPr>
              <w:t>EI OLE</w:t>
            </w:r>
          </w:p>
        </w:tc>
        <w:tc>
          <w:tcPr>
            <w:tcW w:w="809" w:type="dxa"/>
            <w:shd w:val="clear" w:color="auto" w:fill="C6EFCE"/>
            <w:noWrap/>
            <w:vAlign w:val="center"/>
            <w:hideMark/>
          </w:tcPr>
          <w:p w14:paraId="59075CE1" w14:textId="77777777" w:rsidR="00E42B18" w:rsidRDefault="009629C4">
            <w:pPr>
              <w:pStyle w:val="P68B1DB1-Normal11"/>
              <w:spacing w:line="276" w:lineRule="auto"/>
              <w:jc w:val="center"/>
              <w:rPr>
                <w:noProof/>
                <w:szCs w:val="20"/>
              </w:rPr>
            </w:pPr>
            <w:r>
              <w:rPr>
                <w:noProof/>
              </w:rPr>
              <w:t>Q3</w:t>
            </w:r>
          </w:p>
        </w:tc>
        <w:tc>
          <w:tcPr>
            <w:tcW w:w="770" w:type="dxa"/>
            <w:shd w:val="clear" w:color="auto" w:fill="C6EFCE"/>
            <w:noWrap/>
            <w:vAlign w:val="center"/>
            <w:hideMark/>
          </w:tcPr>
          <w:p w14:paraId="0A830EE4" w14:textId="77777777" w:rsidR="00E42B18" w:rsidRDefault="009629C4">
            <w:pPr>
              <w:pStyle w:val="P68B1DB1-Normal11"/>
              <w:spacing w:line="276" w:lineRule="auto"/>
              <w:jc w:val="center"/>
              <w:rPr>
                <w:noProof/>
                <w:szCs w:val="20"/>
              </w:rPr>
            </w:pPr>
            <w:r>
              <w:rPr>
                <w:noProof/>
              </w:rPr>
              <w:t>2023</w:t>
            </w:r>
          </w:p>
        </w:tc>
        <w:tc>
          <w:tcPr>
            <w:tcW w:w="3544" w:type="dxa"/>
            <w:shd w:val="clear" w:color="auto" w:fill="C6EFCE"/>
            <w:noWrap/>
            <w:vAlign w:val="center"/>
            <w:hideMark/>
          </w:tcPr>
          <w:p w14:paraId="60DEEA90" w14:textId="75FF0C08" w:rsidR="00E42B18" w:rsidRDefault="009629C4">
            <w:pPr>
              <w:pStyle w:val="P68B1DB1-Normal11"/>
              <w:spacing w:line="276" w:lineRule="auto"/>
              <w:rPr>
                <w:noProof/>
                <w:szCs w:val="20"/>
              </w:rPr>
            </w:pPr>
            <w:r>
              <w:rPr>
                <w:noProof/>
              </w:rPr>
              <w:t>Hyväksymisasetuksen (-asetusten) julkaiseminen ja rahoituksen myöntäminen (kohdentaminen) hankkeille, jotka koskevat vedenjakeluverkkojen nykyaikaistamista ja tehokkuutta.</w:t>
            </w:r>
          </w:p>
          <w:p w14:paraId="62D976D1" w14:textId="77777777" w:rsidR="00E42B18" w:rsidRDefault="009629C4">
            <w:pPr>
              <w:pStyle w:val="P68B1DB1-Normal11"/>
              <w:spacing w:line="276" w:lineRule="auto"/>
              <w:rPr>
                <w:noProof/>
                <w:szCs w:val="20"/>
              </w:rPr>
            </w:pPr>
            <w:r>
              <w:rPr>
                <w:noProof/>
              </w:rPr>
              <w:t>Sopimusten soveltamisala on seuraava:</w:t>
            </w:r>
          </w:p>
          <w:p w14:paraId="4BB02E54" w14:textId="262BB9CC" w:rsidR="00E42B18" w:rsidRDefault="009629C4">
            <w:pPr>
              <w:pStyle w:val="P68B1DB1-ListParagraph15"/>
              <w:numPr>
                <w:ilvl w:val="0"/>
                <w:numId w:val="27"/>
              </w:numPr>
              <w:spacing w:after="0" w:line="276" w:lineRule="auto"/>
              <w:ind w:left="305"/>
              <w:textAlignment w:val="baseline"/>
              <w:rPr>
                <w:noProof/>
                <w:szCs w:val="20"/>
              </w:rPr>
            </w:pPr>
            <w:r>
              <w:rPr>
                <w:noProof/>
              </w:rPr>
              <w:t>Toimet juomavesiverkkojen hävikin vähentämiseksi;</w:t>
            </w:r>
          </w:p>
          <w:p w14:paraId="40EE36C4" w14:textId="31B4281B" w:rsidR="00E42B18" w:rsidRDefault="009629C4">
            <w:pPr>
              <w:pStyle w:val="P68B1DB1-ListParagraph15"/>
              <w:numPr>
                <w:ilvl w:val="0"/>
                <w:numId w:val="27"/>
              </w:numPr>
              <w:spacing w:after="0" w:line="276" w:lineRule="auto"/>
              <w:ind w:left="305"/>
              <w:textAlignment w:val="baseline"/>
              <w:rPr>
                <w:noProof/>
                <w:szCs w:val="20"/>
              </w:rPr>
            </w:pPr>
            <w:r>
              <w:rPr>
                <w:noProof/>
              </w:rPr>
              <w:t>Parantaa vesijärjestelmien kykyä sietää ilmastonmuutosta;</w:t>
            </w:r>
          </w:p>
          <w:p w14:paraId="0DB7C669" w14:textId="77777777" w:rsidR="00E42B18" w:rsidRDefault="009629C4">
            <w:pPr>
              <w:pStyle w:val="P68B1DB1-ListParagraph15"/>
              <w:numPr>
                <w:ilvl w:val="0"/>
                <w:numId w:val="27"/>
              </w:numPr>
              <w:spacing w:after="0" w:line="276" w:lineRule="auto"/>
              <w:ind w:left="305"/>
              <w:textAlignment w:val="baseline"/>
              <w:rPr>
                <w:noProof/>
                <w:szCs w:val="20"/>
              </w:rPr>
            </w:pPr>
            <w:r>
              <w:rPr>
                <w:noProof/>
              </w:rPr>
              <w:t>Verkkojen digitalisoinnin tehostaminen vesivarojen optimaalisen hallinnan varmistamiseksi, jätteiden vähentäminen ja tehottomuuden rajoittaminen</w:t>
            </w:r>
          </w:p>
        </w:tc>
      </w:tr>
      <w:tr w:rsidR="00E42B18" w14:paraId="25CFB198" w14:textId="77777777" w:rsidTr="007F4B94">
        <w:trPr>
          <w:trHeight w:val="300"/>
        </w:trPr>
        <w:tc>
          <w:tcPr>
            <w:tcW w:w="1134" w:type="dxa"/>
            <w:shd w:val="clear" w:color="auto" w:fill="C6EFCE"/>
            <w:noWrap/>
            <w:vAlign w:val="center"/>
            <w:hideMark/>
          </w:tcPr>
          <w:p w14:paraId="5C14AFC8" w14:textId="77777777" w:rsidR="00E42B18" w:rsidRDefault="009629C4">
            <w:pPr>
              <w:pStyle w:val="P68B1DB1-Normal11"/>
              <w:spacing w:line="276" w:lineRule="auto"/>
              <w:jc w:val="center"/>
              <w:rPr>
                <w:noProof/>
                <w:szCs w:val="20"/>
              </w:rPr>
            </w:pPr>
            <w:r>
              <w:rPr>
                <w:noProof/>
              </w:rPr>
              <w:t>M2C4–31</w:t>
            </w:r>
          </w:p>
        </w:tc>
        <w:tc>
          <w:tcPr>
            <w:tcW w:w="1736" w:type="dxa"/>
            <w:shd w:val="clear" w:color="auto" w:fill="C6EFCE"/>
            <w:noWrap/>
            <w:vAlign w:val="center"/>
            <w:hideMark/>
          </w:tcPr>
          <w:p w14:paraId="20A879CE" w14:textId="77777777" w:rsidR="00E42B18" w:rsidRDefault="009629C4">
            <w:pPr>
              <w:pStyle w:val="P68B1DB1-Normal11"/>
              <w:spacing w:line="276" w:lineRule="auto"/>
              <w:jc w:val="center"/>
              <w:rPr>
                <w:noProof/>
                <w:szCs w:val="20"/>
              </w:rPr>
            </w:pPr>
            <w:r>
              <w:rPr>
                <w:noProof/>
              </w:rPr>
              <w:t>Investointi 4.2. Vedenjakeluverkkojen hävikin vähentäminen, mukaan lukien verkkojen digitalisointi ja seuranta</w:t>
            </w:r>
          </w:p>
        </w:tc>
        <w:tc>
          <w:tcPr>
            <w:tcW w:w="1261" w:type="dxa"/>
            <w:shd w:val="clear" w:color="auto" w:fill="C6EFCE"/>
            <w:noWrap/>
            <w:vAlign w:val="center"/>
            <w:hideMark/>
          </w:tcPr>
          <w:p w14:paraId="7A5587C2"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3E4618F5" w14:textId="77777777" w:rsidR="00E42B18" w:rsidRDefault="009629C4">
            <w:pPr>
              <w:pStyle w:val="P68B1DB1-Normal11"/>
              <w:spacing w:line="276" w:lineRule="auto"/>
              <w:jc w:val="center"/>
              <w:rPr>
                <w:noProof/>
                <w:szCs w:val="20"/>
              </w:rPr>
            </w:pPr>
            <w:r>
              <w:rPr>
                <w:noProof/>
              </w:rPr>
              <w:t>Vedenjakeluverkkoihin liittyvät toimet, mukaan lukien T1-verkkojen digitalisointi ja seuranta</w:t>
            </w:r>
          </w:p>
        </w:tc>
        <w:tc>
          <w:tcPr>
            <w:tcW w:w="1264" w:type="dxa"/>
            <w:shd w:val="clear" w:color="auto" w:fill="C6EFCE"/>
            <w:noWrap/>
            <w:vAlign w:val="center"/>
            <w:hideMark/>
          </w:tcPr>
          <w:p w14:paraId="22385608" w14:textId="77777777" w:rsidR="00E42B18" w:rsidRDefault="009629C4">
            <w:pPr>
              <w:pStyle w:val="P68B1DB1-Normal11"/>
              <w:spacing w:line="276" w:lineRule="auto"/>
              <w:jc w:val="center"/>
              <w:rPr>
                <w:noProof/>
                <w:szCs w:val="20"/>
              </w:rPr>
            </w:pPr>
            <w:r>
              <w:rPr>
                <w:noProof/>
              </w:rPr>
              <w:t>EI OLE</w:t>
            </w:r>
          </w:p>
        </w:tc>
        <w:tc>
          <w:tcPr>
            <w:tcW w:w="1055" w:type="dxa"/>
            <w:shd w:val="clear" w:color="auto" w:fill="C6EFCE"/>
            <w:noWrap/>
            <w:vAlign w:val="center"/>
            <w:hideMark/>
          </w:tcPr>
          <w:p w14:paraId="66494161" w14:textId="77777777" w:rsidR="00E42B18" w:rsidRDefault="009629C4">
            <w:pPr>
              <w:pStyle w:val="P68B1DB1-Normal11"/>
              <w:spacing w:line="276" w:lineRule="auto"/>
              <w:jc w:val="center"/>
              <w:rPr>
                <w:noProof/>
                <w:szCs w:val="20"/>
              </w:rPr>
            </w:pPr>
            <w:r>
              <w:rPr>
                <w:noProof/>
              </w:rPr>
              <w:t>Numero</w:t>
            </w:r>
          </w:p>
        </w:tc>
        <w:tc>
          <w:tcPr>
            <w:tcW w:w="946" w:type="dxa"/>
            <w:shd w:val="clear" w:color="auto" w:fill="C6EFCE"/>
            <w:noWrap/>
            <w:vAlign w:val="center"/>
            <w:hideMark/>
          </w:tcPr>
          <w:p w14:paraId="235E033A" w14:textId="77777777" w:rsidR="00E42B18" w:rsidRDefault="009629C4">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68AE8B81" w14:textId="77777777" w:rsidR="00E42B18" w:rsidRDefault="009629C4">
            <w:pPr>
              <w:pStyle w:val="P68B1DB1-Normal11"/>
              <w:spacing w:line="276" w:lineRule="auto"/>
              <w:jc w:val="center"/>
              <w:rPr>
                <w:noProof/>
                <w:szCs w:val="20"/>
              </w:rPr>
            </w:pPr>
            <w:r>
              <w:rPr>
                <w:noProof/>
              </w:rPr>
              <w:t>14 000</w:t>
            </w:r>
          </w:p>
        </w:tc>
        <w:tc>
          <w:tcPr>
            <w:tcW w:w="809" w:type="dxa"/>
            <w:shd w:val="clear" w:color="auto" w:fill="C6EFCE"/>
            <w:noWrap/>
            <w:vAlign w:val="center"/>
            <w:hideMark/>
          </w:tcPr>
          <w:p w14:paraId="0B2ABFFD" w14:textId="77777777" w:rsidR="00E42B18" w:rsidRDefault="009629C4">
            <w:pPr>
              <w:pStyle w:val="P68B1DB1-Normal11"/>
              <w:spacing w:line="276" w:lineRule="auto"/>
              <w:jc w:val="center"/>
              <w:rPr>
                <w:noProof/>
                <w:szCs w:val="20"/>
              </w:rPr>
            </w:pPr>
            <w:r>
              <w:rPr>
                <w:noProof/>
              </w:rPr>
              <w:t>Q4</w:t>
            </w:r>
          </w:p>
        </w:tc>
        <w:tc>
          <w:tcPr>
            <w:tcW w:w="770" w:type="dxa"/>
            <w:shd w:val="clear" w:color="auto" w:fill="C6EFCE"/>
            <w:noWrap/>
            <w:vAlign w:val="center"/>
            <w:hideMark/>
          </w:tcPr>
          <w:p w14:paraId="02140483" w14:textId="77777777" w:rsidR="00E42B18" w:rsidRDefault="009629C4">
            <w:pPr>
              <w:pStyle w:val="P68B1DB1-Normal11"/>
              <w:spacing w:line="276" w:lineRule="auto"/>
              <w:jc w:val="center"/>
              <w:rPr>
                <w:noProof/>
                <w:szCs w:val="20"/>
              </w:rPr>
            </w:pPr>
            <w:r>
              <w:rPr>
                <w:noProof/>
              </w:rPr>
              <w:t>2024</w:t>
            </w:r>
          </w:p>
        </w:tc>
        <w:tc>
          <w:tcPr>
            <w:tcW w:w="3544" w:type="dxa"/>
            <w:shd w:val="clear" w:color="auto" w:fill="C6EFCE"/>
            <w:noWrap/>
            <w:vAlign w:val="center"/>
            <w:hideMark/>
          </w:tcPr>
          <w:p w14:paraId="54FDC086" w14:textId="77777777" w:rsidR="00E42B18" w:rsidRDefault="009629C4">
            <w:pPr>
              <w:pStyle w:val="P68B1DB1-Normal11"/>
              <w:spacing w:line="276" w:lineRule="auto"/>
              <w:rPr>
                <w:noProof/>
                <w:szCs w:val="20"/>
              </w:rPr>
            </w:pPr>
            <w:r>
              <w:rPr>
                <w:noProof/>
              </w:rPr>
              <w:t>Vähintään 14000 kilometriä vesiverkostoa</w:t>
            </w:r>
          </w:p>
        </w:tc>
      </w:tr>
      <w:tr w:rsidR="00E42B18" w14:paraId="3354221C" w14:textId="77777777" w:rsidTr="007F4B94">
        <w:trPr>
          <w:trHeight w:val="300"/>
        </w:trPr>
        <w:tc>
          <w:tcPr>
            <w:tcW w:w="1134" w:type="dxa"/>
            <w:shd w:val="clear" w:color="auto" w:fill="C6EFCE"/>
            <w:noWrap/>
            <w:vAlign w:val="center"/>
            <w:hideMark/>
          </w:tcPr>
          <w:p w14:paraId="3EF08396" w14:textId="77777777" w:rsidR="00E42B18" w:rsidRDefault="009629C4">
            <w:pPr>
              <w:pStyle w:val="P68B1DB1-Normal11"/>
              <w:spacing w:line="276" w:lineRule="auto"/>
              <w:jc w:val="center"/>
              <w:rPr>
                <w:noProof/>
                <w:szCs w:val="20"/>
              </w:rPr>
            </w:pPr>
            <w:r>
              <w:rPr>
                <w:noProof/>
              </w:rPr>
              <w:t>M2C4–33</w:t>
            </w:r>
          </w:p>
        </w:tc>
        <w:tc>
          <w:tcPr>
            <w:tcW w:w="1736" w:type="dxa"/>
            <w:shd w:val="clear" w:color="auto" w:fill="C6EFCE"/>
            <w:noWrap/>
            <w:vAlign w:val="center"/>
            <w:hideMark/>
          </w:tcPr>
          <w:p w14:paraId="2BF4ED95" w14:textId="77777777" w:rsidR="00E42B18" w:rsidRDefault="009629C4">
            <w:pPr>
              <w:pStyle w:val="P68B1DB1-Normal11"/>
              <w:spacing w:line="276" w:lineRule="auto"/>
              <w:jc w:val="center"/>
              <w:rPr>
                <w:noProof/>
                <w:szCs w:val="20"/>
              </w:rPr>
            </w:pPr>
            <w:r>
              <w:rPr>
                <w:noProof/>
              </w:rPr>
              <w:t>Investointi 4.3 Investoinnit kasteluviljelyjärjestelmän kestokykyyn vesivarojen hoidon parantamiseksi</w:t>
            </w:r>
          </w:p>
        </w:tc>
        <w:tc>
          <w:tcPr>
            <w:tcW w:w="1261" w:type="dxa"/>
            <w:shd w:val="clear" w:color="auto" w:fill="C6EFCE"/>
            <w:noWrap/>
            <w:vAlign w:val="center"/>
            <w:hideMark/>
          </w:tcPr>
          <w:p w14:paraId="6E4B29AB"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hideMark/>
          </w:tcPr>
          <w:p w14:paraId="548A7C55" w14:textId="77777777" w:rsidR="00E42B18" w:rsidRDefault="009629C4">
            <w:pPr>
              <w:pStyle w:val="P68B1DB1-Normal11"/>
              <w:spacing w:line="276" w:lineRule="auto"/>
              <w:jc w:val="center"/>
              <w:rPr>
                <w:noProof/>
                <w:szCs w:val="20"/>
              </w:rPr>
            </w:pPr>
            <w:r>
              <w:rPr>
                <w:noProof/>
              </w:rPr>
              <w:t>Rahoituksen myöntäminen kaikille hankkeille, jotka koskevat kasteluviljelyjärjestelmän häiriönsietokykyä vesivarojen hoidon parantamiseksi</w:t>
            </w:r>
          </w:p>
        </w:tc>
        <w:tc>
          <w:tcPr>
            <w:tcW w:w="1264" w:type="dxa"/>
            <w:shd w:val="clear" w:color="auto" w:fill="C6EFCE"/>
            <w:noWrap/>
            <w:vAlign w:val="center"/>
            <w:hideMark/>
          </w:tcPr>
          <w:p w14:paraId="5FD0A26B" w14:textId="77777777" w:rsidR="00E42B18" w:rsidRDefault="009629C4">
            <w:pPr>
              <w:pStyle w:val="P68B1DB1-Normal11"/>
              <w:spacing w:line="276" w:lineRule="auto"/>
              <w:jc w:val="center"/>
              <w:rPr>
                <w:noProof/>
                <w:szCs w:val="20"/>
              </w:rPr>
            </w:pPr>
            <w:r>
              <w:rPr>
                <w:noProof/>
              </w:rPr>
              <w:t>Asetuksen (asetusten) julkaiseminen.</w:t>
            </w:r>
          </w:p>
        </w:tc>
        <w:tc>
          <w:tcPr>
            <w:tcW w:w="1055" w:type="dxa"/>
            <w:shd w:val="clear" w:color="auto" w:fill="C6EFCE"/>
            <w:noWrap/>
            <w:vAlign w:val="center"/>
            <w:hideMark/>
          </w:tcPr>
          <w:p w14:paraId="61F3BF08" w14:textId="77777777" w:rsidR="00E42B18" w:rsidRDefault="009629C4">
            <w:pPr>
              <w:pStyle w:val="P68B1DB1-Normal11"/>
              <w:spacing w:line="276" w:lineRule="auto"/>
              <w:jc w:val="center"/>
              <w:rPr>
                <w:noProof/>
                <w:szCs w:val="20"/>
              </w:rPr>
            </w:pPr>
            <w:r>
              <w:rPr>
                <w:noProof/>
              </w:rPr>
              <w:t>EI OLE</w:t>
            </w:r>
          </w:p>
        </w:tc>
        <w:tc>
          <w:tcPr>
            <w:tcW w:w="946" w:type="dxa"/>
            <w:shd w:val="clear" w:color="auto" w:fill="C6EFCE"/>
            <w:noWrap/>
            <w:vAlign w:val="center"/>
            <w:hideMark/>
          </w:tcPr>
          <w:p w14:paraId="5EF47FC7" w14:textId="77777777" w:rsidR="00E42B18" w:rsidRDefault="009629C4">
            <w:pPr>
              <w:pStyle w:val="P68B1DB1-Normal11"/>
              <w:spacing w:line="276" w:lineRule="auto"/>
              <w:jc w:val="center"/>
              <w:rPr>
                <w:noProof/>
                <w:szCs w:val="20"/>
              </w:rPr>
            </w:pPr>
            <w:r>
              <w:rPr>
                <w:noProof/>
              </w:rPr>
              <w:t>EI OLE</w:t>
            </w:r>
          </w:p>
        </w:tc>
        <w:tc>
          <w:tcPr>
            <w:tcW w:w="1000" w:type="dxa"/>
            <w:shd w:val="clear" w:color="auto" w:fill="C6EFCE"/>
            <w:noWrap/>
            <w:vAlign w:val="center"/>
            <w:hideMark/>
          </w:tcPr>
          <w:p w14:paraId="64D6E862" w14:textId="77777777" w:rsidR="00E42B18" w:rsidRDefault="009629C4">
            <w:pPr>
              <w:pStyle w:val="P68B1DB1-Normal11"/>
              <w:spacing w:line="276" w:lineRule="auto"/>
              <w:jc w:val="center"/>
              <w:rPr>
                <w:noProof/>
                <w:szCs w:val="20"/>
              </w:rPr>
            </w:pPr>
            <w:r>
              <w:rPr>
                <w:noProof/>
              </w:rPr>
              <w:t>EI OLE</w:t>
            </w:r>
          </w:p>
        </w:tc>
        <w:tc>
          <w:tcPr>
            <w:tcW w:w="809" w:type="dxa"/>
            <w:shd w:val="clear" w:color="auto" w:fill="C6EFCE"/>
            <w:noWrap/>
            <w:vAlign w:val="center"/>
            <w:hideMark/>
          </w:tcPr>
          <w:p w14:paraId="239DD171" w14:textId="77777777" w:rsidR="00E42B18" w:rsidRDefault="009629C4">
            <w:pPr>
              <w:pStyle w:val="P68B1DB1-Normal11"/>
              <w:spacing w:line="276" w:lineRule="auto"/>
              <w:jc w:val="center"/>
              <w:rPr>
                <w:noProof/>
                <w:szCs w:val="20"/>
              </w:rPr>
            </w:pPr>
            <w:r>
              <w:rPr>
                <w:noProof/>
              </w:rPr>
              <w:t>Q4</w:t>
            </w:r>
          </w:p>
        </w:tc>
        <w:tc>
          <w:tcPr>
            <w:tcW w:w="770" w:type="dxa"/>
            <w:shd w:val="clear" w:color="auto" w:fill="C6EFCE"/>
            <w:noWrap/>
            <w:vAlign w:val="center"/>
            <w:hideMark/>
          </w:tcPr>
          <w:p w14:paraId="7878ADB8" w14:textId="77777777" w:rsidR="00E42B18" w:rsidRDefault="009629C4">
            <w:pPr>
              <w:pStyle w:val="P68B1DB1-Normal11"/>
              <w:spacing w:line="276" w:lineRule="auto"/>
              <w:jc w:val="center"/>
              <w:rPr>
                <w:noProof/>
                <w:szCs w:val="20"/>
              </w:rPr>
            </w:pPr>
            <w:r>
              <w:rPr>
                <w:noProof/>
              </w:rPr>
              <w:t>2023</w:t>
            </w:r>
          </w:p>
        </w:tc>
        <w:tc>
          <w:tcPr>
            <w:tcW w:w="3544" w:type="dxa"/>
            <w:shd w:val="clear" w:color="auto" w:fill="C6EFCE"/>
            <w:noWrap/>
            <w:vAlign w:val="center"/>
            <w:hideMark/>
          </w:tcPr>
          <w:p w14:paraId="48AD6B99" w14:textId="547D8F55" w:rsidR="00E42B18" w:rsidRDefault="009629C4">
            <w:pPr>
              <w:pStyle w:val="P68B1DB1-Normal11"/>
              <w:autoSpaceDE w:val="0"/>
              <w:autoSpaceDN w:val="0"/>
              <w:spacing w:line="276" w:lineRule="auto"/>
              <w:rPr>
                <w:noProof/>
                <w:szCs w:val="20"/>
              </w:rPr>
            </w:pPr>
            <w:r>
              <w:rPr>
                <w:noProof/>
              </w:rPr>
              <w:t>Julkaistaan hyväksymisasetukset, joissa myönnetään (ja osoitetaan) rahoitusta hankkeille, jotka koskevat verkkoja ja kastelujärjestelmiä sekä niihin liittyvää digitalisointi- ja seurantajärjestelmää.</w:t>
            </w:r>
          </w:p>
          <w:p w14:paraId="40059AE2" w14:textId="77777777" w:rsidR="00E42B18" w:rsidRDefault="009629C4">
            <w:pPr>
              <w:pStyle w:val="P68B1DB1-Normal11"/>
              <w:autoSpaceDE w:val="0"/>
              <w:autoSpaceDN w:val="0"/>
              <w:spacing w:line="276" w:lineRule="auto"/>
              <w:rPr>
                <w:noProof/>
                <w:szCs w:val="20"/>
              </w:rPr>
            </w:pPr>
            <w:r>
              <w:rPr>
                <w:noProof/>
              </w:rPr>
              <w:t>Sopimusten soveltamisala on seuraava:</w:t>
            </w:r>
          </w:p>
          <w:p w14:paraId="3213A2D3" w14:textId="77777777" w:rsidR="00E42B18" w:rsidRDefault="009629C4">
            <w:pPr>
              <w:pStyle w:val="P68B1DB1-ListParagraph82"/>
              <w:numPr>
                <w:ilvl w:val="0"/>
                <w:numId w:val="33"/>
              </w:numPr>
              <w:autoSpaceDE w:val="0"/>
              <w:autoSpaceDN w:val="0"/>
              <w:spacing w:after="0" w:line="276" w:lineRule="auto"/>
              <w:jc w:val="both"/>
              <w:rPr>
                <w:noProof/>
                <w:color w:val="006100"/>
                <w:szCs w:val="20"/>
              </w:rPr>
            </w:pPr>
            <w:r>
              <w:rPr>
                <w:noProof/>
                <w:color w:val="006100"/>
              </w:rPr>
              <w:t>Kannustaa kollektiivisten verkkojen käytön mittaamiseen ja seurantaan (mittareiden ja kauko-ohjausjärjestelmien asentamisen avulla),</w:t>
            </w:r>
            <w:r>
              <w:rPr>
                <w:noProof/>
              </w:rPr>
              <w:t xml:space="preserve"> </w:t>
            </w:r>
            <w:r>
              <w:rPr>
                <w:noProof/>
                <w:color w:val="006100"/>
              </w:rPr>
              <w:t>mukaan lukien siirtyminen omavaraisuudesta kollektiivisiin käyttötarkoituksiin, ennakkoedellytyksenä sille, että veden hinnoittelupolitiikka, joka perustuu veden määrään perustuvaan veden määrään maatalouden vesivarojen tehokasta käyttöä varten, saadaan päätökseen, ja siten edistää laittomien vedenpoistojen vähentämistä maaseutualueilla.</w:t>
            </w:r>
          </w:p>
          <w:p w14:paraId="365A4082" w14:textId="77777777" w:rsidR="00E42B18" w:rsidRDefault="009629C4">
            <w:pPr>
              <w:pStyle w:val="P68B1DB1-ListParagraph15"/>
              <w:numPr>
                <w:ilvl w:val="0"/>
                <w:numId w:val="33"/>
              </w:numPr>
              <w:autoSpaceDE w:val="0"/>
              <w:autoSpaceDN w:val="0"/>
              <w:spacing w:after="0" w:line="276" w:lineRule="auto"/>
              <w:jc w:val="both"/>
              <w:rPr>
                <w:noProof/>
                <w:szCs w:val="20"/>
              </w:rPr>
            </w:pPr>
            <w:r>
              <w:rPr>
                <w:noProof/>
              </w:rPr>
              <w:t xml:space="preserve">Kasteluun tehtävillä investoinneilla olisi pyrittävä tehostamaan olemassa olevaa kastelua, vaikka kyseisen vesimuodostuman tila olisi hyvä. </w:t>
            </w:r>
          </w:p>
          <w:p w14:paraId="3F699C7C" w14:textId="77777777" w:rsidR="00E42B18" w:rsidRDefault="00E42B18">
            <w:pPr>
              <w:pStyle w:val="ListParagraph"/>
              <w:rPr>
                <w:rFonts w:ascii="Arial Narrow" w:hAnsi="Arial Narrow"/>
                <w:noProof/>
                <w:color w:val="006100"/>
                <w:sz w:val="20"/>
              </w:rPr>
            </w:pPr>
          </w:p>
          <w:p w14:paraId="51A5120B" w14:textId="77777777" w:rsidR="00E42B18" w:rsidRDefault="009629C4">
            <w:pPr>
              <w:pStyle w:val="P68B1DB1-Normal11"/>
              <w:autoSpaceDE w:val="0"/>
              <w:autoSpaceDN w:val="0"/>
              <w:spacing w:line="276" w:lineRule="auto"/>
              <w:rPr>
                <w:noProof/>
                <w:szCs w:val="20"/>
              </w:rPr>
            </w:pPr>
            <w:r>
              <w:rPr>
                <w:noProof/>
              </w:rPr>
              <w:t>Tämän toimenpiteen ei odoteta aiheuttavan asetuksen (EU) 2020/852 17 artiklassa tarkoitettua merkittävää haittaa ympäristötavoitteille, kun otetaan huomioon toimenpiteen kuvaus ja elpymis- ja palautumissuunnitelmassa esitetyt lieventävät toimenpiteet ”ei merkittävää haittaa” -teknisten ohjeiden mukaisesti.</w:t>
            </w:r>
          </w:p>
          <w:p w14:paraId="44B21766" w14:textId="77777777" w:rsidR="00E42B18" w:rsidRDefault="009629C4">
            <w:pPr>
              <w:pStyle w:val="P68B1DB1-Normal11"/>
              <w:autoSpaceDE w:val="0"/>
              <w:autoSpaceDN w:val="0"/>
              <w:spacing w:line="276" w:lineRule="auto"/>
              <w:rPr>
                <w:noProof/>
                <w:szCs w:val="20"/>
              </w:rPr>
            </w:pPr>
            <w:r>
              <w:rPr>
                <w:noProof/>
              </w:rPr>
              <w:t xml:space="preserve">(2021/C58/01). Kunkin osainvestoinnin osalta on erityisesti varmistettava, että EU:n lainsäädännön, vesipuitedirektiivi mukaan lukien, vaatimuksia noudatetaan täysimääräisesti ennen rakennuskohteen aloittamista, sen aikana ja sen jälkeen. </w:t>
            </w:r>
          </w:p>
          <w:p w14:paraId="7F387101" w14:textId="77777777" w:rsidR="00E42B18" w:rsidRDefault="009629C4">
            <w:pPr>
              <w:pStyle w:val="P68B1DB1-Normal11"/>
              <w:autoSpaceDE w:val="0"/>
              <w:autoSpaceDN w:val="0"/>
              <w:spacing w:line="276" w:lineRule="auto"/>
              <w:rPr>
                <w:noProof/>
                <w:szCs w:val="20"/>
              </w:rPr>
            </w:pPr>
            <w:r>
              <w:rPr>
                <w:noProof/>
              </w:rPr>
              <w:t>Lisäksi tukitoimista, jos niitä sovelletaan kansallisen lainsäädännön mukaisesti, on tehtävä direktiivin 2011/92/EU mukainen ympäristövaikutusten arviointi sekä asiaankuuluvat arvioinnit direktiivien 2000/60/EY ja 92/43/ETY yhteydessä, mukaan lukien vaadittujen lieventävien toimenpiteiden täytäntöönpano.</w:t>
            </w:r>
          </w:p>
        </w:tc>
      </w:tr>
      <w:tr w:rsidR="00E42B18" w14:paraId="31D6B18D" w14:textId="77777777" w:rsidTr="007F4B94">
        <w:trPr>
          <w:trHeight w:val="300"/>
        </w:trPr>
        <w:tc>
          <w:tcPr>
            <w:tcW w:w="1134" w:type="dxa"/>
            <w:shd w:val="clear" w:color="auto" w:fill="C6EFCE"/>
            <w:noWrap/>
            <w:vAlign w:val="center"/>
            <w:hideMark/>
          </w:tcPr>
          <w:p w14:paraId="3DAD51A2" w14:textId="77777777" w:rsidR="00E42B18" w:rsidRDefault="009629C4">
            <w:pPr>
              <w:pStyle w:val="P68B1DB1-Normal11"/>
              <w:spacing w:line="276" w:lineRule="auto"/>
              <w:jc w:val="center"/>
              <w:rPr>
                <w:noProof/>
                <w:szCs w:val="20"/>
              </w:rPr>
            </w:pPr>
            <w:r>
              <w:rPr>
                <w:noProof/>
              </w:rPr>
              <w:t>M2C4–34</w:t>
            </w:r>
          </w:p>
        </w:tc>
        <w:tc>
          <w:tcPr>
            <w:tcW w:w="1736" w:type="dxa"/>
            <w:shd w:val="clear" w:color="auto" w:fill="C6EFCE"/>
            <w:noWrap/>
            <w:vAlign w:val="center"/>
            <w:hideMark/>
          </w:tcPr>
          <w:p w14:paraId="3D2175F0" w14:textId="77777777" w:rsidR="00E42B18" w:rsidRDefault="009629C4">
            <w:pPr>
              <w:pStyle w:val="P68B1DB1-Normal11"/>
              <w:spacing w:line="276" w:lineRule="auto"/>
              <w:jc w:val="center"/>
              <w:rPr>
                <w:noProof/>
                <w:szCs w:val="20"/>
              </w:rPr>
            </w:pPr>
            <w:r>
              <w:rPr>
                <w:noProof/>
              </w:rPr>
              <w:t>Investointi 4.3 Investoinnit kasteluviljelyjärjestelmän kestokykyyn vesivarojen hoidon parantamiseksi</w:t>
            </w:r>
          </w:p>
        </w:tc>
        <w:tc>
          <w:tcPr>
            <w:tcW w:w="1261" w:type="dxa"/>
            <w:shd w:val="clear" w:color="auto" w:fill="C6EFCE"/>
            <w:noWrap/>
            <w:vAlign w:val="center"/>
            <w:hideMark/>
          </w:tcPr>
          <w:p w14:paraId="47B659F8"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39A65A82" w14:textId="77777777" w:rsidR="00E42B18" w:rsidRDefault="009629C4">
            <w:pPr>
              <w:pStyle w:val="P68B1DB1-Normal11"/>
              <w:spacing w:line="276" w:lineRule="auto"/>
              <w:jc w:val="center"/>
              <w:rPr>
                <w:noProof/>
                <w:szCs w:val="20"/>
              </w:rPr>
            </w:pPr>
            <w:r>
              <w:rPr>
                <w:noProof/>
              </w:rPr>
              <w:t>Toimenpiteet, joilla parannetaan kasteluviljelyjärjestelmän häiriönsietokykyä vesivarojen hoidon parantamiseksi</w:t>
            </w:r>
          </w:p>
        </w:tc>
        <w:tc>
          <w:tcPr>
            <w:tcW w:w="1264" w:type="dxa"/>
            <w:shd w:val="clear" w:color="auto" w:fill="C6EFCE"/>
            <w:noWrap/>
            <w:vAlign w:val="center"/>
            <w:hideMark/>
          </w:tcPr>
          <w:p w14:paraId="3DEAF7C8" w14:textId="77777777" w:rsidR="00E42B18" w:rsidRDefault="009629C4">
            <w:pPr>
              <w:pStyle w:val="P68B1DB1-Normal11"/>
              <w:spacing w:line="276" w:lineRule="auto"/>
              <w:jc w:val="center"/>
              <w:rPr>
                <w:noProof/>
                <w:szCs w:val="20"/>
              </w:rPr>
            </w:pPr>
            <w:r>
              <w:rPr>
                <w:noProof/>
              </w:rPr>
              <w:t>EI OLE</w:t>
            </w:r>
          </w:p>
        </w:tc>
        <w:tc>
          <w:tcPr>
            <w:tcW w:w="1055" w:type="dxa"/>
            <w:shd w:val="clear" w:color="auto" w:fill="C6EFCE"/>
            <w:noWrap/>
            <w:vAlign w:val="center"/>
            <w:hideMark/>
          </w:tcPr>
          <w:p w14:paraId="7A30833A" w14:textId="77777777" w:rsidR="00E42B18" w:rsidRDefault="009629C4">
            <w:pPr>
              <w:pStyle w:val="P68B1DB1-Normal12"/>
              <w:spacing w:line="276" w:lineRule="auto"/>
              <w:jc w:val="center"/>
              <w:rPr>
                <w:noProof/>
              </w:rPr>
            </w:pPr>
            <w:r>
              <w:rPr>
                <w:noProof/>
              </w:rPr>
              <w:t>Numero</w:t>
            </w:r>
          </w:p>
        </w:tc>
        <w:tc>
          <w:tcPr>
            <w:tcW w:w="946" w:type="dxa"/>
            <w:shd w:val="clear" w:color="auto" w:fill="C6EFCE"/>
            <w:noWrap/>
            <w:vAlign w:val="center"/>
            <w:hideMark/>
          </w:tcPr>
          <w:p w14:paraId="32274487" w14:textId="77777777" w:rsidR="00E42B18" w:rsidRDefault="009629C4">
            <w:pPr>
              <w:pStyle w:val="P68B1DB1-Normal12"/>
              <w:spacing w:line="276" w:lineRule="auto"/>
              <w:jc w:val="center"/>
              <w:rPr>
                <w:noProof/>
              </w:rPr>
            </w:pPr>
            <w:r>
              <w:rPr>
                <w:noProof/>
              </w:rPr>
              <w:t>0</w:t>
            </w:r>
          </w:p>
        </w:tc>
        <w:tc>
          <w:tcPr>
            <w:tcW w:w="1000" w:type="dxa"/>
            <w:shd w:val="clear" w:color="auto" w:fill="C6EFCE"/>
            <w:noWrap/>
            <w:vAlign w:val="center"/>
            <w:hideMark/>
          </w:tcPr>
          <w:p w14:paraId="277CBDA5" w14:textId="77777777" w:rsidR="00E42B18" w:rsidRDefault="009629C4">
            <w:pPr>
              <w:pStyle w:val="P68B1DB1-Normal12"/>
              <w:spacing w:line="276" w:lineRule="auto"/>
              <w:jc w:val="center"/>
              <w:rPr>
                <w:noProof/>
              </w:rPr>
            </w:pPr>
            <w:r>
              <w:rPr>
                <w:noProof/>
              </w:rPr>
              <w:t>40</w:t>
            </w:r>
          </w:p>
        </w:tc>
        <w:tc>
          <w:tcPr>
            <w:tcW w:w="809" w:type="dxa"/>
            <w:shd w:val="clear" w:color="auto" w:fill="C6EFCE"/>
            <w:noWrap/>
            <w:vAlign w:val="center"/>
            <w:hideMark/>
          </w:tcPr>
          <w:p w14:paraId="77842B2B" w14:textId="77777777" w:rsidR="00E42B18" w:rsidRDefault="009629C4">
            <w:pPr>
              <w:pStyle w:val="P68B1DB1-Normal11"/>
              <w:spacing w:line="276" w:lineRule="auto"/>
              <w:jc w:val="center"/>
              <w:rPr>
                <w:noProof/>
                <w:szCs w:val="20"/>
              </w:rPr>
            </w:pPr>
            <w:r>
              <w:rPr>
                <w:noProof/>
              </w:rPr>
              <w:t>Q4</w:t>
            </w:r>
          </w:p>
        </w:tc>
        <w:tc>
          <w:tcPr>
            <w:tcW w:w="770" w:type="dxa"/>
            <w:shd w:val="clear" w:color="auto" w:fill="C6EFCE"/>
            <w:noWrap/>
            <w:vAlign w:val="center"/>
            <w:hideMark/>
          </w:tcPr>
          <w:p w14:paraId="247914B9" w14:textId="77777777" w:rsidR="00E42B18" w:rsidRDefault="009629C4">
            <w:pPr>
              <w:pStyle w:val="P68B1DB1-Normal11"/>
              <w:spacing w:line="276" w:lineRule="auto"/>
              <w:jc w:val="center"/>
              <w:rPr>
                <w:noProof/>
                <w:szCs w:val="20"/>
              </w:rPr>
            </w:pPr>
            <w:r>
              <w:rPr>
                <w:noProof/>
              </w:rPr>
              <w:t>2024</w:t>
            </w:r>
          </w:p>
        </w:tc>
        <w:tc>
          <w:tcPr>
            <w:tcW w:w="3544" w:type="dxa"/>
            <w:shd w:val="clear" w:color="auto" w:fill="C6EFCE"/>
            <w:noWrap/>
            <w:vAlign w:val="center"/>
            <w:hideMark/>
          </w:tcPr>
          <w:p w14:paraId="541CB9AC" w14:textId="677370F1" w:rsidR="00E42B18" w:rsidRDefault="009629C4">
            <w:pPr>
              <w:pStyle w:val="P68B1DB1-Normal12"/>
              <w:spacing w:line="276" w:lineRule="auto"/>
              <w:rPr>
                <w:noProof/>
              </w:rPr>
            </w:pPr>
            <w:r>
              <w:rPr>
                <w:noProof/>
              </w:rPr>
              <w:t>Vähintään 40 (SIGRIAN-tietokannassa lueteltua) vedenpoistolähdettä, jotka liittyvät vesikonsessioon (concessione di derivazione) ja joiden virtausnopeus on vähintään 100 l/s, on varustettava mittareilla.</w:t>
            </w:r>
          </w:p>
          <w:p w14:paraId="6D0BEBB9" w14:textId="77777777" w:rsidR="00E42B18" w:rsidRDefault="009629C4">
            <w:pPr>
              <w:pStyle w:val="P68B1DB1-Normal11"/>
              <w:spacing w:line="276" w:lineRule="auto"/>
              <w:rPr>
                <w:noProof/>
                <w:szCs w:val="20"/>
              </w:rPr>
            </w:pPr>
            <w:r>
              <w:rPr>
                <w:noProof/>
              </w:rPr>
              <w:t>Verkon tehokkuutta koskeviin yleisiin tukitoimiin on sisällyttävä myös seuraavien asentaminen:</w:t>
            </w:r>
          </w:p>
          <w:p w14:paraId="7D5F1C27" w14:textId="77777777" w:rsidR="00E42B18" w:rsidRDefault="009629C4">
            <w:pPr>
              <w:pStyle w:val="P68B1DB1-ListParagraph15"/>
              <w:numPr>
                <w:ilvl w:val="0"/>
                <w:numId w:val="34"/>
              </w:numPr>
              <w:spacing w:after="0" w:line="276" w:lineRule="auto"/>
              <w:jc w:val="both"/>
              <w:rPr>
                <w:noProof/>
                <w:szCs w:val="20"/>
              </w:rPr>
            </w:pPr>
            <w:r>
              <w:rPr>
                <w:noProof/>
                <w:szCs w:val="20"/>
              </w:rPr>
              <w:t>30</w:t>
            </w:r>
            <w:r>
              <w:rPr>
                <w:noProof/>
              </w:rPr>
              <w:t>0 kolmannen tason mittaria;</w:t>
            </w:r>
          </w:p>
          <w:p w14:paraId="44C7FF6D" w14:textId="77777777" w:rsidR="00E42B18" w:rsidRDefault="009629C4">
            <w:pPr>
              <w:pStyle w:val="P68B1DB1-ListParagraph15"/>
              <w:numPr>
                <w:ilvl w:val="0"/>
                <w:numId w:val="34"/>
              </w:numPr>
              <w:spacing w:after="0" w:line="276" w:lineRule="auto"/>
              <w:jc w:val="both"/>
              <w:rPr>
                <w:noProof/>
                <w:szCs w:val="20"/>
              </w:rPr>
            </w:pPr>
            <w:r>
              <w:rPr>
                <w:noProof/>
                <w:szCs w:val="20"/>
              </w:rPr>
              <w:t>10000</w:t>
            </w:r>
            <w:r>
              <w:rPr>
                <w:noProof/>
              </w:rPr>
              <w:t xml:space="preserve">  neljännen tason mittaria;</w:t>
            </w:r>
          </w:p>
          <w:p w14:paraId="479ECACB" w14:textId="77777777" w:rsidR="00E42B18" w:rsidRDefault="009629C4">
            <w:pPr>
              <w:pStyle w:val="P68B1DB1-ListParagraph15"/>
              <w:numPr>
                <w:ilvl w:val="0"/>
                <w:numId w:val="34"/>
              </w:numPr>
              <w:spacing w:after="0" w:line="276" w:lineRule="auto"/>
              <w:jc w:val="both"/>
              <w:rPr>
                <w:noProof/>
                <w:szCs w:val="20"/>
              </w:rPr>
            </w:pPr>
            <w:r>
              <w:rPr>
                <w:noProof/>
              </w:rPr>
              <w:t>Digitalisaatio ja verkon parantaminen.</w:t>
            </w:r>
          </w:p>
        </w:tc>
      </w:tr>
      <w:tr w:rsidR="00E42B18" w14:paraId="7DB41ACE" w14:textId="77777777" w:rsidTr="007F4B94">
        <w:trPr>
          <w:trHeight w:val="300"/>
        </w:trPr>
        <w:tc>
          <w:tcPr>
            <w:tcW w:w="1134" w:type="dxa"/>
            <w:shd w:val="clear" w:color="auto" w:fill="C6EFCE"/>
            <w:noWrap/>
            <w:vAlign w:val="center"/>
            <w:hideMark/>
          </w:tcPr>
          <w:p w14:paraId="146645F7" w14:textId="77777777" w:rsidR="00E42B18" w:rsidRDefault="009629C4">
            <w:pPr>
              <w:pStyle w:val="P68B1DB1-Normal11"/>
              <w:spacing w:line="276" w:lineRule="auto"/>
              <w:jc w:val="center"/>
              <w:rPr>
                <w:noProof/>
                <w:szCs w:val="20"/>
              </w:rPr>
            </w:pPr>
            <w:r>
              <w:rPr>
                <w:noProof/>
              </w:rPr>
              <w:t>M2C4–34a</w:t>
            </w:r>
          </w:p>
        </w:tc>
        <w:tc>
          <w:tcPr>
            <w:tcW w:w="1736" w:type="dxa"/>
            <w:shd w:val="clear" w:color="auto" w:fill="C6EFCE"/>
            <w:noWrap/>
            <w:vAlign w:val="center"/>
            <w:hideMark/>
          </w:tcPr>
          <w:p w14:paraId="3296E31B" w14:textId="77777777" w:rsidR="00E42B18" w:rsidRDefault="009629C4">
            <w:pPr>
              <w:pStyle w:val="P68B1DB1-Normal11"/>
              <w:spacing w:line="276" w:lineRule="auto"/>
              <w:jc w:val="center"/>
              <w:rPr>
                <w:noProof/>
                <w:szCs w:val="20"/>
              </w:rPr>
            </w:pPr>
            <w:r>
              <w:rPr>
                <w:noProof/>
              </w:rPr>
              <w:t>Investointi 4.3 Investoinnit kasteluviljelyjärjestelmän kestokykyyn vesivarojen hoidon parantamiseksi</w:t>
            </w:r>
          </w:p>
        </w:tc>
        <w:tc>
          <w:tcPr>
            <w:tcW w:w="1261" w:type="dxa"/>
            <w:shd w:val="clear" w:color="auto" w:fill="C6EFCE"/>
            <w:noWrap/>
            <w:vAlign w:val="center"/>
            <w:hideMark/>
          </w:tcPr>
          <w:p w14:paraId="61935C7F"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6D505E3C" w14:textId="77777777" w:rsidR="00E42B18" w:rsidRDefault="009629C4">
            <w:pPr>
              <w:pStyle w:val="P68B1DB1-Normal11"/>
              <w:spacing w:line="276" w:lineRule="auto"/>
              <w:jc w:val="center"/>
              <w:rPr>
                <w:noProof/>
                <w:szCs w:val="20"/>
              </w:rPr>
            </w:pPr>
            <w:r>
              <w:rPr>
                <w:noProof/>
              </w:rPr>
              <w:t>Toimet, joilla parannetaan kasteluviljelyjärjestelmän häiriönsietokykyä vesivarojen hoidon parantamiseksi</w:t>
            </w:r>
            <w:r>
              <w:rPr>
                <w:noProof/>
                <w:szCs w:val="20"/>
              </w:rPr>
              <w:t>T1.2</w:t>
            </w:r>
          </w:p>
        </w:tc>
        <w:tc>
          <w:tcPr>
            <w:tcW w:w="1264" w:type="dxa"/>
            <w:shd w:val="clear" w:color="auto" w:fill="C6EFCE"/>
            <w:noWrap/>
            <w:vAlign w:val="center"/>
            <w:hideMark/>
          </w:tcPr>
          <w:p w14:paraId="3F3C056E" w14:textId="77777777" w:rsidR="00E42B18" w:rsidRDefault="009629C4">
            <w:pPr>
              <w:pStyle w:val="P68B1DB1-Normal11"/>
              <w:spacing w:line="276" w:lineRule="auto"/>
              <w:jc w:val="center"/>
              <w:rPr>
                <w:noProof/>
                <w:szCs w:val="20"/>
              </w:rPr>
            </w:pPr>
            <w:r>
              <w:rPr>
                <w:noProof/>
              </w:rPr>
              <w:t>EI OLE</w:t>
            </w:r>
          </w:p>
        </w:tc>
        <w:tc>
          <w:tcPr>
            <w:tcW w:w="1055" w:type="dxa"/>
            <w:shd w:val="clear" w:color="auto" w:fill="C6EFCE"/>
            <w:noWrap/>
            <w:vAlign w:val="center"/>
            <w:hideMark/>
          </w:tcPr>
          <w:p w14:paraId="7CA91A82" w14:textId="77777777" w:rsidR="00E42B18" w:rsidRDefault="009629C4">
            <w:pPr>
              <w:pStyle w:val="P68B1DB1-Normal12"/>
              <w:spacing w:line="276" w:lineRule="auto"/>
              <w:jc w:val="center"/>
              <w:rPr>
                <w:noProof/>
              </w:rPr>
            </w:pPr>
            <w:r>
              <w:rPr>
                <w:noProof/>
              </w:rPr>
              <w:t>Numero</w:t>
            </w:r>
          </w:p>
        </w:tc>
        <w:tc>
          <w:tcPr>
            <w:tcW w:w="946" w:type="dxa"/>
            <w:shd w:val="clear" w:color="auto" w:fill="C6EFCE"/>
            <w:noWrap/>
            <w:vAlign w:val="center"/>
            <w:hideMark/>
          </w:tcPr>
          <w:p w14:paraId="7E6AED5A" w14:textId="77777777" w:rsidR="00E42B18" w:rsidRDefault="009629C4">
            <w:pPr>
              <w:pStyle w:val="P68B1DB1-Normal12"/>
              <w:spacing w:line="276" w:lineRule="auto"/>
              <w:jc w:val="center"/>
              <w:rPr>
                <w:noProof/>
              </w:rPr>
            </w:pPr>
            <w:r>
              <w:rPr>
                <w:noProof/>
              </w:rPr>
              <w:t>40</w:t>
            </w:r>
          </w:p>
        </w:tc>
        <w:tc>
          <w:tcPr>
            <w:tcW w:w="1000" w:type="dxa"/>
            <w:shd w:val="clear" w:color="auto" w:fill="C6EFCE"/>
            <w:noWrap/>
            <w:vAlign w:val="center"/>
            <w:hideMark/>
          </w:tcPr>
          <w:p w14:paraId="672086E9" w14:textId="77777777" w:rsidR="00E42B18" w:rsidRDefault="009629C4">
            <w:pPr>
              <w:pStyle w:val="P68B1DB1-Normal12"/>
              <w:spacing w:line="276" w:lineRule="auto"/>
              <w:jc w:val="center"/>
              <w:rPr>
                <w:noProof/>
              </w:rPr>
            </w:pPr>
            <w:r>
              <w:rPr>
                <w:noProof/>
              </w:rPr>
              <w:t>105</w:t>
            </w:r>
          </w:p>
        </w:tc>
        <w:tc>
          <w:tcPr>
            <w:tcW w:w="809" w:type="dxa"/>
            <w:shd w:val="clear" w:color="auto" w:fill="C6EFCE"/>
            <w:noWrap/>
            <w:vAlign w:val="center"/>
            <w:hideMark/>
          </w:tcPr>
          <w:p w14:paraId="65E4842A" w14:textId="77777777" w:rsidR="00E42B18" w:rsidRDefault="009629C4">
            <w:pPr>
              <w:pStyle w:val="P68B1DB1-Normal11"/>
              <w:spacing w:line="276" w:lineRule="auto"/>
              <w:jc w:val="center"/>
              <w:rPr>
                <w:noProof/>
                <w:szCs w:val="20"/>
              </w:rPr>
            </w:pPr>
            <w:r>
              <w:rPr>
                <w:noProof/>
              </w:rPr>
              <w:t>Q2</w:t>
            </w:r>
          </w:p>
        </w:tc>
        <w:tc>
          <w:tcPr>
            <w:tcW w:w="770" w:type="dxa"/>
            <w:shd w:val="clear" w:color="auto" w:fill="C6EFCE"/>
            <w:noWrap/>
            <w:vAlign w:val="center"/>
            <w:hideMark/>
          </w:tcPr>
          <w:p w14:paraId="0AAF3234" w14:textId="77777777" w:rsidR="00E42B18" w:rsidRDefault="009629C4">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7E259A6D" w14:textId="77777777" w:rsidR="00E42B18" w:rsidRDefault="009629C4">
            <w:pPr>
              <w:pStyle w:val="P68B1DB1-Normal12"/>
              <w:spacing w:line="276" w:lineRule="auto"/>
              <w:rPr>
                <w:noProof/>
              </w:rPr>
            </w:pPr>
            <w:r>
              <w:rPr>
                <w:noProof/>
              </w:rPr>
              <w:t>Vähintään 105 (SIGRIAN-tietokannassa lueteltua) vedenpoistolähdettä, jotka liittyvät vedenjakeluun (concessione di derivazione) ja joiden virtausnopeus on vähintään 100 l/s, on varustettava mittareilla.</w:t>
            </w:r>
          </w:p>
          <w:p w14:paraId="42B281BD" w14:textId="77777777" w:rsidR="00E42B18" w:rsidRDefault="009629C4">
            <w:pPr>
              <w:pStyle w:val="P68B1DB1-Normal12"/>
              <w:spacing w:after="0" w:line="276" w:lineRule="auto"/>
              <w:jc w:val="both"/>
              <w:rPr>
                <w:noProof/>
              </w:rPr>
            </w:pPr>
            <w:r>
              <w:rPr>
                <w:noProof/>
              </w:rPr>
              <w:t xml:space="preserve">Verkon tehokkuutta koskevien interventioiden on hyödytettävä vähintään 422407 hehtaaria kasteltua aluetta, ja niihin on sisällyttävä </w:t>
            </w:r>
          </w:p>
          <w:p w14:paraId="03A247E1" w14:textId="28304F22" w:rsidR="00E42B18" w:rsidRDefault="009629C4">
            <w:pPr>
              <w:pStyle w:val="P68B1DB1-ListParagraph13"/>
              <w:numPr>
                <w:ilvl w:val="0"/>
                <w:numId w:val="35"/>
              </w:numPr>
              <w:spacing w:after="0" w:line="276" w:lineRule="auto"/>
              <w:jc w:val="both"/>
              <w:rPr>
                <w:noProof/>
              </w:rPr>
            </w:pPr>
            <w:r>
              <w:rPr>
                <w:noProof/>
              </w:rPr>
              <w:t>750 kolmannen tason mittarin asentaminen;</w:t>
            </w:r>
          </w:p>
          <w:p w14:paraId="03AC3505" w14:textId="77777777" w:rsidR="00E42B18" w:rsidRDefault="009629C4">
            <w:pPr>
              <w:pStyle w:val="P68B1DB1-ListParagraph13"/>
              <w:numPr>
                <w:ilvl w:val="0"/>
                <w:numId w:val="35"/>
              </w:numPr>
              <w:spacing w:after="0" w:line="276" w:lineRule="auto"/>
              <w:jc w:val="both"/>
              <w:rPr>
                <w:noProof/>
              </w:rPr>
            </w:pPr>
            <w:r>
              <w:rPr>
                <w:noProof/>
              </w:rPr>
              <w:t>25000 neljännen kerroksen mittareiden asentaminen;</w:t>
            </w:r>
          </w:p>
          <w:p w14:paraId="007AAFBA" w14:textId="77777777" w:rsidR="00E42B18" w:rsidRDefault="009629C4">
            <w:pPr>
              <w:pStyle w:val="P68B1DB1-ListParagraph13"/>
              <w:numPr>
                <w:ilvl w:val="0"/>
                <w:numId w:val="35"/>
              </w:numPr>
              <w:spacing w:after="0" w:line="276" w:lineRule="auto"/>
              <w:jc w:val="both"/>
              <w:rPr>
                <w:noProof/>
              </w:rPr>
            </w:pPr>
            <w:r>
              <w:rPr>
                <w:noProof/>
              </w:rPr>
              <w:t>Digitalisaatio ja verkon parantaminen.</w:t>
            </w:r>
          </w:p>
        </w:tc>
      </w:tr>
      <w:tr w:rsidR="00E42B18" w14:paraId="6B9E5A7A" w14:textId="77777777" w:rsidTr="007F4B94">
        <w:trPr>
          <w:trHeight w:val="300"/>
        </w:trPr>
        <w:tc>
          <w:tcPr>
            <w:tcW w:w="1134" w:type="dxa"/>
            <w:shd w:val="clear" w:color="auto" w:fill="C6EFCE"/>
            <w:noWrap/>
            <w:vAlign w:val="center"/>
          </w:tcPr>
          <w:p w14:paraId="01753F6F" w14:textId="4334586A" w:rsidR="00E42B18" w:rsidRDefault="009629C4">
            <w:pPr>
              <w:pStyle w:val="P68B1DB1-Normal12"/>
              <w:spacing w:line="276" w:lineRule="auto"/>
              <w:jc w:val="center"/>
              <w:rPr>
                <w:noProof/>
              </w:rPr>
            </w:pPr>
            <w:r>
              <w:rPr>
                <w:noProof/>
              </w:rPr>
              <w:t>M2C4–35</w:t>
            </w:r>
          </w:p>
        </w:tc>
        <w:tc>
          <w:tcPr>
            <w:tcW w:w="1736" w:type="dxa"/>
            <w:shd w:val="clear" w:color="auto" w:fill="C6EFCE"/>
            <w:noWrap/>
            <w:vAlign w:val="center"/>
          </w:tcPr>
          <w:p w14:paraId="0A0F483D" w14:textId="77777777" w:rsidR="00E42B18" w:rsidRDefault="009629C4">
            <w:pPr>
              <w:pStyle w:val="P68B1DB1-Normal12"/>
              <w:spacing w:line="276" w:lineRule="auto"/>
              <w:jc w:val="center"/>
              <w:rPr>
                <w:noProof/>
              </w:rPr>
            </w:pPr>
            <w:r>
              <w:rPr>
                <w:noProof/>
              </w:rPr>
              <w:t>Investointi 4.3 Investoinnit kasteluviljelyjärjestelmän kestokykyyn vesivarojen hoidon parantamiseksi</w:t>
            </w:r>
          </w:p>
        </w:tc>
        <w:tc>
          <w:tcPr>
            <w:tcW w:w="1261" w:type="dxa"/>
            <w:shd w:val="clear" w:color="auto" w:fill="C6EFCE"/>
            <w:noWrap/>
            <w:vAlign w:val="center"/>
          </w:tcPr>
          <w:p w14:paraId="07530782" w14:textId="77777777" w:rsidR="00E42B18" w:rsidRDefault="009629C4">
            <w:pPr>
              <w:pStyle w:val="P68B1DB1-Normal12"/>
              <w:spacing w:line="276" w:lineRule="auto"/>
              <w:jc w:val="center"/>
              <w:rPr>
                <w:noProof/>
              </w:rPr>
            </w:pPr>
            <w:r>
              <w:rPr>
                <w:noProof/>
              </w:rPr>
              <w:t>Kohde</w:t>
            </w:r>
          </w:p>
        </w:tc>
        <w:tc>
          <w:tcPr>
            <w:tcW w:w="1365" w:type="dxa"/>
            <w:shd w:val="clear" w:color="auto" w:fill="C6EFCE"/>
            <w:noWrap/>
            <w:vAlign w:val="center"/>
          </w:tcPr>
          <w:p w14:paraId="1753BFD0" w14:textId="77777777" w:rsidR="00E42B18" w:rsidRDefault="009629C4">
            <w:pPr>
              <w:pStyle w:val="P68B1DB1-Normal12"/>
              <w:spacing w:line="276" w:lineRule="auto"/>
              <w:jc w:val="center"/>
              <w:rPr>
                <w:noProof/>
              </w:rPr>
            </w:pPr>
            <w:r>
              <w:rPr>
                <w:noProof/>
              </w:rPr>
              <w:t>Toimenpiteet, joilla parannetaan kasteluviljelyjärjestelmän häiriönsietokykyä vesivarojen hoidon parantamiseksi T2</w:t>
            </w:r>
          </w:p>
        </w:tc>
        <w:tc>
          <w:tcPr>
            <w:tcW w:w="1264" w:type="dxa"/>
            <w:shd w:val="clear" w:color="auto" w:fill="C6EFCE"/>
            <w:noWrap/>
            <w:vAlign w:val="center"/>
          </w:tcPr>
          <w:p w14:paraId="02F24587" w14:textId="77777777" w:rsidR="00E42B18" w:rsidRDefault="009629C4">
            <w:pPr>
              <w:pStyle w:val="P68B1DB1-Normal12"/>
              <w:spacing w:line="276" w:lineRule="auto"/>
              <w:jc w:val="center"/>
              <w:rPr>
                <w:noProof/>
              </w:rPr>
            </w:pPr>
            <w:r>
              <w:rPr>
                <w:noProof/>
              </w:rPr>
              <w:t>EI OLE</w:t>
            </w:r>
          </w:p>
        </w:tc>
        <w:tc>
          <w:tcPr>
            <w:tcW w:w="1055" w:type="dxa"/>
            <w:shd w:val="clear" w:color="auto" w:fill="C6EFCE"/>
            <w:noWrap/>
            <w:vAlign w:val="center"/>
          </w:tcPr>
          <w:p w14:paraId="2361F54B" w14:textId="77777777" w:rsidR="00E42B18" w:rsidRDefault="009629C4">
            <w:pPr>
              <w:pStyle w:val="P68B1DB1-Normal12"/>
              <w:spacing w:line="276" w:lineRule="auto"/>
              <w:jc w:val="center"/>
              <w:rPr>
                <w:rFonts w:eastAsia="Arial Narrow" w:cs="Arial Narrow"/>
                <w:noProof/>
              </w:rPr>
            </w:pPr>
            <w:r>
              <w:rPr>
                <w:noProof/>
              </w:rPr>
              <w:t>Hehtaaria</w:t>
            </w:r>
          </w:p>
        </w:tc>
        <w:tc>
          <w:tcPr>
            <w:tcW w:w="946" w:type="dxa"/>
            <w:shd w:val="clear" w:color="auto" w:fill="C6EFCE"/>
            <w:noWrap/>
            <w:vAlign w:val="center"/>
          </w:tcPr>
          <w:p w14:paraId="000C04A6" w14:textId="77777777" w:rsidR="00E42B18" w:rsidRDefault="009629C4">
            <w:pPr>
              <w:pStyle w:val="P68B1DB1-Normal12"/>
              <w:spacing w:line="276" w:lineRule="auto"/>
              <w:jc w:val="center"/>
              <w:rPr>
                <w:noProof/>
              </w:rPr>
            </w:pPr>
            <w:r>
              <w:rPr>
                <w:noProof/>
              </w:rPr>
              <w:t>0</w:t>
            </w:r>
          </w:p>
        </w:tc>
        <w:tc>
          <w:tcPr>
            <w:tcW w:w="1000" w:type="dxa"/>
            <w:shd w:val="clear" w:color="auto" w:fill="C6EFCE"/>
            <w:noWrap/>
            <w:vAlign w:val="center"/>
          </w:tcPr>
          <w:p w14:paraId="681AFE3A" w14:textId="77777777" w:rsidR="00E42B18" w:rsidRDefault="009629C4">
            <w:pPr>
              <w:pStyle w:val="P68B1DB1-Normal12"/>
              <w:spacing w:line="276" w:lineRule="auto"/>
              <w:jc w:val="center"/>
              <w:rPr>
                <w:noProof/>
              </w:rPr>
            </w:pPr>
            <w:r>
              <w:rPr>
                <w:noProof/>
              </w:rPr>
              <w:t>96 390</w:t>
            </w:r>
          </w:p>
        </w:tc>
        <w:tc>
          <w:tcPr>
            <w:tcW w:w="809" w:type="dxa"/>
            <w:shd w:val="clear" w:color="auto" w:fill="C6EFCE"/>
            <w:noWrap/>
            <w:vAlign w:val="center"/>
          </w:tcPr>
          <w:p w14:paraId="6E97D5D1" w14:textId="77777777" w:rsidR="00E42B18" w:rsidRDefault="009629C4">
            <w:pPr>
              <w:pStyle w:val="P68B1DB1-Normal12"/>
              <w:spacing w:line="276" w:lineRule="auto"/>
              <w:jc w:val="center"/>
              <w:rPr>
                <w:noProof/>
              </w:rPr>
            </w:pPr>
            <w:r>
              <w:rPr>
                <w:noProof/>
              </w:rPr>
              <w:t>Q4</w:t>
            </w:r>
          </w:p>
        </w:tc>
        <w:tc>
          <w:tcPr>
            <w:tcW w:w="770" w:type="dxa"/>
            <w:shd w:val="clear" w:color="auto" w:fill="C6EFCE"/>
            <w:noWrap/>
            <w:vAlign w:val="center"/>
          </w:tcPr>
          <w:p w14:paraId="51F2A185" w14:textId="77777777" w:rsidR="00E42B18" w:rsidRDefault="009629C4">
            <w:pPr>
              <w:pStyle w:val="P68B1DB1-Normal12"/>
              <w:spacing w:line="276" w:lineRule="auto"/>
              <w:jc w:val="center"/>
              <w:rPr>
                <w:noProof/>
              </w:rPr>
            </w:pPr>
            <w:r>
              <w:rPr>
                <w:noProof/>
              </w:rPr>
              <w:t>2024</w:t>
            </w:r>
          </w:p>
        </w:tc>
        <w:tc>
          <w:tcPr>
            <w:tcW w:w="3544" w:type="dxa"/>
            <w:shd w:val="clear" w:color="auto" w:fill="C6EFCE"/>
            <w:noWrap/>
            <w:vAlign w:val="center"/>
          </w:tcPr>
          <w:p w14:paraId="642B490D" w14:textId="6EBE2D09" w:rsidR="00E42B18" w:rsidRDefault="009629C4">
            <w:pPr>
              <w:pStyle w:val="P68B1DB1-Normal12"/>
              <w:spacing w:line="276" w:lineRule="auto"/>
              <w:rPr>
                <w:noProof/>
              </w:rPr>
            </w:pPr>
            <w:r>
              <w:rPr>
                <w:noProof/>
              </w:rPr>
              <w:t>Vähintään 96390 hehtaarin keinokasteltu ala hyötyy kasteluresurssien tehokkaasta käytöstä.</w:t>
            </w:r>
          </w:p>
        </w:tc>
      </w:tr>
      <w:tr w:rsidR="00E42B18" w14:paraId="4A4956BD" w14:textId="77777777" w:rsidTr="007F4B94">
        <w:trPr>
          <w:trHeight w:val="300"/>
        </w:trPr>
        <w:tc>
          <w:tcPr>
            <w:tcW w:w="1134" w:type="dxa"/>
            <w:shd w:val="clear" w:color="auto" w:fill="C6EFCE"/>
            <w:noWrap/>
            <w:vAlign w:val="center"/>
            <w:hideMark/>
          </w:tcPr>
          <w:p w14:paraId="3501E398" w14:textId="586DA716" w:rsidR="00E42B18" w:rsidRDefault="009629C4">
            <w:pPr>
              <w:pStyle w:val="P68B1DB1-Normal11"/>
              <w:spacing w:line="276" w:lineRule="auto"/>
              <w:jc w:val="center"/>
              <w:rPr>
                <w:noProof/>
                <w:szCs w:val="20"/>
              </w:rPr>
            </w:pPr>
            <w:r>
              <w:rPr>
                <w:noProof/>
              </w:rPr>
              <w:t>M2C4–36</w:t>
            </w:r>
          </w:p>
        </w:tc>
        <w:tc>
          <w:tcPr>
            <w:tcW w:w="1736" w:type="dxa"/>
            <w:shd w:val="clear" w:color="auto" w:fill="C6EFCE"/>
            <w:noWrap/>
            <w:vAlign w:val="center"/>
            <w:hideMark/>
          </w:tcPr>
          <w:p w14:paraId="24852001" w14:textId="77777777" w:rsidR="00E42B18" w:rsidRDefault="009629C4">
            <w:pPr>
              <w:pStyle w:val="P68B1DB1-Normal11"/>
              <w:spacing w:line="276" w:lineRule="auto"/>
              <w:jc w:val="center"/>
              <w:rPr>
                <w:noProof/>
                <w:szCs w:val="20"/>
              </w:rPr>
            </w:pPr>
            <w:r>
              <w:rPr>
                <w:noProof/>
              </w:rPr>
              <w:t>Investointi 4.4 Investoinnit viemäri- ja puhdistustoimintaan</w:t>
            </w:r>
          </w:p>
        </w:tc>
        <w:tc>
          <w:tcPr>
            <w:tcW w:w="1261" w:type="dxa"/>
            <w:shd w:val="clear" w:color="auto" w:fill="C6EFCE"/>
            <w:noWrap/>
            <w:vAlign w:val="center"/>
            <w:hideMark/>
          </w:tcPr>
          <w:p w14:paraId="22297B6A" w14:textId="77777777" w:rsidR="00E42B18" w:rsidRDefault="009629C4">
            <w:pPr>
              <w:pStyle w:val="P68B1DB1-Normal11"/>
              <w:spacing w:line="276" w:lineRule="auto"/>
              <w:jc w:val="center"/>
              <w:rPr>
                <w:noProof/>
                <w:szCs w:val="20"/>
              </w:rPr>
            </w:pPr>
            <w:r>
              <w:rPr>
                <w:noProof/>
              </w:rPr>
              <w:t>Virstanpylväs</w:t>
            </w:r>
          </w:p>
        </w:tc>
        <w:tc>
          <w:tcPr>
            <w:tcW w:w="1365" w:type="dxa"/>
            <w:shd w:val="clear" w:color="auto" w:fill="C6EFCE"/>
            <w:noWrap/>
            <w:vAlign w:val="center"/>
            <w:hideMark/>
          </w:tcPr>
          <w:p w14:paraId="2C705C10" w14:textId="10D2928E" w:rsidR="00E42B18" w:rsidRDefault="009629C4">
            <w:pPr>
              <w:pStyle w:val="P68B1DB1-Normal11"/>
              <w:spacing w:line="276" w:lineRule="auto"/>
              <w:jc w:val="center"/>
              <w:rPr>
                <w:noProof/>
                <w:szCs w:val="20"/>
              </w:rPr>
            </w:pPr>
            <w:r>
              <w:rPr>
                <w:noProof/>
              </w:rPr>
              <w:t>Rahoituksen myöntäminen viemäröinti- ja puhdistushankkeille</w:t>
            </w:r>
          </w:p>
        </w:tc>
        <w:tc>
          <w:tcPr>
            <w:tcW w:w="1264" w:type="dxa"/>
            <w:shd w:val="clear" w:color="auto" w:fill="C6EFCE"/>
            <w:noWrap/>
            <w:vAlign w:val="center"/>
            <w:hideMark/>
          </w:tcPr>
          <w:p w14:paraId="6D88A162" w14:textId="77777777" w:rsidR="00E42B18" w:rsidRDefault="009629C4">
            <w:pPr>
              <w:pStyle w:val="P68B1DB1-Normal11"/>
              <w:spacing w:line="276" w:lineRule="auto"/>
              <w:jc w:val="center"/>
              <w:rPr>
                <w:rFonts w:eastAsia="Arial Narrow" w:cs="Arial Narrow"/>
                <w:noProof/>
                <w:szCs w:val="20"/>
              </w:rPr>
            </w:pPr>
            <w:r>
              <w:rPr>
                <w:noProof/>
              </w:rPr>
              <w:t>Asetuksen julkaiseminen</w:t>
            </w:r>
          </w:p>
        </w:tc>
        <w:tc>
          <w:tcPr>
            <w:tcW w:w="1055" w:type="dxa"/>
            <w:shd w:val="clear" w:color="auto" w:fill="C6EFCE"/>
            <w:noWrap/>
            <w:vAlign w:val="center"/>
            <w:hideMark/>
          </w:tcPr>
          <w:p w14:paraId="2DA4290F" w14:textId="77777777" w:rsidR="00E42B18" w:rsidRDefault="009629C4">
            <w:pPr>
              <w:pStyle w:val="P68B1DB1-Normal11"/>
              <w:spacing w:line="276" w:lineRule="auto"/>
              <w:jc w:val="center"/>
              <w:rPr>
                <w:noProof/>
                <w:szCs w:val="20"/>
              </w:rPr>
            </w:pPr>
            <w:r>
              <w:rPr>
                <w:noProof/>
              </w:rPr>
              <w:t>EI OLE</w:t>
            </w:r>
          </w:p>
        </w:tc>
        <w:tc>
          <w:tcPr>
            <w:tcW w:w="946" w:type="dxa"/>
            <w:shd w:val="clear" w:color="auto" w:fill="C6EFCE"/>
            <w:noWrap/>
            <w:vAlign w:val="center"/>
            <w:hideMark/>
          </w:tcPr>
          <w:p w14:paraId="0DC7F30D" w14:textId="77777777" w:rsidR="00E42B18" w:rsidRDefault="009629C4">
            <w:pPr>
              <w:pStyle w:val="P68B1DB1-Normal11"/>
              <w:spacing w:line="276" w:lineRule="auto"/>
              <w:jc w:val="center"/>
              <w:rPr>
                <w:noProof/>
                <w:szCs w:val="20"/>
              </w:rPr>
            </w:pPr>
            <w:r>
              <w:rPr>
                <w:noProof/>
              </w:rPr>
              <w:t xml:space="preserve">EI OLE </w:t>
            </w:r>
          </w:p>
        </w:tc>
        <w:tc>
          <w:tcPr>
            <w:tcW w:w="1000" w:type="dxa"/>
            <w:shd w:val="clear" w:color="auto" w:fill="C6EFCE"/>
            <w:noWrap/>
            <w:vAlign w:val="center"/>
            <w:hideMark/>
          </w:tcPr>
          <w:p w14:paraId="4AC401F4" w14:textId="77777777" w:rsidR="00E42B18" w:rsidRDefault="009629C4">
            <w:pPr>
              <w:pStyle w:val="P68B1DB1-Normal11"/>
              <w:spacing w:line="276" w:lineRule="auto"/>
              <w:jc w:val="center"/>
              <w:rPr>
                <w:noProof/>
                <w:szCs w:val="20"/>
              </w:rPr>
            </w:pPr>
            <w:r>
              <w:rPr>
                <w:noProof/>
              </w:rPr>
              <w:t>EI OLE</w:t>
            </w:r>
          </w:p>
        </w:tc>
        <w:tc>
          <w:tcPr>
            <w:tcW w:w="809" w:type="dxa"/>
            <w:shd w:val="clear" w:color="auto" w:fill="C6EFCE"/>
            <w:noWrap/>
            <w:vAlign w:val="center"/>
            <w:hideMark/>
          </w:tcPr>
          <w:p w14:paraId="5C8BCB60" w14:textId="77777777" w:rsidR="00E42B18" w:rsidRDefault="009629C4">
            <w:pPr>
              <w:pStyle w:val="P68B1DB1-Normal11"/>
              <w:spacing w:line="276" w:lineRule="auto"/>
              <w:jc w:val="center"/>
              <w:rPr>
                <w:noProof/>
                <w:szCs w:val="20"/>
              </w:rPr>
            </w:pPr>
            <w:r>
              <w:rPr>
                <w:noProof/>
              </w:rPr>
              <w:t>Q4</w:t>
            </w:r>
          </w:p>
        </w:tc>
        <w:tc>
          <w:tcPr>
            <w:tcW w:w="770" w:type="dxa"/>
            <w:shd w:val="clear" w:color="auto" w:fill="C6EFCE"/>
            <w:noWrap/>
            <w:vAlign w:val="center"/>
            <w:hideMark/>
          </w:tcPr>
          <w:p w14:paraId="7A0604A1" w14:textId="77777777" w:rsidR="00E42B18" w:rsidRDefault="009629C4">
            <w:pPr>
              <w:pStyle w:val="P68B1DB1-Normal11"/>
              <w:spacing w:line="276" w:lineRule="auto"/>
              <w:jc w:val="center"/>
              <w:rPr>
                <w:noProof/>
                <w:szCs w:val="20"/>
              </w:rPr>
            </w:pPr>
            <w:r>
              <w:rPr>
                <w:noProof/>
              </w:rPr>
              <w:t>2023</w:t>
            </w:r>
          </w:p>
        </w:tc>
        <w:tc>
          <w:tcPr>
            <w:tcW w:w="3544" w:type="dxa"/>
            <w:shd w:val="clear" w:color="auto" w:fill="C6EFCE"/>
            <w:noWrap/>
            <w:vAlign w:val="center"/>
            <w:hideMark/>
          </w:tcPr>
          <w:p w14:paraId="53EC7DC3" w14:textId="794D14CB" w:rsidR="00E42B18" w:rsidRDefault="009629C4">
            <w:pPr>
              <w:pStyle w:val="P68B1DB1-Normal11"/>
              <w:spacing w:line="276" w:lineRule="auto"/>
              <w:rPr>
                <w:noProof/>
                <w:szCs w:val="20"/>
              </w:rPr>
            </w:pPr>
            <w:r>
              <w:rPr>
                <w:noProof/>
              </w:rPr>
              <w:t xml:space="preserve">Hyväksymispäätöksen julkaiseminen ja rahoituksen myöntäminen hanke-ehdotuksille. </w:t>
            </w:r>
          </w:p>
          <w:p w14:paraId="32A1839F" w14:textId="77777777" w:rsidR="00E42B18" w:rsidRDefault="009629C4">
            <w:pPr>
              <w:pStyle w:val="P68B1DB1-Normal11"/>
              <w:spacing w:line="276" w:lineRule="auto"/>
              <w:rPr>
                <w:noProof/>
                <w:szCs w:val="20"/>
              </w:rPr>
            </w:pPr>
            <w:r>
              <w:rPr>
                <w:noProof/>
              </w:rPr>
              <w:t>Tukitoimien on</w:t>
            </w:r>
          </w:p>
          <w:p w14:paraId="7943462C" w14:textId="77777777" w:rsidR="00E42B18" w:rsidRDefault="009629C4">
            <w:pPr>
              <w:pStyle w:val="P68B1DB1-ListParagraph15"/>
              <w:numPr>
                <w:ilvl w:val="0"/>
                <w:numId w:val="27"/>
              </w:numPr>
              <w:spacing w:after="0" w:line="276" w:lineRule="auto"/>
              <w:ind w:left="468"/>
              <w:rPr>
                <w:noProof/>
                <w:szCs w:val="20"/>
              </w:rPr>
            </w:pPr>
            <w:r>
              <w:rPr>
                <w:noProof/>
              </w:rPr>
              <w:t>Tehostaa meri- ja sisävesiin päästetyn jäteveden puhdistusta myös teknologisten innovaatioiden avulla;</w:t>
            </w:r>
          </w:p>
          <w:p w14:paraId="24E7F6E7" w14:textId="77777777" w:rsidR="00E42B18" w:rsidRDefault="009629C4">
            <w:pPr>
              <w:pStyle w:val="P68B1DB1-ListParagraph15"/>
              <w:numPr>
                <w:ilvl w:val="0"/>
                <w:numId w:val="27"/>
              </w:numPr>
              <w:spacing w:after="0" w:line="276" w:lineRule="auto"/>
              <w:ind w:left="468"/>
              <w:rPr>
                <w:noProof/>
                <w:szCs w:val="20"/>
              </w:rPr>
            </w:pPr>
            <w:r>
              <w:rPr>
                <w:noProof/>
              </w:rPr>
              <w:t>Muutetaan mahdollisuuksien mukaan jotkin puhdistamot ”vihreiksi tehtaiksi”, jotka käyttävät puhdistettua jätevettä uudelleen kasteluun ja teollisiin tarkoituksiin.</w:t>
            </w:r>
          </w:p>
          <w:p w14:paraId="71F7CB90" w14:textId="01AFD39C" w:rsidR="00E42B18" w:rsidRDefault="009629C4">
            <w:pPr>
              <w:pStyle w:val="P68B1DB1-Normal11"/>
              <w:rPr>
                <w:noProof/>
                <w:szCs w:val="20"/>
              </w:rPr>
            </w:pPr>
            <w:r>
              <w:rPr>
                <w:noProof/>
              </w:rPr>
              <w:t>Tästä toimenpiteestä ei saa aiheutua asetuksen (EU) 2020/852 17 artiklassa tarkoitettua merkittävää haittaa ympäristötavoitteille, kun otetaan huomioon toimenpiteen kuvaus ja elpymis- ja palautumissuunnitelmassa esitetyt lieventävät toimet ”ei merkittävää haittaa” -periaatteen mukaisten teknisten ohjeiden (2021/C58/01) mukaisesti. Erityisesti lietteen polttaminen ei ole tukikelpoista.</w:t>
            </w:r>
          </w:p>
        </w:tc>
      </w:tr>
      <w:tr w:rsidR="00E42B18" w14:paraId="58C8F37F" w14:textId="77777777" w:rsidTr="007F4B94">
        <w:trPr>
          <w:trHeight w:val="300"/>
        </w:trPr>
        <w:tc>
          <w:tcPr>
            <w:tcW w:w="1134" w:type="dxa"/>
            <w:shd w:val="clear" w:color="auto" w:fill="C6EFCE"/>
            <w:noWrap/>
            <w:vAlign w:val="center"/>
            <w:hideMark/>
          </w:tcPr>
          <w:p w14:paraId="7A915B36" w14:textId="77777777" w:rsidR="00E42B18" w:rsidRDefault="009629C4">
            <w:pPr>
              <w:pStyle w:val="P68B1DB1-Normal11"/>
              <w:spacing w:line="276" w:lineRule="auto"/>
              <w:jc w:val="center"/>
              <w:rPr>
                <w:noProof/>
                <w:szCs w:val="20"/>
              </w:rPr>
            </w:pPr>
            <w:r>
              <w:rPr>
                <w:noProof/>
              </w:rPr>
              <w:t>M2C4–38</w:t>
            </w:r>
          </w:p>
        </w:tc>
        <w:tc>
          <w:tcPr>
            <w:tcW w:w="1736" w:type="dxa"/>
            <w:shd w:val="clear" w:color="auto" w:fill="C6EFCE"/>
            <w:noWrap/>
            <w:vAlign w:val="center"/>
            <w:hideMark/>
          </w:tcPr>
          <w:p w14:paraId="35651C8E" w14:textId="77777777" w:rsidR="00E42B18" w:rsidRDefault="009629C4">
            <w:pPr>
              <w:pStyle w:val="P68B1DB1-Normal11"/>
              <w:spacing w:line="276" w:lineRule="auto"/>
              <w:jc w:val="center"/>
              <w:rPr>
                <w:noProof/>
                <w:szCs w:val="20"/>
              </w:rPr>
            </w:pPr>
            <w:r>
              <w:rPr>
                <w:noProof/>
              </w:rPr>
              <w:t>Investointi 4.4 Investoinnit viemäri- ja puhdistustoimintaan</w:t>
            </w:r>
          </w:p>
        </w:tc>
        <w:tc>
          <w:tcPr>
            <w:tcW w:w="1261" w:type="dxa"/>
            <w:shd w:val="clear" w:color="auto" w:fill="C6EFCE"/>
            <w:noWrap/>
            <w:vAlign w:val="center"/>
            <w:hideMark/>
          </w:tcPr>
          <w:p w14:paraId="030549D5" w14:textId="77777777" w:rsidR="00E42B18" w:rsidRDefault="009629C4">
            <w:pPr>
              <w:pStyle w:val="P68B1DB1-Normal11"/>
              <w:spacing w:line="276" w:lineRule="auto"/>
              <w:jc w:val="center"/>
              <w:rPr>
                <w:noProof/>
                <w:szCs w:val="20"/>
              </w:rPr>
            </w:pPr>
            <w:r>
              <w:rPr>
                <w:noProof/>
              </w:rPr>
              <w:t>Kohde</w:t>
            </w:r>
          </w:p>
        </w:tc>
        <w:tc>
          <w:tcPr>
            <w:tcW w:w="1365" w:type="dxa"/>
            <w:shd w:val="clear" w:color="auto" w:fill="C6EFCE"/>
            <w:noWrap/>
            <w:vAlign w:val="center"/>
            <w:hideMark/>
          </w:tcPr>
          <w:p w14:paraId="7CEE2679" w14:textId="016C9F7F" w:rsidR="00E42B18" w:rsidRDefault="009629C4">
            <w:pPr>
              <w:pStyle w:val="P68B1DB1-Normal12"/>
              <w:spacing w:line="276" w:lineRule="auto"/>
              <w:jc w:val="center"/>
              <w:rPr>
                <w:noProof/>
              </w:rPr>
            </w:pPr>
            <w:r>
              <w:rPr>
                <w:noProof/>
              </w:rPr>
              <w:t>Viemäröinti- ja puhdistustoimista hyötyvä asukasvastineluku</w:t>
            </w:r>
          </w:p>
        </w:tc>
        <w:tc>
          <w:tcPr>
            <w:tcW w:w="1264" w:type="dxa"/>
            <w:shd w:val="clear" w:color="auto" w:fill="C6EFCE"/>
            <w:noWrap/>
            <w:vAlign w:val="center"/>
            <w:hideMark/>
          </w:tcPr>
          <w:p w14:paraId="5746F5B5" w14:textId="77777777" w:rsidR="00E42B18" w:rsidRDefault="009629C4">
            <w:pPr>
              <w:pStyle w:val="P68B1DB1-Normal11"/>
              <w:spacing w:line="276" w:lineRule="auto"/>
              <w:jc w:val="center"/>
              <w:rPr>
                <w:noProof/>
                <w:szCs w:val="20"/>
              </w:rPr>
            </w:pPr>
            <w:r>
              <w:rPr>
                <w:noProof/>
              </w:rPr>
              <w:t>EI OLE</w:t>
            </w:r>
          </w:p>
        </w:tc>
        <w:tc>
          <w:tcPr>
            <w:tcW w:w="1055" w:type="dxa"/>
            <w:shd w:val="clear" w:color="auto" w:fill="C6EFCE"/>
            <w:noWrap/>
            <w:vAlign w:val="center"/>
            <w:hideMark/>
          </w:tcPr>
          <w:p w14:paraId="584CF400" w14:textId="77777777" w:rsidR="00E42B18" w:rsidRDefault="009629C4">
            <w:pPr>
              <w:pStyle w:val="P68B1DB1-Normal11"/>
              <w:spacing w:line="276" w:lineRule="auto"/>
              <w:jc w:val="center"/>
              <w:rPr>
                <w:noProof/>
                <w:szCs w:val="20"/>
              </w:rPr>
            </w:pPr>
            <w:r>
              <w:rPr>
                <w:noProof/>
              </w:rPr>
              <w:t>Numero</w:t>
            </w:r>
          </w:p>
        </w:tc>
        <w:tc>
          <w:tcPr>
            <w:tcW w:w="946" w:type="dxa"/>
            <w:shd w:val="clear" w:color="auto" w:fill="C6EFCE"/>
            <w:noWrap/>
            <w:vAlign w:val="center"/>
            <w:hideMark/>
          </w:tcPr>
          <w:p w14:paraId="1B397646" w14:textId="78F771A5" w:rsidR="00E42B18" w:rsidRDefault="009629C4">
            <w:pPr>
              <w:pStyle w:val="P68B1DB1-Normal12"/>
              <w:spacing w:line="276" w:lineRule="auto"/>
              <w:jc w:val="center"/>
              <w:rPr>
                <w:noProof/>
              </w:rPr>
            </w:pPr>
            <w:r>
              <w:rPr>
                <w:noProof/>
              </w:rPr>
              <w:t>0</w:t>
            </w:r>
          </w:p>
        </w:tc>
        <w:tc>
          <w:tcPr>
            <w:tcW w:w="1000" w:type="dxa"/>
            <w:shd w:val="clear" w:color="auto" w:fill="C6EFCE"/>
            <w:noWrap/>
            <w:vAlign w:val="center"/>
            <w:hideMark/>
          </w:tcPr>
          <w:p w14:paraId="067B1FD8" w14:textId="56F37B08" w:rsidR="00E42B18" w:rsidRDefault="009629C4">
            <w:pPr>
              <w:pStyle w:val="P68B1DB1-Normal12"/>
              <w:spacing w:line="276" w:lineRule="auto"/>
              <w:jc w:val="center"/>
              <w:rPr>
                <w:noProof/>
              </w:rPr>
            </w:pPr>
            <w:r>
              <w:rPr>
                <w:noProof/>
              </w:rPr>
              <w:t>3 750 000</w:t>
            </w:r>
          </w:p>
        </w:tc>
        <w:tc>
          <w:tcPr>
            <w:tcW w:w="809" w:type="dxa"/>
            <w:shd w:val="clear" w:color="auto" w:fill="C6EFCE"/>
            <w:noWrap/>
            <w:vAlign w:val="center"/>
            <w:hideMark/>
          </w:tcPr>
          <w:p w14:paraId="3C814EBA" w14:textId="77777777" w:rsidR="00E42B18" w:rsidRDefault="009629C4">
            <w:pPr>
              <w:pStyle w:val="P68B1DB1-Normal11"/>
              <w:spacing w:line="276" w:lineRule="auto"/>
              <w:jc w:val="center"/>
              <w:rPr>
                <w:noProof/>
                <w:szCs w:val="20"/>
              </w:rPr>
            </w:pPr>
            <w:r>
              <w:rPr>
                <w:noProof/>
              </w:rPr>
              <w:t>Q1</w:t>
            </w:r>
          </w:p>
        </w:tc>
        <w:tc>
          <w:tcPr>
            <w:tcW w:w="770" w:type="dxa"/>
            <w:shd w:val="clear" w:color="auto" w:fill="C6EFCE"/>
            <w:noWrap/>
            <w:vAlign w:val="center"/>
            <w:hideMark/>
          </w:tcPr>
          <w:p w14:paraId="47B60452" w14:textId="77777777" w:rsidR="00E42B18" w:rsidRDefault="009629C4">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2CD093F5" w14:textId="0FBA20F0" w:rsidR="00E42B18" w:rsidRDefault="009629C4">
            <w:pPr>
              <w:pStyle w:val="P68B1DB1-Normal12"/>
              <w:spacing w:line="276" w:lineRule="auto"/>
              <w:rPr>
                <w:noProof/>
              </w:rPr>
            </w:pPr>
            <w:r>
              <w:rPr>
                <w:noProof/>
              </w:rPr>
              <w:t>Vähintään 3750000 asukasvastinelukua (PE) kattavien viemäröinti- ja yhdyskuntajätevesien käsittelytoimenpiteiden loppuunsaattamistodistukset taajamissa, joista vähintään 1209000 meripeninkulmaa on neuvoston direktiivin 91/271/ETY noudattamatta jättämistä koskevan rikkomusmenettelyn kohteena, mikä vahvistetaan riippumattoman insinöörin raportissa</w:t>
            </w:r>
          </w:p>
        </w:tc>
      </w:tr>
      <w:tr w:rsidR="00E42B18" w14:paraId="72AFE769" w14:textId="77777777" w:rsidTr="007F4B94">
        <w:trPr>
          <w:trHeight w:val="300"/>
        </w:trPr>
        <w:tc>
          <w:tcPr>
            <w:tcW w:w="1134" w:type="dxa"/>
            <w:shd w:val="clear" w:color="auto" w:fill="C6EFCE"/>
            <w:noWrap/>
            <w:vAlign w:val="center"/>
          </w:tcPr>
          <w:p w14:paraId="303232A5" w14:textId="12051E97" w:rsidR="00E42B18" w:rsidRDefault="009629C4">
            <w:pPr>
              <w:pStyle w:val="P68B1DB1-Normal11"/>
              <w:spacing w:line="276" w:lineRule="auto"/>
              <w:jc w:val="center"/>
              <w:rPr>
                <w:noProof/>
              </w:rPr>
            </w:pPr>
            <w:r>
              <w:rPr>
                <w:noProof/>
              </w:rPr>
              <w:t>M2C4–39</w:t>
            </w:r>
          </w:p>
        </w:tc>
        <w:tc>
          <w:tcPr>
            <w:tcW w:w="1736" w:type="dxa"/>
            <w:shd w:val="clear" w:color="auto" w:fill="C6EFCE"/>
            <w:noWrap/>
            <w:vAlign w:val="center"/>
          </w:tcPr>
          <w:p w14:paraId="10CD9FD0" w14:textId="77777777" w:rsidR="00E42B18" w:rsidRDefault="009629C4">
            <w:pPr>
              <w:pStyle w:val="P68B1DB1-Normal11"/>
              <w:spacing w:line="276" w:lineRule="auto"/>
              <w:jc w:val="center"/>
              <w:rPr>
                <w:noProof/>
              </w:rPr>
            </w:pPr>
            <w:r>
              <w:rPr>
                <w:noProof/>
              </w:rPr>
              <w:t xml:space="preserve">Investointi 4,5 </w:t>
            </w:r>
            <w:r>
              <w:rPr>
                <w:noProof/>
              </w:rPr>
              <w:br/>
              <w:t>Tukijärjestelmä vesi-infrastruktuureihin tehtäviä investointeja varten</w:t>
            </w:r>
          </w:p>
        </w:tc>
        <w:tc>
          <w:tcPr>
            <w:tcW w:w="1261" w:type="dxa"/>
            <w:shd w:val="clear" w:color="auto" w:fill="C6EFCE"/>
            <w:noWrap/>
            <w:vAlign w:val="center"/>
          </w:tcPr>
          <w:p w14:paraId="3B78A70F" w14:textId="77777777" w:rsidR="00E42B18" w:rsidRDefault="009629C4">
            <w:pPr>
              <w:pStyle w:val="P68B1DB1-Normal11"/>
              <w:spacing w:line="276" w:lineRule="auto"/>
              <w:jc w:val="center"/>
              <w:rPr>
                <w:noProof/>
              </w:rPr>
            </w:pPr>
            <w:r>
              <w:rPr>
                <w:noProof/>
              </w:rPr>
              <w:t>M</w:t>
            </w:r>
          </w:p>
        </w:tc>
        <w:tc>
          <w:tcPr>
            <w:tcW w:w="1365" w:type="dxa"/>
            <w:shd w:val="clear" w:color="auto" w:fill="C6EFCE"/>
            <w:noWrap/>
            <w:vAlign w:val="center"/>
          </w:tcPr>
          <w:p w14:paraId="1EADC2A4" w14:textId="77777777" w:rsidR="00E42B18" w:rsidRDefault="009629C4">
            <w:pPr>
              <w:pStyle w:val="P68B1DB1-Normal11"/>
              <w:spacing w:line="276" w:lineRule="auto"/>
              <w:jc w:val="center"/>
              <w:rPr>
                <w:noProof/>
              </w:rPr>
            </w:pPr>
            <w:r>
              <w:rPr>
                <w:noProof/>
              </w:rPr>
              <w:t>Täytäntöönpanosopimus</w:t>
            </w:r>
          </w:p>
        </w:tc>
        <w:tc>
          <w:tcPr>
            <w:tcW w:w="1264" w:type="dxa"/>
            <w:shd w:val="clear" w:color="auto" w:fill="C6EFCE"/>
            <w:noWrap/>
            <w:vAlign w:val="center"/>
          </w:tcPr>
          <w:p w14:paraId="0B10DF67" w14:textId="77777777" w:rsidR="00E42B18" w:rsidRDefault="009629C4">
            <w:pPr>
              <w:pStyle w:val="P68B1DB1-Normal11"/>
              <w:spacing w:line="276" w:lineRule="auto"/>
              <w:jc w:val="center"/>
              <w:rPr>
                <w:noProof/>
              </w:rPr>
            </w:pPr>
            <w:r>
              <w:rPr>
                <w:noProof/>
              </w:rPr>
              <w:t>Täytäntöönpanosopimuksen voimaantulo</w:t>
            </w:r>
          </w:p>
        </w:tc>
        <w:tc>
          <w:tcPr>
            <w:tcW w:w="1055" w:type="dxa"/>
            <w:shd w:val="clear" w:color="auto" w:fill="C6EFCE"/>
            <w:noWrap/>
            <w:vAlign w:val="center"/>
          </w:tcPr>
          <w:p w14:paraId="21573362" w14:textId="77777777" w:rsidR="00E42B18" w:rsidRDefault="009629C4">
            <w:pPr>
              <w:pStyle w:val="P68B1DB1-Normal11"/>
              <w:spacing w:line="276" w:lineRule="auto"/>
              <w:jc w:val="center"/>
              <w:rPr>
                <w:noProof/>
              </w:rPr>
            </w:pPr>
            <w:r>
              <w:rPr>
                <w:noProof/>
              </w:rPr>
              <w:t>EI OLE</w:t>
            </w:r>
          </w:p>
        </w:tc>
        <w:tc>
          <w:tcPr>
            <w:tcW w:w="946" w:type="dxa"/>
            <w:shd w:val="clear" w:color="auto" w:fill="C6EFCE"/>
            <w:noWrap/>
            <w:vAlign w:val="center"/>
          </w:tcPr>
          <w:p w14:paraId="295AFC96" w14:textId="77777777" w:rsidR="00E42B18" w:rsidRDefault="009629C4">
            <w:pPr>
              <w:pStyle w:val="P68B1DB1-Normal11"/>
              <w:spacing w:line="276" w:lineRule="auto"/>
              <w:jc w:val="center"/>
              <w:rPr>
                <w:noProof/>
              </w:rPr>
            </w:pPr>
            <w:r>
              <w:rPr>
                <w:noProof/>
              </w:rPr>
              <w:t>EI OLE</w:t>
            </w:r>
          </w:p>
        </w:tc>
        <w:tc>
          <w:tcPr>
            <w:tcW w:w="1000" w:type="dxa"/>
            <w:shd w:val="clear" w:color="auto" w:fill="C6EFCE"/>
            <w:noWrap/>
            <w:vAlign w:val="center"/>
          </w:tcPr>
          <w:p w14:paraId="2298D2FF" w14:textId="77777777" w:rsidR="00E42B18" w:rsidRDefault="009629C4">
            <w:pPr>
              <w:pStyle w:val="P68B1DB1-Normal11"/>
              <w:spacing w:line="276" w:lineRule="auto"/>
              <w:jc w:val="center"/>
              <w:rPr>
                <w:noProof/>
              </w:rPr>
            </w:pPr>
            <w:r>
              <w:rPr>
                <w:noProof/>
              </w:rPr>
              <w:t>EI OLE</w:t>
            </w:r>
          </w:p>
        </w:tc>
        <w:tc>
          <w:tcPr>
            <w:tcW w:w="809" w:type="dxa"/>
            <w:shd w:val="clear" w:color="auto" w:fill="C6EFCE"/>
            <w:noWrap/>
            <w:vAlign w:val="center"/>
          </w:tcPr>
          <w:p w14:paraId="5BE34592" w14:textId="5E76EB3A" w:rsidR="00E42B18" w:rsidRDefault="009629C4">
            <w:pPr>
              <w:pStyle w:val="P68B1DB1-Normal11"/>
              <w:spacing w:line="276" w:lineRule="auto"/>
              <w:jc w:val="center"/>
              <w:rPr>
                <w:noProof/>
              </w:rPr>
            </w:pPr>
            <w:r>
              <w:rPr>
                <w:noProof/>
              </w:rPr>
              <w:t>Q2</w:t>
            </w:r>
          </w:p>
        </w:tc>
        <w:tc>
          <w:tcPr>
            <w:tcW w:w="770" w:type="dxa"/>
            <w:shd w:val="clear" w:color="auto" w:fill="C6EFCE"/>
            <w:noWrap/>
            <w:vAlign w:val="center"/>
          </w:tcPr>
          <w:p w14:paraId="38F0D013" w14:textId="00946537" w:rsidR="00E42B18" w:rsidRDefault="009629C4">
            <w:pPr>
              <w:pStyle w:val="P68B1DB1-Normal11"/>
              <w:spacing w:line="276" w:lineRule="auto"/>
              <w:jc w:val="center"/>
              <w:rPr>
                <w:noProof/>
              </w:rPr>
            </w:pPr>
            <w:r>
              <w:rPr>
                <w:noProof/>
              </w:rPr>
              <w:t>2026</w:t>
            </w:r>
          </w:p>
        </w:tc>
        <w:tc>
          <w:tcPr>
            <w:tcW w:w="3544" w:type="dxa"/>
            <w:shd w:val="clear" w:color="auto" w:fill="C6EFCE"/>
            <w:noWrap/>
          </w:tcPr>
          <w:p w14:paraId="096B412C" w14:textId="77777777" w:rsidR="00E42B18" w:rsidRDefault="009629C4">
            <w:pPr>
              <w:pStyle w:val="P68B1DB1-Normal12"/>
              <w:spacing w:line="276" w:lineRule="auto"/>
              <w:rPr>
                <w:noProof/>
              </w:rPr>
            </w:pPr>
            <w:r>
              <w:rPr>
                <w:noProof/>
              </w:rPr>
              <w:t>Täytäntöönpanosopimus tulee voimaan.</w:t>
            </w:r>
          </w:p>
        </w:tc>
      </w:tr>
      <w:tr w:rsidR="00E42B18" w14:paraId="6229C269" w14:textId="77777777" w:rsidTr="007F4B94">
        <w:trPr>
          <w:trHeight w:val="300"/>
        </w:trPr>
        <w:tc>
          <w:tcPr>
            <w:tcW w:w="1134" w:type="dxa"/>
            <w:shd w:val="clear" w:color="auto" w:fill="C6EFCE"/>
            <w:noWrap/>
            <w:vAlign w:val="center"/>
          </w:tcPr>
          <w:p w14:paraId="614D8A59" w14:textId="1EDF46AA" w:rsidR="00E42B18" w:rsidRDefault="009629C4">
            <w:pPr>
              <w:pStyle w:val="P68B1DB1-Normal11"/>
              <w:spacing w:line="276" w:lineRule="auto"/>
              <w:jc w:val="center"/>
              <w:rPr>
                <w:noProof/>
              </w:rPr>
            </w:pPr>
            <w:r>
              <w:rPr>
                <w:noProof/>
              </w:rPr>
              <w:t>M2C4–40</w:t>
            </w:r>
          </w:p>
        </w:tc>
        <w:tc>
          <w:tcPr>
            <w:tcW w:w="1736" w:type="dxa"/>
            <w:shd w:val="clear" w:color="auto" w:fill="C6EFCE"/>
            <w:noWrap/>
            <w:vAlign w:val="center"/>
          </w:tcPr>
          <w:p w14:paraId="76C1650D" w14:textId="4D58067D" w:rsidR="00E42B18" w:rsidRDefault="009629C4">
            <w:pPr>
              <w:pStyle w:val="P68B1DB1-Normal11"/>
              <w:spacing w:line="276" w:lineRule="auto"/>
              <w:jc w:val="center"/>
              <w:rPr>
                <w:noProof/>
              </w:rPr>
            </w:pPr>
            <w:r>
              <w:rPr>
                <w:noProof/>
              </w:rPr>
              <w:t xml:space="preserve">Investointi 4,5 </w:t>
            </w:r>
            <w:r>
              <w:rPr>
                <w:noProof/>
              </w:rPr>
              <w:br/>
              <w:t>Tukijärjestelmä vesi-infrastruktuureihin tehtäviä investointeja varten</w:t>
            </w:r>
          </w:p>
        </w:tc>
        <w:tc>
          <w:tcPr>
            <w:tcW w:w="1261" w:type="dxa"/>
            <w:shd w:val="clear" w:color="auto" w:fill="C6EFCE"/>
            <w:noWrap/>
            <w:vAlign w:val="center"/>
          </w:tcPr>
          <w:p w14:paraId="744E9310" w14:textId="77777777" w:rsidR="00E42B18" w:rsidRDefault="009629C4">
            <w:pPr>
              <w:pStyle w:val="P68B1DB1-Normal11"/>
              <w:spacing w:line="276" w:lineRule="auto"/>
              <w:jc w:val="center"/>
              <w:rPr>
                <w:noProof/>
              </w:rPr>
            </w:pPr>
            <w:r>
              <w:rPr>
                <w:noProof/>
              </w:rPr>
              <w:t>T</w:t>
            </w:r>
          </w:p>
        </w:tc>
        <w:tc>
          <w:tcPr>
            <w:tcW w:w="1365" w:type="dxa"/>
            <w:shd w:val="clear" w:color="auto" w:fill="C6EFCE"/>
            <w:noWrap/>
            <w:vAlign w:val="center"/>
          </w:tcPr>
          <w:p w14:paraId="056CCA06" w14:textId="77777777" w:rsidR="00E42B18" w:rsidRDefault="009629C4">
            <w:pPr>
              <w:pStyle w:val="P68B1DB1-Normal11"/>
              <w:spacing w:line="276" w:lineRule="auto"/>
              <w:jc w:val="center"/>
              <w:rPr>
                <w:noProof/>
              </w:rPr>
            </w:pPr>
            <w:r>
              <w:rPr>
                <w:noProof/>
              </w:rPr>
              <w:t>Lopullisten edunsaajien kanssa allekirjoitetut oikeudelliset sopimukset ja investoinnin loppuun saattaminen</w:t>
            </w:r>
          </w:p>
        </w:tc>
        <w:tc>
          <w:tcPr>
            <w:tcW w:w="1264" w:type="dxa"/>
            <w:shd w:val="clear" w:color="auto" w:fill="C6EFCE"/>
            <w:noWrap/>
            <w:vAlign w:val="center"/>
          </w:tcPr>
          <w:p w14:paraId="398EE960" w14:textId="77777777" w:rsidR="00E42B18" w:rsidRDefault="009629C4">
            <w:pPr>
              <w:pStyle w:val="P68B1DB1-Normal11"/>
              <w:spacing w:line="276" w:lineRule="auto"/>
              <w:jc w:val="center"/>
              <w:rPr>
                <w:noProof/>
              </w:rPr>
            </w:pPr>
            <w:r>
              <w:rPr>
                <w:noProof/>
              </w:rPr>
              <w:t>EI OLE</w:t>
            </w:r>
          </w:p>
        </w:tc>
        <w:tc>
          <w:tcPr>
            <w:tcW w:w="1055" w:type="dxa"/>
            <w:shd w:val="clear" w:color="auto" w:fill="C6EFCE"/>
            <w:noWrap/>
          </w:tcPr>
          <w:p w14:paraId="3A9BCD42" w14:textId="77777777" w:rsidR="00E42B18" w:rsidRDefault="009629C4">
            <w:pPr>
              <w:pStyle w:val="P68B1DB1-Normal11"/>
              <w:spacing w:line="276" w:lineRule="auto"/>
              <w:jc w:val="center"/>
              <w:rPr>
                <w:noProof/>
              </w:rPr>
            </w:pPr>
            <w:r>
              <w:rPr>
                <w:noProof/>
              </w:rPr>
              <w:t>Prosenttiosuus (%)</w:t>
            </w:r>
          </w:p>
        </w:tc>
        <w:tc>
          <w:tcPr>
            <w:tcW w:w="946" w:type="dxa"/>
            <w:shd w:val="clear" w:color="auto" w:fill="C6EFCE"/>
            <w:noWrap/>
          </w:tcPr>
          <w:p w14:paraId="061E3E76" w14:textId="77777777" w:rsidR="00E42B18" w:rsidRDefault="009629C4">
            <w:pPr>
              <w:pStyle w:val="P68B1DB1-Normal11"/>
              <w:spacing w:line="276" w:lineRule="auto"/>
              <w:jc w:val="center"/>
              <w:rPr>
                <w:noProof/>
              </w:rPr>
            </w:pPr>
            <w:r>
              <w:rPr>
                <w:noProof/>
              </w:rPr>
              <w:t>0 %</w:t>
            </w:r>
          </w:p>
        </w:tc>
        <w:tc>
          <w:tcPr>
            <w:tcW w:w="1000" w:type="dxa"/>
            <w:shd w:val="clear" w:color="auto" w:fill="C6EFCE"/>
            <w:noWrap/>
          </w:tcPr>
          <w:p w14:paraId="514EF468" w14:textId="77777777" w:rsidR="00E42B18" w:rsidRDefault="009629C4">
            <w:pPr>
              <w:pStyle w:val="P68B1DB1-Normal11"/>
              <w:spacing w:line="276" w:lineRule="auto"/>
              <w:jc w:val="center"/>
              <w:rPr>
                <w:noProof/>
              </w:rPr>
            </w:pPr>
            <w:r>
              <w:rPr>
                <w:noProof/>
              </w:rPr>
              <w:t>100 %</w:t>
            </w:r>
          </w:p>
        </w:tc>
        <w:tc>
          <w:tcPr>
            <w:tcW w:w="809" w:type="dxa"/>
            <w:shd w:val="clear" w:color="auto" w:fill="C6EFCE"/>
            <w:noWrap/>
          </w:tcPr>
          <w:p w14:paraId="5D0314D1" w14:textId="77777777" w:rsidR="00E42B18" w:rsidRDefault="009629C4">
            <w:pPr>
              <w:pStyle w:val="P68B1DB1-Normal11"/>
              <w:spacing w:line="276" w:lineRule="auto"/>
              <w:jc w:val="center"/>
              <w:rPr>
                <w:noProof/>
              </w:rPr>
            </w:pPr>
            <w:r>
              <w:rPr>
                <w:noProof/>
              </w:rPr>
              <w:t>Q2</w:t>
            </w:r>
          </w:p>
        </w:tc>
        <w:tc>
          <w:tcPr>
            <w:tcW w:w="770" w:type="dxa"/>
            <w:shd w:val="clear" w:color="auto" w:fill="C6EFCE"/>
            <w:noWrap/>
          </w:tcPr>
          <w:p w14:paraId="5A428A5D" w14:textId="77777777" w:rsidR="00E42B18" w:rsidRDefault="009629C4">
            <w:pPr>
              <w:pStyle w:val="P68B1DB1-Normal11"/>
              <w:spacing w:line="276" w:lineRule="auto"/>
              <w:jc w:val="center"/>
              <w:rPr>
                <w:noProof/>
              </w:rPr>
            </w:pPr>
            <w:r>
              <w:rPr>
                <w:noProof/>
              </w:rPr>
              <w:t>2026</w:t>
            </w:r>
          </w:p>
        </w:tc>
        <w:tc>
          <w:tcPr>
            <w:tcW w:w="3544" w:type="dxa"/>
            <w:shd w:val="clear" w:color="auto" w:fill="C6EFCE"/>
            <w:noWrap/>
          </w:tcPr>
          <w:p w14:paraId="45C2F5F7" w14:textId="77777777" w:rsidR="00E42B18" w:rsidRDefault="009629C4">
            <w:pPr>
              <w:pStyle w:val="P68B1DB1-Normal12"/>
              <w:spacing w:line="276" w:lineRule="auto"/>
              <w:rPr>
                <w:noProof/>
              </w:rPr>
            </w:pPr>
            <w:r>
              <w:rPr>
                <w:noProof/>
              </w:rPr>
              <w:t>Invitalia S.p.A. on tehnyt lopullisten edunsaajien kanssa oikeudellisia avustussopimuksia määrästä, joka tarvitaan, jotta elpymis- ja palautumistukivälineen investoinneista voidaan käyttää 100 prosenttia järjestelmään (hallinnointipalkkiot huomioon ottaen). Vähintään 40 prosentilla tästä rahoituksesta on edistettävä ilmastotavoitteita elpymis- ja palautumistukivälinettä koskevan asetuksen liitteessä VI esitetyn menetelmän mukaisesti.</w:t>
            </w:r>
          </w:p>
          <w:p w14:paraId="6362D8F3" w14:textId="5433CEF9" w:rsidR="00E42B18" w:rsidRDefault="009629C4">
            <w:pPr>
              <w:pStyle w:val="P68B1DB1-Normal12"/>
              <w:spacing w:line="276" w:lineRule="auto"/>
              <w:rPr>
                <w:noProof/>
              </w:rPr>
            </w:pPr>
            <w:r>
              <w:rPr>
                <w:noProof/>
              </w:rPr>
              <w:t>Italia siirtää 1200000000 euroa Invitalia S.p.A:lle tukivälinettä varten.</w:t>
            </w:r>
          </w:p>
        </w:tc>
      </w:tr>
    </w:tbl>
    <w:p w14:paraId="771411B4" w14:textId="77777777" w:rsidR="00E42B18" w:rsidRDefault="00E42B18">
      <w:pPr>
        <w:rPr>
          <w:noProof/>
        </w:rPr>
      </w:pPr>
    </w:p>
    <w:p w14:paraId="752DDF9B" w14:textId="77777777" w:rsidR="00E42B18" w:rsidRDefault="009629C4">
      <w:pPr>
        <w:pStyle w:val="P68B1DB1-Heading23"/>
        <w:ind w:left="1080"/>
        <w:rPr>
          <w:noProof/>
        </w:rPr>
      </w:pPr>
      <w:r>
        <w:rPr>
          <w:noProof/>
        </w:rPr>
        <w:t>H. MISSION 3 KOMPONENTTI 1: Kestävä liikenneinfrastruktuuri</w:t>
      </w:r>
    </w:p>
    <w:p w14:paraId="7BE8374A" w14:textId="77777777" w:rsidR="00E42B18" w:rsidRDefault="00E42B18">
      <w:pPr>
        <w:spacing w:before="120" w:after="120"/>
        <w:jc w:val="both"/>
        <w:rPr>
          <w:rFonts w:ascii="Times New Roman" w:eastAsia="Times New Roman" w:hAnsi="Times New Roman" w:cs="Times New Roman"/>
          <w:noProof/>
          <w:color w:val="000000" w:themeColor="text1"/>
        </w:rPr>
      </w:pPr>
    </w:p>
    <w:p w14:paraId="169E0700" w14:textId="77777777" w:rsidR="00E42B18" w:rsidRDefault="009629C4">
      <w:pPr>
        <w:pStyle w:val="P68B1DB1-Heading39"/>
        <w:ind w:left="850" w:hanging="850"/>
        <w:rPr>
          <w:b/>
          <w:bCs/>
          <w:i/>
          <w:iCs/>
          <w:noProof/>
          <w:color w:val="156082" w:themeColor="accent1"/>
          <w:u w:val="single"/>
        </w:rPr>
      </w:pPr>
      <w:r>
        <w:rPr>
          <w:b/>
          <w:noProof/>
          <w:u w:val="single"/>
        </w:rPr>
        <w:t xml:space="preserve">H.1 </w:t>
      </w:r>
      <w:r>
        <w:rPr>
          <w:noProof/>
        </w:rPr>
        <w:t xml:space="preserve"> </w:t>
      </w:r>
      <w:r>
        <w:rPr>
          <w:b/>
          <w:noProof/>
          <w:u w:val="single"/>
        </w:rPr>
        <w:t>Kuvaus uudistuksista ja investoinneista, joita rahoitetaan rahoitustuella, jota ei makseta takaisin</w:t>
      </w:r>
    </w:p>
    <w:p w14:paraId="477F3AE1" w14:textId="77777777" w:rsidR="00E42B18" w:rsidRDefault="009629C4">
      <w:pPr>
        <w:pStyle w:val="P68B1DB1-Normal28"/>
        <w:spacing w:before="120" w:after="120"/>
        <w:jc w:val="both"/>
        <w:rPr>
          <w:noProof/>
        </w:rPr>
      </w:pPr>
      <w:r>
        <w:rPr>
          <w:noProof/>
        </w:rPr>
        <w:t>EI OLE</w:t>
      </w:r>
    </w:p>
    <w:p w14:paraId="7702A632" w14:textId="77777777" w:rsidR="00E42B18" w:rsidRDefault="009629C4">
      <w:pPr>
        <w:pStyle w:val="P68B1DB1-Heading39"/>
        <w:ind w:left="850" w:hanging="850"/>
        <w:rPr>
          <w:b/>
          <w:bCs/>
          <w:i/>
          <w:iCs/>
          <w:noProof/>
          <w:u w:val="single"/>
        </w:rPr>
      </w:pPr>
      <w:r>
        <w:rPr>
          <w:b/>
          <w:noProof/>
          <w:u w:val="single"/>
        </w:rPr>
        <w:t xml:space="preserve">H.2 </w:t>
      </w:r>
      <w:r>
        <w:rPr>
          <w:noProof/>
        </w:rPr>
        <w:t xml:space="preserve"> </w:t>
      </w:r>
      <w:r>
        <w:rPr>
          <w:b/>
          <w:noProof/>
          <w:u w:val="single"/>
        </w:rPr>
        <w:t>Seurantaa ja täytäntöönpanoa koskevat välitavoitteet, tavoitteet, indikaattorit ja aikataulu – rahoitustuki, jota ei makseta takaisin</w:t>
      </w:r>
    </w:p>
    <w:p w14:paraId="3BAED1E9" w14:textId="77777777" w:rsidR="00E42B18" w:rsidRDefault="009629C4">
      <w:pPr>
        <w:pStyle w:val="P68B1DB1-Normal26"/>
        <w:spacing w:before="120" w:after="120"/>
        <w:jc w:val="both"/>
        <w:rPr>
          <w:noProof/>
        </w:rPr>
      </w:pPr>
      <w:r>
        <w:rPr>
          <w:noProof/>
        </w:rPr>
        <w:t>EI OLE</w:t>
      </w:r>
    </w:p>
    <w:p w14:paraId="3CB7BA53" w14:textId="77777777" w:rsidR="00E42B18" w:rsidRDefault="00E42B18">
      <w:pPr>
        <w:spacing w:before="120" w:after="120"/>
        <w:ind w:left="709"/>
        <w:jc w:val="both"/>
        <w:rPr>
          <w:noProof/>
        </w:rPr>
        <w:sectPr w:rsidR="00E42B18" w:rsidSect="00726CF9">
          <w:headerReference w:type="even" r:id="rId134"/>
          <w:headerReference w:type="default" r:id="rId135"/>
          <w:footerReference w:type="even" r:id="rId136"/>
          <w:footerReference w:type="default" r:id="rId137"/>
          <w:headerReference w:type="first" r:id="rId138"/>
          <w:footerReference w:type="first" r:id="rId139"/>
          <w:pgSz w:w="16838" w:h="11906" w:orient="landscape"/>
          <w:pgMar w:top="1440" w:right="1440" w:bottom="1440" w:left="1440" w:header="708" w:footer="708" w:gutter="0"/>
          <w:cols w:space="708"/>
          <w:docGrid w:linePitch="360"/>
        </w:sectPr>
      </w:pPr>
    </w:p>
    <w:p w14:paraId="6F73E475" w14:textId="77777777" w:rsidR="00E42B18" w:rsidRDefault="009629C4">
      <w:pPr>
        <w:pStyle w:val="P68B1DB1-Heading39"/>
        <w:ind w:left="850" w:hanging="850"/>
        <w:rPr>
          <w:b/>
          <w:bCs/>
          <w:i/>
          <w:iCs/>
          <w:noProof/>
          <w:color w:val="156082" w:themeColor="accent1"/>
          <w:u w:val="single"/>
        </w:rPr>
      </w:pPr>
      <w:r>
        <w:rPr>
          <w:b/>
          <w:noProof/>
          <w:u w:val="single"/>
        </w:rPr>
        <w:t xml:space="preserve">H.3 </w:t>
      </w:r>
      <w:r>
        <w:rPr>
          <w:noProof/>
        </w:rPr>
        <w:t xml:space="preserve"> </w:t>
      </w:r>
      <w:r>
        <w:rPr>
          <w:b/>
          <w:noProof/>
          <w:u w:val="single"/>
        </w:rPr>
        <w:t xml:space="preserve">Kuvaus lainamuotoisella tuella rahoitettavista uudistuksista ja investoinneista </w:t>
      </w:r>
    </w:p>
    <w:p w14:paraId="4C104255" w14:textId="77777777" w:rsidR="00E42B18" w:rsidRDefault="009629C4">
      <w:pPr>
        <w:pStyle w:val="P68B1DB1-Normal7"/>
        <w:spacing w:before="120" w:after="120"/>
        <w:jc w:val="both"/>
        <w:rPr>
          <w:noProof/>
        </w:rPr>
      </w:pPr>
      <w:r>
        <w:rPr>
          <w:noProof/>
        </w:rPr>
        <w:t>Tähän komponenttiin tehtävillä investoinneilla tuetaan rautatieinfrastruktuurin (suurnopeus, tavaraliikenne, alueelliset rautatiet, Euroopan rautatieliikenteen hallintajärjestelmä) käyttöönottoa. Niihin liittyy uudistuksia, joilla nopeutetaan rautatieinfrastruktuuri-investointeja ja parannetaan tieinfrastruktuurin laatua. Liiketoimintaympäristön uudistusta koskeva osa-alue sisältää toimenpiteen, jolla alueille luodaan lisäkannustimia alueellisten rautateiden julkisia palveluhankintoja koskevien sopimusten kilpailuttamiseen. Tämä komponentti sisältää toimenpiteitä, joilla kehitetään vedyn käyttöä rautateillä.</w:t>
      </w:r>
    </w:p>
    <w:p w14:paraId="26CD8B06" w14:textId="77777777" w:rsidR="00E42B18" w:rsidRDefault="009629C4">
      <w:pPr>
        <w:pStyle w:val="P68B1DB1-Normal7"/>
        <w:spacing w:before="120" w:after="120"/>
        <w:jc w:val="both"/>
        <w:rPr>
          <w:noProof/>
        </w:rPr>
      </w:pPr>
      <w:r>
        <w:rPr>
          <w:noProof/>
        </w:rPr>
        <w:t>Tällä osa-alueella tuetaan vuoden 2019 maakohtaiseen suositukseen 3, jossa Italiaa kehotetaan kohdentamaan investointeihin liittyvää talouspolitiikkaa [...] infrastruktuurin laadun osalta ottaen huomioon alueelliset erot, ja vuoden 2020 maakohtaiseen suositukseen 3, joka koskee toteutusvalmiita julkisia investointihankkeita, sekä vihreään ja digitaaliseen siirtymään, erityisesti puhtaaseen ja tehokkaaseen energian tuotantoon ja käyttöön, tutkimukseen ja innovointiin, kestävään julkiseen liikenteeseen, jäte- ja vesihuoltoon sekä vahvistettuun digitaaliseen infrastruktuuriin keskeisten palvelujen tarjoamisen varmistamiseksi, vastaamiseksi annettavaa tukea.</w:t>
      </w:r>
    </w:p>
    <w:p w14:paraId="365B3E58" w14:textId="44FDCE30" w:rsidR="00E42B18" w:rsidRDefault="009629C4">
      <w:pPr>
        <w:pStyle w:val="P68B1DB1-Normal7"/>
        <w:spacing w:before="120" w:after="120"/>
        <w:jc w:val="both"/>
        <w:rPr>
          <w:noProof/>
        </w:rPr>
      </w:pPr>
      <w:r>
        <w:rPr>
          <w:noProof/>
        </w:rPr>
        <w:t xml:space="preserve">Minkään tämän komponentin toimenpiteen ei odoteta aiheuttavan asetuksen (EU) 2020/852 17 artiklassa tarkoitettua merkittävää haittaa ympäristötavoitteille, kun otetaan huomioon ”ei merkittävää haittaa” -periaatteen soveltamista koskevien teknisten ohjeiden (2021/C58/01) mukaiset elpymis- ja palautumissuunnitelmassa esitettyjen toimenpiteiden kuvaus ja lieventävät toimet. </w:t>
      </w:r>
    </w:p>
    <w:p w14:paraId="657395A6" w14:textId="77777777" w:rsidR="00E42B18" w:rsidRDefault="009629C4">
      <w:pPr>
        <w:pStyle w:val="P68B1DB1-Normal5"/>
        <w:spacing w:before="120" w:after="120"/>
        <w:jc w:val="both"/>
        <w:rPr>
          <w:bCs/>
          <w:noProof/>
        </w:rPr>
      </w:pPr>
      <w:r>
        <w:rPr>
          <w:noProof/>
        </w:rPr>
        <w:t xml:space="preserve">Uudistus 1.1 – Infrastruktuuri- ja liikenneministeriön ja rataverkon haltijan </w:t>
      </w:r>
      <w:r>
        <w:rPr>
          <w:i/>
          <w:noProof/>
        </w:rPr>
        <w:t>Rete Ferroviaria Italianan</w:t>
      </w:r>
      <w:r>
        <w:rPr>
          <w:noProof/>
        </w:rPr>
        <w:t xml:space="preserve"> välisen sopimuksen hyväksymisprosessin nopeuttaminen</w:t>
      </w:r>
    </w:p>
    <w:p w14:paraId="1E40FFC9" w14:textId="77777777" w:rsidR="00E42B18" w:rsidRDefault="009629C4">
      <w:pPr>
        <w:pStyle w:val="P68B1DB1-Normal7"/>
        <w:spacing w:before="120" w:after="120"/>
        <w:jc w:val="both"/>
        <w:rPr>
          <w:noProof/>
        </w:rPr>
      </w:pPr>
      <w:r>
        <w:rPr>
          <w:noProof/>
        </w:rPr>
        <w:t xml:space="preserve">Uudistuksessa poistetaan vaatimus, jonka mukaan parlamentin valiokuntien on annettava lausunto rautatieinfrastruktuurin haltijan </w:t>
      </w:r>
      <w:r>
        <w:rPr>
          <w:i/>
          <w:noProof/>
        </w:rPr>
        <w:t>Rete Ferroviaria Italianan Contratti di Programman (CdP) investointiluettelosta</w:t>
      </w:r>
      <w:r>
        <w:rPr>
          <w:noProof/>
        </w:rPr>
        <w:t>. Parlamentin valiokunnat antavat lausunnon strategisesta investointiohjelmasta.</w:t>
      </w:r>
    </w:p>
    <w:p w14:paraId="3EA18CE0" w14:textId="77777777" w:rsidR="00E42B18" w:rsidRDefault="009629C4">
      <w:pPr>
        <w:pStyle w:val="P68B1DB1-Normal5"/>
        <w:spacing w:before="120" w:after="120"/>
        <w:jc w:val="both"/>
        <w:rPr>
          <w:bCs/>
          <w:noProof/>
        </w:rPr>
      </w:pPr>
      <w:r>
        <w:rPr>
          <w:noProof/>
        </w:rPr>
        <w:t>Uudistus 1.2 – Hankkeiden lupamenettelyn nopeuttaminen</w:t>
      </w:r>
    </w:p>
    <w:p w14:paraId="56A63275" w14:textId="77777777" w:rsidR="00E42B18" w:rsidRDefault="009629C4">
      <w:pPr>
        <w:pStyle w:val="P68B1DB1-Normal7"/>
        <w:spacing w:before="120" w:after="120"/>
        <w:jc w:val="both"/>
        <w:rPr>
          <w:noProof/>
        </w:rPr>
      </w:pPr>
      <w:r>
        <w:rPr>
          <w:noProof/>
        </w:rPr>
        <w:t>Uudistuksessa hyväksytään lainsäädäntöä, joka mahdollistaa töiden sijainnin ennakoimisen taloudellisen teknisen toteutettavuushankkeen (PFTE) yhteydessä sen sijaan, että odotettaisiin hankkeen lopullista suunnitteluvaihetta. Lisälupia, joita ei voida hankkia PFTE:ltä, hankittaisiin hankkeen myöhemmissä suunnitteluvaiheissa kutsumatta koolle ”Conferenza dei Serviziä” laista nro 241/1990 poiketen. Nämä muutokset lyhentävät hankkeiden hyväksymisaikaa 11 kuukaudesta kuuteen kuukauteen.</w:t>
      </w:r>
    </w:p>
    <w:p w14:paraId="40EA9E7A" w14:textId="77777777" w:rsidR="00E42B18" w:rsidRDefault="009629C4">
      <w:pPr>
        <w:pStyle w:val="P68B1DB1-Normal5"/>
        <w:spacing w:before="120" w:after="120" w:line="276" w:lineRule="auto"/>
        <w:jc w:val="both"/>
        <w:rPr>
          <w:noProof/>
        </w:rPr>
      </w:pPr>
      <w:r>
        <w:rPr>
          <w:noProof/>
        </w:rPr>
        <w:t>Uudistus 1.3 – Rautatieinfrastruktuurin tehostaminen Italiassa</w:t>
      </w:r>
    </w:p>
    <w:p w14:paraId="03CE7E59" w14:textId="2CCC6F55" w:rsidR="00E42B18" w:rsidRDefault="009629C4">
      <w:pPr>
        <w:pStyle w:val="paragraph"/>
        <w:spacing w:before="0" w:beforeAutospacing="0" w:after="0" w:afterAutospacing="0" w:line="276" w:lineRule="auto"/>
        <w:jc w:val="both"/>
        <w:textAlignment w:val="baseline"/>
        <w:rPr>
          <w:rFonts w:eastAsiaTheme="minorEastAsia"/>
          <w:noProof/>
        </w:rPr>
      </w:pPr>
      <w:r>
        <w:rPr>
          <w:rStyle w:val="normaltextrun"/>
          <w:rFonts w:eastAsiaTheme="majorEastAsia"/>
          <w:noProof/>
        </w:rPr>
        <w:t xml:space="preserve">Uudistuksella pyritään lisäämään kilpailua alueellisilla ja kaupunkien välisillä rautatieliikennemarkkinoilla, parantamaan rautateiden ja verkkojen infrastruktuurisuunnittelua </w:t>
      </w:r>
      <w:r>
        <w:rPr>
          <w:noProof/>
        </w:rPr>
        <w:t xml:space="preserve"> </w:t>
      </w:r>
      <w:r>
        <w:rPr>
          <w:rStyle w:val="normaltextrun"/>
          <w:rFonts w:eastAsiaTheme="majorEastAsia"/>
          <w:noProof/>
        </w:rPr>
        <w:t xml:space="preserve">ja ottamaan käyttöön rautateiden infrastruktuurin hallinnan ja investointien suorituskyvyn mittaaminen. </w:t>
      </w:r>
      <w:r>
        <w:rPr>
          <w:rStyle w:val="eop"/>
          <w:noProof/>
        </w:rPr>
        <w:t xml:space="preserve"> Uudistus koostuu primaari- ja sekundaarilainsäädännön</w:t>
      </w:r>
      <w:r>
        <w:rPr>
          <w:noProof/>
        </w:rPr>
        <w:t xml:space="preserve"> hyväksymisestä sekä liikkuvaa kalustoyhtiötä (ROSCO) koskevien säädösten hyväksymisestä.</w:t>
      </w:r>
    </w:p>
    <w:p w14:paraId="23D1CF83" w14:textId="77777777" w:rsidR="00E42B18" w:rsidRDefault="009629C4">
      <w:pPr>
        <w:pStyle w:val="P68B1DB1-Normal5"/>
        <w:spacing w:before="120" w:after="120"/>
        <w:jc w:val="both"/>
        <w:rPr>
          <w:noProof/>
        </w:rPr>
      </w:pPr>
      <w:r>
        <w:rPr>
          <w:noProof/>
        </w:rPr>
        <w:t>Investointi 1.1 – Suurinopeuksiset rautatieyhteydet etelään matkustajia ja rahtia varten</w:t>
      </w:r>
    </w:p>
    <w:p w14:paraId="43128A63" w14:textId="77777777" w:rsidR="00E42B18" w:rsidRDefault="009629C4">
      <w:pPr>
        <w:pStyle w:val="P68B1DB1-Normal7"/>
        <w:spacing w:before="120" w:after="120"/>
        <w:jc w:val="both"/>
        <w:rPr>
          <w:noProof/>
        </w:rPr>
      </w:pPr>
      <w:r>
        <w:rPr>
          <w:noProof/>
        </w:rPr>
        <w:t xml:space="preserve">Investoinnin tavoitteena on laajentaa Italian rautatieinfrastruktuuria. Investointi koostuu 114 kilometrin pituisen suurnopeusratainfrastruktuurin rakentamisesta matkustajille ja tavaraliikenteelle radoilla Napoli-Bari, Salerno-Reggio Calabria ja Palermo-Catania. </w:t>
      </w:r>
    </w:p>
    <w:p w14:paraId="3953E1D7" w14:textId="77777777" w:rsidR="00E42B18" w:rsidRDefault="009629C4">
      <w:pPr>
        <w:pStyle w:val="P68B1DB1-Normal5"/>
        <w:spacing w:before="120" w:after="120"/>
        <w:jc w:val="both"/>
        <w:rPr>
          <w:noProof/>
        </w:rPr>
      </w:pPr>
      <w:r>
        <w:rPr>
          <w:noProof/>
        </w:rPr>
        <w:t>Investointi 1.2 – Korkeanopeuksiset radat pohjoisessa muuhun Eurooppaan</w:t>
      </w:r>
    </w:p>
    <w:p w14:paraId="620BC1D5" w14:textId="77777777" w:rsidR="00E42B18" w:rsidRDefault="009629C4">
      <w:pPr>
        <w:pStyle w:val="P68B1DB1-Normal7"/>
        <w:spacing w:before="120" w:after="120"/>
        <w:jc w:val="both"/>
        <w:rPr>
          <w:noProof/>
        </w:rPr>
      </w:pPr>
      <w:r>
        <w:rPr>
          <w:noProof/>
        </w:rPr>
        <w:t xml:space="preserve">Investoinnin tavoitteena on laajentaa Italian rautatieinfrastruktuuria. Investointi koostuu 158 kilometrin pituisen matkustaja- ja tavaraliikenteen suurnopeusratainfrastruktuurin rakentamisesta radoilla Brescia-Verona-Vicenza-Padova, Liguria-Alpi. </w:t>
      </w:r>
    </w:p>
    <w:p w14:paraId="7D1F2BF7" w14:textId="77777777" w:rsidR="00E42B18" w:rsidRDefault="009629C4">
      <w:pPr>
        <w:pStyle w:val="P68B1DB1-Normal7"/>
        <w:rPr>
          <w:b/>
          <w:noProof/>
        </w:rPr>
      </w:pPr>
      <w:r>
        <w:rPr>
          <w:noProof/>
        </w:rPr>
        <w:br w:type="page"/>
      </w:r>
    </w:p>
    <w:p w14:paraId="7817E237" w14:textId="629805B0" w:rsidR="00E42B18" w:rsidRDefault="009629C4">
      <w:pPr>
        <w:pStyle w:val="P68B1DB1-Normal5"/>
        <w:spacing w:before="120" w:after="120"/>
        <w:jc w:val="both"/>
        <w:rPr>
          <w:noProof/>
        </w:rPr>
      </w:pPr>
      <w:r>
        <w:rPr>
          <w:noProof/>
        </w:rPr>
        <w:t>Investointi 1.3 – Diagonaaliyhteydet</w:t>
      </w:r>
    </w:p>
    <w:p w14:paraId="474E5004" w14:textId="77777777" w:rsidR="00E42B18" w:rsidRDefault="009629C4">
      <w:pPr>
        <w:pStyle w:val="P68B1DB1-Normal7"/>
        <w:spacing w:before="120" w:after="120"/>
        <w:jc w:val="both"/>
        <w:rPr>
          <w:noProof/>
        </w:rPr>
      </w:pPr>
      <w:r>
        <w:rPr>
          <w:noProof/>
        </w:rPr>
        <w:t xml:space="preserve">Investoinnin tavoitteena on laajentaa Italian rautatieinfrastruktuuria. Investointi koostuu 15 kilometrin pituisen matkustaja- ja tavaraliikenteen suurnopeusrautateiden rakentamisesta radoille Orte-Falconara ja Taranto-Metaponto-Potenza-Battipaglia. </w:t>
      </w:r>
    </w:p>
    <w:p w14:paraId="226082FF" w14:textId="77777777" w:rsidR="00E42B18" w:rsidRDefault="009629C4">
      <w:pPr>
        <w:pStyle w:val="P68B1DB1-Normal5"/>
        <w:spacing w:before="120" w:after="120"/>
        <w:jc w:val="both"/>
        <w:rPr>
          <w:noProof/>
        </w:rPr>
      </w:pPr>
      <w:r>
        <w:rPr>
          <w:noProof/>
        </w:rPr>
        <w:t>Investointi 1.4 – Euroopan rautatieliikenteen hallintajärjestelmä (ERTMS)</w:t>
      </w:r>
    </w:p>
    <w:p w14:paraId="16422355" w14:textId="388E6601" w:rsidR="00E42B18" w:rsidRDefault="009629C4">
      <w:pPr>
        <w:pStyle w:val="P68B1DB1-Normal7"/>
        <w:spacing w:before="120" w:after="120"/>
        <w:jc w:val="both"/>
        <w:rPr>
          <w:noProof/>
        </w:rPr>
      </w:pPr>
      <w:r>
        <w:rPr>
          <w:noProof/>
        </w:rPr>
        <w:t>Investoinnin tavoitteena on edistää Italian rautatieinfrastruktuurin mukauttamista eurooppalaisiin yhteentoimivuusstandardeihin. Investointi koostuu siitä, että 2785 kilometriä rautateitä varustetaan Euroopan rautatieliikenteen hallintajärjestelmällä (ERTMS) infrastruktuurin ja teknologian tasolla, joka on yhdenmukainen Euroopan komissiolle ilmoitetun Italian ERTMS:n käyttöönottosuunnitelman kanssa. .</w:t>
      </w:r>
    </w:p>
    <w:p w14:paraId="02522E54" w14:textId="77777777" w:rsidR="00E42B18" w:rsidRDefault="009629C4">
      <w:pPr>
        <w:pStyle w:val="P68B1DB1-Normal5"/>
        <w:spacing w:before="120" w:after="120"/>
        <w:jc w:val="both"/>
        <w:rPr>
          <w:noProof/>
        </w:rPr>
      </w:pPr>
      <w:r>
        <w:rPr>
          <w:noProof/>
        </w:rPr>
        <w:t>Investointi 1.8 – Rautatieasemien parantaminen (</w:t>
      </w:r>
      <w:r>
        <w:rPr>
          <w:i/>
          <w:noProof/>
        </w:rPr>
        <w:t>Rete Ferroviaria Italianan (RFI)</w:t>
      </w:r>
      <w:r>
        <w:rPr>
          <w:noProof/>
        </w:rPr>
        <w:t xml:space="preserve"> hallinnointi; etelässä)</w:t>
      </w:r>
    </w:p>
    <w:p w14:paraId="02DD1A29" w14:textId="49EC068F" w:rsidR="00E42B18" w:rsidRDefault="009629C4">
      <w:pPr>
        <w:pStyle w:val="P68B1DB1-Normal7"/>
        <w:spacing w:before="120" w:after="120"/>
        <w:jc w:val="both"/>
        <w:rPr>
          <w:noProof/>
        </w:rPr>
      </w:pPr>
      <w:r>
        <w:rPr>
          <w:noProof/>
        </w:rPr>
        <w:t>Investoinnin tavoitteena on tehdä rautatieasemista esteettömiä vammaisille ja liikuntarajoitteisille henkilöille. Investointi koostuu 38 rautatieaseman parantamisesta.</w:t>
      </w:r>
    </w:p>
    <w:p w14:paraId="7741523C" w14:textId="77777777" w:rsidR="00E42B18" w:rsidRDefault="009629C4">
      <w:pPr>
        <w:pStyle w:val="P68B1DB1-Normal5"/>
        <w:spacing w:before="120" w:after="120"/>
        <w:jc w:val="both"/>
        <w:rPr>
          <w:noProof/>
        </w:rPr>
      </w:pPr>
      <w:r>
        <w:rPr>
          <w:noProof/>
        </w:rPr>
        <w:t>Investointi 1.10 – Suurkaupunkialueiden solmukohtien ja alueellisten rautatielinjojen vahvistaminen</w:t>
      </w:r>
    </w:p>
    <w:p w14:paraId="1FFCC29C" w14:textId="341F5CD8" w:rsidR="00E42B18" w:rsidRDefault="009629C4">
      <w:pPr>
        <w:pStyle w:val="P68B1DB1-Normal7"/>
        <w:spacing w:before="120" w:after="120"/>
        <w:jc w:val="both"/>
        <w:rPr>
          <w:noProof/>
        </w:rPr>
      </w:pPr>
      <w:r>
        <w:rPr>
          <w:noProof/>
        </w:rPr>
        <w:t xml:space="preserve">Investoinnin tavoitteena on parantaa Italian alueidenvälisten ja alueellisten rautatielinjojen laatua. Investoinnilla parannetaan vähintään 3309 kilometriä rautateitä, joista 1162 kilometriä etelässä. Tähän toimenpiteeseen kuuluvat hankkeet voivat saada tukea muista EU:n ohjelmista. </w:t>
      </w:r>
    </w:p>
    <w:p w14:paraId="3EC299FD" w14:textId="77777777" w:rsidR="00E42B18" w:rsidRDefault="009629C4">
      <w:pPr>
        <w:pStyle w:val="P68B1DB1-Normal5"/>
        <w:spacing w:before="120" w:after="120"/>
        <w:jc w:val="both"/>
        <w:rPr>
          <w:bCs/>
          <w:noProof/>
        </w:rPr>
      </w:pPr>
      <w:r>
        <w:rPr>
          <w:noProof/>
        </w:rPr>
        <w:t>Uudistus 2.1 – Suuntaviivat riskien luokittelua ja hallintaa, turvallisuuden arviointia ja olemassa olevien siltojen seurantaa varten</w:t>
      </w:r>
    </w:p>
    <w:p w14:paraId="4A9A450B" w14:textId="77777777" w:rsidR="00E42B18" w:rsidRDefault="009629C4">
      <w:pPr>
        <w:pStyle w:val="P68B1DB1-Normal7"/>
        <w:spacing w:before="120" w:after="120"/>
        <w:jc w:val="both"/>
        <w:rPr>
          <w:noProof/>
        </w:rPr>
      </w:pPr>
      <w:r>
        <w:rPr>
          <w:noProof/>
        </w:rPr>
        <w:t>Uudistuksessa hyväksytään suuntaviivat riskien luokittelua ja hallintaa, turvallisuuden arviointia ja olemassa olevien siltojen seurantaa varten. ”Suuntaviivat”, jotka mahdollistavat yhteisten standardien ja menetelmien soveltamisen koko kansallisessa tieverkossa.</w:t>
      </w:r>
    </w:p>
    <w:p w14:paraId="1B579170" w14:textId="77777777" w:rsidR="00E42B18" w:rsidRDefault="009629C4">
      <w:pPr>
        <w:pStyle w:val="P68B1DB1-Normal5"/>
        <w:spacing w:before="120" w:after="120"/>
        <w:jc w:val="both"/>
        <w:rPr>
          <w:bCs/>
          <w:noProof/>
        </w:rPr>
      </w:pPr>
      <w:r>
        <w:rPr>
          <w:noProof/>
        </w:rPr>
        <w:t>Uudistus 2.2 – Siirtojen ja putkijohtojen omaisuuden siirtäminen alemman tason teistä ylemmän tason teihin</w:t>
      </w:r>
    </w:p>
    <w:p w14:paraId="5365E6DA" w14:textId="77777777" w:rsidR="00E42B18" w:rsidRDefault="009629C4">
      <w:pPr>
        <w:pStyle w:val="P68B1DB1-Normal7"/>
        <w:spacing w:before="120" w:after="120" w:line="300" w:lineRule="atLeast"/>
        <w:jc w:val="both"/>
        <w:rPr>
          <w:noProof/>
        </w:rPr>
      </w:pPr>
      <w:r>
        <w:rPr>
          <w:noProof/>
        </w:rPr>
        <w:t>Uudistuksessa siltojen, läpijohtojen ja yliväylien omistus siirretään alemman tyyppisistä teistä ylemmäntyyppisille teille (moottoritiet ja esikaupunkien päätiet), mikä lisää tieverkon yleistä turvallisuutta, sillä ANAS:n ja/tai moottoritien toimiluvan haltijoiden on ylläpidettävä siltoja, kauttakulkukanavia ja yliväyliä, joilla on paremmat suunnittelu- ja kunnossapitovalmiudet kuin yksittäisillä kunnilla tai maakunnissa.</w:t>
      </w:r>
    </w:p>
    <w:p w14:paraId="09733262" w14:textId="77777777" w:rsidR="00E42B18" w:rsidRDefault="00E42B18">
      <w:pPr>
        <w:spacing w:before="120" w:after="120" w:line="300" w:lineRule="atLeast"/>
        <w:jc w:val="both"/>
        <w:rPr>
          <w:rFonts w:ascii="Times New Roman" w:hAnsi="Times New Roman" w:cs="Times New Roman"/>
          <w:noProof/>
        </w:rPr>
        <w:sectPr w:rsidR="00E42B18" w:rsidSect="005F11B9">
          <w:headerReference w:type="even" r:id="rId140"/>
          <w:headerReference w:type="default" r:id="rId141"/>
          <w:footerReference w:type="even" r:id="rId142"/>
          <w:footerReference w:type="default" r:id="rId143"/>
          <w:headerReference w:type="first" r:id="rId144"/>
          <w:footerReference w:type="first" r:id="rId145"/>
          <w:pgSz w:w="11907" w:h="16839"/>
          <w:pgMar w:top="1134" w:right="1134" w:bottom="1134" w:left="1134" w:header="567" w:footer="567" w:gutter="0"/>
          <w:cols w:space="720"/>
          <w:docGrid w:linePitch="360"/>
        </w:sectPr>
      </w:pPr>
    </w:p>
    <w:p w14:paraId="23609206" w14:textId="77777777" w:rsidR="00E42B18" w:rsidRDefault="009629C4">
      <w:pPr>
        <w:pStyle w:val="P68B1DB1-Heading39"/>
        <w:ind w:left="850" w:hanging="850"/>
        <w:rPr>
          <w:b/>
          <w:bCs/>
          <w:i/>
          <w:iCs/>
          <w:noProof/>
          <w:u w:val="single"/>
        </w:rPr>
      </w:pPr>
      <w:r>
        <w:rPr>
          <w:b/>
          <w:noProof/>
          <w:u w:val="single"/>
        </w:rPr>
        <w:t xml:space="preserve">H.4 </w:t>
      </w:r>
      <w:r>
        <w:rPr>
          <w:noProof/>
        </w:rPr>
        <w:t xml:space="preserve"> </w:t>
      </w:r>
      <w:r>
        <w:rPr>
          <w:b/>
          <w:noProof/>
          <w:u w:val="single"/>
        </w:rPr>
        <w:t xml:space="preserve">Lainamuotoisen tuen seurantaa ja täytäntöönpanoa koskevat välitavoitteet, tavoitteet, indikaattorit ja aikataulu </w:t>
      </w:r>
    </w:p>
    <w:tbl>
      <w:tblPr>
        <w:tblW w:w="1528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512"/>
        <w:gridCol w:w="1235"/>
        <w:gridCol w:w="1373"/>
        <w:gridCol w:w="1504"/>
        <w:gridCol w:w="966"/>
        <w:gridCol w:w="1101"/>
        <w:gridCol w:w="832"/>
        <w:gridCol w:w="829"/>
        <w:gridCol w:w="829"/>
        <w:gridCol w:w="4005"/>
      </w:tblGrid>
      <w:tr w:rsidR="00E42B18" w14:paraId="6A5A54A1" w14:textId="77777777">
        <w:trPr>
          <w:trHeight w:val="939"/>
          <w:tblHeader/>
          <w:jc w:val="right"/>
        </w:trPr>
        <w:tc>
          <w:tcPr>
            <w:tcW w:w="1095" w:type="dxa"/>
            <w:vMerge w:val="restart"/>
            <w:shd w:val="clear" w:color="auto" w:fill="BDD7EE"/>
            <w:vAlign w:val="center"/>
            <w:hideMark/>
          </w:tcPr>
          <w:p w14:paraId="4ACEC167" w14:textId="77777777" w:rsidR="00E42B18" w:rsidRDefault="009629C4">
            <w:pPr>
              <w:pStyle w:val="P68B1DB1-Normal10"/>
              <w:jc w:val="center"/>
              <w:rPr>
                <w:noProof/>
                <w:szCs w:val="20"/>
              </w:rPr>
            </w:pPr>
            <w:r>
              <w:rPr>
                <w:noProof/>
              </w:rPr>
              <w:t>Väestönumero</w:t>
            </w:r>
          </w:p>
        </w:tc>
        <w:tc>
          <w:tcPr>
            <w:tcW w:w="1512" w:type="dxa"/>
            <w:vMerge w:val="restart"/>
            <w:shd w:val="clear" w:color="auto" w:fill="BDD7EE"/>
            <w:vAlign w:val="center"/>
            <w:hideMark/>
          </w:tcPr>
          <w:p w14:paraId="78DE625C" w14:textId="77777777" w:rsidR="00E42B18" w:rsidRDefault="009629C4">
            <w:pPr>
              <w:pStyle w:val="P68B1DB1-Normal10"/>
              <w:jc w:val="center"/>
              <w:rPr>
                <w:noProof/>
                <w:szCs w:val="20"/>
              </w:rPr>
            </w:pPr>
            <w:r>
              <w:rPr>
                <w:noProof/>
              </w:rPr>
              <w:t>Toimenpide (uudistus tai investointi)</w:t>
            </w:r>
          </w:p>
        </w:tc>
        <w:tc>
          <w:tcPr>
            <w:tcW w:w="1235" w:type="dxa"/>
            <w:vMerge w:val="restart"/>
            <w:shd w:val="clear" w:color="auto" w:fill="BDD7EE"/>
            <w:vAlign w:val="center"/>
            <w:hideMark/>
          </w:tcPr>
          <w:p w14:paraId="06704A61" w14:textId="77777777" w:rsidR="00E42B18" w:rsidRDefault="009629C4">
            <w:pPr>
              <w:pStyle w:val="P68B1DB1-Normal10"/>
              <w:jc w:val="center"/>
              <w:rPr>
                <w:noProof/>
                <w:szCs w:val="20"/>
              </w:rPr>
            </w:pPr>
            <w:r>
              <w:rPr>
                <w:noProof/>
              </w:rPr>
              <w:t>Välitavoite/tavoite</w:t>
            </w:r>
          </w:p>
        </w:tc>
        <w:tc>
          <w:tcPr>
            <w:tcW w:w="1373" w:type="dxa"/>
            <w:vMerge w:val="restart"/>
            <w:shd w:val="clear" w:color="auto" w:fill="BDD7EE"/>
            <w:vAlign w:val="center"/>
            <w:hideMark/>
          </w:tcPr>
          <w:p w14:paraId="1CE20E88" w14:textId="77777777" w:rsidR="00E42B18" w:rsidRDefault="009629C4">
            <w:pPr>
              <w:pStyle w:val="P68B1DB1-Normal10"/>
              <w:jc w:val="center"/>
              <w:rPr>
                <w:noProof/>
                <w:szCs w:val="20"/>
              </w:rPr>
            </w:pPr>
            <w:r>
              <w:rPr>
                <w:noProof/>
              </w:rPr>
              <w:t>Nimi</w:t>
            </w:r>
          </w:p>
        </w:tc>
        <w:tc>
          <w:tcPr>
            <w:tcW w:w="1504" w:type="dxa"/>
            <w:vMerge w:val="restart"/>
            <w:shd w:val="clear" w:color="auto" w:fill="BDD7EE"/>
            <w:vAlign w:val="center"/>
            <w:hideMark/>
          </w:tcPr>
          <w:p w14:paraId="27544017" w14:textId="7777777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2899" w:type="dxa"/>
            <w:gridSpan w:val="3"/>
            <w:shd w:val="clear" w:color="auto" w:fill="BDD7EE"/>
            <w:vAlign w:val="center"/>
            <w:hideMark/>
          </w:tcPr>
          <w:p w14:paraId="662B6D2C"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658" w:type="dxa"/>
            <w:gridSpan w:val="2"/>
            <w:shd w:val="clear" w:color="auto" w:fill="BDD7EE"/>
            <w:vAlign w:val="center"/>
            <w:hideMark/>
          </w:tcPr>
          <w:p w14:paraId="2B082161" w14:textId="77777777" w:rsidR="00E42B18" w:rsidRDefault="009629C4">
            <w:pPr>
              <w:pStyle w:val="P68B1DB1-Normal10"/>
              <w:jc w:val="center"/>
              <w:rPr>
                <w:noProof/>
                <w:szCs w:val="20"/>
              </w:rPr>
            </w:pPr>
            <w:r>
              <w:rPr>
                <w:noProof/>
              </w:rPr>
              <w:t>Alustava toteutusaikataulu</w:t>
            </w:r>
          </w:p>
        </w:tc>
        <w:tc>
          <w:tcPr>
            <w:tcW w:w="4005" w:type="dxa"/>
            <w:vMerge w:val="restart"/>
            <w:shd w:val="clear" w:color="auto" w:fill="BDD7EE"/>
            <w:vAlign w:val="center"/>
            <w:hideMark/>
          </w:tcPr>
          <w:p w14:paraId="71F54B65" w14:textId="77777777" w:rsidR="00E42B18" w:rsidRDefault="009629C4">
            <w:pPr>
              <w:pStyle w:val="P68B1DB1-Normal10"/>
              <w:jc w:val="center"/>
              <w:rPr>
                <w:noProof/>
                <w:szCs w:val="20"/>
              </w:rPr>
            </w:pPr>
            <w:r>
              <w:rPr>
                <w:noProof/>
              </w:rPr>
              <w:t>Kunkin välitavoitteen ja tavoitteen kuvaus</w:t>
            </w:r>
          </w:p>
        </w:tc>
      </w:tr>
      <w:tr w:rsidR="00E42B18" w14:paraId="2013418F" w14:textId="77777777">
        <w:trPr>
          <w:trHeight w:val="598"/>
          <w:tblHeader/>
          <w:jc w:val="right"/>
        </w:trPr>
        <w:tc>
          <w:tcPr>
            <w:tcW w:w="1095" w:type="dxa"/>
            <w:vMerge/>
            <w:vAlign w:val="center"/>
            <w:hideMark/>
          </w:tcPr>
          <w:p w14:paraId="266D96E8" w14:textId="77777777" w:rsidR="00E42B18" w:rsidRDefault="00E42B18">
            <w:pPr>
              <w:jc w:val="center"/>
              <w:rPr>
                <w:rFonts w:ascii="Arial Narrow" w:hAnsi="Arial Narrow"/>
                <w:b/>
                <w:bCs/>
                <w:noProof/>
                <w:sz w:val="20"/>
                <w:szCs w:val="20"/>
              </w:rPr>
            </w:pPr>
          </w:p>
        </w:tc>
        <w:tc>
          <w:tcPr>
            <w:tcW w:w="1512" w:type="dxa"/>
            <w:vMerge/>
            <w:vAlign w:val="center"/>
            <w:hideMark/>
          </w:tcPr>
          <w:p w14:paraId="554303C5" w14:textId="77777777" w:rsidR="00E42B18" w:rsidRDefault="00E42B18">
            <w:pPr>
              <w:jc w:val="center"/>
              <w:rPr>
                <w:rFonts w:ascii="Arial Narrow" w:hAnsi="Arial Narrow"/>
                <w:b/>
                <w:bCs/>
                <w:noProof/>
                <w:sz w:val="20"/>
                <w:szCs w:val="20"/>
              </w:rPr>
            </w:pPr>
          </w:p>
        </w:tc>
        <w:tc>
          <w:tcPr>
            <w:tcW w:w="1235" w:type="dxa"/>
            <w:vMerge/>
            <w:vAlign w:val="center"/>
            <w:hideMark/>
          </w:tcPr>
          <w:p w14:paraId="06F46CF8" w14:textId="77777777" w:rsidR="00E42B18" w:rsidRDefault="00E42B18">
            <w:pPr>
              <w:jc w:val="center"/>
              <w:rPr>
                <w:rFonts w:ascii="Arial Narrow" w:hAnsi="Arial Narrow"/>
                <w:b/>
                <w:bCs/>
                <w:noProof/>
                <w:sz w:val="20"/>
                <w:szCs w:val="20"/>
              </w:rPr>
            </w:pPr>
          </w:p>
        </w:tc>
        <w:tc>
          <w:tcPr>
            <w:tcW w:w="1373" w:type="dxa"/>
            <w:vMerge/>
            <w:vAlign w:val="center"/>
            <w:hideMark/>
          </w:tcPr>
          <w:p w14:paraId="6A0515BF" w14:textId="77777777" w:rsidR="00E42B18" w:rsidRDefault="00E42B18">
            <w:pPr>
              <w:jc w:val="center"/>
              <w:rPr>
                <w:rFonts w:ascii="Arial Narrow" w:hAnsi="Arial Narrow"/>
                <w:b/>
                <w:bCs/>
                <w:noProof/>
                <w:sz w:val="20"/>
                <w:szCs w:val="20"/>
              </w:rPr>
            </w:pPr>
          </w:p>
        </w:tc>
        <w:tc>
          <w:tcPr>
            <w:tcW w:w="1504" w:type="dxa"/>
            <w:vMerge/>
            <w:vAlign w:val="center"/>
            <w:hideMark/>
          </w:tcPr>
          <w:p w14:paraId="60202E4E" w14:textId="77777777" w:rsidR="00E42B18" w:rsidRDefault="00E42B18">
            <w:pPr>
              <w:jc w:val="center"/>
              <w:rPr>
                <w:rFonts w:ascii="Arial Narrow" w:hAnsi="Arial Narrow"/>
                <w:b/>
                <w:bCs/>
                <w:noProof/>
                <w:sz w:val="20"/>
                <w:szCs w:val="20"/>
              </w:rPr>
            </w:pPr>
          </w:p>
        </w:tc>
        <w:tc>
          <w:tcPr>
            <w:tcW w:w="966" w:type="dxa"/>
            <w:shd w:val="clear" w:color="auto" w:fill="BDD7EE"/>
            <w:vAlign w:val="center"/>
            <w:hideMark/>
          </w:tcPr>
          <w:p w14:paraId="4D9D5215" w14:textId="77777777" w:rsidR="00E42B18" w:rsidRDefault="009629C4">
            <w:pPr>
              <w:pStyle w:val="P68B1DB1-Normal10"/>
              <w:jc w:val="center"/>
              <w:rPr>
                <w:noProof/>
                <w:szCs w:val="20"/>
              </w:rPr>
            </w:pPr>
            <w:r>
              <w:rPr>
                <w:noProof/>
              </w:rPr>
              <w:t>Mitta-yksikkö</w:t>
            </w:r>
          </w:p>
        </w:tc>
        <w:tc>
          <w:tcPr>
            <w:tcW w:w="1101" w:type="dxa"/>
            <w:shd w:val="clear" w:color="auto" w:fill="BDD7EE"/>
            <w:vAlign w:val="center"/>
            <w:hideMark/>
          </w:tcPr>
          <w:p w14:paraId="2762D11D" w14:textId="77777777" w:rsidR="00E42B18" w:rsidRDefault="009629C4">
            <w:pPr>
              <w:pStyle w:val="P68B1DB1-Normal10"/>
              <w:jc w:val="center"/>
              <w:rPr>
                <w:noProof/>
                <w:szCs w:val="20"/>
              </w:rPr>
            </w:pPr>
            <w:r>
              <w:rPr>
                <w:noProof/>
              </w:rPr>
              <w:t>Lähtötilanne</w:t>
            </w:r>
          </w:p>
        </w:tc>
        <w:tc>
          <w:tcPr>
            <w:tcW w:w="832" w:type="dxa"/>
            <w:shd w:val="clear" w:color="auto" w:fill="BDD7EE"/>
            <w:vAlign w:val="center"/>
            <w:hideMark/>
          </w:tcPr>
          <w:p w14:paraId="14FD0514" w14:textId="77777777" w:rsidR="00E42B18" w:rsidRDefault="009629C4">
            <w:pPr>
              <w:pStyle w:val="P68B1DB1-Normal10"/>
              <w:jc w:val="center"/>
              <w:rPr>
                <w:noProof/>
                <w:szCs w:val="20"/>
              </w:rPr>
            </w:pPr>
            <w:r>
              <w:rPr>
                <w:noProof/>
              </w:rPr>
              <w:t>Päämäärä</w:t>
            </w:r>
          </w:p>
        </w:tc>
        <w:tc>
          <w:tcPr>
            <w:tcW w:w="829" w:type="dxa"/>
            <w:shd w:val="clear" w:color="auto" w:fill="BDD7EE"/>
            <w:vAlign w:val="center"/>
            <w:hideMark/>
          </w:tcPr>
          <w:p w14:paraId="49B884F1" w14:textId="77777777" w:rsidR="00E42B18" w:rsidRDefault="009629C4">
            <w:pPr>
              <w:pStyle w:val="P68B1DB1-Normal10"/>
              <w:jc w:val="center"/>
              <w:rPr>
                <w:noProof/>
                <w:szCs w:val="20"/>
              </w:rPr>
            </w:pPr>
            <w:r>
              <w:rPr>
                <w:noProof/>
              </w:rPr>
              <w:t>Neljännes</w:t>
            </w:r>
          </w:p>
        </w:tc>
        <w:tc>
          <w:tcPr>
            <w:tcW w:w="829" w:type="dxa"/>
            <w:shd w:val="clear" w:color="auto" w:fill="BDD7EE"/>
            <w:vAlign w:val="center"/>
            <w:hideMark/>
          </w:tcPr>
          <w:p w14:paraId="46D0DFA0" w14:textId="77777777" w:rsidR="00E42B18" w:rsidRDefault="009629C4">
            <w:pPr>
              <w:pStyle w:val="P68B1DB1-Normal10"/>
              <w:jc w:val="center"/>
              <w:rPr>
                <w:noProof/>
                <w:szCs w:val="20"/>
              </w:rPr>
            </w:pPr>
            <w:r>
              <w:rPr>
                <w:noProof/>
              </w:rPr>
              <w:t>Vuosi</w:t>
            </w:r>
          </w:p>
        </w:tc>
        <w:tc>
          <w:tcPr>
            <w:tcW w:w="4005" w:type="dxa"/>
            <w:vMerge/>
            <w:vAlign w:val="center"/>
            <w:hideMark/>
          </w:tcPr>
          <w:p w14:paraId="561FE14E" w14:textId="77777777" w:rsidR="00E42B18" w:rsidRDefault="00E42B18">
            <w:pPr>
              <w:jc w:val="center"/>
              <w:rPr>
                <w:rFonts w:ascii="Arial Narrow" w:hAnsi="Arial Narrow"/>
                <w:b/>
                <w:bCs/>
                <w:noProof/>
                <w:sz w:val="20"/>
                <w:szCs w:val="20"/>
              </w:rPr>
            </w:pPr>
          </w:p>
        </w:tc>
      </w:tr>
      <w:tr w:rsidR="00E42B18" w14:paraId="084A348F" w14:textId="77777777">
        <w:trPr>
          <w:trHeight w:val="2818"/>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C6C4B9" w14:textId="77777777" w:rsidR="00E42B18" w:rsidRDefault="009629C4">
            <w:pPr>
              <w:pStyle w:val="P68B1DB1-Normal11"/>
              <w:jc w:val="center"/>
              <w:rPr>
                <w:noProof/>
                <w:szCs w:val="20"/>
              </w:rPr>
            </w:pPr>
            <w:r>
              <w:rPr>
                <w:noProof/>
              </w:rPr>
              <w:t>M3C1–1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5A267" w14:textId="77777777" w:rsidR="00E42B18" w:rsidRDefault="009629C4">
            <w:pPr>
              <w:pStyle w:val="P68B1DB1-Normal11"/>
              <w:jc w:val="center"/>
              <w:rPr>
                <w:noProof/>
                <w:szCs w:val="20"/>
              </w:rPr>
            </w:pPr>
            <w:r>
              <w:rPr>
                <w:noProof/>
              </w:rPr>
              <w:t>Uudistus 1.1 – MIT:n ja RFI:n välisen sopimuksen hyväksymisprosessin nopeuttaminen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E44845" w14:textId="77777777" w:rsidR="00E42B18" w:rsidRDefault="009629C4">
            <w:pPr>
              <w:pStyle w:val="P68B1DB1-Normal11"/>
              <w:jc w:val="center"/>
              <w:rPr>
                <w:noProof/>
                <w:szCs w:val="20"/>
              </w:rPr>
            </w:pPr>
            <w:r>
              <w:rPr>
                <w:noProof/>
              </w:rPr>
              <w:t>Virstanpylväs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56CD6" w14:textId="77777777" w:rsidR="00E42B18" w:rsidRDefault="009629C4">
            <w:pPr>
              <w:pStyle w:val="P68B1DB1-Normal11"/>
              <w:jc w:val="center"/>
              <w:rPr>
                <w:noProof/>
                <w:szCs w:val="20"/>
              </w:rPr>
            </w:pPr>
            <w:r>
              <w:rPr>
                <w:noProof/>
              </w:rPr>
              <w:t>Contratti di Programman (CdP) hyväksymismenettelyä koskevan lainsäädäntömuutoksen voimaantulo</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1D2B8D" w14:textId="77777777" w:rsidR="00E42B18" w:rsidRDefault="009629C4">
            <w:pPr>
              <w:pStyle w:val="P68B1DB1-Normal11"/>
              <w:jc w:val="center"/>
              <w:rPr>
                <w:noProof/>
                <w:szCs w:val="20"/>
              </w:rPr>
            </w:pPr>
            <w:r>
              <w:rPr>
                <w:noProof/>
              </w:rPr>
              <w:t>Lakiin sisältyvä säännös, joka koskee Contratti di Programman hyväksymismenettelyä koskevan lakimuutoksen voimaantuloa</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1CA9F3" w14:textId="77777777" w:rsidR="00E42B18" w:rsidRDefault="009629C4">
            <w:pPr>
              <w:pStyle w:val="P68B1DB1-Normal11"/>
              <w:jc w:val="center"/>
              <w:rPr>
                <w:noProof/>
                <w:szCs w:val="20"/>
              </w:rPr>
            </w:pPr>
            <w:r>
              <w:rPr>
                <w:noProof/>
              </w:rPr>
              <w:t>EI OLE</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B08E11" w14:textId="77777777" w:rsidR="00E42B18" w:rsidRDefault="009629C4">
            <w:pPr>
              <w:pStyle w:val="P68B1DB1-Normal11"/>
              <w:jc w:val="center"/>
              <w:rPr>
                <w:noProof/>
                <w:szCs w:val="20"/>
              </w:rPr>
            </w:pPr>
            <w:r>
              <w:rPr>
                <w:noProof/>
              </w:rPr>
              <w:t>EI OLE</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470441" w14:textId="77777777" w:rsidR="00E42B18" w:rsidRDefault="009629C4">
            <w:pPr>
              <w:pStyle w:val="P68B1DB1-Normal11"/>
              <w:jc w:val="center"/>
              <w:rPr>
                <w:noProof/>
                <w:szCs w:val="20"/>
              </w:rPr>
            </w:pPr>
            <w:r>
              <w:rPr>
                <w:noProof/>
              </w:rPr>
              <w:t>EI OLE</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7B28E7" w14:textId="77777777" w:rsidR="00E42B18" w:rsidRDefault="009629C4">
            <w:pPr>
              <w:pStyle w:val="P68B1DB1-Normal11"/>
              <w:jc w:val="center"/>
              <w:rPr>
                <w:noProof/>
                <w:szCs w:val="20"/>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DCDFFD" w14:textId="77777777" w:rsidR="00E42B18" w:rsidRDefault="009629C4">
            <w:pPr>
              <w:pStyle w:val="P68B1DB1-Normal11"/>
              <w:jc w:val="center"/>
              <w:rPr>
                <w:noProof/>
                <w:szCs w:val="20"/>
              </w:rPr>
            </w:pPr>
            <w:r>
              <w:rPr>
                <w:noProof/>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89BDFB" w14:textId="77777777" w:rsidR="00E42B18" w:rsidRDefault="009629C4">
            <w:pPr>
              <w:pStyle w:val="P68B1DB1-ListParagraph15"/>
              <w:ind w:left="40"/>
              <w:rPr>
                <w:noProof/>
                <w:szCs w:val="20"/>
              </w:rPr>
            </w:pPr>
            <w:r>
              <w:rPr>
                <w:noProof/>
              </w:rPr>
              <w:t xml:space="preserve">Lainsäädäntömuutoksella lyhennetään </w:t>
            </w:r>
            <w:r>
              <w:rPr>
                <w:i/>
                <w:noProof/>
              </w:rPr>
              <w:t>Rete Ferroviaria Italianan</w:t>
            </w:r>
            <w:r>
              <w:rPr>
                <w:noProof/>
              </w:rPr>
              <w:t xml:space="preserve"> rataverkon haltijan Contratti di Programman (CdP) hyväksymisprosessiin kuluvaa aikaa.</w:t>
            </w:r>
          </w:p>
        </w:tc>
      </w:tr>
      <w:tr w:rsidR="00E42B18" w14:paraId="2AC90816" w14:textId="77777777">
        <w:trPr>
          <w:trHeight w:val="3100"/>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CEF46B" w14:textId="77777777" w:rsidR="00E42B18" w:rsidRDefault="009629C4">
            <w:pPr>
              <w:pStyle w:val="P68B1DB1-Normal11"/>
              <w:jc w:val="center"/>
              <w:rPr>
                <w:noProof/>
                <w:szCs w:val="20"/>
              </w:rPr>
            </w:pPr>
            <w:r>
              <w:rPr>
                <w:noProof/>
              </w:rPr>
              <w:t>M3C1–2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375A1" w14:textId="77777777" w:rsidR="00E42B18" w:rsidRDefault="009629C4">
            <w:pPr>
              <w:pStyle w:val="P68B1DB1-Normal11"/>
              <w:jc w:val="center"/>
              <w:rPr>
                <w:noProof/>
                <w:szCs w:val="20"/>
              </w:rPr>
            </w:pPr>
            <w:r>
              <w:rPr>
                <w:noProof/>
              </w:rPr>
              <w:t>Uudistus 1.2 – Hankkeiden lupamenettelyn nopeuttaminen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446347" w14:textId="77777777" w:rsidR="00E42B18" w:rsidRDefault="009629C4">
            <w:pPr>
              <w:pStyle w:val="P68B1DB1-Normal11"/>
              <w:jc w:val="center"/>
              <w:rPr>
                <w:noProof/>
                <w:szCs w:val="20"/>
              </w:rPr>
            </w:pPr>
            <w:r>
              <w:rPr>
                <w:noProof/>
              </w:rPr>
              <w:t>Virstanpylväs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A160B3" w14:textId="77777777" w:rsidR="00E42B18" w:rsidRDefault="009629C4">
            <w:pPr>
              <w:pStyle w:val="P68B1DB1-Normal11"/>
              <w:jc w:val="center"/>
              <w:rPr>
                <w:noProof/>
                <w:szCs w:val="20"/>
              </w:rPr>
            </w:pPr>
            <w:r>
              <w:rPr>
                <w:noProof/>
              </w:rPr>
              <w:t>Voimaan tulee sääntelymuutos, jolla hankkeiden hyväksymisaika lyhenee 11 kuukaudesta kuuteen kuukauteen</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1079EED" w14:textId="77777777" w:rsidR="00E42B18" w:rsidRDefault="009629C4">
            <w:pPr>
              <w:pStyle w:val="P68B1DB1-Normal11"/>
              <w:jc w:val="center"/>
              <w:rPr>
                <w:noProof/>
                <w:szCs w:val="20"/>
              </w:rPr>
            </w:pPr>
            <w:r>
              <w:rPr>
                <w:noProof/>
              </w:rPr>
              <w:t>Lakiin sisältyvä säännös, jossa ilmoitetaan sellaisen sääntelymuutoksen voimaantulosta, jolla lyhennetään lupa-aikaa 11 kuukaudesta kuuteen kuukauteen.</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68B327" w14:textId="77777777" w:rsidR="00E42B18" w:rsidRDefault="009629C4">
            <w:pPr>
              <w:pStyle w:val="P68B1DB1-Normal11"/>
              <w:jc w:val="center"/>
              <w:rPr>
                <w:noProof/>
                <w:szCs w:val="20"/>
              </w:rPr>
            </w:pPr>
            <w:r>
              <w:rPr>
                <w:noProof/>
              </w:rPr>
              <w:t>EI OLE</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DBCD4" w14:textId="77777777" w:rsidR="00E42B18" w:rsidRDefault="009629C4">
            <w:pPr>
              <w:pStyle w:val="P68B1DB1-Normal11"/>
              <w:jc w:val="center"/>
              <w:rPr>
                <w:noProof/>
                <w:szCs w:val="20"/>
              </w:rPr>
            </w:pPr>
            <w:r>
              <w:rPr>
                <w:noProof/>
              </w:rPr>
              <w:t>EI OLE</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1ECCE" w14:textId="77777777" w:rsidR="00E42B18" w:rsidRDefault="009629C4">
            <w:pPr>
              <w:pStyle w:val="P68B1DB1-Normal11"/>
              <w:jc w:val="center"/>
              <w:rPr>
                <w:noProof/>
                <w:szCs w:val="20"/>
              </w:rPr>
            </w:pPr>
            <w:r>
              <w:rPr>
                <w:noProof/>
              </w:rPr>
              <w:t>EI OLE</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95661DE" w14:textId="77777777" w:rsidR="00E42B18" w:rsidRDefault="009629C4">
            <w:pPr>
              <w:pStyle w:val="P68B1DB1-Normal11"/>
              <w:jc w:val="center"/>
              <w:rPr>
                <w:noProof/>
                <w:szCs w:val="20"/>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F562FB" w14:textId="77777777" w:rsidR="00E42B18" w:rsidRDefault="009629C4">
            <w:pPr>
              <w:pStyle w:val="P68B1DB1-Normal11"/>
              <w:jc w:val="center"/>
              <w:rPr>
                <w:noProof/>
                <w:szCs w:val="20"/>
              </w:rPr>
            </w:pPr>
            <w:r>
              <w:rPr>
                <w:noProof/>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E30F27" w14:textId="77777777" w:rsidR="00E42B18" w:rsidRDefault="009629C4">
            <w:pPr>
              <w:pStyle w:val="P68B1DB1-Normal11"/>
              <w:spacing w:before="100" w:beforeAutospacing="1" w:after="165"/>
              <w:rPr>
                <w:noProof/>
                <w:szCs w:val="20"/>
              </w:rPr>
            </w:pPr>
            <w:r>
              <w:rPr>
                <w:noProof/>
              </w:rPr>
              <w:t>Sääntelymuutoksella lyhennetään hankkeiden hyväksymisaikaa 11 kuukaudesta kuuteen kuukauteen.</w:t>
            </w:r>
          </w:p>
        </w:tc>
      </w:tr>
      <w:tr w:rsidR="00E42B18" w14:paraId="3A237A41" w14:textId="77777777">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480151" w14:textId="77777777" w:rsidR="00E42B18" w:rsidRDefault="009629C4">
            <w:pPr>
              <w:pStyle w:val="P68B1DB1-Normal11"/>
              <w:jc w:val="center"/>
              <w:rPr>
                <w:noProof/>
                <w:szCs w:val="20"/>
              </w:rPr>
            </w:pPr>
            <w:r>
              <w:rPr>
                <w:noProof/>
              </w:rPr>
              <w:t>M3C1–3</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676BA6" w14:textId="77777777" w:rsidR="00E42B18" w:rsidRDefault="009629C4">
            <w:pPr>
              <w:pStyle w:val="P68B1DB1-Normal11"/>
              <w:jc w:val="center"/>
              <w:rPr>
                <w:noProof/>
                <w:szCs w:val="20"/>
              </w:rPr>
            </w:pPr>
            <w:r>
              <w:rPr>
                <w:noProof/>
              </w:rPr>
              <w:t>Investointi 1.1 – Suurinopeuksiset rautatieyhteydet etelään matkustajia ja rahtia varten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999672" w14:textId="77777777" w:rsidR="00E42B18" w:rsidRDefault="009629C4">
            <w:pPr>
              <w:pStyle w:val="P68B1DB1-Normal11"/>
              <w:jc w:val="center"/>
              <w:rPr>
                <w:noProof/>
                <w:szCs w:val="20"/>
              </w:rPr>
            </w:pPr>
            <w:r>
              <w:rPr>
                <w:noProof/>
              </w:rPr>
              <w:t>Virstanpylväs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2D76C5" w14:textId="77777777" w:rsidR="00E42B18" w:rsidRDefault="009629C4">
            <w:pPr>
              <w:pStyle w:val="P68B1DB1-Normal11"/>
              <w:jc w:val="center"/>
              <w:rPr>
                <w:noProof/>
                <w:szCs w:val="20"/>
              </w:rPr>
            </w:pPr>
            <w:r>
              <w:rPr>
                <w:noProof/>
              </w:rPr>
              <w:t>Sopimuksen tekeminen suurnopeusrautateiden rakentamisesta Napoli-Bari- ja Palermo-Catania-radoille</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323803" w14:textId="00F2906F" w:rsidR="00E42B18" w:rsidRDefault="009629C4">
            <w:pPr>
              <w:pStyle w:val="P68B1DB1-Normal11"/>
              <w:jc w:val="center"/>
              <w:rPr>
                <w:noProof/>
                <w:szCs w:val="20"/>
              </w:rPr>
            </w:pPr>
            <w:r>
              <w:rPr>
                <w:noProof/>
              </w:rPr>
              <w:t>Ilmoitus kaikkien suurnopeusrautateiden rakentamista Napoli-Bari- ja Palermo-Catania-raiteille koskevien julkisten hankintasopimusten tekemisestä</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9B99C5" w14:textId="77777777" w:rsidR="00E42B18" w:rsidRDefault="009629C4">
            <w:pPr>
              <w:pStyle w:val="P68B1DB1-Normal11"/>
              <w:jc w:val="center"/>
              <w:rPr>
                <w:noProof/>
                <w:szCs w:val="20"/>
              </w:rPr>
            </w:pPr>
            <w:r>
              <w:rPr>
                <w:noProof/>
              </w:rPr>
              <w:t>EI OLE</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766C366" w14:textId="77777777" w:rsidR="00E42B18" w:rsidRDefault="009629C4">
            <w:pPr>
              <w:pStyle w:val="P68B1DB1-Normal11"/>
              <w:jc w:val="center"/>
              <w:rPr>
                <w:noProof/>
                <w:szCs w:val="20"/>
              </w:rPr>
            </w:pPr>
            <w:r>
              <w:rPr>
                <w:noProof/>
              </w:rPr>
              <w:t>EI OLE</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632008" w14:textId="77777777" w:rsidR="00E42B18" w:rsidRDefault="009629C4">
            <w:pPr>
              <w:pStyle w:val="P68B1DB1-Normal11"/>
              <w:jc w:val="center"/>
              <w:rPr>
                <w:noProof/>
                <w:szCs w:val="20"/>
              </w:rPr>
            </w:pPr>
            <w:r>
              <w:rPr>
                <w:noProof/>
              </w:rPr>
              <w:t>EI OLE</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1D0B609" w14:textId="77777777" w:rsidR="00E42B18" w:rsidRDefault="009629C4">
            <w:pPr>
              <w:pStyle w:val="P68B1DB1-Normal11"/>
              <w:jc w:val="center"/>
              <w:rPr>
                <w:noProof/>
                <w:szCs w:val="20"/>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E45D05" w14:textId="77777777" w:rsidR="00E42B18" w:rsidRDefault="009629C4">
            <w:pPr>
              <w:pStyle w:val="P68B1DB1-Normal11"/>
              <w:jc w:val="center"/>
              <w:rPr>
                <w:noProof/>
                <w:szCs w:val="20"/>
              </w:rPr>
            </w:pPr>
            <w:r>
              <w:rPr>
                <w:noProof/>
              </w:rPr>
              <w:t>2022</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D17C49" w14:textId="77777777" w:rsidR="00E42B18" w:rsidRDefault="009629C4">
            <w:pPr>
              <w:pStyle w:val="P68B1DB1-Normal11"/>
              <w:spacing w:before="120" w:after="120"/>
              <w:rPr>
                <w:noProof/>
                <w:szCs w:val="20"/>
              </w:rPr>
            </w:pPr>
            <w:r>
              <w:rPr>
                <w:noProof/>
              </w:rPr>
              <w:t>Ilmoitus kaikkien suurnopeusrautateiden rakentamista Napoli-Bari- ja Palermo-Catania-raiteille koskevien julkisten hankintasopimusten tekemisestä julkisia hankintoja koskevien sääntöjen mukaisesti</w:t>
            </w:r>
          </w:p>
          <w:p w14:paraId="1499AC8D" w14:textId="77777777" w:rsidR="00E42B18" w:rsidRDefault="009629C4">
            <w:pPr>
              <w:pStyle w:val="P68B1DB1-Normal11"/>
              <w:spacing w:before="120" w:after="120"/>
              <w:rPr>
                <w:noProof/>
                <w:szCs w:val="20"/>
              </w:rPr>
            </w:pPr>
            <w:r>
              <w:rPr>
                <w:noProof/>
              </w:rPr>
              <w:t>Sopimuksessa (sopimuksissa) on viitattava seuraaviin kyseisten kohtien osiin:</w:t>
            </w:r>
          </w:p>
          <w:p w14:paraId="667D6141" w14:textId="77777777" w:rsidR="00E42B18" w:rsidRDefault="009629C4">
            <w:pPr>
              <w:pStyle w:val="P68B1DB1-Normal11"/>
              <w:spacing w:before="120" w:after="120"/>
              <w:rPr>
                <w:noProof/>
                <w:szCs w:val="20"/>
              </w:rPr>
            </w:pPr>
            <w:r>
              <w:rPr>
                <w:noProof/>
              </w:rPr>
              <w:t>Napoli-Bari-linja: Orsara – Bovino</w:t>
            </w:r>
          </w:p>
          <w:p w14:paraId="7308F81E" w14:textId="749B9E28" w:rsidR="00E42B18" w:rsidRDefault="009629C4">
            <w:pPr>
              <w:pStyle w:val="P68B1DB1-Normal11"/>
              <w:spacing w:before="120" w:after="120"/>
              <w:rPr>
                <w:noProof/>
                <w:szCs w:val="20"/>
              </w:rPr>
            </w:pPr>
            <w:r>
              <w:rPr>
                <w:noProof/>
              </w:rPr>
              <w:t>Palermo-Catania-linja: Catenanuova – Dittaino ja Dittaino – Enna</w:t>
            </w:r>
          </w:p>
        </w:tc>
      </w:tr>
      <w:tr w:rsidR="00E42B18" w14:paraId="2BEC294A" w14:textId="77777777">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15E40E" w14:textId="77777777" w:rsidR="00E42B18" w:rsidRDefault="009629C4">
            <w:pPr>
              <w:pStyle w:val="P68B1DB1-Normal11"/>
              <w:jc w:val="center"/>
              <w:rPr>
                <w:noProof/>
                <w:szCs w:val="20"/>
              </w:rPr>
            </w:pPr>
            <w:r>
              <w:rPr>
                <w:noProof/>
              </w:rPr>
              <w:t>M3C1–4</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DAE220" w14:textId="77777777" w:rsidR="00E42B18" w:rsidRDefault="009629C4">
            <w:pPr>
              <w:pStyle w:val="P68B1DB1-Normal11"/>
              <w:jc w:val="center"/>
              <w:rPr>
                <w:noProof/>
                <w:szCs w:val="20"/>
              </w:rPr>
            </w:pPr>
            <w:r>
              <w:rPr>
                <w:noProof/>
              </w:rPr>
              <w:t>Investointi 1.1 – Suurinopeuksiset rautatieyhteydet etelään matkustajia ja rahtia varten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21B4F9" w14:textId="77777777" w:rsidR="00E42B18" w:rsidRDefault="009629C4">
            <w:pPr>
              <w:pStyle w:val="P68B1DB1-Normal11"/>
              <w:jc w:val="center"/>
              <w:rPr>
                <w:noProof/>
                <w:szCs w:val="20"/>
              </w:rPr>
            </w:pPr>
            <w:r>
              <w:rPr>
                <w:noProof/>
              </w:rPr>
              <w:t>Virstanpylväs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289C02" w14:textId="77777777" w:rsidR="00E42B18" w:rsidRDefault="009629C4">
            <w:pPr>
              <w:pStyle w:val="P68B1DB1-Normal11"/>
              <w:jc w:val="center"/>
              <w:rPr>
                <w:noProof/>
                <w:szCs w:val="20"/>
              </w:rPr>
            </w:pPr>
            <w:r>
              <w:rPr>
                <w:noProof/>
              </w:rPr>
              <w:t>Suurten nopeuksien rautatien rakentamista Salerno Reggio Calabria -ratalle koskevan sopimuksen tekeminen</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F5D3C4" w14:textId="110F4857" w:rsidR="00E42B18" w:rsidRDefault="009629C4">
            <w:pPr>
              <w:pStyle w:val="P68B1DB1-Normal14"/>
              <w:jc w:val="center"/>
              <w:rPr>
                <w:noProof/>
                <w:color w:val="006100"/>
                <w:szCs w:val="20"/>
              </w:rPr>
            </w:pPr>
            <w:r>
              <w:rPr>
                <w:noProof/>
                <w:color w:val="006100"/>
              </w:rPr>
              <w:t xml:space="preserve">Ilmoitus monialaisen sopimuksen tekemisestä suurten nopeuksien rautatien rakentamiseksi radalle Salerno-Reggio Calabria </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9C9D446" w14:textId="77777777" w:rsidR="00E42B18" w:rsidRDefault="009629C4">
            <w:pPr>
              <w:pStyle w:val="P68B1DB1-Normal11"/>
              <w:jc w:val="center"/>
              <w:rPr>
                <w:noProof/>
                <w:szCs w:val="20"/>
              </w:rPr>
            </w:pPr>
            <w:r>
              <w:rPr>
                <w:noProof/>
              </w:rPr>
              <w:t>EI OLE</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E18BF9" w14:textId="77777777" w:rsidR="00E42B18" w:rsidRDefault="009629C4">
            <w:pPr>
              <w:pStyle w:val="P68B1DB1-Normal11"/>
              <w:jc w:val="center"/>
              <w:rPr>
                <w:noProof/>
                <w:szCs w:val="20"/>
              </w:rPr>
            </w:pPr>
            <w:r>
              <w:rPr>
                <w:noProof/>
              </w:rPr>
              <w:t>EI OLE</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C3A3C0" w14:textId="77777777" w:rsidR="00E42B18" w:rsidRDefault="009629C4">
            <w:pPr>
              <w:pStyle w:val="P68B1DB1-Normal11"/>
              <w:jc w:val="center"/>
              <w:rPr>
                <w:noProof/>
                <w:szCs w:val="20"/>
              </w:rPr>
            </w:pPr>
            <w:r>
              <w:rPr>
                <w:noProof/>
              </w:rPr>
              <w:t>EI OLE</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56DE3DB" w14:textId="77777777" w:rsidR="00E42B18" w:rsidRDefault="009629C4">
            <w:pPr>
              <w:pStyle w:val="P68B1DB1-Normal11"/>
              <w:jc w:val="center"/>
              <w:rPr>
                <w:noProof/>
                <w:szCs w:val="20"/>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CAF9A3" w14:textId="77777777" w:rsidR="00E42B18" w:rsidRDefault="009629C4">
            <w:pPr>
              <w:pStyle w:val="P68B1DB1-Normal11"/>
              <w:jc w:val="center"/>
              <w:rPr>
                <w:noProof/>
                <w:szCs w:val="20"/>
              </w:rPr>
            </w:pPr>
            <w:r>
              <w:rPr>
                <w:noProof/>
              </w:rPr>
              <w:t>2023</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D7BB15" w14:textId="1256EE86" w:rsidR="00E42B18" w:rsidRDefault="009629C4">
            <w:pPr>
              <w:pStyle w:val="P68B1DB1-Normal11"/>
              <w:spacing w:before="120" w:after="120"/>
              <w:rPr>
                <w:noProof/>
                <w:szCs w:val="20"/>
              </w:rPr>
            </w:pPr>
            <w:r>
              <w:rPr>
                <w:noProof/>
              </w:rPr>
              <w:t>Ilmoitus monialaisen sopimuksen tekemisestä suurten nopeuksien rautatien rakentamiseksi Salerno Reggio Calabria -radalle.</w:t>
            </w:r>
          </w:p>
          <w:p w14:paraId="4B30D870" w14:textId="77777777" w:rsidR="00E42B18" w:rsidRDefault="009629C4">
            <w:pPr>
              <w:pStyle w:val="P68B1DB1-Normal11"/>
              <w:spacing w:before="120" w:after="120"/>
              <w:rPr>
                <w:noProof/>
                <w:szCs w:val="20"/>
              </w:rPr>
            </w:pPr>
            <w:r>
              <w:rPr>
                <w:noProof/>
              </w:rPr>
              <w:t>Sopimus koskee seuraavia tämän budjettikohdan osia: Battipaglia – Romagnano</w:t>
            </w:r>
          </w:p>
        </w:tc>
      </w:tr>
      <w:tr w:rsidR="00E42B18" w14:paraId="6CE22D6D" w14:textId="77777777">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F8C53D" w14:textId="77777777" w:rsidR="00E42B18" w:rsidRDefault="009629C4">
            <w:pPr>
              <w:pStyle w:val="P68B1DB1-Normal11"/>
              <w:jc w:val="center"/>
              <w:rPr>
                <w:noProof/>
              </w:rPr>
            </w:pPr>
            <w:r>
              <w:rPr>
                <w:noProof/>
              </w:rPr>
              <w:t>M3C1–5</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B38854" w14:textId="77777777" w:rsidR="00E42B18" w:rsidRDefault="009629C4">
            <w:pPr>
              <w:pStyle w:val="P68B1DB1-Normal11"/>
              <w:jc w:val="center"/>
              <w:rPr>
                <w:noProof/>
              </w:rPr>
            </w:pPr>
            <w:r>
              <w:rPr>
                <w:noProof/>
              </w:rPr>
              <w:t>Investointi 1.1 – Suurinopeuksiset rautatieyhteydet etelään matkustajia ja rahtia varten </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81F02E" w14:textId="77777777" w:rsidR="00E42B18" w:rsidRDefault="009629C4">
            <w:pPr>
              <w:pStyle w:val="P68B1DB1-Normal11"/>
              <w:jc w:val="center"/>
              <w:rPr>
                <w:noProof/>
              </w:rPr>
            </w:pPr>
            <w:r>
              <w:rPr>
                <w:noProof/>
              </w:rPr>
              <w:t>Kohde</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E803AE" w14:textId="77777777" w:rsidR="00E42B18" w:rsidRDefault="009629C4">
            <w:pPr>
              <w:pStyle w:val="P68B1DB1-Normal11"/>
              <w:jc w:val="center"/>
              <w:rPr>
                <w:noProof/>
              </w:rPr>
            </w:pPr>
            <w:r>
              <w:rPr>
                <w:noProof/>
              </w:rPr>
              <w:t>Suurnopeusrata radoilla Napoli-Bari ja Palermo-Catania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E2046C" w14:textId="77777777" w:rsidR="00E42B18" w:rsidRDefault="009629C4">
            <w:pPr>
              <w:pStyle w:val="P68B1DB1-Normal11"/>
              <w:jc w:val="center"/>
              <w:rPr>
                <w:noProof/>
              </w:rPr>
            </w:pPr>
            <w:r>
              <w:rPr>
                <w:noProof/>
              </w:rPr>
              <w:t>EI OLE</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097BF" w14:textId="77777777" w:rsidR="00E42B18" w:rsidRDefault="009629C4">
            <w:pPr>
              <w:pStyle w:val="P68B1DB1-Normal11"/>
              <w:jc w:val="center"/>
              <w:rPr>
                <w:noProof/>
              </w:rPr>
            </w:pPr>
            <w:r>
              <w:rPr>
                <w:noProof/>
              </w:rPr>
              <w:t>Kilometriä</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5A659B" w14:textId="77777777" w:rsidR="00E42B18" w:rsidRDefault="009629C4">
            <w:pPr>
              <w:pStyle w:val="P68B1DB1-Normal11"/>
              <w:jc w:val="center"/>
              <w:rPr>
                <w:noProof/>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F8E8BE" w14:textId="77777777" w:rsidR="00E42B18" w:rsidRDefault="009629C4">
            <w:pPr>
              <w:pStyle w:val="P68B1DB1-Normal11"/>
              <w:jc w:val="center"/>
              <w:rPr>
                <w:noProof/>
              </w:rPr>
            </w:pPr>
            <w:r>
              <w:rPr>
                <w:noProof/>
              </w:rPr>
              <w:t>41</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057733" w14:textId="77777777" w:rsidR="00E42B18" w:rsidRDefault="009629C4">
            <w:pPr>
              <w:pStyle w:val="P68B1DB1-Normal11"/>
              <w:jc w:val="center"/>
              <w:rPr>
                <w:noProof/>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BA9F84" w14:textId="77777777" w:rsidR="00E42B18" w:rsidRDefault="009629C4">
            <w:pPr>
              <w:pStyle w:val="P68B1DB1-Normal11"/>
              <w:jc w:val="center"/>
              <w:rPr>
                <w:noProof/>
              </w:rPr>
            </w:pPr>
            <w:r>
              <w:rPr>
                <w:noProof/>
              </w:rPr>
              <w:t>2025</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6696F" w14:textId="77777777" w:rsidR="00E42B18" w:rsidRDefault="009629C4">
            <w:pPr>
              <w:pStyle w:val="P68B1DB1-Normal11"/>
              <w:spacing w:before="120" w:after="120"/>
              <w:rPr>
                <w:noProof/>
              </w:rPr>
            </w:pPr>
            <w:r>
              <w:rPr>
                <w:noProof/>
              </w:rPr>
              <w:t>Todistukset 41 kilometrin pituisen suurnopeusradan rakennustöiden valmistumisesta radoilla Napoli-Bari ja Palermo-Catania.</w:t>
            </w:r>
          </w:p>
          <w:p w14:paraId="2887C967" w14:textId="7D820995" w:rsidR="00E42B18" w:rsidRDefault="009629C4">
            <w:pPr>
              <w:pStyle w:val="P68B1DB1-Normal11"/>
              <w:spacing w:before="120" w:after="120"/>
              <w:rPr>
                <w:noProof/>
              </w:rPr>
            </w:pPr>
            <w:r>
              <w:rPr>
                <w:noProof/>
              </w:rPr>
              <w:t xml:space="preserve">41 km on rakennettava seuraaviin segmentteihin: </w:t>
            </w:r>
          </w:p>
          <w:p w14:paraId="7C46347A" w14:textId="77777777" w:rsidR="00E42B18" w:rsidRDefault="009629C4">
            <w:pPr>
              <w:pStyle w:val="P68B1DB1-Normal11"/>
              <w:spacing w:before="120" w:after="120"/>
              <w:rPr>
                <w:noProof/>
              </w:rPr>
            </w:pPr>
            <w:r>
              <w:rPr>
                <w:noProof/>
              </w:rPr>
              <w:t>Bicocca-Catenanuova (Palermo-Catania-linja), 20,3 km, jota koskevat työt on aloitettu 30. syyskuuta 2023 jälkeen.</w:t>
            </w:r>
          </w:p>
          <w:p w14:paraId="2C583823" w14:textId="77777777" w:rsidR="00E42B18" w:rsidRDefault="009629C4">
            <w:pPr>
              <w:pStyle w:val="P68B1DB1-Normal11"/>
              <w:spacing w:before="120" w:after="120"/>
              <w:rPr>
                <w:noProof/>
              </w:rPr>
            </w:pPr>
            <w:r>
              <w:rPr>
                <w:noProof/>
              </w:rPr>
              <w:t>Cancello-Frasso (Napoli-Bari-linja), 7,3 km, jota koskevat työt on aloitettu 30. syyskuuta 2023 jälkeen.</w:t>
            </w:r>
          </w:p>
          <w:p w14:paraId="4F6E6E75" w14:textId="77777777" w:rsidR="00E42B18" w:rsidRDefault="009629C4">
            <w:pPr>
              <w:pStyle w:val="P68B1DB1-Normal11"/>
              <w:spacing w:before="120" w:after="120"/>
              <w:rPr>
                <w:noProof/>
              </w:rPr>
            </w:pPr>
            <w:r>
              <w:rPr>
                <w:noProof/>
              </w:rPr>
              <w:t>Napoli-Cancello (Napoli-Bari-linja), 13,5 km, jota koskevat työt on aloitettu 30. syyskuuta 2023 jälkeen.</w:t>
            </w:r>
          </w:p>
          <w:p w14:paraId="5A904CE1" w14:textId="77777777" w:rsidR="00E42B18" w:rsidRDefault="009629C4">
            <w:pPr>
              <w:pStyle w:val="P68B1DB1-Normal12"/>
              <w:spacing w:before="120" w:after="120"/>
              <w:rPr>
                <w:noProof/>
              </w:rPr>
            </w:pPr>
            <w:r>
              <w:rPr>
                <w:noProof/>
              </w:rPr>
              <w:t>Kunkin asiaankuuluvan hankkeen/investoinnin arvioinnissa ja hyväksynnässä on noudatettava kaikkia EU:n direktiivin 92/43/ETY 6 artiklan 3 ja 6 kohdassa vahvistettuja sääntöjä ja menettelyjä sekä Italian tasavallan virallisessa lehdessä nro 333 28. joulukuuta 2019 julkaistuja vaikutustenarviointia koskevia kansallisia suuntaviivoja.</w:t>
            </w:r>
          </w:p>
        </w:tc>
      </w:tr>
      <w:tr w:rsidR="00E42B18" w14:paraId="0A8C93D0"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598B2" w14:textId="77777777" w:rsidR="00E42B18" w:rsidRDefault="009629C4">
            <w:pPr>
              <w:pStyle w:val="P68B1DB1-Normal11"/>
              <w:jc w:val="center"/>
              <w:rPr>
                <w:noProof/>
                <w:szCs w:val="20"/>
              </w:rPr>
            </w:pPr>
            <w:r>
              <w:rPr>
                <w:noProof/>
              </w:rPr>
              <w:t>M3C1–6</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FC64B" w14:textId="77777777" w:rsidR="00E42B18" w:rsidRDefault="009629C4">
            <w:pPr>
              <w:pStyle w:val="P68B1DB1-Normal11"/>
              <w:jc w:val="center"/>
              <w:rPr>
                <w:noProof/>
                <w:szCs w:val="20"/>
              </w:rPr>
            </w:pPr>
            <w:r>
              <w:rPr>
                <w:noProof/>
              </w:rPr>
              <w:t>Investointi 1.1 – Suurinopeuksiset rautatieyhteydet etelään matkustajia ja rahtia varten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971F16" w14:textId="77777777" w:rsidR="00E42B18" w:rsidRDefault="009629C4">
            <w:pPr>
              <w:pStyle w:val="P68B1DB1-Normal11"/>
              <w:jc w:val="center"/>
              <w:rPr>
                <w:noProof/>
                <w:szCs w:val="20"/>
              </w:rPr>
            </w:pPr>
            <w:r>
              <w:rPr>
                <w:noProof/>
              </w:rPr>
              <w:t>Kohde</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9061C9" w14:textId="00B69690" w:rsidR="00E42B18" w:rsidRDefault="009629C4">
            <w:pPr>
              <w:pStyle w:val="P68B1DB1-Normal11"/>
              <w:jc w:val="center"/>
              <w:rPr>
                <w:noProof/>
                <w:szCs w:val="20"/>
              </w:rPr>
            </w:pPr>
            <w:r>
              <w:rPr>
                <w:noProof/>
              </w:rPr>
              <w:t>Suurnopeusrata radoilla Napoli-Bari, Salerno-Reggio Calabria, Palermo-Catania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045135" w14:textId="77777777" w:rsidR="00E42B18" w:rsidRDefault="009629C4">
            <w:pPr>
              <w:pStyle w:val="P68B1DB1-Normal11"/>
              <w:jc w:val="center"/>
              <w:rPr>
                <w:noProof/>
                <w:szCs w:val="20"/>
              </w:rPr>
            </w:pPr>
            <w:r>
              <w:rPr>
                <w:noProof/>
              </w:rPr>
              <w:t>EI OLE</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C3B64" w14:textId="77777777" w:rsidR="00E42B18" w:rsidRDefault="009629C4">
            <w:pPr>
              <w:pStyle w:val="P68B1DB1-Normal11"/>
              <w:jc w:val="center"/>
              <w:rPr>
                <w:rFonts w:eastAsia="Arial Narrow" w:cs="Arial Narrow"/>
                <w:noProof/>
                <w:szCs w:val="20"/>
              </w:rPr>
            </w:pPr>
            <w:r>
              <w:rPr>
                <w:noProof/>
              </w:rPr>
              <w:t>Kilometriä</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F3CB2" w14:textId="77777777" w:rsidR="00E42B18" w:rsidRDefault="009629C4">
            <w:pPr>
              <w:pStyle w:val="P68B1DB1-Normal11"/>
              <w:jc w:val="center"/>
              <w:rPr>
                <w:noProof/>
                <w:szCs w:val="20"/>
              </w:rPr>
            </w:pPr>
            <w:r>
              <w:rPr>
                <w:noProof/>
              </w:rPr>
              <w:t>41</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882E8" w14:textId="77777777" w:rsidR="00E42B18" w:rsidRDefault="009629C4">
            <w:pPr>
              <w:pStyle w:val="P68B1DB1-Normal11"/>
              <w:jc w:val="center"/>
              <w:rPr>
                <w:noProof/>
                <w:szCs w:val="20"/>
              </w:rPr>
            </w:pPr>
            <w:r>
              <w:rPr>
                <w:noProof/>
              </w:rPr>
              <w:t>114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2DD10" w14:textId="77777777" w:rsidR="00E42B18" w:rsidRDefault="009629C4">
            <w:pPr>
              <w:pStyle w:val="P68B1DB1-Normal11"/>
              <w:jc w:val="center"/>
              <w:rPr>
                <w:noProof/>
                <w:szCs w:val="20"/>
              </w:rPr>
            </w:pPr>
            <w:r>
              <w:rPr>
                <w:noProof/>
              </w:rPr>
              <w:t>Q2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27A666" w14:textId="77777777" w:rsidR="00E42B18" w:rsidRDefault="009629C4">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276CFF" w14:textId="77BAC87C" w:rsidR="00E42B18" w:rsidRDefault="009629C4">
            <w:pPr>
              <w:pStyle w:val="P68B1DB1-Normal11"/>
              <w:spacing w:before="120" w:after="120"/>
              <w:rPr>
                <w:noProof/>
              </w:rPr>
            </w:pPr>
            <w:r>
              <w:rPr>
                <w:noProof/>
              </w:rPr>
              <w:t>Todistukset rakennustöiden valmistumisesta – WBS-menetelmän mukaisesti – 114 kilometrin suurnopeusradan rakentamiseksi radoilla Napoli-Bari, Salerno-Reggio Calabria ja Palermo-Catania annetaan.</w:t>
            </w:r>
          </w:p>
          <w:p w14:paraId="438D5997" w14:textId="77777777" w:rsidR="00E42B18" w:rsidRDefault="009629C4">
            <w:pPr>
              <w:pStyle w:val="P68B1DB1-Normal11"/>
              <w:spacing w:before="120" w:after="120"/>
              <w:rPr>
                <w:noProof/>
              </w:rPr>
            </w:pPr>
            <w:r>
              <w:rPr>
                <w:noProof/>
              </w:rPr>
              <w:t>Ohjeellinen jakautuminen on seuraava:</w:t>
            </w:r>
          </w:p>
          <w:p w14:paraId="20B2BF5D" w14:textId="77777777" w:rsidR="00E42B18" w:rsidRDefault="009629C4">
            <w:pPr>
              <w:pStyle w:val="P68B1DB1-Normal11"/>
              <w:spacing w:before="120" w:after="120"/>
              <w:rPr>
                <w:noProof/>
              </w:rPr>
            </w:pPr>
            <w:r>
              <w:rPr>
                <w:noProof/>
              </w:rPr>
              <w:t>Napoli-Bari-linja (12 km), josta:</w:t>
            </w:r>
          </w:p>
          <w:p w14:paraId="04640D88" w14:textId="77777777" w:rsidR="00E42B18" w:rsidRDefault="009629C4">
            <w:pPr>
              <w:pStyle w:val="P68B1DB1-ListParagraph15"/>
              <w:numPr>
                <w:ilvl w:val="0"/>
                <w:numId w:val="36"/>
              </w:numPr>
              <w:spacing w:before="120" w:after="120" w:line="240" w:lineRule="auto"/>
              <w:ind w:left="502"/>
              <w:jc w:val="both"/>
              <w:rPr>
                <w:noProof/>
              </w:rPr>
            </w:pPr>
            <w:r>
              <w:rPr>
                <w:noProof/>
              </w:rPr>
              <w:t>Apice-Hirpinia (12 km)</w:t>
            </w:r>
          </w:p>
          <w:p w14:paraId="0D67DD78" w14:textId="77777777" w:rsidR="00E42B18" w:rsidRDefault="009629C4">
            <w:pPr>
              <w:pStyle w:val="P68B1DB1-ListParagraph15"/>
              <w:numPr>
                <w:ilvl w:val="0"/>
                <w:numId w:val="36"/>
              </w:numPr>
              <w:spacing w:before="120" w:after="120" w:line="240" w:lineRule="auto"/>
              <w:ind w:left="502"/>
              <w:jc w:val="both"/>
              <w:rPr>
                <w:noProof/>
              </w:rPr>
            </w:pPr>
            <w:r>
              <w:rPr>
                <w:noProof/>
              </w:rPr>
              <w:t>Frasso-Telese (11 km)</w:t>
            </w:r>
          </w:p>
          <w:p w14:paraId="64A80DDF" w14:textId="77777777" w:rsidR="00E42B18" w:rsidRDefault="009629C4">
            <w:pPr>
              <w:pStyle w:val="P68B1DB1-ListParagraph15"/>
              <w:numPr>
                <w:ilvl w:val="0"/>
                <w:numId w:val="36"/>
              </w:numPr>
              <w:spacing w:before="120" w:after="120" w:line="240" w:lineRule="auto"/>
              <w:ind w:left="502"/>
              <w:jc w:val="both"/>
              <w:rPr>
                <w:noProof/>
              </w:rPr>
            </w:pPr>
            <w:r>
              <w:rPr>
                <w:noProof/>
              </w:rPr>
              <w:t>Telese-Vitulano (19 km)</w:t>
            </w:r>
          </w:p>
          <w:p w14:paraId="1E291694" w14:textId="77777777" w:rsidR="00E42B18" w:rsidRPr="007F4B94" w:rsidRDefault="009629C4">
            <w:pPr>
              <w:pStyle w:val="P68B1DB1-Normal11"/>
              <w:rPr>
                <w:noProof/>
                <w:lang w:val="en-IE"/>
              </w:rPr>
            </w:pPr>
            <w:r w:rsidRPr="007F4B94">
              <w:rPr>
                <w:noProof/>
                <w:lang w:val="en-IE"/>
              </w:rPr>
              <w:t>Salerno – Reggio Calabria (14,7 km), josta:</w:t>
            </w:r>
          </w:p>
          <w:p w14:paraId="2953FB31" w14:textId="77777777" w:rsidR="00E42B18" w:rsidRDefault="009629C4">
            <w:pPr>
              <w:pStyle w:val="P68B1DB1-ListParagraph15"/>
              <w:numPr>
                <w:ilvl w:val="0"/>
                <w:numId w:val="36"/>
              </w:numPr>
              <w:spacing w:before="120" w:after="120" w:line="240" w:lineRule="auto"/>
              <w:ind w:left="502"/>
              <w:jc w:val="both"/>
              <w:rPr>
                <w:noProof/>
                <w:szCs w:val="20"/>
              </w:rPr>
            </w:pPr>
            <w:r>
              <w:rPr>
                <w:noProof/>
              </w:rPr>
              <w:t>Battipaglia-Romagnano (14,7 km)</w:t>
            </w:r>
          </w:p>
          <w:p w14:paraId="15D84EF6" w14:textId="77777777" w:rsidR="00E42B18" w:rsidRDefault="009629C4">
            <w:pPr>
              <w:pStyle w:val="P68B1DB1-Normal11"/>
              <w:spacing w:before="120" w:after="120"/>
              <w:rPr>
                <w:noProof/>
                <w:szCs w:val="20"/>
              </w:rPr>
            </w:pPr>
            <w:r>
              <w:rPr>
                <w:noProof/>
              </w:rPr>
              <w:t>Palermo – Catania, 16,5 km, josta:</w:t>
            </w:r>
          </w:p>
          <w:p w14:paraId="2659E3C6" w14:textId="77777777" w:rsidR="00E42B18" w:rsidRDefault="009629C4">
            <w:pPr>
              <w:pStyle w:val="P68B1DB1-ListParagraph15"/>
              <w:numPr>
                <w:ilvl w:val="0"/>
                <w:numId w:val="36"/>
              </w:numPr>
              <w:spacing w:before="120" w:after="120" w:line="240" w:lineRule="auto"/>
              <w:ind w:left="502"/>
              <w:jc w:val="both"/>
              <w:rPr>
                <w:noProof/>
                <w:szCs w:val="20"/>
              </w:rPr>
            </w:pPr>
            <w:r>
              <w:rPr>
                <w:noProof/>
              </w:rPr>
              <w:t>Dittanio – Enna (2 km)</w:t>
            </w:r>
          </w:p>
          <w:p w14:paraId="6183E371" w14:textId="77777777" w:rsidR="00E42B18" w:rsidRDefault="009629C4">
            <w:pPr>
              <w:pStyle w:val="P68B1DB1-ListParagraph15"/>
              <w:numPr>
                <w:ilvl w:val="0"/>
                <w:numId w:val="36"/>
              </w:numPr>
              <w:spacing w:before="120" w:after="120" w:line="240" w:lineRule="auto"/>
              <w:ind w:left="502"/>
              <w:jc w:val="both"/>
              <w:rPr>
                <w:noProof/>
              </w:rPr>
            </w:pPr>
            <w:r>
              <w:rPr>
                <w:noProof/>
              </w:rPr>
              <w:t>Giampilieri-Fiumefreddo (7,5 km)</w:t>
            </w:r>
          </w:p>
          <w:p w14:paraId="1BB94EF4" w14:textId="77777777" w:rsidR="00E42B18" w:rsidRDefault="009629C4">
            <w:pPr>
              <w:pStyle w:val="P68B1DB1-ListParagraph15"/>
              <w:numPr>
                <w:ilvl w:val="0"/>
                <w:numId w:val="36"/>
              </w:numPr>
              <w:spacing w:before="120" w:after="120" w:line="240" w:lineRule="auto"/>
              <w:ind w:left="502"/>
              <w:jc w:val="both"/>
              <w:rPr>
                <w:noProof/>
              </w:rPr>
            </w:pPr>
            <w:r>
              <w:rPr>
                <w:noProof/>
              </w:rPr>
              <w:t>Ogliastrillo-Castelbuono (7 km)</w:t>
            </w:r>
          </w:p>
          <w:p w14:paraId="2F16A582" w14:textId="77777777" w:rsidR="00E42B18" w:rsidRDefault="00E42B18">
            <w:pPr>
              <w:pStyle w:val="ListParagraph"/>
              <w:ind w:left="360"/>
              <w:rPr>
                <w:rFonts w:ascii="Arial Narrow" w:hAnsi="Arial Narrow"/>
                <w:noProof/>
                <w:color w:val="006100"/>
                <w:sz w:val="20"/>
              </w:rPr>
            </w:pPr>
          </w:p>
          <w:p w14:paraId="12D82EEA" w14:textId="77777777" w:rsidR="00E42B18" w:rsidRDefault="009629C4">
            <w:pPr>
              <w:pStyle w:val="P68B1DB1-Normal11"/>
              <w:rPr>
                <w:noProof/>
              </w:rPr>
            </w:pPr>
            <w:r>
              <w:rPr>
                <w:noProof/>
              </w:rPr>
              <w:t>Kunkin asiaankuuluvan hankkeen/investoinnin arvioinnissa ja hyväksynnässä on noudatettava kaikkia EU:n direktiivin 92/43/ETY 6 artiklan 3 ja 6 kohdassa vahvistettuja sääntöjä ja menettelyjä ja noudatettava vaikutustenarviointia koskevia kansallisia suuntaviivoja, jotka on julkaistu 28 päivänä joulukuuta 2019 Italian tasavallan virallisessa lehdessä nro 333.</w:t>
            </w:r>
          </w:p>
        </w:tc>
      </w:tr>
      <w:tr w:rsidR="00E42B18" w14:paraId="502927D3"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0F4D02" w14:textId="77777777" w:rsidR="00E42B18" w:rsidRDefault="009629C4">
            <w:pPr>
              <w:pStyle w:val="P68B1DB1-Normal11"/>
              <w:jc w:val="center"/>
              <w:rPr>
                <w:noProof/>
                <w:szCs w:val="20"/>
              </w:rPr>
            </w:pPr>
            <w:r>
              <w:rPr>
                <w:noProof/>
              </w:rPr>
              <w:t>M3C1–9</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A1347" w14:textId="77777777" w:rsidR="00E42B18" w:rsidRDefault="009629C4">
            <w:pPr>
              <w:pStyle w:val="P68B1DB1-Normal11"/>
              <w:jc w:val="center"/>
              <w:rPr>
                <w:noProof/>
                <w:szCs w:val="20"/>
              </w:rPr>
            </w:pPr>
            <w:r>
              <w:rPr>
                <w:noProof/>
              </w:rPr>
              <w:t>Investointi 1.2 – pohjoisessa sijaitsevat suurnopeusradat, jotka liittyvät muuhun Eurooppaan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2648E" w14:textId="77777777" w:rsidR="00E42B18" w:rsidRDefault="009629C4">
            <w:pPr>
              <w:pStyle w:val="P68B1DB1-Normal11"/>
              <w:jc w:val="center"/>
              <w:rPr>
                <w:noProof/>
                <w:szCs w:val="20"/>
              </w:rPr>
            </w:pPr>
            <w:r>
              <w:rPr>
                <w:noProof/>
              </w:rPr>
              <w:t>Kohde</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88CA7" w14:textId="77777777" w:rsidR="00E42B18" w:rsidRDefault="009629C4">
            <w:pPr>
              <w:pStyle w:val="P68B1DB1-Normal11"/>
              <w:jc w:val="center"/>
              <w:rPr>
                <w:noProof/>
                <w:szCs w:val="20"/>
              </w:rPr>
            </w:pPr>
            <w:r>
              <w:rPr>
                <w:noProof/>
              </w:rPr>
              <w:t>Suurnopeusrata radoilla Brescia-Verona-Vicenza-Padova; Liguria-Alpi.</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A8C02E" w14:textId="77777777" w:rsidR="00E42B18" w:rsidRDefault="009629C4">
            <w:pPr>
              <w:pStyle w:val="P68B1DB1-Normal11"/>
              <w:jc w:val="center"/>
              <w:rPr>
                <w:noProof/>
                <w:szCs w:val="20"/>
              </w:rPr>
            </w:pPr>
            <w:r>
              <w:rPr>
                <w:noProof/>
              </w:rPr>
              <w:t>EI OLE</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E17290" w14:textId="77777777" w:rsidR="00E42B18" w:rsidRDefault="009629C4">
            <w:pPr>
              <w:pStyle w:val="P68B1DB1-Normal11"/>
              <w:jc w:val="center"/>
              <w:rPr>
                <w:noProof/>
                <w:szCs w:val="20"/>
              </w:rPr>
            </w:pPr>
            <w:r>
              <w:rPr>
                <w:noProof/>
              </w:rPr>
              <w:t>Numero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F4CD96" w14:textId="77777777" w:rsidR="00E42B18" w:rsidRDefault="009629C4">
            <w:pPr>
              <w:pStyle w:val="P68B1DB1-Normal11"/>
              <w:jc w:val="center"/>
              <w:rPr>
                <w:noProof/>
                <w:szCs w:val="20"/>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7FD413" w14:textId="77777777" w:rsidR="00E42B18" w:rsidRDefault="009629C4">
            <w:pPr>
              <w:pStyle w:val="P68B1DB1-Normal11"/>
              <w:jc w:val="center"/>
              <w:rPr>
                <w:noProof/>
                <w:szCs w:val="20"/>
              </w:rPr>
            </w:pPr>
            <w:r>
              <w:rPr>
                <w:noProof/>
              </w:rPr>
              <w:t>158</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7BBE9" w14:textId="77777777" w:rsidR="00E42B18" w:rsidRDefault="009629C4">
            <w:pPr>
              <w:pStyle w:val="P68B1DB1-Normal11"/>
              <w:jc w:val="center"/>
              <w:rPr>
                <w:noProof/>
                <w:szCs w:val="20"/>
              </w:rPr>
            </w:pPr>
            <w:r>
              <w:rPr>
                <w:noProof/>
              </w:rPr>
              <w:t>Q2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0BFC6" w14:textId="77777777" w:rsidR="00E42B18" w:rsidRDefault="009629C4">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F9D882" w14:textId="53AA2366" w:rsidR="00E42B18" w:rsidRDefault="009629C4">
            <w:pPr>
              <w:pStyle w:val="P68B1DB1-Normal11"/>
              <w:rPr>
                <w:noProof/>
              </w:rPr>
            </w:pPr>
            <w:r>
              <w:rPr>
                <w:noProof/>
              </w:rPr>
              <w:t>Todistukset rakennustöiden valmistumisesta – WBS-menetelmän mukaisesti – 158 kilometrin pituisen suurnopeusradan rakentamiseksi radoilla Brescia-Verona-Vicenza-Padova ja Liguria-Alpi on annettava.</w:t>
            </w:r>
          </w:p>
          <w:p w14:paraId="60F3DB4D" w14:textId="77777777" w:rsidR="00E42B18" w:rsidRDefault="009629C4">
            <w:pPr>
              <w:pStyle w:val="P68B1DB1-Normal11"/>
              <w:rPr>
                <w:noProof/>
              </w:rPr>
            </w:pPr>
            <w:r>
              <w:rPr>
                <w:noProof/>
              </w:rPr>
              <w:t>Ohjeellinen jakautuminen on seuraava:</w:t>
            </w:r>
          </w:p>
          <w:p w14:paraId="0630FE48" w14:textId="77777777" w:rsidR="00E42B18" w:rsidRDefault="009629C4">
            <w:pPr>
              <w:pStyle w:val="P68B1DB1-ListParagraph15"/>
              <w:numPr>
                <w:ilvl w:val="0"/>
                <w:numId w:val="36"/>
              </w:numPr>
              <w:spacing w:before="120" w:after="120" w:line="240" w:lineRule="auto"/>
              <w:ind w:left="502"/>
              <w:jc w:val="both"/>
              <w:rPr>
                <w:noProof/>
                <w:szCs w:val="20"/>
              </w:rPr>
            </w:pPr>
            <w:r>
              <w:rPr>
                <w:noProof/>
              </w:rPr>
              <w:t>Brescia-Verona (48 km)</w:t>
            </w:r>
          </w:p>
          <w:p w14:paraId="2097B373" w14:textId="77777777" w:rsidR="00E42B18" w:rsidRDefault="009629C4">
            <w:pPr>
              <w:pStyle w:val="P68B1DB1-ListParagraph15"/>
              <w:numPr>
                <w:ilvl w:val="0"/>
                <w:numId w:val="36"/>
              </w:numPr>
              <w:spacing w:before="120" w:after="120" w:line="240" w:lineRule="auto"/>
              <w:ind w:left="502"/>
              <w:jc w:val="both"/>
              <w:rPr>
                <w:noProof/>
                <w:szCs w:val="20"/>
              </w:rPr>
            </w:pPr>
            <w:r>
              <w:rPr>
                <w:noProof/>
              </w:rPr>
              <w:t>Verona-Bivio-Vicenza (44 km)</w:t>
            </w:r>
          </w:p>
          <w:p w14:paraId="76CC0B74" w14:textId="77777777" w:rsidR="00E42B18" w:rsidRDefault="009629C4">
            <w:pPr>
              <w:pStyle w:val="P68B1DB1-ListParagraph15"/>
              <w:numPr>
                <w:ilvl w:val="0"/>
                <w:numId w:val="36"/>
              </w:numPr>
              <w:spacing w:before="120" w:after="120" w:line="240" w:lineRule="auto"/>
              <w:ind w:left="502"/>
              <w:jc w:val="both"/>
              <w:rPr>
                <w:noProof/>
                <w:szCs w:val="20"/>
              </w:rPr>
            </w:pPr>
            <w:r>
              <w:rPr>
                <w:noProof/>
              </w:rPr>
              <w:t>Genovan Node (17 km)</w:t>
            </w:r>
          </w:p>
          <w:p w14:paraId="0CE068B0" w14:textId="77777777" w:rsidR="00E42B18" w:rsidRDefault="009629C4">
            <w:pPr>
              <w:pStyle w:val="P68B1DB1-ListParagraph15"/>
              <w:numPr>
                <w:ilvl w:val="0"/>
                <w:numId w:val="36"/>
              </w:numPr>
              <w:spacing w:before="120" w:after="120" w:line="240" w:lineRule="auto"/>
              <w:ind w:left="502"/>
              <w:jc w:val="both"/>
              <w:rPr>
                <w:noProof/>
              </w:rPr>
            </w:pPr>
            <w:r>
              <w:rPr>
                <w:noProof/>
              </w:rPr>
              <w:t>Kolmas Giovi-ylitys (35,3 km)</w:t>
            </w:r>
          </w:p>
          <w:p w14:paraId="181CF20B" w14:textId="77777777" w:rsidR="00E42B18" w:rsidRDefault="009629C4">
            <w:pPr>
              <w:pStyle w:val="P68B1DB1-ListParagraph15"/>
              <w:numPr>
                <w:ilvl w:val="0"/>
                <w:numId w:val="36"/>
              </w:numPr>
              <w:spacing w:before="120" w:after="120" w:line="240" w:lineRule="auto"/>
              <w:ind w:left="502"/>
              <w:jc w:val="both"/>
              <w:rPr>
                <w:noProof/>
              </w:rPr>
            </w:pPr>
            <w:r>
              <w:rPr>
                <w:noProof/>
              </w:rPr>
              <w:t>Rho-Parabiago (4 km)</w:t>
            </w:r>
          </w:p>
          <w:p w14:paraId="297E5C20" w14:textId="77777777" w:rsidR="00E42B18" w:rsidRDefault="009629C4">
            <w:pPr>
              <w:pStyle w:val="P68B1DB1-ListParagraph15"/>
              <w:numPr>
                <w:ilvl w:val="0"/>
                <w:numId w:val="36"/>
              </w:numPr>
              <w:spacing w:before="120" w:after="120" w:line="240" w:lineRule="auto"/>
              <w:ind w:left="502"/>
              <w:jc w:val="both"/>
              <w:rPr>
                <w:noProof/>
                <w:szCs w:val="20"/>
              </w:rPr>
            </w:pPr>
            <w:r>
              <w:rPr>
                <w:noProof/>
              </w:rPr>
              <w:t>Pavia-Milano-Rogoredo (10,3 km)</w:t>
            </w:r>
          </w:p>
          <w:p w14:paraId="6FA10014" w14:textId="77777777" w:rsidR="00E42B18" w:rsidRDefault="009629C4">
            <w:pPr>
              <w:pStyle w:val="P68B1DB1-Normal12"/>
              <w:rPr>
                <w:noProof/>
              </w:rPr>
            </w:pPr>
            <w:r>
              <w:rPr>
                <w:noProof/>
              </w:rPr>
              <w:t>Kunkin asiaankuuluvan hankkeen/investoinnin arvioinnissa ja hyväksynnässä on noudatettava kaikkia EU:n direktiivin 92/43/ETY 6 artiklan 3 ja 6 kohdassa vahvistettuja sääntöjä ja menettelyjä sekä Italian tasavallan virallisessa lehdessä nro 333 28. joulukuuta 2019 julkaistuja vaikutustenarviointia koskevia kansallisia suuntaviivoja.</w:t>
            </w:r>
          </w:p>
          <w:p w14:paraId="0E8CF1E9" w14:textId="77777777" w:rsidR="00E42B18" w:rsidRDefault="009629C4">
            <w:pPr>
              <w:pStyle w:val="P68B1DB1-Normal12"/>
              <w:rPr>
                <w:noProof/>
              </w:rPr>
            </w:pPr>
            <w:r>
              <w:rPr>
                <w:noProof/>
              </w:rPr>
              <w:t>Rho-Parabiagon (4 kilometriä) osalta kaikki ympäristövaikutusten arvioinnin yhteydessä yksilöidyt lieventävät toimenpiteet on sisällytettävä hankkeeseen ja niitä on noudatettava infrastruktuurin rakennus- ja käyttövaiheissa.</w:t>
            </w:r>
          </w:p>
        </w:tc>
      </w:tr>
      <w:tr w:rsidR="00E42B18" w14:paraId="77058459" w14:textId="77777777">
        <w:trPr>
          <w:trHeight w:val="341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99B9F" w14:textId="77777777" w:rsidR="00E42B18" w:rsidRDefault="009629C4">
            <w:pPr>
              <w:pStyle w:val="P68B1DB1-Normal11"/>
              <w:jc w:val="center"/>
              <w:rPr>
                <w:noProof/>
                <w:szCs w:val="20"/>
              </w:rPr>
            </w:pPr>
            <w:r>
              <w:rPr>
                <w:noProof/>
              </w:rPr>
              <w:t>M3C1–10</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041805" w14:textId="77777777" w:rsidR="00E42B18" w:rsidRDefault="009629C4">
            <w:pPr>
              <w:pStyle w:val="P68B1DB1-Normal11"/>
              <w:jc w:val="center"/>
              <w:rPr>
                <w:noProof/>
                <w:szCs w:val="20"/>
              </w:rPr>
            </w:pPr>
            <w:r>
              <w:rPr>
                <w:noProof/>
              </w:rPr>
              <w:t>Investointi 1.3 – Diagonaaliyhteydet</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1A8248" w14:textId="77777777" w:rsidR="00E42B18" w:rsidRDefault="009629C4">
            <w:pPr>
              <w:pStyle w:val="P68B1DB1-Normal11"/>
              <w:jc w:val="center"/>
              <w:rPr>
                <w:noProof/>
                <w:szCs w:val="20"/>
              </w:rPr>
            </w:pPr>
            <w:r>
              <w:rPr>
                <w:noProof/>
              </w:rPr>
              <w:t>Virstanpylväs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04F7C5" w14:textId="77777777" w:rsidR="00E42B18" w:rsidRDefault="009629C4">
            <w:pPr>
              <w:pStyle w:val="P68B1DB1-Normal11"/>
              <w:jc w:val="center"/>
              <w:rPr>
                <w:noProof/>
                <w:szCs w:val="20"/>
              </w:rPr>
            </w:pPr>
            <w:r>
              <w:rPr>
                <w:noProof/>
              </w:rPr>
              <w:t>Sopimusten tekeminen yhteyksien rakentamisesta Orte-Falconara- ja Taranto-Metaponto-Potenza-Battipaglia-linjoille</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A224E6" w14:textId="77777777" w:rsidR="00E42B18" w:rsidRDefault="009629C4">
            <w:pPr>
              <w:pStyle w:val="P68B1DB1-Normal14"/>
              <w:jc w:val="center"/>
              <w:rPr>
                <w:noProof/>
                <w:color w:val="006100"/>
                <w:szCs w:val="20"/>
              </w:rPr>
            </w:pPr>
            <w:r>
              <w:rPr>
                <w:noProof/>
                <w:color w:val="006100"/>
              </w:rPr>
              <w:t>Ilmoitus monialaisen sopimuksen tekemisestä suurten nopeuksien rautatien rakentamiseksi radoilla Orte-Falconara ja Taranto-Metaponto-Potenza-Battipaglia</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6E4758" w14:textId="77777777" w:rsidR="00E42B18" w:rsidRDefault="009629C4">
            <w:pPr>
              <w:pStyle w:val="P68B1DB1-Normal11"/>
              <w:jc w:val="center"/>
              <w:rPr>
                <w:noProof/>
                <w:szCs w:val="20"/>
              </w:rPr>
            </w:pPr>
            <w:r>
              <w:rPr>
                <w:noProof/>
              </w:rPr>
              <w:t>EI OLE</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B3F939" w14:textId="77777777" w:rsidR="00E42B18" w:rsidRDefault="009629C4">
            <w:pPr>
              <w:pStyle w:val="P68B1DB1-Normal11"/>
              <w:jc w:val="center"/>
              <w:rPr>
                <w:noProof/>
                <w:szCs w:val="20"/>
              </w:rPr>
            </w:pPr>
            <w:r>
              <w:rPr>
                <w:noProof/>
              </w:rPr>
              <w:t>EI OLE</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CDC05" w14:textId="77777777" w:rsidR="00E42B18" w:rsidRDefault="009629C4">
            <w:pPr>
              <w:pStyle w:val="P68B1DB1-Normal11"/>
              <w:jc w:val="center"/>
              <w:rPr>
                <w:noProof/>
                <w:szCs w:val="20"/>
              </w:rPr>
            </w:pPr>
            <w:r>
              <w:rPr>
                <w:noProof/>
              </w:rPr>
              <w:t>EI OLE</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417D44" w14:textId="77777777" w:rsidR="00E42B18" w:rsidRDefault="009629C4">
            <w:pPr>
              <w:pStyle w:val="P68B1DB1-Normal11"/>
              <w:jc w:val="center"/>
              <w:rPr>
                <w:noProof/>
                <w:szCs w:val="20"/>
              </w:rPr>
            </w:pPr>
            <w:r>
              <w:rPr>
                <w:noProof/>
              </w:rPr>
              <w:t>Q1</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F5E31" w14:textId="77777777" w:rsidR="00E42B18" w:rsidRDefault="009629C4">
            <w:pPr>
              <w:pStyle w:val="P68B1DB1-Normal11"/>
              <w:jc w:val="center"/>
              <w:rPr>
                <w:noProof/>
                <w:szCs w:val="20"/>
              </w:rPr>
            </w:pPr>
            <w:r>
              <w:rPr>
                <w:noProof/>
              </w:rPr>
              <w:t>2024</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7D3206" w14:textId="77777777" w:rsidR="00E42B18" w:rsidRDefault="009629C4">
            <w:pPr>
              <w:pStyle w:val="P68B1DB1-Normal11"/>
              <w:rPr>
                <w:noProof/>
                <w:szCs w:val="20"/>
              </w:rPr>
            </w:pPr>
            <w:r>
              <w:rPr>
                <w:noProof/>
              </w:rPr>
              <w:t>Ilmoitus monialaisen sopimuksen tekemisestä yhteyksien rakentamiseksi reiteillä Orte-Falconara ja Taranto-Metaponto-Potenza-Battipaglia.</w:t>
            </w:r>
          </w:p>
          <w:p w14:paraId="3CF5012C" w14:textId="77777777" w:rsidR="00E42B18" w:rsidRDefault="009629C4">
            <w:pPr>
              <w:pStyle w:val="P68B1DB1-Normal11"/>
              <w:rPr>
                <w:noProof/>
                <w:szCs w:val="20"/>
              </w:rPr>
            </w:pPr>
            <w:r>
              <w:rPr>
                <w:noProof/>
              </w:rPr>
              <w:t xml:space="preserve">Sopimuksessa (sopimuksissa) viitataan seuraaviin kohtiin: </w:t>
            </w:r>
          </w:p>
          <w:p w14:paraId="1E3ACB87" w14:textId="77777777" w:rsidR="00E42B18" w:rsidRDefault="009629C4">
            <w:pPr>
              <w:pStyle w:val="P68B1DB1-Normal11"/>
              <w:rPr>
                <w:noProof/>
                <w:szCs w:val="20"/>
              </w:rPr>
            </w:pPr>
            <w:r>
              <w:rPr>
                <w:noProof/>
              </w:rPr>
              <w:t>Orte-Falconara</w:t>
            </w:r>
          </w:p>
          <w:p w14:paraId="509ECC04" w14:textId="77777777" w:rsidR="00E42B18" w:rsidRDefault="009629C4">
            <w:pPr>
              <w:pStyle w:val="P68B1DB1-Normal11"/>
              <w:rPr>
                <w:noProof/>
                <w:szCs w:val="20"/>
              </w:rPr>
            </w:pPr>
            <w:r>
              <w:rPr>
                <w:noProof/>
              </w:rPr>
              <w:t>Taranto-Metaponto-Potenza-Battipaglia</w:t>
            </w:r>
          </w:p>
        </w:tc>
      </w:tr>
      <w:tr w:rsidR="00E42B18" w14:paraId="2FE0D3B7"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B354CD" w14:textId="77777777" w:rsidR="00E42B18" w:rsidRDefault="009629C4">
            <w:pPr>
              <w:pStyle w:val="P68B1DB1-Normal11"/>
              <w:jc w:val="center"/>
              <w:rPr>
                <w:noProof/>
                <w:szCs w:val="20"/>
              </w:rPr>
            </w:pPr>
            <w:r>
              <w:rPr>
                <w:noProof/>
              </w:rPr>
              <w:t>M3C1–11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909B9" w14:textId="77777777" w:rsidR="00E42B18" w:rsidRDefault="009629C4">
            <w:pPr>
              <w:pStyle w:val="P68B1DB1-Normal11"/>
              <w:jc w:val="center"/>
              <w:rPr>
                <w:noProof/>
                <w:szCs w:val="20"/>
              </w:rPr>
            </w:pPr>
            <w:r>
              <w:rPr>
                <w:noProof/>
              </w:rPr>
              <w:t>Investointi 1.3 – Diagonaaliyhteydet</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86E276" w14:textId="77777777" w:rsidR="00E42B18" w:rsidRDefault="009629C4">
            <w:pPr>
              <w:pStyle w:val="P68B1DB1-Normal11"/>
              <w:jc w:val="center"/>
              <w:rPr>
                <w:noProof/>
                <w:szCs w:val="20"/>
              </w:rPr>
            </w:pPr>
            <w:r>
              <w:rPr>
                <w:noProof/>
              </w:rPr>
              <w:t>Kohde</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AA40E" w14:textId="77777777" w:rsidR="00E42B18" w:rsidRDefault="009629C4">
            <w:pPr>
              <w:pStyle w:val="P68B1DB1-Normal11"/>
              <w:jc w:val="center"/>
              <w:rPr>
                <w:noProof/>
                <w:szCs w:val="20"/>
              </w:rPr>
            </w:pPr>
            <w:r>
              <w:rPr>
                <w:noProof/>
              </w:rPr>
              <w:t>Suurnopeusrata radoilla Orte-Falconara ja Taranto-Metaponto-Potenza-Battipaglia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648919" w14:textId="77777777" w:rsidR="00E42B18" w:rsidRDefault="009629C4">
            <w:pPr>
              <w:pStyle w:val="P68B1DB1-Normal11"/>
              <w:jc w:val="center"/>
              <w:rPr>
                <w:noProof/>
                <w:szCs w:val="20"/>
              </w:rPr>
            </w:pPr>
            <w:r>
              <w:rPr>
                <w:noProof/>
              </w:rPr>
              <w:t>EI OLE</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EC6005" w14:textId="77777777" w:rsidR="00E42B18" w:rsidRDefault="009629C4">
            <w:pPr>
              <w:pStyle w:val="P68B1DB1-Normal11"/>
              <w:jc w:val="center"/>
              <w:rPr>
                <w:noProof/>
                <w:szCs w:val="20"/>
              </w:rPr>
            </w:pPr>
            <w:r>
              <w:rPr>
                <w:noProof/>
              </w:rPr>
              <w:t>Numero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2C74C9" w14:textId="77777777" w:rsidR="00E42B18" w:rsidRDefault="009629C4">
            <w:pPr>
              <w:pStyle w:val="P68B1DB1-Normal11"/>
              <w:jc w:val="center"/>
              <w:rPr>
                <w:noProof/>
                <w:szCs w:val="20"/>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891C1B" w14:textId="77777777" w:rsidR="00E42B18" w:rsidRDefault="009629C4">
            <w:pPr>
              <w:pStyle w:val="P68B1DB1-Normal11"/>
              <w:jc w:val="center"/>
              <w:rPr>
                <w:noProof/>
                <w:szCs w:val="20"/>
              </w:rPr>
            </w:pPr>
            <w:r>
              <w:rPr>
                <w:noProof/>
              </w:rPr>
              <w:t>15</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836E2" w14:textId="77777777" w:rsidR="00E42B18" w:rsidRDefault="009629C4">
            <w:pPr>
              <w:pStyle w:val="P68B1DB1-Normal11"/>
              <w:jc w:val="center"/>
              <w:rPr>
                <w:noProof/>
                <w:szCs w:val="20"/>
              </w:rPr>
            </w:pPr>
            <w:r>
              <w:rPr>
                <w:noProof/>
              </w:rPr>
              <w:t>Q2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2E7EB4" w14:textId="77777777" w:rsidR="00E42B18" w:rsidRDefault="009629C4">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F89F2" w14:textId="536C00D1" w:rsidR="00E42B18" w:rsidRDefault="009629C4">
            <w:pPr>
              <w:pStyle w:val="P68B1DB1-Normal11"/>
              <w:rPr>
                <w:noProof/>
                <w:szCs w:val="20"/>
              </w:rPr>
            </w:pPr>
            <w:r>
              <w:rPr>
                <w:noProof/>
              </w:rPr>
              <w:t>Todistukset 15 kilometrin pituisen suurten nopeuksien rautatien rakentamisesta Orte-Falconara- ja Taranto-Metaponto-Potenza-Battipaglian radoille on annettava WBS-menetelmän mukaisesti.</w:t>
            </w:r>
          </w:p>
          <w:p w14:paraId="3C1BD87D" w14:textId="77777777" w:rsidR="00E42B18" w:rsidRDefault="009629C4">
            <w:pPr>
              <w:pStyle w:val="P68B1DB1-Normal11"/>
              <w:rPr>
                <w:noProof/>
                <w:szCs w:val="20"/>
              </w:rPr>
            </w:pPr>
            <w:r>
              <w:rPr>
                <w:noProof/>
              </w:rPr>
              <w:t>Ohjeellinen jakautuminen on seuraava:</w:t>
            </w:r>
          </w:p>
          <w:p w14:paraId="134D0981" w14:textId="77777777" w:rsidR="00E42B18" w:rsidRDefault="009629C4">
            <w:pPr>
              <w:pStyle w:val="P68B1DB1-ListParagraph15"/>
              <w:numPr>
                <w:ilvl w:val="0"/>
                <w:numId w:val="36"/>
              </w:numPr>
              <w:spacing w:before="120" w:after="120" w:line="240" w:lineRule="auto"/>
              <w:ind w:left="502"/>
              <w:jc w:val="both"/>
              <w:rPr>
                <w:noProof/>
                <w:szCs w:val="20"/>
              </w:rPr>
            </w:pPr>
            <w:r>
              <w:rPr>
                <w:noProof/>
              </w:rPr>
              <w:t>Orte-Falconara (12,3 km)</w:t>
            </w:r>
          </w:p>
          <w:p w14:paraId="0D726864" w14:textId="77777777" w:rsidR="00E42B18" w:rsidRDefault="009629C4">
            <w:pPr>
              <w:pStyle w:val="P68B1DB1-ListParagraph15"/>
              <w:numPr>
                <w:ilvl w:val="0"/>
                <w:numId w:val="36"/>
              </w:numPr>
              <w:spacing w:before="120" w:after="120" w:line="240" w:lineRule="auto"/>
              <w:ind w:left="502"/>
              <w:jc w:val="both"/>
              <w:rPr>
                <w:noProof/>
                <w:szCs w:val="20"/>
              </w:rPr>
            </w:pPr>
            <w:r>
              <w:rPr>
                <w:noProof/>
              </w:rPr>
              <w:t>Taranto-Metaponto-Potenza-Battipaglia (2,8 km)</w:t>
            </w:r>
          </w:p>
          <w:p w14:paraId="791B8596" w14:textId="77777777" w:rsidR="00E42B18" w:rsidRDefault="009629C4">
            <w:pPr>
              <w:pStyle w:val="P68B1DB1-Normal12"/>
              <w:rPr>
                <w:noProof/>
              </w:rPr>
            </w:pPr>
            <w:r>
              <w:rPr>
                <w:noProof/>
              </w:rPr>
              <w:t>Kunkin asiaankuuluvan hankkeen/investoinnin arvioinnissa ja hyväksynnässä on noudatettava kaikkia EU:n direktiivin 92/43/ETY 6 artiklan 3 ja 6 kohdassa vahvistettuja sääntöjä ja menettelyjä sekä Italian tasavallan virallisessa lehdessä nro 333 28. joulukuuta 2019 julkaistuja vaikutustenarviointia koskevia kansallisia suuntaviivoja.</w:t>
            </w:r>
          </w:p>
        </w:tc>
      </w:tr>
      <w:tr w:rsidR="00E42B18" w14:paraId="5587325C" w14:textId="77777777">
        <w:trPr>
          <w:trHeight w:val="2415"/>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26CFA5" w14:textId="77777777" w:rsidR="00E42B18" w:rsidRDefault="009629C4">
            <w:pPr>
              <w:pStyle w:val="P68B1DB1-Normal11"/>
              <w:jc w:val="center"/>
              <w:rPr>
                <w:noProof/>
                <w:szCs w:val="20"/>
              </w:rPr>
            </w:pPr>
            <w:r>
              <w:rPr>
                <w:noProof/>
              </w:rPr>
              <w:t>M3C1–12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F8E7AC" w14:textId="77777777" w:rsidR="00E42B18" w:rsidRDefault="009629C4">
            <w:pPr>
              <w:pStyle w:val="P68B1DB1-Normal11"/>
              <w:jc w:val="center"/>
              <w:rPr>
                <w:noProof/>
                <w:szCs w:val="20"/>
              </w:rPr>
            </w:pPr>
            <w:r>
              <w:rPr>
                <w:noProof/>
              </w:rPr>
              <w:t>Investointi 1.4 – Euroopan rautatieliikenteen hallintajärjestelmän (ERTMS) käyttöönotto</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C9F8D" w14:textId="77777777" w:rsidR="00E42B18" w:rsidRDefault="009629C4">
            <w:pPr>
              <w:pStyle w:val="P68B1DB1-Normal11"/>
              <w:jc w:val="center"/>
              <w:rPr>
                <w:noProof/>
                <w:szCs w:val="20"/>
              </w:rPr>
            </w:pPr>
            <w:r>
              <w:rPr>
                <w:noProof/>
              </w:rPr>
              <w:t>Virstanpylväs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E1DDFA" w14:textId="77777777" w:rsidR="00E42B18" w:rsidRDefault="009629C4">
            <w:pPr>
              <w:pStyle w:val="P68B1DB1-Normal11"/>
              <w:jc w:val="center"/>
              <w:rPr>
                <w:noProof/>
                <w:szCs w:val="20"/>
              </w:rPr>
            </w:pPr>
            <w:r>
              <w:rPr>
                <w:noProof/>
              </w:rPr>
              <w:t>Euroopan rautatieliikenteen hallintajärjestelmää koskevien sopimusten tekeminen</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0DC664" w14:textId="77777777" w:rsidR="00E42B18" w:rsidRDefault="009629C4">
            <w:pPr>
              <w:pStyle w:val="P68B1DB1-Normal11"/>
              <w:jc w:val="center"/>
              <w:rPr>
                <w:noProof/>
                <w:szCs w:val="20"/>
              </w:rPr>
            </w:pPr>
            <w:r>
              <w:rPr>
                <w:noProof/>
              </w:rPr>
              <w:t>Ilmoitus kaikkien Euroopan rautatieliikenteen hallintajärjestelmän käyttöönottoa koskevien julkisten hankintasopimusten tekemisestä</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80CCDD" w14:textId="77777777" w:rsidR="00E42B18" w:rsidRDefault="009629C4">
            <w:pPr>
              <w:pStyle w:val="P68B1DB1-Normal11"/>
              <w:jc w:val="center"/>
              <w:rPr>
                <w:noProof/>
                <w:szCs w:val="20"/>
              </w:rPr>
            </w:pPr>
            <w:r>
              <w:rPr>
                <w:noProof/>
              </w:rPr>
              <w:t>EI OLE</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3FE84A" w14:textId="77777777" w:rsidR="00E42B18" w:rsidRDefault="009629C4">
            <w:pPr>
              <w:pStyle w:val="P68B1DB1-Normal11"/>
              <w:jc w:val="center"/>
              <w:rPr>
                <w:noProof/>
                <w:szCs w:val="20"/>
              </w:rPr>
            </w:pPr>
            <w:r>
              <w:rPr>
                <w:noProof/>
              </w:rPr>
              <w:t>EI OLE</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BF4CF3" w14:textId="77777777" w:rsidR="00E42B18" w:rsidRDefault="009629C4">
            <w:pPr>
              <w:pStyle w:val="P68B1DB1-Normal11"/>
              <w:jc w:val="center"/>
              <w:rPr>
                <w:noProof/>
                <w:szCs w:val="20"/>
              </w:rPr>
            </w:pPr>
            <w:r>
              <w:rPr>
                <w:noProof/>
              </w:rPr>
              <w:t>EI OLE</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F7FFF6" w14:textId="77777777" w:rsidR="00E42B18" w:rsidRDefault="009629C4">
            <w:pPr>
              <w:pStyle w:val="P68B1DB1-Normal11"/>
              <w:jc w:val="center"/>
              <w:rPr>
                <w:noProof/>
                <w:szCs w:val="20"/>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3599C" w14:textId="77777777" w:rsidR="00E42B18" w:rsidRDefault="009629C4">
            <w:pPr>
              <w:pStyle w:val="P68B1DB1-Normal11"/>
              <w:jc w:val="center"/>
              <w:rPr>
                <w:noProof/>
                <w:szCs w:val="20"/>
              </w:rPr>
            </w:pPr>
            <w:r>
              <w:rPr>
                <w:noProof/>
              </w:rPr>
              <w:t>2022</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3175F7" w14:textId="77777777" w:rsidR="00E42B18" w:rsidRDefault="009629C4">
            <w:pPr>
              <w:pStyle w:val="P68B1DB1-Normal11"/>
              <w:rPr>
                <w:noProof/>
                <w:szCs w:val="20"/>
              </w:rPr>
            </w:pPr>
            <w:r>
              <w:rPr>
                <w:noProof/>
              </w:rPr>
              <w:t>Ilmoitus kaikkien Euroopan rautatieliikenteen hallintajärjestelmän (ERTMS) käyttöönottoa koskevien julkisten hankintasopimusten tekemisestä</w:t>
            </w:r>
          </w:p>
        </w:tc>
      </w:tr>
      <w:tr w:rsidR="00E42B18" w14:paraId="700CE8AA"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3E503" w14:textId="77777777" w:rsidR="00E42B18" w:rsidRDefault="009629C4">
            <w:pPr>
              <w:pStyle w:val="P68B1DB1-Normal11"/>
              <w:jc w:val="center"/>
              <w:rPr>
                <w:noProof/>
                <w:szCs w:val="20"/>
              </w:rPr>
            </w:pPr>
            <w:r>
              <w:rPr>
                <w:noProof/>
              </w:rPr>
              <w:t>M3C1–14</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958C04" w14:textId="77777777" w:rsidR="00E42B18" w:rsidRDefault="009629C4">
            <w:pPr>
              <w:pStyle w:val="P68B1DB1-Normal11"/>
              <w:jc w:val="center"/>
              <w:rPr>
                <w:noProof/>
                <w:szCs w:val="20"/>
              </w:rPr>
            </w:pPr>
            <w:r>
              <w:rPr>
                <w:noProof/>
              </w:rPr>
              <w:t>Investointi 1.4 – Euroopan rautatieliikenteen hallintajärjestelmän (ERTMS) käyttöönotto</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294CD1" w14:textId="77777777" w:rsidR="00E42B18" w:rsidRDefault="009629C4">
            <w:pPr>
              <w:pStyle w:val="P68B1DB1-Normal11"/>
              <w:jc w:val="center"/>
              <w:rPr>
                <w:noProof/>
                <w:szCs w:val="20"/>
              </w:rPr>
            </w:pPr>
            <w:r>
              <w:rPr>
                <w:noProof/>
              </w:rPr>
              <w:t>Kohde</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4E62F" w14:textId="77777777" w:rsidR="00E42B18" w:rsidRDefault="009629C4">
            <w:pPr>
              <w:pStyle w:val="P68B1DB1-Normal11"/>
              <w:jc w:val="center"/>
              <w:rPr>
                <w:noProof/>
                <w:szCs w:val="20"/>
              </w:rPr>
            </w:pPr>
            <w:r>
              <w:rPr>
                <w:noProof/>
              </w:rPr>
              <w:t xml:space="preserve"> 2 785 km Euroopan rautatieliikenteen hallintajärjestelmällä varustettuja ratoja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AF8771" w14:textId="77777777" w:rsidR="00E42B18" w:rsidRDefault="009629C4">
            <w:pPr>
              <w:pStyle w:val="P68B1DB1-Normal11"/>
              <w:jc w:val="center"/>
              <w:rPr>
                <w:noProof/>
                <w:szCs w:val="20"/>
              </w:rPr>
            </w:pPr>
            <w:r>
              <w:rPr>
                <w:noProof/>
              </w:rPr>
              <w:t>EI OLE</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EBE952" w14:textId="77777777" w:rsidR="00E42B18" w:rsidRDefault="009629C4">
            <w:pPr>
              <w:pStyle w:val="P68B1DB1-Normal11"/>
              <w:jc w:val="center"/>
              <w:rPr>
                <w:noProof/>
                <w:szCs w:val="20"/>
              </w:rPr>
            </w:pPr>
            <w:r>
              <w:rPr>
                <w:noProof/>
              </w:rPr>
              <w:t>Numero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62BE97" w14:textId="77777777" w:rsidR="00E42B18" w:rsidRDefault="009629C4">
            <w:pPr>
              <w:pStyle w:val="P68B1DB1-Normal11"/>
              <w:jc w:val="center"/>
              <w:rPr>
                <w:noProof/>
                <w:szCs w:val="20"/>
              </w:rPr>
            </w:pPr>
            <w:r>
              <w:rPr>
                <w:noProof/>
              </w:rPr>
              <w:t xml:space="preserve"> 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66B7D" w14:textId="77777777" w:rsidR="00E42B18" w:rsidRDefault="009629C4">
            <w:pPr>
              <w:pStyle w:val="P68B1DB1-Normal11"/>
              <w:jc w:val="center"/>
              <w:rPr>
                <w:noProof/>
                <w:szCs w:val="20"/>
              </w:rPr>
            </w:pPr>
            <w:r>
              <w:rPr>
                <w:noProof/>
              </w:rPr>
              <w:t>2 785</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C682F0" w14:textId="77777777" w:rsidR="00E42B18" w:rsidRDefault="009629C4">
            <w:pPr>
              <w:pStyle w:val="P68B1DB1-Normal11"/>
              <w:jc w:val="center"/>
              <w:rPr>
                <w:noProof/>
                <w:szCs w:val="20"/>
              </w:rPr>
            </w:pPr>
            <w:r>
              <w:rPr>
                <w:noProof/>
              </w:rPr>
              <w:t>Q2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99F392" w14:textId="77777777" w:rsidR="00E42B18" w:rsidRDefault="009629C4">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2225B2" w14:textId="77777777" w:rsidR="00E42B18" w:rsidRDefault="009629C4">
            <w:pPr>
              <w:pStyle w:val="P68B1DB1-Normal11"/>
              <w:spacing w:before="120" w:after="120"/>
              <w:rPr>
                <w:noProof/>
                <w:szCs w:val="20"/>
              </w:rPr>
            </w:pPr>
            <w:r>
              <w:rPr>
                <w:noProof/>
              </w:rPr>
              <w:t>Valmistumistodistukset myönnetään 2785 kilometrille rautateitä, jotka on varustettu Euroopan rautatieliikenteen hallintajärjestelmällä infrastruktuurin ja teknologian tasolla.</w:t>
            </w:r>
          </w:p>
        </w:tc>
      </w:tr>
      <w:tr w:rsidR="00E42B18" w14:paraId="1E441630"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6BB24" w14:textId="77777777" w:rsidR="00E42B18" w:rsidRDefault="009629C4">
            <w:pPr>
              <w:pStyle w:val="P68B1DB1-Normal11"/>
              <w:jc w:val="center"/>
              <w:rPr>
                <w:noProof/>
                <w:szCs w:val="20"/>
              </w:rPr>
            </w:pPr>
            <w:r>
              <w:rPr>
                <w:noProof/>
              </w:rPr>
              <w:t>M3C1–15</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637CF" w14:textId="77777777" w:rsidR="00E42B18" w:rsidRDefault="009629C4">
            <w:pPr>
              <w:pStyle w:val="P68B1DB1-Normal11"/>
              <w:jc w:val="center"/>
              <w:rPr>
                <w:noProof/>
                <w:szCs w:val="20"/>
              </w:rPr>
            </w:pPr>
            <w:r>
              <w:rPr>
                <w:noProof/>
              </w:rPr>
              <w:t>Investointi 1.5 – Suurkaupunkialueiden solmukohtien ja keskeisten kansallisten yhteyksien vahvistaminen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17D0F9" w14:textId="77777777" w:rsidR="00E42B18" w:rsidRDefault="009629C4">
            <w:pPr>
              <w:pStyle w:val="P68B1DB1-Normal11"/>
              <w:jc w:val="center"/>
              <w:rPr>
                <w:noProof/>
                <w:szCs w:val="20"/>
              </w:rPr>
            </w:pPr>
            <w:r>
              <w:rPr>
                <w:noProof/>
              </w:rPr>
              <w:t>Kohde</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B8B2F3" w14:textId="77777777" w:rsidR="00E42B18" w:rsidRDefault="009629C4">
            <w:pPr>
              <w:pStyle w:val="P68B1DB1-Normal11"/>
              <w:jc w:val="center"/>
              <w:rPr>
                <w:noProof/>
                <w:szCs w:val="20"/>
              </w:rPr>
            </w:pPr>
            <w:r>
              <w:rPr>
                <w:noProof/>
              </w:rPr>
              <w:t>700 km suurkaupunkisolmukohdista ja keskeisistä kansallisista yhteyksistä rakennettuja parannettuja rataosuuksia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613F5" w14:textId="77777777" w:rsidR="00E42B18" w:rsidRDefault="009629C4">
            <w:pPr>
              <w:pStyle w:val="P68B1DB1-Normal11"/>
              <w:jc w:val="center"/>
              <w:rPr>
                <w:noProof/>
                <w:szCs w:val="20"/>
              </w:rPr>
            </w:pPr>
            <w:r>
              <w:rPr>
                <w:noProof/>
              </w:rPr>
              <w:t>EI OLE</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286542" w14:textId="77777777" w:rsidR="00E42B18" w:rsidRDefault="009629C4">
            <w:pPr>
              <w:pStyle w:val="P68B1DB1-Normal11"/>
              <w:jc w:val="center"/>
              <w:rPr>
                <w:noProof/>
                <w:szCs w:val="20"/>
              </w:rPr>
            </w:pPr>
            <w:r>
              <w:rPr>
                <w:noProof/>
              </w:rPr>
              <w:t>Numero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18B36" w14:textId="77777777" w:rsidR="00E42B18" w:rsidRDefault="009629C4">
            <w:pPr>
              <w:pStyle w:val="P68B1DB1-Normal11"/>
              <w:jc w:val="center"/>
              <w:rPr>
                <w:noProof/>
                <w:szCs w:val="20"/>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68896" w14:textId="77777777" w:rsidR="00E42B18" w:rsidRDefault="009629C4">
            <w:pPr>
              <w:pStyle w:val="P68B1DB1-Normal11"/>
              <w:jc w:val="center"/>
              <w:rPr>
                <w:noProof/>
                <w:szCs w:val="20"/>
              </w:rPr>
            </w:pPr>
            <w:r>
              <w:rPr>
                <w:noProof/>
              </w:rPr>
              <w:t>700</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2A088" w14:textId="77777777" w:rsidR="00E42B18" w:rsidRDefault="009629C4">
            <w:pPr>
              <w:pStyle w:val="P68B1DB1-Normal11"/>
              <w:jc w:val="center"/>
              <w:rPr>
                <w:noProof/>
                <w:szCs w:val="20"/>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56A87" w14:textId="77777777" w:rsidR="00E42B18" w:rsidRDefault="009629C4">
            <w:pPr>
              <w:pStyle w:val="P68B1DB1-Normal11"/>
              <w:jc w:val="center"/>
              <w:rPr>
                <w:noProof/>
                <w:szCs w:val="20"/>
              </w:rPr>
            </w:pPr>
            <w:r>
              <w:rPr>
                <w:noProof/>
              </w:rPr>
              <w:t>2024</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94B72E" w14:textId="77777777" w:rsidR="00E42B18" w:rsidRDefault="009629C4">
            <w:pPr>
              <w:pStyle w:val="P68B1DB1-Normal11"/>
              <w:rPr>
                <w:noProof/>
                <w:szCs w:val="20"/>
              </w:rPr>
            </w:pPr>
            <w:r>
              <w:rPr>
                <w:noProof/>
              </w:rPr>
              <w:t>Vähintään 700 km suurkaupunkisolmukohdista ja keskeisistä kansallisista yhteyksistä rakennettuja parannettuja rataosuuksia, jotka ovat valmiita lupa- ja käyttövaiheisiin.</w:t>
            </w:r>
          </w:p>
        </w:tc>
      </w:tr>
      <w:tr w:rsidR="00E42B18" w14:paraId="746206FE"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EF03A2" w14:textId="77777777" w:rsidR="00E42B18" w:rsidRDefault="009629C4">
            <w:pPr>
              <w:pStyle w:val="P68B1DB1-Normal11"/>
              <w:jc w:val="center"/>
              <w:rPr>
                <w:noProof/>
                <w:szCs w:val="20"/>
              </w:rPr>
            </w:pPr>
            <w:r>
              <w:rPr>
                <w:noProof/>
              </w:rPr>
              <w:t>M3C1–17</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B3D9D" w14:textId="77777777" w:rsidR="00E42B18" w:rsidRDefault="009629C4">
            <w:pPr>
              <w:pStyle w:val="P68B1DB1-Normal11"/>
              <w:jc w:val="center"/>
              <w:rPr>
                <w:noProof/>
                <w:szCs w:val="20"/>
              </w:rPr>
            </w:pPr>
            <w:r>
              <w:rPr>
                <w:noProof/>
              </w:rPr>
              <w:t>Investointi 1.7 – Rautateiden parantaminen, sähköistäminen ja häiriönsietokyky etelässä</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2768C1" w14:textId="77777777" w:rsidR="00E42B18" w:rsidRDefault="00E42B18">
            <w:pPr>
              <w:jc w:val="center"/>
              <w:rPr>
                <w:rFonts w:ascii="Arial Narrow" w:hAnsi="Arial Narrow"/>
                <w:noProof/>
                <w:color w:val="006100"/>
                <w:sz w:val="20"/>
                <w:szCs w:val="20"/>
              </w:rPr>
            </w:pPr>
          </w:p>
          <w:p w14:paraId="7BEAA135" w14:textId="77777777" w:rsidR="00E42B18" w:rsidRDefault="009629C4">
            <w:pPr>
              <w:pStyle w:val="P68B1DB1-Normal11"/>
              <w:jc w:val="center"/>
              <w:rPr>
                <w:noProof/>
                <w:szCs w:val="20"/>
              </w:rPr>
            </w:pPr>
            <w:r>
              <w:rPr>
                <w:noProof/>
              </w:rPr>
              <w:t xml:space="preserve">Kohde </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375A13" w14:textId="77777777" w:rsidR="00E42B18" w:rsidRDefault="009629C4">
            <w:pPr>
              <w:pStyle w:val="P68B1DB1-Normal11"/>
              <w:jc w:val="center"/>
              <w:rPr>
                <w:noProof/>
                <w:szCs w:val="20"/>
              </w:rPr>
            </w:pPr>
            <w:r>
              <w:rPr>
                <w:noProof/>
              </w:rPr>
              <w:t>172 km päätökseen saatettuja töitä, jotka koskevat etelän rautateiden häiriönsietokykyä ja jotka ovat valmiita lupa- ja käyttövaiheisiin.</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87736E" w14:textId="77777777" w:rsidR="00E42B18" w:rsidRDefault="009629C4">
            <w:pPr>
              <w:pStyle w:val="P68B1DB1-Normal11"/>
              <w:jc w:val="center"/>
              <w:rPr>
                <w:noProof/>
                <w:szCs w:val="20"/>
              </w:rPr>
            </w:pPr>
            <w:r>
              <w:rPr>
                <w:noProof/>
              </w:rPr>
              <w:t>EI OLE</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64056C" w14:textId="77777777" w:rsidR="00E42B18" w:rsidRDefault="009629C4">
            <w:pPr>
              <w:pStyle w:val="P68B1DB1-Normal11"/>
              <w:jc w:val="center"/>
              <w:rPr>
                <w:noProof/>
                <w:szCs w:val="20"/>
              </w:rPr>
            </w:pPr>
            <w:r>
              <w:rPr>
                <w:noProof/>
              </w:rPr>
              <w:t>Numero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30DE7E" w14:textId="77777777" w:rsidR="00E42B18" w:rsidRDefault="009629C4">
            <w:pPr>
              <w:pStyle w:val="P68B1DB1-Normal11"/>
              <w:jc w:val="center"/>
              <w:rPr>
                <w:noProof/>
                <w:szCs w:val="20"/>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D474F1" w14:textId="77777777" w:rsidR="00E42B18" w:rsidRDefault="009629C4">
            <w:pPr>
              <w:pStyle w:val="P68B1DB1-Normal11"/>
              <w:jc w:val="center"/>
              <w:rPr>
                <w:noProof/>
                <w:szCs w:val="20"/>
              </w:rPr>
            </w:pPr>
            <w:r>
              <w:rPr>
                <w:noProof/>
              </w:rPr>
              <w:t>172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973458" w14:textId="77777777" w:rsidR="00E42B18" w:rsidRDefault="009629C4">
            <w:pPr>
              <w:pStyle w:val="P68B1DB1-Normal11"/>
              <w:jc w:val="center"/>
              <w:rPr>
                <w:noProof/>
                <w:szCs w:val="20"/>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FD1F0" w14:textId="77777777" w:rsidR="00E42B18" w:rsidRDefault="009629C4">
            <w:pPr>
              <w:pStyle w:val="P68B1DB1-Normal11"/>
              <w:jc w:val="center"/>
              <w:rPr>
                <w:noProof/>
                <w:szCs w:val="20"/>
              </w:rPr>
            </w:pPr>
            <w:r>
              <w:rPr>
                <w:noProof/>
              </w:rPr>
              <w:t>2023</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E59FFA" w14:textId="77777777" w:rsidR="00E42B18" w:rsidRDefault="009629C4">
            <w:pPr>
              <w:pStyle w:val="P68B1DB1-Normal11"/>
              <w:spacing w:before="120" w:after="120"/>
              <w:rPr>
                <w:noProof/>
                <w:szCs w:val="20"/>
              </w:rPr>
            </w:pPr>
            <w:r>
              <w:rPr>
                <w:noProof/>
              </w:rPr>
              <w:t xml:space="preserve">Vähintään 172 kilometrin pituisten, eteläisten rautateiden kestävyyteen liittyvien töiden loppuun saattaminen lupa- ja käyttövaiheita varten. </w:t>
            </w:r>
          </w:p>
          <w:p w14:paraId="1E373814" w14:textId="77777777" w:rsidR="00E42B18" w:rsidRDefault="009629C4">
            <w:pPr>
              <w:pStyle w:val="P68B1DB1-Normal11"/>
              <w:spacing w:before="120" w:after="120"/>
              <w:rPr>
                <w:noProof/>
              </w:rPr>
            </w:pPr>
            <w:r>
              <w:rPr>
                <w:noProof/>
              </w:rPr>
              <w:t>Kyseisellä 172 kilometrillä tarkoitetaan seuraavia linjoja:</w:t>
            </w:r>
          </w:p>
          <w:p w14:paraId="476F0D37" w14:textId="77777777" w:rsidR="00E42B18" w:rsidRPr="007F4B94" w:rsidRDefault="009629C4">
            <w:pPr>
              <w:pStyle w:val="P68B1DB1-Normal83"/>
              <w:spacing w:before="120" w:after="120"/>
              <w:rPr>
                <w:rFonts w:ascii="Arial Narrow" w:hAnsi="Arial Narrow"/>
                <w:noProof/>
                <w:sz w:val="20"/>
                <w:szCs w:val="20"/>
                <w:lang w:val="fr-FR"/>
              </w:rPr>
            </w:pPr>
            <w:r w:rsidRPr="007F4B94">
              <w:rPr>
                <w:rFonts w:ascii="Arial Narrow" w:hAnsi="Arial Narrow"/>
                <w:noProof/>
                <w:sz w:val="20"/>
                <w:lang w:val="fr-FR"/>
              </w:rPr>
              <w:t>•</w:t>
            </w:r>
            <w:r w:rsidRPr="007F4B94">
              <w:rPr>
                <w:noProof/>
                <w:lang w:val="fr-FR"/>
              </w:rPr>
              <w:t xml:space="preserve"> </w:t>
            </w:r>
            <w:r w:rsidRPr="007F4B94">
              <w:rPr>
                <w:rFonts w:ascii="Arial Narrow" w:hAnsi="Arial Narrow"/>
                <w:noProof/>
                <w:sz w:val="20"/>
                <w:lang w:val="fr-FR"/>
              </w:rPr>
              <w:t>Paola- Reggio Calabria;</w:t>
            </w:r>
          </w:p>
          <w:p w14:paraId="0A5AC86E" w14:textId="77777777" w:rsidR="00E42B18" w:rsidRPr="007F4B94" w:rsidRDefault="009629C4">
            <w:pPr>
              <w:pStyle w:val="P68B1DB1-Normal83"/>
              <w:spacing w:before="120" w:after="120"/>
              <w:rPr>
                <w:rFonts w:ascii="Arial Narrow" w:hAnsi="Arial Narrow"/>
                <w:noProof/>
                <w:sz w:val="20"/>
                <w:szCs w:val="20"/>
                <w:lang w:val="fr-FR"/>
              </w:rPr>
            </w:pPr>
            <w:r w:rsidRPr="007F4B94">
              <w:rPr>
                <w:rFonts w:ascii="Arial Narrow" w:hAnsi="Arial Narrow"/>
                <w:noProof/>
                <w:sz w:val="20"/>
                <w:lang w:val="fr-FR"/>
              </w:rPr>
              <w:t>•</w:t>
            </w:r>
            <w:r w:rsidRPr="007F4B94">
              <w:rPr>
                <w:noProof/>
                <w:lang w:val="fr-FR"/>
              </w:rPr>
              <w:t xml:space="preserve"> </w:t>
            </w:r>
            <w:r w:rsidRPr="007F4B94">
              <w:rPr>
                <w:rFonts w:ascii="Arial Narrow" w:hAnsi="Arial Narrow"/>
                <w:noProof/>
                <w:sz w:val="20"/>
                <w:lang w:val="fr-FR"/>
              </w:rPr>
              <w:t>Lentini Diramazione-Gela;</w:t>
            </w:r>
          </w:p>
          <w:p w14:paraId="57C7E872" w14:textId="77777777" w:rsidR="00E42B18" w:rsidRPr="007F4B94" w:rsidRDefault="009629C4">
            <w:pPr>
              <w:pStyle w:val="P68B1DB1-Normal83"/>
              <w:spacing w:before="120" w:after="120"/>
              <w:rPr>
                <w:rFonts w:ascii="Arial Narrow" w:hAnsi="Arial Narrow"/>
                <w:noProof/>
                <w:sz w:val="20"/>
                <w:szCs w:val="20"/>
                <w:lang w:val="fr-FR"/>
              </w:rPr>
            </w:pPr>
            <w:r w:rsidRPr="007F4B94">
              <w:rPr>
                <w:rFonts w:ascii="Arial Narrow" w:hAnsi="Arial Narrow"/>
                <w:noProof/>
                <w:sz w:val="20"/>
                <w:lang w:val="fr-FR"/>
              </w:rPr>
              <w:t>•</w:t>
            </w:r>
            <w:r w:rsidRPr="007F4B94">
              <w:rPr>
                <w:noProof/>
                <w:lang w:val="fr-FR"/>
              </w:rPr>
              <w:t xml:space="preserve"> </w:t>
            </w:r>
            <w:r w:rsidRPr="007F4B94">
              <w:rPr>
                <w:rFonts w:ascii="Arial Narrow" w:hAnsi="Arial Narrow"/>
                <w:noProof/>
                <w:sz w:val="20"/>
                <w:lang w:val="fr-FR"/>
              </w:rPr>
              <w:t>Messina – Catania – Siracusa;</w:t>
            </w:r>
          </w:p>
          <w:p w14:paraId="2B2D3801" w14:textId="77777777" w:rsidR="00E42B18" w:rsidRDefault="009629C4">
            <w:pPr>
              <w:pStyle w:val="P68B1DB1-Normal83"/>
              <w:spacing w:before="120" w:after="120"/>
              <w:rPr>
                <w:rFonts w:ascii="Arial Narrow" w:hAnsi="Arial Narrow"/>
                <w:noProof/>
                <w:sz w:val="20"/>
                <w:szCs w:val="20"/>
              </w:rPr>
            </w:pPr>
            <w:r>
              <w:rPr>
                <w:rFonts w:ascii="Arial Narrow" w:hAnsi="Arial Narrow"/>
                <w:noProof/>
                <w:sz w:val="20"/>
              </w:rPr>
              <w:t>•</w:t>
            </w:r>
            <w:r>
              <w:rPr>
                <w:noProof/>
              </w:rPr>
              <w:t xml:space="preserve"> </w:t>
            </w:r>
            <w:r>
              <w:rPr>
                <w:rFonts w:ascii="Arial Narrow" w:hAnsi="Arial Narrow"/>
                <w:noProof/>
                <w:sz w:val="20"/>
              </w:rPr>
              <w:t>Caserta – Battipaglia;</w:t>
            </w:r>
          </w:p>
          <w:p w14:paraId="00CA48FF" w14:textId="77777777" w:rsidR="00E42B18" w:rsidRDefault="009629C4">
            <w:pPr>
              <w:pStyle w:val="P68B1DB1-Normal83"/>
              <w:spacing w:before="120" w:after="120"/>
              <w:rPr>
                <w:rFonts w:ascii="Arial Narrow" w:hAnsi="Arial Narrow"/>
                <w:noProof/>
                <w:sz w:val="20"/>
                <w:szCs w:val="20"/>
              </w:rPr>
            </w:pPr>
            <w:r>
              <w:rPr>
                <w:rFonts w:ascii="Arial Narrow" w:hAnsi="Arial Narrow"/>
                <w:noProof/>
                <w:sz w:val="20"/>
              </w:rPr>
              <w:t>•</w:t>
            </w:r>
            <w:r>
              <w:rPr>
                <w:noProof/>
              </w:rPr>
              <w:t xml:space="preserve"> </w:t>
            </w:r>
            <w:r>
              <w:rPr>
                <w:rFonts w:ascii="Arial Narrow" w:hAnsi="Arial Narrow"/>
                <w:noProof/>
                <w:sz w:val="20"/>
              </w:rPr>
              <w:t>Romanit – Napoli; ja</w:t>
            </w:r>
          </w:p>
          <w:p w14:paraId="6B5F0ED0" w14:textId="77777777" w:rsidR="00E42B18" w:rsidRDefault="009629C4">
            <w:pPr>
              <w:pStyle w:val="P68B1DB1-Normal83"/>
              <w:spacing w:before="120" w:after="120"/>
              <w:rPr>
                <w:rFonts w:ascii="Arial Narrow" w:hAnsi="Arial Narrow"/>
                <w:noProof/>
                <w:sz w:val="20"/>
                <w:szCs w:val="20"/>
              </w:rPr>
            </w:pPr>
            <w:r>
              <w:rPr>
                <w:rFonts w:ascii="Arial Narrow" w:hAnsi="Arial Narrow"/>
                <w:noProof/>
                <w:sz w:val="20"/>
              </w:rPr>
              <w:t>•</w:t>
            </w:r>
            <w:r>
              <w:rPr>
                <w:noProof/>
              </w:rPr>
              <w:t xml:space="preserve"> </w:t>
            </w:r>
            <w:r>
              <w:rPr>
                <w:rFonts w:ascii="Arial Narrow" w:hAnsi="Arial Narrow"/>
                <w:noProof/>
                <w:sz w:val="20"/>
              </w:rPr>
              <w:t>Bari – Brindisi.</w:t>
            </w:r>
          </w:p>
          <w:p w14:paraId="38C839E6" w14:textId="0D4CDBEF" w:rsidR="00E42B18" w:rsidRDefault="009629C4">
            <w:pPr>
              <w:pStyle w:val="P68B1DB1-Normal11"/>
              <w:spacing w:before="120" w:after="120"/>
              <w:rPr>
                <w:noProof/>
                <w:szCs w:val="20"/>
              </w:rPr>
            </w:pPr>
            <w:r>
              <w:rPr>
                <w:noProof/>
              </w:rPr>
              <w:t>Tavoite on saavutettava sellaisten CLP-asetusten (Codice Locale Progetto) avulla, joita ei tueta muista EU:n rahastoista kuin elpymis- ja palautumistukivälineestä.</w:t>
            </w:r>
          </w:p>
        </w:tc>
      </w:tr>
      <w:tr w:rsidR="00E42B18" w14:paraId="27255734"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32153" w14:textId="77777777" w:rsidR="00E42B18" w:rsidRDefault="009629C4">
            <w:pPr>
              <w:pStyle w:val="P68B1DB1-Normal11"/>
              <w:jc w:val="center"/>
              <w:rPr>
                <w:noProof/>
                <w:szCs w:val="20"/>
              </w:rPr>
            </w:pPr>
            <w:r>
              <w:rPr>
                <w:noProof/>
              </w:rPr>
              <w:t>M3C1–19</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127273" w14:textId="77777777" w:rsidR="00E42B18" w:rsidRDefault="009629C4">
            <w:pPr>
              <w:pStyle w:val="P68B1DB1-Normal11"/>
              <w:jc w:val="center"/>
              <w:rPr>
                <w:noProof/>
                <w:szCs w:val="20"/>
              </w:rPr>
            </w:pPr>
            <w:r>
              <w:rPr>
                <w:noProof/>
              </w:rPr>
              <w:t>Investointi 1.8 – Rautatieasemien päivittäminen (RFI-hallinto; etelässä)</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BD8503" w14:textId="77777777" w:rsidR="00E42B18" w:rsidRDefault="009629C4">
            <w:pPr>
              <w:pStyle w:val="P68B1DB1-Normal11"/>
              <w:jc w:val="center"/>
              <w:rPr>
                <w:noProof/>
                <w:szCs w:val="20"/>
              </w:rPr>
            </w:pPr>
            <w:r>
              <w:rPr>
                <w:noProof/>
              </w:rPr>
              <w:t>Kohde</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A498C3" w14:textId="77777777" w:rsidR="00E42B18" w:rsidRDefault="009629C4">
            <w:pPr>
              <w:pStyle w:val="P68B1DB1-Normal11"/>
              <w:jc w:val="center"/>
              <w:rPr>
                <w:noProof/>
                <w:szCs w:val="20"/>
              </w:rPr>
            </w:pPr>
            <w:r>
              <w:rPr>
                <w:noProof/>
              </w:rPr>
              <w:t>Parannetut ja esteettömät rautatieasemat</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852E0E" w14:textId="77777777" w:rsidR="00E42B18" w:rsidRDefault="009629C4">
            <w:pPr>
              <w:pStyle w:val="P68B1DB1-Normal11"/>
              <w:jc w:val="center"/>
              <w:rPr>
                <w:noProof/>
                <w:szCs w:val="20"/>
              </w:rPr>
            </w:pPr>
            <w:r>
              <w:rPr>
                <w:noProof/>
              </w:rPr>
              <w:t>EI OLE</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44B849" w14:textId="77777777" w:rsidR="00E42B18" w:rsidRDefault="009629C4">
            <w:pPr>
              <w:pStyle w:val="P68B1DB1-Normal11"/>
              <w:jc w:val="center"/>
              <w:rPr>
                <w:noProof/>
                <w:szCs w:val="20"/>
              </w:rPr>
            </w:pPr>
            <w:r>
              <w:rPr>
                <w:noProof/>
              </w:rPr>
              <w:t>Numero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5EA341" w14:textId="77777777" w:rsidR="00E42B18" w:rsidRDefault="009629C4">
            <w:pPr>
              <w:pStyle w:val="P68B1DB1-Normal11"/>
              <w:jc w:val="center"/>
              <w:rPr>
                <w:noProof/>
                <w:szCs w:val="20"/>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A9F38B" w14:textId="77777777" w:rsidR="00E42B18" w:rsidRDefault="009629C4">
            <w:pPr>
              <w:pStyle w:val="P68B1DB1-Normal11"/>
              <w:jc w:val="center"/>
              <w:rPr>
                <w:noProof/>
                <w:szCs w:val="20"/>
              </w:rPr>
            </w:pPr>
            <w:r>
              <w:rPr>
                <w:noProof/>
              </w:rPr>
              <w:t>10</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F0E9F1" w14:textId="77777777" w:rsidR="00E42B18" w:rsidRDefault="009629C4">
            <w:pPr>
              <w:pStyle w:val="P68B1DB1-Normal11"/>
              <w:jc w:val="center"/>
              <w:rPr>
                <w:noProof/>
                <w:szCs w:val="20"/>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4BC992" w14:textId="77777777" w:rsidR="00E42B18" w:rsidRDefault="009629C4">
            <w:pPr>
              <w:pStyle w:val="P68B1DB1-Normal11"/>
              <w:jc w:val="center"/>
              <w:rPr>
                <w:noProof/>
                <w:szCs w:val="20"/>
              </w:rPr>
            </w:pPr>
            <w:r>
              <w:rPr>
                <w:noProof/>
              </w:rPr>
              <w:t>2024</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0CC2A" w14:textId="77777777" w:rsidR="00E42B18" w:rsidRDefault="009629C4">
            <w:pPr>
              <w:pStyle w:val="P68B1DB1-Normal12"/>
              <w:jc w:val="both"/>
              <w:rPr>
                <w:noProof/>
              </w:rPr>
            </w:pPr>
            <w:r>
              <w:rPr>
                <w:noProof/>
              </w:rPr>
              <w:t>Kymmenen rautatieasemaa on parannettu ja niihin on pääsy komission asetuksen (EU) N:o 1300/2014 mukaisesti.</w:t>
            </w:r>
          </w:p>
        </w:tc>
      </w:tr>
      <w:tr w:rsidR="00E42B18" w14:paraId="5B43724B"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8F279A" w14:textId="77777777" w:rsidR="00E42B18" w:rsidRDefault="009629C4">
            <w:pPr>
              <w:pStyle w:val="P68B1DB1-Normal11"/>
              <w:jc w:val="center"/>
              <w:rPr>
                <w:noProof/>
                <w:szCs w:val="20"/>
              </w:rPr>
            </w:pPr>
            <w:r>
              <w:rPr>
                <w:noProof/>
              </w:rPr>
              <w:t>M3C1–20</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F2440" w14:textId="77777777" w:rsidR="00E42B18" w:rsidRDefault="009629C4">
            <w:pPr>
              <w:pStyle w:val="P68B1DB1-Normal11"/>
              <w:jc w:val="center"/>
              <w:rPr>
                <w:noProof/>
                <w:szCs w:val="20"/>
              </w:rPr>
            </w:pPr>
            <w:r>
              <w:rPr>
                <w:noProof/>
              </w:rPr>
              <w:t>Investointi 1.8 – Rautatieasemien päivittäminen (RFI-hallinto; etelässä)</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4E74E7" w14:textId="77777777" w:rsidR="00E42B18" w:rsidRDefault="009629C4">
            <w:pPr>
              <w:pStyle w:val="P68B1DB1-Normal11"/>
              <w:jc w:val="center"/>
              <w:rPr>
                <w:noProof/>
                <w:szCs w:val="20"/>
              </w:rPr>
            </w:pPr>
            <w:r>
              <w:rPr>
                <w:noProof/>
              </w:rPr>
              <w:t>Kohde</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E7B0F6" w14:textId="77777777" w:rsidR="00E42B18" w:rsidRDefault="009629C4">
            <w:pPr>
              <w:pStyle w:val="P68B1DB1-Normal11"/>
              <w:jc w:val="center"/>
              <w:rPr>
                <w:noProof/>
                <w:szCs w:val="20"/>
              </w:rPr>
            </w:pPr>
            <w:r>
              <w:rPr>
                <w:noProof/>
              </w:rPr>
              <w:t>Parannetut ja esteettömät rautatieasemat</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7CAE8C" w14:textId="77777777" w:rsidR="00E42B18" w:rsidRDefault="009629C4">
            <w:pPr>
              <w:pStyle w:val="P68B1DB1-Normal11"/>
              <w:jc w:val="center"/>
              <w:rPr>
                <w:noProof/>
                <w:szCs w:val="20"/>
              </w:rPr>
            </w:pPr>
            <w:r>
              <w:rPr>
                <w:noProof/>
              </w:rPr>
              <w:t>EI OLE</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412140" w14:textId="77777777" w:rsidR="00E42B18" w:rsidRDefault="009629C4">
            <w:pPr>
              <w:pStyle w:val="P68B1DB1-Normal11"/>
              <w:jc w:val="center"/>
              <w:rPr>
                <w:noProof/>
                <w:szCs w:val="20"/>
              </w:rPr>
            </w:pPr>
            <w:r>
              <w:rPr>
                <w:noProof/>
              </w:rPr>
              <w:t>Numero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57FC6" w14:textId="77777777" w:rsidR="00E42B18" w:rsidRDefault="009629C4">
            <w:pPr>
              <w:pStyle w:val="P68B1DB1-Normal11"/>
              <w:jc w:val="center"/>
              <w:rPr>
                <w:noProof/>
                <w:szCs w:val="20"/>
              </w:rPr>
            </w:pPr>
            <w:r>
              <w:rPr>
                <w:noProof/>
              </w:rPr>
              <w:t>10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39B82" w14:textId="77777777" w:rsidR="00E42B18" w:rsidRDefault="009629C4">
            <w:pPr>
              <w:pStyle w:val="P68B1DB1-Normal11"/>
              <w:jc w:val="center"/>
              <w:rPr>
                <w:noProof/>
                <w:szCs w:val="20"/>
              </w:rPr>
            </w:pPr>
            <w:r>
              <w:rPr>
                <w:noProof/>
              </w:rPr>
              <w:t>38</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119620" w14:textId="77777777" w:rsidR="00E42B18" w:rsidRDefault="009629C4">
            <w:pPr>
              <w:pStyle w:val="P68B1DB1-Normal11"/>
              <w:jc w:val="center"/>
              <w:rPr>
                <w:noProof/>
                <w:szCs w:val="20"/>
              </w:rPr>
            </w:pPr>
            <w:r>
              <w:rPr>
                <w:noProof/>
              </w:rPr>
              <w:t>Q2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B949E6" w14:textId="77777777" w:rsidR="00E42B18" w:rsidRDefault="009629C4">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54FB8F" w14:textId="77777777" w:rsidR="00E42B18" w:rsidRDefault="009629C4">
            <w:pPr>
              <w:pStyle w:val="P68B1DB1-Normal11"/>
              <w:spacing w:before="120"/>
              <w:jc w:val="both"/>
              <w:rPr>
                <w:noProof/>
              </w:rPr>
            </w:pPr>
            <w:r>
              <w:rPr>
                <w:noProof/>
              </w:rPr>
              <w:t>Todistukset 38 rautatieaseman parannustöiden valmistumisesta Abruzzon, Basilicata Campanian, Calabrian, Molisen, Puglian, Sisilian ja Sardegnan alueilla.</w:t>
            </w:r>
          </w:p>
        </w:tc>
      </w:tr>
      <w:tr w:rsidR="00E42B18" w14:paraId="4CF7952E"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847CD0" w14:textId="77777777" w:rsidR="00E42B18" w:rsidRDefault="009629C4">
            <w:pPr>
              <w:pStyle w:val="P68B1DB1-Normal11"/>
              <w:jc w:val="center"/>
              <w:rPr>
                <w:noProof/>
                <w:szCs w:val="20"/>
              </w:rPr>
            </w:pPr>
            <w:r>
              <w:rPr>
                <w:noProof/>
              </w:rPr>
              <w:t>M3C1–21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220A" w14:textId="77777777" w:rsidR="00E42B18" w:rsidRDefault="009629C4">
            <w:pPr>
              <w:pStyle w:val="P68B1DB1-Normal11"/>
              <w:jc w:val="center"/>
              <w:rPr>
                <w:noProof/>
                <w:szCs w:val="20"/>
              </w:rPr>
            </w:pPr>
            <w:r>
              <w:rPr>
                <w:noProof/>
              </w:rPr>
              <w:t>Uudistus 2.1 – Viimeaikaisen yksinkertaistamisasetuksen (joka on muutettu 11 päivänä syyskuuta 2020 annetuksi laiksi nro 120) täytäntöönpano antamalla asetus ”Suuntaviivat riskien luokittelua ja hallintaa, turvallisuuden arviointia ja olemassa olevien siltojen valvontaa varten”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E79161" w14:textId="77777777" w:rsidR="00E42B18" w:rsidRDefault="009629C4">
            <w:pPr>
              <w:pStyle w:val="P68B1DB1-Normal11"/>
              <w:jc w:val="center"/>
              <w:rPr>
                <w:noProof/>
                <w:szCs w:val="20"/>
              </w:rPr>
            </w:pPr>
            <w:r>
              <w:rPr>
                <w:noProof/>
              </w:rPr>
              <w:t>Virstanpylväs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11578" w14:textId="77777777" w:rsidR="00E42B18" w:rsidRDefault="009629C4">
            <w:pPr>
              <w:pStyle w:val="P68B1DB1-Normal11"/>
              <w:jc w:val="center"/>
              <w:rPr>
                <w:noProof/>
                <w:szCs w:val="20"/>
              </w:rPr>
            </w:pPr>
            <w:r>
              <w:rPr>
                <w:noProof/>
              </w:rPr>
              <w:t>Riskien luokittelua ja hallintaa, turvallisuuden arviointia ja nykyisten siltojen seurantaa koskevien suuntaviivojen voimaantulo</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6197B3" w14:textId="77777777" w:rsidR="00E42B18" w:rsidRDefault="009629C4">
            <w:pPr>
              <w:pStyle w:val="P68B1DB1-Normal11"/>
              <w:jc w:val="center"/>
              <w:rPr>
                <w:noProof/>
                <w:szCs w:val="20"/>
              </w:rPr>
            </w:pPr>
            <w:r>
              <w:rPr>
                <w:noProof/>
              </w:rPr>
              <w:t>Asetuksen säännös, jossa ilmoitetaan ”Suuntaviivat riskien luokittelua ja hallintaa, turvallisuuden arviointia ja olemassa olevien siltojen valvontaa” koskevan asetuksen voimaantulosta</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59893" w14:textId="77777777" w:rsidR="00E42B18" w:rsidRDefault="009629C4">
            <w:pPr>
              <w:pStyle w:val="P68B1DB1-Normal11"/>
              <w:jc w:val="center"/>
              <w:rPr>
                <w:noProof/>
                <w:szCs w:val="20"/>
              </w:rPr>
            </w:pPr>
            <w:r>
              <w:rPr>
                <w:noProof/>
              </w:rPr>
              <w:t>EI OLE</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BB24A2" w14:textId="77777777" w:rsidR="00E42B18" w:rsidRDefault="009629C4">
            <w:pPr>
              <w:pStyle w:val="P68B1DB1-Normal11"/>
              <w:jc w:val="center"/>
              <w:rPr>
                <w:noProof/>
                <w:szCs w:val="20"/>
              </w:rPr>
            </w:pPr>
            <w:r>
              <w:rPr>
                <w:noProof/>
              </w:rPr>
              <w:t>EI OLE</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791D8A" w14:textId="77777777" w:rsidR="00E42B18" w:rsidRDefault="009629C4">
            <w:pPr>
              <w:pStyle w:val="P68B1DB1-Normal11"/>
              <w:jc w:val="center"/>
              <w:rPr>
                <w:noProof/>
                <w:szCs w:val="20"/>
              </w:rPr>
            </w:pPr>
            <w:r>
              <w:rPr>
                <w:noProof/>
              </w:rPr>
              <w:t>EI OLE</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6F03EE" w14:textId="77777777" w:rsidR="00E42B18" w:rsidRDefault="009629C4">
            <w:pPr>
              <w:pStyle w:val="P68B1DB1-Normal11"/>
              <w:jc w:val="center"/>
              <w:rPr>
                <w:noProof/>
                <w:szCs w:val="20"/>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F6C8A1" w14:textId="77777777" w:rsidR="00E42B18" w:rsidRDefault="009629C4">
            <w:pPr>
              <w:pStyle w:val="P68B1DB1-Normal11"/>
              <w:jc w:val="center"/>
              <w:rPr>
                <w:noProof/>
                <w:szCs w:val="20"/>
              </w:rPr>
            </w:pPr>
            <w:r>
              <w:rPr>
                <w:noProof/>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BBC67" w14:textId="77777777" w:rsidR="00E42B18" w:rsidRDefault="009629C4">
            <w:pPr>
              <w:pStyle w:val="P68B1DB1-Normal14"/>
              <w:spacing w:before="120" w:after="120"/>
              <w:rPr>
                <w:noProof/>
                <w:color w:val="006100"/>
                <w:szCs w:val="20"/>
              </w:rPr>
            </w:pPr>
            <w:r>
              <w:rPr>
                <w:noProof/>
                <w:color w:val="006100"/>
              </w:rPr>
              <w:t>Suuntaviivoissa vahvistetaan yhteiset standardit ja menetelmät koko kansalliselle tieverkolle</w:t>
            </w:r>
            <w:r>
              <w:rPr>
                <w:noProof/>
              </w:rPr>
              <w:t xml:space="preserve"> </w:t>
            </w:r>
            <w:r>
              <w:rPr>
                <w:noProof/>
                <w:color w:val="006100"/>
              </w:rPr>
              <w:t>riskien luokittelua ja hallintaa, turvallisuuden arviointia ja olemassa olevien siltojen seurantaa varten.</w:t>
            </w:r>
          </w:p>
        </w:tc>
      </w:tr>
      <w:tr w:rsidR="00E42B18" w14:paraId="3064014F"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2F6C7" w14:textId="77777777" w:rsidR="00E42B18" w:rsidRDefault="009629C4">
            <w:pPr>
              <w:pStyle w:val="P68B1DB1-Normal11"/>
              <w:jc w:val="center"/>
              <w:rPr>
                <w:noProof/>
                <w:szCs w:val="20"/>
              </w:rPr>
            </w:pPr>
            <w:r>
              <w:rPr>
                <w:noProof/>
              </w:rPr>
              <w:t>M3C1–22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620DCE" w14:textId="77777777" w:rsidR="00E42B18" w:rsidRDefault="009629C4">
            <w:pPr>
              <w:pStyle w:val="P68B1DB1-Normal11"/>
              <w:jc w:val="center"/>
              <w:rPr>
                <w:noProof/>
                <w:szCs w:val="20"/>
              </w:rPr>
            </w:pPr>
            <w:r>
              <w:rPr>
                <w:noProof/>
              </w:rPr>
              <w:t>Uudistus 2.2 – Siirtojen ja putkijohtojen omaisuuden siirtäminen alemman tason teistä ylemmän tason teihin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B865AF" w14:textId="77777777" w:rsidR="00E42B18" w:rsidRDefault="009629C4">
            <w:pPr>
              <w:pStyle w:val="P68B1DB1-Normal11"/>
              <w:jc w:val="center"/>
              <w:rPr>
                <w:noProof/>
                <w:szCs w:val="20"/>
              </w:rPr>
            </w:pPr>
            <w:r>
              <w:rPr>
                <w:noProof/>
              </w:rPr>
              <w:t>Virstanpylväs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1E037" w14:textId="77777777" w:rsidR="00E42B18" w:rsidRDefault="009629C4">
            <w:pPr>
              <w:pStyle w:val="P68B1DB1-Normal11"/>
              <w:jc w:val="center"/>
              <w:rPr>
                <w:noProof/>
                <w:szCs w:val="20"/>
              </w:rPr>
            </w:pPr>
            <w:r>
              <w:rPr>
                <w:noProof/>
              </w:rPr>
              <w:t>Siirretään siltojen, kulkuväylien ja yliväylien omistus alemman tason teistä ylemmän tason teihin (tiet ja päätiet)</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35833" w14:textId="77777777" w:rsidR="00E42B18" w:rsidRDefault="009629C4">
            <w:pPr>
              <w:pStyle w:val="P68B1DB1-Normal11"/>
              <w:jc w:val="center"/>
              <w:rPr>
                <w:noProof/>
                <w:szCs w:val="20"/>
              </w:rPr>
            </w:pPr>
            <w:r>
              <w:rPr>
                <w:noProof/>
              </w:rPr>
              <w:t>Asiaa koskevan säädöksen säännös, jossa viitataan siltojen, kulkuväylien ja yliväylien omistuksen siirron voimaantuloon alemman tason teistä ylemmän tason teihin (tiet ja päätiet)</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7B7B8A" w14:textId="77777777" w:rsidR="00E42B18" w:rsidRDefault="009629C4">
            <w:pPr>
              <w:pStyle w:val="P68B1DB1-Normal11"/>
              <w:jc w:val="center"/>
              <w:rPr>
                <w:noProof/>
                <w:szCs w:val="20"/>
              </w:rPr>
            </w:pPr>
            <w:r>
              <w:rPr>
                <w:noProof/>
              </w:rPr>
              <w:t>EI OLE</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3F1CE5" w14:textId="77777777" w:rsidR="00E42B18" w:rsidRDefault="009629C4">
            <w:pPr>
              <w:pStyle w:val="P68B1DB1-Normal11"/>
              <w:jc w:val="center"/>
              <w:rPr>
                <w:noProof/>
                <w:szCs w:val="20"/>
              </w:rPr>
            </w:pPr>
            <w:r>
              <w:rPr>
                <w:noProof/>
              </w:rPr>
              <w:t>EI OLE</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46D24" w14:textId="77777777" w:rsidR="00E42B18" w:rsidRDefault="009629C4">
            <w:pPr>
              <w:pStyle w:val="P68B1DB1-Normal11"/>
              <w:jc w:val="center"/>
              <w:rPr>
                <w:noProof/>
                <w:szCs w:val="20"/>
              </w:rPr>
            </w:pPr>
            <w:r>
              <w:rPr>
                <w:noProof/>
              </w:rPr>
              <w:t>EI OLE</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1BA4F8" w14:textId="77777777" w:rsidR="00E42B18" w:rsidRDefault="009629C4">
            <w:pPr>
              <w:pStyle w:val="P68B1DB1-Normal11"/>
              <w:jc w:val="center"/>
              <w:rPr>
                <w:noProof/>
                <w:szCs w:val="20"/>
              </w:rPr>
            </w:pPr>
            <w:r>
              <w:rPr>
                <w:noProof/>
              </w:rPr>
              <w:t>Q4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947BFD" w14:textId="77777777" w:rsidR="00E42B18" w:rsidRDefault="009629C4">
            <w:pPr>
              <w:pStyle w:val="P68B1DB1-Normal11"/>
              <w:jc w:val="center"/>
              <w:rPr>
                <w:noProof/>
                <w:szCs w:val="20"/>
              </w:rPr>
            </w:pPr>
            <w:r>
              <w:rPr>
                <w:noProof/>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54DBD" w14:textId="77777777" w:rsidR="00E42B18" w:rsidRDefault="009629C4">
            <w:pPr>
              <w:pStyle w:val="P68B1DB1-Normal11"/>
              <w:jc w:val="both"/>
              <w:rPr>
                <w:noProof/>
                <w:szCs w:val="20"/>
              </w:rPr>
            </w:pPr>
            <w:r>
              <w:rPr>
                <w:noProof/>
              </w:rPr>
              <w:t>Taideteosten omistusoikeus on siirrettävä kuuden kuukauden kuluessa lain 120/20 voimaantulosta. Sen odotetaan valmistuvan asetuksen 285/1992 (Codice della Strada) ja sen asetusten (presidentin asetus 495/92) säännösten mukaisesti, joissa säädetään omistusoikeuden siirrosta tienomistajien välillä.</w:t>
            </w:r>
          </w:p>
        </w:tc>
      </w:tr>
      <w:tr w:rsidR="00E42B18" w14:paraId="4D2447AE"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305B0" w14:textId="77777777" w:rsidR="00E42B18" w:rsidRDefault="009629C4">
            <w:pPr>
              <w:pStyle w:val="P68B1DB1-Normal11"/>
              <w:jc w:val="center"/>
              <w:rPr>
                <w:noProof/>
              </w:rPr>
            </w:pPr>
            <w:r>
              <w:rPr>
                <w:noProof/>
              </w:rPr>
              <w:t>M3C1–26</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E138A" w14:textId="5C958CC8" w:rsidR="00E42B18" w:rsidRDefault="009629C4">
            <w:pPr>
              <w:pStyle w:val="P68B1DB1-Normal11"/>
              <w:jc w:val="center"/>
              <w:rPr>
                <w:noProof/>
              </w:rPr>
            </w:pPr>
            <w:r>
              <w:rPr>
                <w:noProof/>
              </w:rPr>
              <w:t>Uudistus 1.3 – Rautatieinfrastruktuurin tehostaminen Italiassa</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B096D6" w14:textId="77777777" w:rsidR="00E42B18" w:rsidRDefault="009629C4">
            <w:pPr>
              <w:pStyle w:val="P68B1DB1-Normal11"/>
              <w:jc w:val="center"/>
              <w:rPr>
                <w:noProof/>
              </w:rPr>
            </w:pPr>
            <w:r>
              <w:rPr>
                <w:noProof/>
              </w:rPr>
              <w:t>Virstanpylväs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975367" w14:textId="21A04F2D" w:rsidR="00E42B18" w:rsidRDefault="009629C4">
            <w:pPr>
              <w:pStyle w:val="P68B1DB1-Normal11"/>
              <w:jc w:val="center"/>
              <w:rPr>
                <w:noProof/>
              </w:rPr>
            </w:pPr>
            <w:r>
              <w:rPr>
                <w:noProof/>
              </w:rPr>
              <w:t>Lainsäädännön ja muiden säädösten voimaantulo</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0F77E" w14:textId="2283A67F" w:rsidR="00E42B18" w:rsidRDefault="009629C4">
            <w:pPr>
              <w:pStyle w:val="P68B1DB1-Normal11"/>
              <w:jc w:val="center"/>
              <w:rPr>
                <w:noProof/>
              </w:rPr>
            </w:pPr>
            <w:r>
              <w:rPr>
                <w:noProof/>
              </w:rPr>
              <w:t>Lainsäädäntö ja muut säädökset</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936F1E" w14:textId="77777777" w:rsidR="00E42B18" w:rsidRDefault="009629C4">
            <w:pPr>
              <w:pStyle w:val="P68B1DB1-Normal11"/>
              <w:jc w:val="center"/>
              <w:rPr>
                <w:noProof/>
              </w:rPr>
            </w:pPr>
            <w:r>
              <w:rPr>
                <w:noProof/>
              </w:rPr>
              <w:t>EI OLE</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AC3A5" w14:textId="77777777" w:rsidR="00E42B18" w:rsidRDefault="009629C4">
            <w:pPr>
              <w:pStyle w:val="P68B1DB1-Normal11"/>
              <w:jc w:val="center"/>
              <w:rPr>
                <w:noProof/>
              </w:rPr>
            </w:pPr>
            <w:r>
              <w:rPr>
                <w:noProof/>
              </w:rPr>
              <w:t>EI OLE</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D03A39" w14:textId="77777777" w:rsidR="00E42B18" w:rsidRDefault="009629C4">
            <w:pPr>
              <w:pStyle w:val="P68B1DB1-Normal11"/>
              <w:jc w:val="center"/>
              <w:rPr>
                <w:noProof/>
              </w:rPr>
            </w:pPr>
            <w:r>
              <w:rPr>
                <w:noProof/>
              </w:rPr>
              <w:t>EI OLE</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6A022" w14:textId="77777777" w:rsidR="00E42B18" w:rsidRDefault="009629C4">
            <w:pPr>
              <w:pStyle w:val="P68B1DB1-Normal11"/>
              <w:jc w:val="center"/>
              <w:rPr>
                <w:noProof/>
              </w:rPr>
            </w:pPr>
            <w:r>
              <w:rPr>
                <w:noProof/>
              </w:rPr>
              <w:t>Q2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4A02E8" w14:textId="77777777" w:rsidR="00E42B18" w:rsidRDefault="009629C4">
            <w:pPr>
              <w:pStyle w:val="P68B1DB1-Normal11"/>
              <w:jc w:val="center"/>
              <w:rPr>
                <w:noProof/>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5E4DDB" w14:textId="396E3D79" w:rsidR="00E42B18" w:rsidRDefault="009629C4">
            <w:pPr>
              <w:pStyle w:val="P68B1DB1-Normal11"/>
              <w:rPr>
                <w:noProof/>
              </w:rPr>
            </w:pPr>
            <w:r>
              <w:rPr>
                <w:noProof/>
              </w:rPr>
              <w:t>Lainsäädännön ja tarvittaessa muiden säädösten voimaantulo, kuten jäljempänä täsmennetään.</w:t>
            </w:r>
          </w:p>
          <w:p w14:paraId="05DDA0A8" w14:textId="77777777" w:rsidR="00E42B18" w:rsidRDefault="009629C4">
            <w:pPr>
              <w:pStyle w:val="P68B1DB1-Normal12"/>
              <w:rPr>
                <w:noProof/>
              </w:rPr>
            </w:pPr>
            <w:r>
              <w:rPr>
                <w:noProof/>
                <w:u w:val="single"/>
              </w:rPr>
              <w:t>Osa 1 – Julkisten investointien tehokkuus ja tuloksellisuus</w:t>
            </w:r>
            <w:r>
              <w:rPr>
                <w:noProof/>
              </w:rPr>
              <w:t xml:space="preserve">: </w:t>
            </w:r>
          </w:p>
          <w:p w14:paraId="2268F532" w14:textId="77777777" w:rsidR="00E42B18" w:rsidRDefault="009629C4">
            <w:pPr>
              <w:pStyle w:val="P68B1DB1-Normal12"/>
              <w:jc w:val="both"/>
              <w:rPr>
                <w:noProof/>
              </w:rPr>
            </w:pPr>
            <w:r>
              <w:rPr>
                <w:noProof/>
              </w:rPr>
              <w:t>Lainsäädännön mukaan infrastruktuuri- ja liikenneministeriö hyväksyy monivuotisen strategia-asiakirjan, jolla ohjataan Italian monivuotista infrastruktuurisuunnittelua vähintään kymmenen vuoden ajan. Asiakirjalla on edistettävä multimodaalista liikennettä ja otettava yrityssektorin teollisuuden tarpeet täysimääräisesti huomioon infrastruktuurin suunnittelussa (esimerkiksi asettamalla etusijalle investoinnit, jotka yhdistävät keskeiset teollisuusalueet ja logistiikkakeskukset liikenneverkkoon).</w:t>
            </w:r>
          </w:p>
          <w:p w14:paraId="2F93406E" w14:textId="55393009" w:rsidR="00E42B18" w:rsidRDefault="009629C4">
            <w:pPr>
              <w:pStyle w:val="P68B1DB1-Normal12"/>
              <w:jc w:val="both"/>
              <w:rPr>
                <w:noProof/>
              </w:rPr>
            </w:pPr>
            <w:r>
              <w:rPr>
                <w:noProof/>
              </w:rPr>
              <w:t xml:space="preserve">Uudistuksessa säädetään infrastruktuurin suunnitteluasiakirjojen tarkistamisesta. Tarkemmin sanottuna lainsäädännössä on </w:t>
            </w:r>
          </w:p>
          <w:p w14:paraId="3F1B7774" w14:textId="77777777" w:rsidR="00E42B18" w:rsidRDefault="009629C4">
            <w:pPr>
              <w:pStyle w:val="P68B1DB1-ListParagraph13"/>
              <w:numPr>
                <w:ilvl w:val="1"/>
                <w:numId w:val="36"/>
              </w:numPr>
              <w:spacing w:before="120" w:after="120" w:line="240" w:lineRule="auto"/>
              <w:ind w:left="360"/>
              <w:jc w:val="both"/>
              <w:rPr>
                <w:noProof/>
              </w:rPr>
            </w:pPr>
            <w:r>
              <w:rPr>
                <w:noProof/>
              </w:rPr>
              <w:t>Varmistettava, että Contratto di Programma, rautatieinfrastruktuurin kehittämisstrategia ja infrastruktuurin haltijan liiketoimintasuunnitelma laaditaan infrastruktuuri- ja liikenneministeriön monivuotisen strategisen asiakirjan tavoitteiden ja direktiivin 34/2012/EU mukaisesti.</w:t>
            </w:r>
          </w:p>
          <w:p w14:paraId="1BC27F86" w14:textId="77777777" w:rsidR="00E42B18" w:rsidRDefault="009629C4">
            <w:pPr>
              <w:pStyle w:val="P68B1DB1-ListParagraph13"/>
              <w:numPr>
                <w:ilvl w:val="1"/>
                <w:numId w:val="36"/>
              </w:numPr>
              <w:spacing w:before="120" w:after="120" w:line="240" w:lineRule="auto"/>
              <w:ind w:left="360"/>
              <w:jc w:val="both"/>
              <w:rPr>
                <w:noProof/>
              </w:rPr>
            </w:pPr>
            <w:r>
              <w:rPr>
                <w:noProof/>
              </w:rPr>
              <w:t>Osana Contratto di Programman hyväksymismenettelyä sääntelyelimen (Autorità di regolazione dei trasporti, ART) lausunto liikkuvuutta koskevasta strategisesta asiakirjasta (Documento strategico della mobilità ferroviaria di passeggeri e merci) (sellaisena kuin se on määritelty Italian laissa nro 233 vuodelta 2021–5 comma 1, lett. a). Lausunnossa on myös arvioitava suunniteltujen investointien johdonmukaisuutta markkinoiden tarpeiden kanssa, jotka on kerätty direktiivin 2012/34/EU 7 e artiklassa tarkoitettujen koordinointimekanismien kanssa.</w:t>
            </w:r>
          </w:p>
          <w:p w14:paraId="0FA2FE1E" w14:textId="77777777" w:rsidR="00E42B18" w:rsidRDefault="009629C4">
            <w:pPr>
              <w:pStyle w:val="P68B1DB1-ListParagraph13"/>
              <w:numPr>
                <w:ilvl w:val="1"/>
                <w:numId w:val="36"/>
              </w:numPr>
              <w:spacing w:before="120" w:after="120" w:line="240" w:lineRule="auto"/>
              <w:ind w:left="360"/>
              <w:jc w:val="both"/>
              <w:rPr>
                <w:noProof/>
              </w:rPr>
            </w:pPr>
            <w:r>
              <w:rPr>
                <w:noProof/>
              </w:rPr>
              <w:t>Otetaan uudessa Contratto di Programma -ohjelmassa käyttöön välitavoitteiden ja tavoitteiden ja niitä vastaavien määräaikojen sekä tulosindikaattoreiden ja laatukriteerien järjestelmä, jolla pannaan täytäntöön Contratto di Programma ja mitataan sen tuloksellisia saavutuksia. Indikaattorit ja laatukriteerit vahvistetaan direktiivin 2012/34/EU liitteen V mukaisesti. Rete Ferroviaria Italianan (RFI) johtajien bonusten tunnistusjärjestelmän on oltava direktiivin 2012/34/EU 7 artiklan 4 kohdan mukainen, ja siinä on otettava huomioon välitavoitteiden ja tavoitteiden saavuttaminen sekä Contratto di Programma -ohjelmaan sisältyvien tulosindikaattoreiden osalta saavutetut tulokset.</w:t>
            </w:r>
          </w:p>
          <w:p w14:paraId="7AFB6E7B" w14:textId="77777777" w:rsidR="00E42B18" w:rsidRDefault="009629C4">
            <w:pPr>
              <w:pStyle w:val="P68B1DB1-ListParagraph13"/>
              <w:numPr>
                <w:ilvl w:val="1"/>
                <w:numId w:val="36"/>
              </w:numPr>
              <w:spacing w:before="120" w:after="120" w:line="240" w:lineRule="auto"/>
              <w:ind w:left="360"/>
              <w:jc w:val="both"/>
              <w:rPr>
                <w:noProof/>
              </w:rPr>
            </w:pPr>
            <w:r>
              <w:rPr>
                <w:noProof/>
              </w:rPr>
              <w:t xml:space="preserve">Valtuutetaan sääntelyelin määrittämään yhteisymmärryksessä MIT:n kanssa ne suoritusindikaattorit, jotka liitetään Contratto di Programma -ohjelmaan. </w:t>
            </w:r>
          </w:p>
          <w:p w14:paraId="1ACA5D9F" w14:textId="77777777" w:rsidR="00E42B18" w:rsidRDefault="009629C4">
            <w:pPr>
              <w:pStyle w:val="P68B1DB1-ListParagraph13"/>
              <w:numPr>
                <w:ilvl w:val="1"/>
                <w:numId w:val="36"/>
              </w:numPr>
              <w:spacing w:before="120" w:after="120" w:line="240" w:lineRule="auto"/>
              <w:ind w:left="360"/>
              <w:jc w:val="both"/>
              <w:rPr>
                <w:noProof/>
              </w:rPr>
            </w:pPr>
            <w:r>
              <w:rPr>
                <w:noProof/>
              </w:rPr>
              <w:t>Annetaan sääntelyelimelle valtuudet seurata välitavoitteiden ja tavoitteiden saavuttamista sekä Contratto di Programma -ohjelmaan sisältyvien tulosindikaattoreiden saavuttamista</w:t>
            </w:r>
          </w:p>
          <w:p w14:paraId="607656D4" w14:textId="77777777" w:rsidR="00E42B18" w:rsidRDefault="009629C4">
            <w:pPr>
              <w:pStyle w:val="P68B1DB1-ListParagraph13"/>
              <w:numPr>
                <w:ilvl w:val="1"/>
                <w:numId w:val="36"/>
              </w:numPr>
              <w:spacing w:before="120" w:after="120" w:line="240" w:lineRule="auto"/>
              <w:ind w:left="360"/>
              <w:jc w:val="both"/>
              <w:rPr>
                <w:noProof/>
              </w:rPr>
            </w:pPr>
            <w:r>
              <w:rPr>
                <w:noProof/>
              </w:rPr>
              <w:t xml:space="preserve">Vaatia infrastruktuuri- ja liikenneministeriötä tekemään perusteellisen kustannus-hyötyanalyysin Contratto di Programma -ohjelmaan sisältyvistä suurista investoinneista (yli 50 miljoonan euron investoinnit). Analyysissä käytettyjä yksikkökustannuksia on verrattava kansainvälisiin vertailuarvoihin rautateiden infrastruktuuri-investointien eri luokkien osalta, ja niiden on oltava kustannus-hyötyanalyysia koskevien EU:n ja kansallisten suuntaviivojen mukaisia. Analyysin tulokset ovat avoimia asianomaisten osapuolten kuulemiselle ennen sopimusten hyväksymistä, ja ne julkaistaan, kun ne on hyväksytty. </w:t>
            </w:r>
          </w:p>
          <w:p w14:paraId="36EDFA74" w14:textId="436E59CD" w:rsidR="00E42B18" w:rsidRDefault="009629C4">
            <w:pPr>
              <w:pStyle w:val="P68B1DB1-ListParagraph13"/>
              <w:numPr>
                <w:ilvl w:val="1"/>
                <w:numId w:val="36"/>
              </w:numPr>
              <w:spacing w:before="120" w:after="120" w:line="240" w:lineRule="auto"/>
              <w:ind w:left="360"/>
              <w:jc w:val="both"/>
              <w:rPr>
                <w:noProof/>
              </w:rPr>
            </w:pPr>
            <w:r>
              <w:rPr>
                <w:noProof/>
              </w:rPr>
              <w:t xml:space="preserve">Säädetään </w:t>
            </w:r>
            <w:r>
              <w:rPr>
                <w:i/>
                <w:noProof/>
              </w:rPr>
              <w:t>Contratto di Programma -ohjelman hyväksymisestä (</w:t>
            </w:r>
            <w:r>
              <w:rPr>
                <w:noProof/>
              </w:rPr>
              <w:t xml:space="preserve"> mukaan lukien kustannus-hyötyanalyysi, välitavoitteet ja tavoitteet sekä tulosindikaattorit).</w:t>
            </w:r>
          </w:p>
          <w:p w14:paraId="62ADFC25" w14:textId="77777777" w:rsidR="00E42B18" w:rsidRDefault="009629C4">
            <w:pPr>
              <w:pStyle w:val="P68B1DB1-Normal12"/>
              <w:jc w:val="both"/>
              <w:rPr>
                <w:noProof/>
              </w:rPr>
            </w:pPr>
            <w:r>
              <w:rPr>
                <w:noProof/>
                <w:u w:val="single"/>
              </w:rPr>
              <w:t>Osa 2 – Kilpailu</w:t>
            </w:r>
            <w:r>
              <w:rPr>
                <w:noProof/>
              </w:rPr>
              <w:t xml:space="preserve">: </w:t>
            </w:r>
          </w:p>
          <w:p w14:paraId="47AF06A3" w14:textId="77777777" w:rsidR="00E42B18" w:rsidRDefault="009629C4">
            <w:pPr>
              <w:pStyle w:val="P68B1DB1-Normal12"/>
              <w:jc w:val="both"/>
              <w:rPr>
                <w:noProof/>
              </w:rPr>
            </w:pPr>
            <w:r>
              <w:rPr>
                <w:noProof/>
              </w:rPr>
              <w:t xml:space="preserve">Uudistuksen tavoitteiden tukemiseksi lainsäädännöllä vahvistetaan sääntelyelimen toimivaltaa rautatiealan julkisia palveluhankintoja koskevien sopimusten osalta. Tällaisten valtuuksien on vastattava vähintään direktiivin 2012/34/EU 56 artiklan 9 kohdassa määriteltyjä valtuuksia. Taide voi seurata ja antaa lausuntoja rautatiealan julkisia palveluhankintoja koskevien sopimusten rajaamisesta ja myöntämisestä (suorat ja in house -hankinnat sekä sopimukset sisäisten liikenteenharjoittajien kanssa), mukaan lukien tehokkaiden erien optimaalisen ulottuvuuden määrittäminen aluerajojen sisällä ja niiden välillä. </w:t>
            </w:r>
          </w:p>
          <w:p w14:paraId="209E63F9" w14:textId="77777777" w:rsidR="00E42B18" w:rsidRDefault="009629C4">
            <w:pPr>
              <w:pStyle w:val="P68B1DB1-Normal12"/>
              <w:jc w:val="both"/>
              <w:rPr>
                <w:noProof/>
              </w:rPr>
            </w:pPr>
            <w:r>
              <w:rPr>
                <w:noProof/>
              </w:rPr>
              <w:t>Lainsäädännöllä laajennetaan lain 118/2022 (kilpailulaki) 9 §:n, mukaan lukien ART-asetusten noudattaminen, ja 24.4.2017 annetun asetuksen nro 50 27 §:n 2 momentin c kohdan soveltaminen koskemaan kaikkia suoria ja in house -hankintoja ja -hankintoja sisäisten liikenteenharjoittajien kanssa asetuksen 1370/2007 mukaisesti. Kun kyseessä ovat asetuksen (EY) N:o 1370/2007 mukaiset suorat tai in house -hankinnat ja avustukset sisäisille liikenteenharjoittajille, lainsäädännöllä on laajennettava asetuksen 201/2022 17, 30 ja 31 §:ään sisältyviä periaatteita. Kaikkiin päätöksiin jatkaa julkisen palvelun velvoitteita koskevia sopimuksia, jotka on asianmukaisesti perusteltu asetuksen (EY) N:o 1370/2007 mukaisesti, sovelletaan sisäisiä hankintoja koskevien avoimuusvelvoitteiden periaatteita, joista säädetään asetuksen (EU) 201/2022 31 §:ssä.</w:t>
            </w:r>
          </w:p>
          <w:p w14:paraId="776E093E" w14:textId="77777777" w:rsidR="00E42B18" w:rsidRDefault="009629C4">
            <w:pPr>
              <w:pStyle w:val="P68B1DB1-Normal12"/>
              <w:jc w:val="both"/>
              <w:rPr>
                <w:noProof/>
              </w:rPr>
            </w:pPr>
            <w:r>
              <w:rPr>
                <w:noProof/>
              </w:rPr>
              <w:t>Lainsäädännössä on säädettävä intercity-palvelusopimuksia koskevan tarjouskilpailun aloittamisesta. Tarjoukseen on sisällyttävä sen soveltamisalan uudelleenmäärittely niiden menetelmien mukaisesti, jotka rautatiealan sääntelyelin on vahvistanut markkinatestin jälkeen, kuten asetusta 1370/20073 koskevien komission tulkitsevien suuntaviivojen 2.2.3 kohdassa selitetään. Sopimus on jaettava soveltuviin, kilpailutettaviin eriin sääntelyelimen (ART) määrittämien perusteiden mukaisesti.</w:t>
            </w:r>
          </w:p>
          <w:p w14:paraId="53657BCB" w14:textId="77777777" w:rsidR="00E42B18" w:rsidRDefault="009629C4">
            <w:pPr>
              <w:pStyle w:val="P68B1DB1-Normal12"/>
              <w:jc w:val="both"/>
              <w:rPr>
                <w:noProof/>
              </w:rPr>
            </w:pPr>
            <w:r>
              <w:rPr>
                <w:noProof/>
              </w:rPr>
              <w:t xml:space="preserve">Alueellisten ja kaupunkien välisten palvelujen osalta lainsäädännöllä on varmistettava, että valtion/alueellisen omaisuuden liikkuva kalusto on tarjouskilpailujen perusteella valittujen julkisen palvelun velvoitetta koskevien sopimusten tulevien liikenteenharjoittajien saatavilla aina, kun saapuvat liikenteenharjoittajat eivät tarjoa tällaista liikkuvaa kalustoa ja huoltopalveluja. Lainsäädännöllä on varmistettava, että kaikki liikkuvan kaluston kunnossapidon tilaa koskevat tiedot ovat mahdollisten tarjoajien saatavilla ilman, että tiedot ovat epäsymmetrisiä, läpinäkyvin ja syrjimättömin ehdoin. Lainsäädännöllä on kannustettava olemassa oleviin sopimuksiin sisältyvien osaerien poikkeukseen ja kilpailuttamiseen (mahdollisuuksien mukaan voimassa olevien sopimusten voimassa olevien säännösten perusteella). </w:t>
            </w:r>
          </w:p>
          <w:p w14:paraId="774B06B7" w14:textId="77777777" w:rsidR="00E42B18" w:rsidRDefault="009629C4">
            <w:pPr>
              <w:pStyle w:val="P68B1DB1-Normal12"/>
              <w:jc w:val="both"/>
              <w:rPr>
                <w:noProof/>
              </w:rPr>
            </w:pPr>
            <w:r>
              <w:rPr>
                <w:noProof/>
              </w:rPr>
              <w:t>Lisäksi uudistukseen kuuluu valmiuksien kehittämistoimi, jolla vahvistetaan kansallisten ja alueellisten viranomaisten hallinnollisia valmiuksia. Valmiuksien kehittämistoimella perustetaan liikenneministeriön yhteyteen tilapäinen hallinnollinen yksikkö, joka tukee käyttöoikeussopimusten arviointia ja analysointia ja tekee suurten infrastruktuuri-investointien kustannus-hyötyanalyysin. Hallinnollisessa yksikössä on oltava erittäin ammattitaitoista henkilöstöä, ja sen tukena on oltava ulkopuolisia riippumattomia asiantuntijoita. Lisäksi valmiuksien kehittämistoimiin on sisällyttävä sarja kursseja yhteistyössä SNA:n ja akkreditoitujen elinten kanssa, jotta voidaan lisätä hankinta-asemien henkilöstön erityiskoulutusta ja alakohtaista koulutusta käyttäen myös elpymis- ja palautumissuunnitelman julkishallinnon uudistuksen yhteydessä käyttöön otettuja koulutusvälineitä (esim. portaalia koskeva ohjelma.gov.it).</w:t>
            </w:r>
          </w:p>
          <w:p w14:paraId="144D90DF" w14:textId="77777777" w:rsidR="00E42B18" w:rsidRDefault="009629C4">
            <w:pPr>
              <w:pStyle w:val="P68B1DB1-Normal11"/>
              <w:rPr>
                <w:noProof/>
                <w:szCs w:val="20"/>
              </w:rPr>
            </w:pPr>
            <w:r>
              <w:rPr>
                <w:noProof/>
              </w:rPr>
              <w:t>Välitavoitteen saavuttaminen edellyttää myös seuraavaa:</w:t>
            </w:r>
          </w:p>
          <w:p w14:paraId="7EBB6E2F" w14:textId="77777777" w:rsidR="00E42B18" w:rsidRDefault="009629C4">
            <w:pPr>
              <w:pStyle w:val="P68B1DB1-ListParagraph15"/>
              <w:numPr>
                <w:ilvl w:val="0"/>
                <w:numId w:val="86"/>
              </w:numPr>
              <w:spacing w:before="120" w:after="120" w:line="240" w:lineRule="auto"/>
              <w:jc w:val="both"/>
              <w:rPr>
                <w:noProof/>
              </w:rPr>
            </w:pPr>
            <w:r>
              <w:rPr>
                <w:noProof/>
              </w:rPr>
              <w:t>Kansallisten ja alueellisten viranomaisten valmiuksien kehittämistoimien aloittaminen toimenpiteen kuvauksen edellyttämällä tavalla.</w:t>
            </w:r>
          </w:p>
          <w:p w14:paraId="777F0399" w14:textId="77777777" w:rsidR="00E42B18" w:rsidRDefault="009629C4">
            <w:pPr>
              <w:pStyle w:val="P68B1DB1-ListParagraph13"/>
              <w:numPr>
                <w:ilvl w:val="0"/>
                <w:numId w:val="86"/>
              </w:numPr>
              <w:spacing w:before="120" w:after="120" w:line="240" w:lineRule="auto"/>
              <w:jc w:val="both"/>
              <w:rPr>
                <w:noProof/>
              </w:rPr>
            </w:pPr>
            <w:r>
              <w:rPr>
                <w:noProof/>
              </w:rPr>
              <w:t>Intercity-tarjousten julkaiseminen komission TED-hankintatietokannassa.</w:t>
            </w:r>
          </w:p>
          <w:p w14:paraId="5EB9EE9B" w14:textId="77777777" w:rsidR="00E42B18" w:rsidRDefault="00E42B18">
            <w:pPr>
              <w:pStyle w:val="ListParagraph"/>
              <w:spacing w:before="120" w:after="120" w:line="240" w:lineRule="auto"/>
              <w:ind w:left="360"/>
              <w:jc w:val="both"/>
              <w:rPr>
                <w:rFonts w:ascii="Arial Narrow" w:hAnsi="Arial Narrow"/>
                <w:noProof/>
                <w:color w:val="006100"/>
                <w:sz w:val="20"/>
                <w:szCs w:val="20"/>
              </w:rPr>
            </w:pPr>
          </w:p>
          <w:p w14:paraId="1E038B0D" w14:textId="77777777" w:rsidR="00E42B18" w:rsidRDefault="009629C4">
            <w:pPr>
              <w:pStyle w:val="P68B1DB1-Normal84"/>
              <w:spacing w:line="257" w:lineRule="auto"/>
              <w:jc w:val="both"/>
              <w:rPr>
                <w:noProof/>
              </w:rPr>
            </w:pPr>
            <w:r>
              <w:rPr>
                <w:noProof/>
                <w:u w:val="single"/>
              </w:rPr>
              <w:t>Osa 3 – ROSCO (liikkuvan kaluston yhtiö)</w:t>
            </w:r>
            <w:r>
              <w:rPr>
                <w:noProof/>
              </w:rPr>
              <w:t xml:space="preserve">: </w:t>
            </w:r>
          </w:p>
          <w:p w14:paraId="08FA23EE" w14:textId="76A2C835" w:rsidR="00E42B18" w:rsidRDefault="009629C4">
            <w:pPr>
              <w:pStyle w:val="P68B1DB1-Normal84"/>
              <w:spacing w:line="257" w:lineRule="auto"/>
              <w:jc w:val="both"/>
              <w:rPr>
                <w:noProof/>
              </w:rPr>
            </w:pPr>
            <w:r>
              <w:rPr>
                <w:noProof/>
              </w:rPr>
              <w:t>Lainsäädännöllä perustetaan uusi pysyvä valtion kokonaan omistama yksikkö (Rolling Stock Company – ROSCO) osakeyhtiön muodossa (società per azioni).</w:t>
            </w:r>
          </w:p>
          <w:p w14:paraId="7F410965" w14:textId="77777777" w:rsidR="00E42B18" w:rsidRDefault="00E42B18">
            <w:pPr>
              <w:spacing w:line="257" w:lineRule="auto"/>
              <w:jc w:val="both"/>
              <w:rPr>
                <w:rFonts w:ascii="Arial Narrow" w:eastAsia="Arial Narrow" w:hAnsi="Arial Narrow" w:cs="Arial Narrow"/>
                <w:noProof/>
                <w:color w:val="006100"/>
                <w:sz w:val="20"/>
                <w:szCs w:val="20"/>
              </w:rPr>
            </w:pPr>
          </w:p>
          <w:p w14:paraId="7D1260C6" w14:textId="77777777" w:rsidR="00E42B18" w:rsidRDefault="009629C4">
            <w:pPr>
              <w:pStyle w:val="P68B1DB1-Normal84"/>
              <w:spacing w:line="257" w:lineRule="auto"/>
              <w:jc w:val="both"/>
              <w:rPr>
                <w:noProof/>
              </w:rPr>
            </w:pPr>
            <w:r>
              <w:rPr>
                <w:noProof/>
              </w:rPr>
              <w:t>Lainsäädännössä on määriteltävä selkeästi tällaisen yrityksen tehtävä, toimeksianto ja valtuudet, joilla on varmistettava, että liikkuva kalusto ja huoltopalvelut ovat saapuvien julkisen palvelun velvoitteiden operaattoreiden saatavilla riittävissä määrin ja tasapuolisin ja syrjimättömin ehdoin kilpailun lisäämiseksi tarjouskilpailuissa ja palveluhankintasopimusten kilpailullisuuden lisäämiseksi.</w:t>
            </w:r>
          </w:p>
          <w:p w14:paraId="45177A26" w14:textId="54546085" w:rsidR="00E42B18" w:rsidRDefault="009629C4">
            <w:pPr>
              <w:pStyle w:val="P68B1DB1-Normal84"/>
              <w:spacing w:line="257" w:lineRule="auto"/>
              <w:jc w:val="both"/>
              <w:rPr>
                <w:noProof/>
              </w:rPr>
            </w:pPr>
            <w:r>
              <w:rPr>
                <w:noProof/>
              </w:rPr>
              <w:t>Lainsäädännössä on vahvistettava, että tällaisen yhtiön perustamispääoma on 1000000 euroa. Lainsäädännössä on myös annettava tällaiselle yhtiölle lupa perustaa erityisrahasto (Patrimonio destinato) uuden liikkuvan kaluston ostamiseksi alueellista ja kaupunkien välistä liikennettä varten, kun alkuperäinen markkina-arvo on vähintään 1168000000 euroa. Tällaisen erityisrahaston on oltava riippumaton ja kaikissa tarkoituksissa erillinen yhtiön varoista ja muista samalla perustetuista erillisistä varoista. Yhtiön velkojat eivät voi nostaa kannetta erityisrahastoa vastaan tai niiden edun mukaisesti, eikä erityisrahaston velkojat saa nostaa kannetta yhtiön omaisuutta vastaan tai niiden edun mukaisesti. Lainsäädännössä on myös annettava yhtiölle lupa siirtää erityisrahastoon kaikki valtion omistamat junat, jotka yhtiö hankkii, mukaan lukien kaikki kohteiden M2C2–35 a ja M7–31 kautta hankitut intercity-junat.</w:t>
            </w:r>
          </w:p>
          <w:p w14:paraId="30B5E523" w14:textId="6E901E32" w:rsidR="00E42B18" w:rsidRDefault="009629C4">
            <w:pPr>
              <w:pStyle w:val="P68B1DB1-Normal84"/>
              <w:rPr>
                <w:noProof/>
              </w:rPr>
            </w:pPr>
            <w:r>
              <w:rPr>
                <w:noProof/>
              </w:rPr>
              <w:t>Lainsäädännössä on vahvistettava, että yhtiö ei perustamisajankohtanaan ota vastattavakseen muiden valtionyhtiöiden olemassa olevia velkoja tai vastuita. Lainsäädännössä on säädettävä, että sen julkaiseminen korvaa kaikki yhtiön perustamista koskevat oikeudelliset vaatimukset ja että samasta päivästä alkaen yhtiö on vastuussa velvoitteistaan omilla varoillaan.</w:t>
            </w:r>
          </w:p>
        </w:tc>
      </w:tr>
      <w:tr w:rsidR="00E42B18" w14:paraId="45C49559"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DEC17F" w14:textId="1BD0A8EB" w:rsidR="00E42B18" w:rsidRDefault="009629C4">
            <w:pPr>
              <w:pStyle w:val="P68B1DB1-Normal12"/>
              <w:jc w:val="center"/>
              <w:rPr>
                <w:noProof/>
              </w:rPr>
            </w:pPr>
            <w:r>
              <w:rPr>
                <w:noProof/>
              </w:rPr>
              <w:t>M3C1–27</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B1CC1A" w14:textId="77777777" w:rsidR="00E42B18" w:rsidRDefault="009629C4">
            <w:pPr>
              <w:pStyle w:val="P68B1DB1-Normal12"/>
              <w:jc w:val="center"/>
              <w:rPr>
                <w:noProof/>
              </w:rPr>
            </w:pPr>
            <w:r>
              <w:rPr>
                <w:noProof/>
              </w:rPr>
              <w:t>Uudistus 1.3 – Rautatieinfrastruktuurin tehostaminen Italiassa</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FC64E" w14:textId="77777777" w:rsidR="00E42B18" w:rsidRDefault="009629C4">
            <w:pPr>
              <w:pStyle w:val="P68B1DB1-Normal12"/>
              <w:jc w:val="center"/>
              <w:rPr>
                <w:noProof/>
              </w:rPr>
            </w:pPr>
            <w:r>
              <w:rPr>
                <w:noProof/>
              </w:rPr>
              <w:t>Virstanpylväs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77567" w14:textId="77777777" w:rsidR="00E42B18" w:rsidRDefault="009629C4">
            <w:pPr>
              <w:pStyle w:val="P68B1DB1-Normal12"/>
              <w:jc w:val="center"/>
              <w:rPr>
                <w:noProof/>
              </w:rPr>
            </w:pPr>
            <w:r>
              <w:rPr>
                <w:noProof/>
              </w:rPr>
              <w:t>ROSCOn rahoitus- ja liiketoimintasuunnitelma, perussääntö sekä resurssien ja varojen siirto.</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7FCCCD" w14:textId="77777777" w:rsidR="00E42B18" w:rsidRDefault="009629C4">
            <w:pPr>
              <w:pStyle w:val="P68B1DB1-Normal12"/>
              <w:jc w:val="center"/>
              <w:rPr>
                <w:noProof/>
              </w:rPr>
            </w:pPr>
            <w:r>
              <w:rPr>
                <w:noProof/>
              </w:rPr>
              <w:t xml:space="preserve">Rahoitus- ja liiketoimintasuunnitelman laatiminen, perussäännön julkaiseminen, varojen ja omaisuuden siirtoa koskevat todistukset </w:t>
            </w:r>
          </w:p>
        </w:tc>
        <w:tc>
          <w:tcPr>
            <w:tcW w:w="966" w:type="dxa"/>
            <w:tcBorders>
              <w:top w:val="single" w:sz="4" w:space="0" w:color="auto"/>
              <w:left w:val="single" w:sz="4" w:space="0" w:color="auto"/>
              <w:bottom w:val="single" w:sz="4" w:space="0" w:color="auto"/>
              <w:right w:val="single" w:sz="4" w:space="0" w:color="auto"/>
            </w:tcBorders>
            <w:shd w:val="clear" w:color="auto" w:fill="C6EFCE"/>
            <w:noWrap/>
          </w:tcPr>
          <w:p w14:paraId="09E0D341" w14:textId="77777777" w:rsidR="00E42B18" w:rsidRDefault="009629C4">
            <w:pPr>
              <w:pStyle w:val="P68B1DB1-Normal11"/>
              <w:jc w:val="center"/>
              <w:rPr>
                <w:noProof/>
              </w:rPr>
            </w:pPr>
            <w:r>
              <w:rPr>
                <w:noProof/>
              </w:rPr>
              <w:t>EI OLE</w:t>
            </w:r>
          </w:p>
        </w:tc>
        <w:tc>
          <w:tcPr>
            <w:tcW w:w="1101" w:type="dxa"/>
            <w:tcBorders>
              <w:top w:val="single" w:sz="4" w:space="0" w:color="auto"/>
              <w:left w:val="single" w:sz="4" w:space="0" w:color="auto"/>
              <w:bottom w:val="single" w:sz="4" w:space="0" w:color="auto"/>
              <w:right w:val="single" w:sz="4" w:space="0" w:color="auto"/>
            </w:tcBorders>
            <w:shd w:val="clear" w:color="auto" w:fill="C6EFCE"/>
            <w:noWrap/>
          </w:tcPr>
          <w:p w14:paraId="111524FB" w14:textId="77777777" w:rsidR="00E42B18" w:rsidRDefault="009629C4">
            <w:pPr>
              <w:pStyle w:val="P68B1DB1-Normal11"/>
              <w:jc w:val="center"/>
              <w:rPr>
                <w:noProof/>
              </w:rPr>
            </w:pPr>
            <w:r>
              <w:rPr>
                <w:noProof/>
              </w:rPr>
              <w:t>EI OLE</w:t>
            </w:r>
          </w:p>
        </w:tc>
        <w:tc>
          <w:tcPr>
            <w:tcW w:w="832" w:type="dxa"/>
            <w:tcBorders>
              <w:top w:val="single" w:sz="4" w:space="0" w:color="auto"/>
              <w:left w:val="single" w:sz="4" w:space="0" w:color="auto"/>
              <w:bottom w:val="single" w:sz="4" w:space="0" w:color="auto"/>
              <w:right w:val="single" w:sz="4" w:space="0" w:color="auto"/>
            </w:tcBorders>
            <w:shd w:val="clear" w:color="auto" w:fill="C6EFCE"/>
            <w:noWrap/>
          </w:tcPr>
          <w:p w14:paraId="733865C8" w14:textId="77777777" w:rsidR="00E42B18" w:rsidRDefault="009629C4">
            <w:pPr>
              <w:pStyle w:val="P68B1DB1-Normal11"/>
              <w:jc w:val="center"/>
              <w:rPr>
                <w:noProof/>
              </w:rPr>
            </w:pPr>
            <w:r>
              <w:rPr>
                <w:noProof/>
              </w:rPr>
              <w:t>EI OLE</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A59720" w14:textId="77777777" w:rsidR="00E42B18" w:rsidRDefault="009629C4">
            <w:pPr>
              <w:pStyle w:val="P68B1DB1-Normal12"/>
              <w:jc w:val="center"/>
              <w:rPr>
                <w:noProof/>
              </w:rPr>
            </w:pPr>
            <w:r>
              <w:rPr>
                <w:noProof/>
              </w:rPr>
              <w:t>Q2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38F00" w14:textId="77777777" w:rsidR="00E42B18" w:rsidRDefault="009629C4">
            <w:pPr>
              <w:pStyle w:val="P68B1DB1-Normal12"/>
              <w:jc w:val="center"/>
              <w:rPr>
                <w:noProof/>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tcPr>
          <w:p w14:paraId="39B1CDD0" w14:textId="77777777" w:rsidR="00E42B18" w:rsidRDefault="009629C4">
            <w:pPr>
              <w:pStyle w:val="P68B1DB1-Normal85"/>
              <w:spacing w:line="240" w:lineRule="auto"/>
              <w:jc w:val="both"/>
              <w:rPr>
                <w:noProof/>
                <w:color w:val="196B24" w:themeColor="accent3"/>
              </w:rPr>
            </w:pPr>
            <w:r>
              <w:rPr>
                <w:noProof/>
                <w:color w:val="006100"/>
              </w:rPr>
              <w:t>1) Infras tructure</w:t>
            </w:r>
            <w:r>
              <w:rPr>
                <w:noProof/>
                <w:color w:val="196B24" w:themeColor="accent3"/>
              </w:rPr>
              <w:t>and Transportin julkaisema ja hyväksymä ROSCO:n perustamiskirja ja perussääntö, joissa täsmennetään:</w:t>
            </w:r>
          </w:p>
          <w:p w14:paraId="75318418" w14:textId="77777777" w:rsidR="00E42B18" w:rsidRDefault="009629C4">
            <w:pPr>
              <w:pStyle w:val="P68B1DB1-ListParagraph86"/>
              <w:numPr>
                <w:ilvl w:val="0"/>
                <w:numId w:val="87"/>
              </w:numPr>
              <w:spacing w:before="120" w:after="120" w:line="240" w:lineRule="auto"/>
              <w:jc w:val="both"/>
              <w:rPr>
                <w:noProof/>
              </w:rPr>
            </w:pPr>
            <w:r>
              <w:rPr>
                <w:noProof/>
              </w:rPr>
              <w:t>yhtiön toiminnan tarkka laajuus, mukaan lukien se, että se toimii yksinomaan keskushallinnon ja paikallisviranomaisten (eli julkisesta liikenteestä vastaavien viranomaisten) puolesta rautatieliikennemarkkinoiden julkisia palveluhankintoja koskevissa sopimuksissa (alueelliset palvelut ja kaupunkien väliset palvelut),</w:t>
            </w:r>
          </w:p>
          <w:p w14:paraId="07A57D44" w14:textId="77777777" w:rsidR="00E42B18" w:rsidRDefault="009629C4">
            <w:pPr>
              <w:pStyle w:val="P68B1DB1-ListParagraph86"/>
              <w:numPr>
                <w:ilvl w:val="0"/>
                <w:numId w:val="87"/>
              </w:numPr>
              <w:spacing w:before="120" w:after="120" w:line="240" w:lineRule="auto"/>
              <w:jc w:val="both"/>
              <w:rPr>
                <w:noProof/>
              </w:rPr>
            </w:pPr>
            <w:r>
              <w:rPr>
                <w:noProof/>
              </w:rPr>
              <w:t>yhtiö toimittaa liikkuvaa kalustoa ainoastaan niille keskushallinnolle ja paikallisviranomaisille (eli julkisen liikenteen viranomaisille), jotka avaavat julkisia palveluhankintoja koskevia sopimuksia kilpailulle,</w:t>
            </w:r>
          </w:p>
          <w:p w14:paraId="72C34695" w14:textId="77777777" w:rsidR="00E42B18" w:rsidRDefault="009629C4">
            <w:pPr>
              <w:pStyle w:val="P68B1DB1-ListParagraph86"/>
              <w:numPr>
                <w:ilvl w:val="0"/>
                <w:numId w:val="87"/>
              </w:numPr>
              <w:spacing w:before="120" w:after="120" w:line="240" w:lineRule="auto"/>
              <w:jc w:val="both"/>
              <w:rPr>
                <w:noProof/>
              </w:rPr>
            </w:pPr>
            <w:r>
              <w:rPr>
                <w:noProof/>
              </w:rPr>
              <w:t>yrityksen hankkiman tukikelpoisen liikkuvan kaluston on oltava päästötöntä elpymis- ja palautumistukivälinettä koskevan asetuksen liitteessä VI olevan tukitoimialan 72 a avulla ja ERTMS-standardien mukaista,</w:t>
            </w:r>
          </w:p>
          <w:p w14:paraId="4877BAC3" w14:textId="77777777" w:rsidR="00E42B18" w:rsidRDefault="009629C4">
            <w:pPr>
              <w:pStyle w:val="P68B1DB1-ListParagraph86"/>
              <w:numPr>
                <w:ilvl w:val="0"/>
                <w:numId w:val="87"/>
              </w:numPr>
              <w:spacing w:before="120" w:after="120" w:line="240" w:lineRule="auto"/>
              <w:jc w:val="both"/>
              <w:rPr>
                <w:noProof/>
              </w:rPr>
            </w:pPr>
            <w:r>
              <w:rPr>
                <w:noProof/>
              </w:rPr>
              <w:t>että vähintään 90 prosenttia yrityksen tuloista saadaan elpymis- ja palautumistukivälinettä koskevan asetuksen liitteessä VI olevan tukitoimialan 72 a kanssa yhteensopivasta liikkuvasta kalustosta,</w:t>
            </w:r>
          </w:p>
          <w:p w14:paraId="3444B5C3" w14:textId="77777777" w:rsidR="00E42B18" w:rsidRDefault="009629C4">
            <w:pPr>
              <w:pStyle w:val="P68B1DB1-ListParagraph86"/>
              <w:numPr>
                <w:ilvl w:val="0"/>
                <w:numId w:val="87"/>
              </w:numPr>
              <w:spacing w:before="120" w:after="120" w:line="240" w:lineRule="auto"/>
              <w:jc w:val="both"/>
              <w:rPr>
                <w:noProof/>
              </w:rPr>
            </w:pPr>
            <w:r>
              <w:rPr>
                <w:noProof/>
              </w:rPr>
              <w:t>yhtiön hallituksen ja sääntömääräisten elinten jäsenten on</w:t>
            </w:r>
          </w:p>
          <w:p w14:paraId="4AFDDB65" w14:textId="77777777" w:rsidR="00E42B18" w:rsidRDefault="009629C4">
            <w:pPr>
              <w:pStyle w:val="P68B1DB1-ListParagraph86"/>
              <w:numPr>
                <w:ilvl w:val="1"/>
                <w:numId w:val="87"/>
              </w:numPr>
              <w:spacing w:before="120" w:after="120" w:line="240" w:lineRule="auto"/>
              <w:jc w:val="both"/>
              <w:rPr>
                <w:noProof/>
              </w:rPr>
            </w:pPr>
            <w:r>
              <w:rPr>
                <w:noProof/>
              </w:rPr>
              <w:t>ne on valittava henkilöistä, jotka täyttävät julkisesti noteerattuihin yhtiöihin sovellettavissa säännöksissä vahvistetut rehellisyyttä, ammattimaisuutta ja riippumattomuutta koskevat vaatimukset;</w:t>
            </w:r>
          </w:p>
          <w:p w14:paraId="07D69E91" w14:textId="77777777" w:rsidR="00E42B18" w:rsidRDefault="009629C4">
            <w:pPr>
              <w:pStyle w:val="P68B1DB1-ListParagraph86"/>
              <w:numPr>
                <w:ilvl w:val="1"/>
                <w:numId w:val="87"/>
              </w:numPr>
              <w:spacing w:before="120" w:after="120" w:line="240" w:lineRule="auto"/>
              <w:jc w:val="both"/>
              <w:rPr>
                <w:noProof/>
              </w:rPr>
            </w:pPr>
            <w:r>
              <w:rPr>
                <w:noProof/>
              </w:rPr>
              <w:t>niillä on oltava tarvittava toimivalta, pätevyys ja puolueettomuus, jotta ne voivat hoitaa strategisen ohjauksen, riskinhallinnan valvonnan ja johtamisen seurannan tehtävät,</w:t>
            </w:r>
          </w:p>
          <w:p w14:paraId="4F8DD13B" w14:textId="77777777" w:rsidR="00E42B18" w:rsidRDefault="009629C4">
            <w:pPr>
              <w:pStyle w:val="P68B1DB1-ListParagraph86"/>
              <w:numPr>
                <w:ilvl w:val="1"/>
                <w:numId w:val="87"/>
              </w:numPr>
              <w:spacing w:before="120" w:after="120" w:line="240" w:lineRule="auto"/>
              <w:jc w:val="both"/>
              <w:rPr>
                <w:noProof/>
              </w:rPr>
            </w:pPr>
            <w:r>
              <w:rPr>
                <w:noProof/>
              </w:rPr>
              <w:t>toimia lahjomattomuuden kanssa ja edistää sitä,</w:t>
            </w:r>
          </w:p>
          <w:p w14:paraId="0EA092E3" w14:textId="77777777" w:rsidR="00E42B18" w:rsidRDefault="009629C4">
            <w:pPr>
              <w:pStyle w:val="P68B1DB1-ListParagraph86"/>
              <w:numPr>
                <w:ilvl w:val="1"/>
                <w:numId w:val="87"/>
              </w:numPr>
              <w:spacing w:before="120" w:after="120" w:line="240" w:lineRule="auto"/>
              <w:jc w:val="both"/>
              <w:rPr>
                <w:noProof/>
              </w:rPr>
            </w:pPr>
            <w:r>
              <w:rPr>
                <w:noProof/>
              </w:rPr>
              <w:t>heidät on saatettava vastuuseen teoistaan.</w:t>
            </w:r>
          </w:p>
          <w:p w14:paraId="412FC8C2" w14:textId="77777777" w:rsidR="00E42B18" w:rsidRDefault="009629C4">
            <w:pPr>
              <w:pStyle w:val="P68B1DB1-Normal87"/>
              <w:spacing w:after="0" w:line="240" w:lineRule="auto"/>
              <w:ind w:right="57"/>
              <w:jc w:val="both"/>
              <w:rPr>
                <w:noProof/>
              </w:rPr>
            </w:pPr>
            <w:r>
              <w:rPr>
                <w:noProof/>
              </w:rPr>
              <w:t>Perussäännössä on myös määrättävä rajoituksista, jotka koskevat yrityksen hallituksen jäsenten työnhakua tai hyväksymistä markkinatoimijoilta, sekä eturistiriitojen ehkäisemistä koskevista selkeistä säännöistä.</w:t>
            </w:r>
          </w:p>
          <w:p w14:paraId="6135A074" w14:textId="77777777" w:rsidR="00E42B18" w:rsidRDefault="00E42B18">
            <w:pPr>
              <w:spacing w:after="0" w:line="240" w:lineRule="auto"/>
              <w:ind w:right="57"/>
              <w:jc w:val="both"/>
              <w:rPr>
                <w:rFonts w:ascii="Arial Narrow" w:hAnsi="Arial Narrow"/>
                <w:noProof/>
                <w:color w:val="196B24" w:themeColor="accent3"/>
                <w:sz w:val="20"/>
                <w:szCs w:val="20"/>
              </w:rPr>
            </w:pPr>
          </w:p>
          <w:p w14:paraId="61596425" w14:textId="52C0C549" w:rsidR="00E42B18" w:rsidRDefault="009629C4">
            <w:pPr>
              <w:pStyle w:val="P68B1DB1-Normal87"/>
              <w:spacing w:after="0" w:line="240" w:lineRule="auto"/>
              <w:ind w:right="57"/>
              <w:jc w:val="both"/>
              <w:rPr>
                <w:noProof/>
              </w:rPr>
            </w:pPr>
            <w:r>
              <w:rPr>
                <w:noProof/>
              </w:rPr>
              <w:t>2) Infrastruktuuri- ja liikenneministeriö hyväksyy yhteisymmärryksessä talous- ja valtiovarainministeriön kanssa tilapäisen teknisen komitean määrittelemän vuosia 2026–2029 koskevan liiketoimintasuunnitelman, johon sisältyy seuraavien yksityiskohtainen kuvaus:</w:t>
            </w:r>
          </w:p>
          <w:p w14:paraId="3D63CFC2" w14:textId="77777777" w:rsidR="00E42B18" w:rsidRDefault="009629C4">
            <w:pPr>
              <w:pStyle w:val="P68B1DB1-ListParagraph86"/>
              <w:numPr>
                <w:ilvl w:val="0"/>
                <w:numId w:val="88"/>
              </w:numPr>
              <w:spacing w:before="120" w:after="0" w:line="240" w:lineRule="auto"/>
              <w:ind w:right="57"/>
              <w:jc w:val="both"/>
              <w:rPr>
                <w:noProof/>
              </w:rPr>
            </w:pPr>
            <w:r>
              <w:rPr>
                <w:noProof/>
              </w:rPr>
              <w:t xml:space="preserve">yhtiön strategisen ja operatiivisen kehittämisen linjat ottaen huomioon sen sääntömääräiset tehtävät ja tavoitteet, </w:t>
            </w:r>
          </w:p>
          <w:p w14:paraId="39262A08" w14:textId="77777777" w:rsidR="00E42B18" w:rsidRDefault="009629C4">
            <w:pPr>
              <w:pStyle w:val="P68B1DB1-ListParagraph86"/>
              <w:numPr>
                <w:ilvl w:val="0"/>
                <w:numId w:val="88"/>
              </w:numPr>
              <w:spacing w:before="120" w:after="0" w:line="240" w:lineRule="auto"/>
              <w:ind w:right="57"/>
              <w:jc w:val="both"/>
              <w:rPr>
                <w:noProof/>
              </w:rPr>
            </w:pPr>
            <w:r>
              <w:rPr>
                <w:noProof/>
              </w:rPr>
              <w:t>toteutettavien toimien ominaispiirteet,</w:t>
            </w:r>
          </w:p>
          <w:p w14:paraId="0827459C" w14:textId="77777777" w:rsidR="00E42B18" w:rsidRDefault="009629C4">
            <w:pPr>
              <w:pStyle w:val="P68B1DB1-ListParagraph86"/>
              <w:numPr>
                <w:ilvl w:val="0"/>
                <w:numId w:val="88"/>
              </w:numPr>
              <w:spacing w:before="120" w:after="0" w:line="240" w:lineRule="auto"/>
              <w:ind w:right="57"/>
              <w:jc w:val="both"/>
              <w:rPr>
                <w:noProof/>
              </w:rPr>
            </w:pPr>
            <w:r>
              <w:rPr>
                <w:noProof/>
              </w:rPr>
              <w:t>vähintään kunkin kolmen ensimmäisen varainhoitovuoden osalta omien varojen riittävyysprofiilit, suunnitellut investoinnit ja niihin liittyvä rahoitus, erityisesti elpymis- ja palautumistukivälineen alkuperäisten varojen lisäksi,</w:t>
            </w:r>
          </w:p>
          <w:p w14:paraId="65A616D6" w14:textId="77777777" w:rsidR="00E42B18" w:rsidRDefault="009629C4">
            <w:pPr>
              <w:pStyle w:val="P68B1DB1-ListParagraph86"/>
              <w:numPr>
                <w:ilvl w:val="0"/>
                <w:numId w:val="88"/>
              </w:numPr>
              <w:spacing w:before="120" w:after="0" w:line="240" w:lineRule="auto"/>
              <w:ind w:right="57"/>
              <w:jc w:val="both"/>
              <w:rPr>
                <w:noProof/>
              </w:rPr>
            </w:pPr>
            <w:r>
              <w:rPr>
                <w:noProof/>
              </w:rPr>
              <w:t>hallinnointi- ja ohjausjärjestelmä ja organisaatiorakenne.</w:t>
            </w:r>
          </w:p>
          <w:p w14:paraId="2FC6ED2E" w14:textId="77777777" w:rsidR="00E42B18" w:rsidRDefault="00E42B18">
            <w:pPr>
              <w:pStyle w:val="ListParagraph"/>
              <w:spacing w:after="0"/>
              <w:ind w:left="57" w:right="57" w:hanging="283"/>
              <w:rPr>
                <w:rFonts w:ascii="Arial Narrow" w:hAnsi="Arial Narrow"/>
                <w:noProof/>
                <w:color w:val="196B24" w:themeColor="accent3"/>
                <w:sz w:val="20"/>
                <w:szCs w:val="20"/>
              </w:rPr>
            </w:pPr>
          </w:p>
          <w:p w14:paraId="7D85C497" w14:textId="77777777" w:rsidR="00E42B18" w:rsidRDefault="009629C4">
            <w:pPr>
              <w:pStyle w:val="P68B1DB1-Normal87"/>
              <w:spacing w:after="0" w:line="240" w:lineRule="auto"/>
              <w:ind w:right="57"/>
              <w:jc w:val="both"/>
              <w:rPr>
                <w:noProof/>
              </w:rPr>
            </w:pPr>
            <w:r>
              <w:rPr>
                <w:noProof/>
              </w:rPr>
              <w:t xml:space="preserve">3) Varojen ja omaisuuden siirto: </w:t>
            </w:r>
          </w:p>
          <w:p w14:paraId="0FD3CE9E" w14:textId="77777777" w:rsidR="00E42B18" w:rsidRDefault="00E42B18">
            <w:pPr>
              <w:spacing w:after="0" w:line="240" w:lineRule="auto"/>
              <w:ind w:right="57"/>
              <w:jc w:val="both"/>
              <w:rPr>
                <w:rFonts w:ascii="Arial Narrow" w:eastAsia="Arial Narrow" w:hAnsi="Arial Narrow" w:cs="Arial Narrow"/>
                <w:noProof/>
                <w:color w:val="196B24" w:themeColor="accent3"/>
                <w:sz w:val="20"/>
                <w:szCs w:val="20"/>
              </w:rPr>
            </w:pPr>
          </w:p>
          <w:p w14:paraId="4BAA3D51" w14:textId="0425B5C0" w:rsidR="00E42B18" w:rsidRDefault="009629C4">
            <w:pPr>
              <w:pStyle w:val="P68B1DB1-Normal88"/>
              <w:spacing w:line="240" w:lineRule="auto"/>
              <w:jc w:val="both"/>
              <w:rPr>
                <w:noProof/>
              </w:rPr>
            </w:pPr>
            <w:r>
              <w:rPr>
                <w:noProof/>
              </w:rPr>
              <w:t>ROSCOn nimissä olevalle pankkitilille on toimitettava siirtotodistus (eli maksutulo), jonka määrä on vähintään 1200000000 euroa. Elpymis- ja palautumistukivälineen tarjoamien resurssien osalta i) ROSCOn on toimitettava kunkin tuetun hankkeen osalta perustelut valitulle tukitoimialalle sekä hankkeen kuvaus ilmastorahoitusosuuden laskemista varten, ii) ROSCOn on myös toimitettava jäsenvaltiolle puolivuosittainen kertomus kunkin hankkeen/toimen täytäntöönpanosta.</w:t>
            </w:r>
          </w:p>
          <w:p w14:paraId="5CFF35EC" w14:textId="77777777" w:rsidR="00E42B18" w:rsidRDefault="009629C4">
            <w:pPr>
              <w:pStyle w:val="P68B1DB1-Normal88"/>
              <w:spacing w:line="240" w:lineRule="auto"/>
              <w:jc w:val="both"/>
              <w:rPr>
                <w:noProof/>
                <w:color w:val="006100"/>
              </w:rPr>
            </w:pPr>
            <w:r>
              <w:rPr>
                <w:noProof/>
              </w:rPr>
              <w:t>ROSCOn ja toimivaltaisen ministeriön on allekirjoitettava nollahintainen ostosopimus vähintään kohteiden M2C2–35 a ja M7–31 kautta hankittujen kaukoliikennejunien siirrosta.</w:t>
            </w:r>
          </w:p>
        </w:tc>
      </w:tr>
      <w:tr w:rsidR="00E42B18" w14:paraId="733AD5B2"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A23F6A" w14:textId="77777777" w:rsidR="00E42B18" w:rsidRDefault="009629C4">
            <w:pPr>
              <w:pStyle w:val="P68B1DB1-Normal11"/>
              <w:jc w:val="center"/>
              <w:rPr>
                <w:noProof/>
                <w:szCs w:val="20"/>
              </w:rPr>
            </w:pPr>
            <w:r>
              <w:rPr>
                <w:noProof/>
              </w:rPr>
              <w:t>M3C1–28</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67954E" w14:textId="77777777" w:rsidR="00E42B18" w:rsidRDefault="009629C4">
            <w:pPr>
              <w:pStyle w:val="P68B1DB1-Normal11"/>
              <w:jc w:val="center"/>
              <w:rPr>
                <w:noProof/>
                <w:color w:val="FF0000"/>
                <w:szCs w:val="20"/>
              </w:rPr>
            </w:pPr>
            <w:r>
              <w:rPr>
                <w:noProof/>
              </w:rPr>
              <w:t xml:space="preserve">Investointi 1.10 Suurkaupunkialueiden solmukohtien sekä alueiden välisten ja alueellisten rautatielinjojen vahvistaminen </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D7BC55" w14:textId="77777777" w:rsidR="00E42B18" w:rsidRDefault="009629C4">
            <w:pPr>
              <w:pStyle w:val="P68B1DB1-Normal11"/>
              <w:jc w:val="center"/>
              <w:rPr>
                <w:noProof/>
                <w:szCs w:val="20"/>
              </w:rPr>
            </w:pPr>
            <w:r>
              <w:rPr>
                <w:noProof/>
              </w:rPr>
              <w:t>Kohde</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60F168" w14:textId="18DEA454" w:rsidR="00E42B18" w:rsidRDefault="009629C4">
            <w:pPr>
              <w:pStyle w:val="P68B1DB1-Normal11"/>
              <w:jc w:val="center"/>
              <w:rPr>
                <w:noProof/>
                <w:color w:val="FF0000"/>
                <w:szCs w:val="20"/>
              </w:rPr>
            </w:pPr>
            <w:r>
              <w:rPr>
                <w:noProof/>
              </w:rPr>
              <w:t xml:space="preserve">3 309 km parannettuja rataosuuksia rakennettu </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9E52C" w14:textId="77777777" w:rsidR="00E42B18" w:rsidRDefault="009629C4">
            <w:pPr>
              <w:pStyle w:val="P68B1DB1-Normal11"/>
              <w:jc w:val="center"/>
              <w:rPr>
                <w:noProof/>
                <w:szCs w:val="20"/>
              </w:rPr>
            </w:pPr>
            <w:r>
              <w:rPr>
                <w:noProof/>
              </w:rPr>
              <w:t>EI OLE</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7979EB" w14:textId="77777777" w:rsidR="00E42B18" w:rsidRDefault="009629C4">
            <w:pPr>
              <w:pStyle w:val="P68B1DB1-Normal11"/>
              <w:jc w:val="center"/>
              <w:rPr>
                <w:noProof/>
              </w:rPr>
            </w:pPr>
            <w:r>
              <w:rPr>
                <w:noProof/>
              </w:rPr>
              <w:t>Numero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6D0F0" w14:textId="77777777" w:rsidR="00E42B18" w:rsidRDefault="009629C4">
            <w:pPr>
              <w:pStyle w:val="P68B1DB1-Normal11"/>
              <w:jc w:val="center"/>
              <w:rPr>
                <w:noProof/>
              </w:rPr>
            </w:pPr>
            <w:r>
              <w:rPr>
                <w:noProof/>
              </w:rPr>
              <w:t>872</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A533D" w14:textId="3052F7B1" w:rsidR="00E42B18" w:rsidRDefault="009629C4">
            <w:pPr>
              <w:pStyle w:val="P68B1DB1-Normal11"/>
              <w:jc w:val="center"/>
              <w:rPr>
                <w:noProof/>
              </w:rPr>
            </w:pPr>
            <w:r>
              <w:rPr>
                <w:noProof/>
              </w:rPr>
              <w:t>3 309</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83304" w14:textId="77777777" w:rsidR="00E42B18" w:rsidRDefault="009629C4">
            <w:pPr>
              <w:pStyle w:val="P68B1DB1-Normal11"/>
              <w:jc w:val="center"/>
              <w:rPr>
                <w:noProof/>
                <w:szCs w:val="20"/>
              </w:rPr>
            </w:pPr>
            <w:r>
              <w:rPr>
                <w:noProof/>
              </w:rPr>
              <w:t>Q2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F9CA7C" w14:textId="77777777" w:rsidR="00E42B18" w:rsidRDefault="009629C4">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9F36E" w14:textId="29146725" w:rsidR="00E42B18" w:rsidRDefault="009629C4">
            <w:pPr>
              <w:pStyle w:val="P68B1DB1-Normal11"/>
              <w:spacing w:after="0" w:line="278" w:lineRule="auto"/>
              <w:rPr>
                <w:noProof/>
              </w:rPr>
            </w:pPr>
            <w:r>
              <w:rPr>
                <w:noProof/>
              </w:rPr>
              <w:t>Alueellisten ja paikallisten rautatielinjojen vähintään 3309 kilometrin pituisten parannustöiden valmistumisesta on annettava todistus. Vähintään 11,7 km – WBS-menetelmän mukaisesti – parantamiseen ja sähköistämiseen liittyviä rautatietöitä voi koskea seuraavia linjoja:</w:t>
            </w:r>
            <w:r>
              <w:rPr>
                <w:noProof/>
              </w:rPr>
              <w:br/>
              <w:t xml:space="preserve">Puglian alue </w:t>
            </w:r>
            <w:r>
              <w:rPr>
                <w:noProof/>
              </w:rPr>
              <w:br/>
              <w:t>— Linkit Brindisi (mukaan lukien intermodaalikeskus)</w:t>
            </w:r>
            <w:r>
              <w:rPr>
                <w:noProof/>
              </w:rPr>
              <w:br/>
              <w:t xml:space="preserve">Campanian alue </w:t>
            </w:r>
            <w:r>
              <w:rPr>
                <w:noProof/>
              </w:rPr>
              <w:br/>
              <w:t xml:space="preserve">— Salerno Arechi – Aeroporto Pontecagnano </w:t>
            </w:r>
            <w:r>
              <w:rPr>
                <w:noProof/>
              </w:rPr>
              <w:br/>
              <w:t xml:space="preserve">Calabrian alue </w:t>
            </w:r>
            <w:r>
              <w:rPr>
                <w:noProof/>
              </w:rPr>
              <w:br/>
              <w:t xml:space="preserve">— Bretella di Sibari </w:t>
            </w:r>
            <w:r>
              <w:rPr>
                <w:noProof/>
              </w:rPr>
              <w:br/>
              <w:t xml:space="preserve">Basilicatan alue </w:t>
            </w:r>
            <w:r>
              <w:rPr>
                <w:noProof/>
              </w:rPr>
              <w:br/>
              <w:t xml:space="preserve">— Ferrandina-Matera </w:t>
            </w:r>
            <w:r>
              <w:rPr>
                <w:noProof/>
              </w:rPr>
              <w:br/>
              <w:t xml:space="preserve">Sisilian alue </w:t>
            </w:r>
            <w:r>
              <w:rPr>
                <w:noProof/>
              </w:rPr>
              <w:br/>
              <w:t xml:space="preserve">— Linkki Augustan satamaan </w:t>
            </w:r>
            <w:r>
              <w:rPr>
                <w:noProof/>
              </w:rPr>
              <w:br/>
              <w:t xml:space="preserve">Sardegnan alue </w:t>
            </w:r>
            <w:r>
              <w:rPr>
                <w:noProof/>
              </w:rPr>
              <w:br/>
              <w:t xml:space="preserve">Rautatieyhteys Olbian lentoasemaan </w:t>
            </w:r>
            <w:r>
              <w:rPr>
                <w:noProof/>
              </w:rPr>
              <w:br/>
              <w:t xml:space="preserve">— Raiteen kaksinkertaistuminen Decimomannu-Villamassargia </w:t>
            </w:r>
            <w:r>
              <w:rPr>
                <w:noProof/>
              </w:rPr>
              <w:br/>
              <w:t>Vähintään 528 km:n selviytymiskyvyn tukitoimien on liityttävä seuraaviin kohtiin: </w:t>
            </w:r>
            <w:r>
              <w:rPr>
                <w:noProof/>
              </w:rPr>
              <w:br/>
              <w:t>Campanian, Basilicatan ja Calabrian alueet:</w:t>
            </w:r>
            <w:r>
              <w:rPr>
                <w:noProof/>
              </w:rPr>
              <w:br/>
              <w:t>— Romanit – Napoli (AV,via Cassino, Formian kautta)</w:t>
            </w:r>
            <w:r>
              <w:rPr>
                <w:noProof/>
              </w:rPr>
              <w:br/>
              <w:t>— Aversa – Caserta;</w:t>
            </w:r>
            <w:r>
              <w:rPr>
                <w:noProof/>
              </w:rPr>
              <w:br/>
              <w:t>— Villa Literno – Napoli Gianturco; </w:t>
            </w:r>
            <w:r>
              <w:rPr>
                <w:noProof/>
              </w:rPr>
              <w:br/>
              <w:t>— Napoli – Salerno LMV Napoli – Salerno Storica;</w:t>
            </w:r>
            <w:r>
              <w:rPr>
                <w:noProof/>
              </w:rPr>
              <w:br/>
              <w:t>— Nocera Inferiore – Salerno;</w:t>
            </w:r>
            <w:r>
              <w:rPr>
                <w:noProof/>
              </w:rPr>
              <w:br/>
              <w:t>— Battipaglia – Paola; </w:t>
            </w:r>
            <w:r>
              <w:rPr>
                <w:noProof/>
              </w:rPr>
              <w:br/>
              <w:t>— Battipaglia – Potenza; </w:t>
            </w:r>
            <w:r>
              <w:rPr>
                <w:noProof/>
              </w:rPr>
              <w:br/>
              <w:t>— Caserta – Battipaglia; Caserta – Foggia; Catanzaro – Reggio Calabria;</w:t>
            </w:r>
            <w:r>
              <w:rPr>
                <w:noProof/>
              </w:rPr>
              <w:br/>
              <w:t xml:space="preserve">— Paola – Reggio Calabria; ja </w:t>
            </w:r>
            <w:r>
              <w:rPr>
                <w:noProof/>
              </w:rPr>
              <w:br/>
              <w:t>— Paola – Cosenza – Sibari. </w:t>
            </w:r>
            <w:r>
              <w:rPr>
                <w:noProof/>
              </w:rPr>
              <w:br/>
              <w:t>Molisen alue:</w:t>
            </w:r>
            <w:r>
              <w:rPr>
                <w:noProof/>
              </w:rPr>
              <w:br/>
              <w:t>— Termoli – Campobasso. </w:t>
            </w:r>
            <w:r>
              <w:rPr>
                <w:noProof/>
              </w:rPr>
              <w:br/>
              <w:t>Puglian alue:</w:t>
            </w:r>
            <w:r>
              <w:rPr>
                <w:noProof/>
              </w:rPr>
              <w:br/>
              <w:t>— Bari-Taranto; </w:t>
            </w:r>
            <w:r>
              <w:rPr>
                <w:noProof/>
              </w:rPr>
              <w:br/>
              <w:t>— Taranto – Brindisi; </w:t>
            </w:r>
            <w:r>
              <w:rPr>
                <w:noProof/>
              </w:rPr>
              <w:br/>
              <w:t>— Barletta-Spinazzola.</w:t>
            </w:r>
            <w:r>
              <w:rPr>
                <w:noProof/>
              </w:rPr>
              <w:br/>
              <w:t>Sisilian alue:</w:t>
            </w:r>
            <w:r>
              <w:rPr>
                <w:noProof/>
              </w:rPr>
              <w:br/>
              <w:t>— Fiumetorto – Agrigento;</w:t>
            </w:r>
            <w:r>
              <w:rPr>
                <w:noProof/>
              </w:rPr>
              <w:br/>
              <w:t>— Lercara dir. – Bicocca;</w:t>
            </w:r>
            <w:r>
              <w:rPr>
                <w:noProof/>
              </w:rPr>
              <w:br/>
              <w:t>— Messina – Catania – Siracusa;</w:t>
            </w:r>
            <w:r>
              <w:rPr>
                <w:noProof/>
              </w:rPr>
              <w:br/>
              <w:t>— Palermo – Messina; </w:t>
            </w:r>
            <w:r>
              <w:rPr>
                <w:noProof/>
              </w:rPr>
              <w:br/>
              <w:t>— Caltanissetta Xirbi – Canicattì – Aragona;</w:t>
            </w:r>
          </w:p>
          <w:p w14:paraId="425C8A85" w14:textId="174E5F87" w:rsidR="00E42B18" w:rsidRDefault="009629C4">
            <w:pPr>
              <w:pStyle w:val="P68B1DB1-Normal11"/>
              <w:rPr>
                <w:noProof/>
              </w:rPr>
            </w:pPr>
            <w:r>
              <w:rPr>
                <w:noProof/>
              </w:rPr>
              <w:t>— Canicattì – Siracusa.</w:t>
            </w:r>
            <w:r>
              <w:rPr>
                <w:noProof/>
              </w:rPr>
              <w:br/>
              <w:t>Tavoite on saavutettava sellaisten CLP-asetusten (Codice Locale Progetto) avulla, joita ei tueta muista EU:n rahastoista kuin elpymis- ja palautumistukivälineestä.</w:t>
            </w:r>
          </w:p>
        </w:tc>
      </w:tr>
    </w:tbl>
    <w:p w14:paraId="33251583" w14:textId="77777777" w:rsidR="00E42B18" w:rsidRDefault="00E42B18">
      <w:pPr>
        <w:tabs>
          <w:tab w:val="left" w:pos="4252"/>
        </w:tabs>
        <w:rPr>
          <w:i/>
          <w:noProof/>
        </w:rPr>
      </w:pPr>
    </w:p>
    <w:p w14:paraId="30B70235" w14:textId="77777777" w:rsidR="00E42B18" w:rsidRDefault="00E42B18">
      <w:pPr>
        <w:spacing w:before="120" w:after="120"/>
        <w:jc w:val="both"/>
        <w:rPr>
          <w:b/>
          <w:bCs/>
          <w:noProof/>
          <w:u w:val="single"/>
        </w:rPr>
        <w:sectPr w:rsidR="00E42B18" w:rsidSect="005F11B9">
          <w:headerReference w:type="even" r:id="rId146"/>
          <w:headerReference w:type="default" r:id="rId147"/>
          <w:footerReference w:type="even" r:id="rId148"/>
          <w:footerReference w:type="default" r:id="rId149"/>
          <w:headerReference w:type="first" r:id="rId150"/>
          <w:footerReference w:type="first" r:id="rId151"/>
          <w:pgSz w:w="16838" w:h="11907" w:orient="landscape" w:code="9"/>
          <w:pgMar w:top="1134" w:right="1134" w:bottom="1134" w:left="1134" w:header="567" w:footer="567" w:gutter="0"/>
          <w:cols w:space="720"/>
          <w:docGrid w:linePitch="360"/>
        </w:sectPr>
      </w:pPr>
    </w:p>
    <w:p w14:paraId="77DC66E5" w14:textId="77777777" w:rsidR="00E42B18" w:rsidRDefault="009629C4">
      <w:pPr>
        <w:pStyle w:val="P68B1DB1-Heading23"/>
        <w:ind w:left="1080"/>
        <w:rPr>
          <w:noProof/>
        </w:rPr>
      </w:pPr>
      <w:r>
        <w:rPr>
          <w:noProof/>
        </w:rPr>
        <w:t>I. MISSION 3 KOSKE 2 – Intermodaalisuus ja integroitu logistiikka</w:t>
      </w:r>
    </w:p>
    <w:p w14:paraId="5D644F82" w14:textId="77777777" w:rsidR="00E42B18" w:rsidRDefault="009629C4">
      <w:pPr>
        <w:pStyle w:val="P68B1DB1-Normal7"/>
        <w:tabs>
          <w:tab w:val="left" w:pos="1134"/>
        </w:tabs>
        <w:spacing w:before="120" w:after="120"/>
        <w:jc w:val="both"/>
        <w:rPr>
          <w:rFonts w:eastAsia="Calibri"/>
          <w:iCs/>
          <w:noProof/>
        </w:rPr>
      </w:pPr>
      <w:r>
        <w:rPr>
          <w:noProof/>
        </w:rPr>
        <w:t>Italian elpymis- ja palautumissuunnitelman tämän komponentin tavoitteena on tehdä Italian satamista tehokkaampia, kilpailukykyisempiä, energiatehokkaampia ja paremmin integroituja logistiikkaketjuun. Sillä pyritään myös digitalisoimaan ilmaliikenteen hallintajärjestelmä.</w:t>
      </w:r>
    </w:p>
    <w:p w14:paraId="6C4B12DA" w14:textId="77777777" w:rsidR="00E42B18" w:rsidRDefault="009629C4">
      <w:pPr>
        <w:pStyle w:val="P68B1DB1-Normal7"/>
        <w:tabs>
          <w:tab w:val="left" w:pos="1134"/>
        </w:tabs>
        <w:spacing w:before="120" w:after="120"/>
        <w:jc w:val="both"/>
        <w:rPr>
          <w:rFonts w:eastAsia="Calibri"/>
          <w:iCs/>
          <w:noProof/>
        </w:rPr>
      </w:pPr>
      <w:r>
        <w:rPr>
          <w:noProof/>
        </w:rPr>
        <w:t>Tätä varten se sisältää yhtäältä tärkeitä uudistuksia prosessien yksinkertaistamiseksi, satamasuunnittelun päivittämiseksi ja Italian satamien käyttöoikeuksien kilpailukyvyn parantamiseksi. Toisaalta eräät investoinnit, joiden tarkoituksena on varmistaa intermodaalisuus EU:n viestinnän päälinjojen kanssa, kehittää yhteyksiä valtameriin ja Välimeren alueen väliseen laittomaan kauppaan, lisätä Italian satamajärjestelmän dynaamisuutta ja kilpailukykyä, myös kasvihuonekaasupäästöjen vähentämiseksi. Tähän komponenttiin liittyvien investointien odotetaan lisäävän merkittävästi matkustaja- ja rahtimääriä Italian satamissa, millä on myönteinen vaikutus elvyttävään taloudelliseen toimintaan kyseisillä alueilla ja koko kansantalouteen.</w:t>
      </w:r>
    </w:p>
    <w:p w14:paraId="171F333A" w14:textId="77777777" w:rsidR="00E42B18" w:rsidRDefault="009629C4">
      <w:pPr>
        <w:pStyle w:val="P68B1DB1-Normal7"/>
        <w:tabs>
          <w:tab w:val="left" w:pos="1134"/>
        </w:tabs>
        <w:spacing w:before="120" w:after="120"/>
        <w:jc w:val="both"/>
        <w:rPr>
          <w:rFonts w:eastAsia="Calibri"/>
          <w:iCs/>
          <w:noProof/>
        </w:rPr>
      </w:pPr>
      <w:r>
        <w:rPr>
          <w:noProof/>
        </w:rPr>
        <w:t xml:space="preserve">Toisaalta tämä komponentti liittyy logistiikkajärjestelmien, myös lentoasemajärjestelmien, digitalisointiin. Näiden alojen odotetaan lisäävän kilpailukykyään käyttämällä innovatiivisia teknologisia ratkaisuja järjestelmän tehostamiseksi ja myös niiden ympäristövaikutusten vähentämiseksi. </w:t>
      </w:r>
    </w:p>
    <w:p w14:paraId="22FCFFA1" w14:textId="77777777" w:rsidR="00E42B18" w:rsidRDefault="009629C4">
      <w:pPr>
        <w:pStyle w:val="P68B1DB1-Normal7"/>
        <w:spacing w:before="120" w:after="120"/>
        <w:jc w:val="both"/>
        <w:rPr>
          <w:noProof/>
        </w:rPr>
      </w:pPr>
      <w:r>
        <w:rPr>
          <w:noProof/>
        </w:rPr>
        <w:t>Tällä osa-alueella vastataan vuoden 2019 maakohtaiseen suositukseen 3, jossa Italiaa kehotetaan laatimaan investointeihin liittyvää talouspolitiikkaa infrastruktuurin laadun osalta, ja vuoden 2020 maakohtaiseen suositukseen 3, jossa suositetaan vihreään siirtymään ja digitaaliseen muutokseen, erityisesti puhtaaseen ja tehokkaaseen energian tuotantoon ja käyttöön, tutkimukseen ja innovointiin, kestävään julkiseen liikenteeseen, jäte- ja vesihuoltoon sekä vahvistettuun digitaaliseen infrastruktuuriin tehtäviä investointeja keskeisten palvelujen tarjoamisen varmistamiseksi.</w:t>
      </w:r>
    </w:p>
    <w:p w14:paraId="5EE788DF" w14:textId="77777777" w:rsidR="00E42B18" w:rsidRDefault="009629C4">
      <w:pPr>
        <w:pStyle w:val="P68B1DB1-Normal7"/>
        <w:spacing w:before="120" w:after="120"/>
        <w:jc w:val="both"/>
        <w:rPr>
          <w:noProof/>
        </w:rPr>
      </w:pPr>
      <w:r>
        <w:rPr>
          <w:noProof/>
        </w:rPr>
        <w:t>Minkään tämän komponentin toimenpiteen ei odoteta aiheuttavan asetuksen (EU) 2020/852 17 artiklassa tarkoitettua merkittävää haittaa ympäristötavoitteille, kun otetaan huomioon ”ei merkittävää haittaa” -periaatteen soveltamista koskevien teknisten ohjeiden (2021/C58/01) mukaiset elpymis- ja palautumissuunnitelmassa esitettyjen toimenpiteiden kuvaus ja lieventävät toimet.</w:t>
      </w:r>
    </w:p>
    <w:p w14:paraId="737AB47E" w14:textId="77777777" w:rsidR="00E42B18" w:rsidRDefault="009629C4">
      <w:pPr>
        <w:pStyle w:val="P68B1DB1-Heading359"/>
        <w:ind w:left="850" w:hanging="850"/>
        <w:rPr>
          <w:b/>
          <w:bCs/>
          <w:i/>
          <w:iCs/>
          <w:noProof/>
          <w:color w:val="156082" w:themeColor="accent1"/>
          <w:u w:val="single"/>
        </w:rPr>
      </w:pPr>
      <w:r>
        <w:rPr>
          <w:b/>
          <w:noProof/>
          <w:u w:val="single"/>
        </w:rPr>
        <w:t xml:space="preserve">I.1 </w:t>
      </w:r>
      <w:r>
        <w:rPr>
          <w:noProof/>
        </w:rPr>
        <w:t xml:space="preserve"> </w:t>
      </w:r>
      <w:r>
        <w:rPr>
          <w:b/>
          <w:noProof/>
          <w:u w:val="single"/>
        </w:rPr>
        <w:t>Kuvaus uudistuksista ja investoinneista, joita rahoitetaan rahoitustuella, jota ei makseta takaisin</w:t>
      </w:r>
    </w:p>
    <w:p w14:paraId="456B2BAD" w14:textId="77777777" w:rsidR="00E42B18" w:rsidRDefault="009629C4">
      <w:pPr>
        <w:pStyle w:val="P68B1DB1-Normal5"/>
        <w:spacing w:before="120" w:after="120" w:line="257" w:lineRule="auto"/>
        <w:jc w:val="both"/>
        <w:rPr>
          <w:bCs/>
          <w:noProof/>
        </w:rPr>
      </w:pPr>
      <w:r>
        <w:rPr>
          <w:noProof/>
        </w:rPr>
        <w:t>Uudistus 1.1 – Strategisen suunnitteluprosessin menettelyjen yksinkertaistaminen</w:t>
      </w:r>
    </w:p>
    <w:p w14:paraId="3B7766E3" w14:textId="77777777" w:rsidR="00E42B18" w:rsidRDefault="009629C4">
      <w:pPr>
        <w:pStyle w:val="P68B1DB1-Normal7"/>
        <w:spacing w:before="120" w:after="120" w:line="257" w:lineRule="auto"/>
        <w:jc w:val="both"/>
        <w:rPr>
          <w:bCs/>
          <w:noProof/>
        </w:rPr>
      </w:pPr>
      <w:r>
        <w:rPr>
          <w:noProof/>
        </w:rPr>
        <w:t>Toimenpiteen tarkoituksena on satamasuunnittelun päivittäminen Italian satamajärjestelmän strategisen vision varmistamiseksi. Uudistuksessa on säänneltävä vähintään i) satamajärjestelmästä vastaavien viranomaisten kehitystavoitteita; yksilöidyt ja hahmotellut alueet, jotka on tarkoitettu yksinomaan satama- ja takasatamatoimintoihin, iii) maantie- ja rautatieliikenteen infrastruktuuriyhteydet satamiin, iv) suunnittelun sisällön määrittämisessä noudatettavat kriteerit ja v) sataman sääntelysuunnitelmien valmistelua koskevat suuntaviivat, säännöt ja menettelyt on yksilöitävä yksiselitteisesti.</w:t>
      </w:r>
    </w:p>
    <w:p w14:paraId="6EB2E08A" w14:textId="49666CB6" w:rsidR="00E42B18" w:rsidRDefault="009629C4">
      <w:pPr>
        <w:pStyle w:val="P68B1DB1-Normal5"/>
        <w:spacing w:before="120" w:after="120" w:line="257" w:lineRule="auto"/>
        <w:jc w:val="both"/>
        <w:rPr>
          <w:bCs/>
          <w:noProof/>
        </w:rPr>
      </w:pPr>
      <w:r>
        <w:rPr>
          <w:noProof/>
        </w:rPr>
        <w:t xml:space="preserve">Uudistus 1.2 – Kilpailullinen käyttöoikeussopimusten myöntäminen Italian satamissa </w:t>
      </w:r>
    </w:p>
    <w:p w14:paraId="5F5CF24F" w14:textId="77777777" w:rsidR="00E42B18" w:rsidRDefault="009629C4">
      <w:pPr>
        <w:pStyle w:val="P68B1DB1-Normal7"/>
        <w:spacing w:before="120" w:after="120"/>
        <w:jc w:val="both"/>
        <w:rPr>
          <w:rFonts w:eastAsia="Calibri"/>
          <w:noProof/>
        </w:rPr>
      </w:pPr>
      <w:r>
        <w:rPr>
          <w:noProof/>
        </w:rPr>
        <w:t>Tämän toimenpiteen tarkoituksena on määritellä ehdot, jotka koskevat toimiluvan kestoa, myöntävien viranomaisten valvontavaltuuksia, uusimismenettelyjä, toimintojen siirtämistä uudelle toimiluvan saajalle toimiluvan päättyessä ja toimiluvan haltijoilta perittävien maksujen vähimmäisrajojen määrittämistä.</w:t>
      </w:r>
    </w:p>
    <w:p w14:paraId="0BC8BB5C" w14:textId="77777777" w:rsidR="00E42B18" w:rsidRDefault="00E42B18">
      <w:pPr>
        <w:spacing w:before="120" w:after="120"/>
        <w:jc w:val="both"/>
        <w:rPr>
          <w:rFonts w:ascii="Times New Roman" w:eastAsia="Calibri" w:hAnsi="Times New Roman" w:cs="Times New Roman"/>
          <w:noProof/>
        </w:rPr>
      </w:pPr>
    </w:p>
    <w:p w14:paraId="2EC87929" w14:textId="796550CA" w:rsidR="00E42B18" w:rsidRDefault="009629C4">
      <w:pPr>
        <w:pStyle w:val="P68B1DB1-Normal5"/>
        <w:spacing w:before="120" w:after="120"/>
        <w:jc w:val="both"/>
        <w:rPr>
          <w:rFonts w:eastAsia="Calibri"/>
          <w:noProof/>
        </w:rPr>
      </w:pPr>
      <w:r>
        <w:rPr>
          <w:noProof/>
        </w:rPr>
        <w:t xml:space="preserve">Uudistus 1.3 – Kylmäsilityslupamenettelyjen yksinkertaistaminen Italian satamissa </w:t>
      </w:r>
    </w:p>
    <w:p w14:paraId="5BDCF156" w14:textId="77777777" w:rsidR="00E42B18" w:rsidRDefault="009629C4">
      <w:pPr>
        <w:pStyle w:val="P68B1DB1-Normal7"/>
        <w:spacing w:before="120" w:after="120"/>
        <w:jc w:val="both"/>
        <w:rPr>
          <w:rFonts w:eastAsia="Calibri"/>
          <w:noProof/>
        </w:rPr>
      </w:pPr>
      <w:r>
        <w:rPr>
          <w:noProof/>
        </w:rPr>
        <w:t>Tämän toimenpiteen odotetaan yksinkertaistavan ja vähentävän lupamenettelyä, joka koskee kansallisen sähkönsiirtoverkon laitosten rakentamista alusten sähkönjakelujärjestelmiin (</w:t>
      </w:r>
      <w:r>
        <w:rPr>
          <w:i/>
          <w:noProof/>
        </w:rPr>
        <w:t>kylmäsilitys)</w:t>
      </w:r>
      <w:r>
        <w:rPr>
          <w:noProof/>
        </w:rPr>
        <w:t>.</w:t>
      </w:r>
    </w:p>
    <w:p w14:paraId="4623491B" w14:textId="77777777" w:rsidR="00E42B18" w:rsidRDefault="009629C4">
      <w:pPr>
        <w:pStyle w:val="P68B1DB1-Normal7"/>
        <w:spacing w:before="120" w:after="120"/>
        <w:jc w:val="both"/>
        <w:rPr>
          <w:rFonts w:eastAsia="Calibri"/>
          <w:noProof/>
        </w:rPr>
      </w:pPr>
      <w:r>
        <w:rPr>
          <w:noProof/>
        </w:rPr>
        <w:t xml:space="preserve">Infrastruktuuri- ja liikenneministeriö tekee ehdotuksen lupamenettelyn yksinkertaistamiseksi. Erityisesti ehdotetaan, että kylmäsilityshankkeet arvioitaisiin aluetoimistoissa, jotka raportoivat talouskehitysministeriölle, joka voisi tutkia hankkeita lyhyemmässä ajassa ja siten hyväksyä ne. Lisäksi on suunniteltava sääntelytoimia, joilla määritetään yksi lupamenettely hankkeille, joiden jännite on suurempi kuin 132 kV ja loput, jotta voidaan hyödyntää prosessien synergiaetuja. </w:t>
      </w:r>
    </w:p>
    <w:p w14:paraId="52B87AFB" w14:textId="77777777" w:rsidR="00E42B18" w:rsidRDefault="009629C4">
      <w:pPr>
        <w:pStyle w:val="P68B1DB1-Normal5"/>
        <w:spacing w:before="120" w:after="120"/>
        <w:jc w:val="both"/>
        <w:rPr>
          <w:rFonts w:eastAsia="Calibri"/>
          <w:noProof/>
        </w:rPr>
      </w:pPr>
      <w:r>
        <w:rPr>
          <w:noProof/>
        </w:rPr>
        <w:t>Uudistus 2.1: Yhdennetyn tullipalvelupisteen (”Sportello Unico Doganale”) toteuttaminen</w:t>
      </w:r>
    </w:p>
    <w:p w14:paraId="0A52D7C9" w14:textId="77777777" w:rsidR="00E42B18" w:rsidRDefault="009629C4">
      <w:pPr>
        <w:pStyle w:val="P68B1DB1-Normal7"/>
        <w:spacing w:before="120" w:after="120"/>
        <w:jc w:val="both"/>
        <w:rPr>
          <w:noProof/>
        </w:rPr>
      </w:pPr>
      <w:r>
        <w:rPr>
          <w:noProof/>
        </w:rPr>
        <w:t>Tavoitteena on luoda keskitettyä valvontapistettä varten erityinen portaali, joka mahdollistaa yhteentoimivuuden kansallisten tietokantojen kanssa ja tullin valvontatoimien koordinoinnin.</w:t>
      </w:r>
    </w:p>
    <w:p w14:paraId="272D0360" w14:textId="77777777" w:rsidR="00E42B18" w:rsidRDefault="009629C4">
      <w:pPr>
        <w:pStyle w:val="P68B1DB1-Normal5"/>
        <w:spacing w:before="120" w:after="120"/>
        <w:jc w:val="both"/>
        <w:rPr>
          <w:bCs/>
          <w:noProof/>
        </w:rPr>
      </w:pPr>
      <w:r>
        <w:rPr>
          <w:noProof/>
        </w:rPr>
        <w:t>Investointi 2.1: Logistiikkaketjun digitalisointi</w:t>
      </w:r>
    </w:p>
    <w:p w14:paraId="04E74D0D" w14:textId="77777777" w:rsidR="00E42B18" w:rsidRDefault="009629C4">
      <w:pPr>
        <w:pStyle w:val="P68B1DB1-Normal7"/>
        <w:spacing w:before="120" w:after="120"/>
        <w:jc w:val="both"/>
        <w:rPr>
          <w:noProof/>
        </w:rPr>
      </w:pPr>
      <w:r>
        <w:rPr>
          <w:noProof/>
        </w:rPr>
        <w:t>Tämän investoinnin tavoitteena on parantaa kansallisen logistiikan kilpailukykyä yksinkertaistamalla menettelyjä, prosesseja ja valvontaa ja keskittymällä asiakirjojen dematerialisointiin sekä tietojen ja tietojen vaihtoon. Investointi koostuu tavara- ja logistiikka-alan julkisten ja yksityisten toimijoiden välisen yhteentoimivan digitaalisen järjestelmän luomisesta.</w:t>
      </w:r>
    </w:p>
    <w:p w14:paraId="388390AA" w14:textId="77777777" w:rsidR="00E42B18" w:rsidRDefault="009629C4">
      <w:pPr>
        <w:pStyle w:val="P68B1DB1-Normal5"/>
        <w:rPr>
          <w:bCs/>
          <w:noProof/>
        </w:rPr>
      </w:pPr>
      <w:r>
        <w:rPr>
          <w:noProof/>
        </w:rPr>
        <w:t>Investointi 2.2: Ilmaliikenteen hallinnan digitalisointi.</w:t>
      </w:r>
    </w:p>
    <w:p w14:paraId="2A51924A" w14:textId="77777777" w:rsidR="00E42B18" w:rsidRDefault="009629C4">
      <w:pPr>
        <w:pStyle w:val="P68B1DB1-Normal7"/>
        <w:spacing w:before="120" w:after="120"/>
        <w:jc w:val="both"/>
        <w:rPr>
          <w:rFonts w:eastAsia="Calibri"/>
          <w:noProof/>
        </w:rPr>
      </w:pPr>
      <w:r>
        <w:rPr>
          <w:noProof/>
        </w:rPr>
        <w:t>Investoinnin tavoitteena on kehittää uusia välineitä ilmailutietojen digitoimiseksi ja ottaa käyttöön miehittämättömiä ilma-alusalustoja ja -palveluja. Investointi koostuu miehittämättömän liikenteen hallintajärjestelmän (UTMS) kehittämisestä ja liitettävyydestä, ilmailutiedotuksen digitalisoinnista ja uuden huoltomallin määrittelystä.</w:t>
      </w:r>
    </w:p>
    <w:p w14:paraId="1665F422" w14:textId="77777777" w:rsidR="00E42B18" w:rsidRDefault="009629C4">
      <w:pPr>
        <w:pStyle w:val="paragraph"/>
        <w:spacing w:before="0" w:beforeAutospacing="0" w:after="0" w:afterAutospacing="0"/>
        <w:jc w:val="both"/>
        <w:textAlignment w:val="baseline"/>
        <w:rPr>
          <w:noProof/>
          <w:sz w:val="18"/>
          <w:szCs w:val="18"/>
        </w:rPr>
      </w:pPr>
      <w:r>
        <w:rPr>
          <w:rStyle w:val="normaltextrun"/>
          <w:b/>
          <w:noProof/>
        </w:rPr>
        <w:t>Investointi 2.3: Kylmäsilitys</w:t>
      </w:r>
      <w:r>
        <w:rPr>
          <w:rStyle w:val="eop"/>
          <w:noProof/>
        </w:rPr>
        <w:t xml:space="preserve"> </w:t>
      </w:r>
    </w:p>
    <w:p w14:paraId="64CBB954" w14:textId="77777777" w:rsidR="00E42B18" w:rsidRDefault="009629C4">
      <w:pPr>
        <w:pStyle w:val="paragraph"/>
        <w:spacing w:line="278" w:lineRule="auto"/>
        <w:jc w:val="both"/>
        <w:rPr>
          <w:rStyle w:val="normaltextrun"/>
          <w:noProof/>
          <w:sz w:val="22"/>
          <w:szCs w:val="22"/>
        </w:rPr>
      </w:pPr>
      <w:r>
        <w:rPr>
          <w:rStyle w:val="normaltextrun"/>
          <w:noProof/>
          <w:sz w:val="22"/>
          <w:szCs w:val="22"/>
        </w:rPr>
        <w:t>Tämän investoinnin tavoitteena on vähentää merenkulkualan kasvihuonekaasupäästöjä. Investointi koostuu sähkönjakeluverkon rakentamisesta satama-alueille (dokskit) ja siihen liittyvän kansalliseen siirtoverkkoon liittyvän liitäntäinfrastruktuurin rakentamisesta.</w:t>
      </w:r>
    </w:p>
    <w:p w14:paraId="60536842" w14:textId="34B37CE9" w:rsidR="00E42B18" w:rsidRDefault="009629C4">
      <w:pPr>
        <w:pStyle w:val="paragraph"/>
        <w:spacing w:line="278" w:lineRule="auto"/>
        <w:jc w:val="both"/>
        <w:rPr>
          <w:rStyle w:val="eop"/>
          <w:noProof/>
          <w:sz w:val="22"/>
          <w:szCs w:val="22"/>
        </w:rPr>
        <w:sectPr w:rsidR="00E42B18" w:rsidSect="005F11B9">
          <w:headerReference w:type="even" r:id="rId152"/>
          <w:headerReference w:type="default" r:id="rId153"/>
          <w:footerReference w:type="even" r:id="rId154"/>
          <w:footerReference w:type="default" r:id="rId155"/>
          <w:headerReference w:type="first" r:id="rId156"/>
          <w:footerReference w:type="first" r:id="rId157"/>
          <w:pgSz w:w="11907" w:h="16839"/>
          <w:pgMar w:top="1134" w:right="1134" w:bottom="1134" w:left="1134" w:header="567" w:footer="567" w:gutter="0"/>
          <w:cols w:space="720"/>
          <w:docGrid w:linePitch="360"/>
        </w:sectPr>
      </w:pPr>
      <w:r>
        <w:rPr>
          <w:rStyle w:val="eop"/>
          <w:noProof/>
          <w:sz w:val="22"/>
          <w:szCs w:val="22"/>
        </w:rPr>
        <w:t xml:space="preserve"> </w:t>
      </w:r>
    </w:p>
    <w:p w14:paraId="7AD396BF" w14:textId="77777777" w:rsidR="00E42B18" w:rsidRDefault="009629C4">
      <w:pPr>
        <w:pStyle w:val="P68B1DB1-Heading39"/>
        <w:ind w:left="850" w:hanging="850"/>
        <w:rPr>
          <w:b/>
          <w:bCs/>
          <w:i/>
          <w:iCs/>
          <w:noProof/>
          <w:u w:val="single"/>
        </w:rPr>
      </w:pPr>
      <w:r>
        <w:rPr>
          <w:b/>
          <w:noProof/>
          <w:u w:val="single"/>
        </w:rPr>
        <w:t xml:space="preserve">I.2 </w:t>
      </w:r>
      <w:r>
        <w:rPr>
          <w:noProof/>
        </w:rPr>
        <w:t xml:space="preserve"> </w:t>
      </w:r>
      <w:r>
        <w:rPr>
          <w:b/>
          <w:noProof/>
          <w:u w:val="single"/>
        </w:rPr>
        <w:t>Seurantaa ja täytäntöönpanoa koskevat välitavoitteet, tavoitteet, indikaattorit ja aikataulu – rahoitustuki, jota ei makseta takaisin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1"/>
        <w:gridCol w:w="1729"/>
        <w:gridCol w:w="1422"/>
        <w:gridCol w:w="1950"/>
        <w:gridCol w:w="1683"/>
        <w:gridCol w:w="800"/>
        <w:gridCol w:w="1059"/>
        <w:gridCol w:w="886"/>
        <w:gridCol w:w="886"/>
        <w:gridCol w:w="664"/>
        <w:gridCol w:w="2507"/>
      </w:tblGrid>
      <w:tr w:rsidR="00E42B18" w14:paraId="13411E8B" w14:textId="77777777" w:rsidTr="0097361F">
        <w:trPr>
          <w:trHeight w:val="927"/>
          <w:tblHeader/>
          <w:jc w:val="center"/>
        </w:trPr>
        <w:tc>
          <w:tcPr>
            <w:tcW w:w="1128" w:type="dxa"/>
            <w:vMerge w:val="restart"/>
            <w:shd w:val="clear" w:color="auto" w:fill="BDD7EE"/>
            <w:vAlign w:val="center"/>
            <w:hideMark/>
          </w:tcPr>
          <w:p w14:paraId="224B175F" w14:textId="77777777" w:rsidR="00E42B18" w:rsidRDefault="009629C4">
            <w:pPr>
              <w:pStyle w:val="P68B1DB1-Normal10"/>
              <w:jc w:val="center"/>
              <w:rPr>
                <w:noProof/>
                <w:szCs w:val="20"/>
              </w:rPr>
            </w:pPr>
            <w:r>
              <w:rPr>
                <w:noProof/>
              </w:rPr>
              <w:t>Väestönumero</w:t>
            </w:r>
          </w:p>
        </w:tc>
        <w:tc>
          <w:tcPr>
            <w:tcW w:w="1618" w:type="dxa"/>
            <w:vMerge w:val="restart"/>
            <w:shd w:val="clear" w:color="auto" w:fill="BDD7EE"/>
            <w:vAlign w:val="center"/>
            <w:hideMark/>
          </w:tcPr>
          <w:p w14:paraId="35CC6643" w14:textId="77777777" w:rsidR="00E42B18" w:rsidRDefault="009629C4">
            <w:pPr>
              <w:pStyle w:val="P68B1DB1-Normal10"/>
              <w:jc w:val="center"/>
              <w:rPr>
                <w:noProof/>
                <w:szCs w:val="20"/>
              </w:rPr>
            </w:pPr>
            <w:r>
              <w:rPr>
                <w:noProof/>
              </w:rPr>
              <w:t>Toimenpide (uudistus tai investointi)</w:t>
            </w:r>
          </w:p>
        </w:tc>
        <w:tc>
          <w:tcPr>
            <w:tcW w:w="1333" w:type="dxa"/>
            <w:vMerge w:val="restart"/>
            <w:shd w:val="clear" w:color="auto" w:fill="BDD7EE"/>
            <w:vAlign w:val="center"/>
            <w:hideMark/>
          </w:tcPr>
          <w:p w14:paraId="7D7BEE81" w14:textId="77777777" w:rsidR="00E42B18" w:rsidRDefault="009629C4">
            <w:pPr>
              <w:pStyle w:val="P68B1DB1-Normal10"/>
              <w:jc w:val="center"/>
              <w:rPr>
                <w:noProof/>
                <w:szCs w:val="20"/>
              </w:rPr>
            </w:pPr>
            <w:r>
              <w:rPr>
                <w:noProof/>
              </w:rPr>
              <w:t>Välitavoite/tavoite</w:t>
            </w:r>
          </w:p>
        </w:tc>
        <w:tc>
          <w:tcPr>
            <w:tcW w:w="1822" w:type="dxa"/>
            <w:vMerge w:val="restart"/>
            <w:shd w:val="clear" w:color="auto" w:fill="BDD7EE"/>
            <w:vAlign w:val="center"/>
            <w:hideMark/>
          </w:tcPr>
          <w:p w14:paraId="1679C6B9" w14:textId="77777777" w:rsidR="00E42B18" w:rsidRDefault="009629C4">
            <w:pPr>
              <w:pStyle w:val="P68B1DB1-Normal10"/>
              <w:jc w:val="center"/>
              <w:rPr>
                <w:noProof/>
                <w:szCs w:val="20"/>
              </w:rPr>
            </w:pPr>
            <w:r>
              <w:rPr>
                <w:noProof/>
              </w:rPr>
              <w:t>Nimi</w:t>
            </w:r>
          </w:p>
        </w:tc>
        <w:tc>
          <w:tcPr>
            <w:tcW w:w="1575" w:type="dxa"/>
            <w:vMerge w:val="restart"/>
            <w:shd w:val="clear" w:color="auto" w:fill="BDD7EE"/>
            <w:vAlign w:val="center"/>
            <w:hideMark/>
          </w:tcPr>
          <w:p w14:paraId="58C9646C" w14:textId="7777777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2725" w:type="dxa"/>
            <w:gridSpan w:val="3"/>
            <w:shd w:val="clear" w:color="auto" w:fill="BDD7EE"/>
            <w:vAlign w:val="center"/>
            <w:hideMark/>
          </w:tcPr>
          <w:p w14:paraId="411E6C6F"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719" w:type="dxa"/>
            <w:gridSpan w:val="2"/>
            <w:shd w:val="clear" w:color="auto" w:fill="BDD7EE"/>
            <w:vAlign w:val="center"/>
            <w:hideMark/>
          </w:tcPr>
          <w:p w14:paraId="4732B910" w14:textId="77777777" w:rsidR="00E42B18" w:rsidRDefault="009629C4">
            <w:pPr>
              <w:pStyle w:val="P68B1DB1-Normal10"/>
              <w:jc w:val="center"/>
              <w:rPr>
                <w:noProof/>
                <w:szCs w:val="20"/>
              </w:rPr>
            </w:pPr>
            <w:r>
              <w:rPr>
                <w:noProof/>
              </w:rPr>
              <w:t>Alustava toteutusaikataulu</w:t>
            </w:r>
          </w:p>
        </w:tc>
        <w:tc>
          <w:tcPr>
            <w:tcW w:w="2867" w:type="dxa"/>
            <w:vMerge w:val="restart"/>
            <w:shd w:val="clear" w:color="auto" w:fill="BDD7EE"/>
            <w:vAlign w:val="center"/>
            <w:hideMark/>
          </w:tcPr>
          <w:p w14:paraId="7FF27360" w14:textId="77777777" w:rsidR="00E42B18" w:rsidRDefault="009629C4">
            <w:pPr>
              <w:pStyle w:val="P68B1DB1-Normal10"/>
              <w:jc w:val="center"/>
              <w:rPr>
                <w:noProof/>
                <w:szCs w:val="20"/>
              </w:rPr>
            </w:pPr>
            <w:r>
              <w:rPr>
                <w:noProof/>
              </w:rPr>
              <w:t>Kunkin välitavoitteen ja tavoitteen kuvaus</w:t>
            </w:r>
          </w:p>
        </w:tc>
      </w:tr>
      <w:tr w:rsidR="00E42B18" w14:paraId="2C38A6E9" w14:textId="77777777" w:rsidTr="0097361F">
        <w:trPr>
          <w:trHeight w:val="801"/>
          <w:jc w:val="center"/>
        </w:trPr>
        <w:tc>
          <w:tcPr>
            <w:tcW w:w="1128" w:type="dxa"/>
            <w:vMerge/>
            <w:vAlign w:val="center"/>
            <w:hideMark/>
          </w:tcPr>
          <w:p w14:paraId="443D66EE" w14:textId="77777777" w:rsidR="00E42B18" w:rsidRDefault="00E42B18">
            <w:pPr>
              <w:jc w:val="center"/>
              <w:rPr>
                <w:rFonts w:ascii="Arial Narrow" w:hAnsi="Arial Narrow"/>
                <w:b/>
                <w:bCs/>
                <w:noProof/>
                <w:sz w:val="20"/>
                <w:szCs w:val="20"/>
              </w:rPr>
            </w:pPr>
          </w:p>
        </w:tc>
        <w:tc>
          <w:tcPr>
            <w:tcW w:w="1618" w:type="dxa"/>
            <w:vMerge/>
            <w:vAlign w:val="center"/>
            <w:hideMark/>
          </w:tcPr>
          <w:p w14:paraId="02A2874A" w14:textId="77777777" w:rsidR="00E42B18" w:rsidRDefault="00E42B18">
            <w:pPr>
              <w:jc w:val="center"/>
              <w:rPr>
                <w:rFonts w:ascii="Arial Narrow" w:hAnsi="Arial Narrow"/>
                <w:b/>
                <w:bCs/>
                <w:noProof/>
                <w:sz w:val="20"/>
                <w:szCs w:val="20"/>
              </w:rPr>
            </w:pPr>
          </w:p>
        </w:tc>
        <w:tc>
          <w:tcPr>
            <w:tcW w:w="1333" w:type="dxa"/>
            <w:vMerge/>
            <w:vAlign w:val="center"/>
            <w:hideMark/>
          </w:tcPr>
          <w:p w14:paraId="302CD8A8" w14:textId="77777777" w:rsidR="00E42B18" w:rsidRDefault="00E42B18">
            <w:pPr>
              <w:jc w:val="center"/>
              <w:rPr>
                <w:rFonts w:ascii="Arial Narrow" w:hAnsi="Arial Narrow"/>
                <w:b/>
                <w:bCs/>
                <w:noProof/>
                <w:sz w:val="20"/>
                <w:szCs w:val="20"/>
              </w:rPr>
            </w:pPr>
          </w:p>
        </w:tc>
        <w:tc>
          <w:tcPr>
            <w:tcW w:w="1822" w:type="dxa"/>
            <w:vMerge/>
            <w:vAlign w:val="center"/>
            <w:hideMark/>
          </w:tcPr>
          <w:p w14:paraId="43807668" w14:textId="77777777" w:rsidR="00E42B18" w:rsidRDefault="00E42B18">
            <w:pPr>
              <w:jc w:val="center"/>
              <w:rPr>
                <w:rFonts w:ascii="Arial Narrow" w:hAnsi="Arial Narrow"/>
                <w:b/>
                <w:bCs/>
                <w:noProof/>
                <w:sz w:val="20"/>
                <w:szCs w:val="20"/>
              </w:rPr>
            </w:pPr>
          </w:p>
        </w:tc>
        <w:tc>
          <w:tcPr>
            <w:tcW w:w="1575" w:type="dxa"/>
            <w:vMerge/>
            <w:vAlign w:val="center"/>
            <w:hideMark/>
          </w:tcPr>
          <w:p w14:paraId="324B484D" w14:textId="77777777" w:rsidR="00E42B18" w:rsidRDefault="00E42B18">
            <w:pPr>
              <w:jc w:val="center"/>
              <w:rPr>
                <w:rFonts w:ascii="Arial Narrow" w:hAnsi="Arial Narrow"/>
                <w:b/>
                <w:bCs/>
                <w:noProof/>
                <w:sz w:val="20"/>
                <w:szCs w:val="20"/>
              </w:rPr>
            </w:pPr>
          </w:p>
        </w:tc>
        <w:tc>
          <w:tcPr>
            <w:tcW w:w="892" w:type="dxa"/>
            <w:shd w:val="clear" w:color="auto" w:fill="BDD7EE"/>
            <w:vAlign w:val="center"/>
            <w:hideMark/>
          </w:tcPr>
          <w:p w14:paraId="0D21879E" w14:textId="77777777" w:rsidR="00E42B18" w:rsidRDefault="009629C4">
            <w:pPr>
              <w:pStyle w:val="P68B1DB1-Normal10"/>
              <w:jc w:val="center"/>
              <w:rPr>
                <w:noProof/>
                <w:szCs w:val="20"/>
              </w:rPr>
            </w:pPr>
            <w:r>
              <w:rPr>
                <w:noProof/>
              </w:rPr>
              <w:t>Mitta-yksikkö</w:t>
            </w:r>
          </w:p>
        </w:tc>
        <w:tc>
          <w:tcPr>
            <w:tcW w:w="997" w:type="dxa"/>
            <w:shd w:val="clear" w:color="auto" w:fill="BDD7EE"/>
            <w:vAlign w:val="center"/>
            <w:hideMark/>
          </w:tcPr>
          <w:p w14:paraId="5A5C837A" w14:textId="77777777" w:rsidR="00E42B18" w:rsidRDefault="009629C4">
            <w:pPr>
              <w:pStyle w:val="P68B1DB1-Normal10"/>
              <w:jc w:val="center"/>
              <w:rPr>
                <w:noProof/>
                <w:szCs w:val="20"/>
              </w:rPr>
            </w:pPr>
            <w:r>
              <w:rPr>
                <w:noProof/>
              </w:rPr>
              <w:t>Lähtötilanne</w:t>
            </w:r>
          </w:p>
        </w:tc>
        <w:tc>
          <w:tcPr>
            <w:tcW w:w="836" w:type="dxa"/>
            <w:shd w:val="clear" w:color="auto" w:fill="BDD7EE"/>
            <w:vAlign w:val="center"/>
            <w:hideMark/>
          </w:tcPr>
          <w:p w14:paraId="2A2CB950" w14:textId="77777777" w:rsidR="00E42B18" w:rsidRDefault="009629C4">
            <w:pPr>
              <w:pStyle w:val="P68B1DB1-Normal10"/>
              <w:jc w:val="center"/>
              <w:rPr>
                <w:noProof/>
                <w:szCs w:val="20"/>
              </w:rPr>
            </w:pPr>
            <w:r>
              <w:rPr>
                <w:noProof/>
              </w:rPr>
              <w:t>Päämäärä</w:t>
            </w:r>
          </w:p>
        </w:tc>
        <w:tc>
          <w:tcPr>
            <w:tcW w:w="985" w:type="dxa"/>
            <w:shd w:val="clear" w:color="auto" w:fill="BDD7EE"/>
            <w:vAlign w:val="center"/>
            <w:hideMark/>
          </w:tcPr>
          <w:p w14:paraId="10CDEB50" w14:textId="77777777" w:rsidR="00E42B18" w:rsidRDefault="009629C4">
            <w:pPr>
              <w:pStyle w:val="P68B1DB1-Normal10"/>
              <w:jc w:val="center"/>
              <w:rPr>
                <w:noProof/>
                <w:szCs w:val="20"/>
              </w:rPr>
            </w:pPr>
            <w:r>
              <w:rPr>
                <w:noProof/>
              </w:rPr>
              <w:t>Neljännes</w:t>
            </w:r>
          </w:p>
        </w:tc>
        <w:tc>
          <w:tcPr>
            <w:tcW w:w="734" w:type="dxa"/>
            <w:shd w:val="clear" w:color="auto" w:fill="BDD7EE"/>
            <w:vAlign w:val="center"/>
            <w:hideMark/>
          </w:tcPr>
          <w:p w14:paraId="46C906D9" w14:textId="77777777" w:rsidR="00E42B18" w:rsidRDefault="009629C4">
            <w:pPr>
              <w:pStyle w:val="P68B1DB1-Normal10"/>
              <w:jc w:val="center"/>
              <w:rPr>
                <w:noProof/>
                <w:szCs w:val="20"/>
              </w:rPr>
            </w:pPr>
            <w:r>
              <w:rPr>
                <w:noProof/>
              </w:rPr>
              <w:t>Vuosi</w:t>
            </w:r>
          </w:p>
        </w:tc>
        <w:tc>
          <w:tcPr>
            <w:tcW w:w="2867" w:type="dxa"/>
            <w:vMerge/>
            <w:vAlign w:val="center"/>
            <w:hideMark/>
          </w:tcPr>
          <w:p w14:paraId="291881CF" w14:textId="77777777" w:rsidR="00E42B18" w:rsidRDefault="00E42B18">
            <w:pPr>
              <w:rPr>
                <w:rFonts w:ascii="Arial Narrow" w:hAnsi="Arial Narrow"/>
                <w:b/>
                <w:bCs/>
                <w:noProof/>
                <w:sz w:val="20"/>
                <w:szCs w:val="20"/>
              </w:rPr>
            </w:pPr>
          </w:p>
        </w:tc>
      </w:tr>
      <w:tr w:rsidR="00E42B18" w14:paraId="7AE8F155" w14:textId="77777777" w:rsidTr="0097361F">
        <w:trPr>
          <w:trHeight w:val="309"/>
          <w:jc w:val="center"/>
        </w:trPr>
        <w:tc>
          <w:tcPr>
            <w:tcW w:w="1128" w:type="dxa"/>
            <w:shd w:val="clear" w:color="auto" w:fill="C6EFCE"/>
            <w:noWrap/>
            <w:vAlign w:val="center"/>
            <w:hideMark/>
          </w:tcPr>
          <w:p w14:paraId="146801C7" w14:textId="77777777" w:rsidR="00E42B18" w:rsidRDefault="009629C4">
            <w:pPr>
              <w:pStyle w:val="P68B1DB1-Normal11"/>
              <w:jc w:val="center"/>
              <w:rPr>
                <w:noProof/>
                <w:szCs w:val="20"/>
              </w:rPr>
            </w:pPr>
            <w:r>
              <w:rPr>
                <w:noProof/>
              </w:rPr>
              <w:t>M3C2–1</w:t>
            </w:r>
          </w:p>
        </w:tc>
        <w:tc>
          <w:tcPr>
            <w:tcW w:w="1618" w:type="dxa"/>
            <w:shd w:val="clear" w:color="auto" w:fill="C6EFCE"/>
            <w:noWrap/>
            <w:vAlign w:val="center"/>
          </w:tcPr>
          <w:p w14:paraId="7518ED8E" w14:textId="77777777" w:rsidR="00E42B18" w:rsidRDefault="009629C4">
            <w:pPr>
              <w:pStyle w:val="P68B1DB1-Normal11"/>
              <w:spacing w:line="257" w:lineRule="auto"/>
              <w:jc w:val="center"/>
              <w:rPr>
                <w:noProof/>
                <w:szCs w:val="20"/>
              </w:rPr>
            </w:pPr>
            <w:r>
              <w:rPr>
                <w:noProof/>
              </w:rPr>
              <w:t>Uudistus 1.1 – Strategisen suunnitteluprosessin menettelyjen yksinkertaistaminen</w:t>
            </w:r>
          </w:p>
        </w:tc>
        <w:tc>
          <w:tcPr>
            <w:tcW w:w="1333" w:type="dxa"/>
            <w:shd w:val="clear" w:color="auto" w:fill="C6EFCE"/>
            <w:noWrap/>
            <w:vAlign w:val="center"/>
          </w:tcPr>
          <w:p w14:paraId="585E5E9D" w14:textId="77777777" w:rsidR="00E42B18" w:rsidRDefault="009629C4">
            <w:pPr>
              <w:pStyle w:val="P68B1DB1-Normal11"/>
              <w:jc w:val="center"/>
              <w:rPr>
                <w:noProof/>
                <w:szCs w:val="20"/>
              </w:rPr>
            </w:pPr>
            <w:r>
              <w:rPr>
                <w:noProof/>
              </w:rPr>
              <w:t>Virstanpylväs</w:t>
            </w:r>
          </w:p>
        </w:tc>
        <w:tc>
          <w:tcPr>
            <w:tcW w:w="1822" w:type="dxa"/>
            <w:shd w:val="clear" w:color="auto" w:fill="C6EFCE"/>
            <w:noWrap/>
            <w:vAlign w:val="center"/>
          </w:tcPr>
          <w:p w14:paraId="37609AF5" w14:textId="77777777" w:rsidR="00E42B18" w:rsidRDefault="009629C4">
            <w:pPr>
              <w:pStyle w:val="P68B1DB1-Normal11"/>
              <w:jc w:val="center"/>
              <w:rPr>
                <w:noProof/>
                <w:szCs w:val="20"/>
              </w:rPr>
            </w:pPr>
            <w:r>
              <w:rPr>
                <w:noProof/>
              </w:rPr>
              <w:t>Strategisen suunnitteluprosessin menettelyjen yksinkertaistamiseen liittyvien lainsäädäntömuutosten voimaantulo</w:t>
            </w:r>
          </w:p>
        </w:tc>
        <w:tc>
          <w:tcPr>
            <w:tcW w:w="1575" w:type="dxa"/>
            <w:shd w:val="clear" w:color="auto" w:fill="C6EFCE"/>
            <w:noWrap/>
            <w:vAlign w:val="center"/>
          </w:tcPr>
          <w:p w14:paraId="10256E64" w14:textId="3ED94AF2" w:rsidR="00E42B18" w:rsidRDefault="009629C4">
            <w:pPr>
              <w:pStyle w:val="P68B1DB1-Normal11"/>
              <w:jc w:val="center"/>
              <w:rPr>
                <w:noProof/>
                <w:szCs w:val="20"/>
              </w:rPr>
            </w:pPr>
            <w:r>
              <w:rPr>
                <w:noProof/>
              </w:rPr>
              <w:t>Säädöksen (säädösten) säännös strategisen suunnitteluprosessin menettelyjen yksinkertaistamiseen liittyvien lainsäädäntömuutosten voimaantulosta</w:t>
            </w:r>
          </w:p>
        </w:tc>
        <w:tc>
          <w:tcPr>
            <w:tcW w:w="892" w:type="dxa"/>
            <w:shd w:val="clear" w:color="auto" w:fill="C6EFCE"/>
            <w:noWrap/>
            <w:vAlign w:val="center"/>
          </w:tcPr>
          <w:p w14:paraId="0708AD73" w14:textId="77777777" w:rsidR="00E42B18" w:rsidRDefault="009629C4">
            <w:pPr>
              <w:pStyle w:val="P68B1DB1-Normal11"/>
              <w:jc w:val="center"/>
              <w:rPr>
                <w:noProof/>
                <w:szCs w:val="20"/>
              </w:rPr>
            </w:pPr>
            <w:r>
              <w:rPr>
                <w:noProof/>
              </w:rPr>
              <w:t>EI OLE</w:t>
            </w:r>
          </w:p>
        </w:tc>
        <w:tc>
          <w:tcPr>
            <w:tcW w:w="997" w:type="dxa"/>
            <w:shd w:val="clear" w:color="auto" w:fill="C6EFCE"/>
            <w:noWrap/>
            <w:vAlign w:val="center"/>
          </w:tcPr>
          <w:p w14:paraId="72F2D450" w14:textId="77777777" w:rsidR="00E42B18" w:rsidRDefault="009629C4">
            <w:pPr>
              <w:pStyle w:val="P68B1DB1-Normal11"/>
              <w:jc w:val="center"/>
              <w:rPr>
                <w:noProof/>
                <w:szCs w:val="20"/>
              </w:rPr>
            </w:pPr>
            <w:r>
              <w:rPr>
                <w:noProof/>
              </w:rPr>
              <w:t>EI OLE</w:t>
            </w:r>
          </w:p>
        </w:tc>
        <w:tc>
          <w:tcPr>
            <w:tcW w:w="836" w:type="dxa"/>
            <w:shd w:val="clear" w:color="auto" w:fill="C6EFCE"/>
            <w:noWrap/>
            <w:vAlign w:val="center"/>
          </w:tcPr>
          <w:p w14:paraId="68C80276" w14:textId="77777777" w:rsidR="00E42B18" w:rsidRDefault="009629C4">
            <w:pPr>
              <w:pStyle w:val="P68B1DB1-Normal11"/>
              <w:jc w:val="center"/>
              <w:rPr>
                <w:noProof/>
                <w:szCs w:val="20"/>
              </w:rPr>
            </w:pPr>
            <w:r>
              <w:rPr>
                <w:noProof/>
              </w:rPr>
              <w:t>EI OLE</w:t>
            </w:r>
          </w:p>
        </w:tc>
        <w:tc>
          <w:tcPr>
            <w:tcW w:w="985" w:type="dxa"/>
            <w:shd w:val="clear" w:color="auto" w:fill="C6EFCE"/>
            <w:noWrap/>
            <w:vAlign w:val="center"/>
          </w:tcPr>
          <w:p w14:paraId="5C135D61" w14:textId="77777777" w:rsidR="00E42B18" w:rsidRDefault="009629C4">
            <w:pPr>
              <w:pStyle w:val="P68B1DB1-Normal11"/>
              <w:jc w:val="center"/>
              <w:rPr>
                <w:noProof/>
                <w:szCs w:val="20"/>
              </w:rPr>
            </w:pPr>
            <w:r>
              <w:rPr>
                <w:noProof/>
              </w:rPr>
              <w:t>Q4</w:t>
            </w:r>
          </w:p>
        </w:tc>
        <w:tc>
          <w:tcPr>
            <w:tcW w:w="734" w:type="dxa"/>
            <w:shd w:val="clear" w:color="auto" w:fill="C6EFCE"/>
            <w:noWrap/>
            <w:vAlign w:val="center"/>
          </w:tcPr>
          <w:p w14:paraId="6DF23D62" w14:textId="77777777" w:rsidR="00E42B18" w:rsidRDefault="009629C4">
            <w:pPr>
              <w:pStyle w:val="P68B1DB1-Normal11"/>
              <w:jc w:val="center"/>
              <w:rPr>
                <w:noProof/>
                <w:szCs w:val="20"/>
              </w:rPr>
            </w:pPr>
            <w:r>
              <w:rPr>
                <w:noProof/>
              </w:rPr>
              <w:t>2022</w:t>
            </w:r>
          </w:p>
        </w:tc>
        <w:tc>
          <w:tcPr>
            <w:tcW w:w="2867" w:type="dxa"/>
            <w:shd w:val="clear" w:color="auto" w:fill="C6EFCE"/>
            <w:noWrap/>
            <w:vAlign w:val="center"/>
          </w:tcPr>
          <w:p w14:paraId="0129CF11" w14:textId="77777777" w:rsidR="00E42B18" w:rsidRDefault="009629C4">
            <w:pPr>
              <w:pStyle w:val="P68B1DB1-Normal11"/>
              <w:rPr>
                <w:noProof/>
                <w:szCs w:val="20"/>
              </w:rPr>
            </w:pPr>
            <w:r>
              <w:rPr>
                <w:noProof/>
              </w:rPr>
              <w:t>Tarkistetussa lainsäädäntökehyksessä vahvistetaan, että</w:t>
            </w:r>
          </w:p>
          <w:p w14:paraId="3BF97965" w14:textId="77777777" w:rsidR="00E42B18" w:rsidRDefault="009629C4">
            <w:pPr>
              <w:pStyle w:val="P68B1DB1-Normal11"/>
              <w:rPr>
                <w:noProof/>
                <w:szCs w:val="20"/>
              </w:rPr>
            </w:pPr>
            <w:r>
              <w:rPr>
                <w:noProof/>
              </w:rPr>
              <w:t>— Kaikkien satamaviranomaisten on hyväksyttävä järjestelmän strategiset suunnitteluasiakirjat (DPSS) ja satamasääntelysuunnitelmansa ottaen täysimääräisesti huomioon Italian satamajärjestelmien uudistus vuonna 2016, sellaisena kuin se hyväksyttiin 4 päivänä elokuuta 2016 annetulla asetuksella nro 169.</w:t>
            </w:r>
          </w:p>
          <w:p w14:paraId="6CB2F6B3" w14:textId="77777777" w:rsidR="00E42B18" w:rsidRDefault="009629C4">
            <w:pPr>
              <w:pStyle w:val="P68B1DB1-Normal11"/>
              <w:rPr>
                <w:noProof/>
                <w:szCs w:val="20"/>
              </w:rPr>
            </w:pPr>
            <w:r>
              <w:rPr>
                <w:noProof/>
              </w:rPr>
              <w:t>DPSS:ssä on säänneltävä vähintään seuraavia seikkoja:</w:t>
            </w:r>
          </w:p>
          <w:p w14:paraId="28AF229F" w14:textId="311CFF9B" w:rsidR="00E42B18" w:rsidRDefault="009629C4">
            <w:pPr>
              <w:pStyle w:val="P68B1DB1-Normal11"/>
              <w:rPr>
                <w:noProof/>
                <w:szCs w:val="20"/>
              </w:rPr>
            </w:pPr>
            <w:r>
              <w:rPr>
                <w:noProof/>
              </w:rPr>
              <w:t>—Satamajärjestelmästä vastaavien viranomaisten tavoitteiden kehittäminen;</w:t>
            </w:r>
          </w:p>
          <w:p w14:paraId="61CFEF52" w14:textId="77777777" w:rsidR="00E42B18" w:rsidRDefault="009629C4">
            <w:pPr>
              <w:pStyle w:val="P68B1DB1-Normal11"/>
              <w:rPr>
                <w:noProof/>
                <w:szCs w:val="20"/>
              </w:rPr>
            </w:pPr>
            <w:r>
              <w:rPr>
                <w:noProof/>
              </w:rPr>
              <w:t>Yksilöidyt ja hahmotellut alueet, jotka on tarkoitettu yksinomaan satama- ja takasatamatoimintoihin,</w:t>
            </w:r>
          </w:p>
          <w:p w14:paraId="011D1A86" w14:textId="77777777" w:rsidR="00E42B18" w:rsidRDefault="009629C4">
            <w:pPr>
              <w:pStyle w:val="P68B1DB1-Normal11"/>
              <w:rPr>
                <w:noProof/>
                <w:szCs w:val="20"/>
              </w:rPr>
            </w:pPr>
            <w:r>
              <w:rPr>
                <w:noProof/>
              </w:rPr>
              <w:t>—Maanteiden ja rautateiden viimeisen osuuden infrastruktuuriyhteydet satamiin,</w:t>
            </w:r>
          </w:p>
          <w:p w14:paraId="548F3236" w14:textId="77777777" w:rsidR="00E42B18" w:rsidRDefault="009629C4">
            <w:pPr>
              <w:pStyle w:val="P68B1DB1-Normal11"/>
              <w:rPr>
                <w:noProof/>
                <w:szCs w:val="20"/>
              </w:rPr>
            </w:pPr>
            <w:r>
              <w:rPr>
                <w:noProof/>
              </w:rPr>
              <w:t>—Suunnittelun sisällön määrittämisessä noudatetut perusteet,</w:t>
            </w:r>
          </w:p>
          <w:p w14:paraId="14862FEA" w14:textId="77777777" w:rsidR="00E42B18" w:rsidRDefault="009629C4">
            <w:pPr>
              <w:pStyle w:val="P68B1DB1-Normal11"/>
              <w:rPr>
                <w:noProof/>
                <w:szCs w:val="20"/>
              </w:rPr>
            </w:pPr>
            <w:r>
              <w:rPr>
                <w:noProof/>
              </w:rPr>
              <w:t>—On yksilöitävä yksiselitteisesti sataman sääntelysuunnitelmien laatimista koskevat ohjeet, säännöt ja menettelyt.</w:t>
            </w:r>
          </w:p>
        </w:tc>
      </w:tr>
      <w:tr w:rsidR="00E42B18" w14:paraId="20F02216" w14:textId="77777777" w:rsidTr="0097361F">
        <w:trPr>
          <w:trHeight w:val="309"/>
          <w:jc w:val="center"/>
        </w:trPr>
        <w:tc>
          <w:tcPr>
            <w:tcW w:w="1128" w:type="dxa"/>
            <w:shd w:val="clear" w:color="auto" w:fill="C6EFCE"/>
            <w:noWrap/>
            <w:vAlign w:val="center"/>
          </w:tcPr>
          <w:p w14:paraId="557F351A" w14:textId="77777777" w:rsidR="00E42B18" w:rsidRDefault="009629C4">
            <w:pPr>
              <w:pStyle w:val="P68B1DB1-Normal11"/>
              <w:jc w:val="center"/>
              <w:rPr>
                <w:noProof/>
                <w:szCs w:val="20"/>
              </w:rPr>
            </w:pPr>
            <w:r>
              <w:rPr>
                <w:noProof/>
              </w:rPr>
              <w:t>M3C2–2</w:t>
            </w:r>
          </w:p>
        </w:tc>
        <w:tc>
          <w:tcPr>
            <w:tcW w:w="1618" w:type="dxa"/>
            <w:shd w:val="clear" w:color="auto" w:fill="C6EFCE"/>
            <w:noWrap/>
            <w:vAlign w:val="center"/>
          </w:tcPr>
          <w:p w14:paraId="0C24FD97" w14:textId="77777777" w:rsidR="00E42B18" w:rsidRDefault="009629C4">
            <w:pPr>
              <w:pStyle w:val="P68B1DB1-Normal11"/>
              <w:jc w:val="center"/>
              <w:rPr>
                <w:noProof/>
                <w:szCs w:val="20"/>
              </w:rPr>
            </w:pPr>
            <w:r>
              <w:rPr>
                <w:noProof/>
              </w:rPr>
              <w:t>Uudistus 1.2 – Kilpailullinen käyttöoikeussopimusten myöntäminen Italian satamissa</w:t>
            </w:r>
          </w:p>
        </w:tc>
        <w:tc>
          <w:tcPr>
            <w:tcW w:w="1333" w:type="dxa"/>
            <w:shd w:val="clear" w:color="auto" w:fill="C6EFCE"/>
            <w:noWrap/>
            <w:vAlign w:val="center"/>
          </w:tcPr>
          <w:p w14:paraId="022146DA" w14:textId="77777777" w:rsidR="00E42B18" w:rsidRDefault="009629C4">
            <w:pPr>
              <w:pStyle w:val="P68B1DB1-Normal11"/>
              <w:jc w:val="center"/>
              <w:rPr>
                <w:noProof/>
                <w:szCs w:val="20"/>
              </w:rPr>
            </w:pPr>
            <w:r>
              <w:rPr>
                <w:noProof/>
              </w:rPr>
              <w:t>Virstanpylväs</w:t>
            </w:r>
          </w:p>
        </w:tc>
        <w:tc>
          <w:tcPr>
            <w:tcW w:w="1822" w:type="dxa"/>
            <w:shd w:val="clear" w:color="auto" w:fill="C6EFCE"/>
            <w:noWrap/>
            <w:vAlign w:val="center"/>
          </w:tcPr>
          <w:p w14:paraId="51A7C720" w14:textId="77777777" w:rsidR="00E42B18" w:rsidRDefault="009629C4">
            <w:pPr>
              <w:pStyle w:val="P68B1DB1-Normal11"/>
              <w:jc w:val="center"/>
              <w:rPr>
                <w:noProof/>
                <w:szCs w:val="20"/>
              </w:rPr>
            </w:pPr>
            <w:r>
              <w:rPr>
                <w:noProof/>
              </w:rPr>
              <w:t>Satamatoimilupia koskevan asetuksen voimaantulo</w:t>
            </w:r>
          </w:p>
        </w:tc>
        <w:tc>
          <w:tcPr>
            <w:tcW w:w="1575" w:type="dxa"/>
            <w:shd w:val="clear" w:color="auto" w:fill="C6EFCE"/>
            <w:noWrap/>
            <w:vAlign w:val="center"/>
          </w:tcPr>
          <w:p w14:paraId="2C8EFDBB" w14:textId="77777777" w:rsidR="00E42B18" w:rsidRDefault="009629C4">
            <w:pPr>
              <w:pStyle w:val="P68B1DB1-Normal11"/>
              <w:jc w:val="center"/>
              <w:rPr>
                <w:noProof/>
                <w:szCs w:val="20"/>
              </w:rPr>
            </w:pPr>
            <w:r>
              <w:rPr>
                <w:noProof/>
              </w:rPr>
              <w:t>Asetuksen säännös, jossa ilmoitetaan satamatoimilupia koskevan asetuksen voimaantulo</w:t>
            </w:r>
          </w:p>
        </w:tc>
        <w:tc>
          <w:tcPr>
            <w:tcW w:w="892" w:type="dxa"/>
            <w:shd w:val="clear" w:color="auto" w:fill="C6EFCE"/>
            <w:noWrap/>
            <w:vAlign w:val="center"/>
          </w:tcPr>
          <w:p w14:paraId="04A8B705" w14:textId="77777777" w:rsidR="00E42B18" w:rsidRDefault="009629C4">
            <w:pPr>
              <w:pStyle w:val="P68B1DB1-Normal11"/>
              <w:jc w:val="center"/>
              <w:rPr>
                <w:noProof/>
                <w:szCs w:val="20"/>
              </w:rPr>
            </w:pPr>
            <w:r>
              <w:rPr>
                <w:noProof/>
              </w:rPr>
              <w:t>EI OLE</w:t>
            </w:r>
          </w:p>
        </w:tc>
        <w:tc>
          <w:tcPr>
            <w:tcW w:w="997" w:type="dxa"/>
            <w:shd w:val="clear" w:color="auto" w:fill="C6EFCE"/>
            <w:noWrap/>
            <w:vAlign w:val="center"/>
          </w:tcPr>
          <w:p w14:paraId="5781E440" w14:textId="77777777" w:rsidR="00E42B18" w:rsidRDefault="009629C4">
            <w:pPr>
              <w:pStyle w:val="P68B1DB1-Normal11"/>
              <w:jc w:val="center"/>
              <w:rPr>
                <w:noProof/>
                <w:szCs w:val="20"/>
              </w:rPr>
            </w:pPr>
            <w:r>
              <w:rPr>
                <w:noProof/>
              </w:rPr>
              <w:t>EI OLE</w:t>
            </w:r>
          </w:p>
        </w:tc>
        <w:tc>
          <w:tcPr>
            <w:tcW w:w="836" w:type="dxa"/>
            <w:shd w:val="clear" w:color="auto" w:fill="C6EFCE"/>
            <w:noWrap/>
            <w:vAlign w:val="center"/>
          </w:tcPr>
          <w:p w14:paraId="2D1E5640" w14:textId="77777777" w:rsidR="00E42B18" w:rsidRDefault="009629C4">
            <w:pPr>
              <w:pStyle w:val="P68B1DB1-Normal11"/>
              <w:jc w:val="center"/>
              <w:rPr>
                <w:noProof/>
                <w:szCs w:val="20"/>
              </w:rPr>
            </w:pPr>
            <w:r>
              <w:rPr>
                <w:noProof/>
              </w:rPr>
              <w:t>EI OLE</w:t>
            </w:r>
          </w:p>
        </w:tc>
        <w:tc>
          <w:tcPr>
            <w:tcW w:w="985" w:type="dxa"/>
            <w:shd w:val="clear" w:color="auto" w:fill="C6EFCE"/>
            <w:noWrap/>
            <w:vAlign w:val="center"/>
          </w:tcPr>
          <w:p w14:paraId="7FDF9768" w14:textId="77777777" w:rsidR="00E42B18" w:rsidRDefault="009629C4">
            <w:pPr>
              <w:pStyle w:val="P68B1DB1-Normal11"/>
              <w:jc w:val="center"/>
              <w:rPr>
                <w:noProof/>
                <w:szCs w:val="20"/>
              </w:rPr>
            </w:pPr>
            <w:r>
              <w:rPr>
                <w:noProof/>
              </w:rPr>
              <w:t>Q4</w:t>
            </w:r>
          </w:p>
        </w:tc>
        <w:tc>
          <w:tcPr>
            <w:tcW w:w="734" w:type="dxa"/>
            <w:shd w:val="clear" w:color="auto" w:fill="C6EFCE"/>
            <w:noWrap/>
            <w:vAlign w:val="center"/>
          </w:tcPr>
          <w:p w14:paraId="3FC07FE5" w14:textId="77777777" w:rsidR="00E42B18" w:rsidRDefault="009629C4">
            <w:pPr>
              <w:pStyle w:val="P68B1DB1-Normal11"/>
              <w:jc w:val="center"/>
              <w:rPr>
                <w:noProof/>
                <w:szCs w:val="20"/>
              </w:rPr>
            </w:pPr>
            <w:r>
              <w:rPr>
                <w:noProof/>
              </w:rPr>
              <w:t>2022</w:t>
            </w:r>
          </w:p>
        </w:tc>
        <w:tc>
          <w:tcPr>
            <w:tcW w:w="2867" w:type="dxa"/>
            <w:shd w:val="clear" w:color="auto" w:fill="C6EFCE"/>
            <w:noWrap/>
            <w:vAlign w:val="center"/>
          </w:tcPr>
          <w:p w14:paraId="56F74BA2" w14:textId="77777777" w:rsidR="00E42B18" w:rsidRDefault="009629C4">
            <w:pPr>
              <w:pStyle w:val="P68B1DB1-Normal11"/>
              <w:rPr>
                <w:noProof/>
                <w:szCs w:val="20"/>
              </w:rPr>
            </w:pPr>
            <w:r>
              <w:rPr>
                <w:noProof/>
              </w:rPr>
              <w:t>Uudessa asetuksessa määritellään perusedellytykset toimilupien myöntämiselle satamissa. Asetuksessa vahvistetaan vähintään:</w:t>
            </w:r>
          </w:p>
          <w:p w14:paraId="681D5EB7" w14:textId="77777777" w:rsidR="00E42B18" w:rsidRDefault="009629C4">
            <w:pPr>
              <w:pStyle w:val="P68B1DB1-Normal11"/>
              <w:rPr>
                <w:noProof/>
                <w:szCs w:val="20"/>
              </w:rPr>
            </w:pPr>
            <w:r>
              <w:rPr>
                <w:noProof/>
              </w:rPr>
              <w:t>—Toimiluvan kestoa koskevat ehdot;</w:t>
            </w:r>
          </w:p>
          <w:p w14:paraId="49C77CA7" w14:textId="77777777" w:rsidR="00E42B18" w:rsidRDefault="009629C4">
            <w:pPr>
              <w:pStyle w:val="P68B1DB1-Normal11"/>
              <w:rPr>
                <w:noProof/>
                <w:szCs w:val="20"/>
              </w:rPr>
            </w:pPr>
            <w:r>
              <w:rPr>
                <w:noProof/>
              </w:rPr>
              <w:t>—Myöntävien viranomaisten valvontavaltuudet;</w:t>
            </w:r>
          </w:p>
          <w:p w14:paraId="0505FB46" w14:textId="77777777" w:rsidR="00E42B18" w:rsidRDefault="009629C4">
            <w:pPr>
              <w:pStyle w:val="P68B1DB1-Normal11"/>
              <w:rPr>
                <w:noProof/>
                <w:szCs w:val="20"/>
              </w:rPr>
            </w:pPr>
            <w:r>
              <w:rPr>
                <w:noProof/>
              </w:rPr>
              <w:t>—Uusimismenetelmät;</w:t>
            </w:r>
          </w:p>
          <w:p w14:paraId="51854F6C" w14:textId="77777777" w:rsidR="00E42B18" w:rsidRDefault="009629C4">
            <w:pPr>
              <w:pStyle w:val="P68B1DB1-Normal11"/>
              <w:rPr>
                <w:noProof/>
                <w:szCs w:val="20"/>
              </w:rPr>
            </w:pPr>
            <w:r>
              <w:rPr>
                <w:noProof/>
              </w:rPr>
              <w:t>—Laitosten siirtäminen uudelle toimiluvan haltijalle toimiluvan päättyessä;</w:t>
            </w:r>
          </w:p>
          <w:p w14:paraId="0244B569" w14:textId="77777777" w:rsidR="00E42B18" w:rsidRDefault="009629C4">
            <w:pPr>
              <w:pStyle w:val="P68B1DB1-Normal11"/>
              <w:rPr>
                <w:noProof/>
                <w:szCs w:val="20"/>
              </w:rPr>
            </w:pPr>
            <w:r>
              <w:rPr>
                <w:noProof/>
              </w:rPr>
              <w:t>—Lisenssinhaltijoiden maksamien vähimmäispalkkioiden rajat.</w:t>
            </w:r>
          </w:p>
        </w:tc>
      </w:tr>
      <w:tr w:rsidR="00E42B18" w14:paraId="15B2BA0F" w14:textId="77777777" w:rsidTr="0097361F">
        <w:trPr>
          <w:trHeight w:val="309"/>
          <w:jc w:val="center"/>
        </w:trPr>
        <w:tc>
          <w:tcPr>
            <w:tcW w:w="1128" w:type="dxa"/>
            <w:shd w:val="clear" w:color="auto" w:fill="C6EFCE"/>
            <w:noWrap/>
            <w:vAlign w:val="center"/>
          </w:tcPr>
          <w:p w14:paraId="37586E87"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M3C2–3 </w:t>
            </w:r>
          </w:p>
        </w:tc>
        <w:tc>
          <w:tcPr>
            <w:tcW w:w="1618" w:type="dxa"/>
            <w:shd w:val="clear" w:color="auto" w:fill="C6EFCE"/>
            <w:noWrap/>
            <w:vAlign w:val="center"/>
          </w:tcPr>
          <w:p w14:paraId="5694F4ED" w14:textId="77777777" w:rsidR="00E42B18" w:rsidRDefault="009629C4">
            <w:pPr>
              <w:pStyle w:val="P68B1DB1-Normal11"/>
              <w:jc w:val="center"/>
              <w:rPr>
                <w:noProof/>
                <w:szCs w:val="20"/>
              </w:rPr>
            </w:pPr>
            <w:r>
              <w:rPr>
                <w:noProof/>
              </w:rPr>
              <w:t>Uudistus 2.1 – Yhden tullialan palvelupisteen käyttöönotto (”Sportello Unico Doganale”) </w:t>
            </w:r>
          </w:p>
        </w:tc>
        <w:tc>
          <w:tcPr>
            <w:tcW w:w="1333" w:type="dxa"/>
            <w:shd w:val="clear" w:color="auto" w:fill="C6EFCE"/>
            <w:noWrap/>
            <w:vAlign w:val="center"/>
          </w:tcPr>
          <w:p w14:paraId="2B8517AB" w14:textId="77777777" w:rsidR="00E42B18" w:rsidRDefault="009629C4">
            <w:pPr>
              <w:pStyle w:val="P68B1DB1-Normal11"/>
              <w:jc w:val="center"/>
              <w:rPr>
                <w:noProof/>
                <w:szCs w:val="20"/>
              </w:rPr>
            </w:pPr>
            <w:r>
              <w:rPr>
                <w:noProof/>
              </w:rPr>
              <w:t>Virstanpylväs </w:t>
            </w:r>
          </w:p>
        </w:tc>
        <w:tc>
          <w:tcPr>
            <w:tcW w:w="1822" w:type="dxa"/>
            <w:shd w:val="clear" w:color="auto" w:fill="C6EFCE"/>
            <w:noWrap/>
            <w:vAlign w:val="center"/>
          </w:tcPr>
          <w:p w14:paraId="2BE9C05B" w14:textId="77777777" w:rsidR="00E42B18" w:rsidRDefault="009629C4">
            <w:pPr>
              <w:pStyle w:val="P68B1DB1-paragraph89"/>
              <w:spacing w:before="0" w:beforeAutospacing="0" w:after="0" w:afterAutospacing="0"/>
              <w:jc w:val="center"/>
              <w:textAlignment w:val="baseline"/>
              <w:rPr>
                <w:noProof/>
                <w:szCs w:val="20"/>
              </w:rPr>
            </w:pPr>
            <w:r>
              <w:rPr>
                <w:noProof/>
              </w:rPr>
              <w:t xml:space="preserve">Yhtenäisestä tullista annetun asetuksen voimaantulo </w:t>
            </w:r>
          </w:p>
          <w:p w14:paraId="4185369B" w14:textId="77777777" w:rsidR="00E42B18" w:rsidRDefault="009629C4">
            <w:pPr>
              <w:pStyle w:val="P68B1DB1-Normal11"/>
              <w:jc w:val="center"/>
              <w:rPr>
                <w:noProof/>
                <w:szCs w:val="20"/>
              </w:rPr>
            </w:pPr>
            <w:r>
              <w:rPr>
                <w:noProof/>
              </w:rPr>
              <w:t>Pöytä (Sportello Unico Doganale) </w:t>
            </w:r>
          </w:p>
        </w:tc>
        <w:tc>
          <w:tcPr>
            <w:tcW w:w="1575" w:type="dxa"/>
            <w:shd w:val="clear" w:color="auto" w:fill="C6EFCE"/>
            <w:noWrap/>
            <w:vAlign w:val="center"/>
          </w:tcPr>
          <w:p w14:paraId="2E8CA017" w14:textId="77777777" w:rsidR="00E42B18" w:rsidRDefault="009629C4">
            <w:pPr>
              <w:pStyle w:val="P68B1DB1-Normal11"/>
              <w:jc w:val="center"/>
              <w:rPr>
                <w:noProof/>
                <w:szCs w:val="20"/>
              </w:rPr>
            </w:pPr>
            <w:r>
              <w:rPr>
                <w:noProof/>
              </w:rPr>
              <w:t>Asetuksen säännös, jossa ilmoitetaan yhtenäisestä tullipalvelusta annetun asetuksen (Sportello Unico Doganale) voimaantulo </w:t>
            </w:r>
          </w:p>
        </w:tc>
        <w:tc>
          <w:tcPr>
            <w:tcW w:w="892" w:type="dxa"/>
            <w:shd w:val="clear" w:color="auto" w:fill="C6EFCE"/>
            <w:noWrap/>
            <w:vAlign w:val="center"/>
          </w:tcPr>
          <w:p w14:paraId="63E66CA4" w14:textId="77777777" w:rsidR="00E42B18" w:rsidRDefault="009629C4">
            <w:pPr>
              <w:pStyle w:val="P68B1DB1-Normal11"/>
              <w:jc w:val="center"/>
              <w:rPr>
                <w:noProof/>
              </w:rPr>
            </w:pPr>
            <w:r>
              <w:rPr>
                <w:noProof/>
              </w:rPr>
              <w:t>EI OLE </w:t>
            </w:r>
          </w:p>
        </w:tc>
        <w:tc>
          <w:tcPr>
            <w:tcW w:w="997" w:type="dxa"/>
            <w:shd w:val="clear" w:color="auto" w:fill="C6EFCE"/>
            <w:noWrap/>
            <w:vAlign w:val="center"/>
          </w:tcPr>
          <w:p w14:paraId="19E2CB10" w14:textId="77777777" w:rsidR="00E42B18" w:rsidRDefault="009629C4">
            <w:pPr>
              <w:pStyle w:val="P68B1DB1-Normal11"/>
              <w:jc w:val="center"/>
              <w:rPr>
                <w:noProof/>
              </w:rPr>
            </w:pPr>
            <w:r>
              <w:rPr>
                <w:noProof/>
              </w:rPr>
              <w:t>EI OLE </w:t>
            </w:r>
          </w:p>
        </w:tc>
        <w:tc>
          <w:tcPr>
            <w:tcW w:w="836" w:type="dxa"/>
            <w:shd w:val="clear" w:color="auto" w:fill="C6EFCE"/>
            <w:noWrap/>
            <w:vAlign w:val="center"/>
          </w:tcPr>
          <w:p w14:paraId="2C94E57A" w14:textId="77777777" w:rsidR="00E42B18" w:rsidRDefault="009629C4">
            <w:pPr>
              <w:pStyle w:val="P68B1DB1-Normal11"/>
              <w:jc w:val="center"/>
              <w:rPr>
                <w:noProof/>
              </w:rPr>
            </w:pPr>
            <w:r>
              <w:rPr>
                <w:noProof/>
              </w:rPr>
              <w:t>EI OLE </w:t>
            </w:r>
          </w:p>
        </w:tc>
        <w:tc>
          <w:tcPr>
            <w:tcW w:w="985" w:type="dxa"/>
            <w:shd w:val="clear" w:color="auto" w:fill="C6EFCE"/>
            <w:noWrap/>
            <w:vAlign w:val="center"/>
          </w:tcPr>
          <w:p w14:paraId="673449CB" w14:textId="77777777" w:rsidR="00E42B18" w:rsidRDefault="009629C4">
            <w:pPr>
              <w:pStyle w:val="P68B1DB1-Normal11"/>
              <w:jc w:val="center"/>
              <w:rPr>
                <w:noProof/>
              </w:rPr>
            </w:pPr>
            <w:r>
              <w:rPr>
                <w:noProof/>
              </w:rPr>
              <w:t>Q4 </w:t>
            </w:r>
          </w:p>
        </w:tc>
        <w:tc>
          <w:tcPr>
            <w:tcW w:w="734" w:type="dxa"/>
            <w:shd w:val="clear" w:color="auto" w:fill="C6EFCE"/>
            <w:noWrap/>
            <w:vAlign w:val="center"/>
          </w:tcPr>
          <w:p w14:paraId="5BFFCDBB" w14:textId="77777777" w:rsidR="00E42B18" w:rsidRDefault="009629C4">
            <w:pPr>
              <w:pStyle w:val="P68B1DB1-Normal11"/>
              <w:jc w:val="center"/>
              <w:rPr>
                <w:noProof/>
              </w:rPr>
            </w:pPr>
            <w:r>
              <w:rPr>
                <w:noProof/>
              </w:rPr>
              <w:t>2021 </w:t>
            </w:r>
          </w:p>
        </w:tc>
        <w:tc>
          <w:tcPr>
            <w:tcW w:w="2867" w:type="dxa"/>
            <w:shd w:val="clear" w:color="auto" w:fill="C6EFCE"/>
            <w:noWrap/>
            <w:vAlign w:val="center"/>
          </w:tcPr>
          <w:p w14:paraId="7F8468BB" w14:textId="77777777" w:rsidR="00E42B18" w:rsidRDefault="009629C4">
            <w:pPr>
              <w:pStyle w:val="P68B1DB1-Normal11"/>
              <w:rPr>
                <w:noProof/>
                <w:szCs w:val="20"/>
              </w:rPr>
            </w:pPr>
            <w:r>
              <w:rPr>
                <w:noProof/>
              </w:rPr>
              <w:t>Asetuksessa määritellään yhtenäisen tullipisteen menetelmät ja eritelmät eurooppalaisen merenkulkualan yhdennetyn palvelupisteen täytäntöönpanosta annetun asetuksen (EU) 1239/2019 ja sähköisistä kuljetustiedoista (eFTI) 15 päivänä heinäkuuta 2020 annetun Euroopan parlamentin ja neuvoston asetuksen (EU) 2020/1056 mukaisesti. </w:t>
            </w:r>
          </w:p>
        </w:tc>
      </w:tr>
      <w:tr w:rsidR="00E42B18" w14:paraId="4BDF12FC" w14:textId="77777777" w:rsidTr="0097361F">
        <w:trPr>
          <w:trHeight w:val="2396"/>
          <w:jc w:val="center"/>
        </w:trPr>
        <w:tc>
          <w:tcPr>
            <w:tcW w:w="1128" w:type="dxa"/>
            <w:shd w:val="clear" w:color="auto" w:fill="C6EFCE"/>
            <w:noWrap/>
            <w:vAlign w:val="center"/>
          </w:tcPr>
          <w:p w14:paraId="04988920" w14:textId="77777777" w:rsidR="00E42B18" w:rsidRDefault="009629C4">
            <w:pPr>
              <w:pStyle w:val="P68B1DB1-Normal11"/>
              <w:jc w:val="center"/>
              <w:rPr>
                <w:noProof/>
                <w:szCs w:val="20"/>
              </w:rPr>
            </w:pPr>
            <w:r>
              <w:rPr>
                <w:noProof/>
              </w:rPr>
              <w:t>M3C2–4</w:t>
            </w:r>
          </w:p>
        </w:tc>
        <w:tc>
          <w:tcPr>
            <w:tcW w:w="1618" w:type="dxa"/>
            <w:shd w:val="clear" w:color="auto" w:fill="C6EFCE"/>
            <w:noWrap/>
            <w:vAlign w:val="center"/>
          </w:tcPr>
          <w:p w14:paraId="6AD14286" w14:textId="4086A10B" w:rsidR="00E42B18" w:rsidRDefault="009629C4">
            <w:pPr>
              <w:pStyle w:val="P68B1DB1-Normal11"/>
              <w:jc w:val="center"/>
              <w:rPr>
                <w:noProof/>
                <w:szCs w:val="20"/>
              </w:rPr>
            </w:pPr>
            <w:r>
              <w:rPr>
                <w:noProof/>
              </w:rPr>
              <w:t>Uudistus 1.3 – Kylmäsilityslaitosten lupamenettelyjen yksinkertaistaminen</w:t>
            </w:r>
          </w:p>
        </w:tc>
        <w:tc>
          <w:tcPr>
            <w:tcW w:w="1333" w:type="dxa"/>
            <w:shd w:val="clear" w:color="auto" w:fill="C6EFCE"/>
            <w:noWrap/>
            <w:vAlign w:val="center"/>
          </w:tcPr>
          <w:p w14:paraId="78F20DD4" w14:textId="77777777" w:rsidR="00E42B18" w:rsidRDefault="009629C4">
            <w:pPr>
              <w:pStyle w:val="P68B1DB1-Normal11"/>
              <w:jc w:val="center"/>
              <w:rPr>
                <w:noProof/>
                <w:szCs w:val="20"/>
              </w:rPr>
            </w:pPr>
            <w:r>
              <w:rPr>
                <w:noProof/>
              </w:rPr>
              <w:t>Virstanpylväs</w:t>
            </w:r>
          </w:p>
        </w:tc>
        <w:tc>
          <w:tcPr>
            <w:tcW w:w="1822" w:type="dxa"/>
            <w:shd w:val="clear" w:color="auto" w:fill="C6EFCE"/>
            <w:noWrap/>
            <w:vAlign w:val="center"/>
          </w:tcPr>
          <w:p w14:paraId="790987A8" w14:textId="07DD04A2" w:rsidR="00E42B18" w:rsidRDefault="009629C4">
            <w:pPr>
              <w:pStyle w:val="P68B1DB1-Normal11"/>
              <w:spacing w:line="257" w:lineRule="auto"/>
              <w:jc w:val="center"/>
              <w:rPr>
                <w:noProof/>
                <w:szCs w:val="20"/>
              </w:rPr>
            </w:pPr>
            <w:r>
              <w:rPr>
                <w:noProof/>
              </w:rPr>
              <w:t>Kylmäsilityslaitosten lupamenettelyjen yksinkertaistaminen tulee voimaan</w:t>
            </w:r>
          </w:p>
        </w:tc>
        <w:tc>
          <w:tcPr>
            <w:tcW w:w="1575" w:type="dxa"/>
            <w:shd w:val="clear" w:color="auto" w:fill="C6EFCE"/>
            <w:noWrap/>
            <w:vAlign w:val="center"/>
          </w:tcPr>
          <w:p w14:paraId="7DA62BCB" w14:textId="450761F7" w:rsidR="00E42B18" w:rsidRDefault="009629C4">
            <w:pPr>
              <w:pStyle w:val="P68B1DB1-Normal11"/>
              <w:jc w:val="center"/>
              <w:rPr>
                <w:noProof/>
                <w:szCs w:val="20"/>
              </w:rPr>
            </w:pPr>
            <w:r>
              <w:rPr>
                <w:noProof/>
              </w:rPr>
              <w:t>Säännös kylmäsilityslaitosten lupamenettelyjen yksinkertaistamisen voimaantulosta</w:t>
            </w:r>
          </w:p>
        </w:tc>
        <w:tc>
          <w:tcPr>
            <w:tcW w:w="892" w:type="dxa"/>
            <w:shd w:val="clear" w:color="auto" w:fill="C6EFCE"/>
            <w:noWrap/>
            <w:vAlign w:val="center"/>
          </w:tcPr>
          <w:p w14:paraId="6AEAFD02" w14:textId="77777777" w:rsidR="00E42B18" w:rsidRDefault="009629C4">
            <w:pPr>
              <w:pStyle w:val="P68B1DB1-Normal11"/>
              <w:jc w:val="center"/>
              <w:rPr>
                <w:noProof/>
                <w:szCs w:val="20"/>
              </w:rPr>
            </w:pPr>
            <w:r>
              <w:rPr>
                <w:noProof/>
              </w:rPr>
              <w:t>EI OLE</w:t>
            </w:r>
          </w:p>
        </w:tc>
        <w:tc>
          <w:tcPr>
            <w:tcW w:w="997" w:type="dxa"/>
            <w:shd w:val="clear" w:color="auto" w:fill="C6EFCE"/>
            <w:noWrap/>
            <w:vAlign w:val="center"/>
          </w:tcPr>
          <w:p w14:paraId="53F93614" w14:textId="77777777" w:rsidR="00E42B18" w:rsidRDefault="009629C4">
            <w:pPr>
              <w:pStyle w:val="P68B1DB1-Normal11"/>
              <w:jc w:val="center"/>
              <w:rPr>
                <w:noProof/>
                <w:szCs w:val="20"/>
              </w:rPr>
            </w:pPr>
            <w:r>
              <w:rPr>
                <w:noProof/>
              </w:rPr>
              <w:t>EI OLE</w:t>
            </w:r>
          </w:p>
        </w:tc>
        <w:tc>
          <w:tcPr>
            <w:tcW w:w="836" w:type="dxa"/>
            <w:shd w:val="clear" w:color="auto" w:fill="C6EFCE"/>
            <w:noWrap/>
            <w:vAlign w:val="center"/>
          </w:tcPr>
          <w:p w14:paraId="1A9C7CF4" w14:textId="77777777" w:rsidR="00E42B18" w:rsidRDefault="009629C4">
            <w:pPr>
              <w:pStyle w:val="P68B1DB1-Normal11"/>
              <w:jc w:val="center"/>
              <w:rPr>
                <w:noProof/>
                <w:szCs w:val="20"/>
              </w:rPr>
            </w:pPr>
            <w:r>
              <w:rPr>
                <w:noProof/>
              </w:rPr>
              <w:t>EI OLE</w:t>
            </w:r>
          </w:p>
        </w:tc>
        <w:tc>
          <w:tcPr>
            <w:tcW w:w="985" w:type="dxa"/>
            <w:shd w:val="clear" w:color="auto" w:fill="C6EFCE"/>
            <w:noWrap/>
            <w:vAlign w:val="center"/>
          </w:tcPr>
          <w:p w14:paraId="00724E66" w14:textId="77777777" w:rsidR="00E42B18" w:rsidRDefault="009629C4">
            <w:pPr>
              <w:pStyle w:val="P68B1DB1-Normal11"/>
              <w:jc w:val="center"/>
              <w:rPr>
                <w:noProof/>
                <w:szCs w:val="20"/>
              </w:rPr>
            </w:pPr>
            <w:r>
              <w:rPr>
                <w:noProof/>
              </w:rPr>
              <w:t>Q4</w:t>
            </w:r>
          </w:p>
        </w:tc>
        <w:tc>
          <w:tcPr>
            <w:tcW w:w="734" w:type="dxa"/>
            <w:shd w:val="clear" w:color="auto" w:fill="C6EFCE"/>
            <w:noWrap/>
            <w:vAlign w:val="center"/>
          </w:tcPr>
          <w:p w14:paraId="3C36438C" w14:textId="77777777" w:rsidR="00E42B18" w:rsidRDefault="009629C4">
            <w:pPr>
              <w:pStyle w:val="P68B1DB1-Normal11"/>
              <w:jc w:val="center"/>
              <w:rPr>
                <w:noProof/>
                <w:szCs w:val="20"/>
              </w:rPr>
            </w:pPr>
            <w:r>
              <w:rPr>
                <w:noProof/>
              </w:rPr>
              <w:t>2022</w:t>
            </w:r>
          </w:p>
        </w:tc>
        <w:tc>
          <w:tcPr>
            <w:tcW w:w="2867" w:type="dxa"/>
            <w:shd w:val="clear" w:color="auto" w:fill="C6EFCE"/>
            <w:noWrap/>
            <w:vAlign w:val="center"/>
          </w:tcPr>
          <w:p w14:paraId="08CA16F3" w14:textId="77777777" w:rsidR="00E42B18" w:rsidRDefault="009629C4">
            <w:pPr>
              <w:pStyle w:val="P68B1DB1-Normal11"/>
              <w:rPr>
                <w:noProof/>
                <w:szCs w:val="20"/>
              </w:rPr>
            </w:pPr>
            <w:r>
              <w:rPr>
                <w:noProof/>
              </w:rPr>
              <w:t>Virtaviivaistetaan lupamenettelyä siten, että lupamenettelyä lyhennetään enintään 12 kuukauteen sellaisten energiansiirtoinfrastruktuurien rakentamiseksi, joiden tarkoituksena on toimittaa sähköä maalta aluksille kiinnitysvaiheen aikana (kun on kyse toimenpiteistä, joista ei tehdä ympäristöarviointia)</w:t>
            </w:r>
          </w:p>
        </w:tc>
      </w:tr>
      <w:tr w:rsidR="00E42B18" w14:paraId="567A3697" w14:textId="77777777" w:rsidTr="0097361F">
        <w:trPr>
          <w:trHeight w:val="309"/>
          <w:jc w:val="center"/>
        </w:trPr>
        <w:tc>
          <w:tcPr>
            <w:tcW w:w="1128" w:type="dxa"/>
            <w:shd w:val="clear" w:color="auto" w:fill="C6EFCE"/>
            <w:noWrap/>
            <w:vAlign w:val="center"/>
          </w:tcPr>
          <w:p w14:paraId="47E83BEB" w14:textId="77777777" w:rsidR="00E42B18" w:rsidRDefault="009629C4">
            <w:pPr>
              <w:pStyle w:val="P68B1DB1-Normal11"/>
              <w:jc w:val="center"/>
              <w:rPr>
                <w:noProof/>
                <w:szCs w:val="20"/>
              </w:rPr>
            </w:pPr>
            <w:r>
              <w:rPr>
                <w:noProof/>
              </w:rPr>
              <w:t>M3C2–5</w:t>
            </w:r>
          </w:p>
        </w:tc>
        <w:tc>
          <w:tcPr>
            <w:tcW w:w="1618" w:type="dxa"/>
            <w:shd w:val="clear" w:color="auto" w:fill="C6EFCE"/>
            <w:noWrap/>
            <w:vAlign w:val="center"/>
          </w:tcPr>
          <w:p w14:paraId="334F6F34" w14:textId="47461387" w:rsidR="00E42B18" w:rsidRDefault="009629C4">
            <w:pPr>
              <w:pStyle w:val="P68B1DB1-Normal11"/>
              <w:jc w:val="center"/>
              <w:rPr>
                <w:noProof/>
                <w:szCs w:val="20"/>
              </w:rPr>
            </w:pPr>
            <w:r>
              <w:rPr>
                <w:noProof/>
              </w:rPr>
              <w:t>Investointi 2.1 – Logistiikkaketjun digitalisointi</w:t>
            </w:r>
          </w:p>
        </w:tc>
        <w:tc>
          <w:tcPr>
            <w:tcW w:w="1333" w:type="dxa"/>
            <w:shd w:val="clear" w:color="auto" w:fill="C6EFCE"/>
            <w:noWrap/>
            <w:vAlign w:val="center"/>
          </w:tcPr>
          <w:p w14:paraId="0969E6A6" w14:textId="77777777" w:rsidR="00E42B18" w:rsidRDefault="009629C4">
            <w:pPr>
              <w:pStyle w:val="P68B1DB1-Normal11"/>
              <w:jc w:val="center"/>
              <w:rPr>
                <w:noProof/>
                <w:szCs w:val="20"/>
              </w:rPr>
            </w:pPr>
            <w:r>
              <w:rPr>
                <w:noProof/>
              </w:rPr>
              <w:t>Kohde</w:t>
            </w:r>
          </w:p>
        </w:tc>
        <w:tc>
          <w:tcPr>
            <w:tcW w:w="1822" w:type="dxa"/>
            <w:shd w:val="clear" w:color="auto" w:fill="C6EFCE"/>
            <w:noWrap/>
            <w:vAlign w:val="center"/>
          </w:tcPr>
          <w:p w14:paraId="3EC23018" w14:textId="77777777" w:rsidR="00E42B18" w:rsidRDefault="009629C4">
            <w:pPr>
              <w:pStyle w:val="P68B1DB1-Normal11"/>
              <w:spacing w:line="257" w:lineRule="auto"/>
              <w:jc w:val="center"/>
              <w:rPr>
                <w:noProof/>
                <w:szCs w:val="20"/>
              </w:rPr>
            </w:pPr>
            <w:r>
              <w:rPr>
                <w:noProof/>
              </w:rPr>
              <w:t>Logistiikkaketjun digitalisointi</w:t>
            </w:r>
          </w:p>
        </w:tc>
        <w:tc>
          <w:tcPr>
            <w:tcW w:w="1575" w:type="dxa"/>
            <w:shd w:val="clear" w:color="auto" w:fill="C6EFCE"/>
            <w:noWrap/>
            <w:vAlign w:val="center"/>
          </w:tcPr>
          <w:p w14:paraId="3ABBCEA1" w14:textId="77777777" w:rsidR="00E42B18" w:rsidRDefault="009629C4">
            <w:pPr>
              <w:pStyle w:val="P68B1DB1-Normal11"/>
              <w:jc w:val="center"/>
              <w:rPr>
                <w:noProof/>
                <w:szCs w:val="20"/>
              </w:rPr>
            </w:pPr>
            <w:r>
              <w:rPr>
                <w:noProof/>
              </w:rPr>
              <w:t>EI OLE</w:t>
            </w:r>
          </w:p>
        </w:tc>
        <w:tc>
          <w:tcPr>
            <w:tcW w:w="892" w:type="dxa"/>
            <w:shd w:val="clear" w:color="auto" w:fill="C6EFCE"/>
            <w:noWrap/>
            <w:vAlign w:val="center"/>
          </w:tcPr>
          <w:p w14:paraId="51F2BC05" w14:textId="77777777" w:rsidR="00E42B18" w:rsidRDefault="009629C4">
            <w:pPr>
              <w:pStyle w:val="P68B1DB1-Normal11"/>
              <w:jc w:val="center"/>
              <w:rPr>
                <w:noProof/>
                <w:szCs w:val="20"/>
              </w:rPr>
            </w:pPr>
            <w:r>
              <w:rPr>
                <w:noProof/>
              </w:rPr>
              <w:t>Numero</w:t>
            </w:r>
          </w:p>
        </w:tc>
        <w:tc>
          <w:tcPr>
            <w:tcW w:w="997" w:type="dxa"/>
            <w:shd w:val="clear" w:color="auto" w:fill="C6EFCE"/>
            <w:noWrap/>
            <w:vAlign w:val="center"/>
          </w:tcPr>
          <w:p w14:paraId="6823FB3C" w14:textId="77777777" w:rsidR="00E42B18" w:rsidRDefault="009629C4">
            <w:pPr>
              <w:pStyle w:val="P68B1DB1-Normal11"/>
              <w:jc w:val="center"/>
              <w:rPr>
                <w:noProof/>
                <w:szCs w:val="20"/>
              </w:rPr>
            </w:pPr>
            <w:r>
              <w:rPr>
                <w:noProof/>
              </w:rPr>
              <w:t>0</w:t>
            </w:r>
          </w:p>
        </w:tc>
        <w:tc>
          <w:tcPr>
            <w:tcW w:w="836" w:type="dxa"/>
            <w:shd w:val="clear" w:color="auto" w:fill="C6EFCE"/>
            <w:noWrap/>
            <w:vAlign w:val="center"/>
          </w:tcPr>
          <w:p w14:paraId="476A0A75" w14:textId="77777777" w:rsidR="00E42B18" w:rsidRDefault="009629C4">
            <w:pPr>
              <w:pStyle w:val="P68B1DB1-Normal11"/>
              <w:jc w:val="center"/>
              <w:rPr>
                <w:noProof/>
                <w:szCs w:val="20"/>
              </w:rPr>
            </w:pPr>
            <w:r>
              <w:rPr>
                <w:noProof/>
              </w:rPr>
              <w:t>12</w:t>
            </w:r>
          </w:p>
        </w:tc>
        <w:tc>
          <w:tcPr>
            <w:tcW w:w="985" w:type="dxa"/>
            <w:shd w:val="clear" w:color="auto" w:fill="C6EFCE"/>
            <w:noWrap/>
            <w:vAlign w:val="center"/>
          </w:tcPr>
          <w:p w14:paraId="4A20064A" w14:textId="77777777" w:rsidR="00E42B18" w:rsidRDefault="009629C4">
            <w:pPr>
              <w:pStyle w:val="P68B1DB1-Normal11"/>
              <w:jc w:val="center"/>
              <w:rPr>
                <w:noProof/>
                <w:szCs w:val="20"/>
              </w:rPr>
            </w:pPr>
            <w:r>
              <w:rPr>
                <w:noProof/>
              </w:rPr>
              <w:t>Q2</w:t>
            </w:r>
          </w:p>
        </w:tc>
        <w:tc>
          <w:tcPr>
            <w:tcW w:w="734" w:type="dxa"/>
            <w:shd w:val="clear" w:color="auto" w:fill="C6EFCE"/>
            <w:noWrap/>
            <w:vAlign w:val="center"/>
          </w:tcPr>
          <w:p w14:paraId="499E3247" w14:textId="77777777" w:rsidR="00E42B18" w:rsidRDefault="009629C4">
            <w:pPr>
              <w:pStyle w:val="P68B1DB1-Normal11"/>
              <w:jc w:val="center"/>
              <w:rPr>
                <w:noProof/>
                <w:szCs w:val="20"/>
              </w:rPr>
            </w:pPr>
            <w:r>
              <w:rPr>
                <w:noProof/>
              </w:rPr>
              <w:t>2024</w:t>
            </w:r>
          </w:p>
        </w:tc>
        <w:tc>
          <w:tcPr>
            <w:tcW w:w="2867" w:type="dxa"/>
            <w:shd w:val="clear" w:color="auto" w:fill="C6EFCE"/>
            <w:noWrap/>
            <w:vAlign w:val="center"/>
          </w:tcPr>
          <w:p w14:paraId="54FBAF20" w14:textId="6667F0DE" w:rsidR="00E42B18" w:rsidRDefault="009629C4">
            <w:pPr>
              <w:pStyle w:val="P68B1DB1-Normal11"/>
              <w:rPr>
                <w:noProof/>
                <w:szCs w:val="20"/>
              </w:rPr>
            </w:pPr>
            <w:r>
              <w:rPr>
                <w:noProof/>
              </w:rPr>
              <w:t xml:space="preserve">Satamajärjestelmäviranomaisista vähintään 12 on varustettava </w:t>
            </w:r>
            <w:r>
              <w:rPr>
                <w:i/>
                <w:noProof/>
              </w:rPr>
              <w:t>Comando Generale delle Capitanerie di Porton ja/tai Agenzia delle Dogane e dei Monopolin kanssa yhteentoimivilla satamayhteisöjärjestelmiin liittyvillä palveluilla, jotka ovat yhteensopivia</w:t>
            </w:r>
            <w:r>
              <w:rPr>
                <w:noProof/>
              </w:rPr>
              <w:t xml:space="preserve"> uuden Puolan zlotyn (Piattaforma Logistica Nazionale) kanssa. Satamajärjestelmäviranomaisen katsotaan olevan varustettu satamayhteisöjärjestelmien (PCS) palveluilla, jos vähintään yksi satamajärjestelmäviranomaisen satama on varustettu satamayhteisöjärjestelmillä. </w:t>
            </w:r>
          </w:p>
        </w:tc>
      </w:tr>
      <w:tr w:rsidR="00E42B18" w14:paraId="1226E8CF" w14:textId="77777777" w:rsidTr="0097361F">
        <w:trPr>
          <w:trHeight w:val="309"/>
          <w:jc w:val="center"/>
        </w:trPr>
        <w:tc>
          <w:tcPr>
            <w:tcW w:w="1128" w:type="dxa"/>
            <w:shd w:val="clear" w:color="auto" w:fill="C6EFCE"/>
            <w:noWrap/>
            <w:vAlign w:val="center"/>
          </w:tcPr>
          <w:p w14:paraId="298D2223" w14:textId="77777777" w:rsidR="00E42B18" w:rsidRDefault="009629C4">
            <w:pPr>
              <w:pStyle w:val="P68B1DB1-Normal11"/>
              <w:spacing w:line="257" w:lineRule="auto"/>
              <w:jc w:val="both"/>
              <w:rPr>
                <w:rFonts w:eastAsia="Arial Narrow" w:cs="Arial Narrow"/>
                <w:noProof/>
                <w:szCs w:val="20"/>
              </w:rPr>
            </w:pPr>
            <w:r>
              <w:rPr>
                <w:noProof/>
              </w:rPr>
              <w:t>M3C2–5a</w:t>
            </w:r>
          </w:p>
        </w:tc>
        <w:tc>
          <w:tcPr>
            <w:tcW w:w="1618" w:type="dxa"/>
            <w:shd w:val="clear" w:color="auto" w:fill="C6EFCE"/>
            <w:noWrap/>
            <w:vAlign w:val="center"/>
          </w:tcPr>
          <w:p w14:paraId="2663660B" w14:textId="77777777" w:rsidR="00E42B18" w:rsidRDefault="009629C4">
            <w:pPr>
              <w:pStyle w:val="P68B1DB1-Normal12"/>
              <w:spacing w:line="257" w:lineRule="auto"/>
              <w:jc w:val="both"/>
              <w:rPr>
                <w:noProof/>
              </w:rPr>
            </w:pPr>
            <w:r>
              <w:rPr>
                <w:noProof/>
              </w:rPr>
              <w:t>Investointi 2.1 – Logistiikkaketjun digitalisointi</w:t>
            </w:r>
          </w:p>
        </w:tc>
        <w:tc>
          <w:tcPr>
            <w:tcW w:w="1333" w:type="dxa"/>
            <w:shd w:val="clear" w:color="auto" w:fill="C6EFCE"/>
            <w:noWrap/>
            <w:vAlign w:val="center"/>
          </w:tcPr>
          <w:p w14:paraId="4E4E78DB" w14:textId="77777777" w:rsidR="00E42B18" w:rsidRDefault="009629C4">
            <w:pPr>
              <w:pStyle w:val="P68B1DB1-Normal11"/>
              <w:spacing w:line="257" w:lineRule="auto"/>
              <w:jc w:val="both"/>
              <w:rPr>
                <w:rFonts w:eastAsia="Arial Narrow" w:cs="Arial Narrow"/>
                <w:noProof/>
                <w:szCs w:val="20"/>
              </w:rPr>
            </w:pPr>
            <w:r>
              <w:rPr>
                <w:noProof/>
              </w:rPr>
              <w:t>Kohde</w:t>
            </w:r>
          </w:p>
        </w:tc>
        <w:tc>
          <w:tcPr>
            <w:tcW w:w="1822" w:type="dxa"/>
            <w:shd w:val="clear" w:color="auto" w:fill="C6EFCE"/>
            <w:noWrap/>
            <w:vAlign w:val="center"/>
          </w:tcPr>
          <w:p w14:paraId="337F40A0" w14:textId="77777777" w:rsidR="00E42B18" w:rsidRDefault="009629C4">
            <w:pPr>
              <w:pStyle w:val="P68B1DB1-Normal11"/>
              <w:spacing w:line="257" w:lineRule="auto"/>
              <w:jc w:val="both"/>
              <w:rPr>
                <w:rFonts w:eastAsia="Arial Narrow" w:cs="Arial Narrow"/>
                <w:noProof/>
                <w:szCs w:val="20"/>
              </w:rPr>
            </w:pPr>
            <w:r>
              <w:rPr>
                <w:noProof/>
              </w:rPr>
              <w:t xml:space="preserve">Logistiikkaketjun digitalisointi </w:t>
            </w:r>
          </w:p>
        </w:tc>
        <w:tc>
          <w:tcPr>
            <w:tcW w:w="1575" w:type="dxa"/>
            <w:shd w:val="clear" w:color="auto" w:fill="C6EFCE"/>
            <w:noWrap/>
            <w:vAlign w:val="center"/>
          </w:tcPr>
          <w:p w14:paraId="33DF1683" w14:textId="77777777" w:rsidR="00E42B18" w:rsidRDefault="009629C4">
            <w:pPr>
              <w:pStyle w:val="P68B1DB1-Normal11"/>
              <w:spacing w:line="257" w:lineRule="auto"/>
              <w:jc w:val="both"/>
              <w:rPr>
                <w:rFonts w:eastAsia="Arial Narrow" w:cs="Arial Narrow"/>
                <w:noProof/>
                <w:szCs w:val="20"/>
              </w:rPr>
            </w:pPr>
            <w:r>
              <w:rPr>
                <w:noProof/>
              </w:rPr>
              <w:t>EI OLE</w:t>
            </w:r>
          </w:p>
        </w:tc>
        <w:tc>
          <w:tcPr>
            <w:tcW w:w="892" w:type="dxa"/>
            <w:shd w:val="clear" w:color="auto" w:fill="C6EFCE"/>
            <w:noWrap/>
            <w:vAlign w:val="center"/>
          </w:tcPr>
          <w:p w14:paraId="106F7802" w14:textId="77777777" w:rsidR="00E42B18" w:rsidRDefault="009629C4">
            <w:pPr>
              <w:pStyle w:val="P68B1DB1-Normal11"/>
              <w:spacing w:line="257" w:lineRule="auto"/>
              <w:jc w:val="both"/>
              <w:rPr>
                <w:rFonts w:eastAsia="Arial Narrow" w:cs="Arial Narrow"/>
                <w:noProof/>
                <w:szCs w:val="20"/>
              </w:rPr>
            </w:pPr>
            <w:r>
              <w:rPr>
                <w:noProof/>
              </w:rPr>
              <w:t>Numero</w:t>
            </w:r>
          </w:p>
        </w:tc>
        <w:tc>
          <w:tcPr>
            <w:tcW w:w="997" w:type="dxa"/>
            <w:shd w:val="clear" w:color="auto" w:fill="C6EFCE"/>
            <w:noWrap/>
            <w:vAlign w:val="center"/>
          </w:tcPr>
          <w:p w14:paraId="1F5BA518" w14:textId="77777777" w:rsidR="00E42B18" w:rsidRDefault="009629C4">
            <w:pPr>
              <w:pStyle w:val="P68B1DB1-Normal11"/>
              <w:spacing w:line="257" w:lineRule="auto"/>
              <w:jc w:val="both"/>
              <w:rPr>
                <w:rFonts w:eastAsia="Arial Narrow" w:cs="Arial Narrow"/>
                <w:noProof/>
                <w:szCs w:val="20"/>
              </w:rPr>
            </w:pPr>
            <w:r>
              <w:rPr>
                <w:noProof/>
              </w:rPr>
              <w:t>0</w:t>
            </w:r>
          </w:p>
        </w:tc>
        <w:tc>
          <w:tcPr>
            <w:tcW w:w="836" w:type="dxa"/>
            <w:shd w:val="clear" w:color="auto" w:fill="C6EFCE"/>
            <w:noWrap/>
            <w:vAlign w:val="center"/>
          </w:tcPr>
          <w:p w14:paraId="19D93E52" w14:textId="77777777" w:rsidR="00E42B18" w:rsidRDefault="009629C4">
            <w:pPr>
              <w:pStyle w:val="P68B1DB1-Normal11"/>
              <w:spacing w:line="257" w:lineRule="auto"/>
              <w:jc w:val="both"/>
              <w:rPr>
                <w:rFonts w:eastAsia="Arial Narrow" w:cs="Arial Narrow"/>
                <w:noProof/>
                <w:szCs w:val="20"/>
              </w:rPr>
            </w:pPr>
            <w:r>
              <w:rPr>
                <w:noProof/>
              </w:rPr>
              <w:t>3</w:t>
            </w:r>
          </w:p>
        </w:tc>
        <w:tc>
          <w:tcPr>
            <w:tcW w:w="985" w:type="dxa"/>
            <w:shd w:val="clear" w:color="auto" w:fill="C6EFCE"/>
            <w:noWrap/>
            <w:vAlign w:val="center"/>
          </w:tcPr>
          <w:p w14:paraId="3E3896E5" w14:textId="77777777" w:rsidR="00E42B18" w:rsidRDefault="009629C4">
            <w:pPr>
              <w:pStyle w:val="P68B1DB1-Normal11"/>
              <w:spacing w:line="257" w:lineRule="auto"/>
              <w:jc w:val="both"/>
              <w:rPr>
                <w:rFonts w:eastAsia="Arial Narrow" w:cs="Arial Narrow"/>
                <w:noProof/>
                <w:szCs w:val="20"/>
              </w:rPr>
            </w:pPr>
            <w:r>
              <w:rPr>
                <w:noProof/>
              </w:rPr>
              <w:t>Q2</w:t>
            </w:r>
          </w:p>
        </w:tc>
        <w:tc>
          <w:tcPr>
            <w:tcW w:w="734" w:type="dxa"/>
            <w:shd w:val="clear" w:color="auto" w:fill="C6EFCE"/>
            <w:noWrap/>
            <w:vAlign w:val="center"/>
          </w:tcPr>
          <w:p w14:paraId="1C01B77E" w14:textId="77777777" w:rsidR="00E42B18" w:rsidRDefault="009629C4">
            <w:pPr>
              <w:pStyle w:val="P68B1DB1-Normal11"/>
              <w:spacing w:line="257" w:lineRule="auto"/>
              <w:jc w:val="both"/>
              <w:rPr>
                <w:rFonts w:eastAsia="Arial Narrow" w:cs="Arial Narrow"/>
                <w:noProof/>
                <w:szCs w:val="20"/>
              </w:rPr>
            </w:pPr>
            <w:r>
              <w:rPr>
                <w:noProof/>
              </w:rPr>
              <w:t>2026</w:t>
            </w:r>
          </w:p>
        </w:tc>
        <w:tc>
          <w:tcPr>
            <w:tcW w:w="2867" w:type="dxa"/>
            <w:shd w:val="clear" w:color="auto" w:fill="C6EFCE"/>
            <w:noWrap/>
            <w:vAlign w:val="center"/>
          </w:tcPr>
          <w:p w14:paraId="2794F018" w14:textId="6171A935" w:rsidR="00E42B18" w:rsidRDefault="009629C4">
            <w:pPr>
              <w:pStyle w:val="P68B1DB1-Normal11"/>
              <w:spacing w:after="0" w:line="240" w:lineRule="auto"/>
              <w:jc w:val="both"/>
              <w:rPr>
                <w:noProof/>
              </w:rPr>
            </w:pPr>
            <w:r>
              <w:rPr>
                <w:noProof/>
                <w:szCs w:val="20"/>
              </w:rPr>
              <w:t xml:space="preserve">Seuraavat kolme </w:t>
            </w:r>
            <w:r>
              <w:rPr>
                <w:noProof/>
              </w:rPr>
              <w:t xml:space="preserve">tukitoimea toteutetaan: </w:t>
            </w:r>
          </w:p>
          <w:p w14:paraId="7D6EE7C4" w14:textId="77777777" w:rsidR="00E42B18" w:rsidRDefault="00E42B18">
            <w:pPr>
              <w:spacing w:after="0" w:line="240" w:lineRule="auto"/>
              <w:jc w:val="both"/>
              <w:rPr>
                <w:rFonts w:ascii="Arial Narrow" w:hAnsi="Arial Narrow"/>
                <w:noProof/>
                <w:color w:val="006100"/>
                <w:sz w:val="20"/>
              </w:rPr>
            </w:pPr>
          </w:p>
          <w:p w14:paraId="08E9309F" w14:textId="26C562E0" w:rsidR="00E42B18" w:rsidRDefault="009629C4">
            <w:pPr>
              <w:pStyle w:val="P68B1DB1-Normal11"/>
              <w:spacing w:after="0" w:line="240" w:lineRule="auto"/>
              <w:jc w:val="both"/>
              <w:rPr>
                <w:rFonts w:eastAsia="Arial Narrow" w:cs="Arial Narrow"/>
                <w:noProof/>
                <w:szCs w:val="20"/>
              </w:rPr>
            </w:pPr>
            <w:r>
              <w:rPr>
                <w:noProof/>
              </w:rPr>
              <w:t xml:space="preserve">1) Log-IN-keskus: Digitaalisen alustan perustaminen (Piattaforma Logistica Nazionale – PLN). </w:t>
            </w:r>
          </w:p>
          <w:p w14:paraId="74FB010D" w14:textId="77777777" w:rsidR="00E42B18" w:rsidRDefault="00E42B18">
            <w:pPr>
              <w:pStyle w:val="ListParagraph"/>
              <w:spacing w:after="0"/>
              <w:rPr>
                <w:rFonts w:ascii="Arial Narrow" w:eastAsia="Arial Narrow" w:hAnsi="Arial Narrow" w:cs="Arial Narrow"/>
                <w:noProof/>
                <w:color w:val="006100"/>
                <w:sz w:val="20"/>
                <w:szCs w:val="20"/>
              </w:rPr>
            </w:pPr>
          </w:p>
          <w:p w14:paraId="5C643FE4" w14:textId="3AF05B4B" w:rsidR="00E42B18" w:rsidRDefault="009629C4">
            <w:pPr>
              <w:pStyle w:val="P68B1DB1-Normal11"/>
              <w:spacing w:before="120" w:after="120" w:line="240" w:lineRule="auto"/>
              <w:jc w:val="both"/>
              <w:rPr>
                <w:rFonts w:eastAsia="Arial Narrow" w:cs="Arial Narrow"/>
                <w:noProof/>
                <w:szCs w:val="20"/>
              </w:rPr>
            </w:pPr>
            <w:r>
              <w:rPr>
                <w:noProof/>
              </w:rPr>
              <w:t xml:space="preserve">2) Satamaverkko ja tavaraliikennekylät: </w:t>
            </w:r>
          </w:p>
          <w:p w14:paraId="0CF3E486" w14:textId="77777777" w:rsidR="00E42B18" w:rsidRDefault="009629C4">
            <w:pPr>
              <w:pStyle w:val="P68B1DB1-Normal90"/>
              <w:spacing w:before="120" w:after="120"/>
              <w:ind w:left="197"/>
              <w:jc w:val="both"/>
              <w:rPr>
                <w:rFonts w:eastAsia="Arial Narrow" w:cs="Arial Narrow"/>
                <w:noProof/>
                <w:sz w:val="20"/>
                <w:szCs w:val="20"/>
              </w:rPr>
            </w:pPr>
            <w:r>
              <w:rPr>
                <w:noProof/>
                <w:sz w:val="20"/>
              </w:rPr>
              <w:t>Kaikilla 16 satamajärjestelmäviranomaisella on oltava Piattaforma Logistica Nazionalen (PLN) kanssa yhteensopivat PCS-palvelut (Port Community System). Satamajärjestelmäviranomaisen katsotaan olevan varustettu satamayhteisöjärjestelmien (PCS) palveluilla, jos vähintään yksi satamajärjestelmäviranomaisen satama on varustettu satamayhteisöjärjestelmillä (PCS</w:t>
            </w:r>
            <w:r>
              <w:rPr>
                <w:noProof/>
                <w:sz w:val="18"/>
              </w:rPr>
              <w:t xml:space="preserve">). </w:t>
            </w:r>
            <w:r>
              <w:rPr>
                <w:noProof/>
                <w:sz w:val="20"/>
              </w:rPr>
              <w:t>Näiden PCS-palvelujen on oltava toiminnassa kaikissa asetuksessa (EU) 1679/2024 määritellyissä ydinsatamissa.</w:t>
            </w:r>
          </w:p>
          <w:p w14:paraId="0392A23B" w14:textId="77777777" w:rsidR="00E42B18" w:rsidRDefault="009629C4">
            <w:pPr>
              <w:pStyle w:val="P68B1DB1-Normal11"/>
              <w:spacing w:before="120" w:after="120"/>
              <w:ind w:left="197"/>
              <w:jc w:val="both"/>
              <w:rPr>
                <w:rFonts w:eastAsia="Arial Narrow" w:cs="Arial Narrow"/>
                <w:noProof/>
                <w:szCs w:val="20"/>
              </w:rPr>
            </w:pPr>
            <w:r>
              <w:rPr>
                <w:noProof/>
              </w:rPr>
              <w:t>Vähintään 12:lla kansallisella tavaraliikennekylällä on oltava Puolan zlotyn kanssa yhteensopiva tavaraliikennekyläjärjestelmä (FVS).</w:t>
            </w:r>
          </w:p>
          <w:p w14:paraId="0F5A316D" w14:textId="66DEAB08" w:rsidR="00E42B18" w:rsidRDefault="009629C4">
            <w:pPr>
              <w:pStyle w:val="P68B1DB1-Normal12"/>
              <w:spacing w:before="120" w:after="120" w:line="240" w:lineRule="auto"/>
              <w:jc w:val="both"/>
              <w:rPr>
                <w:noProof/>
              </w:rPr>
            </w:pPr>
            <w:r>
              <w:rPr>
                <w:noProof/>
              </w:rPr>
              <w:t>3) Log-IN-liiketoiminta: resurssien siirtäminen vähintään 1194 yritykselle digitaalisten järjestelmien kehittämiseksi palvelujen yhteentoimivuuden sekä eCMR- ja eFTI-vaatimusten noudattamisen edistämiseksi.</w:t>
            </w:r>
          </w:p>
        </w:tc>
      </w:tr>
      <w:tr w:rsidR="00E42B18" w14:paraId="50A2195F" w14:textId="77777777" w:rsidTr="0097361F">
        <w:trPr>
          <w:trHeight w:val="300"/>
          <w:jc w:val="center"/>
        </w:trPr>
        <w:tc>
          <w:tcPr>
            <w:tcW w:w="1128" w:type="dxa"/>
            <w:shd w:val="clear" w:color="auto" w:fill="C6EFCE"/>
            <w:noWrap/>
            <w:vAlign w:val="center"/>
          </w:tcPr>
          <w:p w14:paraId="79BE083D" w14:textId="77777777" w:rsidR="00E42B18" w:rsidRDefault="009629C4">
            <w:pPr>
              <w:pStyle w:val="P68B1DB1-Normal12"/>
              <w:jc w:val="center"/>
              <w:rPr>
                <w:noProof/>
              </w:rPr>
            </w:pPr>
            <w:r>
              <w:rPr>
                <w:noProof/>
              </w:rPr>
              <w:t>M3C2–6</w:t>
            </w:r>
          </w:p>
        </w:tc>
        <w:tc>
          <w:tcPr>
            <w:tcW w:w="1618" w:type="dxa"/>
            <w:shd w:val="clear" w:color="auto" w:fill="C6EFCE"/>
            <w:noWrap/>
            <w:vAlign w:val="center"/>
          </w:tcPr>
          <w:p w14:paraId="0A4F1176" w14:textId="77777777" w:rsidR="00E42B18" w:rsidRDefault="009629C4">
            <w:pPr>
              <w:pStyle w:val="P68B1DB1-Normal12"/>
              <w:jc w:val="center"/>
              <w:rPr>
                <w:noProof/>
              </w:rPr>
            </w:pPr>
            <w:r>
              <w:rPr>
                <w:noProof/>
              </w:rPr>
              <w:t>Investointi 2.2: Ilmaliikenteen hallinnan digitalisointi</w:t>
            </w:r>
          </w:p>
        </w:tc>
        <w:tc>
          <w:tcPr>
            <w:tcW w:w="1333" w:type="dxa"/>
            <w:shd w:val="clear" w:color="auto" w:fill="C6EFCE"/>
            <w:noWrap/>
            <w:vAlign w:val="center"/>
          </w:tcPr>
          <w:p w14:paraId="165D94BE" w14:textId="77777777" w:rsidR="00E42B18" w:rsidRDefault="009629C4">
            <w:pPr>
              <w:pStyle w:val="P68B1DB1-Normal12"/>
              <w:jc w:val="center"/>
              <w:rPr>
                <w:noProof/>
              </w:rPr>
            </w:pPr>
            <w:r>
              <w:rPr>
                <w:noProof/>
              </w:rPr>
              <w:t>Virstanpylväs</w:t>
            </w:r>
          </w:p>
        </w:tc>
        <w:tc>
          <w:tcPr>
            <w:tcW w:w="1822" w:type="dxa"/>
            <w:shd w:val="clear" w:color="auto" w:fill="C6EFCE"/>
            <w:noWrap/>
            <w:vAlign w:val="center"/>
          </w:tcPr>
          <w:p w14:paraId="1F1FEB55" w14:textId="77777777" w:rsidR="00E42B18" w:rsidRDefault="009629C4">
            <w:pPr>
              <w:pStyle w:val="P68B1DB1-Normal12"/>
              <w:jc w:val="center"/>
              <w:rPr>
                <w:noProof/>
              </w:rPr>
            </w:pPr>
            <w:r>
              <w:rPr>
                <w:noProof/>
              </w:rPr>
              <w:t>Ilmaliikenteen hallinnan digitalisointi: uusien välineiden käyttöönotto</w:t>
            </w:r>
          </w:p>
        </w:tc>
        <w:tc>
          <w:tcPr>
            <w:tcW w:w="1575" w:type="dxa"/>
            <w:shd w:val="clear" w:color="auto" w:fill="C6EFCE"/>
            <w:noWrap/>
            <w:vAlign w:val="center"/>
          </w:tcPr>
          <w:p w14:paraId="2693D919" w14:textId="607534F6" w:rsidR="00E42B18" w:rsidRDefault="009629C4">
            <w:pPr>
              <w:pStyle w:val="P68B1DB1-Normal12"/>
              <w:jc w:val="center"/>
              <w:rPr>
                <w:noProof/>
              </w:rPr>
            </w:pPr>
            <w:r>
              <w:rPr>
                <w:noProof/>
              </w:rPr>
              <w:t>TOC:n, digitalisoidun ilmailutiedotuksen ja UTMS:n sertifioinnit</w:t>
            </w:r>
          </w:p>
        </w:tc>
        <w:tc>
          <w:tcPr>
            <w:tcW w:w="892" w:type="dxa"/>
            <w:shd w:val="clear" w:color="auto" w:fill="C6EFCE"/>
            <w:noWrap/>
            <w:vAlign w:val="center"/>
          </w:tcPr>
          <w:p w14:paraId="10FC56EC" w14:textId="77777777" w:rsidR="00E42B18" w:rsidRDefault="009629C4">
            <w:pPr>
              <w:pStyle w:val="P68B1DB1-Normal12"/>
              <w:jc w:val="center"/>
              <w:rPr>
                <w:noProof/>
              </w:rPr>
            </w:pPr>
            <w:r>
              <w:rPr>
                <w:noProof/>
              </w:rPr>
              <w:t>EI OLE</w:t>
            </w:r>
          </w:p>
        </w:tc>
        <w:tc>
          <w:tcPr>
            <w:tcW w:w="997" w:type="dxa"/>
            <w:shd w:val="clear" w:color="auto" w:fill="C6EFCE"/>
            <w:noWrap/>
            <w:vAlign w:val="center"/>
          </w:tcPr>
          <w:p w14:paraId="3B9F501C" w14:textId="77777777" w:rsidR="00E42B18" w:rsidRDefault="009629C4">
            <w:pPr>
              <w:pStyle w:val="P68B1DB1-Normal12"/>
              <w:jc w:val="center"/>
              <w:rPr>
                <w:noProof/>
              </w:rPr>
            </w:pPr>
            <w:r>
              <w:rPr>
                <w:noProof/>
              </w:rPr>
              <w:t xml:space="preserve">EI OLE </w:t>
            </w:r>
          </w:p>
        </w:tc>
        <w:tc>
          <w:tcPr>
            <w:tcW w:w="836" w:type="dxa"/>
            <w:shd w:val="clear" w:color="auto" w:fill="C6EFCE"/>
            <w:noWrap/>
            <w:vAlign w:val="center"/>
          </w:tcPr>
          <w:p w14:paraId="69D11ABC" w14:textId="77777777" w:rsidR="00E42B18" w:rsidRDefault="00E42B18">
            <w:pPr>
              <w:jc w:val="center"/>
              <w:rPr>
                <w:rFonts w:ascii="Arial Narrow" w:hAnsi="Arial Narrow"/>
                <w:noProof/>
                <w:color w:val="006100"/>
                <w:sz w:val="20"/>
                <w:szCs w:val="20"/>
              </w:rPr>
            </w:pPr>
          </w:p>
          <w:p w14:paraId="15FB92F7" w14:textId="77777777" w:rsidR="00E42B18" w:rsidRDefault="009629C4">
            <w:pPr>
              <w:pStyle w:val="P68B1DB1-Normal12"/>
              <w:jc w:val="center"/>
              <w:rPr>
                <w:noProof/>
              </w:rPr>
            </w:pPr>
            <w:r>
              <w:rPr>
                <w:noProof/>
              </w:rPr>
              <w:t>EI OLE</w:t>
            </w:r>
          </w:p>
          <w:p w14:paraId="6F41BA16" w14:textId="77777777" w:rsidR="00E42B18" w:rsidRDefault="00E42B18">
            <w:pPr>
              <w:jc w:val="center"/>
              <w:rPr>
                <w:rFonts w:ascii="Arial Narrow" w:hAnsi="Arial Narrow"/>
                <w:noProof/>
                <w:color w:val="006100"/>
                <w:sz w:val="20"/>
                <w:szCs w:val="20"/>
              </w:rPr>
            </w:pPr>
          </w:p>
        </w:tc>
        <w:tc>
          <w:tcPr>
            <w:tcW w:w="985" w:type="dxa"/>
            <w:shd w:val="clear" w:color="auto" w:fill="C6EFCE"/>
            <w:noWrap/>
            <w:vAlign w:val="center"/>
          </w:tcPr>
          <w:p w14:paraId="478CCC36" w14:textId="77777777" w:rsidR="00E42B18" w:rsidRDefault="009629C4">
            <w:pPr>
              <w:pStyle w:val="P68B1DB1-Normal12"/>
              <w:jc w:val="center"/>
              <w:rPr>
                <w:noProof/>
              </w:rPr>
            </w:pPr>
            <w:r>
              <w:rPr>
                <w:noProof/>
              </w:rPr>
              <w:t>Q1</w:t>
            </w:r>
          </w:p>
        </w:tc>
        <w:tc>
          <w:tcPr>
            <w:tcW w:w="734" w:type="dxa"/>
            <w:shd w:val="clear" w:color="auto" w:fill="C6EFCE"/>
            <w:noWrap/>
            <w:vAlign w:val="center"/>
          </w:tcPr>
          <w:p w14:paraId="7F8314F2" w14:textId="77777777" w:rsidR="00E42B18" w:rsidRDefault="009629C4">
            <w:pPr>
              <w:pStyle w:val="P68B1DB1-Normal12"/>
              <w:jc w:val="center"/>
              <w:rPr>
                <w:noProof/>
              </w:rPr>
            </w:pPr>
            <w:r>
              <w:rPr>
                <w:noProof/>
              </w:rPr>
              <w:t>2026</w:t>
            </w:r>
          </w:p>
        </w:tc>
        <w:tc>
          <w:tcPr>
            <w:tcW w:w="2867" w:type="dxa"/>
            <w:shd w:val="clear" w:color="auto" w:fill="C6EFCE"/>
            <w:noWrap/>
            <w:vAlign w:val="center"/>
          </w:tcPr>
          <w:p w14:paraId="62C7863E" w14:textId="77777777" w:rsidR="00E42B18" w:rsidRDefault="009629C4">
            <w:pPr>
              <w:pStyle w:val="P68B1DB1-Normal12"/>
              <w:jc w:val="both"/>
              <w:rPr>
                <w:noProof/>
              </w:rPr>
            </w:pPr>
            <w:r>
              <w:rPr>
                <w:noProof/>
              </w:rPr>
              <w:t xml:space="preserve">Seuraavien kolmen hankkeen käynnistäminen: </w:t>
            </w:r>
          </w:p>
          <w:p w14:paraId="1B75DBF5" w14:textId="77777777" w:rsidR="00E42B18" w:rsidRDefault="009629C4">
            <w:pPr>
              <w:pStyle w:val="P68B1DB1-Normal12"/>
              <w:jc w:val="both"/>
              <w:rPr>
                <w:noProof/>
              </w:rPr>
            </w:pPr>
            <w:r>
              <w:rPr>
                <w:noProof/>
              </w:rPr>
              <w:t xml:space="preserve">a) Teknisen toiminnan keskus (TOC) ja vähintään kaksi ilmaliikenteen hallintajärjestelmää </w:t>
            </w:r>
          </w:p>
          <w:p w14:paraId="1383FAE8" w14:textId="77777777" w:rsidR="00E42B18" w:rsidRDefault="009629C4">
            <w:pPr>
              <w:pStyle w:val="P68B1DB1-Normal12"/>
              <w:jc w:val="both"/>
              <w:rPr>
                <w:noProof/>
              </w:rPr>
            </w:pPr>
            <w:r>
              <w:rPr>
                <w:noProof/>
              </w:rPr>
              <w:t xml:space="preserve">b) Digitaalinen ilmailutiedotus </w:t>
            </w:r>
          </w:p>
          <w:p w14:paraId="493D52E6" w14:textId="77777777" w:rsidR="00E42B18" w:rsidRDefault="009629C4">
            <w:pPr>
              <w:pStyle w:val="P68B1DB1-Normal12"/>
              <w:rPr>
                <w:noProof/>
              </w:rPr>
            </w:pPr>
            <w:r>
              <w:rPr>
                <w:noProof/>
              </w:rPr>
              <w:t>miehittämätön liikenteenhallintajärjestelmä ja yhteenliitettävyys (UTMS).</w:t>
            </w:r>
          </w:p>
        </w:tc>
      </w:tr>
      <w:tr w:rsidR="00E42B18" w14:paraId="29FD4FAE" w14:textId="77777777" w:rsidTr="0097361F">
        <w:trPr>
          <w:trHeight w:val="309"/>
          <w:jc w:val="center"/>
        </w:trPr>
        <w:tc>
          <w:tcPr>
            <w:tcW w:w="1128" w:type="dxa"/>
            <w:shd w:val="clear" w:color="auto" w:fill="C6EFCE"/>
            <w:noWrap/>
            <w:vAlign w:val="center"/>
          </w:tcPr>
          <w:p w14:paraId="75B426DA"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M3C2–7 </w:t>
            </w:r>
          </w:p>
        </w:tc>
        <w:tc>
          <w:tcPr>
            <w:tcW w:w="1618" w:type="dxa"/>
            <w:shd w:val="clear" w:color="auto" w:fill="C6EFCE"/>
            <w:noWrap/>
            <w:vAlign w:val="center"/>
          </w:tcPr>
          <w:p w14:paraId="1B437521"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Investointi 2.3: Kylmäsilitys </w:t>
            </w:r>
          </w:p>
        </w:tc>
        <w:tc>
          <w:tcPr>
            <w:tcW w:w="1333" w:type="dxa"/>
            <w:shd w:val="clear" w:color="auto" w:fill="C6EFCE"/>
            <w:noWrap/>
            <w:vAlign w:val="center"/>
          </w:tcPr>
          <w:p w14:paraId="05F13740"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Virstanpylväs </w:t>
            </w:r>
          </w:p>
        </w:tc>
        <w:tc>
          <w:tcPr>
            <w:tcW w:w="1822" w:type="dxa"/>
            <w:shd w:val="clear" w:color="auto" w:fill="C6EFCE"/>
            <w:noWrap/>
            <w:vAlign w:val="center"/>
          </w:tcPr>
          <w:p w14:paraId="11E157F0"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Kaikkien julkisten hankintasopimusten tekeminen </w:t>
            </w:r>
          </w:p>
        </w:tc>
        <w:tc>
          <w:tcPr>
            <w:tcW w:w="1575" w:type="dxa"/>
            <w:shd w:val="clear" w:color="auto" w:fill="C6EFCE"/>
            <w:noWrap/>
            <w:vAlign w:val="center"/>
          </w:tcPr>
          <w:p w14:paraId="0CF742D2"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szCs w:val="20"/>
              </w:rPr>
              <w:t xml:space="preserve">Tarjouspyynnön julkaiseminen ja kaikkien vähintään 15 kylmäsilityslaitoksen rakentamista koskevien julkisten hankintasopimusten tekeminen </w:t>
            </w:r>
          </w:p>
        </w:tc>
        <w:tc>
          <w:tcPr>
            <w:tcW w:w="892" w:type="dxa"/>
            <w:shd w:val="clear" w:color="auto" w:fill="C6EFCE"/>
            <w:noWrap/>
            <w:vAlign w:val="center"/>
          </w:tcPr>
          <w:p w14:paraId="04CB2159"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EI OLE </w:t>
            </w:r>
          </w:p>
        </w:tc>
        <w:tc>
          <w:tcPr>
            <w:tcW w:w="997" w:type="dxa"/>
            <w:shd w:val="clear" w:color="auto" w:fill="C6EFCE"/>
            <w:noWrap/>
            <w:vAlign w:val="center"/>
          </w:tcPr>
          <w:p w14:paraId="7FCB0980"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EI OLE </w:t>
            </w:r>
          </w:p>
        </w:tc>
        <w:tc>
          <w:tcPr>
            <w:tcW w:w="836" w:type="dxa"/>
            <w:shd w:val="clear" w:color="auto" w:fill="C6EFCE"/>
            <w:noWrap/>
            <w:vAlign w:val="center"/>
          </w:tcPr>
          <w:p w14:paraId="2B388038"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EI OLE </w:t>
            </w:r>
          </w:p>
        </w:tc>
        <w:tc>
          <w:tcPr>
            <w:tcW w:w="985" w:type="dxa"/>
            <w:shd w:val="clear" w:color="auto" w:fill="C6EFCE"/>
            <w:noWrap/>
            <w:vAlign w:val="center"/>
          </w:tcPr>
          <w:p w14:paraId="319B9C9E"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Q3 </w:t>
            </w:r>
          </w:p>
        </w:tc>
        <w:tc>
          <w:tcPr>
            <w:tcW w:w="734" w:type="dxa"/>
            <w:shd w:val="clear" w:color="auto" w:fill="C6EFCE"/>
            <w:noWrap/>
            <w:vAlign w:val="center"/>
          </w:tcPr>
          <w:p w14:paraId="39D41CAF"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2024 </w:t>
            </w:r>
          </w:p>
        </w:tc>
        <w:tc>
          <w:tcPr>
            <w:tcW w:w="2867" w:type="dxa"/>
            <w:shd w:val="clear" w:color="auto" w:fill="C6EFCE"/>
            <w:noWrap/>
            <w:vAlign w:val="center"/>
          </w:tcPr>
          <w:p w14:paraId="195D43C3" w14:textId="77777777" w:rsidR="00E42B18" w:rsidRDefault="009629C4">
            <w:pPr>
              <w:jc w:val="both"/>
              <w:rPr>
                <w:rFonts w:ascii="Arial Narrow" w:hAnsi="Arial Narrow"/>
                <w:noProof/>
                <w:color w:val="006100"/>
                <w:sz w:val="20"/>
                <w:szCs w:val="20"/>
              </w:rPr>
            </w:pPr>
            <w:r>
              <w:rPr>
                <w:rStyle w:val="normaltextrun"/>
                <w:rFonts w:ascii="Arial Narrow" w:hAnsi="Arial Narrow"/>
                <w:noProof/>
                <w:color w:val="006100"/>
                <w:sz w:val="20"/>
                <w:szCs w:val="20"/>
              </w:rPr>
              <w:t xml:space="preserve">Tarjouspyynnön julkaiseminen ja kaikkien hankintasopimusten tekeminen vähintään 15 kylmäsilityslaitoksen rakentamiseksi vähintään kymmeneen satamaan. </w:t>
            </w:r>
          </w:p>
        </w:tc>
      </w:tr>
      <w:tr w:rsidR="00E42B18" w14:paraId="22B38668" w14:textId="77777777" w:rsidTr="0097361F">
        <w:trPr>
          <w:trHeight w:val="309"/>
          <w:jc w:val="center"/>
        </w:trPr>
        <w:tc>
          <w:tcPr>
            <w:tcW w:w="1128" w:type="dxa"/>
            <w:shd w:val="clear" w:color="auto" w:fill="C6EFCE"/>
            <w:noWrap/>
            <w:vAlign w:val="center"/>
          </w:tcPr>
          <w:p w14:paraId="75E696C2"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M3C2–12</w:t>
            </w:r>
          </w:p>
        </w:tc>
        <w:tc>
          <w:tcPr>
            <w:tcW w:w="1618" w:type="dxa"/>
            <w:shd w:val="clear" w:color="auto" w:fill="C6EFCE"/>
            <w:noWrap/>
            <w:vAlign w:val="center"/>
          </w:tcPr>
          <w:p w14:paraId="2A32746F"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Investointi 2.3: Kylmäsilitys </w:t>
            </w:r>
          </w:p>
        </w:tc>
        <w:tc>
          <w:tcPr>
            <w:tcW w:w="1333" w:type="dxa"/>
            <w:shd w:val="clear" w:color="auto" w:fill="C6EFCE"/>
            <w:noWrap/>
            <w:vAlign w:val="center"/>
          </w:tcPr>
          <w:p w14:paraId="6CA985C9"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Kohde </w:t>
            </w:r>
          </w:p>
        </w:tc>
        <w:tc>
          <w:tcPr>
            <w:tcW w:w="1822" w:type="dxa"/>
            <w:shd w:val="clear" w:color="auto" w:fill="C6EFCE"/>
            <w:noWrap/>
            <w:vAlign w:val="center"/>
          </w:tcPr>
          <w:p w14:paraId="3E7E6A74" w14:textId="77777777" w:rsidR="00E42B18" w:rsidRDefault="009629C4">
            <w:pPr>
              <w:pStyle w:val="P68B1DB1-Normal11"/>
              <w:jc w:val="center"/>
              <w:rPr>
                <w:noProof/>
                <w:szCs w:val="20"/>
              </w:rPr>
            </w:pPr>
            <w:r>
              <w:rPr>
                <w:noProof/>
              </w:rPr>
              <w:t xml:space="preserve">Rakennustöiden loppuun saattaminen ja liitäntäkustannusarvioiden hyväksyminen kylmäsilitysinfrastruktuurien rakennuttajalta. </w:t>
            </w:r>
          </w:p>
        </w:tc>
        <w:tc>
          <w:tcPr>
            <w:tcW w:w="1575" w:type="dxa"/>
            <w:shd w:val="clear" w:color="auto" w:fill="C6EFCE"/>
            <w:noWrap/>
            <w:vAlign w:val="center"/>
          </w:tcPr>
          <w:p w14:paraId="12C6B67D" w14:textId="77777777" w:rsidR="00E42B18" w:rsidRDefault="009629C4">
            <w:pPr>
              <w:jc w:val="center"/>
              <w:rPr>
                <w:rFonts w:ascii="Arial Narrow" w:hAnsi="Arial Narrow"/>
                <w:noProof/>
                <w:color w:val="006100"/>
                <w:sz w:val="20"/>
                <w:szCs w:val="20"/>
              </w:rPr>
            </w:pPr>
            <w:r>
              <w:rPr>
                <w:rStyle w:val="eop"/>
                <w:rFonts w:ascii="Arial Narrow" w:hAnsi="Arial Narrow"/>
                <w:noProof/>
                <w:color w:val="006100"/>
                <w:sz w:val="20"/>
              </w:rPr>
              <w:t xml:space="preserve"> </w:t>
            </w:r>
          </w:p>
        </w:tc>
        <w:tc>
          <w:tcPr>
            <w:tcW w:w="892" w:type="dxa"/>
            <w:shd w:val="clear" w:color="auto" w:fill="C6EFCE"/>
            <w:noWrap/>
            <w:vAlign w:val="center"/>
          </w:tcPr>
          <w:p w14:paraId="6C53A4C9"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Numero </w:t>
            </w:r>
          </w:p>
        </w:tc>
        <w:tc>
          <w:tcPr>
            <w:tcW w:w="997" w:type="dxa"/>
            <w:shd w:val="clear" w:color="auto" w:fill="C6EFCE"/>
            <w:noWrap/>
            <w:vAlign w:val="center"/>
          </w:tcPr>
          <w:p w14:paraId="5FE5A8E1"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0 </w:t>
            </w:r>
          </w:p>
        </w:tc>
        <w:tc>
          <w:tcPr>
            <w:tcW w:w="836" w:type="dxa"/>
            <w:shd w:val="clear" w:color="auto" w:fill="C6EFCE"/>
            <w:noWrap/>
            <w:vAlign w:val="center"/>
          </w:tcPr>
          <w:p w14:paraId="088CB54E"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15 </w:t>
            </w:r>
          </w:p>
        </w:tc>
        <w:tc>
          <w:tcPr>
            <w:tcW w:w="985" w:type="dxa"/>
            <w:shd w:val="clear" w:color="auto" w:fill="C6EFCE"/>
            <w:noWrap/>
            <w:vAlign w:val="center"/>
          </w:tcPr>
          <w:p w14:paraId="19142497"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Q2</w:t>
            </w:r>
          </w:p>
        </w:tc>
        <w:tc>
          <w:tcPr>
            <w:tcW w:w="734" w:type="dxa"/>
            <w:shd w:val="clear" w:color="auto" w:fill="C6EFCE"/>
            <w:noWrap/>
            <w:vAlign w:val="center"/>
          </w:tcPr>
          <w:p w14:paraId="34CC71A0" w14:textId="77777777" w:rsidR="00E42B18" w:rsidRDefault="009629C4">
            <w:pPr>
              <w:jc w:val="center"/>
              <w:rPr>
                <w:rFonts w:ascii="Arial Narrow" w:hAnsi="Arial Narrow"/>
                <w:noProof/>
                <w:color w:val="006100"/>
                <w:sz w:val="20"/>
                <w:szCs w:val="20"/>
              </w:rPr>
            </w:pPr>
            <w:r>
              <w:rPr>
                <w:rStyle w:val="normaltextrun"/>
                <w:rFonts w:ascii="Arial Narrow" w:hAnsi="Arial Narrow"/>
                <w:noProof/>
                <w:color w:val="006100"/>
                <w:sz w:val="20"/>
              </w:rPr>
              <w:t xml:space="preserve">2026 </w:t>
            </w:r>
          </w:p>
        </w:tc>
        <w:tc>
          <w:tcPr>
            <w:tcW w:w="2867" w:type="dxa"/>
            <w:shd w:val="clear" w:color="auto" w:fill="C6EFCE"/>
            <w:noWrap/>
            <w:vAlign w:val="center"/>
          </w:tcPr>
          <w:p w14:paraId="1DDF830F" w14:textId="7021EA9C" w:rsidR="00E42B18" w:rsidRDefault="009629C4">
            <w:pPr>
              <w:pStyle w:val="P68B1DB1-Normal11"/>
              <w:jc w:val="both"/>
              <w:rPr>
                <w:noProof/>
                <w:szCs w:val="20"/>
              </w:rPr>
            </w:pPr>
            <w:r>
              <w:rPr>
                <w:noProof/>
              </w:rPr>
              <w:t>Todistukset töiden valmistumisesta ja siitä, että rakennuttaja on hyväksynyt vähintään 15 kylmäsilitysinfrastruktuuria koskevat kustannusarviot vähintään 10 satamassa.</w:t>
            </w:r>
          </w:p>
        </w:tc>
      </w:tr>
    </w:tbl>
    <w:p w14:paraId="6B856018" w14:textId="77777777" w:rsidR="00E42B18" w:rsidRDefault="00E42B18">
      <w:pPr>
        <w:spacing w:before="120" w:after="120"/>
        <w:ind w:left="709"/>
        <w:jc w:val="both"/>
        <w:rPr>
          <w:noProof/>
        </w:rPr>
      </w:pPr>
    </w:p>
    <w:p w14:paraId="76C45BB2" w14:textId="77777777" w:rsidR="00E42B18" w:rsidRDefault="00E42B18">
      <w:pPr>
        <w:spacing w:before="120" w:after="120"/>
        <w:ind w:left="709"/>
        <w:jc w:val="both"/>
        <w:rPr>
          <w:noProof/>
        </w:rPr>
        <w:sectPr w:rsidR="00E42B18" w:rsidSect="005F11B9">
          <w:headerReference w:type="even" r:id="rId158"/>
          <w:headerReference w:type="default" r:id="rId159"/>
          <w:footerReference w:type="even" r:id="rId160"/>
          <w:footerReference w:type="default" r:id="rId161"/>
          <w:headerReference w:type="first" r:id="rId162"/>
          <w:footerReference w:type="first" r:id="rId163"/>
          <w:pgSz w:w="16839" w:h="11907" w:orient="landscape"/>
          <w:pgMar w:top="1134" w:right="1134" w:bottom="1134" w:left="1134" w:header="567" w:footer="567" w:gutter="0"/>
          <w:cols w:space="720"/>
          <w:docGrid w:linePitch="360"/>
        </w:sectPr>
      </w:pPr>
    </w:p>
    <w:p w14:paraId="65FEB9EB" w14:textId="77777777" w:rsidR="00E42B18" w:rsidRDefault="009629C4">
      <w:pPr>
        <w:pStyle w:val="P68B1DB1-Heading34"/>
        <w:ind w:left="850" w:hanging="850"/>
        <w:rPr>
          <w:b/>
          <w:bCs/>
          <w:i/>
          <w:iCs/>
          <w:noProof/>
          <w:u w:val="single"/>
        </w:rPr>
      </w:pPr>
      <w:r>
        <w:rPr>
          <w:b/>
          <w:noProof/>
          <w:u w:val="single"/>
        </w:rPr>
        <w:t xml:space="preserve">I.3 </w:t>
      </w:r>
      <w:r>
        <w:rPr>
          <w:noProof/>
        </w:rPr>
        <w:t xml:space="preserve"> </w:t>
      </w:r>
      <w:r>
        <w:rPr>
          <w:b/>
          <w:noProof/>
          <w:u w:val="single"/>
        </w:rPr>
        <w:t xml:space="preserve">Kuvaus lainamuotoisella tuella rahoitettavista uudistuksista ja investoinneista </w:t>
      </w:r>
    </w:p>
    <w:p w14:paraId="782F48C1" w14:textId="77777777" w:rsidR="00E42B18" w:rsidRDefault="009629C4">
      <w:pPr>
        <w:pStyle w:val="P68B1DB1-Normal5"/>
        <w:spacing w:before="120" w:after="120"/>
        <w:jc w:val="both"/>
        <w:rPr>
          <w:rFonts w:eastAsia="Calibri"/>
          <w:noProof/>
        </w:rPr>
      </w:pPr>
      <w:r>
        <w:rPr>
          <w:noProof/>
        </w:rPr>
        <w:t>Investointi 1.1: Vihreät satamat: uusiutuvaa energiaa ja energiatehokkuutta koskevat toimet satamissa</w:t>
      </w:r>
    </w:p>
    <w:p w14:paraId="490712E4" w14:textId="77777777" w:rsidR="00E42B18" w:rsidRDefault="009629C4">
      <w:pPr>
        <w:pStyle w:val="P68B1DB1-Normal7"/>
        <w:spacing w:before="120" w:after="120"/>
        <w:jc w:val="both"/>
        <w:rPr>
          <w:rFonts w:eastAsia="Calibri"/>
          <w:noProof/>
        </w:rPr>
      </w:pPr>
      <w:r>
        <w:rPr>
          <w:noProof/>
        </w:rPr>
        <w:t>Tämän toimenpiteen tavoitteena on vähentää kasvihuonekaasupäästöjä ja parantaa ilmanlaatua satamissa ja satamakaupungeissa. Investointi koostuu energiatehokkuustoimista, uusiutuvan energian kehittämisestä sekä päästöttömien ajoneuvojen ja huoltoveneiden ostamisesta tai fossiilisia polttoaineita käyttävien ajoneuvojen ja huoltoveneiden muuntamisesta päästöttömiksi.</w:t>
      </w:r>
    </w:p>
    <w:p w14:paraId="2F6C9B8E" w14:textId="6032493F" w:rsidR="00E42B18" w:rsidRDefault="009629C4">
      <w:pPr>
        <w:pStyle w:val="P68B1DB1-Normal5"/>
        <w:spacing w:before="120" w:after="120"/>
        <w:jc w:val="both"/>
        <w:rPr>
          <w:noProof/>
        </w:rPr>
      </w:pPr>
      <w:r>
        <w:rPr>
          <w:noProof/>
        </w:rPr>
        <w:t>Uudistus 2.2: Kansallisen digitaalisen logistiikan alustan perustaminen tavara- ja/tai matkustajapalvelujen digitalisoinnin toteuttamiseksi</w:t>
      </w:r>
    </w:p>
    <w:p w14:paraId="294DA221" w14:textId="77777777" w:rsidR="00E42B18" w:rsidRDefault="009629C4">
      <w:pPr>
        <w:pStyle w:val="P68B1DB1-Normal7"/>
        <w:spacing w:before="120" w:after="120"/>
        <w:jc w:val="both"/>
        <w:rPr>
          <w:noProof/>
        </w:rPr>
      </w:pPr>
      <w:r>
        <w:rPr>
          <w:noProof/>
        </w:rPr>
        <w:t xml:space="preserve">Uudistuksen tavoitteena on tehdä yksittäisten satamajärjestelmäviranomaisten satamayhteisöjärjestelmistä yhteentoimivia kansallisen digitaalisen logistiikan alustan kanssa. </w:t>
      </w:r>
    </w:p>
    <w:p w14:paraId="7498718C" w14:textId="5E4426CC" w:rsidR="00E42B18" w:rsidRDefault="00E42B18">
      <w:pPr>
        <w:spacing w:before="120" w:after="120"/>
        <w:jc w:val="both"/>
        <w:rPr>
          <w:rFonts w:ascii="Times New Roman" w:hAnsi="Times New Roman" w:cs="Times New Roman"/>
          <w:noProof/>
        </w:rPr>
        <w:sectPr w:rsidR="00E42B18" w:rsidSect="005F11B9">
          <w:headerReference w:type="even" r:id="rId164"/>
          <w:headerReference w:type="default" r:id="rId165"/>
          <w:footerReference w:type="even" r:id="rId166"/>
          <w:footerReference w:type="default" r:id="rId167"/>
          <w:headerReference w:type="first" r:id="rId168"/>
          <w:footerReference w:type="first" r:id="rId169"/>
          <w:pgSz w:w="11907" w:h="16839"/>
          <w:pgMar w:top="1134" w:right="1134" w:bottom="1134" w:left="1134" w:header="567" w:footer="567" w:gutter="0"/>
          <w:cols w:space="720"/>
          <w:docGrid w:linePitch="360"/>
        </w:sectPr>
      </w:pPr>
    </w:p>
    <w:p w14:paraId="1748F555" w14:textId="77777777" w:rsidR="00E42B18" w:rsidRDefault="009629C4">
      <w:pPr>
        <w:pStyle w:val="P68B1DB1-Heading39"/>
        <w:ind w:left="850" w:hanging="850"/>
        <w:rPr>
          <w:b/>
          <w:bCs/>
          <w:i/>
          <w:iCs/>
          <w:noProof/>
          <w:u w:val="single"/>
        </w:rPr>
      </w:pPr>
      <w:r>
        <w:rPr>
          <w:b/>
          <w:noProof/>
          <w:u w:val="single"/>
        </w:rPr>
        <w:t xml:space="preserve">I.4 </w:t>
      </w:r>
      <w:r>
        <w:rPr>
          <w:noProof/>
        </w:rPr>
        <w:t xml:space="preserve"> </w:t>
      </w:r>
      <w:r>
        <w:rPr>
          <w:b/>
          <w:noProof/>
          <w:u w:val="single"/>
        </w:rPr>
        <w:t xml:space="preserve">Lainamuotoisen tuen seurantaa ja täytäntöönpanoa koskevat välitavoitteet, tavoitteet, indikaattorit ja aikataulu </w:t>
      </w:r>
    </w:p>
    <w:tbl>
      <w:tblPr>
        <w:tblW w:w="53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9"/>
        <w:gridCol w:w="1652"/>
        <w:gridCol w:w="1183"/>
        <w:gridCol w:w="1554"/>
        <w:gridCol w:w="1422"/>
        <w:gridCol w:w="1276"/>
        <w:gridCol w:w="1134"/>
        <w:gridCol w:w="851"/>
        <w:gridCol w:w="935"/>
        <w:gridCol w:w="721"/>
        <w:gridCol w:w="3456"/>
      </w:tblGrid>
      <w:tr w:rsidR="00E42B18" w14:paraId="5BC67E1A" w14:textId="77777777">
        <w:trPr>
          <w:trHeight w:val="939"/>
          <w:tblHeader/>
          <w:jc w:val="center"/>
        </w:trPr>
        <w:tc>
          <w:tcPr>
            <w:tcW w:w="1079" w:type="dxa"/>
            <w:vMerge w:val="restart"/>
            <w:shd w:val="clear" w:color="auto" w:fill="BDD7EE"/>
            <w:vAlign w:val="center"/>
            <w:hideMark/>
          </w:tcPr>
          <w:p w14:paraId="64F87FE4" w14:textId="77777777" w:rsidR="00E42B18" w:rsidRDefault="009629C4">
            <w:pPr>
              <w:pStyle w:val="P68B1DB1-Normal10"/>
              <w:jc w:val="center"/>
              <w:rPr>
                <w:noProof/>
                <w:szCs w:val="20"/>
              </w:rPr>
            </w:pPr>
            <w:r>
              <w:rPr>
                <w:noProof/>
              </w:rPr>
              <w:t>Juokseva numero</w:t>
            </w:r>
          </w:p>
        </w:tc>
        <w:tc>
          <w:tcPr>
            <w:tcW w:w="1652" w:type="dxa"/>
            <w:vMerge w:val="restart"/>
            <w:shd w:val="clear" w:color="auto" w:fill="BDD7EE"/>
            <w:vAlign w:val="center"/>
            <w:hideMark/>
          </w:tcPr>
          <w:p w14:paraId="2C4F28A5" w14:textId="77777777" w:rsidR="00E42B18" w:rsidRDefault="009629C4">
            <w:pPr>
              <w:pStyle w:val="P68B1DB1-Normal10"/>
              <w:jc w:val="center"/>
              <w:rPr>
                <w:noProof/>
                <w:szCs w:val="20"/>
              </w:rPr>
            </w:pPr>
            <w:r>
              <w:rPr>
                <w:noProof/>
              </w:rPr>
              <w:t>Toimenpide (uudistus tai investointi)</w:t>
            </w:r>
          </w:p>
        </w:tc>
        <w:tc>
          <w:tcPr>
            <w:tcW w:w="1183" w:type="dxa"/>
            <w:vMerge w:val="restart"/>
            <w:shd w:val="clear" w:color="auto" w:fill="BDD7EE"/>
            <w:vAlign w:val="center"/>
            <w:hideMark/>
          </w:tcPr>
          <w:p w14:paraId="73D6FB1C" w14:textId="5C5ED20D" w:rsidR="00E42B18" w:rsidRDefault="009629C4">
            <w:pPr>
              <w:pStyle w:val="P68B1DB1-Normal10"/>
              <w:jc w:val="center"/>
              <w:rPr>
                <w:noProof/>
                <w:szCs w:val="20"/>
              </w:rPr>
            </w:pPr>
            <w:r>
              <w:rPr>
                <w:noProof/>
              </w:rPr>
              <w:t>Välitavoite/tavoite</w:t>
            </w:r>
          </w:p>
        </w:tc>
        <w:tc>
          <w:tcPr>
            <w:tcW w:w="1554" w:type="dxa"/>
            <w:vMerge w:val="restart"/>
            <w:shd w:val="clear" w:color="auto" w:fill="BDD7EE"/>
            <w:vAlign w:val="center"/>
            <w:hideMark/>
          </w:tcPr>
          <w:p w14:paraId="196C51B8" w14:textId="77777777" w:rsidR="00E42B18" w:rsidRDefault="009629C4">
            <w:pPr>
              <w:pStyle w:val="P68B1DB1-Normal10"/>
              <w:jc w:val="center"/>
              <w:rPr>
                <w:noProof/>
                <w:szCs w:val="20"/>
              </w:rPr>
            </w:pPr>
            <w:r>
              <w:rPr>
                <w:noProof/>
              </w:rPr>
              <w:t>Nimi</w:t>
            </w:r>
          </w:p>
        </w:tc>
        <w:tc>
          <w:tcPr>
            <w:tcW w:w="1422" w:type="dxa"/>
            <w:vMerge w:val="restart"/>
            <w:shd w:val="clear" w:color="auto" w:fill="BDD7EE"/>
            <w:vAlign w:val="center"/>
            <w:hideMark/>
          </w:tcPr>
          <w:p w14:paraId="6B87ACB9" w14:textId="7777777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261" w:type="dxa"/>
            <w:gridSpan w:val="3"/>
            <w:shd w:val="clear" w:color="auto" w:fill="BDD7EE"/>
            <w:vAlign w:val="center"/>
            <w:hideMark/>
          </w:tcPr>
          <w:p w14:paraId="4EFA2DD7"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656" w:type="dxa"/>
            <w:gridSpan w:val="2"/>
            <w:shd w:val="clear" w:color="auto" w:fill="BDD7EE"/>
            <w:vAlign w:val="center"/>
            <w:hideMark/>
          </w:tcPr>
          <w:p w14:paraId="6EBD7C07" w14:textId="77777777" w:rsidR="00E42B18" w:rsidRDefault="009629C4">
            <w:pPr>
              <w:pStyle w:val="P68B1DB1-Normal10"/>
              <w:jc w:val="center"/>
              <w:rPr>
                <w:noProof/>
                <w:szCs w:val="20"/>
              </w:rPr>
            </w:pPr>
            <w:r>
              <w:rPr>
                <w:noProof/>
              </w:rPr>
              <w:t xml:space="preserve">Alustava toteutusaikataulu </w:t>
            </w:r>
          </w:p>
        </w:tc>
        <w:tc>
          <w:tcPr>
            <w:tcW w:w="3456" w:type="dxa"/>
            <w:vMerge w:val="restart"/>
            <w:shd w:val="clear" w:color="auto" w:fill="BDD7EE"/>
            <w:vAlign w:val="center"/>
            <w:hideMark/>
          </w:tcPr>
          <w:p w14:paraId="764BFA19" w14:textId="77777777" w:rsidR="00E42B18" w:rsidRDefault="009629C4">
            <w:pPr>
              <w:pStyle w:val="P68B1DB1-Normal10"/>
              <w:jc w:val="center"/>
              <w:rPr>
                <w:noProof/>
                <w:szCs w:val="20"/>
              </w:rPr>
            </w:pPr>
            <w:r>
              <w:rPr>
                <w:noProof/>
              </w:rPr>
              <w:t>Kunkin välitavoitteen ja tavoitteen kuvaus</w:t>
            </w:r>
          </w:p>
        </w:tc>
      </w:tr>
      <w:tr w:rsidR="00E42B18" w14:paraId="376CB503" w14:textId="77777777">
        <w:trPr>
          <w:trHeight w:val="1027"/>
          <w:tblHeader/>
          <w:jc w:val="center"/>
        </w:trPr>
        <w:tc>
          <w:tcPr>
            <w:tcW w:w="1079" w:type="dxa"/>
            <w:vMerge/>
            <w:vAlign w:val="center"/>
            <w:hideMark/>
          </w:tcPr>
          <w:p w14:paraId="68E0905F" w14:textId="77777777" w:rsidR="00E42B18" w:rsidRDefault="00E42B18">
            <w:pPr>
              <w:rPr>
                <w:rFonts w:ascii="Arial Narrow" w:hAnsi="Arial Narrow"/>
                <w:b/>
                <w:bCs/>
                <w:noProof/>
                <w:sz w:val="20"/>
                <w:szCs w:val="20"/>
              </w:rPr>
            </w:pPr>
          </w:p>
        </w:tc>
        <w:tc>
          <w:tcPr>
            <w:tcW w:w="1652" w:type="dxa"/>
            <w:vMerge/>
            <w:vAlign w:val="center"/>
            <w:hideMark/>
          </w:tcPr>
          <w:p w14:paraId="0A0F800E" w14:textId="77777777" w:rsidR="00E42B18" w:rsidRDefault="00E42B18">
            <w:pPr>
              <w:rPr>
                <w:rFonts w:ascii="Arial Narrow" w:hAnsi="Arial Narrow"/>
                <w:b/>
                <w:bCs/>
                <w:noProof/>
                <w:sz w:val="20"/>
                <w:szCs w:val="20"/>
              </w:rPr>
            </w:pPr>
          </w:p>
        </w:tc>
        <w:tc>
          <w:tcPr>
            <w:tcW w:w="1183" w:type="dxa"/>
            <w:vMerge/>
            <w:vAlign w:val="center"/>
            <w:hideMark/>
          </w:tcPr>
          <w:p w14:paraId="0FB05003" w14:textId="77777777" w:rsidR="00E42B18" w:rsidRDefault="00E42B18">
            <w:pPr>
              <w:rPr>
                <w:rFonts w:ascii="Arial Narrow" w:hAnsi="Arial Narrow"/>
                <w:b/>
                <w:bCs/>
                <w:noProof/>
                <w:sz w:val="20"/>
                <w:szCs w:val="20"/>
              </w:rPr>
            </w:pPr>
          </w:p>
        </w:tc>
        <w:tc>
          <w:tcPr>
            <w:tcW w:w="1554" w:type="dxa"/>
            <w:vMerge/>
            <w:vAlign w:val="center"/>
            <w:hideMark/>
          </w:tcPr>
          <w:p w14:paraId="79FA3C08" w14:textId="77777777" w:rsidR="00E42B18" w:rsidRDefault="00E42B18">
            <w:pPr>
              <w:rPr>
                <w:rFonts w:ascii="Arial Narrow" w:hAnsi="Arial Narrow"/>
                <w:b/>
                <w:bCs/>
                <w:noProof/>
                <w:sz w:val="20"/>
                <w:szCs w:val="20"/>
              </w:rPr>
            </w:pPr>
          </w:p>
        </w:tc>
        <w:tc>
          <w:tcPr>
            <w:tcW w:w="1422" w:type="dxa"/>
            <w:vMerge/>
            <w:vAlign w:val="center"/>
            <w:hideMark/>
          </w:tcPr>
          <w:p w14:paraId="0FDE00E9" w14:textId="77777777" w:rsidR="00E42B18" w:rsidRDefault="00E42B18">
            <w:pPr>
              <w:rPr>
                <w:rFonts w:ascii="Arial Narrow" w:hAnsi="Arial Narrow"/>
                <w:b/>
                <w:bCs/>
                <w:noProof/>
                <w:sz w:val="20"/>
                <w:szCs w:val="20"/>
              </w:rPr>
            </w:pPr>
          </w:p>
        </w:tc>
        <w:tc>
          <w:tcPr>
            <w:tcW w:w="1276" w:type="dxa"/>
            <w:shd w:val="clear" w:color="auto" w:fill="BDD7EE"/>
            <w:vAlign w:val="center"/>
            <w:hideMark/>
          </w:tcPr>
          <w:p w14:paraId="52D5A3D0" w14:textId="77777777" w:rsidR="00E42B18" w:rsidRDefault="009629C4">
            <w:pPr>
              <w:pStyle w:val="P68B1DB1-Normal10"/>
              <w:jc w:val="center"/>
              <w:rPr>
                <w:noProof/>
                <w:szCs w:val="20"/>
              </w:rPr>
            </w:pPr>
            <w:r>
              <w:rPr>
                <w:noProof/>
              </w:rPr>
              <w:t>Mitta-yksikkö</w:t>
            </w:r>
          </w:p>
        </w:tc>
        <w:tc>
          <w:tcPr>
            <w:tcW w:w="1134" w:type="dxa"/>
            <w:shd w:val="clear" w:color="auto" w:fill="BDD7EE"/>
            <w:vAlign w:val="center"/>
            <w:hideMark/>
          </w:tcPr>
          <w:p w14:paraId="68FA531A" w14:textId="77777777" w:rsidR="00E42B18" w:rsidRDefault="009629C4">
            <w:pPr>
              <w:pStyle w:val="P68B1DB1-Normal10"/>
              <w:jc w:val="center"/>
              <w:rPr>
                <w:noProof/>
                <w:szCs w:val="20"/>
              </w:rPr>
            </w:pPr>
            <w:r>
              <w:rPr>
                <w:noProof/>
              </w:rPr>
              <w:t xml:space="preserve">Lähtötilanne </w:t>
            </w:r>
          </w:p>
        </w:tc>
        <w:tc>
          <w:tcPr>
            <w:tcW w:w="851" w:type="dxa"/>
            <w:shd w:val="clear" w:color="auto" w:fill="BDD7EE"/>
            <w:vAlign w:val="center"/>
            <w:hideMark/>
          </w:tcPr>
          <w:p w14:paraId="665305E7" w14:textId="77777777" w:rsidR="00E42B18" w:rsidRDefault="009629C4">
            <w:pPr>
              <w:pStyle w:val="P68B1DB1-Normal10"/>
              <w:jc w:val="center"/>
              <w:rPr>
                <w:noProof/>
                <w:szCs w:val="20"/>
              </w:rPr>
            </w:pPr>
            <w:r>
              <w:rPr>
                <w:noProof/>
              </w:rPr>
              <w:t xml:space="preserve">Päämäärä </w:t>
            </w:r>
          </w:p>
        </w:tc>
        <w:tc>
          <w:tcPr>
            <w:tcW w:w="935" w:type="dxa"/>
            <w:shd w:val="clear" w:color="auto" w:fill="BDD7EE"/>
            <w:vAlign w:val="center"/>
            <w:hideMark/>
          </w:tcPr>
          <w:p w14:paraId="1A16599E" w14:textId="77777777" w:rsidR="00E42B18" w:rsidRDefault="009629C4">
            <w:pPr>
              <w:pStyle w:val="P68B1DB1-Normal10"/>
              <w:jc w:val="center"/>
              <w:rPr>
                <w:noProof/>
                <w:szCs w:val="20"/>
              </w:rPr>
            </w:pPr>
            <w:r>
              <w:rPr>
                <w:noProof/>
              </w:rPr>
              <w:t>Neljännes</w:t>
            </w:r>
          </w:p>
        </w:tc>
        <w:tc>
          <w:tcPr>
            <w:tcW w:w="721" w:type="dxa"/>
            <w:shd w:val="clear" w:color="auto" w:fill="BDD7EE"/>
            <w:vAlign w:val="center"/>
            <w:hideMark/>
          </w:tcPr>
          <w:p w14:paraId="6678CF0C" w14:textId="77777777" w:rsidR="00E42B18" w:rsidRDefault="009629C4">
            <w:pPr>
              <w:pStyle w:val="P68B1DB1-Normal10"/>
              <w:jc w:val="center"/>
              <w:rPr>
                <w:noProof/>
                <w:szCs w:val="20"/>
              </w:rPr>
            </w:pPr>
            <w:r>
              <w:rPr>
                <w:noProof/>
              </w:rPr>
              <w:t>Vuosi</w:t>
            </w:r>
          </w:p>
        </w:tc>
        <w:tc>
          <w:tcPr>
            <w:tcW w:w="3456" w:type="dxa"/>
            <w:vMerge/>
            <w:vAlign w:val="center"/>
            <w:hideMark/>
          </w:tcPr>
          <w:p w14:paraId="43ABF898" w14:textId="77777777" w:rsidR="00E42B18" w:rsidRDefault="00E42B18">
            <w:pPr>
              <w:rPr>
                <w:rFonts w:ascii="Arial Narrow" w:hAnsi="Arial Narrow"/>
                <w:b/>
                <w:bCs/>
                <w:noProof/>
                <w:sz w:val="20"/>
                <w:szCs w:val="20"/>
              </w:rPr>
            </w:pPr>
          </w:p>
        </w:tc>
      </w:tr>
      <w:tr w:rsidR="00E42B18" w14:paraId="28F5039F" w14:textId="77777777">
        <w:trPr>
          <w:trHeight w:val="313"/>
          <w:jc w:val="center"/>
        </w:trPr>
        <w:tc>
          <w:tcPr>
            <w:tcW w:w="1079" w:type="dxa"/>
            <w:shd w:val="clear" w:color="auto" w:fill="C6EFCE"/>
            <w:noWrap/>
            <w:vAlign w:val="center"/>
          </w:tcPr>
          <w:p w14:paraId="60690D1A" w14:textId="77777777" w:rsidR="00E42B18" w:rsidRDefault="009629C4">
            <w:pPr>
              <w:pStyle w:val="P68B1DB1-Normal11"/>
              <w:jc w:val="center"/>
              <w:rPr>
                <w:noProof/>
                <w:szCs w:val="20"/>
              </w:rPr>
            </w:pPr>
            <w:r>
              <w:rPr>
                <w:noProof/>
              </w:rPr>
              <w:t>M3C2–8</w:t>
            </w:r>
          </w:p>
        </w:tc>
        <w:tc>
          <w:tcPr>
            <w:tcW w:w="1652" w:type="dxa"/>
            <w:shd w:val="clear" w:color="auto" w:fill="C6EFCE"/>
            <w:noWrap/>
            <w:vAlign w:val="center"/>
          </w:tcPr>
          <w:p w14:paraId="3928968E" w14:textId="77777777" w:rsidR="00E42B18" w:rsidRDefault="009629C4">
            <w:pPr>
              <w:pStyle w:val="P68B1DB1-Normal11"/>
              <w:jc w:val="center"/>
              <w:rPr>
                <w:noProof/>
                <w:szCs w:val="20"/>
              </w:rPr>
            </w:pPr>
            <w:r>
              <w:rPr>
                <w:noProof/>
              </w:rPr>
              <w:t>Investointi 1.1: Vihreät satamat: uusiutuvaa energiaa ja energiatehokkuutta koskevat toimet satamissa</w:t>
            </w:r>
          </w:p>
        </w:tc>
        <w:tc>
          <w:tcPr>
            <w:tcW w:w="1183" w:type="dxa"/>
            <w:shd w:val="clear" w:color="auto" w:fill="C6EFCE"/>
            <w:noWrap/>
            <w:vAlign w:val="center"/>
          </w:tcPr>
          <w:p w14:paraId="6524A5F1" w14:textId="77777777" w:rsidR="00E42B18" w:rsidRDefault="009629C4">
            <w:pPr>
              <w:pStyle w:val="P68B1DB1-Normal11"/>
              <w:jc w:val="center"/>
              <w:rPr>
                <w:noProof/>
                <w:szCs w:val="20"/>
              </w:rPr>
            </w:pPr>
            <w:r>
              <w:rPr>
                <w:noProof/>
              </w:rPr>
              <w:t>Kohde</w:t>
            </w:r>
          </w:p>
        </w:tc>
        <w:tc>
          <w:tcPr>
            <w:tcW w:w="1554" w:type="dxa"/>
            <w:shd w:val="clear" w:color="auto" w:fill="C6EFCE"/>
            <w:noWrap/>
            <w:vAlign w:val="center"/>
          </w:tcPr>
          <w:p w14:paraId="49FEFF05" w14:textId="77777777" w:rsidR="00E42B18" w:rsidRDefault="009629C4">
            <w:pPr>
              <w:pStyle w:val="P68B1DB1-Normal11"/>
              <w:jc w:val="center"/>
              <w:rPr>
                <w:noProof/>
                <w:szCs w:val="20"/>
              </w:rPr>
            </w:pPr>
            <w:r>
              <w:rPr>
                <w:noProof/>
              </w:rPr>
              <w:t>Vihreät satamat: rakennusurakoiden luovutus</w:t>
            </w:r>
          </w:p>
        </w:tc>
        <w:tc>
          <w:tcPr>
            <w:tcW w:w="1422" w:type="dxa"/>
            <w:shd w:val="clear" w:color="auto" w:fill="C6EFCE"/>
            <w:noWrap/>
            <w:vAlign w:val="center"/>
          </w:tcPr>
          <w:p w14:paraId="568A2EF1" w14:textId="77777777" w:rsidR="00E42B18" w:rsidRDefault="009629C4">
            <w:pPr>
              <w:pStyle w:val="P68B1DB1-Normal11"/>
              <w:jc w:val="center"/>
              <w:rPr>
                <w:noProof/>
                <w:szCs w:val="20"/>
              </w:rPr>
            </w:pPr>
            <w:r>
              <w:rPr>
                <w:noProof/>
              </w:rPr>
              <w:t>EI OLE</w:t>
            </w:r>
          </w:p>
        </w:tc>
        <w:tc>
          <w:tcPr>
            <w:tcW w:w="1276" w:type="dxa"/>
            <w:shd w:val="clear" w:color="auto" w:fill="C6EFCE"/>
            <w:noWrap/>
            <w:vAlign w:val="center"/>
          </w:tcPr>
          <w:p w14:paraId="0E37C260" w14:textId="77777777" w:rsidR="00E42B18" w:rsidRDefault="009629C4">
            <w:pPr>
              <w:pStyle w:val="P68B1DB1-Normal11"/>
              <w:jc w:val="center"/>
              <w:rPr>
                <w:noProof/>
                <w:szCs w:val="20"/>
              </w:rPr>
            </w:pPr>
            <w:r>
              <w:rPr>
                <w:noProof/>
              </w:rPr>
              <w:t>Numero</w:t>
            </w:r>
          </w:p>
        </w:tc>
        <w:tc>
          <w:tcPr>
            <w:tcW w:w="1134" w:type="dxa"/>
            <w:shd w:val="clear" w:color="auto" w:fill="C6EFCE"/>
            <w:noWrap/>
            <w:vAlign w:val="center"/>
          </w:tcPr>
          <w:p w14:paraId="0C2882CB" w14:textId="77777777" w:rsidR="00E42B18" w:rsidRDefault="009629C4">
            <w:pPr>
              <w:pStyle w:val="P68B1DB1-Normal11"/>
              <w:jc w:val="center"/>
              <w:rPr>
                <w:noProof/>
                <w:szCs w:val="20"/>
              </w:rPr>
            </w:pPr>
            <w:r>
              <w:rPr>
                <w:noProof/>
              </w:rPr>
              <w:t>0</w:t>
            </w:r>
          </w:p>
        </w:tc>
        <w:tc>
          <w:tcPr>
            <w:tcW w:w="851" w:type="dxa"/>
            <w:shd w:val="clear" w:color="auto" w:fill="C6EFCE"/>
            <w:noWrap/>
            <w:vAlign w:val="center"/>
          </w:tcPr>
          <w:p w14:paraId="092E55C7" w14:textId="77777777" w:rsidR="00E42B18" w:rsidRDefault="009629C4">
            <w:pPr>
              <w:pStyle w:val="P68B1DB1-Normal11"/>
              <w:jc w:val="center"/>
              <w:rPr>
                <w:noProof/>
                <w:szCs w:val="20"/>
              </w:rPr>
            </w:pPr>
            <w:r>
              <w:rPr>
                <w:noProof/>
              </w:rPr>
              <w:t>7</w:t>
            </w:r>
          </w:p>
        </w:tc>
        <w:tc>
          <w:tcPr>
            <w:tcW w:w="935" w:type="dxa"/>
            <w:shd w:val="clear" w:color="auto" w:fill="C6EFCE"/>
            <w:noWrap/>
            <w:vAlign w:val="center"/>
          </w:tcPr>
          <w:p w14:paraId="519D7754" w14:textId="77777777" w:rsidR="00E42B18" w:rsidRDefault="009629C4">
            <w:pPr>
              <w:pStyle w:val="P68B1DB1-Normal11"/>
              <w:jc w:val="center"/>
              <w:rPr>
                <w:noProof/>
                <w:szCs w:val="20"/>
              </w:rPr>
            </w:pPr>
            <w:r>
              <w:rPr>
                <w:noProof/>
              </w:rPr>
              <w:t>Q4</w:t>
            </w:r>
          </w:p>
        </w:tc>
        <w:tc>
          <w:tcPr>
            <w:tcW w:w="721" w:type="dxa"/>
            <w:shd w:val="clear" w:color="auto" w:fill="C6EFCE"/>
            <w:noWrap/>
            <w:vAlign w:val="center"/>
          </w:tcPr>
          <w:p w14:paraId="20F7A8A9" w14:textId="77777777" w:rsidR="00E42B18" w:rsidRDefault="009629C4">
            <w:pPr>
              <w:pStyle w:val="P68B1DB1-Normal11"/>
              <w:jc w:val="center"/>
              <w:rPr>
                <w:noProof/>
                <w:szCs w:val="20"/>
              </w:rPr>
            </w:pPr>
            <w:r>
              <w:rPr>
                <w:noProof/>
              </w:rPr>
              <w:t>2022</w:t>
            </w:r>
          </w:p>
        </w:tc>
        <w:tc>
          <w:tcPr>
            <w:tcW w:w="3456" w:type="dxa"/>
            <w:shd w:val="clear" w:color="auto" w:fill="C6EFCE"/>
            <w:noWrap/>
            <w:vAlign w:val="center"/>
          </w:tcPr>
          <w:p w14:paraId="580E1863" w14:textId="77777777" w:rsidR="00E42B18" w:rsidRDefault="009629C4">
            <w:pPr>
              <w:pStyle w:val="P68B1DB1-Normal11"/>
              <w:jc w:val="both"/>
              <w:rPr>
                <w:noProof/>
                <w:szCs w:val="20"/>
              </w:rPr>
            </w:pPr>
            <w:r>
              <w:rPr>
                <w:noProof/>
              </w:rPr>
              <w:t xml:space="preserve">Töiden osoittaminen vähintään seitsemälle satamajärjestelmäviranomaiselle. Urakoiden osoittamista koskevaan valintamenettelyyn on sisällyttävä seuraavat: </w:t>
            </w:r>
          </w:p>
          <w:p w14:paraId="2FCA6243" w14:textId="77777777" w:rsidR="00E42B18" w:rsidRDefault="009629C4">
            <w:pPr>
              <w:pStyle w:val="P68B1DB1-Normal11"/>
              <w:jc w:val="both"/>
              <w:rPr>
                <w:noProof/>
                <w:szCs w:val="20"/>
              </w:rPr>
            </w:pPr>
            <w:r>
              <w:rPr>
                <w:noProof/>
              </w:rPr>
              <w:t>tukikelpoisuuskriteerit, joilla varmistetaan, että työt ovat ”ei merkittävää haittaa” -periaatetta koskevien teknisten ohjeiden (2021/C58/01) sekä asiaa koskevan EU:n ja kansallisen ympäristölainsäädännön mukaisia.</w:t>
            </w:r>
          </w:p>
          <w:p w14:paraId="02286515" w14:textId="77777777" w:rsidR="00E42B18" w:rsidRDefault="009629C4">
            <w:pPr>
              <w:pStyle w:val="P68B1DB1-Normal11"/>
              <w:jc w:val="both"/>
              <w:rPr>
                <w:noProof/>
                <w:szCs w:val="20"/>
              </w:rPr>
            </w:pPr>
            <w:r>
              <w:rPr>
                <w:noProof/>
              </w:rPr>
              <w:t>b) Sitoumus siitä, että asetuksen (EU) 2021/241 liitteessä VI esitetyn menetelmän mukainen investoinnin ilmastorahoitusosuus on vähintään 79 prosenttia elpymis- ja palautumistukivälineestä tuetun investoinnin kokonaiskustannuksista.</w:t>
            </w:r>
          </w:p>
          <w:p w14:paraId="62BA87B5" w14:textId="77777777" w:rsidR="00E42B18" w:rsidRDefault="009629C4">
            <w:pPr>
              <w:pStyle w:val="P68B1DB1-Normal11"/>
              <w:jc w:val="both"/>
              <w:rPr>
                <w:noProof/>
                <w:szCs w:val="20"/>
              </w:rPr>
            </w:pPr>
            <w:r>
              <w:rPr>
                <w:noProof/>
              </w:rPr>
              <w:t>sitoumus raportoida toimenpiteen täytäntöönpanosta järjestelmän elinkaaren puolivälissä ja ohjelman päättyessä.</w:t>
            </w:r>
          </w:p>
        </w:tc>
      </w:tr>
      <w:tr w:rsidR="00E42B18" w14:paraId="28316CBC" w14:textId="77777777">
        <w:trPr>
          <w:trHeight w:val="313"/>
          <w:jc w:val="center"/>
        </w:trPr>
        <w:tc>
          <w:tcPr>
            <w:tcW w:w="1079" w:type="dxa"/>
            <w:shd w:val="clear" w:color="auto" w:fill="C6EFCE"/>
            <w:noWrap/>
            <w:vAlign w:val="center"/>
          </w:tcPr>
          <w:p w14:paraId="5A98C593" w14:textId="77777777" w:rsidR="00E42B18" w:rsidRDefault="009629C4">
            <w:pPr>
              <w:pStyle w:val="P68B1DB1-Normal11"/>
              <w:jc w:val="center"/>
              <w:rPr>
                <w:noProof/>
                <w:szCs w:val="20"/>
              </w:rPr>
            </w:pPr>
            <w:r>
              <w:rPr>
                <w:noProof/>
              </w:rPr>
              <w:t>M3C2–9 </w:t>
            </w:r>
          </w:p>
        </w:tc>
        <w:tc>
          <w:tcPr>
            <w:tcW w:w="1652" w:type="dxa"/>
            <w:shd w:val="clear" w:color="auto" w:fill="C6EFCE"/>
            <w:noWrap/>
            <w:vAlign w:val="center"/>
          </w:tcPr>
          <w:p w14:paraId="31E077F0" w14:textId="77777777" w:rsidR="00E42B18" w:rsidRDefault="009629C4">
            <w:pPr>
              <w:pStyle w:val="P68B1DB1-Normal11"/>
              <w:jc w:val="center"/>
              <w:rPr>
                <w:noProof/>
                <w:szCs w:val="20"/>
              </w:rPr>
            </w:pPr>
            <w:r>
              <w:rPr>
                <w:noProof/>
              </w:rPr>
              <w:t>Investointi 1.1: Vihreät satamat: uusiutuvaa energiaa ja energiatehokkuutta koskevat toimet satamissa </w:t>
            </w:r>
          </w:p>
        </w:tc>
        <w:tc>
          <w:tcPr>
            <w:tcW w:w="1183" w:type="dxa"/>
            <w:shd w:val="clear" w:color="auto" w:fill="C6EFCE"/>
            <w:noWrap/>
            <w:vAlign w:val="center"/>
          </w:tcPr>
          <w:p w14:paraId="0B65FC5F" w14:textId="0430E95B" w:rsidR="00E42B18" w:rsidRDefault="009629C4">
            <w:pPr>
              <w:pStyle w:val="P68B1DB1-Normal11"/>
              <w:jc w:val="center"/>
              <w:rPr>
                <w:noProof/>
                <w:szCs w:val="20"/>
              </w:rPr>
            </w:pPr>
            <w:r>
              <w:rPr>
                <w:noProof/>
              </w:rPr>
              <w:t>Kohde</w:t>
            </w:r>
          </w:p>
        </w:tc>
        <w:tc>
          <w:tcPr>
            <w:tcW w:w="1554" w:type="dxa"/>
            <w:shd w:val="clear" w:color="auto" w:fill="C6EFCE"/>
            <w:noWrap/>
            <w:vAlign w:val="center"/>
          </w:tcPr>
          <w:p w14:paraId="628F753E" w14:textId="77777777" w:rsidR="00E42B18" w:rsidRDefault="009629C4">
            <w:pPr>
              <w:pStyle w:val="P68B1DB1-Normal11"/>
              <w:jc w:val="center"/>
              <w:rPr>
                <w:noProof/>
                <w:szCs w:val="20"/>
              </w:rPr>
            </w:pPr>
            <w:r>
              <w:rPr>
                <w:noProof/>
              </w:rPr>
              <w:t xml:space="preserve">Vihreät satamat: töiden loppuun saattaminen </w:t>
            </w:r>
          </w:p>
        </w:tc>
        <w:tc>
          <w:tcPr>
            <w:tcW w:w="1422" w:type="dxa"/>
            <w:shd w:val="clear" w:color="auto" w:fill="C6EFCE"/>
            <w:noWrap/>
            <w:vAlign w:val="center"/>
          </w:tcPr>
          <w:p w14:paraId="3491B639" w14:textId="77777777" w:rsidR="00E42B18" w:rsidRDefault="009629C4">
            <w:pPr>
              <w:pStyle w:val="P68B1DB1-Normal11"/>
              <w:jc w:val="center"/>
              <w:rPr>
                <w:noProof/>
                <w:szCs w:val="20"/>
              </w:rPr>
            </w:pPr>
            <w:r>
              <w:rPr>
                <w:noProof/>
              </w:rPr>
              <w:t>EI OLE</w:t>
            </w:r>
          </w:p>
        </w:tc>
        <w:tc>
          <w:tcPr>
            <w:tcW w:w="1276" w:type="dxa"/>
            <w:shd w:val="clear" w:color="auto" w:fill="C6EFCE"/>
            <w:noWrap/>
            <w:vAlign w:val="center"/>
          </w:tcPr>
          <w:p w14:paraId="5508755C" w14:textId="77777777" w:rsidR="00E42B18" w:rsidRDefault="009629C4">
            <w:pPr>
              <w:pStyle w:val="P68B1DB1-Normal11"/>
              <w:jc w:val="center"/>
              <w:rPr>
                <w:noProof/>
                <w:szCs w:val="20"/>
              </w:rPr>
            </w:pPr>
            <w:r>
              <w:rPr>
                <w:noProof/>
              </w:rPr>
              <w:t>Numero</w:t>
            </w:r>
          </w:p>
        </w:tc>
        <w:tc>
          <w:tcPr>
            <w:tcW w:w="1134" w:type="dxa"/>
            <w:shd w:val="clear" w:color="auto" w:fill="C6EFCE"/>
            <w:noWrap/>
            <w:vAlign w:val="center"/>
          </w:tcPr>
          <w:p w14:paraId="408B1D4B" w14:textId="77777777" w:rsidR="00E42B18" w:rsidRDefault="009629C4">
            <w:pPr>
              <w:pStyle w:val="P68B1DB1-Normal11"/>
              <w:jc w:val="center"/>
              <w:rPr>
                <w:noProof/>
                <w:szCs w:val="20"/>
              </w:rPr>
            </w:pPr>
            <w:r>
              <w:rPr>
                <w:noProof/>
              </w:rPr>
              <w:t>0</w:t>
            </w:r>
          </w:p>
        </w:tc>
        <w:tc>
          <w:tcPr>
            <w:tcW w:w="851" w:type="dxa"/>
            <w:shd w:val="clear" w:color="auto" w:fill="C6EFCE"/>
            <w:noWrap/>
            <w:vAlign w:val="center"/>
          </w:tcPr>
          <w:p w14:paraId="33EF9C0A" w14:textId="77777777" w:rsidR="00E42B18" w:rsidRDefault="009629C4">
            <w:pPr>
              <w:pStyle w:val="P68B1DB1-Normal11"/>
              <w:jc w:val="center"/>
              <w:rPr>
                <w:noProof/>
                <w:szCs w:val="20"/>
              </w:rPr>
            </w:pPr>
            <w:r>
              <w:rPr>
                <w:noProof/>
              </w:rPr>
              <w:t>75</w:t>
            </w:r>
          </w:p>
        </w:tc>
        <w:tc>
          <w:tcPr>
            <w:tcW w:w="935" w:type="dxa"/>
            <w:shd w:val="clear" w:color="auto" w:fill="C6EFCE"/>
            <w:noWrap/>
            <w:vAlign w:val="center"/>
          </w:tcPr>
          <w:p w14:paraId="0A4204A7" w14:textId="77777777" w:rsidR="00E42B18" w:rsidRDefault="009629C4">
            <w:pPr>
              <w:pStyle w:val="P68B1DB1-Normal11"/>
              <w:jc w:val="center"/>
              <w:rPr>
                <w:noProof/>
                <w:szCs w:val="20"/>
              </w:rPr>
            </w:pPr>
            <w:r>
              <w:rPr>
                <w:noProof/>
              </w:rPr>
              <w:t>Q2 </w:t>
            </w:r>
          </w:p>
        </w:tc>
        <w:tc>
          <w:tcPr>
            <w:tcW w:w="721" w:type="dxa"/>
            <w:shd w:val="clear" w:color="auto" w:fill="C6EFCE"/>
            <w:noWrap/>
            <w:vAlign w:val="center"/>
          </w:tcPr>
          <w:p w14:paraId="21B9260E" w14:textId="77777777" w:rsidR="00E42B18" w:rsidRDefault="009629C4">
            <w:pPr>
              <w:pStyle w:val="P68B1DB1-Normal11"/>
              <w:jc w:val="center"/>
              <w:rPr>
                <w:noProof/>
                <w:szCs w:val="20"/>
              </w:rPr>
            </w:pPr>
            <w:r>
              <w:rPr>
                <w:noProof/>
              </w:rPr>
              <w:t>2026 </w:t>
            </w:r>
          </w:p>
        </w:tc>
        <w:tc>
          <w:tcPr>
            <w:tcW w:w="3456" w:type="dxa"/>
            <w:shd w:val="clear" w:color="auto" w:fill="C6EFCE"/>
            <w:noWrap/>
            <w:vAlign w:val="center"/>
          </w:tcPr>
          <w:p w14:paraId="56F5A114" w14:textId="3A223E34" w:rsidR="00E42B18" w:rsidRDefault="009629C4">
            <w:pPr>
              <w:pStyle w:val="P68B1DB1-Normal12"/>
              <w:jc w:val="both"/>
              <w:rPr>
                <w:noProof/>
              </w:rPr>
            </w:pPr>
            <w:r>
              <w:rPr>
                <w:noProof/>
              </w:rPr>
              <w:t>Vähintään 75:een satamaviranomaisten hankkeeseen liittyvien tavaroiden, urakoiden ja palvelujen toimittaminen.</w:t>
            </w:r>
          </w:p>
        </w:tc>
      </w:tr>
      <w:tr w:rsidR="00E42B18" w14:paraId="13A940EF" w14:textId="77777777">
        <w:trPr>
          <w:trHeight w:val="313"/>
          <w:jc w:val="center"/>
        </w:trPr>
        <w:tc>
          <w:tcPr>
            <w:tcW w:w="1079" w:type="dxa"/>
            <w:shd w:val="clear" w:color="auto" w:fill="C6EFCE"/>
            <w:noWrap/>
            <w:vAlign w:val="center"/>
          </w:tcPr>
          <w:p w14:paraId="0B25346D" w14:textId="77777777" w:rsidR="00E42B18" w:rsidRDefault="009629C4">
            <w:pPr>
              <w:pStyle w:val="P68B1DB1-Normal11"/>
              <w:jc w:val="center"/>
              <w:rPr>
                <w:noProof/>
                <w:szCs w:val="20"/>
              </w:rPr>
            </w:pPr>
            <w:r>
              <w:rPr>
                <w:noProof/>
              </w:rPr>
              <w:t>M3C2–10</w:t>
            </w:r>
          </w:p>
        </w:tc>
        <w:tc>
          <w:tcPr>
            <w:tcW w:w="1652" w:type="dxa"/>
            <w:shd w:val="clear" w:color="auto" w:fill="C6EFCE"/>
            <w:noWrap/>
            <w:vAlign w:val="center"/>
          </w:tcPr>
          <w:p w14:paraId="2D59020E" w14:textId="4EB9263C" w:rsidR="00E42B18" w:rsidRDefault="009629C4">
            <w:pPr>
              <w:pStyle w:val="P68B1DB1-Normal11"/>
              <w:jc w:val="center"/>
              <w:rPr>
                <w:noProof/>
                <w:szCs w:val="20"/>
              </w:rPr>
            </w:pPr>
            <w:r>
              <w:rPr>
                <w:noProof/>
              </w:rPr>
              <w:t>Uudistus 2.2: Kansallisen digitaalisen logistiikan alustan perustaminen tavara- ja/tai matkustajapalvelujen digitalisoinnin toteuttamiseksi</w:t>
            </w:r>
          </w:p>
        </w:tc>
        <w:tc>
          <w:tcPr>
            <w:tcW w:w="1183" w:type="dxa"/>
            <w:shd w:val="clear" w:color="auto" w:fill="C6EFCE"/>
            <w:noWrap/>
            <w:vAlign w:val="center"/>
          </w:tcPr>
          <w:p w14:paraId="4AB09F5D" w14:textId="77777777" w:rsidR="00E42B18" w:rsidRDefault="009629C4">
            <w:pPr>
              <w:pStyle w:val="P68B1DB1-Normal11"/>
              <w:jc w:val="center"/>
              <w:rPr>
                <w:noProof/>
                <w:szCs w:val="20"/>
              </w:rPr>
            </w:pPr>
            <w:r>
              <w:rPr>
                <w:noProof/>
              </w:rPr>
              <w:t>Virstanpylväs</w:t>
            </w:r>
          </w:p>
        </w:tc>
        <w:tc>
          <w:tcPr>
            <w:tcW w:w="1554" w:type="dxa"/>
            <w:shd w:val="clear" w:color="auto" w:fill="C6EFCE"/>
            <w:noWrap/>
            <w:vAlign w:val="center"/>
          </w:tcPr>
          <w:p w14:paraId="74DE892D" w14:textId="77777777" w:rsidR="00E42B18" w:rsidRDefault="009629C4">
            <w:pPr>
              <w:pStyle w:val="P68B1DB1-Normal11"/>
              <w:jc w:val="center"/>
              <w:rPr>
                <w:noProof/>
                <w:szCs w:val="20"/>
              </w:rPr>
            </w:pPr>
            <w:r>
              <w:rPr>
                <w:noProof/>
              </w:rPr>
              <w:t xml:space="preserve">Kansallinen digitaalisen logistiikan alusta </w:t>
            </w:r>
          </w:p>
        </w:tc>
        <w:tc>
          <w:tcPr>
            <w:tcW w:w="1422" w:type="dxa"/>
            <w:shd w:val="clear" w:color="auto" w:fill="C6EFCE"/>
            <w:noWrap/>
            <w:vAlign w:val="center"/>
          </w:tcPr>
          <w:p w14:paraId="18416DC0" w14:textId="2FFCA15E" w:rsidR="00E42B18" w:rsidRDefault="009629C4">
            <w:pPr>
              <w:pStyle w:val="P68B1DB1-Normal11"/>
              <w:jc w:val="center"/>
              <w:rPr>
                <w:noProof/>
                <w:szCs w:val="20"/>
              </w:rPr>
            </w:pPr>
            <w:r>
              <w:rPr>
                <w:noProof/>
              </w:rPr>
              <w:t xml:space="preserve">Säädöksen säännös, josta käy ilmi säädöksen voimaantulo  </w:t>
            </w:r>
          </w:p>
        </w:tc>
        <w:tc>
          <w:tcPr>
            <w:tcW w:w="1276" w:type="dxa"/>
            <w:shd w:val="clear" w:color="auto" w:fill="C6EFCE"/>
            <w:noWrap/>
            <w:vAlign w:val="center"/>
          </w:tcPr>
          <w:p w14:paraId="211C0F88"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4C8C9166" w14:textId="77777777" w:rsidR="00E42B18" w:rsidRDefault="009629C4">
            <w:pPr>
              <w:pStyle w:val="P68B1DB1-Normal11"/>
              <w:jc w:val="center"/>
              <w:rPr>
                <w:noProof/>
                <w:szCs w:val="20"/>
              </w:rPr>
            </w:pPr>
            <w:r>
              <w:rPr>
                <w:noProof/>
              </w:rPr>
              <w:t>EI OLE</w:t>
            </w:r>
          </w:p>
        </w:tc>
        <w:tc>
          <w:tcPr>
            <w:tcW w:w="851" w:type="dxa"/>
            <w:shd w:val="clear" w:color="auto" w:fill="C6EFCE"/>
            <w:noWrap/>
            <w:vAlign w:val="center"/>
          </w:tcPr>
          <w:p w14:paraId="47B2CA59" w14:textId="77777777" w:rsidR="00E42B18" w:rsidRDefault="009629C4">
            <w:pPr>
              <w:pStyle w:val="P68B1DB1-Normal11"/>
              <w:jc w:val="center"/>
              <w:rPr>
                <w:noProof/>
                <w:szCs w:val="20"/>
              </w:rPr>
            </w:pPr>
            <w:r>
              <w:rPr>
                <w:noProof/>
              </w:rPr>
              <w:t>EI OLE</w:t>
            </w:r>
          </w:p>
        </w:tc>
        <w:tc>
          <w:tcPr>
            <w:tcW w:w="935" w:type="dxa"/>
            <w:shd w:val="clear" w:color="auto" w:fill="C6EFCE"/>
            <w:noWrap/>
            <w:vAlign w:val="center"/>
          </w:tcPr>
          <w:p w14:paraId="31099F6F" w14:textId="77777777" w:rsidR="00E42B18" w:rsidRDefault="009629C4">
            <w:pPr>
              <w:pStyle w:val="P68B1DB1-Normal11"/>
              <w:jc w:val="center"/>
              <w:rPr>
                <w:noProof/>
                <w:szCs w:val="20"/>
              </w:rPr>
            </w:pPr>
            <w:r>
              <w:rPr>
                <w:noProof/>
              </w:rPr>
              <w:t>Q2</w:t>
            </w:r>
          </w:p>
        </w:tc>
        <w:tc>
          <w:tcPr>
            <w:tcW w:w="721" w:type="dxa"/>
            <w:shd w:val="clear" w:color="auto" w:fill="C6EFCE"/>
            <w:noWrap/>
            <w:vAlign w:val="center"/>
          </w:tcPr>
          <w:p w14:paraId="59363CC4" w14:textId="77777777" w:rsidR="00E42B18" w:rsidRDefault="009629C4">
            <w:pPr>
              <w:pStyle w:val="P68B1DB1-Normal11"/>
              <w:jc w:val="center"/>
              <w:rPr>
                <w:noProof/>
                <w:szCs w:val="20"/>
              </w:rPr>
            </w:pPr>
            <w:r>
              <w:rPr>
                <w:noProof/>
              </w:rPr>
              <w:t>2024</w:t>
            </w:r>
          </w:p>
        </w:tc>
        <w:tc>
          <w:tcPr>
            <w:tcW w:w="3456" w:type="dxa"/>
            <w:shd w:val="clear" w:color="auto" w:fill="C6EFCE"/>
            <w:noWrap/>
            <w:vAlign w:val="center"/>
          </w:tcPr>
          <w:p w14:paraId="10C60412" w14:textId="77777777" w:rsidR="00E42B18" w:rsidRDefault="009629C4">
            <w:pPr>
              <w:pStyle w:val="P68B1DB1-Normal11"/>
              <w:jc w:val="both"/>
              <w:rPr>
                <w:noProof/>
                <w:szCs w:val="20"/>
              </w:rPr>
            </w:pPr>
            <w:r>
              <w:rPr>
                <w:noProof/>
              </w:rPr>
              <w:t>Sellaisen säädöksen voimaantulo, jolla varmistetaan satamayhteisöjärjestelmien yhteentoimivuus kansallisen digitaalisen logistiikan alustan kanssa.</w:t>
            </w:r>
          </w:p>
          <w:p w14:paraId="1796EA5A" w14:textId="77777777" w:rsidR="00E42B18" w:rsidRDefault="009629C4">
            <w:pPr>
              <w:pStyle w:val="P68B1DB1-Normal11"/>
              <w:jc w:val="both"/>
              <w:rPr>
                <w:noProof/>
                <w:szCs w:val="20"/>
              </w:rPr>
            </w:pPr>
            <w:r>
              <w:rPr>
                <w:noProof/>
              </w:rPr>
              <w:t>Lisäksi säädöksessä on säädettävä, että satamajärjestelmästä vastaavat viranomaiset varustetaan PCS:n vakiopalveluilla (satamayhteisöjärjestelmä), jotka ovat yhteentoimivia asianomaisten julkishallintojen kanssa ja yhteensopivia EU:n asetuksen (EU) N:o 1056/2020 ja kansallisen digitaalisen logistiikan alustan kanssa.</w:t>
            </w:r>
          </w:p>
        </w:tc>
      </w:tr>
    </w:tbl>
    <w:p w14:paraId="60D0AB25" w14:textId="77777777" w:rsidR="00E42B18" w:rsidRDefault="00E42B18">
      <w:pPr>
        <w:rPr>
          <w:noProof/>
        </w:rPr>
        <w:sectPr w:rsidR="00E42B18" w:rsidSect="00564077">
          <w:headerReference w:type="even" r:id="rId170"/>
          <w:headerReference w:type="default" r:id="rId171"/>
          <w:footerReference w:type="even" r:id="rId172"/>
          <w:footerReference w:type="default" r:id="rId173"/>
          <w:headerReference w:type="first" r:id="rId174"/>
          <w:footerReference w:type="first" r:id="rId175"/>
          <w:pgSz w:w="16838" w:h="11906" w:orient="landscape"/>
          <w:pgMar w:top="1440" w:right="1440" w:bottom="1440" w:left="1440" w:header="708" w:footer="708" w:gutter="0"/>
          <w:cols w:space="708"/>
          <w:docGrid w:linePitch="360"/>
        </w:sectPr>
      </w:pPr>
    </w:p>
    <w:p w14:paraId="4B10191D" w14:textId="77777777" w:rsidR="00E42B18" w:rsidRDefault="009629C4">
      <w:pPr>
        <w:pStyle w:val="P68B1DB1-Heading291"/>
        <w:rPr>
          <w:rFonts w:ascii="Times New Roman" w:hAnsi="Times New Roman" w:cs="Times New Roman"/>
          <w:noProof/>
        </w:rPr>
      </w:pPr>
      <w:r>
        <w:rPr>
          <w:rFonts w:ascii="Times New Roman" w:eastAsia="Times New Roman" w:hAnsi="Times New Roman" w:cs="Times New Roman"/>
          <w:b/>
          <w:noProof/>
          <w:color w:val="auto"/>
        </w:rPr>
        <w:t>J. MISSION 4 KOMPONENTTI 1: Koulutuspalvelujen tarjonnan vahvistaminen: päiväkodeista yliopistoihin</w:t>
      </w:r>
      <w:r>
        <w:rPr>
          <w:rFonts w:ascii="Times New Roman" w:hAnsi="Times New Roman" w:cs="Times New Roman"/>
          <w:noProof/>
        </w:rPr>
        <w:t xml:space="preserve"> </w:t>
      </w:r>
    </w:p>
    <w:p w14:paraId="43A053AA" w14:textId="77777777" w:rsidR="00E42B18" w:rsidRDefault="009629C4">
      <w:pPr>
        <w:pStyle w:val="P68B1DB1-Normal7"/>
        <w:spacing w:before="120" w:after="120"/>
        <w:jc w:val="both"/>
        <w:rPr>
          <w:noProof/>
        </w:rPr>
      </w:pPr>
      <w:r>
        <w:rPr>
          <w:noProof/>
        </w:rPr>
        <w:t>Tämä Italian elpymis- ja palautumissuunnitelman osa-alue sisältää neljä toiminta-alaa: I) Koulutuspalvelujen laadun parantaminen ja määrällinen laajentaminen päiväkodeista yliopistoihin; II) opettajan ammatin uudistaminen erityisesti rekrytointi- ja koulutusprosessien osalta siten, että lisätään opetushenkilöstön taitoja ja puututaan alueelliseen kohtaanto-ongelmaan; III) Infrastruktuurin parantaminen ja parantaminen digitaalisen, luonnontieteiden, teknologian, insinööritieteiden ja matematiikan (STEM) ja monikielisyyden edistämiseksi koulurakennusten turvallisuuden ja energiatehokkuuden parantamiseksi; tutkintoryhmien uudistaminen, mahdollistavat tutkinnot ja tohtorintutkinto-ohjelmat soveltavan tutkimuksen vauhdittamiseksi ja tohtorintutkinnon apurahojen määrän lisäämiseksi. Tämän osa-alueen toimenpiteillä pyritään puuttumaan Italian koulutus- ja tutkimusjärjestelmän heikkouksiin, jotta voidaan parantaa italialaisten opiskelijoiden koulutustuloksia ja työllistettävyyttä. Tämän osa-alueen investoinneilla ja uudistuksilla on edistettävä Italialle vuosina 2020 ja 2019 annettujen maakohtaisten suositusten noudattamista tarpeesta tukea naisten osallistumista työmarkkinoille kattavan strategian avulla, myös laadukkaan lastenhoidon saatavuuden avulla (maakohtainen suositus 2, 2019), jotta voidaan parantaa koulutustuloksia, myös riittävillä ja kohdennetuilla investoinneilla ja edistämällä taitojen parantamista, myös vahvistamalla digitaalisia taitoja (maakohtainen suositus 2, 2019), ”edistetään tutkimusta ja innovointia” (maakohtainen suositus 3, 2019), ”vahvistetaan etäopiskelua ja -taitoja, myös digitaalisia taitoja” (maakohtainen suositus 2, 2020) ja keskitetään investoinnit tutkimukseen ja innovointiin (maakohtainen suositus 3, 2020).</w:t>
      </w:r>
    </w:p>
    <w:p w14:paraId="78B66A56" w14:textId="77777777" w:rsidR="00E42B18" w:rsidRDefault="009629C4">
      <w:pPr>
        <w:pStyle w:val="P68B1DB1-Heading368"/>
        <w:ind w:left="850" w:hanging="850"/>
        <w:rPr>
          <w:noProof/>
        </w:rPr>
      </w:pPr>
      <w:r>
        <w:rPr>
          <w:noProof/>
        </w:rPr>
        <w:t xml:space="preserve">J.1 </w:t>
      </w:r>
      <w:r>
        <w:rPr>
          <w:noProof/>
        </w:rPr>
        <w:tab/>
        <w:t>Kuvaus uudistuksista ja investoinneista, joita rahoitetaan rahoitustuella, jota ei makseta takaisin</w:t>
      </w:r>
    </w:p>
    <w:p w14:paraId="091A4D52" w14:textId="77777777" w:rsidR="00E42B18" w:rsidRDefault="009629C4">
      <w:pPr>
        <w:pStyle w:val="P68B1DB1-Normal5"/>
        <w:spacing w:before="120" w:after="120"/>
        <w:jc w:val="both"/>
        <w:rPr>
          <w:noProof/>
        </w:rPr>
      </w:pPr>
      <w:r>
        <w:rPr>
          <w:noProof/>
        </w:rPr>
        <w:t>Investointi 1.1: Päiväkoteja ja esikouluja sekä varhaiskasvatuspalveluja koskeva suunnitelma</w:t>
      </w:r>
    </w:p>
    <w:p w14:paraId="511501CE" w14:textId="77777777" w:rsidR="00E42B18" w:rsidRDefault="009629C4">
      <w:pPr>
        <w:pStyle w:val="P68B1DB1-Normal7"/>
        <w:spacing w:before="120" w:after="120"/>
        <w:jc w:val="both"/>
        <w:rPr>
          <w:noProof/>
        </w:rPr>
      </w:pPr>
      <w:r>
        <w:rPr>
          <w:noProof/>
        </w:rPr>
        <w:t>Investoinnin tavoitteena on lisätä ja parantaa 0–6-vuotiaiden lasten koulutusmahdollisuuksia. Investointi koostuu päiväkotien ja esikoulujen lastenhoitopaikkojen rakentamisesta, muuttamisesta ja kunnostamisesta.</w:t>
      </w:r>
    </w:p>
    <w:p w14:paraId="6031CF6D" w14:textId="77777777" w:rsidR="00E42B18" w:rsidRDefault="009629C4">
      <w:pPr>
        <w:pStyle w:val="P68B1DB1-Normal5"/>
        <w:spacing w:before="120" w:after="120"/>
        <w:jc w:val="both"/>
        <w:rPr>
          <w:noProof/>
        </w:rPr>
      </w:pPr>
      <w:r>
        <w:rPr>
          <w:noProof/>
        </w:rPr>
        <w:t>Investointi 1.2: Kokopäivätyön jatkamista koskeva suunnitelma</w:t>
      </w:r>
    </w:p>
    <w:p w14:paraId="71EF6A27" w14:textId="31F0ED64" w:rsidR="00E42B18" w:rsidRDefault="009629C4">
      <w:pPr>
        <w:pStyle w:val="P68B1DB1-Normal7"/>
        <w:spacing w:before="120" w:after="120"/>
        <w:jc w:val="both"/>
        <w:rPr>
          <w:noProof/>
        </w:rPr>
      </w:pPr>
      <w:r>
        <w:rPr>
          <w:noProof/>
        </w:rPr>
        <w:t>Tämän toimenpiteen tavoitteena on antaa kouluille mahdollisuus pidentää kouluaikaa kunnostamalla tai rakentamalla soveltuvia infrastruktuureja. Investointi koostuu ruokalatilojen rakentamisesta tai rakentamisesta koulutiloihin.</w:t>
      </w:r>
    </w:p>
    <w:p w14:paraId="065A21A1" w14:textId="77777777" w:rsidR="00E42B18" w:rsidRDefault="009629C4">
      <w:pPr>
        <w:pStyle w:val="P68B1DB1-Normal5"/>
        <w:spacing w:before="120" w:after="120"/>
        <w:jc w:val="both"/>
        <w:rPr>
          <w:noProof/>
        </w:rPr>
      </w:pPr>
      <w:r>
        <w:rPr>
          <w:noProof/>
        </w:rPr>
        <w:t>Investointi 1.3: Koulujen urheiluinfrastruktuurin kehittämissuunnitelma</w:t>
      </w:r>
    </w:p>
    <w:p w14:paraId="60C2D8EF" w14:textId="424B7B6A" w:rsidR="00E42B18" w:rsidRDefault="009629C4">
      <w:pPr>
        <w:pStyle w:val="P68B1DB1-Normal7"/>
        <w:spacing w:before="120" w:after="120"/>
        <w:jc w:val="both"/>
        <w:rPr>
          <w:noProof/>
        </w:rPr>
      </w:pPr>
      <w:r>
        <w:rPr>
          <w:noProof/>
        </w:rPr>
        <w:t>Tämän toimenpiteen tavoitteena on edistää urheilutoimintaa kouluissa. Toimenpide koostuu urheilutilojen ja kuntosalien kunnostamisesta ja rakentamisesta koulua varten.</w:t>
      </w:r>
    </w:p>
    <w:p w14:paraId="282F869A" w14:textId="77777777" w:rsidR="00E42B18" w:rsidRDefault="009629C4">
      <w:pPr>
        <w:pStyle w:val="P68B1DB1-Normal5"/>
        <w:spacing w:before="120" w:after="120"/>
        <w:rPr>
          <w:noProof/>
        </w:rPr>
      </w:pPr>
      <w:r>
        <w:rPr>
          <w:noProof/>
        </w:rPr>
        <w:t>Investointi 1.4: Poikkeukselliset toimet, joilla pyritään kaventamaan alueellisia eroja ylä- ja toisen asteen koulukierroissa ja puuttumaan koulunkäynnin keskeyttämiseen</w:t>
      </w:r>
    </w:p>
    <w:p w14:paraId="4AC8CC8B" w14:textId="753FF6EE" w:rsidR="00E42B18" w:rsidRDefault="009629C4">
      <w:pPr>
        <w:pStyle w:val="P68B1DB1-Normal7"/>
        <w:spacing w:before="120" w:after="120"/>
        <w:jc w:val="both"/>
        <w:rPr>
          <w:noProof/>
        </w:rPr>
      </w:pPr>
      <w:r>
        <w:rPr>
          <w:noProof/>
        </w:rPr>
        <w:t>Toimenpiteellä pyritään korjaamaan opiskelijoiden perustaitojen puutteita. Investointi koostuu koulun keskeyttämisvaarassa olevien opiskelijoiden ja jo keskeyttäneiden nuorten mentorointi- ja koulutustoimien toteuttamisesta, myös kansallisen digitaalisen portaalin tuella.</w:t>
      </w:r>
    </w:p>
    <w:p w14:paraId="3207E3EB" w14:textId="77777777" w:rsidR="00E42B18" w:rsidRDefault="009629C4">
      <w:pPr>
        <w:pStyle w:val="P68B1DB1-Normal7"/>
        <w:rPr>
          <w:b/>
          <w:bCs/>
          <w:noProof/>
        </w:rPr>
      </w:pPr>
      <w:r>
        <w:rPr>
          <w:noProof/>
        </w:rPr>
        <w:br w:type="page"/>
      </w:r>
    </w:p>
    <w:p w14:paraId="145BCD09" w14:textId="0AE944FA" w:rsidR="00E42B18" w:rsidRDefault="009629C4">
      <w:pPr>
        <w:pStyle w:val="P68B1DB1-Normal5"/>
        <w:spacing w:before="120" w:after="120"/>
        <w:jc w:val="both"/>
        <w:rPr>
          <w:noProof/>
        </w:rPr>
      </w:pPr>
      <w:r>
        <w:rPr>
          <w:noProof/>
        </w:rPr>
        <w:t>Uudistus 1.1: Teknisten ja ammatillisten instituuttien uudistaminen</w:t>
      </w:r>
    </w:p>
    <w:p w14:paraId="20D59243" w14:textId="3F6B5D16" w:rsidR="00E42B18" w:rsidRDefault="009629C4">
      <w:pPr>
        <w:pStyle w:val="P68B1DB1-Normal7"/>
        <w:spacing w:before="120" w:after="120"/>
        <w:jc w:val="both"/>
        <w:rPr>
          <w:noProof/>
        </w:rPr>
      </w:pPr>
      <w:r>
        <w:rPr>
          <w:noProof/>
        </w:rPr>
        <w:t>Uudistuksella pyritään sovittamaan teknisten ja ammatillisten laitosten opetussuunnitelmat Italian tuotantojärjestelmän edellyttämään osaamiseen, myös paikallistasolla. Uudistuksella on erityisesti saatettava tekninen ja ammatillinen koulutus yhdenmukaiseksi Teollisuus 4.0:n kanssa ja otettava huomioon digitaalinen innovointi.</w:t>
      </w:r>
    </w:p>
    <w:p w14:paraId="3C58CC76" w14:textId="77777777" w:rsidR="00E42B18" w:rsidRDefault="009629C4">
      <w:pPr>
        <w:pStyle w:val="P68B1DB1-Normal5"/>
        <w:spacing w:before="120" w:after="120"/>
        <w:jc w:val="both"/>
        <w:rPr>
          <w:noProof/>
        </w:rPr>
      </w:pPr>
      <w:r>
        <w:rPr>
          <w:noProof/>
        </w:rPr>
        <w:t>Uudistus 1.2: Korkea-asteen ammatillisen koulutuksen uudistus</w:t>
      </w:r>
    </w:p>
    <w:p w14:paraId="35A8A695" w14:textId="77777777" w:rsidR="00E42B18" w:rsidRDefault="009629C4">
      <w:pPr>
        <w:pStyle w:val="P68B1DB1-Normal7"/>
        <w:spacing w:before="120" w:after="120"/>
        <w:jc w:val="both"/>
        <w:rPr>
          <w:noProof/>
        </w:rPr>
      </w:pPr>
      <w:r>
        <w:rPr>
          <w:noProof/>
        </w:rPr>
        <w:t xml:space="preserve">Uudistuksella pyritään vahvistamaan korkea-asteen ammatillisen koulutuksen järjestelmää yksinkertaistamalla älykkäiden liikennejärjestelmien hallintoa, jotta voidaan lisätä laitosten ja ilmoittautumisten määrää paikallista aluetta silmällä pitäen. Uudistuksen odotetaan korjaavan työvoiman tarjonnan ja kysynnän välistä epäsuhtaa. </w:t>
      </w:r>
    </w:p>
    <w:p w14:paraId="220B6232" w14:textId="77777777" w:rsidR="00E42B18" w:rsidRDefault="009629C4">
      <w:pPr>
        <w:pStyle w:val="P68B1DB1-Normal5"/>
        <w:spacing w:before="120" w:after="120"/>
        <w:jc w:val="both"/>
        <w:rPr>
          <w:noProof/>
        </w:rPr>
      </w:pPr>
      <w:r>
        <w:rPr>
          <w:noProof/>
        </w:rPr>
        <w:t>Investointi 1.5: Korkea-asteen ammatillisen koulutuksen järjestelmän (ITS) kehittäminen</w:t>
      </w:r>
    </w:p>
    <w:p w14:paraId="29C2D741" w14:textId="2CEA1B3E" w:rsidR="00E42B18" w:rsidRDefault="009629C4">
      <w:pPr>
        <w:pStyle w:val="P68B1DB1-Normal7"/>
        <w:spacing w:before="120" w:after="120"/>
        <w:jc w:val="both"/>
        <w:rPr>
          <w:noProof/>
        </w:rPr>
      </w:pPr>
      <w:r>
        <w:rPr>
          <w:noProof/>
        </w:rPr>
        <w:t xml:space="preserve">Tämän toimenpiteen tavoitteena on vahvistaa ammatillisten oppilaitosten asemaa Italian koulutusjärjestelmässä. Investoinnilla laajennetaan opiskelijoiden osallistumista älykkäisiin liikennejärjestelmiin ja lisätään yritysten osallistumista koulutukseen ottamalla käyttöön kansallinen digitaalinen alusta, joka yhdistää koulutuksen paremmin työmarkkinoihin. </w:t>
      </w:r>
    </w:p>
    <w:p w14:paraId="581CA1B1" w14:textId="77777777" w:rsidR="00E42B18" w:rsidRDefault="009629C4">
      <w:pPr>
        <w:pStyle w:val="P68B1DB1-Normal5"/>
        <w:spacing w:before="120" w:after="120"/>
        <w:jc w:val="both"/>
        <w:rPr>
          <w:noProof/>
        </w:rPr>
      </w:pPr>
      <w:r>
        <w:rPr>
          <w:noProof/>
        </w:rPr>
        <w:t>Uudistus 1.3: Koulujärjestelmän uudelleenorganisointi</w:t>
      </w:r>
    </w:p>
    <w:p w14:paraId="5D73E53B" w14:textId="77777777" w:rsidR="00E42B18" w:rsidRDefault="009629C4">
      <w:pPr>
        <w:pStyle w:val="P68B1DB1-Normal7"/>
        <w:spacing w:before="120" w:after="120"/>
        <w:jc w:val="both"/>
        <w:rPr>
          <w:noProof/>
        </w:rPr>
      </w:pPr>
      <w:r>
        <w:rPr>
          <w:noProof/>
        </w:rPr>
        <w:t xml:space="preserve">Uudistuksella on kaksi tavoitetta: </w:t>
      </w:r>
    </w:p>
    <w:p w14:paraId="422DF1C8" w14:textId="77777777" w:rsidR="00E42B18" w:rsidRDefault="009629C4">
      <w:pPr>
        <w:pStyle w:val="P68B1DB1-ListParagraph37"/>
        <w:numPr>
          <w:ilvl w:val="0"/>
          <w:numId w:val="49"/>
        </w:numPr>
        <w:spacing w:before="120" w:after="120" w:line="240" w:lineRule="auto"/>
        <w:ind w:left="360"/>
        <w:jc w:val="both"/>
        <w:rPr>
          <w:noProof/>
        </w:rPr>
      </w:pPr>
      <w:r>
        <w:rPr>
          <w:noProof/>
        </w:rPr>
        <w:t xml:space="preserve">Oppilasmäärän mukauttaminen luokkaa kohti. </w:t>
      </w:r>
    </w:p>
    <w:p w14:paraId="77A16E54" w14:textId="76C99028" w:rsidR="00E42B18" w:rsidRDefault="009629C4">
      <w:pPr>
        <w:spacing w:before="120" w:after="120"/>
        <w:jc w:val="both"/>
        <w:rPr>
          <w:rFonts w:ascii="Times New Roman" w:hAnsi="Times New Roman" w:cs="Times New Roman"/>
          <w:noProof/>
        </w:rPr>
      </w:pPr>
      <w:r>
        <w:rPr>
          <w:noProof/>
        </w:rPr>
        <w:t xml:space="preserve">Opetushenkilöstön </w:t>
      </w:r>
      <w:r>
        <w:rPr>
          <w:rFonts w:ascii="Times New Roman" w:hAnsi="Times New Roman" w:cs="Times New Roman"/>
          <w:noProof/>
        </w:rPr>
        <w:t>määrä vahvistetaan samalle tasolle kuin lukuvuonna 2020/2021 väestön vähenemisen vuoksi ja jotta voidaan vähentää oppilaiden määrää luokkaa kohti ja asteittain parantaa oppilaiden määrän ja yhteisissä tehtävissä olevien opettajien määrän välistä suhdetta. Toimenpiteen toteuttaminen ei saa lisätä käytettävissä olevien rakennusten määrää. Aloitteessa kiinnitetään yksilöllisesti huomiota yksittäisiin oppilaisiin, erityisesti kaikkein heikoimmassa asemassa oleviin ja varmasti vammaisiin oppilaisiin. Oppilaiden ja opettajien välisen suhteen paranemisen odotetaan parantavan opetuksen laatua ja koulurakennusten resurssien saatavuutta. Koulurakennusten kokoa koskevien sääntöjen tarkistaminen.</w:t>
      </w:r>
      <w:r>
        <w:rPr>
          <w:noProof/>
        </w:rPr>
        <w:t xml:space="preserve"> </w:t>
      </w:r>
      <w:r>
        <w:rPr>
          <w:rFonts w:ascii="Times New Roman" w:hAnsi="Times New Roman" w:cs="Times New Roman"/>
          <w:noProof/>
        </w:rPr>
        <w:t>Alueellinen kouluväestö hyväksytään ”tehokkaaksi muuttujaksi” sellaisten oppilaitosten yksilöimiseksi, joilla on vallitsevan lainsäädännön mukaisesti pääpäällikkö ja kärjistys, eikä yksittäisen koulun väkilukua.</w:t>
      </w:r>
    </w:p>
    <w:p w14:paraId="72AB7293" w14:textId="77777777" w:rsidR="00E42B18" w:rsidRDefault="009629C4">
      <w:pPr>
        <w:spacing w:before="120" w:after="120"/>
        <w:jc w:val="both"/>
        <w:rPr>
          <w:noProof/>
        </w:rPr>
      </w:pPr>
      <w:r>
        <w:rPr>
          <w:rFonts w:ascii="Times New Roman" w:hAnsi="Times New Roman" w:cs="Times New Roman"/>
          <w:b/>
          <w:noProof/>
        </w:rPr>
        <w:t>Uudistus 1.4: Suuntaviivajärjestelmän uudistaminen</w:t>
      </w:r>
      <w:r>
        <w:rPr>
          <w:noProof/>
        </w:rPr>
        <w:t xml:space="preserve"> </w:t>
      </w:r>
    </w:p>
    <w:p w14:paraId="07128335" w14:textId="73C89FE8" w:rsidR="00E42B18" w:rsidRDefault="009629C4">
      <w:pPr>
        <w:spacing w:before="120" w:after="120"/>
        <w:jc w:val="both"/>
        <w:rPr>
          <w:noProof/>
        </w:rPr>
      </w:pPr>
      <w:r>
        <w:rPr>
          <w:rFonts w:ascii="Times New Roman" w:hAnsi="Times New Roman" w:cs="Times New Roman"/>
          <w:noProof/>
        </w:rPr>
        <w:t>Uudistuksen tavoitteena on ottaa käyttöön ohjausmoduuleja (vähintään 30 tuntia vuodessa) neljännen ja viidennen toisen asteen kouluja varten. Päätavoitteena on auttaa opiskelijoita tekemään tietoon perustuva valinta opintojen jatkamisen tai ammatillisen jatkokoulutuksen välillä ennen heidän integroitumistaan työmarkkinoille. Uudistuksessa kaavaillaan myös digitaalisen suuntautumisen alustaa, joka liittyy yliopistojen ja ammatillisten oppilaitosten korkea-asteen koulutustarjontaan.</w:t>
      </w:r>
      <w:r>
        <w:rPr>
          <w:noProof/>
        </w:rPr>
        <w:t xml:space="preserve"> </w:t>
      </w:r>
    </w:p>
    <w:p w14:paraId="544F11D0" w14:textId="77777777" w:rsidR="00E42B18" w:rsidRDefault="009629C4">
      <w:pPr>
        <w:spacing w:before="120" w:after="120"/>
        <w:rPr>
          <w:noProof/>
        </w:rPr>
      </w:pPr>
      <w:r>
        <w:rPr>
          <w:rFonts w:ascii="Times New Roman" w:hAnsi="Times New Roman" w:cs="Times New Roman"/>
          <w:b/>
          <w:noProof/>
        </w:rPr>
        <w:t>Investointi 1.6: Aktiivinen ohjaus koulu-yliopistosiirtymässä</w:t>
      </w:r>
      <w:r>
        <w:rPr>
          <w:noProof/>
        </w:rPr>
        <w:t xml:space="preserve"> </w:t>
      </w:r>
    </w:p>
    <w:p w14:paraId="5964E05F" w14:textId="365775CD" w:rsidR="00E42B18" w:rsidRDefault="009629C4">
      <w:pPr>
        <w:pStyle w:val="P68B1DB1-Normal7"/>
        <w:spacing w:before="120" w:after="120"/>
        <w:rPr>
          <w:noProof/>
        </w:rPr>
      </w:pPr>
      <w:r>
        <w:rPr>
          <w:noProof/>
        </w:rPr>
        <w:t xml:space="preserve">Tämän toimenpiteen tavoitteena on helpottaa ja kannustaa siirtymistä toisen asteen koulusta yliopistoon ja vähentää opintonsa keskeyttäneiden määrää. Tässä toimenpiteessä tarjotaan kaikille toisen asteen opiskelijoille perehdytyskursseja, joilla tuetaan heitä korkea-asteen koulutuksen valinnassa. </w:t>
      </w:r>
    </w:p>
    <w:p w14:paraId="445C80E0" w14:textId="77777777" w:rsidR="00E42B18" w:rsidRDefault="009629C4">
      <w:pPr>
        <w:spacing w:before="120" w:after="120"/>
        <w:rPr>
          <w:noProof/>
        </w:rPr>
      </w:pPr>
      <w:r>
        <w:rPr>
          <w:rFonts w:ascii="Times New Roman" w:hAnsi="Times New Roman" w:cs="Times New Roman"/>
          <w:b/>
          <w:noProof/>
        </w:rPr>
        <w:t>Investointi 1.7: Yliopisto-opiskeluapurahat</w:t>
      </w:r>
      <w:r>
        <w:rPr>
          <w:noProof/>
        </w:rPr>
        <w:t xml:space="preserve"> </w:t>
      </w:r>
    </w:p>
    <w:p w14:paraId="6C4030F0" w14:textId="786B3851" w:rsidR="00E42B18" w:rsidRDefault="009629C4">
      <w:pPr>
        <w:spacing w:before="120" w:after="120"/>
        <w:rPr>
          <w:noProof/>
        </w:rPr>
      </w:pPr>
      <w:r>
        <w:rPr>
          <w:rFonts w:ascii="Times New Roman" w:hAnsi="Times New Roman" w:cs="Times New Roman"/>
          <w:noProof/>
        </w:rPr>
        <w:t>Tämän toimenpiteen tavoitteena on parantaa tasa-arvoa korkea-asteen koulutukseen pääsyssä tukemalla sosioekonomisissa vaikeuksissa olevia opiskelijoita. Toimenpiteellä lisätään yliopisto-opiskelijoille myönnettävien apurahojen määrää.</w:t>
      </w:r>
      <w:r>
        <w:rPr>
          <w:noProof/>
        </w:rPr>
        <w:t xml:space="preserve"> </w:t>
      </w:r>
    </w:p>
    <w:p w14:paraId="531A4F80" w14:textId="77777777" w:rsidR="00E42B18" w:rsidRDefault="009629C4">
      <w:pPr>
        <w:spacing w:before="120" w:after="120"/>
        <w:jc w:val="both"/>
        <w:rPr>
          <w:noProof/>
        </w:rPr>
      </w:pPr>
      <w:r>
        <w:rPr>
          <w:rFonts w:ascii="Times New Roman" w:hAnsi="Times New Roman" w:cs="Times New Roman"/>
          <w:b/>
          <w:noProof/>
        </w:rPr>
        <w:t>Uudistus 1.5: Korkeakoulututkintoryhmien uudistukset</w:t>
      </w:r>
      <w:r>
        <w:rPr>
          <w:noProof/>
        </w:rPr>
        <w:t xml:space="preserve"> </w:t>
      </w:r>
    </w:p>
    <w:p w14:paraId="75A2593A" w14:textId="2BC8D82F" w:rsidR="00E42B18" w:rsidRDefault="009629C4">
      <w:pPr>
        <w:spacing w:before="120" w:after="120"/>
        <w:jc w:val="both"/>
        <w:rPr>
          <w:noProof/>
        </w:rPr>
      </w:pPr>
      <w:r>
        <w:rPr>
          <w:rFonts w:ascii="Times New Roman" w:hAnsi="Times New Roman" w:cs="Times New Roman"/>
          <w:noProof/>
        </w:rPr>
        <w:t>Uudistuksella pyritään päivittämään yliopistojen opetussuunnitelmia ja pienentämään nykyisiä jäykkiä rajoja, jotka rajoittavat vakavasti mahdollisuutta luoda monialaisia polkuja. Uudistuksen odotetaan myös laajentavan mahdollisuutta toteuttaa ammatillisen koulutuksen ohjelmia ottamalla käyttöön innovatiivisia työpaikkalähtöisiä tutkintoluokkia</w:t>
      </w:r>
      <w:r>
        <w:rPr>
          <w:rFonts w:ascii="Times New Roman" w:hAnsi="Times New Roman" w:cs="Times New Roman"/>
          <w:noProof/>
          <w:color w:val="006100"/>
        </w:rPr>
        <w:t>.</w:t>
      </w:r>
      <w:r>
        <w:rPr>
          <w:noProof/>
        </w:rPr>
        <w:t xml:space="preserve"> </w:t>
      </w:r>
    </w:p>
    <w:p w14:paraId="7EB7D6B7" w14:textId="77777777" w:rsidR="00E42B18" w:rsidRDefault="009629C4">
      <w:pPr>
        <w:pStyle w:val="P68B1DB1-Normal5"/>
        <w:spacing w:before="120" w:after="120"/>
        <w:jc w:val="both"/>
        <w:rPr>
          <w:bCs/>
          <w:noProof/>
        </w:rPr>
      </w:pPr>
      <w:r>
        <w:rPr>
          <w:noProof/>
        </w:rPr>
        <w:t xml:space="preserve">Uudistus 1.6: Korkeakoulututkintojen uudistuksen mahdollistaminen </w:t>
      </w:r>
    </w:p>
    <w:p w14:paraId="7045F197" w14:textId="259921F1" w:rsidR="00E42B18" w:rsidRDefault="009629C4">
      <w:pPr>
        <w:pStyle w:val="P68B1DB1-Normal7"/>
        <w:spacing w:before="120" w:after="120"/>
        <w:jc w:val="both"/>
        <w:rPr>
          <w:noProof/>
        </w:rPr>
      </w:pPr>
      <w:r>
        <w:rPr>
          <w:noProof/>
        </w:rPr>
        <w:t xml:space="preserve">Uudistuksella pyritään yksinkertaistamaan ammattiin pääsyä koskevaa menettelyä, joka edellyttää ammattiin ilmoittautumista erityisen ammattikokeen avulla. Toimenpiteellä on myötävaikutettava kunkin tutkinnon kansallisen loppututkinnon yhdenmukaistamiseen vastaavan ammattitutkintokokeen kanssa ja tarjottava siten yleiset ja selkeät säännöt ja korvaaminen. </w:t>
      </w:r>
    </w:p>
    <w:p w14:paraId="465220DF" w14:textId="77777777" w:rsidR="00E42B18" w:rsidRDefault="009629C4">
      <w:pPr>
        <w:spacing w:before="120" w:after="120"/>
        <w:jc w:val="both"/>
        <w:rPr>
          <w:noProof/>
        </w:rPr>
      </w:pPr>
      <w:r>
        <w:rPr>
          <w:rFonts w:ascii="Times New Roman" w:hAnsi="Times New Roman" w:cs="Times New Roman"/>
          <w:b/>
          <w:noProof/>
        </w:rPr>
        <w:t>Uudistus 2.1: Opettajien rekrytointi</w:t>
      </w:r>
      <w:r>
        <w:rPr>
          <w:noProof/>
        </w:rPr>
        <w:t xml:space="preserve"> </w:t>
      </w:r>
    </w:p>
    <w:p w14:paraId="57C3DDF5" w14:textId="3368C5D4" w:rsidR="00E42B18" w:rsidRDefault="009629C4">
      <w:pPr>
        <w:spacing w:before="120" w:after="120"/>
        <w:jc w:val="both"/>
        <w:rPr>
          <w:noProof/>
        </w:rPr>
      </w:pPr>
      <w:r>
        <w:rPr>
          <w:rFonts w:ascii="Times New Roman" w:hAnsi="Times New Roman" w:cs="Times New Roman"/>
          <w:noProof/>
        </w:rPr>
        <w:t>Uudistuksen tavoitteena on parantaa koulutustuloksia parantamalla opettajien pätevyys-, rekrytointi-, ura-, koulutus- ja arviointijärjestelmiä. Toimenpide koostuu opettajien rekrytoinnista uudistetun rekrytointijärjestelmän puitteissa.</w:t>
      </w:r>
      <w:r>
        <w:rPr>
          <w:noProof/>
        </w:rPr>
        <w:t xml:space="preserve">  </w:t>
      </w:r>
    </w:p>
    <w:p w14:paraId="1026DCC5" w14:textId="77777777" w:rsidR="00E42B18" w:rsidRDefault="009629C4">
      <w:pPr>
        <w:spacing w:before="120" w:after="120"/>
        <w:jc w:val="both"/>
        <w:rPr>
          <w:rFonts w:ascii="Times New Roman" w:hAnsi="Times New Roman" w:cs="Times New Roman"/>
          <w:noProof/>
        </w:rPr>
      </w:pPr>
      <w:r>
        <w:rPr>
          <w:rFonts w:ascii="Times New Roman" w:hAnsi="Times New Roman" w:cs="Times New Roman"/>
          <w:b/>
          <w:noProof/>
        </w:rPr>
        <w:t>Uudistus 2.2: Korkea-asteen koulutus ja pakollinen koulutus koulujen johtajille, opettajille sekä hallinto- ja tekniselle henkilöstölle</w:t>
      </w:r>
      <w:r>
        <w:rPr>
          <w:noProof/>
        </w:rPr>
        <w:t xml:space="preserve"> </w:t>
      </w:r>
    </w:p>
    <w:p w14:paraId="3DF02019" w14:textId="77777777" w:rsidR="00E42B18" w:rsidRDefault="009629C4">
      <w:pPr>
        <w:pStyle w:val="P68B1DB1-Normal7"/>
        <w:spacing w:before="120" w:after="120"/>
        <w:jc w:val="both"/>
        <w:rPr>
          <w:noProof/>
        </w:rPr>
      </w:pPr>
      <w:r>
        <w:rPr>
          <w:noProof/>
        </w:rPr>
        <w:t>Uudistuksella pyritään luomaan laadukas koulutusjärjestelmä koulun henkilöstölle jatkuvaa ammatillista ja urakehitystä varten. Siinä kaavaillaan sellaisen pätevän elimen perustamista, joka vastaa eurooppalaisten normien mukaisten suuntaviivojen julkaisemisesta sekä koulutusaloitteiden valinnasta ja koordinoinnista ja mahdollisesti niiden yhdistämisestä urakehitykseen, kuten rekrytointiuudistuksessa – uudistus 2.1: Opettajien rekrytointi, sisältyy suunnitelmaan.</w:t>
      </w:r>
    </w:p>
    <w:p w14:paraId="400C3134" w14:textId="54FF43EE" w:rsidR="00E42B18" w:rsidRDefault="009629C4">
      <w:pPr>
        <w:pStyle w:val="P68B1DB1-Normal5"/>
        <w:spacing w:before="120" w:after="120"/>
        <w:jc w:val="both"/>
        <w:rPr>
          <w:noProof/>
        </w:rPr>
      </w:pPr>
      <w:r>
        <w:rPr>
          <w:noProof/>
        </w:rPr>
        <w:t xml:space="preserve">Investointi 2.1: Koulujen henkilöstön digitalisaatiota koskeva integroitu digitaalinen opetus ja koulutus </w:t>
      </w:r>
    </w:p>
    <w:p w14:paraId="2EC874BA" w14:textId="5FCE9525" w:rsidR="00E42B18" w:rsidRDefault="009629C4">
      <w:pPr>
        <w:spacing w:before="120" w:after="120"/>
        <w:jc w:val="both"/>
        <w:rPr>
          <w:rFonts w:ascii="Times New Roman" w:hAnsi="Times New Roman" w:cs="Times New Roman"/>
          <w:noProof/>
        </w:rPr>
      </w:pPr>
      <w:r>
        <w:rPr>
          <w:rFonts w:ascii="Times New Roman" w:hAnsi="Times New Roman" w:cs="Times New Roman"/>
          <w:noProof/>
        </w:rPr>
        <w:t>Tämän toimenpiteen tavoitteena on luoda pysyvä järjestelmä, jolla edistetään koulujen henkilöstön digitaalisia opetustaitoja. Investointi koostuu koulujen johtajien, opettajien ja hallintohenkilöstön koulutuksesta.</w:t>
      </w:r>
      <w:r>
        <w:rPr>
          <w:noProof/>
        </w:rPr>
        <w:t xml:space="preserve"> </w:t>
      </w:r>
    </w:p>
    <w:p w14:paraId="5B32DF6E" w14:textId="77777777" w:rsidR="00E42B18" w:rsidRDefault="009629C4">
      <w:pPr>
        <w:spacing w:before="120" w:after="120"/>
        <w:jc w:val="both"/>
        <w:rPr>
          <w:rFonts w:ascii="Times New Roman" w:hAnsi="Times New Roman" w:cs="Times New Roman"/>
          <w:noProof/>
        </w:rPr>
      </w:pPr>
      <w:r>
        <w:rPr>
          <w:rFonts w:ascii="Times New Roman" w:hAnsi="Times New Roman" w:cs="Times New Roman"/>
          <w:b/>
          <w:noProof/>
        </w:rPr>
        <w:t>Investointi 3.1: Uudet taidot ja uudet kielet</w:t>
      </w:r>
      <w:r>
        <w:rPr>
          <w:noProof/>
        </w:rPr>
        <w:t xml:space="preserve"> </w:t>
      </w:r>
    </w:p>
    <w:p w14:paraId="49B27353" w14:textId="44F73509" w:rsidR="00E42B18" w:rsidRDefault="009629C4">
      <w:pPr>
        <w:spacing w:before="120" w:after="120"/>
        <w:jc w:val="both"/>
        <w:rPr>
          <w:rFonts w:ascii="Times New Roman" w:hAnsi="Times New Roman" w:cs="Times New Roman"/>
          <w:noProof/>
        </w:rPr>
      </w:pPr>
      <w:r>
        <w:rPr>
          <w:rFonts w:ascii="Times New Roman" w:hAnsi="Times New Roman" w:cs="Times New Roman"/>
          <w:noProof/>
        </w:rPr>
        <w:t xml:space="preserve">Tämän toimenpiteen tavoitteena on parantaa monikielisyyttä, STEM-aineita, digitaalisia taitoja ja innovointitaitoja kaikilla koulutasoilla. Toimenpide koostuu tieteidenvälisten </w:t>
      </w:r>
      <w:r>
        <w:rPr>
          <w:rFonts w:ascii="Times New Roman" w:eastAsia="Times New Roman" w:hAnsi="Times New Roman" w:cs="Times New Roman"/>
          <w:noProof/>
          <w:color w:val="000000" w:themeColor="text1"/>
        </w:rPr>
        <w:t xml:space="preserve">STEM-ohjaushankkeiden käynnistämisestä kouluissa ja Erasmus±ohjelman laajentamisesta. </w:t>
      </w:r>
      <w:r>
        <w:rPr>
          <w:noProof/>
        </w:rPr>
        <w:t xml:space="preserve"> </w:t>
      </w:r>
    </w:p>
    <w:p w14:paraId="5DFF145D" w14:textId="77777777" w:rsidR="00E42B18" w:rsidRDefault="009629C4">
      <w:pPr>
        <w:pStyle w:val="P68B1DB1-Normal5"/>
        <w:spacing w:before="120" w:after="120"/>
        <w:jc w:val="both"/>
        <w:rPr>
          <w:noProof/>
        </w:rPr>
      </w:pPr>
      <w:r>
        <w:rPr>
          <w:noProof/>
        </w:rPr>
        <w:t>Investointi 3.2: Koulu 4.0: innovatiiviset koulut, kaapelointi, uudet luokkahuoneet ja työpajat</w:t>
      </w:r>
    </w:p>
    <w:p w14:paraId="1DBD0C21" w14:textId="04300501" w:rsidR="00E42B18" w:rsidRDefault="009629C4">
      <w:pPr>
        <w:pStyle w:val="P68B1DB1-Normal7"/>
        <w:spacing w:before="120" w:after="120"/>
        <w:jc w:val="both"/>
        <w:rPr>
          <w:noProof/>
        </w:rPr>
      </w:pPr>
      <w:r>
        <w:rPr>
          <w:noProof/>
        </w:rPr>
        <w:t>Tämän toimenpiteen tavoitteena on muuttaa koulutiloja digitaalisen oppimisen mahdollistamiseksi. Toimenpiteen tarkoituksena on varustaa vähintään 8000 perus- ja keskiasteen koulua digitaalisilla työkaluilla, jotka kattavat vähintään 100000 luokkahuonetta.</w:t>
      </w:r>
    </w:p>
    <w:p w14:paraId="78870761" w14:textId="77777777" w:rsidR="00E42B18" w:rsidRDefault="009629C4">
      <w:pPr>
        <w:pStyle w:val="P68B1DB1-Normal5"/>
        <w:spacing w:before="120" w:after="120"/>
        <w:jc w:val="both"/>
        <w:rPr>
          <w:noProof/>
        </w:rPr>
      </w:pPr>
      <w:r>
        <w:rPr>
          <w:noProof/>
        </w:rPr>
        <w:t>Investointi 3.3: Koulurakennusten turvallisuutta ja rakenteellista kuntoutusta koskeva suunnitelma</w:t>
      </w:r>
    </w:p>
    <w:p w14:paraId="166D3BBF" w14:textId="4CC9C7E0" w:rsidR="00E42B18" w:rsidRDefault="009629C4">
      <w:pPr>
        <w:pStyle w:val="P68B1DB1-Normal7"/>
        <w:spacing w:before="120" w:after="120"/>
        <w:jc w:val="both"/>
        <w:rPr>
          <w:noProof/>
        </w:rPr>
      </w:pPr>
      <w:r>
        <w:rPr>
          <w:noProof/>
        </w:rPr>
        <w:t>Toimenpiteen tavoitteena on parantaa koulurakennusten turvallisuutta ja energiatehokkuutta. Toimenpide koostuu koulurakennusten kunnostus- ja jälleenrakennustöistä.</w:t>
      </w:r>
    </w:p>
    <w:p w14:paraId="646F21C3" w14:textId="77777777" w:rsidR="00E42B18" w:rsidRDefault="009629C4">
      <w:pPr>
        <w:pStyle w:val="P68B1DB1-Normal5"/>
        <w:spacing w:before="120" w:after="120"/>
        <w:jc w:val="both"/>
        <w:rPr>
          <w:noProof/>
        </w:rPr>
      </w:pPr>
      <w:r>
        <w:rPr>
          <w:noProof/>
        </w:rPr>
        <w:t>Investointi 3.4: Opetus ja korkea-asteen koulutus</w:t>
      </w:r>
    </w:p>
    <w:p w14:paraId="166F13E1" w14:textId="18023A5B" w:rsidR="00E42B18" w:rsidRDefault="009629C4">
      <w:pPr>
        <w:pStyle w:val="P68B1DB1-Normal7"/>
        <w:spacing w:before="120" w:after="120"/>
        <w:jc w:val="both"/>
        <w:rPr>
          <w:noProof/>
        </w:rPr>
      </w:pPr>
      <w:r>
        <w:rPr>
          <w:noProof/>
        </w:rPr>
        <w:t>Tämän toimenpiteen tavoitteena on kelpuuttaa ja innovoida yliopisto-ohjelmia, mukaan lukien tohtorintutkinnot, vahvistaa digitaalisia taitoja ja lisätä korkea-asteen koulutuksen maailmanlaajuista osallistumista. Investointi koostuu tohtoristipendien myöntämisestä, korkeakoulujen verkostojen luomisesta, digitaalisen koulutuksen keskittymien perustamisesta sekä kansainvälisen yhteistyön ja hankkeiden edistämisestä.</w:t>
      </w:r>
    </w:p>
    <w:p w14:paraId="3E5A50A4" w14:textId="5ABA6F50" w:rsidR="00E42B18" w:rsidRDefault="009629C4">
      <w:pPr>
        <w:pStyle w:val="P68B1DB1-Normal5"/>
        <w:spacing w:before="120" w:after="120"/>
        <w:jc w:val="both"/>
        <w:rPr>
          <w:noProof/>
        </w:rPr>
      </w:pPr>
      <w:r>
        <w:rPr>
          <w:noProof/>
        </w:rPr>
        <w:t xml:space="preserve">Uudistus 4.1: Tohtorintutkinto: Ohjelmauudistus </w:t>
      </w:r>
    </w:p>
    <w:p w14:paraId="29D47C5F" w14:textId="77777777" w:rsidR="00E42B18" w:rsidRDefault="009629C4">
      <w:pPr>
        <w:pStyle w:val="P68B1DB1-Normal7"/>
        <w:spacing w:before="120" w:after="120"/>
        <w:jc w:val="both"/>
        <w:rPr>
          <w:noProof/>
        </w:rPr>
      </w:pPr>
      <w:r>
        <w:rPr>
          <w:noProof/>
        </w:rPr>
        <w:t>Uudistuksen tavoitteena on saattaa tohtorinkoulutusohjelmia koskeva asetus ajan tasalle, yksinkertaistaa menettelyjä, jotka koskevat yritysten ja tutkimuskeskusten osallistumista tohtoriohjelmiin, ja vahvistaa soveltavaa tutkimusta. Ehdotetussa uudistuksessa on otettu huomioon kaikki yleissivistävän ja ammatillisen koulutuksen ohjelmiin liittyvät investoinnit kohdealalla ”Koulutus ja tutkimus”.</w:t>
      </w:r>
    </w:p>
    <w:p w14:paraId="57B4055A" w14:textId="3D4D301F" w:rsidR="00E42B18" w:rsidRDefault="009629C4">
      <w:pPr>
        <w:pStyle w:val="P68B1DB1-Normal5"/>
        <w:spacing w:before="120" w:after="120"/>
        <w:jc w:val="both"/>
        <w:rPr>
          <w:noProof/>
        </w:rPr>
      </w:pPr>
      <w:r>
        <w:rPr>
          <w:noProof/>
        </w:rPr>
        <w:t xml:space="preserve">Investointi 4.1: Tohtorintutkinnon suorittaneiden (tutkimukseen, julkishallintoon ja kulttuuriperintöön) lukumäärän ja uramahdollisuuksien lisääminen </w:t>
      </w:r>
    </w:p>
    <w:p w14:paraId="67B6AA15" w14:textId="77777777" w:rsidR="00E42B18" w:rsidRDefault="009629C4">
      <w:pPr>
        <w:spacing w:before="120" w:after="120"/>
        <w:jc w:val="both"/>
        <w:rPr>
          <w:rFonts w:ascii="Times New Roman" w:hAnsi="Times New Roman" w:cs="Times New Roman"/>
          <w:noProof/>
        </w:rPr>
      </w:pPr>
      <w:r>
        <w:rPr>
          <w:rFonts w:ascii="Times New Roman" w:hAnsi="Times New Roman" w:cs="Times New Roman"/>
          <w:noProof/>
        </w:rPr>
        <w:t>Toimenpiteen tavoitteena on lisätä tutkimukseen, julkishallintoon ja kulttuuriperintöön kohdennettua inhimillistä pääomaa. Investoinnin tarkoituksena on, että yliopistot ja AFAM-laitokset myöntävät opiskelijoille vähintään</w:t>
      </w:r>
      <w:r>
        <w:rPr>
          <w:rFonts w:ascii="Arial Narrow" w:hAnsi="Arial Narrow"/>
          <w:noProof/>
          <w:color w:val="006100"/>
          <w:sz w:val="20"/>
          <w:szCs w:val="20"/>
        </w:rPr>
        <w:t xml:space="preserve"> </w:t>
      </w:r>
      <w:r>
        <w:rPr>
          <w:rFonts w:ascii="Times New Roman" w:hAnsi="Times New Roman" w:cs="Times New Roman"/>
          <w:noProof/>
        </w:rPr>
        <w:t>3600 yleistä tohtorintutkintoa koskevaa apurahaa, vähintään</w:t>
      </w:r>
      <w:r>
        <w:rPr>
          <w:rFonts w:ascii="Arial Narrow" w:hAnsi="Arial Narrow"/>
          <w:noProof/>
          <w:color w:val="006100"/>
          <w:sz w:val="20"/>
          <w:szCs w:val="20"/>
        </w:rPr>
        <w:t xml:space="preserve"> </w:t>
      </w:r>
      <w:r>
        <w:rPr>
          <w:rFonts w:ascii="Times New Roman" w:hAnsi="Times New Roman" w:cs="Times New Roman"/>
          <w:noProof/>
        </w:rPr>
        <w:t>3000 tohtorintutkintoon tarkoitettua apurahaa julkishallinnon alalla ja vähintään 600 uutta kulttuuriperintöön tarkoitettua tohtorintutkintoa koskevaa apurahaa.</w:t>
      </w:r>
    </w:p>
    <w:p w14:paraId="303E3A6B" w14:textId="77777777" w:rsidR="00E42B18" w:rsidRDefault="00E42B18">
      <w:pPr>
        <w:spacing w:before="120" w:after="120"/>
        <w:jc w:val="both"/>
        <w:rPr>
          <w:rFonts w:ascii="Times New Roman" w:hAnsi="Times New Roman" w:cs="Times New Roman"/>
          <w:noProof/>
        </w:rPr>
        <w:sectPr w:rsidR="00E42B18" w:rsidSect="005F11B9">
          <w:headerReference w:type="default" r:id="rId176"/>
          <w:footerReference w:type="default" r:id="rId177"/>
          <w:pgSz w:w="11906" w:h="16838"/>
          <w:pgMar w:top="1440" w:right="1440" w:bottom="1440" w:left="1440" w:header="708" w:footer="708" w:gutter="0"/>
          <w:cols w:space="708"/>
          <w:docGrid w:linePitch="360"/>
        </w:sectPr>
      </w:pPr>
    </w:p>
    <w:p w14:paraId="5E53E3DA" w14:textId="77777777" w:rsidR="00E42B18" w:rsidRDefault="009629C4">
      <w:pPr>
        <w:pStyle w:val="P68B1DB1-Heading39"/>
        <w:ind w:left="850" w:hanging="850"/>
        <w:rPr>
          <w:b/>
          <w:i/>
          <w:noProof/>
          <w:u w:val="single"/>
        </w:rPr>
      </w:pPr>
      <w:r>
        <w:rPr>
          <w:b/>
          <w:noProof/>
          <w:u w:val="single"/>
        </w:rPr>
        <w:t xml:space="preserve">J.2 </w:t>
      </w:r>
      <w:r>
        <w:rPr>
          <w:noProof/>
        </w:rPr>
        <w:t xml:space="preserve"> </w:t>
      </w:r>
      <w:r>
        <w:rPr>
          <w:b/>
          <w:noProof/>
          <w:u w:val="single"/>
        </w:rPr>
        <w:t>Seurantaa ja täytäntöönpanoa koskevat välitavoitteet, tavoitteet, indikaattorit ja aikataulu – rahoitustuki, jota ei makseta takaisin</w:t>
      </w: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83"/>
        <w:gridCol w:w="998"/>
        <w:gridCol w:w="1736"/>
        <w:gridCol w:w="1560"/>
        <w:gridCol w:w="1588"/>
        <w:gridCol w:w="1052"/>
        <w:gridCol w:w="955"/>
        <w:gridCol w:w="825"/>
        <w:gridCol w:w="630"/>
        <w:gridCol w:w="2550"/>
      </w:tblGrid>
      <w:tr w:rsidR="00E42B18" w14:paraId="248C2A94" w14:textId="77777777">
        <w:trPr>
          <w:trHeight w:val="300"/>
          <w:tblHeader/>
        </w:trPr>
        <w:tc>
          <w:tcPr>
            <w:tcW w:w="1101" w:type="dxa"/>
            <w:vMerge w:val="restart"/>
            <w:shd w:val="clear" w:color="auto" w:fill="BDD7EE"/>
            <w:vAlign w:val="center"/>
            <w:hideMark/>
          </w:tcPr>
          <w:p w14:paraId="5358F8E3" w14:textId="77777777" w:rsidR="00E42B18" w:rsidRDefault="009629C4">
            <w:pPr>
              <w:pStyle w:val="P68B1DB1-Normal10"/>
              <w:jc w:val="center"/>
              <w:rPr>
                <w:noProof/>
                <w:szCs w:val="20"/>
              </w:rPr>
            </w:pPr>
            <w:r>
              <w:rPr>
                <w:noProof/>
              </w:rPr>
              <w:t>Juokseva numero</w:t>
            </w:r>
          </w:p>
        </w:tc>
        <w:tc>
          <w:tcPr>
            <w:tcW w:w="1883" w:type="dxa"/>
            <w:vMerge w:val="restart"/>
            <w:shd w:val="clear" w:color="auto" w:fill="BDD7EE"/>
            <w:vAlign w:val="center"/>
            <w:hideMark/>
          </w:tcPr>
          <w:p w14:paraId="1750FC60" w14:textId="77777777" w:rsidR="00E42B18" w:rsidRDefault="009629C4">
            <w:pPr>
              <w:pStyle w:val="P68B1DB1-Normal10"/>
              <w:jc w:val="center"/>
              <w:rPr>
                <w:noProof/>
                <w:szCs w:val="20"/>
              </w:rPr>
            </w:pPr>
            <w:r>
              <w:rPr>
                <w:noProof/>
              </w:rPr>
              <w:t>Toimenpide (uudistus tai investointi)</w:t>
            </w:r>
          </w:p>
        </w:tc>
        <w:tc>
          <w:tcPr>
            <w:tcW w:w="998" w:type="dxa"/>
            <w:vMerge w:val="restart"/>
            <w:shd w:val="clear" w:color="auto" w:fill="BDD7EE"/>
            <w:vAlign w:val="center"/>
            <w:hideMark/>
          </w:tcPr>
          <w:p w14:paraId="18EEB589" w14:textId="77777777" w:rsidR="00E42B18" w:rsidRDefault="009629C4">
            <w:pPr>
              <w:pStyle w:val="P68B1DB1-Normal10"/>
              <w:jc w:val="center"/>
              <w:rPr>
                <w:noProof/>
                <w:szCs w:val="20"/>
              </w:rPr>
            </w:pPr>
            <w:r>
              <w:rPr>
                <w:noProof/>
              </w:rPr>
              <w:t>Välitavoite/tavoite</w:t>
            </w:r>
          </w:p>
        </w:tc>
        <w:tc>
          <w:tcPr>
            <w:tcW w:w="1736" w:type="dxa"/>
            <w:vMerge w:val="restart"/>
            <w:shd w:val="clear" w:color="auto" w:fill="BDD7EE"/>
            <w:vAlign w:val="center"/>
            <w:hideMark/>
          </w:tcPr>
          <w:p w14:paraId="18B70743" w14:textId="77777777" w:rsidR="00E42B18" w:rsidRDefault="009629C4">
            <w:pPr>
              <w:pStyle w:val="P68B1DB1-Normal10"/>
              <w:jc w:val="center"/>
              <w:rPr>
                <w:noProof/>
                <w:szCs w:val="20"/>
              </w:rPr>
            </w:pPr>
            <w:r>
              <w:rPr>
                <w:noProof/>
              </w:rPr>
              <w:t>Nimi</w:t>
            </w:r>
          </w:p>
        </w:tc>
        <w:tc>
          <w:tcPr>
            <w:tcW w:w="1560" w:type="dxa"/>
            <w:vMerge w:val="restart"/>
            <w:shd w:val="clear" w:color="auto" w:fill="BDD7EE"/>
            <w:vAlign w:val="center"/>
            <w:hideMark/>
          </w:tcPr>
          <w:p w14:paraId="409E5B8C" w14:textId="7777777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595" w:type="dxa"/>
            <w:gridSpan w:val="3"/>
            <w:shd w:val="clear" w:color="auto" w:fill="BDD7EE"/>
            <w:vAlign w:val="center"/>
            <w:hideMark/>
          </w:tcPr>
          <w:p w14:paraId="162AEB45"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455" w:type="dxa"/>
            <w:gridSpan w:val="2"/>
            <w:shd w:val="clear" w:color="auto" w:fill="BDD7EE"/>
            <w:vAlign w:val="center"/>
            <w:hideMark/>
          </w:tcPr>
          <w:p w14:paraId="07906EA4" w14:textId="77777777" w:rsidR="00E42B18" w:rsidRDefault="009629C4">
            <w:pPr>
              <w:pStyle w:val="P68B1DB1-Normal10"/>
              <w:jc w:val="center"/>
              <w:rPr>
                <w:noProof/>
                <w:szCs w:val="20"/>
              </w:rPr>
            </w:pPr>
            <w:r>
              <w:rPr>
                <w:noProof/>
              </w:rPr>
              <w:t>Alustava toteutusaikataulu</w:t>
            </w:r>
          </w:p>
        </w:tc>
        <w:tc>
          <w:tcPr>
            <w:tcW w:w="2550" w:type="dxa"/>
            <w:vMerge w:val="restart"/>
            <w:shd w:val="clear" w:color="auto" w:fill="BDD7EE"/>
            <w:vAlign w:val="center"/>
            <w:hideMark/>
          </w:tcPr>
          <w:p w14:paraId="4AF14260" w14:textId="77777777" w:rsidR="00E42B18" w:rsidRDefault="009629C4">
            <w:pPr>
              <w:pStyle w:val="P68B1DB1-Normal10"/>
              <w:jc w:val="center"/>
              <w:rPr>
                <w:noProof/>
                <w:szCs w:val="20"/>
              </w:rPr>
            </w:pPr>
            <w:r>
              <w:rPr>
                <w:noProof/>
              </w:rPr>
              <w:t>Kunkin välitavoitteen ja tavoitteen kuvaus</w:t>
            </w:r>
          </w:p>
        </w:tc>
      </w:tr>
      <w:tr w:rsidR="00E42B18" w14:paraId="38EDA02F" w14:textId="77777777">
        <w:trPr>
          <w:trHeight w:val="300"/>
          <w:tblHeader/>
        </w:trPr>
        <w:tc>
          <w:tcPr>
            <w:tcW w:w="1101" w:type="dxa"/>
            <w:vMerge/>
            <w:vAlign w:val="center"/>
            <w:hideMark/>
          </w:tcPr>
          <w:p w14:paraId="304A311B" w14:textId="77777777" w:rsidR="00E42B18" w:rsidRDefault="00E42B18">
            <w:pPr>
              <w:jc w:val="center"/>
              <w:rPr>
                <w:rFonts w:ascii="Arial Narrow" w:hAnsi="Arial Narrow"/>
                <w:b/>
                <w:noProof/>
                <w:sz w:val="20"/>
                <w:szCs w:val="20"/>
              </w:rPr>
            </w:pPr>
          </w:p>
        </w:tc>
        <w:tc>
          <w:tcPr>
            <w:tcW w:w="1883" w:type="dxa"/>
            <w:vMerge/>
            <w:vAlign w:val="center"/>
            <w:hideMark/>
          </w:tcPr>
          <w:p w14:paraId="294A9B46" w14:textId="77777777" w:rsidR="00E42B18" w:rsidRDefault="00E42B18">
            <w:pPr>
              <w:jc w:val="center"/>
              <w:rPr>
                <w:rFonts w:ascii="Arial Narrow" w:hAnsi="Arial Narrow"/>
                <w:b/>
                <w:noProof/>
                <w:sz w:val="20"/>
                <w:szCs w:val="20"/>
              </w:rPr>
            </w:pPr>
          </w:p>
        </w:tc>
        <w:tc>
          <w:tcPr>
            <w:tcW w:w="998" w:type="dxa"/>
            <w:vMerge/>
            <w:vAlign w:val="center"/>
            <w:hideMark/>
          </w:tcPr>
          <w:p w14:paraId="2E338454" w14:textId="77777777" w:rsidR="00E42B18" w:rsidRDefault="00E42B18">
            <w:pPr>
              <w:jc w:val="center"/>
              <w:rPr>
                <w:rFonts w:ascii="Arial Narrow" w:hAnsi="Arial Narrow"/>
                <w:b/>
                <w:noProof/>
                <w:sz w:val="20"/>
                <w:szCs w:val="20"/>
              </w:rPr>
            </w:pPr>
          </w:p>
        </w:tc>
        <w:tc>
          <w:tcPr>
            <w:tcW w:w="1736" w:type="dxa"/>
            <w:vMerge/>
            <w:vAlign w:val="center"/>
            <w:hideMark/>
          </w:tcPr>
          <w:p w14:paraId="09685154" w14:textId="77777777" w:rsidR="00E42B18" w:rsidRDefault="00E42B18">
            <w:pPr>
              <w:jc w:val="center"/>
              <w:rPr>
                <w:rFonts w:ascii="Arial Narrow" w:hAnsi="Arial Narrow"/>
                <w:b/>
                <w:noProof/>
                <w:sz w:val="20"/>
                <w:szCs w:val="20"/>
              </w:rPr>
            </w:pPr>
          </w:p>
        </w:tc>
        <w:tc>
          <w:tcPr>
            <w:tcW w:w="1560" w:type="dxa"/>
            <w:vMerge/>
            <w:vAlign w:val="center"/>
            <w:hideMark/>
          </w:tcPr>
          <w:p w14:paraId="0204A995" w14:textId="77777777" w:rsidR="00E42B18" w:rsidRDefault="00E42B18">
            <w:pPr>
              <w:jc w:val="center"/>
              <w:rPr>
                <w:rFonts w:ascii="Arial Narrow" w:hAnsi="Arial Narrow"/>
                <w:b/>
                <w:noProof/>
                <w:sz w:val="20"/>
                <w:szCs w:val="20"/>
              </w:rPr>
            </w:pPr>
          </w:p>
        </w:tc>
        <w:tc>
          <w:tcPr>
            <w:tcW w:w="1588" w:type="dxa"/>
            <w:shd w:val="clear" w:color="auto" w:fill="BDD7EE"/>
            <w:vAlign w:val="center"/>
            <w:hideMark/>
          </w:tcPr>
          <w:p w14:paraId="07EA7719" w14:textId="77777777" w:rsidR="00E42B18" w:rsidRDefault="009629C4">
            <w:pPr>
              <w:pStyle w:val="P68B1DB1-Normal10"/>
              <w:jc w:val="center"/>
              <w:rPr>
                <w:noProof/>
                <w:szCs w:val="20"/>
              </w:rPr>
            </w:pPr>
            <w:r>
              <w:rPr>
                <w:noProof/>
              </w:rPr>
              <w:t>Mitta-yksikkö</w:t>
            </w:r>
          </w:p>
        </w:tc>
        <w:tc>
          <w:tcPr>
            <w:tcW w:w="1052" w:type="dxa"/>
            <w:shd w:val="clear" w:color="auto" w:fill="BDD7EE"/>
            <w:vAlign w:val="center"/>
            <w:hideMark/>
          </w:tcPr>
          <w:p w14:paraId="48E7B5E0" w14:textId="77777777" w:rsidR="00E42B18" w:rsidRDefault="009629C4">
            <w:pPr>
              <w:pStyle w:val="P68B1DB1-Normal10"/>
              <w:jc w:val="center"/>
              <w:rPr>
                <w:noProof/>
                <w:szCs w:val="20"/>
              </w:rPr>
            </w:pPr>
            <w:r>
              <w:rPr>
                <w:noProof/>
              </w:rPr>
              <w:t>Lähtötilanne</w:t>
            </w:r>
          </w:p>
        </w:tc>
        <w:tc>
          <w:tcPr>
            <w:tcW w:w="955" w:type="dxa"/>
            <w:shd w:val="clear" w:color="auto" w:fill="BDD7EE"/>
            <w:vAlign w:val="center"/>
            <w:hideMark/>
          </w:tcPr>
          <w:p w14:paraId="7C394142" w14:textId="77777777" w:rsidR="00E42B18" w:rsidRDefault="009629C4">
            <w:pPr>
              <w:pStyle w:val="P68B1DB1-Normal10"/>
              <w:jc w:val="center"/>
              <w:rPr>
                <w:noProof/>
                <w:szCs w:val="20"/>
              </w:rPr>
            </w:pPr>
            <w:r>
              <w:rPr>
                <w:noProof/>
              </w:rPr>
              <w:t>Päämäärä</w:t>
            </w:r>
          </w:p>
        </w:tc>
        <w:tc>
          <w:tcPr>
            <w:tcW w:w="825" w:type="dxa"/>
            <w:shd w:val="clear" w:color="auto" w:fill="BDD7EE"/>
            <w:vAlign w:val="center"/>
            <w:hideMark/>
          </w:tcPr>
          <w:p w14:paraId="3B896B4D" w14:textId="77777777" w:rsidR="00E42B18" w:rsidRDefault="009629C4">
            <w:pPr>
              <w:pStyle w:val="P68B1DB1-Normal10"/>
              <w:jc w:val="center"/>
              <w:rPr>
                <w:noProof/>
                <w:szCs w:val="20"/>
              </w:rPr>
            </w:pPr>
            <w:r>
              <w:rPr>
                <w:noProof/>
              </w:rPr>
              <w:t>Neljännes</w:t>
            </w:r>
          </w:p>
        </w:tc>
        <w:tc>
          <w:tcPr>
            <w:tcW w:w="630" w:type="dxa"/>
            <w:shd w:val="clear" w:color="auto" w:fill="BDD7EE"/>
            <w:vAlign w:val="center"/>
            <w:hideMark/>
          </w:tcPr>
          <w:p w14:paraId="21E63939" w14:textId="77777777" w:rsidR="00E42B18" w:rsidRDefault="009629C4">
            <w:pPr>
              <w:pStyle w:val="P68B1DB1-Normal10"/>
              <w:jc w:val="center"/>
              <w:rPr>
                <w:noProof/>
                <w:szCs w:val="20"/>
              </w:rPr>
            </w:pPr>
            <w:r>
              <w:rPr>
                <w:noProof/>
              </w:rPr>
              <w:t>Vuosi</w:t>
            </w:r>
          </w:p>
        </w:tc>
        <w:tc>
          <w:tcPr>
            <w:tcW w:w="2550" w:type="dxa"/>
            <w:vMerge/>
            <w:vAlign w:val="center"/>
            <w:hideMark/>
          </w:tcPr>
          <w:p w14:paraId="182E07CA" w14:textId="77777777" w:rsidR="00E42B18" w:rsidRDefault="00E42B18">
            <w:pPr>
              <w:rPr>
                <w:rFonts w:ascii="Arial Narrow" w:hAnsi="Arial Narrow"/>
                <w:b/>
                <w:noProof/>
                <w:sz w:val="20"/>
                <w:szCs w:val="20"/>
              </w:rPr>
            </w:pPr>
          </w:p>
        </w:tc>
      </w:tr>
      <w:tr w:rsidR="00E42B18" w14:paraId="22F48242"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26EFB6" w14:textId="77777777" w:rsidR="00E42B18" w:rsidRDefault="009629C4">
            <w:pPr>
              <w:pStyle w:val="P68B1DB1-Normal11"/>
              <w:jc w:val="center"/>
              <w:rPr>
                <w:noProof/>
                <w:szCs w:val="20"/>
              </w:rPr>
            </w:pPr>
            <w:r>
              <w:rPr>
                <w:noProof/>
              </w:rPr>
              <w:t>M4C1–1</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C6DB47" w14:textId="77777777" w:rsidR="00E42B18" w:rsidRDefault="009629C4">
            <w:pPr>
              <w:pStyle w:val="P68B1DB1-Normal11"/>
              <w:jc w:val="center"/>
              <w:rPr>
                <w:noProof/>
                <w:szCs w:val="20"/>
              </w:rPr>
            </w:pPr>
            <w:r>
              <w:rPr>
                <w:noProof/>
              </w:rPr>
              <w:t>Uudistus 1.5: Korkeakoulututkintoryhmien uudistaminen; Uudistus 1.6: Korkeakoulututkintojen uudistamisen mahdollistaminen; Uudistus 4.1: Tohtorintutkinto: Ohjelmauudistus</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ED71B8B"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487AC9" w14:textId="77777777" w:rsidR="00E42B18" w:rsidRDefault="009629C4">
            <w:pPr>
              <w:pStyle w:val="P68B1DB1-Normal11"/>
              <w:jc w:val="center"/>
              <w:rPr>
                <w:noProof/>
                <w:szCs w:val="20"/>
              </w:rPr>
            </w:pPr>
            <w:r>
              <w:rPr>
                <w:noProof/>
              </w:rPr>
              <w:t>Korkea-asteen koulutusjärjestelmän uudistusten voimaantulo koulutustulosten parantamiseksi (primaarilainsäädäntö) seuraavilla aloilla: a) korkeakoulututkintojen mahdollistaminen; b) korkeakoulututkintoryhmät; tohtorinkoulutusohjelmien uudistaminen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9B624F" w14:textId="77777777" w:rsidR="00E42B18" w:rsidRDefault="009629C4">
            <w:pPr>
              <w:pStyle w:val="P68B1DB1-Normal11"/>
              <w:jc w:val="center"/>
              <w:rPr>
                <w:noProof/>
                <w:szCs w:val="20"/>
              </w:rPr>
            </w:pPr>
            <w:r>
              <w:rPr>
                <w:noProof/>
              </w:rPr>
              <w:t>Lakiin sisältyvä uudistusten voimaantuloa koskeva säännös</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17631D"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423763"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53A15E"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6242CD" w14:textId="77777777" w:rsidR="00E42B18" w:rsidRDefault="009629C4">
            <w:pPr>
              <w:pStyle w:val="P68B1DB1-Normal11"/>
              <w:jc w:val="center"/>
              <w:rPr>
                <w:noProof/>
                <w:szCs w:val="20"/>
              </w:rPr>
            </w:pPr>
            <w:r>
              <w:rPr>
                <w:noProof/>
              </w:rPr>
              <w:t>Q4</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A9A065" w14:textId="77777777" w:rsidR="00E42B18" w:rsidRDefault="009629C4">
            <w:pPr>
              <w:pStyle w:val="P68B1DB1-Normal11"/>
              <w:jc w:val="center"/>
              <w:rPr>
                <w:noProof/>
                <w:szCs w:val="20"/>
              </w:rPr>
            </w:pPr>
            <w:r>
              <w:rPr>
                <w:noProof/>
              </w:rPr>
              <w:t>2021</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7B0826" w14:textId="72F53B1D" w:rsidR="00E42B18" w:rsidRDefault="009629C4">
            <w:pPr>
              <w:rPr>
                <w:rFonts w:ascii="Arial Narrow" w:hAnsi="Arial Narrow"/>
                <w:noProof/>
                <w:color w:val="006100"/>
                <w:sz w:val="20"/>
                <w:szCs w:val="20"/>
              </w:rPr>
            </w:pPr>
            <w:r>
              <w:rPr>
                <w:rFonts w:ascii="Arial Narrow" w:hAnsi="Arial Narrow"/>
                <w:noProof/>
                <w:color w:val="006100"/>
                <w:sz w:val="20"/>
              </w:rPr>
              <w:t xml:space="preserve">Uudistuksissa on oltava ainakin seuraavat keskeiset osatekijät: </w:t>
            </w:r>
            <w:r>
              <w:rPr>
                <w:noProof/>
              </w:rPr>
              <w:t xml:space="preserve"> </w:t>
            </w:r>
            <w:r>
              <w:rPr>
                <w:noProof/>
              </w:rPr>
              <w:br/>
            </w:r>
            <w:r>
              <w:rPr>
                <w:rFonts w:ascii="Arial Narrow" w:hAnsi="Arial Narrow"/>
                <w:noProof/>
                <w:color w:val="006100"/>
                <w:sz w:val="20"/>
              </w:rPr>
              <w:t xml:space="preserve">aloitteet korkeakoulututkintoryhmien uudistamiseksi lisäämällä joustavuutta työmarkkinoiden muuttuvan osaamiskysynnän tyydyttämiseksi; </w:t>
            </w:r>
            <w:r>
              <w:rPr>
                <w:noProof/>
              </w:rPr>
              <w:t xml:space="preserve"> </w:t>
            </w:r>
            <w:r>
              <w:rPr>
                <w:noProof/>
              </w:rPr>
              <w:br/>
            </w:r>
            <w:r>
              <w:rPr>
                <w:rFonts w:ascii="Arial Narrow" w:hAnsi="Arial Narrow"/>
                <w:noProof/>
                <w:color w:val="006100"/>
                <w:sz w:val="20"/>
              </w:rPr>
              <w:t>aloitteet, joilla uudistetaan mahdollistavia korkeakoulututkintoja ja yksinkertaistetaan ja nopeutetaan pääsyä ammatteihin;</w:t>
            </w:r>
            <w:r>
              <w:rPr>
                <w:rFonts w:ascii="Arial Narrow" w:hAnsi="Arial Narrow"/>
                <w:noProof/>
              </w:rPr>
              <w:t xml:space="preserve"> </w:t>
            </w:r>
            <w:r>
              <w:rPr>
                <w:noProof/>
              </w:rPr>
              <w:t xml:space="preserve"> </w:t>
            </w:r>
            <w:r>
              <w:rPr>
                <w:noProof/>
              </w:rPr>
              <w:br/>
            </w:r>
            <w:r>
              <w:rPr>
                <w:rFonts w:ascii="Arial Narrow" w:hAnsi="Arial Narrow"/>
                <w:noProof/>
                <w:color w:val="006100"/>
                <w:sz w:val="20"/>
              </w:rPr>
              <w:t>aloitteet PHD-ohjelmien uudistamiseksi, jotta yritykset saataisiin paremmin mukaan ja soveltava tutkimus tehostuisi;</w:t>
            </w:r>
            <w:r>
              <w:rPr>
                <w:rFonts w:ascii="Arial Narrow" w:hAnsi="Arial Narrow"/>
                <w:noProof/>
              </w:rPr>
              <w:t xml:space="preserve"> </w:t>
            </w:r>
            <w:r>
              <w:rPr>
                <w:noProof/>
              </w:rPr>
              <w:t xml:space="preserve"> </w:t>
            </w:r>
            <w:r>
              <w:rPr>
                <w:noProof/>
              </w:rPr>
              <w:br/>
            </w:r>
            <w:r>
              <w:rPr>
                <w:rFonts w:ascii="Arial Narrow" w:hAnsi="Arial Narrow"/>
                <w:noProof/>
                <w:color w:val="006100"/>
                <w:sz w:val="20"/>
              </w:rPr>
              <w:t>Toimenpiteet korkea-asteen ammatillisen koulutuksen järjestelmän uudistamiseksi, mukaan lukien yhteyksien vahvistaminen ja mahdollinen siirtyminen ammatillisiin tutkintoihin (lauree professionalizzanti), jotta voidaan vastata teknisen osaamisen kysyntään työmarkkinoilla</w:t>
            </w:r>
          </w:p>
        </w:tc>
      </w:tr>
      <w:tr w:rsidR="00E42B18" w14:paraId="4CEAB316"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5D98C" w14:textId="77777777" w:rsidR="00E42B18" w:rsidRDefault="009629C4">
            <w:pPr>
              <w:pStyle w:val="P68B1DB1-Normal11"/>
              <w:jc w:val="center"/>
              <w:rPr>
                <w:noProof/>
                <w:szCs w:val="20"/>
              </w:rPr>
            </w:pPr>
            <w:r>
              <w:rPr>
                <w:noProof/>
              </w:rPr>
              <w:t>M4C1–2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E792D8" w14:textId="77777777" w:rsidR="00E42B18" w:rsidRDefault="009629C4">
            <w:pPr>
              <w:pStyle w:val="P68B1DB1-Normal11"/>
              <w:jc w:val="center"/>
              <w:rPr>
                <w:noProof/>
                <w:szCs w:val="20"/>
              </w:rPr>
            </w:pPr>
            <w:r>
              <w:rPr>
                <w:noProof/>
              </w:rPr>
              <w:t>Investointi 1.7: Yliopisto-opiskeluapurahat</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F95124"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AC8C3" w14:textId="77777777" w:rsidR="00E42B18" w:rsidRDefault="009629C4">
            <w:pPr>
              <w:pStyle w:val="P68B1DB1-Normal11"/>
              <w:jc w:val="center"/>
              <w:rPr>
                <w:noProof/>
                <w:szCs w:val="20"/>
              </w:rPr>
            </w:pPr>
            <w:r>
              <w:rPr>
                <w:noProof/>
              </w:rPr>
              <w:t>Stipendien uudistamista koskevien ministeriöiden asetusten voimaantulo korkea-asteen koulutukseen pääsyn parantamiseksi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4D640" w14:textId="77777777" w:rsidR="00E42B18" w:rsidRDefault="009629C4">
            <w:pPr>
              <w:pStyle w:val="P68B1DB1-Normal11"/>
              <w:jc w:val="center"/>
              <w:rPr>
                <w:noProof/>
                <w:szCs w:val="20"/>
              </w:rPr>
            </w:pPr>
            <w:r>
              <w:rPr>
                <w:noProof/>
              </w:rPr>
              <w:t>Lain säännös, josta käy ilmi uudistuksen voimaantulo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C474B"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47CD69"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9FDB5B"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AF2453" w14:textId="77777777" w:rsidR="00E42B18" w:rsidRDefault="009629C4">
            <w:pPr>
              <w:pStyle w:val="P68B1DB1-Normal11"/>
              <w:jc w:val="center"/>
              <w:rPr>
                <w:noProof/>
                <w:szCs w:val="20"/>
              </w:rPr>
            </w:pPr>
            <w:r>
              <w:rPr>
                <w:noProof/>
              </w:rPr>
              <w:t>Q4</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115E25" w14:textId="77777777" w:rsidR="00E42B18" w:rsidRDefault="009629C4">
            <w:pPr>
              <w:pStyle w:val="P68B1DB1-Normal11"/>
              <w:jc w:val="center"/>
              <w:rPr>
                <w:noProof/>
                <w:szCs w:val="20"/>
              </w:rPr>
            </w:pPr>
            <w:r>
              <w:rPr>
                <w:noProof/>
              </w:rPr>
              <w:t>2021</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556AB0" w14:textId="7691BEAD" w:rsidR="00E42B18" w:rsidRDefault="009629C4">
            <w:pPr>
              <w:pStyle w:val="P68B1DB1-Normal11"/>
              <w:rPr>
                <w:noProof/>
                <w:szCs w:val="20"/>
              </w:rPr>
            </w:pPr>
            <w:r>
              <w:rPr>
                <w:noProof/>
              </w:rPr>
              <w:t>Yliopisto- ja tutkimusministeriön stipendiuudistusta koskevilla ministeriön asetuksilla parannetaan sosioekonomisissa vaikeuksissa olevien lahjakkaiden opiskelijoiden pääsyä korkea-asteen koulutukseen ja lisätään apurahojen määrää ja edunsaajien määrää 31 päivään joulukuuta 2024 saakka. Nämä opiskelijat tunnistetaan ISEE – Indicatore della Situazione Economica Equivalenten perusteella.</w:t>
            </w:r>
          </w:p>
        </w:tc>
      </w:tr>
      <w:tr w:rsidR="00E42B18" w14:paraId="6ABB7E21"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E521F7" w14:textId="77777777" w:rsidR="00E42B18" w:rsidRDefault="009629C4">
            <w:pPr>
              <w:pStyle w:val="P68B1DB1-Normal11"/>
              <w:jc w:val="center"/>
              <w:rPr>
                <w:noProof/>
                <w:szCs w:val="20"/>
              </w:rPr>
            </w:pPr>
            <w:r>
              <w:rPr>
                <w:noProof/>
              </w:rPr>
              <w:t>M4C1–3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B54EBCE" w14:textId="77777777" w:rsidR="00E42B18" w:rsidRDefault="009629C4">
            <w:pPr>
              <w:pStyle w:val="P68B1DB1-Normal11"/>
              <w:jc w:val="center"/>
              <w:rPr>
                <w:noProof/>
                <w:szCs w:val="20"/>
              </w:rPr>
            </w:pPr>
            <w:r>
              <w:rPr>
                <w:noProof/>
              </w:rPr>
              <w:t>Uudistus 2.1: Opettajien rekrytointi</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E706F7"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03165C" w14:textId="77777777" w:rsidR="00E42B18" w:rsidRDefault="009629C4">
            <w:pPr>
              <w:pStyle w:val="P68B1DB1-Normal11"/>
              <w:jc w:val="center"/>
              <w:rPr>
                <w:noProof/>
                <w:szCs w:val="20"/>
              </w:rPr>
            </w:pPr>
            <w:r>
              <w:rPr>
                <w:noProof/>
              </w:rPr>
              <w:t>Opettajan ammattia koskevan uudistuksen voimaantulo.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7D9F16" w14:textId="77777777" w:rsidR="00E42B18" w:rsidRDefault="009629C4">
            <w:pPr>
              <w:pStyle w:val="P68B1DB1-Normal11"/>
              <w:jc w:val="center"/>
              <w:rPr>
                <w:noProof/>
                <w:szCs w:val="20"/>
              </w:rPr>
            </w:pPr>
            <w:r>
              <w:rPr>
                <w:noProof/>
              </w:rPr>
              <w:t>Lain säännös, josta käy ilmi uudistuksen voimaantulo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4CFCC3"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89A2A6"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31A408"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26E85B3" w14:textId="77777777" w:rsidR="00E42B18" w:rsidRDefault="009629C4">
            <w:pPr>
              <w:pStyle w:val="P68B1DB1-Normal11"/>
              <w:jc w:val="center"/>
              <w:rPr>
                <w:noProof/>
                <w:szCs w:val="20"/>
              </w:rPr>
            </w:pPr>
            <w:r>
              <w:rPr>
                <w:noProof/>
              </w:rPr>
              <w:t>Q2</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0BDFBF" w14:textId="77777777" w:rsidR="00E42B18" w:rsidRDefault="009629C4">
            <w:pPr>
              <w:pStyle w:val="P68B1DB1-Normal11"/>
              <w:jc w:val="center"/>
              <w:rPr>
                <w:noProof/>
                <w:szCs w:val="20"/>
              </w:rPr>
            </w:pPr>
            <w:r>
              <w:rPr>
                <w:noProof/>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937350" w14:textId="1D05B71B" w:rsidR="00E42B18" w:rsidRDefault="009629C4">
            <w:pPr>
              <w:rPr>
                <w:rFonts w:ascii="Arial Narrow" w:hAnsi="Arial Narrow"/>
                <w:noProof/>
                <w:color w:val="006100"/>
                <w:sz w:val="20"/>
                <w:szCs w:val="20"/>
              </w:rPr>
            </w:pPr>
            <w:r>
              <w:rPr>
                <w:rFonts w:ascii="Arial Narrow" w:hAnsi="Arial Narrow"/>
                <w:noProof/>
                <w:color w:val="006100"/>
                <w:sz w:val="20"/>
              </w:rPr>
              <w:t xml:space="preserve">Tarkistetulla oikeudellisella kehyksellä houkutellaan, rekrytoidaan ja motivoidaan laadukkaita opettajia erityisesti seuraavin keinoin: </w:t>
            </w:r>
            <w:r>
              <w:rPr>
                <w:noProof/>
              </w:rPr>
              <w:t xml:space="preserve"> </w:t>
            </w:r>
            <w:r>
              <w:rPr>
                <w:noProof/>
              </w:rPr>
              <w:br/>
            </w:r>
            <w:r>
              <w:rPr>
                <w:rFonts w:ascii="Arial Narrow" w:hAnsi="Arial Narrow"/>
                <w:noProof/>
                <w:color w:val="006100"/>
                <w:sz w:val="20"/>
              </w:rPr>
              <w:t xml:space="preserve">I) rekrytointijärjestelmän parantaminen </w:t>
            </w:r>
            <w:r>
              <w:rPr>
                <w:noProof/>
              </w:rPr>
              <w:t xml:space="preserve"> </w:t>
            </w:r>
            <w:r>
              <w:rPr>
                <w:noProof/>
              </w:rPr>
              <w:br/>
              <w:t xml:space="preserve"> </w:t>
            </w:r>
            <w:r>
              <w:rPr>
                <w:rFonts w:ascii="Arial Narrow" w:hAnsi="Arial Narrow"/>
                <w:noProof/>
                <w:color w:val="006100"/>
                <w:sz w:val="20"/>
              </w:rPr>
              <w:t xml:space="preserve">II) korkeamman tutkinnon käyttöönotto opetuksessa, jotta ammattiin pääsee toisen asteen oppilaitoksessa; </w:t>
            </w:r>
            <w:r>
              <w:rPr>
                <w:noProof/>
              </w:rPr>
              <w:t xml:space="preserve"> </w:t>
            </w:r>
            <w:r>
              <w:rPr>
                <w:noProof/>
              </w:rPr>
              <w:br/>
            </w:r>
            <w:r>
              <w:rPr>
                <w:rFonts w:ascii="Arial Narrow" w:hAnsi="Arial Narrow"/>
                <w:noProof/>
                <w:color w:val="006100"/>
                <w:sz w:val="20"/>
              </w:rPr>
              <w:t>III) rajoitetaan opettajien liiallista liikkuvuutta (opetuksen jatkuvuuden vuoksi)</w:t>
            </w:r>
            <w:r>
              <w:rPr>
                <w:rFonts w:ascii="Arial Narrow" w:hAnsi="Arial Narrow"/>
                <w:noProof/>
              </w:rPr>
              <w:t xml:space="preserve"> </w:t>
            </w:r>
            <w:r>
              <w:rPr>
                <w:noProof/>
              </w:rPr>
              <w:t xml:space="preserve"> </w:t>
            </w:r>
            <w:r>
              <w:rPr>
                <w:noProof/>
              </w:rPr>
              <w:br/>
            </w:r>
            <w:r>
              <w:rPr>
                <w:rFonts w:ascii="Arial Narrow" w:hAnsi="Arial Narrow"/>
                <w:noProof/>
                <w:color w:val="006100"/>
                <w:sz w:val="20"/>
              </w:rPr>
              <w:t>asetetaan urakehitys, joka liittyy selvästi suorituskyvyn arviointiin ja jatkuvaan ammatilliseen kehittymiseen.</w:t>
            </w:r>
          </w:p>
        </w:tc>
      </w:tr>
      <w:tr w:rsidR="00E42B18" w14:paraId="5A161C33"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E2AF6D" w14:textId="77777777" w:rsidR="00E42B18" w:rsidRDefault="009629C4">
            <w:pPr>
              <w:pStyle w:val="P68B1DB1-Normal11"/>
              <w:jc w:val="center"/>
              <w:rPr>
                <w:noProof/>
                <w:szCs w:val="20"/>
              </w:rPr>
            </w:pPr>
            <w:r>
              <w:rPr>
                <w:noProof/>
              </w:rPr>
              <w:t>M4C1–4</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70B09A" w14:textId="77777777" w:rsidR="00E42B18" w:rsidRDefault="009629C4">
            <w:pPr>
              <w:pStyle w:val="P68B1DB1-Normal11"/>
              <w:jc w:val="center"/>
              <w:rPr>
                <w:noProof/>
                <w:szCs w:val="20"/>
              </w:rPr>
            </w:pPr>
            <w:r>
              <w:rPr>
                <w:noProof/>
              </w:rPr>
              <w:t>Investointi 3.2: Koulu 4.0: innovatiiviset koulut, kaapelointi, uudet luokkahuoneet ja työpajat</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33F325"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0374D6" w14:textId="77777777" w:rsidR="00E42B18" w:rsidRDefault="009629C4">
            <w:pPr>
              <w:pStyle w:val="P68B1DB1-Normal11"/>
              <w:jc w:val="center"/>
              <w:rPr>
                <w:noProof/>
                <w:szCs w:val="20"/>
              </w:rPr>
            </w:pPr>
            <w:r>
              <w:rPr>
                <w:noProof/>
              </w:rPr>
              <w:t>Koulu 4.0 Suunnitelma Italian koulujärjestelmän digitaalisen siirtymän edistämiseksi hyväksytään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A5F789" w14:textId="77777777" w:rsidR="00E42B18" w:rsidRDefault="009629C4">
            <w:pPr>
              <w:pStyle w:val="P68B1DB1-Normal11"/>
              <w:jc w:val="center"/>
              <w:rPr>
                <w:noProof/>
                <w:szCs w:val="20"/>
              </w:rPr>
            </w:pPr>
            <w:r>
              <w:rPr>
                <w:noProof/>
              </w:rPr>
              <w:t>Opetusministeriö – asetus koulu 4.0 -suunnitelman hyväksymisestä</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15F951"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50A7B42"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275CDC"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7221B24" w14:textId="77777777" w:rsidR="00E42B18" w:rsidRDefault="009629C4">
            <w:pPr>
              <w:pStyle w:val="P68B1DB1-Normal11"/>
              <w:jc w:val="center"/>
              <w:rPr>
                <w:noProof/>
                <w:szCs w:val="20"/>
              </w:rPr>
            </w:pPr>
            <w:r>
              <w:rPr>
                <w:noProof/>
              </w:rPr>
              <w:t>Q2</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2782F43" w14:textId="77777777" w:rsidR="00E42B18" w:rsidRDefault="009629C4">
            <w:pPr>
              <w:pStyle w:val="P68B1DB1-Normal11"/>
              <w:jc w:val="center"/>
              <w:rPr>
                <w:noProof/>
                <w:szCs w:val="20"/>
              </w:rPr>
            </w:pPr>
            <w:r>
              <w:rPr>
                <w:noProof/>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7B9E87D" w14:textId="77777777" w:rsidR="00E42B18" w:rsidRDefault="009629C4">
            <w:pPr>
              <w:pStyle w:val="P68B1DB1-Normal11"/>
              <w:rPr>
                <w:noProof/>
                <w:szCs w:val="20"/>
              </w:rPr>
            </w:pPr>
            <w:r>
              <w:rPr>
                <w:noProof/>
              </w:rPr>
              <w:t>Opetusministeriön hyväksymään koulu 4.0 -suunnitelmaan, jolla edistetään Italian koulujärjestelmän digitaalista siirtymää, on sisällyttävä</w:t>
            </w:r>
          </w:p>
          <w:p w14:paraId="32190ABB" w14:textId="77777777" w:rsidR="00E42B18" w:rsidRDefault="009629C4">
            <w:pPr>
              <w:pStyle w:val="P68B1DB1-Normal11"/>
              <w:rPr>
                <w:noProof/>
                <w:szCs w:val="20"/>
              </w:rPr>
            </w:pPr>
            <w:r>
              <w:rPr>
                <w:noProof/>
              </w:rPr>
              <w:t>100000 luokkahuoneen muuttaminen innovatiivisiksi oppimisympäristöiksi</w:t>
            </w:r>
          </w:p>
          <w:p w14:paraId="05BD8393" w14:textId="77777777" w:rsidR="00E42B18" w:rsidRDefault="009629C4">
            <w:pPr>
              <w:pStyle w:val="P68B1DB1-Normal11"/>
              <w:rPr>
                <w:noProof/>
                <w:szCs w:val="20"/>
              </w:rPr>
            </w:pPr>
            <w:r>
              <w:rPr>
                <w:noProof/>
              </w:rPr>
              <w:t>b) laboratorioiden perustaminen uusia digitaalisia ammatteja varten kaikissa lukioissa.</w:t>
            </w:r>
          </w:p>
          <w:p w14:paraId="526D577F" w14:textId="77777777" w:rsidR="00E42B18" w:rsidRDefault="009629C4">
            <w:pPr>
              <w:pStyle w:val="P68B1DB1-Normal11"/>
              <w:rPr>
                <w:noProof/>
                <w:szCs w:val="20"/>
              </w:rPr>
            </w:pPr>
            <w:r>
              <w:rPr>
                <w:noProof/>
              </w:rPr>
              <w:t>Toimi a) muutetaan perinteisille luokkahuoneille tarkoitetut koulutilat innovatiivisiksi, mukautuviksi ja joustaviksi oppimisympäristöiksi, jotka ovat yhteydessä digitaalisiin, fyysisiin ja virtuaalisiin teknologioihin ja jotka on yhdistetty toisiinsa. Koulutiloihin tehtävillä investoinneilla on tuotava innovatiivisimmat opetusteknologiat (koodaus- ja robotiikkalaitteet, virtuaalitodellisuuslaitteet, edistyneet digitaaliset laitteet osallistavaa koulutusta varten jne.) vähintään 100000 oppitunneilla käytettävään perus- ja keskiasteen koulujen luokkahuoneeseen.</w:t>
            </w:r>
          </w:p>
          <w:p w14:paraId="47C28CB6" w14:textId="77777777" w:rsidR="00E42B18" w:rsidRDefault="009629C4">
            <w:pPr>
              <w:pStyle w:val="P68B1DB1-Normal11"/>
              <w:rPr>
                <w:noProof/>
                <w:szCs w:val="20"/>
              </w:rPr>
            </w:pPr>
            <w:r>
              <w:rPr>
                <w:noProof/>
              </w:rPr>
              <w:t>Toimella b) perustetaan jokaiseen lukioon vähintään yksi digitaalisia ammatteja käsittelevä laboratorio, joka on tiiviisti yhteydessä yrityksiin ja innovatiivisiin startup-yrityksiin uusien työpaikkojen luomiseksi uusien digitaalisten ammattien alalla (kuten tekoäly, robotiikka, massadata, kyberturvallisuus, sininen ja vihreä talous).</w:t>
            </w:r>
          </w:p>
          <w:p w14:paraId="0D9CF956" w14:textId="77777777" w:rsidR="00E42B18" w:rsidRDefault="009629C4">
            <w:pPr>
              <w:pStyle w:val="P68B1DB1-Normal11"/>
              <w:rPr>
                <w:noProof/>
                <w:szCs w:val="20"/>
              </w:rPr>
            </w:pPr>
            <w:r>
              <w:rPr>
                <w:noProof/>
              </w:rPr>
              <w:t>Tukea saavista kouluista vähintään 40 prosentin on sijaittava Etelä-Italiassa.</w:t>
            </w:r>
          </w:p>
        </w:tc>
      </w:tr>
      <w:tr w:rsidR="00E42B18" w14:paraId="6304583B"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44C711" w14:textId="77777777" w:rsidR="00E42B18" w:rsidRDefault="009629C4">
            <w:pPr>
              <w:pStyle w:val="P68B1DB1-Normal11"/>
              <w:jc w:val="center"/>
              <w:rPr>
                <w:noProof/>
                <w:szCs w:val="20"/>
              </w:rPr>
            </w:pPr>
            <w:r>
              <w:rPr>
                <w:noProof/>
              </w:rPr>
              <w:t>M4C1–5</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2959849" w14:textId="77777777" w:rsidR="00E42B18" w:rsidRDefault="009629C4">
            <w:pPr>
              <w:pStyle w:val="P68B1DB1-Normal11"/>
              <w:jc w:val="center"/>
              <w:rPr>
                <w:noProof/>
                <w:szCs w:val="20"/>
              </w:rPr>
            </w:pPr>
            <w:r>
              <w:rPr>
                <w:noProof/>
              </w:rPr>
              <w:t>Uudistus 1.3: Koulujärjestelmän uudelleenorganisointi; Uudistus 1.2: Korkea-asteen ammatillisen koulutuksen järjestelmän (ITS) uudistaminen; Uudistus 1.1: Teknisten ja ammatillisten instituuttien uudistaminen; Uudistus 1.4: Suuntaviivajärjestelmän uudistaminen</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0022CD" w14:textId="77777777" w:rsidR="00E42B18" w:rsidRDefault="009629C4">
            <w:pPr>
              <w:pStyle w:val="P68B1DB1-Normal11"/>
              <w:jc w:val="center"/>
              <w:rPr>
                <w:noProof/>
                <w:szCs w:val="20"/>
              </w:rPr>
            </w:pPr>
            <w:r>
              <w:rPr>
                <w:noProof/>
              </w:rPr>
              <w:t>Välitavoitteet</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43FD18" w14:textId="77777777" w:rsidR="00E42B18" w:rsidRDefault="009629C4">
            <w:pPr>
              <w:pStyle w:val="P68B1DB1-Normal11"/>
              <w:jc w:val="center"/>
              <w:rPr>
                <w:noProof/>
                <w:szCs w:val="20"/>
              </w:rPr>
            </w:pPr>
            <w:r>
              <w:rPr>
                <w:noProof/>
              </w:rPr>
              <w:t>Perus- ja keskiasteen koulutusjärjestelmän uudistusten voimaantulo koulutustulosten parantamiseksi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B516DD7" w14:textId="77777777" w:rsidR="00E42B18" w:rsidRDefault="009629C4">
            <w:pPr>
              <w:pStyle w:val="P68B1DB1-Normal11"/>
              <w:jc w:val="center"/>
              <w:rPr>
                <w:noProof/>
                <w:szCs w:val="20"/>
              </w:rPr>
            </w:pPr>
            <w:r>
              <w:rPr>
                <w:noProof/>
              </w:rPr>
              <w:t>Lakiin sisältyvä uudistusten voimaantuloa koskeva säännös</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EFAF10"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1BF079"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E52EDD"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43DD7A" w14:textId="77777777" w:rsidR="00E42B18" w:rsidRDefault="009629C4">
            <w:pPr>
              <w:pStyle w:val="P68B1DB1-Normal11"/>
              <w:jc w:val="center"/>
              <w:rPr>
                <w:noProof/>
                <w:szCs w:val="20"/>
              </w:rPr>
            </w:pPr>
            <w:r>
              <w:rPr>
                <w:noProof/>
              </w:rPr>
              <w:t>Q4</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29481A4" w14:textId="77777777" w:rsidR="00E42B18" w:rsidRDefault="009629C4">
            <w:pPr>
              <w:pStyle w:val="P68B1DB1-Normal11"/>
              <w:jc w:val="center"/>
              <w:rPr>
                <w:noProof/>
                <w:szCs w:val="20"/>
              </w:rPr>
            </w:pPr>
            <w:r>
              <w:rPr>
                <w:noProof/>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3E2EC6" w14:textId="0D2B386A" w:rsidR="00E42B18" w:rsidRDefault="009629C4">
            <w:pPr>
              <w:rPr>
                <w:rFonts w:ascii="Arial Narrow" w:hAnsi="Arial Narrow"/>
                <w:noProof/>
                <w:color w:val="006100"/>
                <w:sz w:val="20"/>
                <w:szCs w:val="20"/>
              </w:rPr>
            </w:pPr>
            <w:r>
              <w:rPr>
                <w:rFonts w:ascii="Arial Narrow" w:hAnsi="Arial Narrow"/>
                <w:noProof/>
                <w:color w:val="006100"/>
                <w:sz w:val="20"/>
              </w:rPr>
              <w:t xml:space="preserve">Alemman ja ylemmän perusasteen koulutusjärjestelmän primaarilainsäädännön uudistuksissa koulutustulosten parantamiseksi (primäärilainsäädännöllä) on oltava ainakin seuraavat keskeiset osatekijät: </w:t>
            </w:r>
            <w:r>
              <w:rPr>
                <w:noProof/>
              </w:rPr>
              <w:t xml:space="preserve"> </w:t>
            </w:r>
            <w:r>
              <w:rPr>
                <w:noProof/>
              </w:rPr>
              <w:br/>
            </w:r>
            <w:r>
              <w:rPr>
                <w:rFonts w:ascii="Arial Narrow" w:hAnsi="Arial Narrow"/>
                <w:noProof/>
                <w:color w:val="006100"/>
                <w:sz w:val="20"/>
              </w:rPr>
              <w:t>I) Aloitteet koulutusjärjestelmän organisoinnin uudistamiseksi väestönkehitykseen mukautumiseksi (esimerkiksi koulujen ja oppilaiden ja opettajien määrä)</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aloitteet suuntautumisjärjestelmän uudistamiseksi korkea-asteen koulutuksen keskeyttäneiden määrän minimoimiseksi;</w:t>
            </w:r>
            <w:r>
              <w:rPr>
                <w:rFonts w:ascii="Arial Narrow" w:hAnsi="Arial Narrow"/>
                <w:noProof/>
              </w:rPr>
              <w:t xml:space="preserve"> </w:t>
            </w:r>
            <w:r>
              <w:rPr>
                <w:noProof/>
              </w:rPr>
              <w:t xml:space="preserve"> </w:t>
            </w:r>
            <w:r>
              <w:rPr>
                <w:noProof/>
              </w:rPr>
              <w:br/>
            </w:r>
            <w:r>
              <w:rPr>
                <w:rFonts w:ascii="Arial Narrow" w:hAnsi="Arial Narrow"/>
                <w:noProof/>
                <w:color w:val="006100"/>
                <w:sz w:val="20"/>
              </w:rPr>
              <w:t>aloitteet toisen asteen ammatillisen koulutuksen vahvistamiseksi (Istituti tecnico- Professionali), mukaan lukien uuden opetussuunnitelman hyväksyminen ja sen suuntaaminen kansallisen teollisuus 4.0 -suunnitelman innovaatiotuotokseen (Ministero dello Sviluppo economico, Decreto 26 Maggio 2020);</w:t>
            </w:r>
            <w:r>
              <w:rPr>
                <w:rFonts w:ascii="Arial Narrow" w:hAnsi="Arial Narrow"/>
                <w:noProof/>
              </w:rPr>
              <w:t xml:space="preserve"> </w:t>
            </w:r>
            <w:r>
              <w:rPr>
                <w:noProof/>
              </w:rPr>
              <w:t xml:space="preserve"> </w:t>
            </w:r>
            <w:r>
              <w:rPr>
                <w:noProof/>
              </w:rPr>
              <w:br/>
            </w:r>
            <w:r>
              <w:rPr>
                <w:rFonts w:ascii="Arial Narrow" w:hAnsi="Arial Narrow"/>
                <w:noProof/>
                <w:color w:val="006100"/>
                <w:sz w:val="20"/>
              </w:rPr>
              <w:t>aloitteet koulujen johtajien, opettajien ja hallinto-/teknisen henkilöstön kouluttamiseksi sekä korkea-asteen jatkokoulun perustaminen opetuksen laadun parantamiseksi;</w:t>
            </w:r>
            <w:r>
              <w:rPr>
                <w:rFonts w:ascii="Arial Narrow" w:hAnsi="Arial Narrow"/>
                <w:noProof/>
              </w:rPr>
              <w:t xml:space="preserve"> </w:t>
            </w:r>
            <w:r>
              <w:rPr>
                <w:noProof/>
              </w:rPr>
              <w:t xml:space="preserve"> </w:t>
            </w:r>
            <w:r>
              <w:rPr>
                <w:noProof/>
              </w:rPr>
              <w:br/>
            </w:r>
            <w:r>
              <w:rPr>
                <w:rFonts w:ascii="Arial Narrow" w:hAnsi="Arial Narrow"/>
                <w:noProof/>
                <w:color w:val="006100"/>
                <w:sz w:val="20"/>
              </w:rPr>
              <w:t>aloitteet sellaisten toimien, menetelmien ja sisältöjen integroimiseksi, joilla pyritään kehittämään ja vahvistamaan luonnontieteiden, teknologian, insinööritieteiden ja matematiikan (STEM-aineet) opetussuunnitelmia, digitaalisia taitoja ja innovointitaitoja kaikissa koulutuskierroksissa lastentarhasta toisen asteen kouluun, jotta voidaan edistää erityisesti naisten osallistumista korkea-asteen STEM-aineiden opetussuunnitelmiin.</w:t>
            </w:r>
          </w:p>
          <w:p w14:paraId="1A950C44" w14:textId="77777777" w:rsidR="00E42B18" w:rsidRDefault="009629C4">
            <w:pPr>
              <w:pStyle w:val="P68B1DB1-Normal11"/>
              <w:rPr>
                <w:noProof/>
                <w:szCs w:val="20"/>
              </w:rPr>
            </w:pPr>
            <w:r>
              <w:rPr>
                <w:noProof/>
              </w:rPr>
              <w:t>Jotta välitavoite voidaan saavuttaa tyydyttävästi, lainsäädäntöön on sisällytettävä pakolliset määräajat johdetun oikeuden, ohjeiden ja kaikkien tarvittavien säännösten antamiselle (opetusministeriön tietokannan seuranta) sujuvan täytäntöönpanon varmistamiseksi.</w:t>
            </w:r>
          </w:p>
        </w:tc>
      </w:tr>
      <w:tr w:rsidR="00E42B18" w14:paraId="5F835BB2"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9ACDF" w14:textId="77777777" w:rsidR="00E42B18" w:rsidRDefault="009629C4">
            <w:pPr>
              <w:pStyle w:val="P68B1DB1-Normal11"/>
              <w:jc w:val="center"/>
              <w:rPr>
                <w:noProof/>
                <w:szCs w:val="20"/>
              </w:rPr>
            </w:pPr>
            <w:r>
              <w:rPr>
                <w:noProof/>
              </w:rPr>
              <w:t>M4C1–6</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29ADE5" w14:textId="77777777" w:rsidR="00E42B18" w:rsidRDefault="009629C4">
            <w:pPr>
              <w:pStyle w:val="P68B1DB1-Normal11"/>
              <w:jc w:val="center"/>
              <w:rPr>
                <w:noProof/>
                <w:szCs w:val="20"/>
              </w:rPr>
            </w:pPr>
            <w:r>
              <w:rPr>
                <w:noProof/>
              </w:rPr>
              <w:t>Uudistus 2.2: Korkea-asteen koulutus ja jatkokoulutus koulujen johtajille, opettajille sekä hallinto- ja tekniselle henkilöstölle</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0FD96"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0D43B3" w14:textId="77777777" w:rsidR="00E42B18" w:rsidRDefault="009629C4">
            <w:pPr>
              <w:pStyle w:val="P68B1DB1-Normal11"/>
              <w:jc w:val="center"/>
              <w:rPr>
                <w:noProof/>
                <w:szCs w:val="20"/>
              </w:rPr>
            </w:pPr>
            <w:r>
              <w:rPr>
                <w:noProof/>
              </w:rPr>
              <w:t>Laadukkaan koulutusjärjestelmän kehittämistä koulua varten koskevan lainsäädännön voimaantulo.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B0C8F" w14:textId="77777777" w:rsidR="00E42B18" w:rsidRDefault="009629C4">
            <w:pPr>
              <w:pStyle w:val="P68B1DB1-Normal11"/>
              <w:jc w:val="center"/>
              <w:rPr>
                <w:noProof/>
                <w:szCs w:val="20"/>
              </w:rPr>
            </w:pPr>
            <w:r>
              <w:rPr>
                <w:noProof/>
              </w:rPr>
              <w:t>Lain säännös, josta käy ilmi lainsäädännön voimaantulo.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D9E52"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F777E"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81675"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25FBF" w14:textId="77777777" w:rsidR="00E42B18" w:rsidRDefault="009629C4">
            <w:pPr>
              <w:pStyle w:val="P68B1DB1-Normal11"/>
              <w:jc w:val="center"/>
              <w:rPr>
                <w:noProof/>
                <w:szCs w:val="20"/>
              </w:rPr>
            </w:pPr>
            <w:r>
              <w:rPr>
                <w:noProof/>
              </w:rPr>
              <w:t>Q4</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FE2AD" w14:textId="77777777" w:rsidR="00E42B18" w:rsidRDefault="009629C4">
            <w:pPr>
              <w:pStyle w:val="P68B1DB1-Normal11"/>
              <w:jc w:val="center"/>
              <w:rPr>
                <w:noProof/>
                <w:szCs w:val="20"/>
              </w:rPr>
            </w:pPr>
            <w:r>
              <w:rPr>
                <w:noProof/>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7DAD8" w14:textId="77777777" w:rsidR="00E42B18" w:rsidRDefault="009629C4">
            <w:pPr>
              <w:pStyle w:val="P68B1DB1-Normal11"/>
              <w:rPr>
                <w:noProof/>
                <w:szCs w:val="20"/>
              </w:rPr>
            </w:pPr>
            <w:r>
              <w:rPr>
                <w:noProof/>
              </w:rPr>
              <w:t>Lainsäädäntöön on sisällyttävä säännöksiä, joilla pyritään luomaan laadukas koulutusjärjestelmä koulun henkilöstölle jatkuvan ammatillisen ja urakehityksen mukaisesti, perustamaan pätevä elin, joka vastaa koulun henkilöstön koulutusta koskevista suuntaviivoista, koulutusaloitteiden valinnasta ja koordinoinnista, ja kytkemään ne rekrytointiuudistuksen mukaiseen urakehitykseen. Perus- ja jatkokoulutusjärjestelmän täytäntöönpanon pitäisi mahdollistaa koulutuspolkujen nykyisen hajanaisuuden poistaminen, sillä tällä hetkellä ei ole yhtenäistä kansallista strategiaa.</w:t>
            </w:r>
          </w:p>
        </w:tc>
      </w:tr>
      <w:tr w:rsidR="00E42B18" w14:paraId="708B2F74"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61A397" w14:textId="77777777" w:rsidR="00E42B18" w:rsidRDefault="009629C4">
            <w:pPr>
              <w:pStyle w:val="P68B1DB1-Normal11"/>
              <w:jc w:val="center"/>
              <w:rPr>
                <w:noProof/>
                <w:szCs w:val="20"/>
              </w:rPr>
            </w:pPr>
            <w:r>
              <w:rPr>
                <w:noProof/>
              </w:rPr>
              <w:t>M4C1–7</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CDAF39" w14:textId="77777777" w:rsidR="00E42B18" w:rsidRDefault="009629C4">
            <w:pPr>
              <w:pStyle w:val="P68B1DB1-Normal11"/>
              <w:jc w:val="center"/>
              <w:rPr>
                <w:noProof/>
                <w:szCs w:val="20"/>
              </w:rPr>
            </w:pPr>
            <w:r>
              <w:rPr>
                <w:noProof/>
              </w:rPr>
              <w:t>Investointi 1.4: Poikkeukselliset toimet, joilla pyritään kaventamaan alueellisia eroja ylä- ja toisen asteen koulukierroissa ja puuttumaan koulunkäynnin keskeyttämiseen</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C7EF9B" w14:textId="77777777" w:rsidR="00E42B18" w:rsidRDefault="009629C4">
            <w:pPr>
              <w:pStyle w:val="P68B1DB1-Normal11"/>
              <w:jc w:val="center"/>
              <w:rPr>
                <w:noProof/>
                <w:szCs w:val="20"/>
              </w:rPr>
            </w:pPr>
            <w:r>
              <w:rPr>
                <w:noProof/>
              </w:rPr>
              <w:t>Kohde</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3FD53D" w14:textId="77777777" w:rsidR="00E42B18" w:rsidRDefault="009629C4">
            <w:pPr>
              <w:pStyle w:val="P68B1DB1-Normal12"/>
              <w:jc w:val="center"/>
              <w:rPr>
                <w:noProof/>
              </w:rPr>
            </w:pPr>
            <w:r>
              <w:rPr>
                <w:noProof/>
              </w:rPr>
              <w:t>Mentorointitoimintaan tai koulutuskursseille osallistuneet opiskelijat tai nuoret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E46D62" w14:textId="77777777" w:rsidR="00E42B18" w:rsidRDefault="009629C4">
            <w:pPr>
              <w:pStyle w:val="P68B1DB1-Normal12"/>
              <w:jc w:val="center"/>
              <w:rPr>
                <w:noProof/>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453BD8" w14:textId="77777777" w:rsidR="00E42B18" w:rsidRDefault="009629C4">
            <w:pPr>
              <w:pStyle w:val="P68B1DB1-Normal11"/>
              <w:jc w:val="center"/>
              <w:rPr>
                <w:noProof/>
                <w:szCs w:val="20"/>
              </w:rPr>
            </w:pPr>
            <w:r>
              <w:rPr>
                <w:noProof/>
              </w:rPr>
              <w:t>Numero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158F08" w14:textId="77777777" w:rsidR="00E42B18" w:rsidRDefault="009629C4">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1CFD45" w14:textId="12753859" w:rsidR="00E42B18" w:rsidRDefault="009629C4">
            <w:pPr>
              <w:pStyle w:val="P68B1DB1-Normal11"/>
              <w:jc w:val="center"/>
              <w:rPr>
                <w:noProof/>
                <w:szCs w:val="20"/>
              </w:rPr>
            </w:pPr>
            <w:r>
              <w:rPr>
                <w:noProof/>
              </w:rPr>
              <w:t>820</w:t>
            </w:r>
            <w:r>
              <w:rPr>
                <w:noProof/>
                <w:szCs w:val="20"/>
              </w:rPr>
              <w:t xml:space="preserve"> </w:t>
            </w:r>
            <w:r>
              <w:rPr>
                <w:noProof/>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2D3853" w14:textId="77777777" w:rsidR="00E42B18" w:rsidRDefault="009629C4">
            <w:pPr>
              <w:pStyle w:val="P68B1DB1-Normal11"/>
              <w:jc w:val="center"/>
              <w:rPr>
                <w:noProof/>
                <w:szCs w:val="20"/>
              </w:rPr>
            </w:pPr>
            <w:r>
              <w:rPr>
                <w:noProof/>
              </w:rPr>
              <w:t>Q3</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6B673" w14:textId="77777777" w:rsidR="00E42B18" w:rsidRDefault="009629C4">
            <w:pPr>
              <w:pStyle w:val="P68B1DB1-Normal11"/>
              <w:jc w:val="center"/>
              <w:rPr>
                <w:noProof/>
                <w:szCs w:val="20"/>
              </w:rPr>
            </w:pPr>
            <w:r>
              <w:rPr>
                <w:noProof/>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221BA5" w14:textId="23D0776C" w:rsidR="00E42B18" w:rsidRDefault="009629C4">
            <w:pPr>
              <w:rPr>
                <w:rFonts w:ascii="Arial Narrow" w:hAnsi="Arial Narrow"/>
                <w:noProof/>
                <w:color w:val="006100"/>
                <w:sz w:val="20"/>
                <w:szCs w:val="20"/>
              </w:rPr>
            </w:pPr>
            <w:r>
              <w:rPr>
                <w:noProof/>
              </w:rPr>
              <w:t xml:space="preserve">Mentorointi- ja koulutustoimiin osallistumista koskevat </w:t>
            </w:r>
            <w:r>
              <w:rPr>
                <w:rFonts w:ascii="Arial Narrow" w:hAnsi="Arial Narrow"/>
                <w:noProof/>
                <w:color w:val="006100"/>
                <w:sz w:val="20"/>
                <w:szCs w:val="20"/>
              </w:rPr>
              <w:t xml:space="preserve">todistukset on annettava vähintään 820000 edunsaajalle. </w:t>
            </w:r>
            <w:r>
              <w:rPr>
                <w:noProof/>
              </w:rPr>
              <w:br/>
            </w:r>
            <w:r>
              <w:rPr>
                <w:noProof/>
              </w:rPr>
              <w:br/>
            </w:r>
            <w:r>
              <w:rPr>
                <w:rFonts w:ascii="Arial Narrow" w:hAnsi="Arial Narrow"/>
                <w:noProof/>
                <w:color w:val="006100"/>
                <w:sz w:val="20"/>
                <w:szCs w:val="20"/>
              </w:rPr>
              <w:t xml:space="preserve">Toisen asteen koulutuksen keskeyttämisasteen ero pienenee niin, että se on EU:n keskiarvo vuonna 2019 (10,2 prosenttia), kuten ISTAT on osoittanut. </w:t>
            </w:r>
          </w:p>
        </w:tc>
      </w:tr>
      <w:tr w:rsidR="00E42B18" w14:paraId="0A02F5FC"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A85CEB" w14:textId="77777777" w:rsidR="00E42B18" w:rsidRDefault="009629C4">
            <w:pPr>
              <w:pStyle w:val="P68B1DB1-Normal11"/>
              <w:jc w:val="center"/>
              <w:rPr>
                <w:noProof/>
                <w:szCs w:val="20"/>
              </w:rPr>
            </w:pPr>
            <w:r>
              <w:rPr>
                <w:noProof/>
              </w:rPr>
              <w:t>M4C1–8</w:t>
            </w:r>
          </w:p>
          <w:p w14:paraId="24016CE1" w14:textId="77777777" w:rsidR="00E42B18" w:rsidRDefault="00E42B18">
            <w:pPr>
              <w:jc w:val="center"/>
              <w:rPr>
                <w:rFonts w:ascii="Arial Narrow" w:hAnsi="Arial Narrow"/>
                <w:noProof/>
                <w:color w:val="006100"/>
                <w:sz w:val="20"/>
                <w:szCs w:val="20"/>
              </w:rPr>
            </w:pP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AAE7B" w14:textId="77777777" w:rsidR="00E42B18" w:rsidRDefault="009629C4">
            <w:pPr>
              <w:pStyle w:val="P68B1DB1-Normal11"/>
              <w:jc w:val="center"/>
              <w:rPr>
                <w:noProof/>
                <w:szCs w:val="20"/>
              </w:rPr>
            </w:pPr>
            <w:r>
              <w:rPr>
                <w:noProof/>
              </w:rPr>
              <w:t>Investointi 1.3: Koulujen urheiluinfrastruktuurin kehittämissuunnitelma</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C48E1C"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8C9174" w14:textId="77777777" w:rsidR="00E42B18" w:rsidRDefault="009629C4">
            <w:pPr>
              <w:pStyle w:val="P68B1DB1-Normal11"/>
              <w:jc w:val="center"/>
              <w:rPr>
                <w:noProof/>
                <w:szCs w:val="20"/>
              </w:rPr>
            </w:pPr>
            <w:r>
              <w:rPr>
                <w:noProof/>
              </w:rPr>
              <w:t>Hankintasopimusten tekeminen urheilutilojen ja voimistelujen rakentamiseksi ja kunnostamiseksi koulukäyttöön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F8E64" w14:textId="77DD5CED" w:rsidR="00E42B18" w:rsidRDefault="009629C4">
            <w:pPr>
              <w:pStyle w:val="P68B1DB1-Normal11"/>
              <w:jc w:val="center"/>
              <w:rPr>
                <w:b/>
                <w:noProof/>
                <w:szCs w:val="20"/>
              </w:rPr>
            </w:pPr>
            <w:r>
              <w:rPr>
                <w:noProof/>
              </w:rPr>
              <w:t>Ilmoitus tukikelpoisia tukitoimia koskevien julkisten hankintasopimusten tekemisestä</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1680D9"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59DBAD"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4D4355"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1CD24B" w14:textId="77777777" w:rsidR="00E42B18" w:rsidRDefault="009629C4">
            <w:pPr>
              <w:pStyle w:val="P68B1DB1-Normal11"/>
              <w:jc w:val="center"/>
              <w:rPr>
                <w:noProof/>
                <w:szCs w:val="20"/>
              </w:rPr>
            </w:pPr>
            <w:r>
              <w:rPr>
                <w:noProof/>
              </w:rPr>
              <w:t>Q1</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BC6CDA" w14:textId="77777777" w:rsidR="00E42B18" w:rsidRDefault="009629C4">
            <w:pPr>
              <w:pStyle w:val="P68B1DB1-Normal11"/>
              <w:jc w:val="center"/>
              <w:rPr>
                <w:noProof/>
                <w:szCs w:val="20"/>
              </w:rPr>
            </w:pPr>
            <w:r>
              <w:rPr>
                <w:noProof/>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A8A65C" w14:textId="77777777" w:rsidR="00E42B18" w:rsidRDefault="009629C4">
            <w:pPr>
              <w:pStyle w:val="P68B1DB1-Normal11"/>
              <w:rPr>
                <w:noProof/>
                <w:szCs w:val="20"/>
              </w:rPr>
            </w:pPr>
            <w:r>
              <w:rPr>
                <w:noProof/>
              </w:rPr>
              <w:t>Hankintasopimusten tekeminen urheilutilojen ja voimistelujen rakentamiseksi ja kunnostamiseksi koulukäyttöön julkisen tarjouskilpailun perusteella.</w:t>
            </w:r>
          </w:p>
        </w:tc>
      </w:tr>
      <w:tr w:rsidR="00E42B18" w14:paraId="4DD039A8"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A380DE" w14:textId="77777777" w:rsidR="00E42B18" w:rsidRDefault="009629C4">
            <w:pPr>
              <w:pStyle w:val="P68B1DB1-Normal11"/>
              <w:jc w:val="center"/>
              <w:rPr>
                <w:noProof/>
                <w:szCs w:val="20"/>
              </w:rPr>
            </w:pPr>
            <w:r>
              <w:rPr>
                <w:noProof/>
              </w:rPr>
              <w:t>M4C1–9</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938097" w14:textId="77777777" w:rsidR="00E42B18" w:rsidRDefault="009629C4">
            <w:pPr>
              <w:pStyle w:val="P68B1DB1-Normal11"/>
              <w:jc w:val="center"/>
              <w:rPr>
                <w:noProof/>
                <w:szCs w:val="20"/>
              </w:rPr>
            </w:pPr>
            <w:r>
              <w:rPr>
                <w:noProof/>
              </w:rPr>
              <w:t>Investointi 1.1: Päiväkoteja ja esikouluja sekä varhaiskasvatuspalveluja koskeva suunnitelma</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B906AF"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23BA5" w14:textId="77777777" w:rsidR="00E42B18" w:rsidRDefault="009629C4">
            <w:pPr>
              <w:pStyle w:val="P68B1DB1-Normal12"/>
              <w:jc w:val="center"/>
              <w:rPr>
                <w:noProof/>
              </w:rPr>
            </w:pPr>
            <w:r>
              <w:rPr>
                <w:noProof/>
              </w:rPr>
              <w:t>Lastentarhojen, esikoulujen ja varhaiskasvatuspalvelujen rakentamista, kunnostamista ja turvallisuuden varmistamista koskevien sopimusten tekeminen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F6FB24" w14:textId="77777777" w:rsidR="00E42B18" w:rsidRDefault="009629C4">
            <w:pPr>
              <w:pStyle w:val="P68B1DB1-Normal11"/>
              <w:jc w:val="center"/>
              <w:rPr>
                <w:noProof/>
                <w:szCs w:val="20"/>
              </w:rPr>
            </w:pPr>
            <w:r>
              <w:rPr>
                <w:noProof/>
              </w:rPr>
              <w:t>Paikallisviranomaisten ilmoitus ensimmäisiä tukikelpoisia tukitoimia koskevien julkisten hankintasopimusten rahoittamisesta</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D5186"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D330E"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C94D3"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63C57" w14:textId="77777777" w:rsidR="00E42B18" w:rsidRDefault="009629C4">
            <w:pPr>
              <w:pStyle w:val="P68B1DB1-Normal11"/>
              <w:jc w:val="center"/>
              <w:rPr>
                <w:noProof/>
                <w:szCs w:val="20"/>
              </w:rPr>
            </w:pPr>
            <w:r>
              <w:rPr>
                <w:noProof/>
              </w:rPr>
              <w:t>Q2</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5BFB5" w14:textId="77777777" w:rsidR="00E42B18" w:rsidRDefault="009629C4">
            <w:pPr>
              <w:pStyle w:val="P68B1DB1-Normal11"/>
              <w:jc w:val="center"/>
              <w:rPr>
                <w:noProof/>
                <w:szCs w:val="20"/>
              </w:rPr>
            </w:pPr>
            <w:r>
              <w:rPr>
                <w:noProof/>
              </w:rPr>
              <w:t>2023</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83E06" w14:textId="77777777" w:rsidR="00E42B18" w:rsidRDefault="009629C4">
            <w:pPr>
              <w:pStyle w:val="P68B1DB1-Normal11"/>
              <w:rPr>
                <w:noProof/>
                <w:szCs w:val="20"/>
              </w:rPr>
            </w:pPr>
            <w:r>
              <w:rPr>
                <w:noProof/>
              </w:rPr>
              <w:t>Päiväkoteja ja esikouluja sekä varhaiskasvatuspalveluja koskevien sopimusten tekeminen ja alueellinen jakaminen. Tarjouskilpailussa on noudatettava ”Ei merkittävää haittaa” -periaatetta koskevaa teknistä ohjetta (2021/C58/01) käyttämällä poissulkemisluetteloa sekä vaatimusta asiaankuuluvan EU:n ja kansallisen ympäristölainsäädännön noudattamisesta.</w:t>
            </w:r>
          </w:p>
        </w:tc>
      </w:tr>
      <w:tr w:rsidR="00E42B18" w14:paraId="541634D6"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0B4D4" w14:textId="77777777" w:rsidR="00E42B18" w:rsidRDefault="009629C4">
            <w:pPr>
              <w:pStyle w:val="P68B1DB1-Normal11"/>
              <w:jc w:val="center"/>
              <w:rPr>
                <w:noProof/>
                <w:szCs w:val="20"/>
              </w:rPr>
            </w:pPr>
            <w:r>
              <w:rPr>
                <w:noProof/>
              </w:rPr>
              <w:t>M4C1–10</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65F7D6" w14:textId="77777777" w:rsidR="00E42B18" w:rsidRDefault="009629C4">
            <w:pPr>
              <w:pStyle w:val="P68B1DB1-Normal11"/>
              <w:jc w:val="center"/>
              <w:rPr>
                <w:noProof/>
                <w:szCs w:val="20"/>
              </w:rPr>
            </w:pPr>
            <w:r>
              <w:rPr>
                <w:noProof/>
              </w:rPr>
              <w:t>Uudistus 2.1: Opettajien rekrytointi; Uudistus 1.3: Koulujärjestelmän uudelleenorganisointi; Uudistus 1.2: Korkea-asteen ammatillisen koulutuksen järjestelmän (ITS) uudistaminen; Uudistus 1.4: ”Suuntaviivajärjestelmän” uudistaminen; Uudistus 1.5: Korkeakoulututkintoryhmien uudistaminen; Uudistus 1.6: Korkeakoulututkintojen uudistamisen mahdollistaminen</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E1D03D"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EABF8" w14:textId="77777777" w:rsidR="00E42B18" w:rsidRDefault="009629C4">
            <w:pPr>
              <w:pStyle w:val="P68B1DB1-Normal11"/>
              <w:jc w:val="center"/>
              <w:rPr>
                <w:noProof/>
                <w:szCs w:val="20"/>
              </w:rPr>
            </w:pPr>
            <w:r>
              <w:rPr>
                <w:noProof/>
              </w:rPr>
              <w:t>Kaikkien perus-, keski- ja korkea-asteen koulutuksen uudistuksia koskevien toimenpiteiden tehokasta täytäntöönpanoa ja soveltamista koskevien asetusten voimaantulo tarvittaessa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1833F2" w14:textId="77777777" w:rsidR="00E42B18" w:rsidRDefault="009629C4">
            <w:pPr>
              <w:pStyle w:val="P68B1DB1-Normal11"/>
              <w:jc w:val="center"/>
              <w:rPr>
                <w:noProof/>
                <w:color w:val="375623"/>
                <w:szCs w:val="20"/>
              </w:rPr>
            </w:pPr>
            <w:r>
              <w:rPr>
                <w:noProof/>
              </w:rPr>
              <w:t>Lain säännös, josta käy ilmi asetusten voimaantulo.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8D7F23"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5352B4"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8C04B"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15F5A8" w14:textId="77777777" w:rsidR="00E42B18" w:rsidRDefault="009629C4">
            <w:pPr>
              <w:pStyle w:val="P68B1DB1-Normal11"/>
              <w:jc w:val="center"/>
              <w:rPr>
                <w:noProof/>
                <w:szCs w:val="20"/>
              </w:rPr>
            </w:pPr>
            <w:r>
              <w:rPr>
                <w:noProof/>
              </w:rPr>
              <w:t>Q4</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7E03E6" w14:textId="77777777" w:rsidR="00E42B18" w:rsidRDefault="009629C4">
            <w:pPr>
              <w:pStyle w:val="P68B1DB1-Normal11"/>
              <w:jc w:val="center"/>
              <w:rPr>
                <w:noProof/>
                <w:szCs w:val="20"/>
              </w:rPr>
            </w:pPr>
            <w:r>
              <w:rPr>
                <w:noProof/>
              </w:rPr>
              <w:t>2023</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86E8A" w14:textId="77777777" w:rsidR="00E42B18" w:rsidRDefault="009629C4">
            <w:pPr>
              <w:pStyle w:val="P68B1DB1-Normal11"/>
              <w:rPr>
                <w:noProof/>
                <w:szCs w:val="20"/>
              </w:rPr>
            </w:pPr>
            <w:r>
              <w:rPr>
                <w:noProof/>
              </w:rPr>
              <w:t>Sekundaarilainsäädäntöön on sisällyttävä kaikki tarvittavat säännökset kaikkien perus-, keski- ja korkea-asteen koulutuksen uudistuksia koskevien toimenpiteiden tehokasta täytäntöönpanoa ja soveltamista varten:</w:t>
            </w:r>
          </w:p>
          <w:p w14:paraId="306571C3" w14:textId="77777777" w:rsidR="00E42B18" w:rsidRDefault="009629C4">
            <w:pPr>
              <w:pStyle w:val="P68B1DB1-Normal11"/>
              <w:rPr>
                <w:noProof/>
                <w:szCs w:val="20"/>
              </w:rPr>
            </w:pPr>
            <w:r>
              <w:rPr>
                <w:noProof/>
              </w:rPr>
              <w:t>— Korkea-asteen koulutusjärjestelmän uudistukset koulutustulosten parantamiseksi (primaarilainsäädäntö) seuraavilla aloilla: a) korkeakoulututkintojen mahdollistaminen; b) korkeakoulututkintoryhmät; tohtorintutkinto-ohjelmien uudistaminen;</w:t>
            </w:r>
          </w:p>
          <w:p w14:paraId="3ECA0036" w14:textId="77777777" w:rsidR="00E42B18" w:rsidRDefault="009629C4">
            <w:pPr>
              <w:pStyle w:val="P68B1DB1-Normal11"/>
              <w:rPr>
                <w:noProof/>
                <w:szCs w:val="20"/>
              </w:rPr>
            </w:pPr>
            <w:r>
              <w:rPr>
                <w:noProof/>
              </w:rPr>
              <w:t>— Ministeriön asetukset stipendien uudistamisesta korkea-asteen koulutukseen pääsyn parantamiseksi;</w:t>
            </w:r>
          </w:p>
          <w:p w14:paraId="6676DE33" w14:textId="77777777" w:rsidR="00E42B18" w:rsidRDefault="009629C4">
            <w:pPr>
              <w:pStyle w:val="P68B1DB1-Normal11"/>
              <w:rPr>
                <w:noProof/>
                <w:szCs w:val="20"/>
              </w:rPr>
            </w:pPr>
            <w:r>
              <w:rPr>
                <w:noProof/>
              </w:rPr>
              <w:t>— Opettajan ammattia koskeva uudistus;</w:t>
            </w:r>
          </w:p>
          <w:p w14:paraId="62183651" w14:textId="77777777" w:rsidR="00E42B18" w:rsidRDefault="009629C4">
            <w:pPr>
              <w:pStyle w:val="P68B1DB1-Normal11"/>
              <w:rPr>
                <w:noProof/>
              </w:rPr>
            </w:pPr>
            <w:r>
              <w:rPr>
                <w:noProof/>
              </w:rPr>
              <w:t>— Perus- ja keskiasteen koulutusjärjestelmän uudistukset koulutustulosten parantamiseksi;</w:t>
            </w:r>
          </w:p>
          <w:p w14:paraId="79372869" w14:textId="4BF71CC9" w:rsidR="00E42B18" w:rsidRDefault="009629C4">
            <w:pPr>
              <w:pStyle w:val="P68B1DB1-Normal11"/>
              <w:rPr>
                <w:noProof/>
                <w:szCs w:val="20"/>
              </w:rPr>
            </w:pPr>
            <w:r>
              <w:rPr>
                <w:noProof/>
              </w:rPr>
              <w:t xml:space="preserve">— Lainsäädännöllä pyrittiin luomaan laadukas koulutusjärjestelmä koulua varten. </w:t>
            </w:r>
          </w:p>
        </w:tc>
      </w:tr>
      <w:tr w:rsidR="00E42B18" w14:paraId="7E9A173E"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F5D6C6" w14:textId="77777777" w:rsidR="00E42B18" w:rsidRDefault="009629C4">
            <w:pPr>
              <w:pStyle w:val="P68B1DB1-Normal11"/>
              <w:jc w:val="center"/>
              <w:rPr>
                <w:noProof/>
                <w:szCs w:val="20"/>
              </w:rPr>
            </w:pPr>
            <w:r>
              <w:rPr>
                <w:noProof/>
              </w:rPr>
              <w:t>M4C1–10 a</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3D4C62" w14:textId="77777777" w:rsidR="00E42B18" w:rsidRDefault="009629C4">
            <w:pPr>
              <w:pStyle w:val="P68B1DB1-Normal11"/>
              <w:jc w:val="center"/>
              <w:rPr>
                <w:noProof/>
                <w:szCs w:val="20"/>
              </w:rPr>
            </w:pPr>
            <w:r>
              <w:rPr>
                <w:noProof/>
              </w:rPr>
              <w:t>Uudistus 1.1: Teknisten ja ammatillisten instituutioiden uudistaminen</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A83F84"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984B7" w14:textId="77777777" w:rsidR="00E42B18" w:rsidRDefault="009629C4">
            <w:pPr>
              <w:pStyle w:val="P68B1DB1-Normal11"/>
              <w:jc w:val="center"/>
              <w:rPr>
                <w:noProof/>
                <w:szCs w:val="20"/>
              </w:rPr>
            </w:pPr>
            <w:r>
              <w:rPr>
                <w:noProof/>
              </w:rPr>
              <w:t>Johdetun oikeuden voimaantulo.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5518B" w14:textId="77777777" w:rsidR="00E42B18" w:rsidRDefault="009629C4">
            <w:pPr>
              <w:pStyle w:val="P68B1DB1-Normal11"/>
              <w:jc w:val="center"/>
              <w:rPr>
                <w:noProof/>
                <w:szCs w:val="20"/>
              </w:rPr>
            </w:pPr>
            <w:r>
              <w:rPr>
                <w:noProof/>
              </w:rPr>
              <w:t>Lakiin sisältyvä säännös, josta ilmenee johdetun oikeuden voimaantulo.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64571"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F2FB4E"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FD7D1"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277020" w14:textId="77777777" w:rsidR="00E42B18" w:rsidRDefault="009629C4">
            <w:pPr>
              <w:pStyle w:val="P68B1DB1-Normal11"/>
              <w:jc w:val="center"/>
              <w:rPr>
                <w:noProof/>
                <w:szCs w:val="20"/>
              </w:rPr>
            </w:pPr>
            <w:r>
              <w:rPr>
                <w:noProof/>
              </w:rPr>
              <w:t xml:space="preserve">Q4 </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055790" w14:textId="77777777" w:rsidR="00E42B18" w:rsidRDefault="009629C4">
            <w:pPr>
              <w:pStyle w:val="P68B1DB1-Normal11"/>
              <w:jc w:val="center"/>
              <w:rPr>
                <w:noProof/>
                <w:szCs w:val="20"/>
              </w:rPr>
            </w:pPr>
            <w:r>
              <w:rPr>
                <w:noProof/>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D0448" w14:textId="77777777" w:rsidR="00E42B18" w:rsidRDefault="009629C4">
            <w:pPr>
              <w:pStyle w:val="P68B1DB1-Normal11"/>
              <w:rPr>
                <w:noProof/>
                <w:szCs w:val="20"/>
              </w:rPr>
            </w:pPr>
            <w:r>
              <w:rPr>
                <w:noProof/>
              </w:rPr>
              <w:t>Teknisten ja ammatillisten laitosten uudistamista koskeva johdettu oikeus tuli voimaan.</w:t>
            </w:r>
          </w:p>
        </w:tc>
      </w:tr>
      <w:tr w:rsidR="00E42B18" w14:paraId="635A3DF3"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7AA499" w14:textId="77777777" w:rsidR="00E42B18" w:rsidRDefault="009629C4">
            <w:pPr>
              <w:pStyle w:val="P68B1DB1-Normal11"/>
              <w:jc w:val="center"/>
              <w:rPr>
                <w:noProof/>
                <w:szCs w:val="20"/>
              </w:rPr>
            </w:pPr>
            <w:r>
              <w:rPr>
                <w:noProof/>
              </w:rPr>
              <w:t>M4C1–11</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09842F" w14:textId="77777777" w:rsidR="00E42B18" w:rsidRDefault="009629C4">
            <w:pPr>
              <w:pStyle w:val="P68B1DB1-Normal11"/>
              <w:jc w:val="center"/>
              <w:rPr>
                <w:noProof/>
                <w:szCs w:val="20"/>
              </w:rPr>
            </w:pPr>
            <w:r>
              <w:rPr>
                <w:noProof/>
              </w:rPr>
              <w:t>Investointi 1.7: Yliopisto-opiskeluapurahat</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0C9A1" w14:textId="77777777" w:rsidR="00E42B18" w:rsidRDefault="009629C4">
            <w:pPr>
              <w:pStyle w:val="P68B1DB1-Normal11"/>
              <w:jc w:val="center"/>
              <w:rPr>
                <w:noProof/>
                <w:szCs w:val="20"/>
              </w:rPr>
            </w:pPr>
            <w:r>
              <w:rPr>
                <w:noProof/>
              </w:rPr>
              <w:t>Kohde</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E3F510" w14:textId="77777777" w:rsidR="00E42B18" w:rsidRDefault="009629C4">
            <w:pPr>
              <w:pStyle w:val="P68B1DB1-Normal11"/>
              <w:jc w:val="center"/>
              <w:rPr>
                <w:noProof/>
                <w:szCs w:val="20"/>
              </w:rPr>
            </w:pPr>
            <w:r>
              <w:rPr>
                <w:noProof/>
              </w:rPr>
              <w:t>Yliopiston myöntämä stipendi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3D3CE7" w14:textId="77777777" w:rsidR="00E42B18" w:rsidRDefault="009629C4">
            <w:pPr>
              <w:pStyle w:val="P68B1DB1-Normal11"/>
              <w:jc w:val="center"/>
              <w:rPr>
                <w:noProof/>
                <w:szCs w:val="20"/>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65ECF" w14:textId="77777777" w:rsidR="00E42B18" w:rsidRDefault="009629C4">
            <w:pPr>
              <w:pStyle w:val="P68B1DB1-Normal11"/>
              <w:jc w:val="center"/>
              <w:rPr>
                <w:noProof/>
                <w:szCs w:val="20"/>
              </w:rPr>
            </w:pPr>
            <w:r>
              <w:rPr>
                <w:noProof/>
              </w:rPr>
              <w:t>Numero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7FEC76" w14:textId="77777777" w:rsidR="00E42B18" w:rsidRDefault="009629C4">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9F4CBA"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55</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4F3796" w14:textId="77777777" w:rsidR="00E42B18" w:rsidRDefault="009629C4">
            <w:pPr>
              <w:pStyle w:val="P68B1DB1-Normal11"/>
              <w:jc w:val="center"/>
              <w:rPr>
                <w:noProof/>
                <w:szCs w:val="20"/>
              </w:rPr>
            </w:pPr>
            <w:r>
              <w:rPr>
                <w:noProof/>
              </w:rPr>
              <w:t>Q4</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146249" w14:textId="77777777" w:rsidR="00E42B18" w:rsidRDefault="009629C4">
            <w:pPr>
              <w:pStyle w:val="P68B1DB1-Normal11"/>
              <w:jc w:val="center"/>
              <w:rPr>
                <w:noProof/>
                <w:szCs w:val="20"/>
              </w:rPr>
            </w:pPr>
            <w:r>
              <w:rPr>
                <w:noProof/>
              </w:rPr>
              <w:t>2023</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B80D4" w14:textId="77777777" w:rsidR="00E42B18" w:rsidRDefault="009629C4">
            <w:pPr>
              <w:rPr>
                <w:rStyle w:val="normaltextrun"/>
                <w:rFonts w:ascii="Arial Narrow" w:eastAsiaTheme="majorEastAsia" w:hAnsi="Arial Narrow"/>
                <w:noProof/>
                <w:sz w:val="20"/>
                <w:szCs w:val="20"/>
              </w:rPr>
            </w:pPr>
            <w:r>
              <w:rPr>
                <w:rFonts w:ascii="Arial Narrow" w:hAnsi="Arial Narrow"/>
                <w:noProof/>
                <w:color w:val="006100"/>
                <w:sz w:val="20"/>
                <w:szCs w:val="20"/>
              </w:rPr>
              <w:t>Vähintään 55000</w:t>
            </w:r>
            <w:r>
              <w:rPr>
                <w:rFonts w:hint="eastAsia"/>
                <w:noProof/>
                <w:sz w:val="23"/>
                <w:szCs w:val="23"/>
              </w:rPr>
              <w:t xml:space="preserve"> </w:t>
            </w:r>
            <w:r>
              <w:rPr>
                <w:rFonts w:ascii="Arial Narrow" w:hAnsi="Arial Narrow"/>
                <w:noProof/>
                <w:color w:val="006100"/>
                <w:sz w:val="20"/>
                <w:szCs w:val="20"/>
              </w:rPr>
              <w:t>opiskelijalle myönnetään apurahoja, jotka rahoitetaan yksinomaan elpymis- ja palautumistukivälineen varoista.</w:t>
            </w:r>
          </w:p>
        </w:tc>
      </w:tr>
      <w:tr w:rsidR="00E42B18" w14:paraId="3353E91C"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077390" w14:textId="77777777" w:rsidR="00E42B18" w:rsidRDefault="009629C4">
            <w:pPr>
              <w:pStyle w:val="P68B1DB1-Normal12"/>
              <w:jc w:val="center"/>
              <w:rPr>
                <w:noProof/>
              </w:rPr>
            </w:pPr>
            <w:r>
              <w:rPr>
                <w:noProof/>
              </w:rPr>
              <w:t>M4C1–12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91E72" w14:textId="77777777" w:rsidR="00E42B18" w:rsidRDefault="009629C4">
            <w:pPr>
              <w:pStyle w:val="P68B1DB1-Normal11"/>
              <w:jc w:val="center"/>
              <w:rPr>
                <w:noProof/>
                <w:szCs w:val="20"/>
              </w:rPr>
            </w:pPr>
            <w:r>
              <w:rPr>
                <w:noProof/>
              </w:rPr>
              <w:t>Investointi 4.1: Tohtorintutkinnon suorittaneiden (tutkimukseen, julkishallintoon ja kulttuuriperintöön) lukumäärän ja uramahdollisuuksien lisääminen</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1F207" w14:textId="77777777" w:rsidR="00E42B18" w:rsidRDefault="009629C4">
            <w:pPr>
              <w:pStyle w:val="P68B1DB1-Normal11"/>
              <w:jc w:val="center"/>
              <w:rPr>
                <w:noProof/>
                <w:szCs w:val="20"/>
              </w:rPr>
            </w:pPr>
            <w:r>
              <w:rPr>
                <w:noProof/>
              </w:rPr>
              <w:t>Kohde</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EBEB4" w14:textId="77777777" w:rsidR="00E42B18" w:rsidRDefault="009629C4">
            <w:pPr>
              <w:pStyle w:val="P68B1DB1-Normal12"/>
              <w:jc w:val="center"/>
              <w:rPr>
                <w:noProof/>
              </w:rPr>
            </w:pPr>
            <w:r>
              <w:rPr>
                <w:noProof/>
              </w:rPr>
              <w:t xml:space="preserve">Tohtorintutkinto-apurahaohjelmat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16AFCB" w14:textId="77777777" w:rsidR="00E42B18" w:rsidRDefault="009629C4">
            <w:pPr>
              <w:pStyle w:val="P68B1DB1-Normal11"/>
              <w:jc w:val="center"/>
              <w:rPr>
                <w:noProof/>
                <w:szCs w:val="20"/>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62E5A0" w14:textId="77777777" w:rsidR="00E42B18" w:rsidRDefault="009629C4">
            <w:pPr>
              <w:pStyle w:val="P68B1DB1-Normal11"/>
              <w:jc w:val="center"/>
              <w:rPr>
                <w:noProof/>
                <w:szCs w:val="20"/>
              </w:rPr>
            </w:pPr>
            <w:r>
              <w:rPr>
                <w:noProof/>
              </w:rPr>
              <w:t>Numero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FEDBE" w14:textId="77777777" w:rsidR="00E42B18" w:rsidRDefault="009629C4">
            <w:pPr>
              <w:pStyle w:val="P68B1DB1-Normal11"/>
              <w:jc w:val="center"/>
              <w:rPr>
                <w:rFonts w:eastAsia="Arial Narrow" w:cs="Arial Narrow"/>
                <w:noProof/>
                <w:szCs w:val="20"/>
              </w:rPr>
            </w:pPr>
            <w:r>
              <w:rPr>
                <w:noProof/>
              </w:rPr>
              <w:t xml:space="preserve"> 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20317E" w14:textId="77777777" w:rsidR="00E42B18" w:rsidRDefault="009629C4">
            <w:pPr>
              <w:pStyle w:val="P68B1DB1-Normal11"/>
              <w:jc w:val="center"/>
              <w:rPr>
                <w:noProof/>
                <w:szCs w:val="20"/>
              </w:rPr>
            </w:pPr>
            <w:r>
              <w:rPr>
                <w:noProof/>
              </w:rPr>
              <w:t>7 200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1793B4" w14:textId="77777777" w:rsidR="00E42B18" w:rsidRDefault="009629C4">
            <w:pPr>
              <w:pStyle w:val="P68B1DB1-Normal11"/>
              <w:jc w:val="center"/>
              <w:rPr>
                <w:noProof/>
                <w:szCs w:val="20"/>
              </w:rPr>
            </w:pPr>
            <w:r>
              <w:rPr>
                <w:noProof/>
              </w:rPr>
              <w:t>Q4</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8A4493" w14:textId="77777777" w:rsidR="00E42B18" w:rsidRDefault="009629C4">
            <w:pPr>
              <w:pStyle w:val="P68B1DB1-Normal11"/>
              <w:jc w:val="center"/>
              <w:rPr>
                <w:noProof/>
                <w:szCs w:val="20"/>
              </w:rPr>
            </w:pPr>
            <w:r>
              <w:rPr>
                <w:noProof/>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756943" w14:textId="34F03082" w:rsidR="00E42B18" w:rsidRDefault="009629C4">
            <w:pPr>
              <w:pStyle w:val="P68B1DB1-Normal11"/>
              <w:rPr>
                <w:noProof/>
                <w:szCs w:val="20"/>
              </w:rPr>
            </w:pPr>
            <w:r>
              <w:rPr>
                <w:noProof/>
                <w:szCs w:val="20"/>
              </w:rPr>
              <w:t>Kolmen vuoden aikana myönnetään vähintään 3600 yleistä tohtorintutkintoa, vähintään 3000 tohtorintutkintoa julkishallinnon alalla ja vähintään 600 kulttuuriperintöalan tohtorintutkintoa.</w:t>
            </w:r>
          </w:p>
        </w:tc>
      </w:tr>
      <w:tr w:rsidR="00E42B18" w14:paraId="7263BE99"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22B2BD" w14:textId="77777777" w:rsidR="00E42B18" w:rsidRDefault="009629C4">
            <w:pPr>
              <w:pStyle w:val="P68B1DB1-Normal11"/>
              <w:jc w:val="center"/>
              <w:rPr>
                <w:noProof/>
                <w:szCs w:val="20"/>
              </w:rPr>
            </w:pPr>
            <w:r>
              <w:rPr>
                <w:noProof/>
              </w:rPr>
              <w:t>M4C1–13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2FBA4B" w14:textId="77777777" w:rsidR="00E42B18" w:rsidRDefault="009629C4">
            <w:pPr>
              <w:pStyle w:val="P68B1DB1-Normal12"/>
              <w:jc w:val="center"/>
              <w:rPr>
                <w:noProof/>
              </w:rPr>
            </w:pPr>
            <w:r>
              <w:rPr>
                <w:noProof/>
              </w:rPr>
              <w:t>Investointi 2.1: Koulujen henkilöstön digitalisaatiota koskeva integroitu digitaalinen opetus ja koulutus</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0A7EDD" w14:textId="77777777" w:rsidR="00E42B18" w:rsidRDefault="009629C4">
            <w:pPr>
              <w:pStyle w:val="P68B1DB1-Normal11"/>
              <w:jc w:val="center"/>
              <w:rPr>
                <w:noProof/>
                <w:szCs w:val="20"/>
              </w:rPr>
            </w:pPr>
            <w:r>
              <w:rPr>
                <w:noProof/>
              </w:rPr>
              <w:t>Kohde</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1BB89" w14:textId="77777777" w:rsidR="00E42B18" w:rsidRDefault="009629C4">
            <w:pPr>
              <w:pStyle w:val="P68B1DB1-Normal11"/>
              <w:jc w:val="center"/>
              <w:rPr>
                <w:noProof/>
                <w:szCs w:val="20"/>
              </w:rPr>
            </w:pPr>
            <w:r>
              <w:rPr>
                <w:noProof/>
              </w:rPr>
              <w:t>Koulunjohtajien, opettajien ja hallintohenkilöstön koulutus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7477C2" w14:textId="77777777" w:rsidR="00E42B18" w:rsidRDefault="009629C4">
            <w:pPr>
              <w:pStyle w:val="P68B1DB1-Normal11"/>
              <w:jc w:val="center"/>
              <w:rPr>
                <w:noProof/>
                <w:szCs w:val="20"/>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32ED0" w14:textId="77777777" w:rsidR="00E42B18" w:rsidRDefault="009629C4">
            <w:pPr>
              <w:pStyle w:val="P68B1DB1-Normal11"/>
              <w:jc w:val="center"/>
              <w:rPr>
                <w:noProof/>
                <w:szCs w:val="20"/>
              </w:rPr>
            </w:pPr>
            <w:r>
              <w:rPr>
                <w:noProof/>
              </w:rPr>
              <w:t>Numero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C7932A" w14:textId="77777777" w:rsidR="00E42B18" w:rsidRDefault="009629C4">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65958A"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650</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269C76" w14:textId="77777777" w:rsidR="00E42B18" w:rsidRDefault="009629C4">
            <w:pPr>
              <w:pStyle w:val="P68B1DB1-Normal11"/>
              <w:jc w:val="center"/>
              <w:rPr>
                <w:noProof/>
                <w:szCs w:val="20"/>
              </w:rPr>
            </w:pPr>
            <w:r>
              <w:rPr>
                <w:noProof/>
              </w:rPr>
              <w:t>Q4</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4D1FBB" w14:textId="77777777" w:rsidR="00E42B18" w:rsidRDefault="009629C4">
            <w:pPr>
              <w:pStyle w:val="P68B1DB1-Normal11"/>
              <w:jc w:val="center"/>
              <w:rPr>
                <w:noProof/>
                <w:szCs w:val="20"/>
              </w:rPr>
            </w:pPr>
            <w:r>
              <w:rPr>
                <w:noProof/>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C6F9A3" w14:textId="77777777" w:rsidR="00E42B18" w:rsidRDefault="009629C4">
            <w:pPr>
              <w:rPr>
                <w:rFonts w:ascii="Arial Narrow" w:hAnsi="Arial Narrow"/>
                <w:noProof/>
                <w:color w:val="006100"/>
                <w:sz w:val="20"/>
                <w:szCs w:val="20"/>
              </w:rPr>
            </w:pPr>
            <w:r>
              <w:rPr>
                <w:rFonts w:ascii="Arial Narrow" w:hAnsi="Arial Narrow"/>
                <w:noProof/>
                <w:color w:val="006100"/>
                <w:sz w:val="20"/>
                <w:szCs w:val="20"/>
              </w:rPr>
              <w:t>Vähintään 650000 koulunjohtajalle, opettajalle ja hallintohenkilöstölle on annettava todistukset osallistumisesta digitaaliseen opetukseen ja digitaaliseen muutokseen.</w:t>
            </w:r>
          </w:p>
        </w:tc>
      </w:tr>
      <w:tr w:rsidR="00E42B18" w14:paraId="3AD63692"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93F25C" w14:textId="77777777" w:rsidR="00E42B18" w:rsidRDefault="009629C4">
            <w:pPr>
              <w:pStyle w:val="P68B1DB1-Normal11"/>
              <w:jc w:val="center"/>
              <w:rPr>
                <w:noProof/>
                <w:szCs w:val="20"/>
              </w:rPr>
            </w:pPr>
            <w:r>
              <w:rPr>
                <w:noProof/>
              </w:rPr>
              <w:t>M4C1–14</w:t>
            </w:r>
          </w:p>
          <w:p w14:paraId="01C59A27" w14:textId="77777777" w:rsidR="00E42B18" w:rsidRDefault="00E42B18">
            <w:pPr>
              <w:jc w:val="center"/>
              <w:rPr>
                <w:rFonts w:ascii="Arial Narrow" w:hAnsi="Arial Narrow"/>
                <w:noProof/>
                <w:color w:val="006100"/>
                <w:sz w:val="20"/>
                <w:szCs w:val="20"/>
              </w:rPr>
            </w:pP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77ED8" w14:textId="77777777" w:rsidR="00E42B18" w:rsidRDefault="009629C4">
            <w:pPr>
              <w:pStyle w:val="P68B1DB1-Normal11"/>
              <w:jc w:val="center"/>
              <w:rPr>
                <w:noProof/>
                <w:szCs w:val="20"/>
              </w:rPr>
            </w:pPr>
            <w:r>
              <w:rPr>
                <w:noProof/>
              </w:rPr>
              <w:t>Uudistus 2.1: Opettajien rekrytointi</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89F28B" w14:textId="77777777" w:rsidR="00E42B18" w:rsidRDefault="009629C4">
            <w:pPr>
              <w:pStyle w:val="P68B1DB1-Normal11"/>
              <w:jc w:val="center"/>
              <w:rPr>
                <w:noProof/>
                <w:szCs w:val="20"/>
              </w:rPr>
            </w:pPr>
            <w:r>
              <w:rPr>
                <w:noProof/>
              </w:rPr>
              <w:t>Kohde</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AB9AD" w14:textId="77777777" w:rsidR="00E42B18" w:rsidRDefault="009629C4">
            <w:pPr>
              <w:pStyle w:val="P68B1DB1-Normal11"/>
              <w:jc w:val="center"/>
              <w:rPr>
                <w:noProof/>
                <w:szCs w:val="20"/>
              </w:rPr>
            </w:pPr>
            <w:r>
              <w:rPr>
                <w:noProof/>
              </w:rPr>
              <w:t>Uudistetussa rekrytointijärjestelmässä palvelukseen otetut opettajat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22135E" w14:textId="77777777" w:rsidR="00E42B18" w:rsidRDefault="009629C4">
            <w:pPr>
              <w:pStyle w:val="P68B1DB1-Normal11"/>
              <w:jc w:val="center"/>
              <w:rPr>
                <w:noProof/>
                <w:szCs w:val="20"/>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DB7D2" w14:textId="77777777" w:rsidR="00E42B18" w:rsidRDefault="009629C4">
            <w:pPr>
              <w:pStyle w:val="P68B1DB1-Normal11"/>
              <w:jc w:val="center"/>
              <w:rPr>
                <w:noProof/>
                <w:szCs w:val="20"/>
              </w:rPr>
            </w:pPr>
            <w:r>
              <w:rPr>
                <w:noProof/>
              </w:rPr>
              <w:t>Numero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91AF62" w14:textId="77777777" w:rsidR="00E42B18" w:rsidRDefault="009629C4">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021001"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20</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2CC230" w14:textId="77777777" w:rsidR="00E42B18" w:rsidRDefault="009629C4">
            <w:pPr>
              <w:pStyle w:val="P68B1DB1-Normal11"/>
              <w:jc w:val="center"/>
              <w:rPr>
                <w:noProof/>
                <w:szCs w:val="20"/>
              </w:rPr>
            </w:pPr>
            <w:r>
              <w:rPr>
                <w:noProof/>
              </w:rPr>
              <w:t>Q4</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22A4C0" w14:textId="77777777" w:rsidR="00E42B18" w:rsidRDefault="009629C4">
            <w:pPr>
              <w:pStyle w:val="P68B1DB1-Normal11"/>
              <w:jc w:val="center"/>
              <w:rPr>
                <w:noProof/>
                <w:szCs w:val="20"/>
              </w:rPr>
            </w:pPr>
            <w:r>
              <w:rPr>
                <w:noProof/>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17103A" w14:textId="77777777" w:rsidR="00E42B18" w:rsidRDefault="009629C4">
            <w:pPr>
              <w:rPr>
                <w:rFonts w:ascii="Arial Narrow" w:hAnsi="Arial Narrow"/>
                <w:noProof/>
                <w:color w:val="006100"/>
                <w:sz w:val="20"/>
                <w:szCs w:val="20"/>
              </w:rPr>
            </w:pPr>
            <w:r>
              <w:rPr>
                <w:rFonts w:ascii="Arial Narrow" w:hAnsi="Arial Narrow"/>
                <w:noProof/>
                <w:color w:val="006100"/>
                <w:sz w:val="20"/>
              </w:rPr>
              <w:t>Vähintään</w:t>
            </w:r>
            <w:r>
              <w:rPr>
                <w:rFonts w:hint="eastAsia"/>
                <w:noProof/>
                <w:sz w:val="23"/>
                <w:szCs w:val="23"/>
              </w:rPr>
              <w:t xml:space="preserve"> </w:t>
            </w:r>
            <w:r>
              <w:rPr>
                <w:rFonts w:ascii="Arial Narrow" w:hAnsi="Arial Narrow"/>
                <w:noProof/>
                <w:color w:val="006100"/>
                <w:sz w:val="20"/>
              </w:rPr>
              <w:t>20000 opettajaa rekrytoitiin uudistetussa rekrytointijärjestelmässä.</w:t>
            </w:r>
          </w:p>
        </w:tc>
      </w:tr>
      <w:tr w:rsidR="00E42B18" w14:paraId="5335C1E4"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F84D0A" w14:textId="77777777" w:rsidR="00E42B18" w:rsidRDefault="009629C4">
            <w:pPr>
              <w:pStyle w:val="P68B1DB1-Normal12"/>
              <w:jc w:val="center"/>
              <w:rPr>
                <w:noProof/>
              </w:rPr>
            </w:pPr>
            <w:r>
              <w:rPr>
                <w:noProof/>
              </w:rPr>
              <w:t>M4C1–14 a</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055D8" w14:textId="7D81C895" w:rsidR="00E42B18" w:rsidRDefault="009629C4">
            <w:pPr>
              <w:pStyle w:val="P68B1DB1-Normal11"/>
              <w:jc w:val="center"/>
              <w:rPr>
                <w:noProof/>
                <w:szCs w:val="20"/>
              </w:rPr>
            </w:pPr>
            <w:r>
              <w:rPr>
                <w:noProof/>
              </w:rPr>
              <w:t xml:space="preserve">Uudistus 2.1: Opettajien rekrytointi </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DA17D0" w14:textId="77777777" w:rsidR="00E42B18" w:rsidRDefault="009629C4">
            <w:pPr>
              <w:pStyle w:val="P68B1DB1-Normal11"/>
              <w:jc w:val="center"/>
              <w:rPr>
                <w:noProof/>
                <w:szCs w:val="20"/>
              </w:rPr>
            </w:pPr>
            <w:r>
              <w:rPr>
                <w:noProof/>
              </w:rPr>
              <w:t xml:space="preserve">Kohde </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D03FF6" w14:textId="77777777" w:rsidR="00E42B18" w:rsidRDefault="009629C4">
            <w:pPr>
              <w:pStyle w:val="P68B1DB1-Normal11"/>
              <w:jc w:val="center"/>
              <w:rPr>
                <w:noProof/>
                <w:szCs w:val="20"/>
              </w:rPr>
            </w:pPr>
            <w:r>
              <w:rPr>
                <w:noProof/>
              </w:rPr>
              <w:t>Uudistetussa rekrytointijärjestelmässä palvelukseen otetut opettajat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27917" w14:textId="77777777" w:rsidR="00E42B18" w:rsidRDefault="009629C4">
            <w:pPr>
              <w:pStyle w:val="P68B1DB1-Normal11"/>
              <w:jc w:val="center"/>
              <w:rPr>
                <w:noProof/>
                <w:szCs w:val="20"/>
              </w:rPr>
            </w:pPr>
            <w:r>
              <w:rPr>
                <w:noProof/>
              </w:rPr>
              <w:t xml:space="preserve">EI OLE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C2E17" w14:textId="77777777" w:rsidR="00E42B18" w:rsidRDefault="009629C4">
            <w:pPr>
              <w:pStyle w:val="P68B1DB1-Normal11"/>
              <w:jc w:val="center"/>
              <w:rPr>
                <w:noProof/>
                <w:szCs w:val="20"/>
              </w:rPr>
            </w:pPr>
            <w:r>
              <w:rPr>
                <w:noProof/>
              </w:rPr>
              <w:t xml:space="preserve">Numero </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6104CE" w14:textId="77777777" w:rsidR="00E42B18" w:rsidRDefault="009629C4">
            <w:pPr>
              <w:pStyle w:val="P68B1DB1-Normal11"/>
              <w:jc w:val="center"/>
              <w:rPr>
                <w:noProof/>
                <w:szCs w:val="20"/>
              </w:rPr>
            </w:pPr>
            <w:r>
              <w:rPr>
                <w:noProof/>
              </w:rPr>
              <w:t xml:space="preserve">0 </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494B"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20</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2C91D" w14:textId="77777777" w:rsidR="00E42B18" w:rsidRDefault="009629C4">
            <w:pPr>
              <w:pStyle w:val="P68B1DB1-Normal11"/>
              <w:jc w:val="center"/>
              <w:rPr>
                <w:noProof/>
                <w:szCs w:val="20"/>
              </w:rPr>
            </w:pPr>
            <w:r>
              <w:rPr>
                <w:noProof/>
              </w:rPr>
              <w:t>Q3</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AA5BF1" w14:textId="77777777" w:rsidR="00E42B18" w:rsidRDefault="009629C4">
            <w:pPr>
              <w:pStyle w:val="P68B1DB1-Normal11"/>
              <w:jc w:val="center"/>
              <w:rPr>
                <w:noProof/>
                <w:szCs w:val="20"/>
              </w:rPr>
            </w:pPr>
            <w:r>
              <w:rPr>
                <w:noProof/>
              </w:rPr>
              <w:t xml:space="preserve">2025 </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95F070" w14:textId="77777777" w:rsidR="00E42B18" w:rsidRDefault="009629C4">
            <w:pPr>
              <w:rPr>
                <w:rFonts w:ascii="Arial Narrow" w:hAnsi="Arial Narrow"/>
                <w:noProof/>
                <w:color w:val="006100"/>
                <w:sz w:val="20"/>
                <w:szCs w:val="20"/>
              </w:rPr>
            </w:pPr>
            <w:r>
              <w:rPr>
                <w:rFonts w:ascii="Arial Narrow" w:hAnsi="Arial Narrow"/>
                <w:noProof/>
                <w:color w:val="006100"/>
                <w:sz w:val="20"/>
                <w:szCs w:val="20"/>
              </w:rPr>
              <w:t>Vähintään 20000</w:t>
            </w:r>
            <w:r>
              <w:rPr>
                <w:rFonts w:hint="eastAsia"/>
                <w:noProof/>
                <w:sz w:val="23"/>
                <w:szCs w:val="23"/>
              </w:rPr>
              <w:t xml:space="preserve"> </w:t>
            </w:r>
            <w:r>
              <w:rPr>
                <w:rFonts w:ascii="Arial Narrow" w:hAnsi="Arial Narrow"/>
                <w:noProof/>
                <w:color w:val="006100"/>
                <w:sz w:val="20"/>
                <w:szCs w:val="20"/>
              </w:rPr>
              <w:t>opettajaa rekrytoitiin uudistetussa rekrytointijärjestelmässä.</w:t>
            </w:r>
          </w:p>
        </w:tc>
      </w:tr>
      <w:tr w:rsidR="00E42B18" w14:paraId="2F1C8DEA"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5C336D" w14:textId="77777777" w:rsidR="00E42B18" w:rsidRDefault="009629C4">
            <w:pPr>
              <w:pStyle w:val="P68B1DB1-Normal12"/>
              <w:jc w:val="center"/>
              <w:rPr>
                <w:noProof/>
              </w:rPr>
            </w:pPr>
            <w:r>
              <w:rPr>
                <w:noProof/>
              </w:rPr>
              <w:t>M4C1–14ter</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2DB024" w14:textId="77777777" w:rsidR="00E42B18" w:rsidRDefault="009629C4">
            <w:pPr>
              <w:pStyle w:val="P68B1DB1-Normal11"/>
              <w:jc w:val="center"/>
              <w:rPr>
                <w:noProof/>
                <w:szCs w:val="20"/>
              </w:rPr>
            </w:pPr>
            <w:r>
              <w:rPr>
                <w:noProof/>
              </w:rPr>
              <w:t>Uudistus 2.1: Opettajien rekrytointi</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CB4338"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DEBC26" w14:textId="4AD24528" w:rsidR="00E42B18" w:rsidRDefault="009629C4">
            <w:pPr>
              <w:pStyle w:val="P68B1DB1-Normal12"/>
              <w:jc w:val="center"/>
              <w:rPr>
                <w:noProof/>
              </w:rPr>
            </w:pPr>
            <w:r>
              <w:rPr>
                <w:noProof/>
              </w:rPr>
              <w:t>Asetukset, joilla hyväksytään opettajien julkiset kilpailut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E4BA93" w14:textId="77777777" w:rsidR="00E42B18" w:rsidRDefault="009629C4">
            <w:pPr>
              <w:pStyle w:val="P68B1DB1-Normal11"/>
              <w:jc w:val="center"/>
              <w:rPr>
                <w:noProof/>
                <w:szCs w:val="20"/>
              </w:rPr>
            </w:pPr>
            <w:r>
              <w:rPr>
                <w:noProof/>
              </w:rPr>
              <w:t xml:space="preserve">EI OLE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D658CB" w14:textId="7FB3F66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1930DA" w14:textId="3600DCAF"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73E227" w14:textId="09CD70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7CC88" w14:textId="77777777" w:rsidR="00E42B18" w:rsidRDefault="009629C4">
            <w:pPr>
              <w:pStyle w:val="P68B1DB1-Normal11"/>
              <w:jc w:val="center"/>
              <w:rPr>
                <w:noProof/>
                <w:szCs w:val="20"/>
              </w:rPr>
            </w:pPr>
            <w:r>
              <w:rPr>
                <w:noProof/>
              </w:rPr>
              <w:t xml:space="preserve">Q2 </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2E597F" w14:textId="77777777" w:rsidR="00E42B18" w:rsidRDefault="009629C4">
            <w:pPr>
              <w:pStyle w:val="P68B1DB1-Normal11"/>
              <w:jc w:val="center"/>
              <w:rPr>
                <w:noProof/>
                <w:szCs w:val="20"/>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E1F910" w14:textId="57524332" w:rsidR="00E42B18" w:rsidRDefault="009629C4">
            <w:pPr>
              <w:rPr>
                <w:rFonts w:ascii="Arial Narrow" w:hAnsi="Arial Narrow"/>
                <w:noProof/>
                <w:color w:val="006100"/>
                <w:sz w:val="20"/>
                <w:szCs w:val="20"/>
              </w:rPr>
            </w:pPr>
            <w:r>
              <w:rPr>
                <w:rFonts w:ascii="Arial Narrow" w:hAnsi="Arial Narrow"/>
                <w:noProof/>
                <w:color w:val="006100"/>
                <w:sz w:val="20"/>
                <w:szCs w:val="20"/>
              </w:rPr>
              <w:t>Asetukset, joilla hyväksytään pisteet vähintään 70000</w:t>
            </w:r>
            <w:r>
              <w:rPr>
                <w:noProof/>
                <w:sz w:val="23"/>
                <w:szCs w:val="23"/>
              </w:rPr>
              <w:t xml:space="preserve"> </w:t>
            </w:r>
            <w:r w:rsidRPr="009629C4">
              <w:rPr>
                <w:rFonts w:ascii="Arial Narrow" w:hAnsi="Arial Narrow"/>
                <w:noProof/>
                <w:color w:val="006100"/>
                <w:sz w:val="20"/>
                <w:szCs w:val="20"/>
              </w:rPr>
              <w:t>hakijalle, jotka ovat</w:t>
            </w:r>
            <w:r>
              <w:rPr>
                <w:noProof/>
                <w:sz w:val="23"/>
                <w:szCs w:val="23"/>
              </w:rPr>
              <w:t xml:space="preserve"> </w:t>
            </w:r>
            <w:r w:rsidRPr="009629C4">
              <w:rPr>
                <w:rFonts w:ascii="Arial Narrow" w:hAnsi="Arial Narrow"/>
                <w:noProof/>
                <w:color w:val="006100"/>
                <w:sz w:val="20"/>
              </w:rPr>
              <w:t>läpäisseet uudistetun rekrytointijärjestelmän mukaisen julkisen kilpailun opettajien opettajaksi, mukaan lukien 40000 opettajaa, jotka on palkattu tavoitteiden M4C1–14 ja M4C1–14 a mukaisesti.</w:t>
            </w:r>
            <w:r>
              <w:rPr>
                <w:noProof/>
                <w:sz w:val="23"/>
                <w:szCs w:val="23"/>
              </w:rPr>
              <w:t xml:space="preserve"> </w:t>
            </w:r>
          </w:p>
        </w:tc>
      </w:tr>
      <w:tr w:rsidR="00E42B18" w14:paraId="5DD63269"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7D1F33" w14:textId="77777777" w:rsidR="00E42B18" w:rsidRDefault="009629C4">
            <w:pPr>
              <w:pStyle w:val="P68B1DB1-Normal11"/>
              <w:jc w:val="center"/>
              <w:rPr>
                <w:noProof/>
                <w:szCs w:val="20"/>
              </w:rPr>
            </w:pPr>
            <w:r>
              <w:rPr>
                <w:noProof/>
              </w:rPr>
              <w:t>M4C1–15</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22D585" w14:textId="77777777" w:rsidR="00E42B18" w:rsidRDefault="009629C4">
            <w:pPr>
              <w:pStyle w:val="P68B1DB1-Normal11"/>
              <w:jc w:val="center"/>
              <w:rPr>
                <w:noProof/>
                <w:szCs w:val="20"/>
              </w:rPr>
            </w:pPr>
            <w:r>
              <w:rPr>
                <w:noProof/>
              </w:rPr>
              <w:t>Investointi 1.7: Yliopisto-opiskeluapurahat</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664208" w14:textId="77777777" w:rsidR="00E42B18" w:rsidRDefault="009629C4">
            <w:pPr>
              <w:pStyle w:val="P68B1DB1-Normal11"/>
              <w:rPr>
                <w:noProof/>
                <w:szCs w:val="20"/>
              </w:rPr>
            </w:pPr>
            <w:r>
              <w:rPr>
                <w:noProof/>
              </w:rPr>
              <w:t>Kohde</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000A44" w14:textId="77777777" w:rsidR="00E42B18" w:rsidRDefault="009629C4">
            <w:pPr>
              <w:pStyle w:val="P68B1DB1-Normal11"/>
              <w:jc w:val="center"/>
              <w:rPr>
                <w:noProof/>
                <w:szCs w:val="20"/>
              </w:rPr>
            </w:pPr>
            <w:r>
              <w:rPr>
                <w:noProof/>
              </w:rPr>
              <w:t>Korkeakouluopintoihin oikeuttavat apurahat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96B8FC" w14:textId="77777777" w:rsidR="00E42B18" w:rsidRDefault="009629C4">
            <w:pPr>
              <w:pStyle w:val="P68B1DB1-Normal11"/>
              <w:jc w:val="center"/>
              <w:rPr>
                <w:noProof/>
                <w:szCs w:val="20"/>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434CB2" w14:textId="77777777" w:rsidR="00E42B18" w:rsidRDefault="009629C4">
            <w:pPr>
              <w:pStyle w:val="P68B1DB1-Normal11"/>
              <w:jc w:val="center"/>
              <w:rPr>
                <w:noProof/>
                <w:szCs w:val="20"/>
              </w:rPr>
            </w:pPr>
            <w:r>
              <w:rPr>
                <w:noProof/>
              </w:rPr>
              <w:t>Numero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24EDD" w14:textId="77777777" w:rsidR="00E42B18" w:rsidRDefault="009629C4">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F8340D"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55</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F1A04D" w14:textId="77777777" w:rsidR="00E42B18" w:rsidRDefault="009629C4">
            <w:pPr>
              <w:pStyle w:val="P68B1DB1-Normal11"/>
              <w:jc w:val="center"/>
              <w:rPr>
                <w:noProof/>
                <w:szCs w:val="20"/>
              </w:rPr>
            </w:pPr>
            <w:r>
              <w:rPr>
                <w:noProof/>
              </w:rPr>
              <w:t>Q4</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9F920C" w14:textId="77777777" w:rsidR="00E42B18" w:rsidRDefault="009629C4">
            <w:pPr>
              <w:pStyle w:val="P68B1DB1-Normal11"/>
              <w:rPr>
                <w:noProof/>
                <w:szCs w:val="20"/>
              </w:rPr>
            </w:pPr>
            <w:r>
              <w:rPr>
                <w:noProof/>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B2BBAA" w14:textId="77777777" w:rsidR="00E42B18" w:rsidRDefault="009629C4">
            <w:pPr>
              <w:rPr>
                <w:rFonts w:ascii="Arial Narrow" w:hAnsi="Arial Narrow"/>
                <w:noProof/>
                <w:color w:val="006100"/>
                <w:sz w:val="20"/>
                <w:szCs w:val="20"/>
              </w:rPr>
            </w:pPr>
            <w:r>
              <w:rPr>
                <w:rFonts w:ascii="Arial Narrow" w:hAnsi="Arial Narrow"/>
                <w:noProof/>
                <w:color w:val="006100"/>
                <w:sz w:val="20"/>
              </w:rPr>
              <w:t>Vähintään</w:t>
            </w:r>
            <w:r>
              <w:rPr>
                <w:rFonts w:hint="eastAsia"/>
                <w:noProof/>
                <w:sz w:val="23"/>
                <w:szCs w:val="23"/>
              </w:rPr>
              <w:t xml:space="preserve"> </w:t>
            </w:r>
            <w:r>
              <w:rPr>
                <w:rFonts w:ascii="Arial Narrow" w:hAnsi="Arial Narrow"/>
                <w:noProof/>
                <w:color w:val="006100"/>
                <w:sz w:val="20"/>
              </w:rPr>
              <w:t>55000 opiskelijalle myönnetään apurahoja, jotka rahoitetaan yksinomaan elpymis- ja palautumistukivälineen varoista.</w:t>
            </w:r>
          </w:p>
        </w:tc>
      </w:tr>
      <w:tr w:rsidR="00E42B18" w14:paraId="5991F809"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8D52F" w14:textId="77777777" w:rsidR="00E42B18" w:rsidRDefault="009629C4">
            <w:pPr>
              <w:pStyle w:val="P68B1DB1-Normal11"/>
              <w:jc w:val="center"/>
              <w:rPr>
                <w:noProof/>
                <w:szCs w:val="20"/>
              </w:rPr>
            </w:pPr>
            <w:r>
              <w:rPr>
                <w:noProof/>
              </w:rPr>
              <w:t>M4C1–15 a</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F7739E" w14:textId="77777777" w:rsidR="00E42B18" w:rsidRDefault="009629C4">
            <w:pPr>
              <w:pStyle w:val="P68B1DB1-Normal11"/>
              <w:jc w:val="center"/>
              <w:rPr>
                <w:noProof/>
                <w:szCs w:val="20"/>
              </w:rPr>
            </w:pPr>
            <w:r>
              <w:rPr>
                <w:noProof/>
              </w:rPr>
              <w:t>Investointi 1.7: Yliopisto-opiskeluapurahat</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B64DD" w14:textId="77777777" w:rsidR="00E42B18" w:rsidRDefault="009629C4">
            <w:pPr>
              <w:pStyle w:val="P68B1DB1-Normal11"/>
              <w:jc w:val="center"/>
              <w:rPr>
                <w:noProof/>
                <w:szCs w:val="20"/>
              </w:rPr>
            </w:pPr>
            <w:r>
              <w:rPr>
                <w:noProof/>
              </w:rPr>
              <w:t>Kohde</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F964C6" w14:textId="77777777" w:rsidR="00E42B18" w:rsidRDefault="009629C4">
            <w:pPr>
              <w:pStyle w:val="P68B1DB1-Normal11"/>
              <w:jc w:val="center"/>
              <w:rPr>
                <w:noProof/>
                <w:szCs w:val="20"/>
              </w:rPr>
            </w:pPr>
            <w:r>
              <w:rPr>
                <w:noProof/>
              </w:rPr>
              <w:t>Korkeakouluopintoihin oikeuttavat apurahat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9BEEC1" w14:textId="77777777" w:rsidR="00E42B18" w:rsidRDefault="009629C4">
            <w:pPr>
              <w:pStyle w:val="P68B1DB1-Normal11"/>
              <w:jc w:val="center"/>
              <w:rPr>
                <w:noProof/>
                <w:szCs w:val="20"/>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230808" w14:textId="77777777" w:rsidR="00E42B18" w:rsidRDefault="009629C4">
            <w:pPr>
              <w:pStyle w:val="P68B1DB1-Normal11"/>
              <w:jc w:val="center"/>
              <w:rPr>
                <w:noProof/>
                <w:szCs w:val="20"/>
              </w:rPr>
            </w:pPr>
            <w:r>
              <w:rPr>
                <w:noProof/>
              </w:rPr>
              <w:t>Numero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F7CAF0" w14:textId="77777777" w:rsidR="00E42B18" w:rsidRDefault="009629C4">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311D39"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83</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3AEAD9" w14:textId="77777777" w:rsidR="00E42B18" w:rsidRDefault="009629C4">
            <w:pPr>
              <w:pStyle w:val="P68B1DB1-Normal11"/>
              <w:jc w:val="center"/>
              <w:rPr>
                <w:noProof/>
                <w:szCs w:val="20"/>
              </w:rPr>
            </w:pPr>
            <w:r>
              <w:rPr>
                <w:noProof/>
              </w:rPr>
              <w:t>Q2</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506A2F" w14:textId="77777777" w:rsidR="00E42B18" w:rsidRDefault="009629C4">
            <w:pPr>
              <w:pStyle w:val="P68B1DB1-Normal11"/>
              <w:jc w:val="center"/>
              <w:rPr>
                <w:noProof/>
                <w:szCs w:val="20"/>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0687BC" w14:textId="77777777" w:rsidR="00E42B18" w:rsidRDefault="009629C4">
            <w:pPr>
              <w:rPr>
                <w:rFonts w:ascii="Arial Narrow" w:hAnsi="Arial Narrow"/>
                <w:noProof/>
                <w:color w:val="006100"/>
                <w:sz w:val="20"/>
                <w:szCs w:val="20"/>
              </w:rPr>
            </w:pPr>
            <w:r>
              <w:rPr>
                <w:rFonts w:ascii="Arial Narrow" w:hAnsi="Arial Narrow"/>
                <w:noProof/>
                <w:color w:val="006100"/>
                <w:sz w:val="20"/>
                <w:szCs w:val="20"/>
              </w:rPr>
              <w:t>Vähintään 83000</w:t>
            </w:r>
            <w:r>
              <w:rPr>
                <w:rFonts w:hint="eastAsia"/>
                <w:noProof/>
                <w:sz w:val="23"/>
                <w:szCs w:val="23"/>
              </w:rPr>
              <w:t xml:space="preserve"> </w:t>
            </w:r>
            <w:r>
              <w:rPr>
                <w:rFonts w:ascii="Arial Narrow" w:hAnsi="Arial Narrow"/>
                <w:noProof/>
                <w:color w:val="006100"/>
                <w:sz w:val="20"/>
                <w:szCs w:val="20"/>
              </w:rPr>
              <w:t>opiskelijalle myönnetään apurahoja, jotka rahoitetaan yksinomaan elpymis- ja palautumistukivälineen varoista.</w:t>
            </w:r>
          </w:p>
        </w:tc>
      </w:tr>
      <w:tr w:rsidR="00E42B18" w14:paraId="0145D840" w14:textId="77777777">
        <w:trPr>
          <w:trHeight w:val="1455"/>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E548B6" w14:textId="77777777" w:rsidR="00E42B18" w:rsidRDefault="009629C4">
            <w:pPr>
              <w:pStyle w:val="P68B1DB1-Normal12"/>
              <w:jc w:val="center"/>
              <w:rPr>
                <w:noProof/>
              </w:rPr>
            </w:pPr>
            <w:r>
              <w:rPr>
                <w:noProof/>
              </w:rPr>
              <w:t>M4C1–16</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2346FC" w14:textId="77777777" w:rsidR="00E42B18" w:rsidRDefault="009629C4">
            <w:pPr>
              <w:pStyle w:val="P68B1DB1-Normal11"/>
              <w:jc w:val="center"/>
              <w:rPr>
                <w:noProof/>
                <w:szCs w:val="20"/>
              </w:rPr>
            </w:pPr>
            <w:r>
              <w:rPr>
                <w:noProof/>
              </w:rPr>
              <w:t>Investointi 3.1: Uudet taidot ja uudet kielet</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6F55C"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F8CA8" w14:textId="77777777" w:rsidR="00E42B18" w:rsidRDefault="009629C4">
            <w:pPr>
              <w:pStyle w:val="P68B1DB1-Normal12"/>
              <w:rPr>
                <w:noProof/>
              </w:rPr>
            </w:pPr>
            <w:r>
              <w:rPr>
                <w:noProof/>
              </w:rPr>
              <w:t>STEM-hankkeiden aktivointia koskevan avustuksen myöntämispäätöksen (-päätösten) hyväksyminen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23F8C0" w14:textId="77777777" w:rsidR="00E42B18" w:rsidRDefault="009629C4">
            <w:pPr>
              <w:pStyle w:val="P68B1DB1-Normal12"/>
              <w:rPr>
                <w:noProof/>
              </w:rPr>
            </w:pPr>
            <w:r>
              <w:rPr>
                <w:noProof/>
              </w:rPr>
              <w:t>Avustuksen myöntämispäätöksen (-päätösten) hyväksyminen</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AB0EB"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32190A"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75D2A"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BDE781" w14:textId="77777777" w:rsidR="00E42B18" w:rsidRDefault="009629C4">
            <w:pPr>
              <w:pStyle w:val="P68B1DB1-Normal11"/>
              <w:jc w:val="center"/>
              <w:rPr>
                <w:noProof/>
                <w:szCs w:val="20"/>
              </w:rPr>
            </w:pPr>
            <w:r>
              <w:rPr>
                <w:noProof/>
              </w:rPr>
              <w:t>Q2</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71223" w14:textId="77777777" w:rsidR="00E42B18" w:rsidRDefault="009629C4">
            <w:pPr>
              <w:pStyle w:val="P68B1DB1-Normal12"/>
              <w:jc w:val="center"/>
              <w:rPr>
                <w:noProof/>
              </w:rPr>
            </w:pPr>
            <w:r>
              <w:rPr>
                <w:noProof/>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F8D1F" w14:textId="09E8AD5C" w:rsidR="00E42B18" w:rsidRDefault="009629C4">
            <w:pPr>
              <w:pStyle w:val="P68B1DB1-Normal12"/>
              <w:rPr>
                <w:noProof/>
              </w:rPr>
            </w:pPr>
            <w:r>
              <w:rPr>
                <w:noProof/>
              </w:rPr>
              <w:t>Hyväksytään avustusten myöntämispäätös STEM-hankkeiden käynnistämiseksi vähintään 8000 koulussa.</w:t>
            </w:r>
          </w:p>
        </w:tc>
      </w:tr>
      <w:tr w:rsidR="00E42B18" w14:paraId="39A5FC0E"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5B7A2" w14:textId="77777777" w:rsidR="00E42B18" w:rsidRDefault="009629C4">
            <w:pPr>
              <w:pStyle w:val="P68B1DB1-Normal12"/>
              <w:jc w:val="center"/>
              <w:rPr>
                <w:noProof/>
              </w:rPr>
            </w:pPr>
            <w:r>
              <w:rPr>
                <w:noProof/>
              </w:rPr>
              <w:t>M4C1–17</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E2BE61" w14:textId="77777777" w:rsidR="00E42B18" w:rsidRDefault="009629C4">
            <w:pPr>
              <w:pStyle w:val="P68B1DB1-Normal12"/>
              <w:jc w:val="center"/>
              <w:rPr>
                <w:noProof/>
              </w:rPr>
            </w:pPr>
            <w:r>
              <w:rPr>
                <w:noProof/>
              </w:rPr>
              <w:t>Investointi 3.1: Uudet taidot ja uudet kielet</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AE96A2"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5A762" w14:textId="77777777" w:rsidR="00E42B18" w:rsidRDefault="009629C4">
            <w:pPr>
              <w:pStyle w:val="P68B1DB1-Normal12"/>
              <w:jc w:val="center"/>
              <w:rPr>
                <w:noProof/>
              </w:rPr>
            </w:pPr>
            <w:r>
              <w:rPr>
                <w:noProof/>
              </w:rPr>
              <w:t>Uudet taidot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832EF9" w14:textId="77777777" w:rsidR="00E42B18" w:rsidRDefault="009629C4">
            <w:pPr>
              <w:pStyle w:val="P68B1DB1-Normal12"/>
              <w:jc w:val="center"/>
              <w:rPr>
                <w:noProof/>
              </w:rPr>
            </w:pPr>
            <w:r>
              <w:rPr>
                <w:noProof/>
              </w:rPr>
              <w:t xml:space="preserve">Avustuksen myöntämispäätöksen (-päätösten) hyväksyminen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ADCE29"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CAF493"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5AB02" w14:textId="77777777" w:rsidR="00E42B18" w:rsidRDefault="009629C4">
            <w:pPr>
              <w:pStyle w:val="P68B1DB1-Normal11"/>
              <w:jc w:val="center"/>
              <w:rPr>
                <w:noProof/>
                <w:szCs w:val="20"/>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4E2C17" w14:textId="77777777" w:rsidR="00E42B18" w:rsidRDefault="009629C4">
            <w:pPr>
              <w:pStyle w:val="P68B1DB1-Normal11"/>
              <w:jc w:val="center"/>
              <w:rPr>
                <w:noProof/>
                <w:szCs w:val="20"/>
              </w:rPr>
            </w:pPr>
            <w:r>
              <w:rPr>
                <w:noProof/>
              </w:rPr>
              <w:t>Q2</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E4951" w14:textId="77777777" w:rsidR="00E42B18" w:rsidRDefault="009629C4">
            <w:pPr>
              <w:pStyle w:val="P68B1DB1-Normal11"/>
              <w:jc w:val="center"/>
              <w:rPr>
                <w:noProof/>
                <w:szCs w:val="20"/>
              </w:rPr>
            </w:pPr>
            <w:r>
              <w:rPr>
                <w:noProof/>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4F95E5" w14:textId="77777777" w:rsidR="00E42B18" w:rsidRDefault="009629C4">
            <w:pPr>
              <w:pStyle w:val="P68B1DB1-Normal12"/>
              <w:rPr>
                <w:noProof/>
              </w:rPr>
            </w:pPr>
            <w:r>
              <w:rPr>
                <w:noProof/>
              </w:rPr>
              <w:t xml:space="preserve">Avustuksen myöntämispäätöksen (-päätösten) hyväksyminen: </w:t>
            </w:r>
          </w:p>
          <w:p w14:paraId="2E365A7E" w14:textId="0242E4B1" w:rsidR="00E42B18" w:rsidRDefault="009629C4">
            <w:pPr>
              <w:pStyle w:val="P68B1DB1-ListParagraph13"/>
              <w:numPr>
                <w:ilvl w:val="0"/>
                <w:numId w:val="89"/>
              </w:numPr>
              <w:spacing w:before="120" w:after="120" w:line="240" w:lineRule="auto"/>
              <w:jc w:val="both"/>
              <w:rPr>
                <w:noProof/>
              </w:rPr>
            </w:pPr>
            <w:r>
              <w:rPr>
                <w:noProof/>
              </w:rPr>
              <w:t xml:space="preserve">Koulujen henkilöstölle tarkoitettujen kieli- ja/tai menetelmäkurssien aktivointi vähintään 8000 koulussa. </w:t>
            </w:r>
          </w:p>
          <w:p w14:paraId="763A679D" w14:textId="58EE5BAA" w:rsidR="00E42B18" w:rsidRDefault="009629C4">
            <w:pPr>
              <w:pStyle w:val="P68B1DB1-ListParagraph13"/>
              <w:numPr>
                <w:ilvl w:val="0"/>
                <w:numId w:val="89"/>
              </w:numPr>
              <w:spacing w:before="120" w:after="120" w:line="240" w:lineRule="auto"/>
              <w:jc w:val="both"/>
              <w:rPr>
                <w:noProof/>
              </w:rPr>
            </w:pPr>
            <w:r>
              <w:rPr>
                <w:noProof/>
              </w:rPr>
              <w:t xml:space="preserve">Opiskelijoille ja/tai koulujen henkilöstölle suunnatun Erasmus±ohjelman vahvistaminen vuosina 2023, 2024 ja 2025.  </w:t>
            </w:r>
          </w:p>
        </w:tc>
      </w:tr>
      <w:tr w:rsidR="00E42B18" w14:paraId="330E5BAD"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DE24B0" w14:textId="77777777" w:rsidR="00E42B18" w:rsidRDefault="009629C4">
            <w:pPr>
              <w:pStyle w:val="P68B1DB1-Normal12"/>
              <w:jc w:val="center"/>
              <w:rPr>
                <w:noProof/>
              </w:rPr>
            </w:pPr>
            <w:r>
              <w:rPr>
                <w:noProof/>
              </w:rPr>
              <w:t>M4C1–19</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228EA" w14:textId="77777777" w:rsidR="00E42B18" w:rsidRDefault="009629C4">
            <w:pPr>
              <w:pStyle w:val="P68B1DB1-Normal12"/>
              <w:jc w:val="center"/>
              <w:rPr>
                <w:noProof/>
              </w:rPr>
            </w:pPr>
            <w:r>
              <w:rPr>
                <w:noProof/>
              </w:rPr>
              <w:t>Investointi 3.2: Koulu 4.0: innovatiiviset koulut, kaapelointi, uudet luokkahuoneet ja työpajat</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585C98"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E51DEA" w14:textId="77777777" w:rsidR="00E42B18" w:rsidRDefault="009629C4">
            <w:pPr>
              <w:pStyle w:val="P68B1DB1-Normal12"/>
              <w:jc w:val="center"/>
              <w:rPr>
                <w:noProof/>
              </w:rPr>
            </w:pPr>
            <w:r>
              <w:rPr>
                <w:noProof/>
              </w:rPr>
              <w:t xml:space="preserve">Digitaalisten laitteiden hankintaa ja/tai digitaalisten laboratorioiden perustamista koskevien avustusten myöntämispäätösten hyväksyminen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98D05" w14:textId="5E39E543" w:rsidR="00E42B18" w:rsidRDefault="009629C4">
            <w:pPr>
              <w:pStyle w:val="P68B1DB1-Normal12"/>
              <w:jc w:val="center"/>
              <w:rPr>
                <w:noProof/>
              </w:rPr>
            </w:pPr>
            <w:r>
              <w:rPr>
                <w:noProof/>
              </w:rPr>
              <w:t xml:space="preserve">Avustuksen myöntämispäätöksen (-päätösten) hyväksyminen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63F221"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4C9262" w14:textId="77777777" w:rsidR="00E42B18" w:rsidRDefault="009629C4">
            <w:pPr>
              <w:pStyle w:val="P68B1DB1-Normal11"/>
              <w:jc w:val="center"/>
              <w:rPr>
                <w:noProof/>
                <w:szCs w:val="20"/>
              </w:rPr>
            </w:pPr>
            <w:r>
              <w:rPr>
                <w:noProof/>
              </w:rPr>
              <w:t>EI OLE</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8B4DB" w14:textId="77777777" w:rsidR="00E42B18" w:rsidRDefault="009629C4">
            <w:pPr>
              <w:pStyle w:val="P68B1DB1-Normal12"/>
              <w:jc w:val="center"/>
              <w:rPr>
                <w:noProof/>
              </w:rPr>
            </w:pPr>
            <w:r>
              <w:rPr>
                <w:noProof/>
              </w:rPr>
              <w:t>EI OLE</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F2E0B" w14:textId="77777777" w:rsidR="00E42B18" w:rsidRDefault="009629C4">
            <w:pPr>
              <w:pStyle w:val="P68B1DB1-Normal11"/>
              <w:jc w:val="center"/>
              <w:rPr>
                <w:noProof/>
                <w:szCs w:val="20"/>
              </w:rPr>
            </w:pPr>
            <w:r>
              <w:rPr>
                <w:noProof/>
              </w:rPr>
              <w:t>Q2</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638D4" w14:textId="77777777" w:rsidR="00E42B18" w:rsidRDefault="009629C4">
            <w:pPr>
              <w:pStyle w:val="P68B1DB1-Normal11"/>
              <w:jc w:val="center"/>
              <w:rPr>
                <w:noProof/>
                <w:szCs w:val="20"/>
              </w:rPr>
            </w:pPr>
            <w:r>
              <w:rPr>
                <w:noProof/>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F1F3E" w14:textId="036B9812" w:rsidR="00E42B18" w:rsidRDefault="009629C4">
            <w:pPr>
              <w:pStyle w:val="P68B1DB1-Normal12"/>
              <w:rPr>
                <w:rFonts w:eastAsia="Arial Narrow" w:cs="Arial Narrow"/>
                <w:noProof/>
              </w:rPr>
            </w:pPr>
            <w:r>
              <w:rPr>
                <w:noProof/>
              </w:rPr>
              <w:t>Hyväksytään avustusten myöntämispäätös luokkahuoneiden muuttamiseksi innovatiivisiksi ympäristöiksi ja/tai digitaalisten laboratorioiden perustamiseksi vähintään 8000 kouluun.</w:t>
            </w:r>
          </w:p>
        </w:tc>
      </w:tr>
      <w:tr w:rsidR="00E42B18" w14:paraId="312434B7"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FC0A2" w14:textId="77777777" w:rsidR="00E42B18" w:rsidRDefault="009629C4">
            <w:pPr>
              <w:pStyle w:val="P68B1DB1-Normal11"/>
              <w:jc w:val="center"/>
              <w:rPr>
                <w:noProof/>
                <w:szCs w:val="20"/>
              </w:rPr>
            </w:pPr>
            <w:r>
              <w:rPr>
                <w:noProof/>
              </w:rPr>
              <w:t>M4C1–20</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EDD6F3" w14:textId="77777777" w:rsidR="00E42B18" w:rsidRDefault="009629C4">
            <w:pPr>
              <w:pStyle w:val="P68B1DB1-Normal11"/>
              <w:jc w:val="center"/>
              <w:rPr>
                <w:noProof/>
                <w:szCs w:val="20"/>
              </w:rPr>
            </w:pPr>
            <w:r>
              <w:rPr>
                <w:noProof/>
              </w:rPr>
              <w:t>Investointi 1.5: Korkea-asteen ammatillisen koulutuksen järjestelmän (ITS) kehittäminen</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5C08CA" w14:textId="77777777" w:rsidR="00E42B18" w:rsidRDefault="009629C4">
            <w:pPr>
              <w:pStyle w:val="P68B1DB1-Normal11"/>
              <w:jc w:val="center"/>
              <w:rPr>
                <w:noProof/>
                <w:szCs w:val="20"/>
              </w:rPr>
            </w:pPr>
            <w:r>
              <w:rPr>
                <w:noProof/>
              </w:rPr>
              <w:t>Kohde</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9DF0F" w14:textId="77777777" w:rsidR="00E42B18" w:rsidRDefault="009629C4">
            <w:pPr>
              <w:pStyle w:val="P68B1DB1-Normal12"/>
              <w:jc w:val="center"/>
              <w:rPr>
                <w:noProof/>
              </w:rPr>
            </w:pPr>
            <w:r>
              <w:rPr>
                <w:noProof/>
              </w:rPr>
              <w:t xml:space="preserve">Ammatillisen koulutuksen järjestelmään (ITS) osallistuvien opiskelijoiden lukumäärä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7F2CB2" w14:textId="77777777" w:rsidR="00E42B18" w:rsidRDefault="009629C4">
            <w:pPr>
              <w:pStyle w:val="P68B1DB1-Normal11"/>
              <w:jc w:val="center"/>
              <w:rPr>
                <w:noProof/>
                <w:szCs w:val="20"/>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E2983C" w14:textId="77777777" w:rsidR="00E42B18" w:rsidRDefault="009629C4">
            <w:pPr>
              <w:pStyle w:val="P68B1DB1-Normal11"/>
              <w:jc w:val="center"/>
              <w:rPr>
                <w:noProof/>
                <w:szCs w:val="20"/>
              </w:rPr>
            </w:pPr>
            <w:r>
              <w:rPr>
                <w:noProof/>
              </w:rPr>
              <w:t>Numero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6FB1B" w14:textId="77777777" w:rsidR="00E42B18" w:rsidRDefault="009629C4">
            <w:pPr>
              <w:pStyle w:val="P68B1DB1-Normal12"/>
              <w:jc w:val="center"/>
              <w:rPr>
                <w:noProof/>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0C1553" w14:textId="77777777" w:rsidR="00E42B18" w:rsidRDefault="009629C4">
            <w:pPr>
              <w:pStyle w:val="P68B1DB1-Normal11"/>
              <w:jc w:val="center"/>
              <w:rPr>
                <w:noProof/>
                <w:szCs w:val="20"/>
              </w:rPr>
            </w:pPr>
            <w:r>
              <w:rPr>
                <w:noProof/>
              </w:rPr>
              <w:t>11 000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AD4CF" w14:textId="77777777" w:rsidR="00E42B18" w:rsidRDefault="009629C4">
            <w:pPr>
              <w:pStyle w:val="P68B1DB1-Normal12"/>
              <w:jc w:val="center"/>
              <w:rPr>
                <w:noProof/>
              </w:rPr>
            </w:pPr>
            <w:r>
              <w:rPr>
                <w:noProof/>
              </w:rPr>
              <w:t>Q1</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E30A39" w14:textId="77777777" w:rsidR="00E42B18" w:rsidRDefault="009629C4">
            <w:pPr>
              <w:pStyle w:val="P68B1DB1-Normal12"/>
              <w:jc w:val="center"/>
              <w:rPr>
                <w:noProof/>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7869E" w14:textId="3C821366" w:rsidR="00E42B18" w:rsidRDefault="009629C4">
            <w:pPr>
              <w:pStyle w:val="P68B1DB1-Normal12"/>
              <w:rPr>
                <w:noProof/>
              </w:rPr>
            </w:pPr>
            <w:r>
              <w:rPr>
                <w:noProof/>
              </w:rPr>
              <w:t>Vähintään 11000 opiskelijaa ilmoittautui ammatillisen koulutuksen järjestelmän ITS Academyn kansalliseen rekisteriin viitevuonna 2025. ITS-järjestelmän kansallinen digitaalinen alusta on verkossa ja käytettävissä, kuten verbaali</w:t>
            </w:r>
            <w:r>
              <w:rPr>
                <w:i/>
                <w:noProof/>
              </w:rPr>
              <w:t>di kolaudo vahvistaa</w:t>
            </w:r>
            <w:r>
              <w:rPr>
                <w:noProof/>
              </w:rPr>
              <w:t>.</w:t>
            </w:r>
          </w:p>
        </w:tc>
      </w:tr>
      <w:tr w:rsidR="00E42B18" w14:paraId="0167E044"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0717BC" w14:textId="77777777" w:rsidR="00E42B18" w:rsidRDefault="009629C4">
            <w:pPr>
              <w:pStyle w:val="P68B1DB1-Normal11"/>
              <w:jc w:val="center"/>
              <w:rPr>
                <w:noProof/>
              </w:rPr>
            </w:pPr>
            <w:r>
              <w:rPr>
                <w:noProof/>
              </w:rPr>
              <w:t>M4C1–22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67D8A" w14:textId="77777777" w:rsidR="00E42B18" w:rsidRDefault="009629C4">
            <w:pPr>
              <w:pStyle w:val="P68B1DB1-Normal11"/>
              <w:jc w:val="center"/>
              <w:rPr>
                <w:noProof/>
              </w:rPr>
            </w:pPr>
            <w:r>
              <w:rPr>
                <w:noProof/>
              </w:rPr>
              <w:t>Investointi 1.3: Koulujen urheiluinfrastruktuurin kehittämissuunnitelma</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ABC5F" w14:textId="77777777" w:rsidR="00E42B18" w:rsidRDefault="009629C4">
            <w:pPr>
              <w:pStyle w:val="P68B1DB1-Normal11"/>
              <w:jc w:val="center"/>
              <w:rPr>
                <w:noProof/>
              </w:rPr>
            </w:pPr>
            <w:r>
              <w:rPr>
                <w:noProof/>
              </w:rPr>
              <w:t>Kohde</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96CEB" w14:textId="77777777" w:rsidR="00E42B18" w:rsidRDefault="009629C4">
            <w:pPr>
              <w:pStyle w:val="P68B1DB1-Normal11"/>
              <w:jc w:val="center"/>
              <w:rPr>
                <w:noProof/>
              </w:rPr>
            </w:pPr>
            <w:r>
              <w:rPr>
                <w:noProof/>
              </w:rPr>
              <w:t>Koulukäyttöön tarkoitettujen urheilutilojen ja kuntosalien rakentaminen tai kunnostaminen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A43622" w14:textId="77777777" w:rsidR="00E42B18" w:rsidRDefault="009629C4">
            <w:pPr>
              <w:pStyle w:val="P68B1DB1-Normal11"/>
              <w:jc w:val="center"/>
              <w:rPr>
                <w:noProof/>
                <w:szCs w:val="20"/>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BD8A1F" w14:textId="77777777" w:rsidR="00E42B18" w:rsidRDefault="009629C4">
            <w:pPr>
              <w:pStyle w:val="P68B1DB1-Normal11"/>
              <w:jc w:val="center"/>
              <w:rPr>
                <w:noProof/>
                <w:szCs w:val="20"/>
              </w:rPr>
            </w:pPr>
            <w:r>
              <w:rPr>
                <w:noProof/>
              </w:rPr>
              <w:t>Numero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68A3F2" w14:textId="77777777" w:rsidR="00E42B18" w:rsidRDefault="009629C4">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66F35" w14:textId="77777777" w:rsidR="00E42B18" w:rsidRDefault="009629C4">
            <w:pPr>
              <w:pStyle w:val="P68B1DB1-Normal12"/>
              <w:jc w:val="center"/>
              <w:rPr>
                <w:noProof/>
              </w:rPr>
            </w:pPr>
            <w:r>
              <w:rPr>
                <w:noProof/>
              </w:rPr>
              <w:t>300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C4F421" w14:textId="77777777" w:rsidR="00E42B18" w:rsidRDefault="009629C4">
            <w:pPr>
              <w:pStyle w:val="P68B1DB1-Normal11"/>
              <w:jc w:val="center"/>
              <w:rPr>
                <w:noProof/>
                <w:szCs w:val="20"/>
              </w:rPr>
            </w:pPr>
            <w:r>
              <w:rPr>
                <w:noProof/>
              </w:rPr>
              <w:t>Q2</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698D1" w14:textId="77777777" w:rsidR="00E42B18" w:rsidRDefault="009629C4">
            <w:pPr>
              <w:pStyle w:val="P68B1DB1-Normal11"/>
              <w:jc w:val="center"/>
              <w:rPr>
                <w:noProof/>
                <w:szCs w:val="20"/>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B14318" w14:textId="77777777" w:rsidR="00E42B18" w:rsidRDefault="009629C4">
            <w:pPr>
              <w:pStyle w:val="P68B1DB1-Normal12"/>
              <w:rPr>
                <w:noProof/>
              </w:rPr>
            </w:pPr>
            <w:r>
              <w:rPr>
                <w:noProof/>
              </w:rPr>
              <w:t>Todistus töiden valmistumisesta on annettava vähintään 300 voimistolle tai koulukäyttöön tarkoitetuille urheilutiloille.</w:t>
            </w:r>
          </w:p>
        </w:tc>
      </w:tr>
      <w:tr w:rsidR="00E42B18" w14:paraId="6F3F38C3"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9133D70" w14:textId="77777777" w:rsidR="00E42B18" w:rsidRDefault="009629C4">
            <w:pPr>
              <w:pStyle w:val="P68B1DB1-Normal11"/>
              <w:jc w:val="center"/>
              <w:rPr>
                <w:noProof/>
                <w:szCs w:val="20"/>
              </w:rPr>
            </w:pPr>
            <w:r>
              <w:rPr>
                <w:noProof/>
              </w:rPr>
              <w:t>M4C1–23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228B606" w14:textId="77777777" w:rsidR="00E42B18" w:rsidRDefault="009629C4">
            <w:pPr>
              <w:pStyle w:val="P68B1DB1-Normal11"/>
              <w:jc w:val="center"/>
              <w:rPr>
                <w:noProof/>
                <w:szCs w:val="20"/>
              </w:rPr>
            </w:pPr>
            <w:r>
              <w:rPr>
                <w:noProof/>
              </w:rPr>
              <w:t>Investointi 3.4: Opetus ja korkea-asteen koulutus</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EDBDC56" w14:textId="77777777" w:rsidR="00E42B18" w:rsidRDefault="009629C4">
            <w:pPr>
              <w:pStyle w:val="P68B1DB1-Normal11"/>
              <w:jc w:val="center"/>
              <w:rPr>
                <w:noProof/>
                <w:szCs w:val="20"/>
              </w:rPr>
            </w:pPr>
            <w:r>
              <w:rPr>
                <w:noProof/>
              </w:rPr>
              <w:t>Virstanpylväs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3A08A70" w14:textId="77777777" w:rsidR="00E42B18" w:rsidRDefault="009629C4">
            <w:pPr>
              <w:pStyle w:val="P68B1DB1-Normal12"/>
              <w:jc w:val="center"/>
              <w:rPr>
                <w:noProof/>
              </w:rPr>
            </w:pPr>
            <w:r>
              <w:rPr>
                <w:noProof/>
              </w:rPr>
              <w:t>Toimet toisen asteen oppilaitosten ja yliopisto-ohjelmien, myös tohtorintutkintojen, kelpuuttamiseksi ja innovoimiseksi.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0EBB133" w14:textId="77777777" w:rsidR="00E42B18" w:rsidRDefault="009629C4">
            <w:pPr>
              <w:pStyle w:val="P68B1DB1-Normal11"/>
              <w:jc w:val="center"/>
              <w:rPr>
                <w:noProof/>
                <w:szCs w:val="20"/>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F9A214" w14:textId="77777777" w:rsidR="00E42B18" w:rsidRDefault="009629C4">
            <w:pPr>
              <w:pStyle w:val="P68B1DB1-Normal11"/>
              <w:jc w:val="center"/>
              <w:rPr>
                <w:noProof/>
                <w:szCs w:val="20"/>
              </w:rPr>
            </w:pPr>
            <w:r>
              <w:rPr>
                <w:noProof/>
              </w:rPr>
              <w:t>EI OLE</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CBCE15" w14:textId="77777777" w:rsidR="00E42B18" w:rsidRDefault="00E42B18">
            <w:pPr>
              <w:jc w:val="center"/>
              <w:rPr>
                <w:rFonts w:ascii="Arial Narrow" w:hAnsi="Arial Narrow"/>
                <w:noProof/>
                <w:color w:val="006100"/>
                <w:sz w:val="20"/>
                <w:szCs w:val="20"/>
              </w:rPr>
            </w:pP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ADC18A" w14:textId="77777777" w:rsidR="00E42B18" w:rsidRDefault="00E42B18">
            <w:pPr>
              <w:jc w:val="center"/>
              <w:rPr>
                <w:rFonts w:ascii="Arial Narrow" w:hAnsi="Arial Narrow"/>
                <w:noProof/>
                <w:color w:val="006100"/>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E690AB" w14:textId="77777777" w:rsidR="00E42B18" w:rsidRDefault="009629C4">
            <w:pPr>
              <w:pStyle w:val="P68B1DB1-Normal11"/>
              <w:jc w:val="center"/>
              <w:rPr>
                <w:noProof/>
                <w:szCs w:val="20"/>
              </w:rPr>
            </w:pPr>
            <w:r>
              <w:rPr>
                <w:noProof/>
              </w:rPr>
              <w:t>Q2</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448B92E" w14:textId="77777777" w:rsidR="00E42B18" w:rsidRDefault="009629C4">
            <w:pPr>
              <w:pStyle w:val="P68B1DB1-Normal11"/>
              <w:jc w:val="center"/>
              <w:rPr>
                <w:noProof/>
                <w:szCs w:val="20"/>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F4D101" w14:textId="77777777" w:rsidR="00E42B18" w:rsidRDefault="009629C4">
            <w:pPr>
              <w:pStyle w:val="P68B1DB1-Normal12"/>
              <w:rPr>
                <w:noProof/>
              </w:rPr>
            </w:pPr>
            <w:r>
              <w:rPr>
                <w:noProof/>
              </w:rPr>
              <w:t>Asetuksen antaminen vähintään 500:lle uudelle tohtorille yliopistojen käynnistämissä ohjelmissa, joissa keskitytään digitaaliseen ja ekologiseen siirtymään.</w:t>
            </w:r>
          </w:p>
          <w:p w14:paraId="6F031583" w14:textId="77777777" w:rsidR="00E42B18" w:rsidRDefault="009629C4">
            <w:pPr>
              <w:pStyle w:val="P68B1DB1-Normal12"/>
              <w:rPr>
                <w:noProof/>
              </w:rPr>
            </w:pPr>
            <w:r>
              <w:rPr>
                <w:noProof/>
              </w:rPr>
              <w:t xml:space="preserve">Allekirjoitetaan sopimukset kolmen digitaalisen koulutuksen </w:t>
            </w:r>
            <w:r>
              <w:rPr>
                <w:i/>
                <w:noProof/>
              </w:rPr>
              <w:t>keskuksen taloudellisesta tukemisesta (”Atti d’obbligo”)</w:t>
            </w:r>
            <w:r>
              <w:rPr>
                <w:noProof/>
              </w:rPr>
              <w:t xml:space="preserve">. </w:t>
            </w:r>
          </w:p>
          <w:p w14:paraId="645D300F" w14:textId="77777777" w:rsidR="00E42B18" w:rsidRDefault="009629C4">
            <w:pPr>
              <w:pStyle w:val="P68B1DB1-Normal12"/>
              <w:rPr>
                <w:noProof/>
              </w:rPr>
            </w:pPr>
            <w:r>
              <w:rPr>
                <w:noProof/>
              </w:rPr>
              <w:t xml:space="preserve">Kolmea korkea-asteen oppilaitosten verkostoa koskevat sopimukset </w:t>
            </w:r>
            <w:r>
              <w:rPr>
                <w:i/>
                <w:noProof/>
              </w:rPr>
              <w:t>(”Atti d’obbligo”)</w:t>
            </w:r>
            <w:r>
              <w:rPr>
                <w:noProof/>
              </w:rPr>
              <w:t xml:space="preserve"> allekirjoitetaan – —</w:t>
            </w:r>
          </w:p>
          <w:p w14:paraId="660997D3" w14:textId="224DC850" w:rsidR="00E42B18" w:rsidRDefault="009629C4">
            <w:pPr>
              <w:pStyle w:val="P68B1DB1-Normal12"/>
              <w:rPr>
                <w:noProof/>
              </w:rPr>
            </w:pPr>
            <w:r>
              <w:rPr>
                <w:noProof/>
              </w:rPr>
              <w:t xml:space="preserve">On allekirjoitettava vähintään 10 kumppanuutta, joista </w:t>
            </w:r>
            <w:r>
              <w:rPr>
                <w:i/>
                <w:noProof/>
              </w:rPr>
              <w:t>on osoituksena ”Atti</w:t>
            </w:r>
            <w:r>
              <w:rPr>
                <w:noProof/>
              </w:rPr>
              <w:t xml:space="preserve">d’obbligo” -aloite. </w:t>
            </w:r>
          </w:p>
          <w:p w14:paraId="19125478" w14:textId="77777777" w:rsidR="00E42B18" w:rsidRDefault="009629C4">
            <w:pPr>
              <w:pStyle w:val="P68B1DB1-Normal12"/>
              <w:rPr>
                <w:rFonts w:eastAsia="Calibri"/>
                <w:noProof/>
              </w:rPr>
            </w:pPr>
            <w:r>
              <w:rPr>
                <w:noProof/>
              </w:rPr>
              <w:t>Allekirjoitetaan sopimukset</w:t>
            </w:r>
            <w:r>
              <w:rPr>
                <w:i/>
                <w:noProof/>
              </w:rPr>
              <w:t>(Atti d’obbligo</w:t>
            </w:r>
            <w:r>
              <w:rPr>
                <w:noProof/>
              </w:rPr>
              <w:t>), joilla tuetaan taloudellisesti vähintään 15:tä AFAM-laitosten kansainvälistymishanketta.</w:t>
            </w:r>
          </w:p>
        </w:tc>
      </w:tr>
      <w:tr w:rsidR="00E42B18" w14:paraId="00C0F9CC"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718161" w14:textId="77777777" w:rsidR="00E42B18" w:rsidRDefault="009629C4">
            <w:pPr>
              <w:pStyle w:val="P68B1DB1-Normal12"/>
              <w:jc w:val="center"/>
              <w:rPr>
                <w:noProof/>
              </w:rPr>
            </w:pPr>
            <w:r>
              <w:rPr>
                <w:noProof/>
              </w:rPr>
              <w:t>M4C1–24</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7D5FDA" w14:textId="77777777" w:rsidR="00E42B18" w:rsidRDefault="009629C4">
            <w:pPr>
              <w:pStyle w:val="P68B1DB1-Normal11"/>
              <w:jc w:val="center"/>
              <w:rPr>
                <w:noProof/>
              </w:rPr>
            </w:pPr>
            <w:r>
              <w:rPr>
                <w:noProof/>
              </w:rPr>
              <w:t>Investointi 1.6: Aktiivinen ohjaus koulu-yliopistosiirtymässä.</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2DA1A" w14:textId="77777777" w:rsidR="00E42B18" w:rsidRDefault="009629C4">
            <w:pPr>
              <w:pStyle w:val="P68B1DB1-Normal11"/>
              <w:jc w:val="center"/>
              <w:rPr>
                <w:noProof/>
              </w:rPr>
            </w:pPr>
            <w:r>
              <w:rPr>
                <w:noProof/>
              </w:rPr>
              <w:t>Kohde</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060238" w14:textId="1D0A60DC" w:rsidR="00E42B18" w:rsidRDefault="009629C4">
            <w:pPr>
              <w:pStyle w:val="P68B1DB1-Normal12"/>
              <w:jc w:val="center"/>
              <w:rPr>
                <w:noProof/>
              </w:rPr>
            </w:pPr>
            <w:r>
              <w:rPr>
                <w:noProof/>
              </w:rPr>
              <w:t>Opintotodistukset, jotka on myönnetty koulu-yliopistojen siirtymäkursseja varten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8FF1F8" w14:textId="77777777" w:rsidR="00E42B18" w:rsidRDefault="009629C4">
            <w:pPr>
              <w:pStyle w:val="P68B1DB1-Normal11"/>
              <w:jc w:val="center"/>
              <w:rPr>
                <w:noProof/>
              </w:rPr>
            </w:pPr>
            <w:r>
              <w:rPr>
                <w:noProof/>
              </w:rPr>
              <w:t>EI OLE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425F7B" w14:textId="77777777" w:rsidR="00E42B18" w:rsidRDefault="009629C4">
            <w:pPr>
              <w:pStyle w:val="P68B1DB1-Normal11"/>
              <w:jc w:val="center"/>
              <w:rPr>
                <w:noProof/>
              </w:rPr>
            </w:pPr>
            <w:r>
              <w:rPr>
                <w:noProof/>
              </w:rPr>
              <w:t>Numero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5C7DA" w14:textId="77777777" w:rsidR="00E42B18" w:rsidRDefault="009629C4">
            <w:pPr>
              <w:pStyle w:val="P68B1DB1-Normal11"/>
              <w:jc w:val="center"/>
              <w:rPr>
                <w:noProof/>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E0CBB0" w14:textId="77777777" w:rsidR="00E42B18" w:rsidRDefault="009629C4">
            <w:pPr>
              <w:pStyle w:val="P68B1DB1-Normal11"/>
              <w:jc w:val="center"/>
              <w:rPr>
                <w:noProof/>
              </w:rPr>
            </w:pPr>
            <w:r>
              <w:rPr>
                <w:noProof/>
              </w:rPr>
              <w:t>1 000 000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30271" w14:textId="77777777" w:rsidR="00E42B18" w:rsidRDefault="009629C4">
            <w:pPr>
              <w:pStyle w:val="P68B1DB1-Normal11"/>
              <w:jc w:val="center"/>
              <w:rPr>
                <w:noProof/>
              </w:rPr>
            </w:pPr>
            <w:r>
              <w:rPr>
                <w:noProof/>
              </w:rPr>
              <w:t>Q2</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18B47" w14:textId="77777777" w:rsidR="00E42B18" w:rsidRDefault="009629C4">
            <w:pPr>
              <w:pStyle w:val="P68B1DB1-Normal11"/>
              <w:jc w:val="center"/>
              <w:rPr>
                <w:noProof/>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92804" w14:textId="77777777" w:rsidR="00E42B18" w:rsidRDefault="009629C4">
            <w:pPr>
              <w:pStyle w:val="P68B1DB1-Normal12"/>
              <w:rPr>
                <w:noProof/>
              </w:rPr>
            </w:pPr>
            <w:r>
              <w:rPr>
                <w:noProof/>
              </w:rPr>
              <w:t>Lukuvuosiin 2022/2023–2026 ilmoittautuneille ylemmän perusasteen ja keskiasteen opiskelijoille on myönnetty vähintään 1000000 osallistumistodistusta yliopistojen siirtymäkursseja varten.</w:t>
            </w:r>
          </w:p>
        </w:tc>
      </w:tr>
    </w:tbl>
    <w:p w14:paraId="063BC082" w14:textId="77777777" w:rsidR="00E42B18" w:rsidRDefault="00E42B18">
      <w:pPr>
        <w:tabs>
          <w:tab w:val="left" w:pos="3045"/>
        </w:tabs>
        <w:spacing w:before="120" w:after="120"/>
        <w:jc w:val="both"/>
        <w:rPr>
          <w:b/>
          <w:noProof/>
          <w:u w:val="single"/>
        </w:rPr>
        <w:sectPr w:rsidR="00E42B18" w:rsidSect="005F11B9">
          <w:headerReference w:type="even" r:id="rId178"/>
          <w:headerReference w:type="default" r:id="rId179"/>
          <w:footerReference w:type="even" r:id="rId180"/>
          <w:footerReference w:type="default" r:id="rId181"/>
          <w:headerReference w:type="first" r:id="rId182"/>
          <w:footerReference w:type="first" r:id="rId183"/>
          <w:pgSz w:w="16839" w:h="11907" w:orient="landscape"/>
          <w:pgMar w:top="1134" w:right="1134" w:bottom="1134" w:left="1134" w:header="567" w:footer="567" w:gutter="0"/>
          <w:cols w:space="720"/>
          <w:docGrid w:linePitch="360"/>
        </w:sectPr>
      </w:pPr>
    </w:p>
    <w:p w14:paraId="3D54F3F3" w14:textId="77777777" w:rsidR="00E42B18" w:rsidRDefault="009629C4">
      <w:pPr>
        <w:pStyle w:val="Heading3"/>
        <w:ind w:left="850" w:hanging="850"/>
        <w:rPr>
          <w:rFonts w:ascii="Times New Roman" w:hAnsi="Times New Roman" w:cs="Times New Roman"/>
          <w:i/>
          <w:noProof/>
          <w:sz w:val="24"/>
          <w:szCs w:val="24"/>
        </w:rPr>
      </w:pPr>
      <w:r>
        <w:rPr>
          <w:rStyle w:val="normaltextrun"/>
          <w:rFonts w:ascii="Times New Roman" w:hAnsi="Times New Roman" w:cs="Times New Roman"/>
          <w:b/>
          <w:noProof/>
          <w:sz w:val="24"/>
          <w:szCs w:val="24"/>
          <w:u w:val="single"/>
        </w:rPr>
        <w:t>J.3 Kuvaus lainamuotoisella tuella rahoitettavista uudistuksista ja investoinneista</w:t>
      </w:r>
      <w:r>
        <w:rPr>
          <w:rStyle w:val="eop"/>
          <w:rFonts w:ascii="Times New Roman" w:hAnsi="Times New Roman" w:cs="Times New Roman"/>
          <w:noProof/>
          <w:sz w:val="24"/>
          <w:szCs w:val="24"/>
        </w:rPr>
        <w:t xml:space="preserve"> </w:t>
      </w:r>
    </w:p>
    <w:p w14:paraId="7F1F8381" w14:textId="77777777" w:rsidR="00E42B18" w:rsidRDefault="009629C4">
      <w:pPr>
        <w:pStyle w:val="paragraph"/>
        <w:spacing w:before="0" w:beforeAutospacing="0" w:after="0" w:afterAutospacing="0"/>
        <w:jc w:val="both"/>
        <w:textAlignment w:val="baseline"/>
        <w:rPr>
          <w:rStyle w:val="normaltextrun"/>
          <w:rFonts w:ascii="Segoe UI" w:hAnsi="Segoe UI" w:cs="Segoe UI"/>
          <w:noProof/>
          <w:sz w:val="18"/>
          <w:szCs w:val="18"/>
        </w:rPr>
      </w:pPr>
      <w:r>
        <w:rPr>
          <w:rStyle w:val="eop"/>
          <w:noProof/>
        </w:rPr>
        <w:t xml:space="preserve"> </w:t>
      </w:r>
    </w:p>
    <w:p w14:paraId="7704DEBA" w14:textId="57CFDD16" w:rsidR="00E42B18" w:rsidRDefault="009629C4">
      <w:pPr>
        <w:pStyle w:val="paragraph"/>
        <w:spacing w:before="0" w:beforeAutospacing="0" w:after="0" w:afterAutospacing="0"/>
        <w:jc w:val="both"/>
        <w:textAlignment w:val="baseline"/>
        <w:rPr>
          <w:rFonts w:ascii="Segoe UI" w:hAnsi="Segoe UI" w:cs="Segoe UI"/>
          <w:noProof/>
          <w:sz w:val="18"/>
          <w:szCs w:val="18"/>
        </w:rPr>
      </w:pPr>
      <w:r>
        <w:rPr>
          <w:rStyle w:val="normaltextrun"/>
          <w:b/>
          <w:noProof/>
        </w:rPr>
        <w:t xml:space="preserve">Uudistus 1.7: Opiskelija-asuntoja koskevan sääntelyn uudistaminen ja investoinnit opiskelija-asumiseen </w:t>
      </w:r>
    </w:p>
    <w:p w14:paraId="10E170F2" w14:textId="77777777" w:rsidR="00E42B18" w:rsidRDefault="00E42B18">
      <w:pPr>
        <w:pStyle w:val="paragraph"/>
        <w:spacing w:before="0" w:beforeAutospacing="0" w:after="0" w:afterAutospacing="0"/>
        <w:jc w:val="both"/>
        <w:textAlignment w:val="baseline"/>
        <w:rPr>
          <w:rStyle w:val="normaltextrun"/>
          <w:noProof/>
          <w:sz w:val="22"/>
          <w:szCs w:val="22"/>
        </w:rPr>
      </w:pPr>
    </w:p>
    <w:p w14:paraId="33B6B2A1" w14:textId="3AD17891" w:rsidR="00E42B18" w:rsidRDefault="009629C4">
      <w:pPr>
        <w:pStyle w:val="paragraph"/>
        <w:spacing w:before="0" w:beforeAutospacing="0" w:after="120" w:afterAutospacing="0"/>
        <w:jc w:val="both"/>
        <w:rPr>
          <w:rFonts w:ascii="Segoe UI" w:hAnsi="Segoe UI" w:cs="Segoe UI"/>
          <w:noProof/>
          <w:sz w:val="22"/>
          <w:szCs w:val="22"/>
        </w:rPr>
      </w:pPr>
      <w:r>
        <w:rPr>
          <w:rStyle w:val="normaltextrun"/>
          <w:noProof/>
          <w:sz w:val="22"/>
          <w:szCs w:val="22"/>
        </w:rPr>
        <w:t xml:space="preserve">Uudistuksella pyritään lisäämään yliopisto-opiskelijoiden majoitusmahdollisuuksia kannustamalla yksityisiin ja julkisiin investointeihin oppilaitoksiin yliopisto- ja tutkimusministeriön tuella. </w:t>
      </w:r>
    </w:p>
    <w:p w14:paraId="02EFA59B" w14:textId="77777777" w:rsidR="00E42B18" w:rsidRDefault="009629C4">
      <w:pPr>
        <w:pStyle w:val="paragraph"/>
        <w:spacing w:before="0" w:beforeAutospacing="0" w:after="120" w:afterAutospacing="0"/>
        <w:jc w:val="both"/>
        <w:textAlignment w:val="baseline"/>
        <w:rPr>
          <w:rFonts w:ascii="Segoe UI" w:hAnsi="Segoe UI" w:cs="Segoe UI"/>
          <w:noProof/>
          <w:sz w:val="22"/>
          <w:szCs w:val="22"/>
        </w:rPr>
      </w:pPr>
      <w:r>
        <w:rPr>
          <w:rStyle w:val="normaltextrun"/>
          <w:noProof/>
          <w:sz w:val="22"/>
          <w:szCs w:val="22"/>
        </w:rPr>
        <w:t xml:space="preserve">Investointi koostuu lisämajoituksen tarjoamisesta opiskelijoille. </w:t>
      </w:r>
    </w:p>
    <w:p w14:paraId="3EB0D9FD" w14:textId="77777777" w:rsidR="00E42B18" w:rsidRDefault="009629C4">
      <w:pPr>
        <w:pStyle w:val="P68B1DB1-Normal5"/>
        <w:spacing w:before="120" w:after="120"/>
        <w:jc w:val="both"/>
        <w:rPr>
          <w:noProof/>
        </w:rPr>
      </w:pPr>
      <w:r>
        <w:rPr>
          <w:noProof/>
        </w:rPr>
        <w:t>Investointi 1.1: Päiväkoteja ja esikouluja sekä varhaiskasvatuspalveluja koskeva suunnitelma</w:t>
      </w:r>
    </w:p>
    <w:p w14:paraId="21A79EF9" w14:textId="588E247F" w:rsidR="00E42B18" w:rsidRDefault="009629C4">
      <w:pPr>
        <w:pStyle w:val="P68B1DB1-Normal7"/>
        <w:spacing w:before="120" w:after="120"/>
        <w:jc w:val="both"/>
        <w:rPr>
          <w:noProof/>
        </w:rPr>
      </w:pPr>
      <w:r>
        <w:rPr>
          <w:noProof/>
        </w:rPr>
        <w:t>Investoinnin tavoitteena on lisätä ja parantaa 0–6-vuotiaiden lasten koulutusmahdollisuuksia. Investointi koostuu päiväkotien ja esikoulujen lastenhoitopaikkojen rakentamisesta, muuttamisesta ja kunnostamisesta.</w:t>
      </w:r>
    </w:p>
    <w:p w14:paraId="368A7BB1" w14:textId="77777777" w:rsidR="00E42B18" w:rsidRDefault="009629C4">
      <w:pPr>
        <w:pStyle w:val="P68B1DB1-Normal5"/>
        <w:spacing w:before="120" w:after="120"/>
        <w:jc w:val="both"/>
        <w:rPr>
          <w:noProof/>
        </w:rPr>
      </w:pPr>
      <w:r>
        <w:rPr>
          <w:noProof/>
        </w:rPr>
        <w:t>Investointi 1.2: Kokopäivätyön jatkamista koskeva suunnitelma</w:t>
      </w:r>
    </w:p>
    <w:p w14:paraId="79B808D8" w14:textId="77777777" w:rsidR="00E42B18" w:rsidRDefault="009629C4">
      <w:pPr>
        <w:pStyle w:val="P68B1DB1-Normal7"/>
        <w:spacing w:before="120" w:after="120"/>
        <w:jc w:val="both"/>
        <w:rPr>
          <w:b/>
          <w:noProof/>
        </w:rPr>
      </w:pPr>
      <w:r>
        <w:rPr>
          <w:noProof/>
        </w:rPr>
        <w:t>Tämän toimenpiteen tavoitteena on antaa kouluille mahdollisuus pidentää kouluaikaa kunnostamalla tai rakentamalla soveltuvia infrastruktuureja. Investointi koostuu ruokalatilojen rakentamisesta tai rakentamisesta koulutiloihin.</w:t>
      </w:r>
      <w:r>
        <w:rPr>
          <w:b/>
          <w:noProof/>
        </w:rPr>
        <w:t xml:space="preserve"> </w:t>
      </w:r>
    </w:p>
    <w:p w14:paraId="2438349E" w14:textId="77777777" w:rsidR="00E42B18" w:rsidRDefault="009629C4">
      <w:pPr>
        <w:pStyle w:val="P68B1DB1-Normal5"/>
        <w:spacing w:before="120" w:after="120"/>
        <w:jc w:val="both"/>
        <w:rPr>
          <w:noProof/>
        </w:rPr>
      </w:pPr>
      <w:r>
        <w:rPr>
          <w:noProof/>
        </w:rPr>
        <w:t>Investointi 3.3: Koulurakennusten turvallisuutta ja rakenteellista kuntoutusta koskeva suunnitelma</w:t>
      </w:r>
    </w:p>
    <w:p w14:paraId="18411604" w14:textId="40D896C8" w:rsidR="00E42B18" w:rsidRDefault="009629C4">
      <w:pPr>
        <w:pStyle w:val="P68B1DB1-Normal7"/>
        <w:spacing w:before="120" w:after="120"/>
        <w:jc w:val="both"/>
        <w:rPr>
          <w:rStyle w:val="eop"/>
          <w:noProof/>
        </w:rPr>
      </w:pPr>
      <w:r>
        <w:rPr>
          <w:noProof/>
        </w:rPr>
        <w:t>Toimenpiteen tavoitteena on parantaa koulurakennusten turvallisuutta ja energiatehokkuutta. Toimenpide koostuu koulurakennusten kunnostamisesta ja jälleenrakentamisesta.</w:t>
      </w:r>
    </w:p>
    <w:p w14:paraId="13F64FE1" w14:textId="77777777" w:rsidR="00E42B18" w:rsidRDefault="009629C4">
      <w:pPr>
        <w:pStyle w:val="P68B1DB1-Normal5"/>
        <w:jc w:val="both"/>
        <w:rPr>
          <w:bCs/>
          <w:noProof/>
        </w:rPr>
      </w:pPr>
      <w:r>
        <w:rPr>
          <w:noProof/>
        </w:rPr>
        <w:t>Investointi 5: Opiskelijoiden asuntorahasto</w:t>
      </w:r>
    </w:p>
    <w:p w14:paraId="6B631598" w14:textId="77777777" w:rsidR="00E42B18" w:rsidRDefault="009629C4">
      <w:pPr>
        <w:pStyle w:val="P68B1DB1-Normal7"/>
        <w:spacing w:line="240" w:lineRule="auto"/>
        <w:jc w:val="both"/>
        <w:rPr>
          <w:noProof/>
        </w:rPr>
      </w:pPr>
      <w:r>
        <w:rPr>
          <w:noProof/>
        </w:rPr>
        <w:t xml:space="preserve">Tämä toimenpide koostuu julkisesta investoinnista avustusjärjestelmään, jotta voidaan kannustaa yksityisiä investointeja ja parantaa rahoituksen saantia Italiassa opiskelija-asuntosektorilla. Järjestelmä toimii myöntämällä avustuksia suoraan yksityiselle sektorille sekä vastaavaa toimintaa harjoittaville julkisyhteisöille ja julkisoikeudellisille laitoksille. </w:t>
      </w:r>
    </w:p>
    <w:p w14:paraId="53406486" w14:textId="77777777" w:rsidR="00E42B18" w:rsidRDefault="009629C4">
      <w:pPr>
        <w:pStyle w:val="P68B1DB1-Normal7"/>
        <w:spacing w:line="240" w:lineRule="auto"/>
        <w:jc w:val="both"/>
        <w:rPr>
          <w:noProof/>
        </w:rPr>
      </w:pPr>
      <w:r>
        <w:rPr>
          <w:noProof/>
        </w:rPr>
        <w:t>Järjestelmää hallinnoi toteutuskumppanina Cassa Depositi e Prestiti S.p.A. (CDP S.p.A.). Ohjelmaan on sisällyttävä seuraava tuotelinja:</w:t>
      </w:r>
    </w:p>
    <w:p w14:paraId="685D4FB4" w14:textId="55796BF2" w:rsidR="00E42B18" w:rsidRDefault="009629C4">
      <w:pPr>
        <w:pStyle w:val="P68B1DB1-ListParagraph37"/>
        <w:keepNext/>
        <w:numPr>
          <w:ilvl w:val="0"/>
          <w:numId w:val="73"/>
        </w:numPr>
        <w:spacing w:line="240" w:lineRule="auto"/>
        <w:jc w:val="both"/>
        <w:rPr>
          <w:noProof/>
        </w:rPr>
      </w:pPr>
      <w:r>
        <w:rPr>
          <w:noProof/>
        </w:rPr>
        <w:t xml:space="preserve">Enintään 20000 euron kertakorvaukseen perustuva apuraha luotiin opiskelijavuoteita varten. </w:t>
      </w:r>
    </w:p>
    <w:p w14:paraId="5EC7A33A" w14:textId="77777777" w:rsidR="00E42B18" w:rsidRDefault="009629C4">
      <w:pPr>
        <w:pStyle w:val="P68B1DB1-Normal7"/>
        <w:spacing w:line="240" w:lineRule="auto"/>
        <w:jc w:val="both"/>
        <w:rPr>
          <w:noProof/>
        </w:rPr>
      </w:pPr>
      <w:r>
        <w:rPr>
          <w:noProof/>
        </w:rPr>
        <w:t>Ohjelmaan tehtävän investoinnin toteuttamiseksi Italian ja CDP S.p.A:n on allekirjoitettava täytäntöönpanosopimus, jonka sisältö on seuraava:</w:t>
      </w:r>
    </w:p>
    <w:p w14:paraId="2BCDC50F" w14:textId="77777777" w:rsidR="00E42B18" w:rsidRDefault="009629C4">
      <w:pPr>
        <w:pStyle w:val="P68B1DB1-LegalNumPar79"/>
        <w:numPr>
          <w:ilvl w:val="0"/>
          <w:numId w:val="172"/>
        </w:numPr>
        <w:spacing w:line="259" w:lineRule="auto"/>
        <w:jc w:val="both"/>
        <w:rPr>
          <w:rFonts w:eastAsia="Times New Roman"/>
          <w:noProof/>
        </w:rPr>
      </w:pPr>
      <w:r>
        <w:rPr>
          <w:noProof/>
        </w:rPr>
        <w:t>Kuvaus ohjelman päätöksentekoprosessista: Lopullisen myöntämispäätöksen ohjelmassa tekee investointikomitea tai muu asianmukainen vastaava hallinnollinen elin ja päätös hyväksytään hallituksesta riippumattomien jäsenten ääntenenemmistöllä.</w:t>
      </w:r>
    </w:p>
    <w:p w14:paraId="100D93E3" w14:textId="77777777" w:rsidR="00E42B18" w:rsidRDefault="009629C4">
      <w:pPr>
        <w:pStyle w:val="P68B1DB1-LegalNumPar79"/>
        <w:numPr>
          <w:ilvl w:val="0"/>
          <w:numId w:val="85"/>
        </w:numPr>
        <w:spacing w:line="259" w:lineRule="auto"/>
        <w:jc w:val="both"/>
        <w:rPr>
          <w:noProof/>
        </w:rPr>
      </w:pPr>
      <w:r>
        <w:rPr>
          <w:noProof/>
        </w:rPr>
        <w:t>Avustuspolitiikan keskeiset vaatimukset,</w:t>
      </w:r>
      <w:r>
        <w:rPr>
          <w:b/>
          <w:noProof/>
        </w:rPr>
        <w:t xml:space="preserve"> </w:t>
      </w:r>
      <w:r>
        <w:rPr>
          <w:noProof/>
        </w:rPr>
        <w:t>joita ovat muun muassa seuraavat:</w:t>
      </w:r>
    </w:p>
    <w:p w14:paraId="73EF3138" w14:textId="77777777" w:rsidR="00E42B18" w:rsidRDefault="009629C4">
      <w:pPr>
        <w:pStyle w:val="P68B1DB1-LegalNumPar280"/>
        <w:numPr>
          <w:ilvl w:val="1"/>
          <w:numId w:val="85"/>
        </w:numPr>
        <w:spacing w:line="259" w:lineRule="auto"/>
        <w:jc w:val="both"/>
        <w:rPr>
          <w:bCs/>
          <w:noProof/>
        </w:rPr>
      </w:pPr>
      <w:r>
        <w:rPr>
          <w:noProof/>
        </w:rPr>
        <w:t>Investoinnin sosiaaliset vaatimukset, mukaan lukien</w:t>
      </w:r>
    </w:p>
    <w:p w14:paraId="3A4035AB" w14:textId="47512FCB" w:rsidR="00E42B18" w:rsidRDefault="009629C4">
      <w:pPr>
        <w:pStyle w:val="P68B1DB1-LegalNumPar392"/>
        <w:numPr>
          <w:ilvl w:val="2"/>
          <w:numId w:val="85"/>
        </w:numPr>
        <w:spacing w:line="259" w:lineRule="auto"/>
        <w:jc w:val="both"/>
        <w:rPr>
          <w:rFonts w:eastAsia="Calibri"/>
          <w:noProof/>
        </w:rPr>
      </w:pPr>
      <w:r>
        <w:rPr>
          <w:noProof/>
        </w:rPr>
        <w:t>Vaatimus, jonka mukaan yliopisto-opiskelijoiden vuokran on oltava vähintään 15 prosenttia alempi kuin paikalliset markkinahinnat.</w:t>
      </w:r>
    </w:p>
    <w:p w14:paraId="4C57B291" w14:textId="77777777" w:rsidR="00E42B18" w:rsidRDefault="009629C4">
      <w:pPr>
        <w:pStyle w:val="P68B1DB1-LegalNumPar392"/>
        <w:numPr>
          <w:ilvl w:val="2"/>
          <w:numId w:val="85"/>
        </w:numPr>
        <w:spacing w:line="259" w:lineRule="auto"/>
        <w:jc w:val="both"/>
        <w:rPr>
          <w:noProof/>
        </w:rPr>
      </w:pPr>
      <w:r>
        <w:rPr>
          <w:noProof/>
        </w:rPr>
        <w:t>Vaatimus, jonka mukaan 30 prosenttia uusista paikoista on varattava opiskelijoille, joilla on Diritto allo Studio -järjestön määrittelemiä sosioekonomisia vaikeuksia (oikeus opinto-organisaatioihin).</w:t>
      </w:r>
    </w:p>
    <w:p w14:paraId="5B6A4F86" w14:textId="77777777" w:rsidR="00E42B18" w:rsidRDefault="009629C4">
      <w:pPr>
        <w:pStyle w:val="P68B1DB1-LegalNumPar392"/>
        <w:spacing w:line="259" w:lineRule="auto"/>
        <w:jc w:val="both"/>
        <w:rPr>
          <w:noProof/>
        </w:rPr>
      </w:pPr>
      <w:r>
        <w:rPr>
          <w:noProof/>
        </w:rPr>
        <w:t>Vaatimusta, jonka mukaan opiskelija-asunnoissa käytettäviä nykyisiä asuntoja ei saa rahoittaa hankepyynnön käynnistämisajankohtana, ei voida rahoittaa.</w:t>
      </w:r>
    </w:p>
    <w:p w14:paraId="1879A245" w14:textId="77777777" w:rsidR="00E42B18" w:rsidRDefault="009629C4">
      <w:pPr>
        <w:pStyle w:val="P68B1DB1-LegalNumPar280"/>
        <w:numPr>
          <w:ilvl w:val="1"/>
          <w:numId w:val="85"/>
        </w:numPr>
        <w:spacing w:line="259" w:lineRule="auto"/>
        <w:jc w:val="both"/>
        <w:rPr>
          <w:noProof/>
        </w:rPr>
      </w:pPr>
      <w:r>
        <w:rPr>
          <w:noProof/>
        </w:rPr>
        <w:t xml:space="preserve">Kuvaus myönnetyistä avustuksista ja tukikelpoisista lopullisista edunsaajista. </w:t>
      </w:r>
    </w:p>
    <w:p w14:paraId="0D52FBB3" w14:textId="77777777" w:rsidR="00E42B18" w:rsidRDefault="009629C4">
      <w:pPr>
        <w:pStyle w:val="P68B1DB1-LegalNumPar280"/>
        <w:numPr>
          <w:ilvl w:val="1"/>
          <w:numId w:val="85"/>
        </w:numPr>
        <w:spacing w:line="259" w:lineRule="auto"/>
        <w:jc w:val="both"/>
        <w:rPr>
          <w:noProof/>
        </w:rPr>
      </w:pPr>
      <w:r>
        <w:rPr>
          <w:noProof/>
        </w:rPr>
        <w:t>Vaatimus, jonka mukaan kaikkien tuettujen investointien on oltava taloudellisesti kannattavia</w:t>
      </w:r>
      <w:r>
        <w:rPr>
          <w:b/>
          <w:noProof/>
        </w:rPr>
        <w:t>.</w:t>
      </w:r>
    </w:p>
    <w:p w14:paraId="438EB235" w14:textId="77777777" w:rsidR="00E42B18" w:rsidRDefault="009629C4">
      <w:pPr>
        <w:pStyle w:val="LegalNumPar2"/>
        <w:spacing w:line="259" w:lineRule="auto"/>
        <w:jc w:val="both"/>
        <w:rPr>
          <w:rFonts w:ascii="Times New Roman" w:hAnsi="Times New Roman" w:cs="Times New Roman"/>
          <w:noProof/>
        </w:rPr>
      </w:pPr>
      <w:r>
        <w:rPr>
          <w:rFonts w:ascii="Times New Roman" w:hAnsi="Times New Roman" w:cs="Times New Roman"/>
          <w:noProof/>
        </w:rPr>
        <w:t>Vaatimus noudattaa ”ei merkittävää haittaa” -periaatetta sitä koskevien teknisten ohjeiden (2021/C58/01) mukaisesti. Avustuspolitiikassa suljetaan tukikelpoisuuden ulkopuolelle erityisesti seuraava luettelo toiminnoista ja omaisuuseristä: I) fossiilisiin polttoaineisiin liittyvät toiminnot ja omaisuuserät, mukaan lukien tuotantoketjun loppupään käyttö,</w:t>
      </w:r>
      <w:r>
        <w:rPr>
          <w:rFonts w:ascii="Times New Roman" w:hAnsi="Times New Roman" w:cs="Times New Roman"/>
          <w:noProof/>
        </w:rPr>
        <w:footnoteReference w:id="73"/>
      </w:r>
      <w:r>
        <w:rPr>
          <w:rFonts w:ascii="Times New Roman" w:hAnsi="Times New Roman" w:cs="Times New Roman"/>
          <w:noProof/>
        </w:rPr>
        <w:t>ii) EU:n päästökauppajärjestelmään kuuluvat toiminnot ja omaisuuserät, joiden avulla saavutetaan ennustetut kasvihuonekaasupäästöt, jotka eivät alita asiaankuuluvia vertailuarvoja</w:t>
      </w:r>
      <w:r>
        <w:rPr>
          <w:rFonts w:ascii="Times New Roman" w:hAnsi="Times New Roman" w:cs="Times New Roman"/>
          <w:noProof/>
        </w:rPr>
        <w:footnoteReference w:id="74"/>
      </w:r>
      <w:r>
        <w:rPr>
          <w:rFonts w:ascii="Times New Roman" w:hAnsi="Times New Roman" w:cs="Times New Roman"/>
          <w:noProof/>
        </w:rPr>
        <w:t>, iii) kaatopaikkoihin, polttolaitoksiin ja mekaanisiin biologisiin käsittelylaitoksiin liittyvät toiminnot</w:t>
      </w:r>
      <w:r>
        <w:rPr>
          <w:rStyle w:val="FootnoteReference"/>
          <w:rFonts w:ascii="Times New Roman" w:hAnsi="Times New Roman" w:cs="Times New Roman"/>
          <w:noProof/>
        </w:rPr>
        <w:footnoteReference w:id="75"/>
      </w:r>
      <w:r>
        <w:rPr>
          <w:rFonts w:ascii="Times New Roman" w:hAnsi="Times New Roman" w:cs="Times New Roman"/>
          <w:noProof/>
        </w:rPr>
        <w:t xml:space="preserve"> ja varat</w:t>
      </w:r>
      <w:r>
        <w:rPr>
          <w:rStyle w:val="FootnoteReference"/>
          <w:rFonts w:ascii="Times New Roman" w:hAnsi="Times New Roman" w:cs="Times New Roman"/>
          <w:noProof/>
        </w:rPr>
        <w:footnoteReference w:id="76"/>
      </w:r>
      <w:r>
        <w:rPr>
          <w:rFonts w:ascii="Times New Roman" w:hAnsi="Times New Roman" w:cs="Times New Roman"/>
          <w:noProof/>
        </w:rPr>
        <w:t>. Selvyyden vuoksi todetaan, että kaasukattiloille ei voida myöntää tukea tästä toimenpiteestä.</w:t>
      </w:r>
    </w:p>
    <w:p w14:paraId="54576D39" w14:textId="77777777" w:rsidR="00E42B18" w:rsidRDefault="009629C4">
      <w:pPr>
        <w:pStyle w:val="P68B1DB1-LegalNumPar280"/>
        <w:numPr>
          <w:ilvl w:val="1"/>
          <w:numId w:val="85"/>
        </w:numPr>
        <w:spacing w:line="259" w:lineRule="auto"/>
        <w:jc w:val="both"/>
        <w:rPr>
          <w:bCs/>
          <w:noProof/>
        </w:rPr>
      </w:pPr>
      <w:r>
        <w:rPr>
          <w:noProof/>
        </w:rPr>
        <w:t>Vaatimus siitä, että ohjelman lopulliset tuensaajat eivät saa tukea muista unionin välineistä samojen kustannusten kattamiseen.</w:t>
      </w:r>
    </w:p>
    <w:p w14:paraId="390618F8" w14:textId="77777777" w:rsidR="00E42B18" w:rsidRDefault="009629C4">
      <w:pPr>
        <w:pStyle w:val="P68B1DB1-LegalNumPar79"/>
        <w:numPr>
          <w:ilvl w:val="0"/>
          <w:numId w:val="85"/>
        </w:numPr>
        <w:spacing w:line="259" w:lineRule="auto"/>
        <w:jc w:val="both"/>
        <w:rPr>
          <w:noProof/>
        </w:rPr>
      </w:pPr>
      <w:r>
        <w:rPr>
          <w:noProof/>
        </w:rPr>
        <w:t>Täytäntöönpanosopimuksen kattama määrä, maksurakenne toteutuskumppania varten sekä vaatimus käyttää järjestelmän käyttämättömät tuotot, myös vuoden 2026 jälkeen, samoihin poliittisiin tavoitteisiin.</w:t>
      </w:r>
    </w:p>
    <w:p w14:paraId="39F8C633" w14:textId="77777777" w:rsidR="00E42B18" w:rsidRDefault="009629C4">
      <w:pPr>
        <w:pStyle w:val="P68B1DB1-LegalNumPar79"/>
        <w:numPr>
          <w:ilvl w:val="0"/>
          <w:numId w:val="85"/>
        </w:numPr>
        <w:spacing w:line="259" w:lineRule="auto"/>
        <w:jc w:val="both"/>
        <w:rPr>
          <w:noProof/>
        </w:rPr>
      </w:pPr>
      <w:r>
        <w:rPr>
          <w:noProof/>
        </w:rPr>
        <w:t>Seuranta-, valvonta- ja tarkastusvaatimukset, joihin sisältyvät</w:t>
      </w:r>
    </w:p>
    <w:p w14:paraId="17D85FC8" w14:textId="77777777" w:rsidR="00E42B18" w:rsidRDefault="009629C4">
      <w:pPr>
        <w:pStyle w:val="P68B1DB1-Normal7"/>
        <w:numPr>
          <w:ilvl w:val="0"/>
          <w:numId w:val="173"/>
        </w:numPr>
        <w:spacing w:line="240" w:lineRule="auto"/>
        <w:jc w:val="both"/>
        <w:rPr>
          <w:noProof/>
        </w:rPr>
      </w:pPr>
      <w:r>
        <w:rPr>
          <w:noProof/>
        </w:rPr>
        <w:t>Kuvaus toteutuskumppanin seurantajärjestelmästä, jolla raportoidaan käyttöön otetuista avustuksista.</w:t>
      </w:r>
    </w:p>
    <w:p w14:paraId="150E4026" w14:textId="125D6F28" w:rsidR="00E42B18" w:rsidRDefault="009629C4">
      <w:pPr>
        <w:pStyle w:val="P68B1DB1-Normal7"/>
        <w:numPr>
          <w:ilvl w:val="0"/>
          <w:numId w:val="173"/>
        </w:numPr>
        <w:spacing w:line="240" w:lineRule="auto"/>
        <w:jc w:val="both"/>
        <w:rPr>
          <w:noProof/>
        </w:rPr>
      </w:pPr>
      <w:r>
        <w:rPr>
          <w:noProof/>
        </w:rPr>
        <w:t>Kuvaus toteutuskumppanin menettelyistä, joilla varmistetaan petosten, lahjonnan ja eturistiriitojen ehkäiseminen, havaitseminen ja korjaaminen.</w:t>
      </w:r>
    </w:p>
    <w:p w14:paraId="1C9F443C" w14:textId="77777777" w:rsidR="00E42B18" w:rsidRDefault="009629C4">
      <w:pPr>
        <w:pStyle w:val="P68B1DB1-Normal7"/>
        <w:numPr>
          <w:ilvl w:val="0"/>
          <w:numId w:val="173"/>
        </w:numPr>
        <w:spacing w:line="240" w:lineRule="auto"/>
        <w:jc w:val="both"/>
        <w:rPr>
          <w:noProof/>
        </w:rPr>
      </w:pPr>
      <w:r>
        <w:rPr>
          <w:noProof/>
        </w:rPr>
        <w:t>Velvollisuus tarkistaa jokaisen toimen tukikelpoisuus täytäntöönpanosopimuksessa vahvistettujen vaatimusten mukaisesti ennen avustuksen myöntämistä toimelle.</w:t>
      </w:r>
    </w:p>
    <w:p w14:paraId="5CD14373" w14:textId="4C5CBBD9" w:rsidR="00E42B18" w:rsidRDefault="009629C4">
      <w:pPr>
        <w:numPr>
          <w:ilvl w:val="0"/>
          <w:numId w:val="173"/>
        </w:numPr>
        <w:spacing w:line="240" w:lineRule="auto"/>
        <w:jc w:val="both"/>
        <w:rPr>
          <w:rFonts w:ascii="Times New Roman" w:hAnsi="Times New Roman" w:cs="Times New Roman"/>
          <w:noProof/>
        </w:rPr>
      </w:pPr>
      <w:r>
        <w:rPr>
          <w:rFonts w:ascii="Times New Roman" w:hAnsi="Times New Roman" w:cs="Times New Roman"/>
          <w:noProof/>
        </w:rPr>
        <w:t xml:space="preserve">Velvollisuus suorittaa riskiperusteisia jälkitarkastuksia CDP S.p.A:n tarkastussuunnitelman mukaisesti. Näillä tarkastuksilla on varmistettava i) valvontajärjestelmien tehokkuus, mukaan lukien petosten, lahjonnan ja eturistiriitojen havaitseminen; II) ”ei merkittävää haittaa” -periaatteen eli valtiontukisääntöjen noudattaminen; ja iii) noudatetaan vaatimusta, jonka mukaan järjestelmän lopulliset edunsaajat eivät ole saaneet tukea muista unionin välineistä samojen kustannusten kattamiseksi. Tarkastuksissa on myös todennettava toimien laillisuus ja se, että sovellettavien täytäntöönpanosopimuksen avustussopimusten ehtoja noudatetaan. </w:t>
      </w:r>
      <w:r>
        <w:rPr>
          <w:rFonts w:ascii="Times New Roman" w:eastAsia="Times New Roman" w:hAnsi="Times New Roman" w:cs="Times New Roman"/>
          <w:noProof/>
          <w:u w:val="single"/>
        </w:rPr>
        <w:br w:type="page"/>
      </w:r>
    </w:p>
    <w:p w14:paraId="631567D2" w14:textId="77777777" w:rsidR="00E42B18" w:rsidRDefault="00E42B18">
      <w:pPr>
        <w:pStyle w:val="paragraph"/>
        <w:spacing w:before="0" w:beforeAutospacing="0" w:after="120" w:afterAutospacing="0"/>
        <w:jc w:val="both"/>
        <w:textAlignment w:val="baseline"/>
        <w:rPr>
          <w:rStyle w:val="eop"/>
          <w:noProof/>
        </w:rPr>
        <w:sectPr w:rsidR="00E42B18" w:rsidSect="005F11B9">
          <w:headerReference w:type="even" r:id="rId184"/>
          <w:headerReference w:type="default" r:id="rId185"/>
          <w:footerReference w:type="even" r:id="rId186"/>
          <w:footerReference w:type="default" r:id="rId187"/>
          <w:headerReference w:type="first" r:id="rId188"/>
          <w:footerReference w:type="first" r:id="rId189"/>
          <w:pgSz w:w="11907" w:h="16839"/>
          <w:pgMar w:top="1134" w:right="1134" w:bottom="1134" w:left="1134" w:header="567" w:footer="567" w:gutter="0"/>
          <w:cols w:space="720"/>
          <w:docGrid w:linePitch="360"/>
        </w:sectPr>
      </w:pPr>
    </w:p>
    <w:p w14:paraId="473CC359" w14:textId="77777777" w:rsidR="00E42B18" w:rsidRDefault="009629C4">
      <w:pPr>
        <w:pStyle w:val="Heading3"/>
        <w:ind w:left="850" w:hanging="850"/>
        <w:rPr>
          <w:rFonts w:ascii="Times New Roman" w:hAnsi="Times New Roman" w:cs="Times New Roman"/>
          <w:i/>
          <w:iCs/>
          <w:noProof/>
          <w:sz w:val="24"/>
          <w:szCs w:val="24"/>
        </w:rPr>
      </w:pPr>
      <w:r>
        <w:rPr>
          <w:rStyle w:val="normaltextrun"/>
          <w:rFonts w:ascii="Times New Roman" w:hAnsi="Times New Roman" w:cs="Times New Roman"/>
          <w:b/>
          <w:noProof/>
          <w:sz w:val="24"/>
          <w:szCs w:val="24"/>
          <w:u w:val="single"/>
        </w:rPr>
        <w:t>J.4 Lainamuotoisen tuen seurantaa ja täytäntöönpanoa koskevat välitavoitteet, tavoitteet, indikaattorit ja aikataulu</w:t>
      </w:r>
      <w:r>
        <w:rPr>
          <w:rStyle w:val="eop"/>
          <w:rFonts w:ascii="Times New Roman" w:hAnsi="Times New Roman" w:cs="Times New Roman"/>
          <w:noProof/>
          <w:sz w:val="24"/>
          <w:szCs w:val="24"/>
        </w:rPr>
        <w:t xml:space="preserve"> </w:t>
      </w:r>
    </w:p>
    <w:tbl>
      <w:tblPr>
        <w:tblW w:w="15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8"/>
        <w:gridCol w:w="1701"/>
        <w:gridCol w:w="1135"/>
        <w:gridCol w:w="1814"/>
        <w:gridCol w:w="1578"/>
        <w:gridCol w:w="1148"/>
        <w:gridCol w:w="1133"/>
        <w:gridCol w:w="848"/>
        <w:gridCol w:w="900"/>
        <w:gridCol w:w="710"/>
        <w:gridCol w:w="3208"/>
      </w:tblGrid>
      <w:tr w:rsidR="00E42B18" w14:paraId="2BAE7A71" w14:textId="77777777">
        <w:trPr>
          <w:trHeight w:val="300"/>
          <w:tblHeader/>
          <w:jc w:val="center"/>
        </w:trPr>
        <w:tc>
          <w:tcPr>
            <w:tcW w:w="1078" w:type="dxa"/>
            <w:vMerge w:val="restart"/>
            <w:shd w:val="clear" w:color="auto" w:fill="BDD7EE"/>
            <w:vAlign w:val="center"/>
            <w:hideMark/>
          </w:tcPr>
          <w:p w14:paraId="011F01EE" w14:textId="77777777" w:rsidR="00E42B18" w:rsidRDefault="009629C4">
            <w:pPr>
              <w:pStyle w:val="P68B1DB1-Normal93"/>
              <w:jc w:val="center"/>
              <w:rPr>
                <w:bCs/>
                <w:noProof/>
              </w:rPr>
            </w:pPr>
            <w:r>
              <w:rPr>
                <w:noProof/>
              </w:rPr>
              <w:t>Juokseva numero</w:t>
            </w:r>
          </w:p>
        </w:tc>
        <w:tc>
          <w:tcPr>
            <w:tcW w:w="1701" w:type="dxa"/>
            <w:vMerge w:val="restart"/>
            <w:shd w:val="clear" w:color="auto" w:fill="BDD7EE"/>
            <w:vAlign w:val="center"/>
            <w:hideMark/>
          </w:tcPr>
          <w:p w14:paraId="1D99BDB6" w14:textId="77777777" w:rsidR="00E42B18" w:rsidRDefault="009629C4">
            <w:pPr>
              <w:pStyle w:val="P68B1DB1-Normal93"/>
              <w:jc w:val="center"/>
              <w:rPr>
                <w:bCs/>
                <w:noProof/>
              </w:rPr>
            </w:pPr>
            <w:r>
              <w:rPr>
                <w:noProof/>
              </w:rPr>
              <w:t>Toimenpide (uudistus tai investointi)</w:t>
            </w:r>
          </w:p>
        </w:tc>
        <w:tc>
          <w:tcPr>
            <w:tcW w:w="1135" w:type="dxa"/>
            <w:vMerge w:val="restart"/>
            <w:shd w:val="clear" w:color="auto" w:fill="BDD7EE"/>
            <w:vAlign w:val="center"/>
            <w:hideMark/>
          </w:tcPr>
          <w:p w14:paraId="2E0FB614" w14:textId="7B30A9D1" w:rsidR="00E42B18" w:rsidRDefault="009629C4">
            <w:pPr>
              <w:pStyle w:val="P68B1DB1-Normal93"/>
              <w:jc w:val="center"/>
              <w:rPr>
                <w:bCs/>
                <w:noProof/>
              </w:rPr>
            </w:pPr>
            <w:r>
              <w:rPr>
                <w:noProof/>
              </w:rPr>
              <w:t>Välitavoite/tavoite</w:t>
            </w:r>
          </w:p>
        </w:tc>
        <w:tc>
          <w:tcPr>
            <w:tcW w:w="1814" w:type="dxa"/>
            <w:vMerge w:val="restart"/>
            <w:shd w:val="clear" w:color="auto" w:fill="BDD7EE"/>
            <w:vAlign w:val="center"/>
            <w:hideMark/>
          </w:tcPr>
          <w:p w14:paraId="2BC8DCC5" w14:textId="77777777" w:rsidR="00E42B18" w:rsidRDefault="009629C4">
            <w:pPr>
              <w:pStyle w:val="P68B1DB1-Normal93"/>
              <w:jc w:val="center"/>
              <w:rPr>
                <w:bCs/>
                <w:noProof/>
              </w:rPr>
            </w:pPr>
            <w:r>
              <w:rPr>
                <w:noProof/>
              </w:rPr>
              <w:t>Nimi</w:t>
            </w:r>
          </w:p>
        </w:tc>
        <w:tc>
          <w:tcPr>
            <w:tcW w:w="1578" w:type="dxa"/>
            <w:vMerge w:val="restart"/>
            <w:shd w:val="clear" w:color="auto" w:fill="BDD7EE"/>
            <w:vAlign w:val="center"/>
            <w:hideMark/>
          </w:tcPr>
          <w:p w14:paraId="53CA35F0" w14:textId="77777777" w:rsidR="00E42B18" w:rsidRDefault="009629C4">
            <w:pPr>
              <w:jc w:val="center"/>
              <w:rPr>
                <w:rFonts w:ascii="Arial Narrow" w:hAnsi="Arial Narrow"/>
                <w:b/>
                <w:bCs/>
                <w:noProof/>
                <w:sz w:val="20"/>
                <w:szCs w:val="20"/>
              </w:rPr>
            </w:pPr>
            <w:r>
              <w:rPr>
                <w:rFonts w:ascii="Arial Narrow" w:hAnsi="Arial Narrow"/>
                <w:b/>
                <w:noProof/>
                <w:sz w:val="20"/>
                <w:szCs w:val="20"/>
              </w:rPr>
              <w:t>Laadulliset indikaattorit</w:t>
            </w:r>
            <w:r>
              <w:rPr>
                <w:noProof/>
              </w:rPr>
              <w:br/>
            </w:r>
            <w:r>
              <w:rPr>
                <w:rFonts w:ascii="Arial Narrow" w:hAnsi="Arial Narrow"/>
                <w:b/>
                <w:noProof/>
                <w:sz w:val="20"/>
                <w:szCs w:val="20"/>
              </w:rPr>
              <w:t>(välitavoitteiden osalta)</w:t>
            </w:r>
          </w:p>
        </w:tc>
        <w:tc>
          <w:tcPr>
            <w:tcW w:w="3129" w:type="dxa"/>
            <w:gridSpan w:val="3"/>
            <w:shd w:val="clear" w:color="auto" w:fill="BDD7EE"/>
            <w:vAlign w:val="center"/>
            <w:hideMark/>
          </w:tcPr>
          <w:p w14:paraId="0F841B82" w14:textId="77777777" w:rsidR="00E42B18" w:rsidRDefault="009629C4">
            <w:pPr>
              <w:jc w:val="center"/>
              <w:rPr>
                <w:rFonts w:ascii="Arial Narrow" w:hAnsi="Arial Narrow"/>
                <w:b/>
                <w:bCs/>
                <w:noProof/>
                <w:sz w:val="20"/>
                <w:szCs w:val="20"/>
              </w:rPr>
            </w:pPr>
            <w:r>
              <w:rPr>
                <w:rFonts w:ascii="Arial Narrow" w:hAnsi="Arial Narrow"/>
                <w:b/>
                <w:noProof/>
                <w:sz w:val="20"/>
                <w:szCs w:val="20"/>
              </w:rPr>
              <w:t>Määrälliset indikaattorit</w:t>
            </w:r>
            <w:r>
              <w:rPr>
                <w:noProof/>
              </w:rPr>
              <w:br/>
            </w:r>
            <w:r>
              <w:rPr>
                <w:rFonts w:ascii="Arial Narrow" w:hAnsi="Arial Narrow"/>
                <w:b/>
                <w:noProof/>
                <w:sz w:val="20"/>
                <w:szCs w:val="20"/>
              </w:rPr>
              <w:t>(tavoitteiden osalta)</w:t>
            </w:r>
          </w:p>
        </w:tc>
        <w:tc>
          <w:tcPr>
            <w:tcW w:w="1610" w:type="dxa"/>
            <w:gridSpan w:val="2"/>
            <w:shd w:val="clear" w:color="auto" w:fill="BDD7EE"/>
            <w:vAlign w:val="center"/>
            <w:hideMark/>
          </w:tcPr>
          <w:p w14:paraId="5A2007D1" w14:textId="77777777" w:rsidR="00E42B18" w:rsidRDefault="009629C4">
            <w:pPr>
              <w:pStyle w:val="P68B1DB1-Normal93"/>
              <w:jc w:val="center"/>
              <w:rPr>
                <w:bCs/>
                <w:noProof/>
              </w:rPr>
            </w:pPr>
            <w:r>
              <w:rPr>
                <w:noProof/>
              </w:rPr>
              <w:t>Alustava toteutusaikataulu</w:t>
            </w:r>
          </w:p>
        </w:tc>
        <w:tc>
          <w:tcPr>
            <w:tcW w:w="3208" w:type="dxa"/>
            <w:vMerge w:val="restart"/>
            <w:shd w:val="clear" w:color="auto" w:fill="BDD7EE"/>
            <w:vAlign w:val="center"/>
            <w:hideMark/>
          </w:tcPr>
          <w:p w14:paraId="19D8C29B" w14:textId="77777777" w:rsidR="00E42B18" w:rsidRDefault="009629C4">
            <w:pPr>
              <w:pStyle w:val="P68B1DB1-Normal93"/>
              <w:jc w:val="center"/>
              <w:rPr>
                <w:bCs/>
                <w:noProof/>
              </w:rPr>
            </w:pPr>
            <w:r>
              <w:rPr>
                <w:noProof/>
              </w:rPr>
              <w:t>Kunkin välitavoitteen ja tavoitteen kuvaus</w:t>
            </w:r>
          </w:p>
        </w:tc>
      </w:tr>
      <w:tr w:rsidR="00E42B18" w14:paraId="1A9F2C1C" w14:textId="77777777">
        <w:trPr>
          <w:trHeight w:val="300"/>
          <w:tblHeader/>
          <w:jc w:val="center"/>
        </w:trPr>
        <w:tc>
          <w:tcPr>
            <w:tcW w:w="1078" w:type="dxa"/>
            <w:vMerge/>
            <w:vAlign w:val="center"/>
            <w:hideMark/>
          </w:tcPr>
          <w:p w14:paraId="5F9C1B7D" w14:textId="77777777" w:rsidR="00E42B18" w:rsidRDefault="00E42B18">
            <w:pPr>
              <w:jc w:val="center"/>
              <w:rPr>
                <w:rFonts w:ascii="Arial Narrow" w:hAnsi="Arial Narrow"/>
                <w:b/>
                <w:noProof/>
                <w:sz w:val="20"/>
                <w:szCs w:val="20"/>
              </w:rPr>
            </w:pPr>
          </w:p>
        </w:tc>
        <w:tc>
          <w:tcPr>
            <w:tcW w:w="1701" w:type="dxa"/>
            <w:vMerge/>
            <w:vAlign w:val="center"/>
            <w:hideMark/>
          </w:tcPr>
          <w:p w14:paraId="02D76D78" w14:textId="77777777" w:rsidR="00E42B18" w:rsidRDefault="00E42B18">
            <w:pPr>
              <w:jc w:val="center"/>
              <w:rPr>
                <w:rFonts w:ascii="Arial Narrow" w:hAnsi="Arial Narrow"/>
                <w:b/>
                <w:noProof/>
                <w:sz w:val="20"/>
                <w:szCs w:val="20"/>
              </w:rPr>
            </w:pPr>
          </w:p>
        </w:tc>
        <w:tc>
          <w:tcPr>
            <w:tcW w:w="1135" w:type="dxa"/>
            <w:vMerge/>
            <w:vAlign w:val="center"/>
            <w:hideMark/>
          </w:tcPr>
          <w:p w14:paraId="1D8F4D04" w14:textId="77777777" w:rsidR="00E42B18" w:rsidRDefault="00E42B18">
            <w:pPr>
              <w:jc w:val="center"/>
              <w:rPr>
                <w:rFonts w:ascii="Arial Narrow" w:hAnsi="Arial Narrow"/>
                <w:b/>
                <w:noProof/>
                <w:sz w:val="20"/>
                <w:szCs w:val="20"/>
              </w:rPr>
            </w:pPr>
          </w:p>
        </w:tc>
        <w:tc>
          <w:tcPr>
            <w:tcW w:w="1814" w:type="dxa"/>
            <w:vMerge/>
            <w:vAlign w:val="center"/>
            <w:hideMark/>
          </w:tcPr>
          <w:p w14:paraId="1D8A63AE" w14:textId="77777777" w:rsidR="00E42B18" w:rsidRDefault="00E42B18">
            <w:pPr>
              <w:jc w:val="center"/>
              <w:rPr>
                <w:rFonts w:ascii="Arial Narrow" w:hAnsi="Arial Narrow"/>
                <w:b/>
                <w:noProof/>
                <w:sz w:val="20"/>
                <w:szCs w:val="20"/>
              </w:rPr>
            </w:pPr>
          </w:p>
        </w:tc>
        <w:tc>
          <w:tcPr>
            <w:tcW w:w="1578" w:type="dxa"/>
            <w:vMerge/>
            <w:vAlign w:val="center"/>
            <w:hideMark/>
          </w:tcPr>
          <w:p w14:paraId="611ED0CB" w14:textId="77777777" w:rsidR="00E42B18" w:rsidRDefault="00E42B18">
            <w:pPr>
              <w:jc w:val="center"/>
              <w:rPr>
                <w:rFonts w:ascii="Arial Narrow" w:hAnsi="Arial Narrow"/>
                <w:b/>
                <w:noProof/>
                <w:sz w:val="20"/>
                <w:szCs w:val="20"/>
              </w:rPr>
            </w:pPr>
          </w:p>
        </w:tc>
        <w:tc>
          <w:tcPr>
            <w:tcW w:w="1148" w:type="dxa"/>
            <w:shd w:val="clear" w:color="auto" w:fill="BDD7EE"/>
            <w:vAlign w:val="center"/>
            <w:hideMark/>
          </w:tcPr>
          <w:p w14:paraId="763CD9A1" w14:textId="77777777" w:rsidR="00E42B18" w:rsidRDefault="009629C4">
            <w:pPr>
              <w:pStyle w:val="P68B1DB1-Normal93"/>
              <w:jc w:val="center"/>
              <w:rPr>
                <w:bCs/>
                <w:noProof/>
              </w:rPr>
            </w:pPr>
            <w:r>
              <w:rPr>
                <w:noProof/>
              </w:rPr>
              <w:t>Mitta-yksikkö</w:t>
            </w:r>
          </w:p>
        </w:tc>
        <w:tc>
          <w:tcPr>
            <w:tcW w:w="1133" w:type="dxa"/>
            <w:shd w:val="clear" w:color="auto" w:fill="BDD7EE"/>
            <w:vAlign w:val="center"/>
            <w:hideMark/>
          </w:tcPr>
          <w:p w14:paraId="1775E62F" w14:textId="77777777" w:rsidR="00E42B18" w:rsidRDefault="009629C4">
            <w:pPr>
              <w:pStyle w:val="P68B1DB1-Normal93"/>
              <w:jc w:val="center"/>
              <w:rPr>
                <w:bCs/>
                <w:noProof/>
              </w:rPr>
            </w:pPr>
            <w:r>
              <w:rPr>
                <w:noProof/>
              </w:rPr>
              <w:t>Lähtötilanne</w:t>
            </w:r>
          </w:p>
        </w:tc>
        <w:tc>
          <w:tcPr>
            <w:tcW w:w="848" w:type="dxa"/>
            <w:shd w:val="clear" w:color="auto" w:fill="BDD7EE"/>
            <w:vAlign w:val="center"/>
            <w:hideMark/>
          </w:tcPr>
          <w:p w14:paraId="210C53BF" w14:textId="77777777" w:rsidR="00E42B18" w:rsidRDefault="009629C4">
            <w:pPr>
              <w:pStyle w:val="P68B1DB1-Normal93"/>
              <w:jc w:val="center"/>
              <w:rPr>
                <w:bCs/>
                <w:noProof/>
              </w:rPr>
            </w:pPr>
            <w:r>
              <w:rPr>
                <w:noProof/>
              </w:rPr>
              <w:t>Päämäärä</w:t>
            </w:r>
          </w:p>
        </w:tc>
        <w:tc>
          <w:tcPr>
            <w:tcW w:w="900" w:type="dxa"/>
            <w:shd w:val="clear" w:color="auto" w:fill="BDD7EE"/>
            <w:vAlign w:val="center"/>
            <w:hideMark/>
          </w:tcPr>
          <w:p w14:paraId="70F5827A" w14:textId="77777777" w:rsidR="00E42B18" w:rsidRDefault="009629C4">
            <w:pPr>
              <w:pStyle w:val="P68B1DB1-Normal93"/>
              <w:jc w:val="center"/>
              <w:rPr>
                <w:bCs/>
                <w:noProof/>
              </w:rPr>
            </w:pPr>
            <w:r>
              <w:rPr>
                <w:noProof/>
              </w:rPr>
              <w:t>Neljännes</w:t>
            </w:r>
          </w:p>
        </w:tc>
        <w:tc>
          <w:tcPr>
            <w:tcW w:w="710" w:type="dxa"/>
            <w:shd w:val="clear" w:color="auto" w:fill="BDD7EE"/>
            <w:vAlign w:val="center"/>
            <w:hideMark/>
          </w:tcPr>
          <w:p w14:paraId="159B7616" w14:textId="77777777" w:rsidR="00E42B18" w:rsidRDefault="009629C4">
            <w:pPr>
              <w:pStyle w:val="P68B1DB1-Normal93"/>
              <w:jc w:val="center"/>
              <w:rPr>
                <w:bCs/>
                <w:noProof/>
              </w:rPr>
            </w:pPr>
            <w:r>
              <w:rPr>
                <w:noProof/>
              </w:rPr>
              <w:t>Vuosi</w:t>
            </w:r>
          </w:p>
        </w:tc>
        <w:tc>
          <w:tcPr>
            <w:tcW w:w="3208" w:type="dxa"/>
            <w:vMerge/>
            <w:vAlign w:val="center"/>
            <w:hideMark/>
          </w:tcPr>
          <w:p w14:paraId="080DF5E6" w14:textId="77777777" w:rsidR="00E42B18" w:rsidRDefault="00E42B18">
            <w:pPr>
              <w:rPr>
                <w:rFonts w:ascii="Arial Narrow" w:hAnsi="Arial Narrow"/>
                <w:b/>
                <w:noProof/>
                <w:sz w:val="20"/>
                <w:szCs w:val="20"/>
              </w:rPr>
            </w:pPr>
          </w:p>
        </w:tc>
      </w:tr>
      <w:tr w:rsidR="00E42B18" w14:paraId="4A830CD5" w14:textId="77777777">
        <w:trPr>
          <w:trHeight w:val="300"/>
          <w:jc w:val="center"/>
        </w:trPr>
        <w:tc>
          <w:tcPr>
            <w:tcW w:w="10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76BE072" w14:textId="77777777" w:rsidR="00E42B18" w:rsidRDefault="009629C4">
            <w:pPr>
              <w:pStyle w:val="P68B1DB1-Normal12"/>
              <w:jc w:val="center"/>
              <w:rPr>
                <w:noProof/>
              </w:rPr>
            </w:pPr>
            <w:r>
              <w:rPr>
                <w:noProof/>
              </w:rPr>
              <w:t>M4C1–18</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8E710C" w14:textId="77777777" w:rsidR="00E42B18" w:rsidRDefault="009629C4">
            <w:pPr>
              <w:pStyle w:val="P68B1DB1-Normal12"/>
              <w:jc w:val="center"/>
              <w:rPr>
                <w:noProof/>
              </w:rPr>
            </w:pPr>
            <w:r>
              <w:rPr>
                <w:noProof/>
              </w:rPr>
              <w:t>Investointi 1.1: Päiväkoteja ja esikouluja sekä varhaiskasvatuspalveluja koskeva suunnitelma</w:t>
            </w:r>
          </w:p>
        </w:tc>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93A7F5" w14:textId="77777777" w:rsidR="00E42B18" w:rsidRDefault="009629C4">
            <w:pPr>
              <w:pStyle w:val="P68B1DB1-Normal12"/>
              <w:jc w:val="center"/>
              <w:rPr>
                <w:noProof/>
              </w:rPr>
            </w:pPr>
            <w:r>
              <w:rPr>
                <w:noProof/>
              </w:rPr>
              <w:t>Kohde</w:t>
            </w:r>
          </w:p>
        </w:tc>
        <w:tc>
          <w:tcPr>
            <w:tcW w:w="18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9F5099" w14:textId="77777777" w:rsidR="00E42B18" w:rsidRDefault="009629C4">
            <w:pPr>
              <w:pStyle w:val="P68B1DB1-Normal12"/>
              <w:jc w:val="center"/>
              <w:rPr>
                <w:noProof/>
              </w:rPr>
            </w:pPr>
            <w:r>
              <w:rPr>
                <w:noProof/>
              </w:rPr>
              <w:t xml:space="preserve">0–6-vuotiaiden lasten varhaiskasvatusta varten luodut paikat. </w:t>
            </w:r>
          </w:p>
        </w:tc>
        <w:tc>
          <w:tcPr>
            <w:tcW w:w="15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4E3DB52" w14:textId="77777777" w:rsidR="00E42B18" w:rsidRDefault="009629C4">
            <w:pPr>
              <w:pStyle w:val="P68B1DB1-Normal12"/>
              <w:jc w:val="center"/>
              <w:rPr>
                <w:noProof/>
              </w:rPr>
            </w:pPr>
            <w:r>
              <w:rPr>
                <w:noProof/>
              </w:rPr>
              <w:t>EI OLE</w:t>
            </w:r>
          </w:p>
        </w:tc>
        <w:tc>
          <w:tcPr>
            <w:tcW w:w="114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61952E" w14:textId="77777777" w:rsidR="00E42B18" w:rsidRDefault="009629C4">
            <w:pPr>
              <w:pStyle w:val="P68B1DB1-Normal12"/>
              <w:jc w:val="center"/>
              <w:rPr>
                <w:noProof/>
              </w:rPr>
            </w:pPr>
            <w:r>
              <w:rPr>
                <w:noProof/>
              </w:rPr>
              <w:t>Numero</w:t>
            </w:r>
          </w:p>
        </w:tc>
        <w:tc>
          <w:tcPr>
            <w:tcW w:w="11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4EEFC" w14:textId="77777777" w:rsidR="00E42B18" w:rsidRDefault="009629C4">
            <w:pPr>
              <w:pStyle w:val="P68B1DB1-Normal12"/>
              <w:jc w:val="center"/>
              <w:rPr>
                <w:noProof/>
              </w:rPr>
            </w:pPr>
            <w:r>
              <w:rPr>
                <w:noProof/>
              </w:rPr>
              <w:t>0</w:t>
            </w:r>
          </w:p>
        </w:tc>
        <w:tc>
          <w:tcPr>
            <w:tcW w:w="84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11B41" w14:textId="77777777" w:rsidR="00E42B18" w:rsidRDefault="009629C4">
            <w:pPr>
              <w:pStyle w:val="P68B1DB1-Normal94"/>
              <w:jc w:val="center"/>
              <w:rPr>
                <w:rFonts w:hint="default"/>
                <w:noProof/>
              </w:rPr>
            </w:pPr>
            <w:r>
              <w:rPr>
                <w:noProof/>
              </w:rPr>
              <w:t>150 480</w:t>
            </w:r>
          </w:p>
        </w:tc>
        <w:tc>
          <w:tcPr>
            <w:tcW w:w="90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2F6110" w14:textId="77777777" w:rsidR="00E42B18" w:rsidRDefault="009629C4">
            <w:pPr>
              <w:pStyle w:val="P68B1DB1-Normal12"/>
              <w:jc w:val="center"/>
              <w:rPr>
                <w:noProof/>
              </w:rPr>
            </w:pPr>
            <w:r>
              <w:rPr>
                <w:noProof/>
              </w:rPr>
              <w:t>Q2</w:t>
            </w:r>
          </w:p>
        </w:tc>
        <w:tc>
          <w:tcPr>
            <w:tcW w:w="71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AB4B1F" w14:textId="77777777" w:rsidR="00E42B18" w:rsidRDefault="009629C4">
            <w:pPr>
              <w:pStyle w:val="P68B1DB1-Normal12"/>
              <w:jc w:val="center"/>
              <w:rPr>
                <w:noProof/>
              </w:rPr>
            </w:pPr>
            <w:r>
              <w:rPr>
                <w:noProof/>
              </w:rPr>
              <w:t>2026</w:t>
            </w:r>
          </w:p>
        </w:tc>
        <w:tc>
          <w:tcPr>
            <w:tcW w:w="3208" w:type="dxa"/>
            <w:shd w:val="clear" w:color="auto" w:fill="C6EFCE"/>
            <w:noWrap/>
            <w:vAlign w:val="center"/>
            <w:hideMark/>
          </w:tcPr>
          <w:p w14:paraId="714A4D44" w14:textId="7F6357B9" w:rsidR="00E42B18" w:rsidRDefault="009629C4">
            <w:pPr>
              <w:pStyle w:val="P68B1DB1-Normal12"/>
              <w:rPr>
                <w:noProof/>
              </w:rPr>
            </w:pPr>
            <w:r>
              <w:rPr>
                <w:noProof/>
              </w:rPr>
              <w:t>Todistus töiden valmistumisesta vähintään 150480 paikassa, jotka on rakennettu uudelleen, hyväksytty uudelleen tai laajennettu tai jotka ovat seurausta 0–6-vuotiaiden lasten varhaiskasvatuspalvelujen käytön muutoksesta. Näistä enintään 35000 paikkaa on saatu nykyisten paikkojen purkamisesta ja jälleenrakentamisesta. Investointi ei kata maakaasukattiloiden hankintaa.</w:t>
            </w:r>
          </w:p>
        </w:tc>
      </w:tr>
      <w:tr w:rsidR="00E42B18" w14:paraId="1952ED98" w14:textId="77777777">
        <w:trPr>
          <w:trHeight w:val="300"/>
          <w:jc w:val="center"/>
        </w:trPr>
        <w:tc>
          <w:tcPr>
            <w:tcW w:w="1078" w:type="dxa"/>
            <w:shd w:val="clear" w:color="auto" w:fill="C6EFCE"/>
            <w:noWrap/>
            <w:vAlign w:val="center"/>
          </w:tcPr>
          <w:p w14:paraId="20902D35" w14:textId="77777777" w:rsidR="00E42B18" w:rsidRDefault="009629C4">
            <w:pPr>
              <w:pStyle w:val="P68B1DB1-Normal12"/>
              <w:jc w:val="center"/>
              <w:rPr>
                <w:noProof/>
              </w:rPr>
            </w:pPr>
            <w:r>
              <w:rPr>
                <w:noProof/>
              </w:rPr>
              <w:t>M4C1–21</w:t>
            </w:r>
          </w:p>
        </w:tc>
        <w:tc>
          <w:tcPr>
            <w:tcW w:w="1701" w:type="dxa"/>
            <w:shd w:val="clear" w:color="auto" w:fill="C6EFCE"/>
            <w:noWrap/>
            <w:vAlign w:val="center"/>
          </w:tcPr>
          <w:p w14:paraId="56231E53" w14:textId="77777777" w:rsidR="00E42B18" w:rsidRDefault="009629C4">
            <w:pPr>
              <w:pStyle w:val="P68B1DB1-Normal12"/>
              <w:jc w:val="center"/>
              <w:rPr>
                <w:noProof/>
              </w:rPr>
            </w:pPr>
            <w:r>
              <w:rPr>
                <w:noProof/>
              </w:rPr>
              <w:t>Investointi 1.2: Kokopäivätyön jatkamista koskeva suunnitelma</w:t>
            </w:r>
          </w:p>
        </w:tc>
        <w:tc>
          <w:tcPr>
            <w:tcW w:w="1135" w:type="dxa"/>
            <w:shd w:val="clear" w:color="auto" w:fill="C6EFCE"/>
            <w:noWrap/>
            <w:vAlign w:val="center"/>
          </w:tcPr>
          <w:p w14:paraId="1C4F285A" w14:textId="77777777" w:rsidR="00E42B18" w:rsidRDefault="009629C4">
            <w:pPr>
              <w:pStyle w:val="P68B1DB1-Normal12"/>
              <w:jc w:val="center"/>
              <w:rPr>
                <w:noProof/>
              </w:rPr>
            </w:pPr>
            <w:r>
              <w:rPr>
                <w:noProof/>
              </w:rPr>
              <w:t>Kohde</w:t>
            </w:r>
          </w:p>
        </w:tc>
        <w:tc>
          <w:tcPr>
            <w:tcW w:w="1814" w:type="dxa"/>
            <w:shd w:val="clear" w:color="auto" w:fill="C6EFCE"/>
            <w:noWrap/>
            <w:vAlign w:val="center"/>
          </w:tcPr>
          <w:p w14:paraId="23CBC223" w14:textId="77777777" w:rsidR="00E42B18" w:rsidRDefault="009629C4">
            <w:pPr>
              <w:pStyle w:val="P68B1DB1-Normal12"/>
              <w:jc w:val="center"/>
              <w:rPr>
                <w:noProof/>
              </w:rPr>
            </w:pPr>
            <w:r>
              <w:rPr>
                <w:noProof/>
              </w:rPr>
              <w:t>Ruokalatilojen rakentaminen tai kunnostaminen kouluissa</w:t>
            </w:r>
          </w:p>
        </w:tc>
        <w:tc>
          <w:tcPr>
            <w:tcW w:w="1578" w:type="dxa"/>
            <w:shd w:val="clear" w:color="auto" w:fill="C6EFCE"/>
            <w:noWrap/>
            <w:vAlign w:val="center"/>
          </w:tcPr>
          <w:p w14:paraId="5AE39074" w14:textId="77777777" w:rsidR="00E42B18" w:rsidRDefault="009629C4">
            <w:pPr>
              <w:pStyle w:val="P68B1DB1-Normal12"/>
              <w:jc w:val="center"/>
              <w:rPr>
                <w:noProof/>
              </w:rPr>
            </w:pPr>
            <w:r>
              <w:rPr>
                <w:noProof/>
              </w:rPr>
              <w:t>EI OLE</w:t>
            </w:r>
          </w:p>
        </w:tc>
        <w:tc>
          <w:tcPr>
            <w:tcW w:w="1148" w:type="dxa"/>
            <w:shd w:val="clear" w:color="auto" w:fill="C6EFCE"/>
            <w:noWrap/>
            <w:vAlign w:val="center"/>
          </w:tcPr>
          <w:p w14:paraId="6729A6E0" w14:textId="77777777" w:rsidR="00E42B18" w:rsidRDefault="009629C4">
            <w:pPr>
              <w:pStyle w:val="P68B1DB1-Normal12"/>
              <w:jc w:val="center"/>
              <w:rPr>
                <w:noProof/>
              </w:rPr>
            </w:pPr>
            <w:r>
              <w:rPr>
                <w:noProof/>
              </w:rPr>
              <w:t>Numero</w:t>
            </w:r>
          </w:p>
        </w:tc>
        <w:tc>
          <w:tcPr>
            <w:tcW w:w="1133" w:type="dxa"/>
            <w:shd w:val="clear" w:color="auto" w:fill="C6EFCE"/>
            <w:noWrap/>
            <w:vAlign w:val="center"/>
          </w:tcPr>
          <w:p w14:paraId="43F3DF6D" w14:textId="77777777" w:rsidR="00E42B18" w:rsidRDefault="009629C4">
            <w:pPr>
              <w:pStyle w:val="P68B1DB1-Normal12"/>
              <w:jc w:val="center"/>
              <w:rPr>
                <w:noProof/>
              </w:rPr>
            </w:pPr>
            <w:r>
              <w:rPr>
                <w:noProof/>
              </w:rPr>
              <w:t>0</w:t>
            </w:r>
          </w:p>
        </w:tc>
        <w:tc>
          <w:tcPr>
            <w:tcW w:w="848" w:type="dxa"/>
            <w:shd w:val="clear" w:color="auto" w:fill="C6EFCE"/>
            <w:noWrap/>
            <w:vAlign w:val="center"/>
          </w:tcPr>
          <w:p w14:paraId="7DCF42B1" w14:textId="77777777" w:rsidR="00E42B18" w:rsidRDefault="009629C4">
            <w:pPr>
              <w:pStyle w:val="P68B1DB1-Normal94"/>
              <w:jc w:val="center"/>
              <w:rPr>
                <w:rFonts w:hint="default"/>
                <w:noProof/>
              </w:rPr>
            </w:pPr>
            <w:r>
              <w:rPr>
                <w:noProof/>
              </w:rPr>
              <w:t>1 000</w:t>
            </w:r>
          </w:p>
        </w:tc>
        <w:tc>
          <w:tcPr>
            <w:tcW w:w="900" w:type="dxa"/>
            <w:shd w:val="clear" w:color="auto" w:fill="C6EFCE"/>
            <w:noWrap/>
            <w:vAlign w:val="center"/>
          </w:tcPr>
          <w:p w14:paraId="133E884C" w14:textId="77777777" w:rsidR="00E42B18" w:rsidRDefault="009629C4">
            <w:pPr>
              <w:pStyle w:val="P68B1DB1-Normal12"/>
              <w:jc w:val="center"/>
              <w:rPr>
                <w:noProof/>
              </w:rPr>
            </w:pPr>
            <w:r>
              <w:rPr>
                <w:noProof/>
              </w:rPr>
              <w:t>Q2</w:t>
            </w:r>
          </w:p>
        </w:tc>
        <w:tc>
          <w:tcPr>
            <w:tcW w:w="710" w:type="dxa"/>
            <w:shd w:val="clear" w:color="auto" w:fill="C6EFCE"/>
            <w:noWrap/>
            <w:vAlign w:val="center"/>
          </w:tcPr>
          <w:p w14:paraId="60FF9929" w14:textId="77777777" w:rsidR="00E42B18" w:rsidRDefault="009629C4">
            <w:pPr>
              <w:pStyle w:val="P68B1DB1-Normal12"/>
              <w:jc w:val="center"/>
              <w:rPr>
                <w:noProof/>
              </w:rPr>
            </w:pPr>
            <w:r>
              <w:rPr>
                <w:noProof/>
              </w:rPr>
              <w:t>2026</w:t>
            </w:r>
          </w:p>
        </w:tc>
        <w:tc>
          <w:tcPr>
            <w:tcW w:w="3208" w:type="dxa"/>
            <w:shd w:val="clear" w:color="auto" w:fill="C6EFCE"/>
            <w:noWrap/>
            <w:vAlign w:val="center"/>
          </w:tcPr>
          <w:p w14:paraId="46648519" w14:textId="21295D1A" w:rsidR="00E42B18" w:rsidRDefault="009629C4">
            <w:pPr>
              <w:pStyle w:val="P68B1DB1-Normal12"/>
              <w:rPr>
                <w:noProof/>
              </w:rPr>
            </w:pPr>
            <w:r>
              <w:rPr>
                <w:noProof/>
              </w:rPr>
              <w:t>Todistus töiden valmistumisesta annetaan vähintään 1000 ruokalahuoneessa kouluissa.</w:t>
            </w:r>
          </w:p>
        </w:tc>
      </w:tr>
      <w:tr w:rsidR="00E42B18" w14:paraId="343B84F2" w14:textId="77777777">
        <w:trPr>
          <w:trHeight w:val="300"/>
          <w:jc w:val="center"/>
        </w:trPr>
        <w:tc>
          <w:tcPr>
            <w:tcW w:w="1078" w:type="dxa"/>
            <w:shd w:val="clear" w:color="auto" w:fill="C6EFCE"/>
            <w:noWrap/>
            <w:vAlign w:val="center"/>
          </w:tcPr>
          <w:p w14:paraId="1D71AE12" w14:textId="77777777" w:rsidR="00E42B18" w:rsidRDefault="009629C4">
            <w:pPr>
              <w:pStyle w:val="P68B1DB1-Normal12"/>
              <w:jc w:val="center"/>
              <w:rPr>
                <w:noProof/>
              </w:rPr>
            </w:pPr>
            <w:r>
              <w:rPr>
                <w:noProof/>
              </w:rPr>
              <w:t>M4C1–26</w:t>
            </w:r>
          </w:p>
        </w:tc>
        <w:tc>
          <w:tcPr>
            <w:tcW w:w="1701" w:type="dxa"/>
            <w:shd w:val="clear" w:color="auto" w:fill="C6EFCE"/>
            <w:noWrap/>
            <w:vAlign w:val="center"/>
          </w:tcPr>
          <w:p w14:paraId="2D2FB7D1" w14:textId="77777777" w:rsidR="00E42B18" w:rsidRDefault="009629C4">
            <w:pPr>
              <w:pStyle w:val="P68B1DB1-Normal12"/>
              <w:jc w:val="center"/>
              <w:rPr>
                <w:noProof/>
              </w:rPr>
            </w:pPr>
            <w:r>
              <w:rPr>
                <w:noProof/>
              </w:rPr>
              <w:t>Investointi 3.3: Koulurakennusten turvallisuutta ja rakenteellista kuntoutusta koskeva suunnitelma</w:t>
            </w:r>
          </w:p>
        </w:tc>
        <w:tc>
          <w:tcPr>
            <w:tcW w:w="1135" w:type="dxa"/>
            <w:shd w:val="clear" w:color="auto" w:fill="C6EFCE"/>
            <w:noWrap/>
            <w:vAlign w:val="center"/>
          </w:tcPr>
          <w:p w14:paraId="1AAB8726" w14:textId="77777777" w:rsidR="00E42B18" w:rsidRDefault="009629C4">
            <w:pPr>
              <w:pStyle w:val="P68B1DB1-Normal12"/>
              <w:jc w:val="center"/>
              <w:rPr>
                <w:noProof/>
              </w:rPr>
            </w:pPr>
            <w:r>
              <w:rPr>
                <w:noProof/>
              </w:rPr>
              <w:t>Kohde</w:t>
            </w:r>
          </w:p>
        </w:tc>
        <w:tc>
          <w:tcPr>
            <w:tcW w:w="1814" w:type="dxa"/>
            <w:shd w:val="clear" w:color="auto" w:fill="C6EFCE"/>
            <w:noWrap/>
            <w:vAlign w:val="center"/>
          </w:tcPr>
          <w:p w14:paraId="416C7573" w14:textId="77777777" w:rsidR="00E42B18" w:rsidRDefault="009629C4">
            <w:pPr>
              <w:pStyle w:val="P68B1DB1-Normal12"/>
              <w:jc w:val="center"/>
              <w:rPr>
                <w:noProof/>
              </w:rPr>
            </w:pPr>
            <w:r>
              <w:rPr>
                <w:noProof/>
              </w:rPr>
              <w:t xml:space="preserve"> Kunnostetut tai kunnostetut koulurakennukset</w:t>
            </w:r>
          </w:p>
        </w:tc>
        <w:tc>
          <w:tcPr>
            <w:tcW w:w="1578" w:type="dxa"/>
            <w:shd w:val="clear" w:color="auto" w:fill="C6EFCE"/>
            <w:noWrap/>
            <w:vAlign w:val="center"/>
          </w:tcPr>
          <w:p w14:paraId="78E2A2E7" w14:textId="77777777" w:rsidR="00E42B18" w:rsidRDefault="009629C4">
            <w:pPr>
              <w:pStyle w:val="P68B1DB1-Normal12"/>
              <w:jc w:val="center"/>
              <w:rPr>
                <w:noProof/>
              </w:rPr>
            </w:pPr>
            <w:r>
              <w:rPr>
                <w:noProof/>
              </w:rPr>
              <w:t>EI OLE</w:t>
            </w:r>
          </w:p>
        </w:tc>
        <w:tc>
          <w:tcPr>
            <w:tcW w:w="1148" w:type="dxa"/>
            <w:shd w:val="clear" w:color="auto" w:fill="C6EFCE"/>
            <w:noWrap/>
            <w:vAlign w:val="center"/>
          </w:tcPr>
          <w:p w14:paraId="299067DD" w14:textId="77777777" w:rsidR="00E42B18" w:rsidRDefault="009629C4">
            <w:pPr>
              <w:pStyle w:val="P68B1DB1-Normal12"/>
              <w:jc w:val="center"/>
              <w:rPr>
                <w:noProof/>
              </w:rPr>
            </w:pPr>
            <w:r>
              <w:rPr>
                <w:noProof/>
              </w:rPr>
              <w:t>Numero</w:t>
            </w:r>
          </w:p>
        </w:tc>
        <w:tc>
          <w:tcPr>
            <w:tcW w:w="1133" w:type="dxa"/>
            <w:shd w:val="clear" w:color="auto" w:fill="C6EFCE"/>
            <w:noWrap/>
            <w:vAlign w:val="center"/>
          </w:tcPr>
          <w:p w14:paraId="23ED4B26" w14:textId="77777777" w:rsidR="00E42B18" w:rsidRDefault="009629C4">
            <w:pPr>
              <w:pStyle w:val="P68B1DB1-Normal12"/>
              <w:jc w:val="center"/>
              <w:rPr>
                <w:noProof/>
              </w:rPr>
            </w:pPr>
            <w:r>
              <w:rPr>
                <w:noProof/>
              </w:rPr>
              <w:t>0</w:t>
            </w:r>
          </w:p>
        </w:tc>
        <w:tc>
          <w:tcPr>
            <w:tcW w:w="848" w:type="dxa"/>
            <w:shd w:val="clear" w:color="auto" w:fill="C6EFCE"/>
            <w:noWrap/>
            <w:vAlign w:val="center"/>
          </w:tcPr>
          <w:p w14:paraId="6168BDAE" w14:textId="4CFB3D6A" w:rsidR="00E42B18" w:rsidRDefault="009629C4">
            <w:pPr>
              <w:pStyle w:val="P68B1DB1-Normal12"/>
              <w:jc w:val="center"/>
              <w:rPr>
                <w:noProof/>
              </w:rPr>
            </w:pPr>
            <w:r>
              <w:rPr>
                <w:noProof/>
              </w:rPr>
              <w:t>1 400</w:t>
            </w:r>
          </w:p>
        </w:tc>
        <w:tc>
          <w:tcPr>
            <w:tcW w:w="900" w:type="dxa"/>
            <w:shd w:val="clear" w:color="auto" w:fill="C6EFCE"/>
            <w:noWrap/>
            <w:vAlign w:val="center"/>
          </w:tcPr>
          <w:p w14:paraId="0A41A3FD" w14:textId="77777777" w:rsidR="00E42B18" w:rsidRDefault="009629C4">
            <w:pPr>
              <w:pStyle w:val="P68B1DB1-Normal12"/>
              <w:jc w:val="center"/>
              <w:rPr>
                <w:noProof/>
              </w:rPr>
            </w:pPr>
            <w:r>
              <w:rPr>
                <w:noProof/>
              </w:rPr>
              <w:t>Q2</w:t>
            </w:r>
          </w:p>
        </w:tc>
        <w:tc>
          <w:tcPr>
            <w:tcW w:w="710" w:type="dxa"/>
            <w:shd w:val="clear" w:color="auto" w:fill="C6EFCE"/>
            <w:noWrap/>
            <w:vAlign w:val="center"/>
          </w:tcPr>
          <w:p w14:paraId="133CEA58" w14:textId="77777777" w:rsidR="00E42B18" w:rsidRDefault="009629C4">
            <w:pPr>
              <w:pStyle w:val="P68B1DB1-Normal12"/>
              <w:jc w:val="center"/>
              <w:rPr>
                <w:noProof/>
              </w:rPr>
            </w:pPr>
            <w:r>
              <w:rPr>
                <w:noProof/>
              </w:rPr>
              <w:t>2026</w:t>
            </w:r>
          </w:p>
        </w:tc>
        <w:tc>
          <w:tcPr>
            <w:tcW w:w="3208" w:type="dxa"/>
            <w:shd w:val="clear" w:color="auto" w:fill="C6EFCE"/>
            <w:noWrap/>
            <w:vAlign w:val="center"/>
          </w:tcPr>
          <w:p w14:paraId="74D89791" w14:textId="4AE582E4" w:rsidR="00E42B18" w:rsidRDefault="009629C4">
            <w:pPr>
              <w:pStyle w:val="P68B1DB1-Normal12"/>
              <w:rPr>
                <w:noProof/>
              </w:rPr>
            </w:pPr>
            <w:r>
              <w:rPr>
                <w:noProof/>
              </w:rPr>
              <w:t>Todistus turvallisuutta tai energiatehokkuutta parantavien korjaus- tai jälleenrakennustöiden päätökseen saattamisesta on annettava vähintään 1400 koulurakennukselle. Investointi ei kata maakaasukattiloiden hankintaa.</w:t>
            </w:r>
          </w:p>
        </w:tc>
      </w:tr>
      <w:tr w:rsidR="00E42B18" w14:paraId="41ABCBF5" w14:textId="77777777">
        <w:trPr>
          <w:trHeight w:val="300"/>
          <w:jc w:val="center"/>
        </w:trPr>
        <w:tc>
          <w:tcPr>
            <w:tcW w:w="1078" w:type="dxa"/>
            <w:shd w:val="clear" w:color="auto" w:fill="C6EFCE"/>
            <w:noWrap/>
            <w:vAlign w:val="center"/>
            <w:hideMark/>
          </w:tcPr>
          <w:p w14:paraId="6A6807B6" w14:textId="77777777" w:rsidR="00E42B18" w:rsidRDefault="009629C4">
            <w:pPr>
              <w:pStyle w:val="P68B1DB1-Normal12"/>
              <w:jc w:val="center"/>
              <w:rPr>
                <w:noProof/>
              </w:rPr>
            </w:pPr>
            <w:r>
              <w:rPr>
                <w:noProof/>
              </w:rPr>
              <w:t>M4C1–27</w:t>
            </w:r>
          </w:p>
        </w:tc>
        <w:tc>
          <w:tcPr>
            <w:tcW w:w="1701" w:type="dxa"/>
            <w:shd w:val="clear" w:color="auto" w:fill="C6EFCE"/>
            <w:noWrap/>
            <w:vAlign w:val="center"/>
          </w:tcPr>
          <w:p w14:paraId="33FCBC1E" w14:textId="77777777" w:rsidR="00E42B18" w:rsidRDefault="009629C4">
            <w:pPr>
              <w:pStyle w:val="P68B1DB1-Normal12"/>
              <w:jc w:val="center"/>
              <w:rPr>
                <w:noProof/>
              </w:rPr>
            </w:pPr>
            <w:r>
              <w:rPr>
                <w:noProof/>
              </w:rPr>
              <w:t>Uudistus 1.7: Opiskelija-asuntoja koskevan sääntelyn uudistaminen ja investoinnit opiskelija-asumiseen</w:t>
            </w:r>
          </w:p>
        </w:tc>
        <w:tc>
          <w:tcPr>
            <w:tcW w:w="1135" w:type="dxa"/>
            <w:shd w:val="clear" w:color="auto" w:fill="C6EFCE"/>
            <w:noWrap/>
            <w:vAlign w:val="center"/>
            <w:hideMark/>
          </w:tcPr>
          <w:p w14:paraId="01C98D10" w14:textId="77777777" w:rsidR="00E42B18" w:rsidRDefault="009629C4">
            <w:pPr>
              <w:pStyle w:val="P68B1DB1-Normal12"/>
              <w:jc w:val="center"/>
              <w:rPr>
                <w:noProof/>
              </w:rPr>
            </w:pPr>
            <w:r>
              <w:rPr>
                <w:noProof/>
              </w:rPr>
              <w:t>Virstanpylväs</w:t>
            </w:r>
          </w:p>
        </w:tc>
        <w:tc>
          <w:tcPr>
            <w:tcW w:w="1814" w:type="dxa"/>
            <w:shd w:val="clear" w:color="auto" w:fill="C6EFCE"/>
            <w:noWrap/>
            <w:vAlign w:val="center"/>
          </w:tcPr>
          <w:p w14:paraId="2C356133" w14:textId="77777777" w:rsidR="00E42B18" w:rsidRDefault="009629C4">
            <w:pPr>
              <w:pStyle w:val="P68B1DB1-Normal12"/>
              <w:jc w:val="center"/>
              <w:rPr>
                <w:noProof/>
              </w:rPr>
            </w:pPr>
            <w:r>
              <w:rPr>
                <w:noProof/>
              </w:rPr>
              <w:t>Opiskelija-asuntoja koskevien nykyisten sääntöjen muuttamista koskevan lainsäädännön voimaantulo.</w:t>
            </w:r>
          </w:p>
        </w:tc>
        <w:tc>
          <w:tcPr>
            <w:tcW w:w="1578" w:type="dxa"/>
            <w:shd w:val="clear" w:color="auto" w:fill="C6EFCE"/>
            <w:noWrap/>
            <w:vAlign w:val="center"/>
            <w:hideMark/>
          </w:tcPr>
          <w:p w14:paraId="16DEB8D3" w14:textId="77777777" w:rsidR="00E42B18" w:rsidRDefault="009629C4">
            <w:pPr>
              <w:pStyle w:val="P68B1DB1-Normal12"/>
              <w:jc w:val="center"/>
              <w:rPr>
                <w:noProof/>
              </w:rPr>
            </w:pPr>
            <w:r>
              <w:rPr>
                <w:noProof/>
              </w:rPr>
              <w:t>Lain säännös, josta käy ilmi lainsäädännön voimaantulo.</w:t>
            </w:r>
          </w:p>
        </w:tc>
        <w:tc>
          <w:tcPr>
            <w:tcW w:w="1148" w:type="dxa"/>
            <w:shd w:val="clear" w:color="auto" w:fill="C6EFCE"/>
            <w:noWrap/>
            <w:vAlign w:val="center"/>
            <w:hideMark/>
          </w:tcPr>
          <w:p w14:paraId="79653238" w14:textId="77777777" w:rsidR="00E42B18" w:rsidRDefault="009629C4">
            <w:pPr>
              <w:pStyle w:val="P68B1DB1-Normal12"/>
              <w:jc w:val="center"/>
              <w:rPr>
                <w:noProof/>
              </w:rPr>
            </w:pPr>
            <w:r>
              <w:rPr>
                <w:noProof/>
              </w:rPr>
              <w:t>EI OLE</w:t>
            </w:r>
          </w:p>
        </w:tc>
        <w:tc>
          <w:tcPr>
            <w:tcW w:w="1133" w:type="dxa"/>
            <w:shd w:val="clear" w:color="auto" w:fill="C6EFCE"/>
            <w:noWrap/>
            <w:vAlign w:val="center"/>
          </w:tcPr>
          <w:p w14:paraId="3A4477B2" w14:textId="77777777" w:rsidR="00E42B18" w:rsidRDefault="009629C4">
            <w:pPr>
              <w:pStyle w:val="P68B1DB1-Normal12"/>
              <w:jc w:val="center"/>
              <w:rPr>
                <w:noProof/>
              </w:rPr>
            </w:pPr>
            <w:r>
              <w:rPr>
                <w:noProof/>
              </w:rPr>
              <w:t>EI OLE</w:t>
            </w:r>
          </w:p>
        </w:tc>
        <w:tc>
          <w:tcPr>
            <w:tcW w:w="848" w:type="dxa"/>
            <w:shd w:val="clear" w:color="auto" w:fill="C6EFCE"/>
            <w:noWrap/>
            <w:vAlign w:val="center"/>
          </w:tcPr>
          <w:p w14:paraId="6FB0AA1F" w14:textId="77777777" w:rsidR="00E42B18" w:rsidRDefault="009629C4">
            <w:pPr>
              <w:pStyle w:val="P68B1DB1-Normal12"/>
              <w:jc w:val="center"/>
              <w:rPr>
                <w:noProof/>
              </w:rPr>
            </w:pPr>
            <w:r>
              <w:rPr>
                <w:noProof/>
              </w:rPr>
              <w:t>EI OLE</w:t>
            </w:r>
          </w:p>
        </w:tc>
        <w:tc>
          <w:tcPr>
            <w:tcW w:w="900" w:type="dxa"/>
            <w:shd w:val="clear" w:color="auto" w:fill="C6EFCE"/>
            <w:noWrap/>
            <w:vAlign w:val="center"/>
            <w:hideMark/>
          </w:tcPr>
          <w:p w14:paraId="677B6BE2" w14:textId="77777777" w:rsidR="00E42B18" w:rsidRDefault="009629C4">
            <w:pPr>
              <w:pStyle w:val="P68B1DB1-Normal12"/>
              <w:jc w:val="center"/>
              <w:rPr>
                <w:noProof/>
              </w:rPr>
            </w:pPr>
            <w:r>
              <w:rPr>
                <w:noProof/>
              </w:rPr>
              <w:t>Q4</w:t>
            </w:r>
          </w:p>
        </w:tc>
        <w:tc>
          <w:tcPr>
            <w:tcW w:w="710" w:type="dxa"/>
            <w:shd w:val="clear" w:color="auto" w:fill="C6EFCE"/>
            <w:noWrap/>
            <w:vAlign w:val="center"/>
            <w:hideMark/>
          </w:tcPr>
          <w:p w14:paraId="04E6AA6D" w14:textId="77777777" w:rsidR="00E42B18" w:rsidRDefault="009629C4">
            <w:pPr>
              <w:pStyle w:val="P68B1DB1-Normal12"/>
              <w:jc w:val="center"/>
              <w:rPr>
                <w:noProof/>
              </w:rPr>
            </w:pPr>
            <w:r>
              <w:rPr>
                <w:noProof/>
              </w:rPr>
              <w:t>2021</w:t>
            </w:r>
          </w:p>
        </w:tc>
        <w:tc>
          <w:tcPr>
            <w:tcW w:w="3208" w:type="dxa"/>
            <w:shd w:val="clear" w:color="auto" w:fill="C6EFCE"/>
            <w:noWrap/>
            <w:vAlign w:val="center"/>
            <w:hideMark/>
          </w:tcPr>
          <w:p w14:paraId="3EA388AB" w14:textId="4F203132" w:rsidR="00E42B18" w:rsidRDefault="009629C4">
            <w:pPr>
              <w:rPr>
                <w:rFonts w:ascii="Arial Narrow" w:hAnsi="Arial Narrow"/>
                <w:noProof/>
                <w:color w:val="006100"/>
                <w:sz w:val="20"/>
                <w:szCs w:val="20"/>
              </w:rPr>
            </w:pPr>
            <w:r>
              <w:rPr>
                <w:rFonts w:ascii="Arial Narrow" w:hAnsi="Arial Narrow"/>
                <w:noProof/>
                <w:color w:val="006100"/>
                <w:sz w:val="20"/>
                <w:szCs w:val="20"/>
              </w:rPr>
              <w:t>Tarkistetussa lainsäädännössä on</w:t>
            </w:r>
            <w:r>
              <w:rPr>
                <w:rFonts w:ascii="Arial Narrow" w:hAnsi="Arial Narrow"/>
                <w:noProof/>
              </w:rPr>
              <w:t xml:space="preserve"> </w:t>
            </w:r>
            <w:r>
              <w:rPr>
                <w:noProof/>
              </w:rPr>
              <w:t xml:space="preserve"> </w:t>
            </w:r>
            <w:r>
              <w:rPr>
                <w:noProof/>
              </w:rPr>
              <w:br/>
            </w:r>
            <w:r>
              <w:rPr>
                <w:rFonts w:ascii="Arial Narrow" w:hAnsi="Arial Narrow"/>
                <w:noProof/>
                <w:color w:val="006100"/>
                <w:sz w:val="20"/>
                <w:szCs w:val="20"/>
              </w:rPr>
              <w:t>Muutetaan opiskelija-asuntoja koskevia nykyisiä sääntöjä (laki 338/2000 ja asetus 68/2012) seuraavasti:</w:t>
            </w:r>
          </w:p>
          <w:p w14:paraId="22BEEB07" w14:textId="77777777" w:rsidR="00E42B18" w:rsidRDefault="009629C4">
            <w:pPr>
              <w:pStyle w:val="P68B1DB1-Normal12"/>
              <w:rPr>
                <w:noProof/>
              </w:rPr>
            </w:pPr>
            <w:r>
              <w:rPr>
                <w:noProof/>
              </w:rPr>
              <w:t>(1). Rakenteiden rakenneuudistuksen ja perusparannuksen edistäminen uusien uusien uusien rakennusten sijaan (yhteisrakennusten osuus on suurempi, tällä hetkellä 50 prosenttia), ja ehdotetuilla hankkeilla on varmistettava tiukimmat ympäristövaatimukset;</w:t>
            </w:r>
          </w:p>
          <w:p w14:paraId="114B3C65" w14:textId="77777777" w:rsidR="00E42B18" w:rsidRDefault="009629C4">
            <w:pPr>
              <w:pStyle w:val="P68B1DB1-Normal12"/>
              <w:rPr>
                <w:noProof/>
              </w:rPr>
            </w:pPr>
            <w:r>
              <w:rPr>
                <w:noProof/>
              </w:rPr>
              <w:t>(2). Yksinkertaistamaan myös digitalisaation ansiosta hankkeiden esitystapaa ja valintaa ja siten myös täytäntöönpanon aikataulua;</w:t>
            </w:r>
          </w:p>
          <w:p w14:paraId="0E58A1CC" w14:textId="55E89F76" w:rsidR="00E42B18" w:rsidRDefault="009629C4">
            <w:pPr>
              <w:pStyle w:val="P68B1DB1-Normal12"/>
              <w:rPr>
                <w:noProof/>
              </w:rPr>
            </w:pPr>
            <w:r>
              <w:rPr>
                <w:noProof/>
              </w:rPr>
              <w:t>(3) Laissa säädetään poikkeuksesta laissa nro 338/2000 vahvistettuihin perusteisiin, jotka koskevat myönnettävän yhteisrahoituksen prosenttiosuutta.</w:t>
            </w:r>
          </w:p>
          <w:p w14:paraId="7943BDF0" w14:textId="77777777" w:rsidR="00E42B18" w:rsidRDefault="009629C4">
            <w:pPr>
              <w:pStyle w:val="P68B1DB1-Normal12"/>
              <w:rPr>
                <w:noProof/>
              </w:rPr>
            </w:pPr>
            <w:r>
              <w:rPr>
                <w:noProof/>
              </w:rPr>
              <w:t>Uudistus toteutetaan sisällyttämällä opiskelija-asuntoja koskevaan Italian sääntelykehykseen seuraavat merkittävät muutokset:</w:t>
            </w:r>
          </w:p>
          <w:p w14:paraId="36DA8E2F" w14:textId="77777777" w:rsidR="00E42B18" w:rsidRDefault="009629C4">
            <w:pPr>
              <w:pStyle w:val="P68B1DB1-Normal12"/>
              <w:rPr>
                <w:noProof/>
              </w:rPr>
            </w:pPr>
            <w:r>
              <w:rPr>
                <w:noProof/>
              </w:rPr>
              <w:t>1. Rahoitukseen osallistumisen avaaminen myös yksityisille sijoittajille (täytäntöönpanossa kuvatun järjestelmän mukaisesti), mikä mahdollistaa myös julkisen ja yksityisen sektorin kumppanuudet, joissa yliopisto hyödyntää saatavilla olevaa rahoitusta tukeakseen rahoitustasapainoa opiskelija-asuntoihin tehtävissä kiinteistöinvestoinneissa;</w:t>
            </w:r>
          </w:p>
          <w:p w14:paraId="798D6D6C" w14:textId="77777777" w:rsidR="00E42B18" w:rsidRDefault="009629C4">
            <w:pPr>
              <w:pStyle w:val="P68B1DB1-Normal12"/>
              <w:rPr>
                <w:noProof/>
              </w:rPr>
            </w:pPr>
            <w:r>
              <w:rPr>
                <w:noProof/>
              </w:rPr>
              <w:t>2. Yksityisten investointien pitkän aikavälin kestävyyden varmistaminen takaamalla verojärjestelmän muuttaminen hotellipalveluista sosiaaliseen asuntotuotantoon sovellettavasta järjestelmästä sosiaaliseen asuntotarjontaan sovellettavaan järjestelmään, rajoittamalla uusien asuntojen käyttöä opiskelija-asunnoissa akateemisen teemavuoden aikana mutta sallimalla rakenteiden käyttö silloin, kun niitä ei tarvita opiskelijoiden vieraanvaraisuuteen. Tämä puolestaan helpottaa uuden asuntotarjonnan tarjoamista kohtuuhintaan;g3. Asetetaan rahoituksen ja lisäverohelpotusten (esim. yhdenvertainen kohtelu sosiaalisen asuntotuotannon kanssa) ehdoksi uusien asuntojen käyttö opiskelija-asunnoissa koko investointihorisontin aikana ja se, että opiskelijoilta perittävien vuokrien sovittua ylärajaa noudatetaan myös sen jälkeen, kun erityiset rahoitusjärjestelmät ovat päättyneet ja edistän yksityisten toimijoiden investointeja; Opiskelijoiden asuntoja koskevien vaatimusten uudelleenmäärittely määrittelemällä uudelleen lainsäädännössä asetetut vaatimukset, jotka koskevat rakennuksissa käytettävissä olevaa opiskelijakohtaista yhteistä tilaa vastineeksi paremmista (yksittäisistä) huoneista.</w:t>
            </w:r>
          </w:p>
        </w:tc>
      </w:tr>
      <w:tr w:rsidR="00E42B18" w14:paraId="2AF0DBE6" w14:textId="77777777">
        <w:trPr>
          <w:trHeight w:val="300"/>
          <w:jc w:val="center"/>
        </w:trPr>
        <w:tc>
          <w:tcPr>
            <w:tcW w:w="1078" w:type="dxa"/>
            <w:shd w:val="clear" w:color="auto" w:fill="C6EFCE"/>
            <w:noWrap/>
            <w:vAlign w:val="center"/>
            <w:hideMark/>
          </w:tcPr>
          <w:p w14:paraId="76BC5C6E" w14:textId="77777777" w:rsidR="00E42B18" w:rsidRDefault="009629C4">
            <w:pPr>
              <w:pStyle w:val="P68B1DB1-Normal12"/>
              <w:jc w:val="center"/>
              <w:rPr>
                <w:noProof/>
              </w:rPr>
            </w:pPr>
            <w:r>
              <w:rPr>
                <w:noProof/>
              </w:rPr>
              <w:t>M4C1–28</w:t>
            </w:r>
          </w:p>
        </w:tc>
        <w:tc>
          <w:tcPr>
            <w:tcW w:w="1701" w:type="dxa"/>
            <w:shd w:val="clear" w:color="auto" w:fill="C6EFCE"/>
            <w:noWrap/>
            <w:vAlign w:val="center"/>
            <w:hideMark/>
          </w:tcPr>
          <w:p w14:paraId="3332CD6A" w14:textId="77777777" w:rsidR="00E42B18" w:rsidRDefault="009629C4">
            <w:pPr>
              <w:pStyle w:val="P68B1DB1-Normal12"/>
              <w:jc w:val="center"/>
              <w:rPr>
                <w:noProof/>
              </w:rPr>
            </w:pPr>
            <w:r>
              <w:rPr>
                <w:noProof/>
              </w:rPr>
              <w:t>Uudistus 1.7: Opiskelija-asuntoja koskevan sääntelyn uudistaminen ja investoinnit opiskelija-asumiseen</w:t>
            </w:r>
          </w:p>
        </w:tc>
        <w:tc>
          <w:tcPr>
            <w:tcW w:w="1135" w:type="dxa"/>
            <w:shd w:val="clear" w:color="auto" w:fill="C6EFCE"/>
            <w:noWrap/>
            <w:vAlign w:val="center"/>
            <w:hideMark/>
          </w:tcPr>
          <w:p w14:paraId="3EFF3340" w14:textId="77777777" w:rsidR="00E42B18" w:rsidRDefault="009629C4">
            <w:pPr>
              <w:pStyle w:val="P68B1DB1-Normal12"/>
              <w:jc w:val="center"/>
              <w:rPr>
                <w:noProof/>
              </w:rPr>
            </w:pPr>
            <w:r>
              <w:rPr>
                <w:noProof/>
              </w:rPr>
              <w:t>Virstanpylväs</w:t>
            </w:r>
          </w:p>
        </w:tc>
        <w:tc>
          <w:tcPr>
            <w:tcW w:w="1814" w:type="dxa"/>
            <w:shd w:val="clear" w:color="auto" w:fill="C6EFCE"/>
            <w:noWrap/>
            <w:vAlign w:val="center"/>
            <w:hideMark/>
          </w:tcPr>
          <w:p w14:paraId="5F5DECA0" w14:textId="758DD8C5" w:rsidR="00E42B18" w:rsidRDefault="009629C4">
            <w:pPr>
              <w:pStyle w:val="P68B1DB1-Normal12"/>
              <w:jc w:val="center"/>
              <w:rPr>
                <w:noProof/>
              </w:rPr>
            </w:pPr>
            <w:r>
              <w:rPr>
                <w:noProof/>
              </w:rPr>
              <w:t>Uusien majoitusyksiköiden (vuodepaikkojen) perustamista koskevien alustavien sopimusten tekeminen.</w:t>
            </w:r>
          </w:p>
        </w:tc>
        <w:tc>
          <w:tcPr>
            <w:tcW w:w="1578" w:type="dxa"/>
            <w:shd w:val="clear" w:color="auto" w:fill="C6EFCE"/>
            <w:noWrap/>
            <w:vAlign w:val="center"/>
            <w:hideMark/>
          </w:tcPr>
          <w:p w14:paraId="314B8FD1" w14:textId="77777777" w:rsidR="00E42B18" w:rsidRDefault="009629C4">
            <w:pPr>
              <w:pStyle w:val="P68B1DB1-Normal12"/>
              <w:jc w:val="center"/>
              <w:rPr>
                <w:noProof/>
              </w:rPr>
            </w:pPr>
            <w:r>
              <w:rPr>
                <w:noProof/>
              </w:rPr>
              <w:t xml:space="preserve"> Palkintojen julkaiseminen ministeriön verkkosivustolla</w:t>
            </w:r>
          </w:p>
        </w:tc>
        <w:tc>
          <w:tcPr>
            <w:tcW w:w="1148" w:type="dxa"/>
            <w:shd w:val="clear" w:color="auto" w:fill="C6EFCE"/>
            <w:noWrap/>
            <w:vAlign w:val="center"/>
            <w:hideMark/>
          </w:tcPr>
          <w:p w14:paraId="3AD908A9" w14:textId="77777777" w:rsidR="00E42B18" w:rsidRDefault="009629C4">
            <w:pPr>
              <w:pStyle w:val="P68B1DB1-Normal12"/>
              <w:jc w:val="center"/>
              <w:rPr>
                <w:noProof/>
              </w:rPr>
            </w:pPr>
            <w:r>
              <w:rPr>
                <w:noProof/>
              </w:rPr>
              <w:t>EI OLE</w:t>
            </w:r>
          </w:p>
        </w:tc>
        <w:tc>
          <w:tcPr>
            <w:tcW w:w="1133" w:type="dxa"/>
            <w:shd w:val="clear" w:color="auto" w:fill="C6EFCE"/>
            <w:noWrap/>
            <w:vAlign w:val="center"/>
            <w:hideMark/>
          </w:tcPr>
          <w:p w14:paraId="332E1D07" w14:textId="77777777" w:rsidR="00E42B18" w:rsidRDefault="009629C4">
            <w:pPr>
              <w:pStyle w:val="P68B1DB1-Normal12"/>
              <w:jc w:val="center"/>
              <w:rPr>
                <w:noProof/>
              </w:rPr>
            </w:pPr>
            <w:r>
              <w:rPr>
                <w:noProof/>
              </w:rPr>
              <w:t>EI OLE</w:t>
            </w:r>
          </w:p>
        </w:tc>
        <w:tc>
          <w:tcPr>
            <w:tcW w:w="848" w:type="dxa"/>
            <w:shd w:val="clear" w:color="auto" w:fill="C6EFCE"/>
            <w:noWrap/>
            <w:vAlign w:val="center"/>
            <w:hideMark/>
          </w:tcPr>
          <w:p w14:paraId="0B1C6306" w14:textId="77777777" w:rsidR="00E42B18" w:rsidRDefault="009629C4">
            <w:pPr>
              <w:pStyle w:val="P68B1DB1-Normal12"/>
              <w:jc w:val="center"/>
              <w:rPr>
                <w:noProof/>
              </w:rPr>
            </w:pPr>
            <w:r>
              <w:rPr>
                <w:noProof/>
              </w:rPr>
              <w:t>EI OLE</w:t>
            </w:r>
          </w:p>
        </w:tc>
        <w:tc>
          <w:tcPr>
            <w:tcW w:w="900" w:type="dxa"/>
            <w:shd w:val="clear" w:color="auto" w:fill="C6EFCE"/>
            <w:noWrap/>
            <w:vAlign w:val="center"/>
            <w:hideMark/>
          </w:tcPr>
          <w:p w14:paraId="5B0F899C" w14:textId="77777777" w:rsidR="00E42B18" w:rsidRDefault="009629C4">
            <w:pPr>
              <w:pStyle w:val="P68B1DB1-Normal12"/>
              <w:jc w:val="center"/>
              <w:rPr>
                <w:noProof/>
              </w:rPr>
            </w:pPr>
            <w:r>
              <w:rPr>
                <w:noProof/>
              </w:rPr>
              <w:t>Q2</w:t>
            </w:r>
          </w:p>
        </w:tc>
        <w:tc>
          <w:tcPr>
            <w:tcW w:w="710" w:type="dxa"/>
            <w:shd w:val="clear" w:color="auto" w:fill="C6EFCE"/>
            <w:noWrap/>
            <w:vAlign w:val="center"/>
            <w:hideMark/>
          </w:tcPr>
          <w:p w14:paraId="7E1F1ADB" w14:textId="77777777" w:rsidR="00E42B18" w:rsidRDefault="009629C4">
            <w:pPr>
              <w:pStyle w:val="P68B1DB1-Normal12"/>
              <w:jc w:val="center"/>
              <w:rPr>
                <w:noProof/>
              </w:rPr>
            </w:pPr>
            <w:r>
              <w:rPr>
                <w:noProof/>
              </w:rPr>
              <w:t>2023</w:t>
            </w:r>
          </w:p>
        </w:tc>
        <w:tc>
          <w:tcPr>
            <w:tcW w:w="3208" w:type="dxa"/>
            <w:shd w:val="clear" w:color="auto" w:fill="C6EFCE"/>
            <w:noWrap/>
            <w:vAlign w:val="center"/>
            <w:hideMark/>
          </w:tcPr>
          <w:p w14:paraId="0A564710" w14:textId="77777777" w:rsidR="00E42B18" w:rsidRDefault="009629C4">
            <w:pPr>
              <w:pStyle w:val="P68B1DB1-Normal12"/>
              <w:rPr>
                <w:noProof/>
              </w:rPr>
            </w:pPr>
            <w:r>
              <w:rPr>
                <w:noProof/>
              </w:rPr>
              <w:t>Alkuperäisten sopimusten tekeminen uusien yöpymistilojen (vuoteiden) perustamiseksi”;</w:t>
            </w:r>
          </w:p>
        </w:tc>
      </w:tr>
      <w:tr w:rsidR="00E42B18" w14:paraId="1FF45BCD" w14:textId="77777777">
        <w:trPr>
          <w:trHeight w:val="300"/>
          <w:jc w:val="center"/>
        </w:trPr>
        <w:tc>
          <w:tcPr>
            <w:tcW w:w="1078" w:type="dxa"/>
            <w:shd w:val="clear" w:color="auto" w:fill="C6EFCE"/>
            <w:noWrap/>
            <w:vAlign w:val="center"/>
            <w:hideMark/>
          </w:tcPr>
          <w:p w14:paraId="7530CB09" w14:textId="77777777" w:rsidR="00E42B18" w:rsidRDefault="009629C4">
            <w:pPr>
              <w:pStyle w:val="P68B1DB1-Normal12"/>
              <w:jc w:val="center"/>
              <w:rPr>
                <w:noProof/>
              </w:rPr>
            </w:pPr>
            <w:r>
              <w:rPr>
                <w:noProof/>
              </w:rPr>
              <w:t>M4C1–29</w:t>
            </w:r>
          </w:p>
        </w:tc>
        <w:tc>
          <w:tcPr>
            <w:tcW w:w="1701" w:type="dxa"/>
            <w:shd w:val="clear" w:color="auto" w:fill="C6EFCE"/>
            <w:noWrap/>
            <w:vAlign w:val="center"/>
            <w:hideMark/>
          </w:tcPr>
          <w:p w14:paraId="6BEA1938" w14:textId="77777777" w:rsidR="00E42B18" w:rsidRDefault="009629C4">
            <w:pPr>
              <w:pStyle w:val="P68B1DB1-Normal12"/>
              <w:jc w:val="center"/>
              <w:rPr>
                <w:noProof/>
              </w:rPr>
            </w:pPr>
            <w:r>
              <w:rPr>
                <w:noProof/>
              </w:rPr>
              <w:t>Uudistus 1.7: Opiskelija-asuntoja koskevan sääntelyn uudistaminen ja investoinnit opiskelija-asumiseen</w:t>
            </w:r>
          </w:p>
        </w:tc>
        <w:tc>
          <w:tcPr>
            <w:tcW w:w="1135" w:type="dxa"/>
            <w:shd w:val="clear" w:color="auto" w:fill="C6EFCE"/>
            <w:noWrap/>
            <w:vAlign w:val="center"/>
            <w:hideMark/>
          </w:tcPr>
          <w:p w14:paraId="0ED66A6A" w14:textId="77777777" w:rsidR="00E42B18" w:rsidRDefault="009629C4">
            <w:pPr>
              <w:pStyle w:val="P68B1DB1-Normal12"/>
              <w:jc w:val="center"/>
              <w:rPr>
                <w:noProof/>
              </w:rPr>
            </w:pPr>
            <w:r>
              <w:rPr>
                <w:noProof/>
              </w:rPr>
              <w:t>Virstanpylväs</w:t>
            </w:r>
          </w:p>
        </w:tc>
        <w:tc>
          <w:tcPr>
            <w:tcW w:w="1814" w:type="dxa"/>
            <w:shd w:val="clear" w:color="auto" w:fill="C6EFCE"/>
            <w:noWrap/>
            <w:vAlign w:val="center"/>
            <w:hideMark/>
          </w:tcPr>
          <w:p w14:paraId="52BD1BBB" w14:textId="77777777" w:rsidR="00E42B18" w:rsidRDefault="009629C4">
            <w:pPr>
              <w:pStyle w:val="P68B1DB1-Normal12"/>
              <w:jc w:val="center"/>
              <w:rPr>
                <w:noProof/>
              </w:rPr>
            </w:pPr>
            <w:r>
              <w:rPr>
                <w:noProof/>
              </w:rPr>
              <w:t>Opiskelija-asuntoja koskevan lainsäädännön uudistus tulee voimaan.</w:t>
            </w:r>
          </w:p>
        </w:tc>
        <w:tc>
          <w:tcPr>
            <w:tcW w:w="1578" w:type="dxa"/>
            <w:shd w:val="clear" w:color="auto" w:fill="C6EFCE"/>
            <w:noWrap/>
            <w:vAlign w:val="center"/>
            <w:hideMark/>
          </w:tcPr>
          <w:p w14:paraId="3BDDA9C1" w14:textId="77777777" w:rsidR="00E42B18" w:rsidRDefault="009629C4">
            <w:pPr>
              <w:pStyle w:val="P68B1DB1-Normal12"/>
              <w:jc w:val="center"/>
              <w:rPr>
                <w:noProof/>
              </w:rPr>
            </w:pPr>
            <w:r>
              <w:rPr>
                <w:noProof/>
              </w:rPr>
              <w:t>Lakiin sisältyvä säännös, joka koskee uudistuksen voimaantuloa.</w:t>
            </w:r>
          </w:p>
        </w:tc>
        <w:tc>
          <w:tcPr>
            <w:tcW w:w="1148" w:type="dxa"/>
            <w:shd w:val="clear" w:color="auto" w:fill="C6EFCE"/>
            <w:noWrap/>
            <w:vAlign w:val="center"/>
            <w:hideMark/>
          </w:tcPr>
          <w:p w14:paraId="41C61C44" w14:textId="77777777" w:rsidR="00E42B18" w:rsidRDefault="009629C4">
            <w:pPr>
              <w:pStyle w:val="P68B1DB1-Normal12"/>
              <w:jc w:val="center"/>
              <w:rPr>
                <w:noProof/>
              </w:rPr>
            </w:pPr>
            <w:r>
              <w:rPr>
                <w:noProof/>
              </w:rPr>
              <w:t>EI OLE</w:t>
            </w:r>
          </w:p>
        </w:tc>
        <w:tc>
          <w:tcPr>
            <w:tcW w:w="1133" w:type="dxa"/>
            <w:shd w:val="clear" w:color="auto" w:fill="C6EFCE"/>
            <w:noWrap/>
            <w:vAlign w:val="center"/>
            <w:hideMark/>
          </w:tcPr>
          <w:p w14:paraId="68373DA9" w14:textId="77777777" w:rsidR="00E42B18" w:rsidRDefault="009629C4">
            <w:pPr>
              <w:pStyle w:val="P68B1DB1-Normal12"/>
              <w:jc w:val="center"/>
              <w:rPr>
                <w:noProof/>
              </w:rPr>
            </w:pPr>
            <w:r>
              <w:rPr>
                <w:noProof/>
              </w:rPr>
              <w:t>EI OLE</w:t>
            </w:r>
          </w:p>
        </w:tc>
        <w:tc>
          <w:tcPr>
            <w:tcW w:w="848" w:type="dxa"/>
            <w:shd w:val="clear" w:color="auto" w:fill="C6EFCE"/>
            <w:noWrap/>
            <w:vAlign w:val="center"/>
            <w:hideMark/>
          </w:tcPr>
          <w:p w14:paraId="2A4557E2" w14:textId="77777777" w:rsidR="00E42B18" w:rsidRDefault="009629C4">
            <w:pPr>
              <w:pStyle w:val="P68B1DB1-Normal12"/>
              <w:jc w:val="center"/>
              <w:rPr>
                <w:noProof/>
              </w:rPr>
            </w:pPr>
            <w:r>
              <w:rPr>
                <w:noProof/>
              </w:rPr>
              <w:t>EI OLE</w:t>
            </w:r>
          </w:p>
        </w:tc>
        <w:tc>
          <w:tcPr>
            <w:tcW w:w="900" w:type="dxa"/>
            <w:shd w:val="clear" w:color="auto" w:fill="C6EFCE"/>
            <w:noWrap/>
            <w:vAlign w:val="center"/>
            <w:hideMark/>
          </w:tcPr>
          <w:p w14:paraId="41494AA0" w14:textId="77777777" w:rsidR="00E42B18" w:rsidRDefault="009629C4">
            <w:pPr>
              <w:pStyle w:val="P68B1DB1-Normal12"/>
              <w:jc w:val="center"/>
              <w:rPr>
                <w:noProof/>
              </w:rPr>
            </w:pPr>
            <w:r>
              <w:rPr>
                <w:noProof/>
              </w:rPr>
              <w:t>Q4</w:t>
            </w:r>
          </w:p>
        </w:tc>
        <w:tc>
          <w:tcPr>
            <w:tcW w:w="710" w:type="dxa"/>
            <w:shd w:val="clear" w:color="auto" w:fill="C6EFCE"/>
            <w:noWrap/>
            <w:vAlign w:val="center"/>
            <w:hideMark/>
          </w:tcPr>
          <w:p w14:paraId="33C0A794" w14:textId="77777777" w:rsidR="00E42B18" w:rsidRDefault="009629C4">
            <w:pPr>
              <w:pStyle w:val="P68B1DB1-Normal12"/>
              <w:jc w:val="center"/>
              <w:rPr>
                <w:noProof/>
              </w:rPr>
            </w:pPr>
            <w:r>
              <w:rPr>
                <w:noProof/>
              </w:rPr>
              <w:t>2022</w:t>
            </w:r>
          </w:p>
        </w:tc>
        <w:tc>
          <w:tcPr>
            <w:tcW w:w="3208" w:type="dxa"/>
            <w:shd w:val="clear" w:color="auto" w:fill="C6EFCE"/>
            <w:noWrap/>
            <w:vAlign w:val="center"/>
            <w:hideMark/>
          </w:tcPr>
          <w:p w14:paraId="00E9AF3D" w14:textId="77777777" w:rsidR="00E42B18" w:rsidRDefault="009629C4">
            <w:pPr>
              <w:pStyle w:val="P68B1DB1-Normal12"/>
              <w:rPr>
                <w:noProof/>
              </w:rPr>
            </w:pPr>
            <w:r>
              <w:rPr>
                <w:noProof/>
              </w:rPr>
              <w:t>Uudistukseen on sisällyttävä: 1) Rahoitusosuuden avaaminen myös yksityisille sijoittajille, mikä mahdollistaa myös julkisen ja yksityisen sektorin kumppanuudet, joissa yliopisto hyödyntää saatavilla olevaa rahoitusta tukeakseen opiskelija-asuntoihin tehtävien kiinteistöinvestointien taloudellista tasapainoa; (2). Varmistetaan yksityisten investointien kestävyys pitkällä aikavälillä takaamalla verojärjestelmän muuttaminen hotellipalveluista sosiaaliseen asuntotuotantoon sovellettavasta järjestelmästä sosiaaliseen asuntotarjontaan sovellettavaan järjestelmään, rajoittamalla uusien asuntojen käyttöä opiskelija-asunnoissa akateemisen teemavuoden aikana mutta sallimalla rakenteiden käyttö silloin, kun niitä ei tarvita opiskelijoiden vieraanvaraisuuteen; (3). Asetetaan rahoituksen ja lisäverohelpotusten (kuten yhdenvertainen kohtelu sosiaalisen asuntotuotannon kanssa) ehdoksi uusien asuntojen käyttö opiskelija-asunnoissa koko investointihorisontin aikana ja opiskelijoilta perittävien vuokrien sovitun ylärajan noudattaminen myös sen jälkeen, kun erityiset rahoitusjärjestelmät ovat päättyneet ja edistän osaltaan yksityisten toimijoiden investointeja; (4). Opiskelijoiden asuntoja koskevien vaatimusten uudelleenmäärittely määrittelemällä uudelleen lainsäädännössä asetetut vaatimukset, jotka koskevat rakennuksissa käytettävissä olevaa opiskelijakohtaista yhteistä tilaa vastineeksi paremmista (yksittäisistä) huoneista.</w:t>
            </w:r>
          </w:p>
        </w:tc>
      </w:tr>
      <w:tr w:rsidR="00E42B18" w14:paraId="4C7B596B" w14:textId="77777777">
        <w:trPr>
          <w:trHeight w:val="300"/>
          <w:jc w:val="center"/>
        </w:trPr>
        <w:tc>
          <w:tcPr>
            <w:tcW w:w="1078" w:type="dxa"/>
            <w:shd w:val="clear" w:color="auto" w:fill="C6EFCE"/>
            <w:noWrap/>
            <w:vAlign w:val="center"/>
            <w:hideMark/>
          </w:tcPr>
          <w:p w14:paraId="7C729A7E" w14:textId="77777777" w:rsidR="00E42B18" w:rsidRDefault="009629C4">
            <w:pPr>
              <w:pStyle w:val="P68B1DB1-Normal12"/>
              <w:jc w:val="center"/>
              <w:rPr>
                <w:noProof/>
              </w:rPr>
            </w:pPr>
            <w:r>
              <w:rPr>
                <w:noProof/>
              </w:rPr>
              <w:t>M4C1–30</w:t>
            </w:r>
          </w:p>
        </w:tc>
        <w:tc>
          <w:tcPr>
            <w:tcW w:w="1701" w:type="dxa"/>
            <w:shd w:val="clear" w:color="auto" w:fill="C6EFCE"/>
            <w:noWrap/>
            <w:vAlign w:val="center"/>
            <w:hideMark/>
          </w:tcPr>
          <w:p w14:paraId="539DC301" w14:textId="77777777" w:rsidR="00E42B18" w:rsidRDefault="009629C4">
            <w:pPr>
              <w:pStyle w:val="P68B1DB1-Normal12"/>
              <w:jc w:val="center"/>
              <w:rPr>
                <w:noProof/>
              </w:rPr>
            </w:pPr>
            <w:r>
              <w:rPr>
                <w:noProof/>
              </w:rPr>
              <w:t>Uudistus 1.7: Opiskelija-asuntoja koskevan sääntelyn uudistaminen ja investoinnit opiskelija-asumiseen</w:t>
            </w:r>
          </w:p>
        </w:tc>
        <w:tc>
          <w:tcPr>
            <w:tcW w:w="1135" w:type="dxa"/>
            <w:shd w:val="clear" w:color="auto" w:fill="C6EFCE"/>
            <w:noWrap/>
            <w:vAlign w:val="center"/>
            <w:hideMark/>
          </w:tcPr>
          <w:p w14:paraId="664EDCE5" w14:textId="77777777" w:rsidR="00E42B18" w:rsidRDefault="009629C4">
            <w:pPr>
              <w:pStyle w:val="P68B1DB1-Normal12"/>
              <w:jc w:val="center"/>
              <w:rPr>
                <w:noProof/>
              </w:rPr>
            </w:pPr>
            <w:r>
              <w:rPr>
                <w:noProof/>
              </w:rPr>
              <w:t>Kohde</w:t>
            </w:r>
          </w:p>
        </w:tc>
        <w:tc>
          <w:tcPr>
            <w:tcW w:w="1814" w:type="dxa"/>
            <w:shd w:val="clear" w:color="auto" w:fill="C6EFCE"/>
            <w:noWrap/>
            <w:vAlign w:val="center"/>
            <w:hideMark/>
          </w:tcPr>
          <w:p w14:paraId="7A7D2DBB" w14:textId="77777777" w:rsidR="00E42B18" w:rsidRDefault="009629C4">
            <w:pPr>
              <w:pStyle w:val="P68B1DB1-Normal12"/>
              <w:jc w:val="center"/>
              <w:rPr>
                <w:noProof/>
              </w:rPr>
            </w:pPr>
            <w:r>
              <w:rPr>
                <w:noProof/>
              </w:rPr>
              <w:t xml:space="preserve">Opiskelijoiden yöpymistilat on perustettu </w:t>
            </w:r>
          </w:p>
        </w:tc>
        <w:tc>
          <w:tcPr>
            <w:tcW w:w="1578" w:type="dxa"/>
            <w:shd w:val="clear" w:color="auto" w:fill="C6EFCE"/>
            <w:noWrap/>
            <w:vAlign w:val="center"/>
            <w:hideMark/>
          </w:tcPr>
          <w:p w14:paraId="2F505865" w14:textId="77777777" w:rsidR="00E42B18" w:rsidRDefault="009629C4">
            <w:pPr>
              <w:pStyle w:val="P68B1DB1-Normal12"/>
              <w:jc w:val="center"/>
              <w:rPr>
                <w:noProof/>
              </w:rPr>
            </w:pPr>
            <w:r>
              <w:rPr>
                <w:noProof/>
              </w:rPr>
              <w:t>EI OLE</w:t>
            </w:r>
          </w:p>
        </w:tc>
        <w:tc>
          <w:tcPr>
            <w:tcW w:w="1148" w:type="dxa"/>
            <w:shd w:val="clear" w:color="auto" w:fill="C6EFCE"/>
            <w:noWrap/>
            <w:vAlign w:val="center"/>
            <w:hideMark/>
          </w:tcPr>
          <w:p w14:paraId="385BDF1A" w14:textId="77777777" w:rsidR="00E42B18" w:rsidRDefault="009629C4">
            <w:pPr>
              <w:pStyle w:val="P68B1DB1-Normal12"/>
              <w:jc w:val="center"/>
              <w:rPr>
                <w:noProof/>
              </w:rPr>
            </w:pPr>
            <w:r>
              <w:rPr>
                <w:noProof/>
              </w:rPr>
              <w:t>Numero</w:t>
            </w:r>
          </w:p>
        </w:tc>
        <w:tc>
          <w:tcPr>
            <w:tcW w:w="1133" w:type="dxa"/>
            <w:shd w:val="clear" w:color="auto" w:fill="C6EFCE"/>
            <w:noWrap/>
            <w:vAlign w:val="center"/>
            <w:hideMark/>
          </w:tcPr>
          <w:p w14:paraId="378ABC11" w14:textId="77777777" w:rsidR="00E42B18" w:rsidRDefault="009629C4">
            <w:pPr>
              <w:pStyle w:val="P68B1DB1-Normal12"/>
              <w:jc w:val="center"/>
              <w:rPr>
                <w:noProof/>
              </w:rPr>
            </w:pPr>
            <w:r>
              <w:rPr>
                <w:noProof/>
              </w:rPr>
              <w:t>0</w:t>
            </w:r>
          </w:p>
        </w:tc>
        <w:tc>
          <w:tcPr>
            <w:tcW w:w="848" w:type="dxa"/>
            <w:shd w:val="clear" w:color="auto" w:fill="C6EFCE"/>
            <w:noWrap/>
            <w:vAlign w:val="center"/>
            <w:hideMark/>
          </w:tcPr>
          <w:p w14:paraId="605DA6EC"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szCs w:val="20"/>
              </w:rPr>
              <w:t>30</w:t>
            </w:r>
            <w:r>
              <w:rPr>
                <w:rFonts w:hint="eastAsia"/>
                <w:noProof/>
                <w:sz w:val="23"/>
                <w:szCs w:val="23"/>
              </w:rPr>
              <w:t xml:space="preserve"> </w:t>
            </w:r>
            <w:r>
              <w:rPr>
                <w:rFonts w:ascii="Arial Narrow" w:hAnsi="Arial Narrow"/>
                <w:noProof/>
                <w:color w:val="006100"/>
                <w:sz w:val="20"/>
                <w:szCs w:val="20"/>
              </w:rPr>
              <w:t>000</w:t>
            </w:r>
          </w:p>
        </w:tc>
        <w:tc>
          <w:tcPr>
            <w:tcW w:w="900" w:type="dxa"/>
            <w:shd w:val="clear" w:color="auto" w:fill="C6EFCE"/>
            <w:noWrap/>
            <w:vAlign w:val="center"/>
            <w:hideMark/>
          </w:tcPr>
          <w:p w14:paraId="03D9A845" w14:textId="77777777" w:rsidR="00E42B18" w:rsidRDefault="009629C4">
            <w:pPr>
              <w:pStyle w:val="P68B1DB1-Normal12"/>
              <w:jc w:val="center"/>
              <w:rPr>
                <w:noProof/>
              </w:rPr>
            </w:pPr>
            <w:r>
              <w:rPr>
                <w:noProof/>
              </w:rPr>
              <w:t>Q2</w:t>
            </w:r>
          </w:p>
        </w:tc>
        <w:tc>
          <w:tcPr>
            <w:tcW w:w="710" w:type="dxa"/>
            <w:shd w:val="clear" w:color="auto" w:fill="C6EFCE"/>
            <w:noWrap/>
            <w:vAlign w:val="center"/>
            <w:hideMark/>
          </w:tcPr>
          <w:p w14:paraId="50190E32" w14:textId="77777777" w:rsidR="00E42B18" w:rsidRDefault="009629C4">
            <w:pPr>
              <w:pStyle w:val="P68B1DB1-Normal12"/>
              <w:jc w:val="center"/>
              <w:rPr>
                <w:noProof/>
              </w:rPr>
            </w:pPr>
            <w:r>
              <w:rPr>
                <w:noProof/>
              </w:rPr>
              <w:t>2026</w:t>
            </w:r>
          </w:p>
        </w:tc>
        <w:tc>
          <w:tcPr>
            <w:tcW w:w="3208" w:type="dxa"/>
            <w:shd w:val="clear" w:color="auto" w:fill="C6EFCE"/>
            <w:noWrap/>
            <w:vAlign w:val="center"/>
            <w:hideMark/>
          </w:tcPr>
          <w:p w14:paraId="6C4277AB" w14:textId="210C1F76" w:rsidR="00E42B18" w:rsidRDefault="009629C4">
            <w:pPr>
              <w:pStyle w:val="paragraph"/>
              <w:spacing w:before="0" w:beforeAutospacing="0" w:after="0" w:afterAutospacing="0"/>
              <w:textAlignment w:val="baseline"/>
              <w:rPr>
                <w:rStyle w:val="normaltextrun"/>
                <w:rFonts w:ascii="Arial Narrow" w:hAnsi="Arial Narrow"/>
                <w:noProof/>
                <w:color w:val="006100"/>
                <w:sz w:val="20"/>
                <w:szCs w:val="20"/>
              </w:rPr>
            </w:pPr>
            <w:r>
              <w:rPr>
                <w:rStyle w:val="normaltextrun"/>
                <w:rFonts w:ascii="Arial Narrow" w:hAnsi="Arial Narrow"/>
                <w:noProof/>
                <w:color w:val="006100"/>
                <w:sz w:val="20"/>
                <w:szCs w:val="20"/>
              </w:rPr>
              <w:t xml:space="preserve">Todistus töiden valmistumisesta on annettava vähintään 30000 vastaperustetulle yöpymistilalle. </w:t>
            </w:r>
          </w:p>
          <w:p w14:paraId="4CF5BD5A" w14:textId="77777777" w:rsidR="00E42B18" w:rsidRDefault="00E42B18">
            <w:pPr>
              <w:pStyle w:val="paragraph"/>
              <w:spacing w:before="0" w:beforeAutospacing="0" w:after="0" w:afterAutospacing="0"/>
              <w:rPr>
                <w:rStyle w:val="normaltextrun"/>
                <w:rFonts w:ascii="Arial Narrow" w:hAnsi="Arial Narrow"/>
                <w:noProof/>
                <w:color w:val="006100"/>
                <w:sz w:val="20"/>
                <w:szCs w:val="20"/>
              </w:rPr>
            </w:pPr>
          </w:p>
          <w:p w14:paraId="39B473A6" w14:textId="110B13CB" w:rsidR="00E42B18" w:rsidRDefault="009629C4">
            <w:pPr>
              <w:pStyle w:val="paragraph"/>
              <w:spacing w:before="0" w:beforeAutospacing="0" w:after="0" w:afterAutospacing="0"/>
              <w:textAlignment w:val="baseline"/>
              <w:rPr>
                <w:rStyle w:val="normaltextrun"/>
                <w:rFonts w:ascii="Arial Narrow" w:hAnsi="Arial Narrow" w:cs="Segoe UI"/>
                <w:noProof/>
                <w:sz w:val="20"/>
                <w:szCs w:val="20"/>
              </w:rPr>
            </w:pPr>
            <w:r>
              <w:rPr>
                <w:rStyle w:val="normaltextrun"/>
                <w:rFonts w:ascii="Arial Narrow" w:hAnsi="Arial Narrow"/>
                <w:noProof/>
                <w:color w:val="006100"/>
                <w:sz w:val="20"/>
                <w:szCs w:val="20"/>
              </w:rPr>
              <w:t xml:space="preserve">Opiskelija-asunnoissa käytettyjä majoitustiloja ei voida ottaa huomioon hankkeen käynnistämisajankohtana.    </w:t>
            </w:r>
          </w:p>
          <w:p w14:paraId="5AC57501" w14:textId="77777777" w:rsidR="00E42B18" w:rsidRDefault="00E42B18">
            <w:pPr>
              <w:pStyle w:val="paragraph"/>
              <w:spacing w:before="0" w:beforeAutospacing="0" w:after="0" w:afterAutospacing="0"/>
              <w:textAlignment w:val="baseline"/>
              <w:rPr>
                <w:rStyle w:val="normaltextrun"/>
                <w:rFonts w:ascii="Arial Narrow" w:hAnsi="Arial Narrow"/>
                <w:noProof/>
                <w:color w:val="006100"/>
                <w:sz w:val="20"/>
                <w:szCs w:val="20"/>
              </w:rPr>
            </w:pPr>
          </w:p>
          <w:p w14:paraId="64268F10" w14:textId="4C43AA36" w:rsidR="00E42B18" w:rsidRDefault="009629C4">
            <w:pPr>
              <w:pStyle w:val="paragraph"/>
              <w:spacing w:before="0" w:beforeAutospacing="0" w:after="0" w:afterAutospacing="0"/>
              <w:textAlignment w:val="baseline"/>
              <w:rPr>
                <w:rStyle w:val="normaltextrun"/>
                <w:rFonts w:ascii="Arial Narrow" w:hAnsi="Arial Narrow"/>
                <w:noProof/>
                <w:color w:val="006100"/>
                <w:sz w:val="20"/>
                <w:szCs w:val="20"/>
              </w:rPr>
            </w:pPr>
            <w:r>
              <w:rPr>
                <w:rStyle w:val="normaltextrun"/>
                <w:rFonts w:ascii="Arial Narrow" w:hAnsi="Arial Narrow"/>
                <w:noProof/>
                <w:color w:val="006100"/>
                <w:sz w:val="20"/>
                <w:szCs w:val="20"/>
              </w:rPr>
              <w:t>Vuoden 2024 ehdotuspyynnössä edellytetään, että 30 prosenttia uusista paikoista varataan opiskelijoille, joilla on sosioekonomisia vaikeuksia, kuten Diritto allo Studio -organisaatiot ovat määritelleet (</w:t>
            </w:r>
            <w:r>
              <w:rPr>
                <w:rStyle w:val="normaltextrun"/>
                <w:rFonts w:ascii="Arial Narrow" w:hAnsi="Arial Narrow"/>
                <w:i/>
                <w:noProof/>
                <w:color w:val="006100"/>
                <w:sz w:val="20"/>
                <w:szCs w:val="20"/>
              </w:rPr>
              <w:t>oikeus opinto-organisaatioihin</w:t>
            </w:r>
            <w:r>
              <w:rPr>
                <w:rStyle w:val="normaltextrun"/>
                <w:rFonts w:ascii="Arial Narrow" w:hAnsi="Arial Narrow"/>
                <w:noProof/>
                <w:color w:val="006100"/>
                <w:sz w:val="20"/>
                <w:szCs w:val="20"/>
              </w:rPr>
              <w:t xml:space="preserve">). Tässä ehdotuspyynnössä on myös edellytettävä, että yliopisto-opiskelijoiden vuokran on oltava vähintään 15 prosenttia alempi kuin paikalliset markkinahinnat. </w:t>
            </w:r>
          </w:p>
          <w:p w14:paraId="364B41A3" w14:textId="77777777" w:rsidR="00E42B18" w:rsidRDefault="00E42B18">
            <w:pPr>
              <w:pStyle w:val="paragraph"/>
              <w:spacing w:before="0" w:beforeAutospacing="0" w:after="0" w:afterAutospacing="0"/>
              <w:textAlignment w:val="baseline"/>
              <w:rPr>
                <w:rStyle w:val="normaltextrun"/>
                <w:rFonts w:ascii="Arial Narrow" w:hAnsi="Arial Narrow"/>
                <w:noProof/>
                <w:color w:val="006100"/>
                <w:sz w:val="20"/>
                <w:szCs w:val="20"/>
              </w:rPr>
            </w:pPr>
          </w:p>
          <w:p w14:paraId="2FE05721" w14:textId="5D6FED23" w:rsidR="00E42B18" w:rsidRDefault="009629C4">
            <w:pPr>
              <w:pStyle w:val="paragraph"/>
              <w:spacing w:before="0" w:beforeAutospacing="0" w:after="0" w:afterAutospacing="0"/>
              <w:textAlignment w:val="baseline"/>
              <w:rPr>
                <w:rFonts w:ascii="Arial Narrow" w:hAnsi="Arial Narrow" w:cs="Segoe UI"/>
                <w:noProof/>
                <w:sz w:val="20"/>
                <w:szCs w:val="20"/>
              </w:rPr>
            </w:pPr>
            <w:r>
              <w:rPr>
                <w:rStyle w:val="normaltextrun"/>
                <w:rFonts w:ascii="Arial Narrow" w:eastAsia="MS Mincho" w:hAnsi="Arial Narrow" w:cs="Arial"/>
                <w:noProof/>
                <w:color w:val="006100"/>
                <w:sz w:val="20"/>
                <w:szCs w:val="20"/>
              </w:rPr>
              <w:t>Investointi ei kata maakaasukattiloiden hankintaa.</w:t>
            </w:r>
          </w:p>
        </w:tc>
      </w:tr>
      <w:tr w:rsidR="00E42B18" w14:paraId="3771C4B9" w14:textId="77777777">
        <w:trPr>
          <w:trHeight w:val="300"/>
          <w:jc w:val="center"/>
        </w:trPr>
        <w:tc>
          <w:tcPr>
            <w:tcW w:w="1078" w:type="dxa"/>
            <w:shd w:val="clear" w:color="auto" w:fill="C6EFCE"/>
            <w:noWrap/>
          </w:tcPr>
          <w:p w14:paraId="33222A39" w14:textId="77777777" w:rsidR="00E42B18" w:rsidRDefault="009629C4">
            <w:pPr>
              <w:pStyle w:val="P68B1DB1-Normal12"/>
              <w:jc w:val="center"/>
              <w:rPr>
                <w:noProof/>
              </w:rPr>
            </w:pPr>
            <w:r>
              <w:rPr>
                <w:noProof/>
              </w:rPr>
              <w:t>M4C1–31</w:t>
            </w:r>
          </w:p>
        </w:tc>
        <w:tc>
          <w:tcPr>
            <w:tcW w:w="1701" w:type="dxa"/>
            <w:shd w:val="clear" w:color="auto" w:fill="C6EFCE"/>
            <w:noWrap/>
          </w:tcPr>
          <w:p w14:paraId="40BAAA11" w14:textId="77777777" w:rsidR="00E42B18" w:rsidRDefault="009629C4">
            <w:pPr>
              <w:pStyle w:val="P68B1DB1-Normal12"/>
              <w:jc w:val="center"/>
              <w:rPr>
                <w:noProof/>
              </w:rPr>
            </w:pPr>
            <w:r>
              <w:rPr>
                <w:noProof/>
              </w:rPr>
              <w:t>Investointi 5: Opiskelijoiden asuntorahasto</w:t>
            </w:r>
          </w:p>
        </w:tc>
        <w:tc>
          <w:tcPr>
            <w:tcW w:w="1135" w:type="dxa"/>
            <w:shd w:val="clear" w:color="auto" w:fill="C6EFCE"/>
            <w:noWrap/>
          </w:tcPr>
          <w:p w14:paraId="541B3474" w14:textId="77777777" w:rsidR="00E42B18" w:rsidRDefault="009629C4">
            <w:pPr>
              <w:pStyle w:val="P68B1DB1-Normal12"/>
              <w:jc w:val="center"/>
              <w:rPr>
                <w:noProof/>
              </w:rPr>
            </w:pPr>
            <w:r>
              <w:rPr>
                <w:noProof/>
              </w:rPr>
              <w:t>Virstanpylväs</w:t>
            </w:r>
          </w:p>
        </w:tc>
        <w:tc>
          <w:tcPr>
            <w:tcW w:w="1814" w:type="dxa"/>
            <w:shd w:val="clear" w:color="auto" w:fill="C6EFCE"/>
            <w:noWrap/>
          </w:tcPr>
          <w:p w14:paraId="32B81DA8" w14:textId="77777777" w:rsidR="00E42B18" w:rsidRDefault="009629C4">
            <w:pPr>
              <w:pStyle w:val="P68B1DB1-Normal12"/>
              <w:jc w:val="center"/>
              <w:rPr>
                <w:noProof/>
              </w:rPr>
            </w:pPr>
            <w:r>
              <w:rPr>
                <w:noProof/>
              </w:rPr>
              <w:t>Täytäntöönpanosopimus</w:t>
            </w:r>
          </w:p>
        </w:tc>
        <w:tc>
          <w:tcPr>
            <w:tcW w:w="1578" w:type="dxa"/>
            <w:shd w:val="clear" w:color="auto" w:fill="C6EFCE"/>
            <w:noWrap/>
          </w:tcPr>
          <w:p w14:paraId="5C5695DD" w14:textId="77777777" w:rsidR="00E42B18" w:rsidRDefault="009629C4">
            <w:pPr>
              <w:pStyle w:val="P68B1DB1-Normal12"/>
              <w:jc w:val="center"/>
              <w:rPr>
                <w:noProof/>
              </w:rPr>
            </w:pPr>
            <w:r>
              <w:rPr>
                <w:noProof/>
              </w:rPr>
              <w:t>Täytäntöönpanosopimuksen voimaantulo</w:t>
            </w:r>
          </w:p>
        </w:tc>
        <w:tc>
          <w:tcPr>
            <w:tcW w:w="1148" w:type="dxa"/>
            <w:shd w:val="clear" w:color="auto" w:fill="C6EFCE"/>
            <w:noWrap/>
          </w:tcPr>
          <w:p w14:paraId="00C02557" w14:textId="77777777" w:rsidR="00E42B18" w:rsidRDefault="009629C4">
            <w:pPr>
              <w:pStyle w:val="P68B1DB1-Normal12"/>
              <w:jc w:val="center"/>
              <w:rPr>
                <w:noProof/>
              </w:rPr>
            </w:pPr>
            <w:r>
              <w:rPr>
                <w:noProof/>
              </w:rPr>
              <w:t xml:space="preserve"> </w:t>
            </w:r>
          </w:p>
        </w:tc>
        <w:tc>
          <w:tcPr>
            <w:tcW w:w="1133" w:type="dxa"/>
            <w:shd w:val="clear" w:color="auto" w:fill="C6EFCE"/>
            <w:noWrap/>
          </w:tcPr>
          <w:p w14:paraId="66653D37" w14:textId="77777777" w:rsidR="00E42B18" w:rsidRDefault="009629C4">
            <w:pPr>
              <w:pStyle w:val="P68B1DB1-Normal12"/>
              <w:jc w:val="center"/>
              <w:rPr>
                <w:noProof/>
              </w:rPr>
            </w:pPr>
            <w:r>
              <w:rPr>
                <w:noProof/>
              </w:rPr>
              <w:t xml:space="preserve"> </w:t>
            </w:r>
          </w:p>
        </w:tc>
        <w:tc>
          <w:tcPr>
            <w:tcW w:w="848" w:type="dxa"/>
            <w:shd w:val="clear" w:color="auto" w:fill="C6EFCE"/>
            <w:noWrap/>
          </w:tcPr>
          <w:p w14:paraId="54EA532D" w14:textId="77777777" w:rsidR="00E42B18" w:rsidRDefault="009629C4">
            <w:pPr>
              <w:pStyle w:val="P68B1DB1-Normal12"/>
              <w:jc w:val="center"/>
              <w:rPr>
                <w:noProof/>
              </w:rPr>
            </w:pPr>
            <w:r>
              <w:rPr>
                <w:noProof/>
              </w:rPr>
              <w:t xml:space="preserve"> </w:t>
            </w:r>
          </w:p>
        </w:tc>
        <w:tc>
          <w:tcPr>
            <w:tcW w:w="900" w:type="dxa"/>
            <w:shd w:val="clear" w:color="auto" w:fill="C6EFCE"/>
            <w:noWrap/>
          </w:tcPr>
          <w:p w14:paraId="3C85D5BE" w14:textId="77777777" w:rsidR="00E42B18" w:rsidRDefault="009629C4">
            <w:pPr>
              <w:pStyle w:val="P68B1DB1-Normal12"/>
              <w:jc w:val="center"/>
              <w:rPr>
                <w:noProof/>
              </w:rPr>
            </w:pPr>
            <w:r>
              <w:rPr>
                <w:noProof/>
              </w:rPr>
              <w:t>Q4</w:t>
            </w:r>
          </w:p>
        </w:tc>
        <w:tc>
          <w:tcPr>
            <w:tcW w:w="710" w:type="dxa"/>
            <w:shd w:val="clear" w:color="auto" w:fill="C6EFCE"/>
            <w:noWrap/>
          </w:tcPr>
          <w:p w14:paraId="75659F2E" w14:textId="77777777" w:rsidR="00E42B18" w:rsidRDefault="009629C4">
            <w:pPr>
              <w:pStyle w:val="P68B1DB1-Normal12"/>
              <w:jc w:val="center"/>
              <w:rPr>
                <w:noProof/>
              </w:rPr>
            </w:pPr>
            <w:r>
              <w:rPr>
                <w:noProof/>
              </w:rPr>
              <w:t>2025</w:t>
            </w:r>
          </w:p>
        </w:tc>
        <w:tc>
          <w:tcPr>
            <w:tcW w:w="3208" w:type="dxa"/>
            <w:shd w:val="clear" w:color="auto" w:fill="C6EFCE"/>
            <w:noWrap/>
          </w:tcPr>
          <w:p w14:paraId="56989AA6" w14:textId="77777777" w:rsidR="00E42B18" w:rsidRDefault="009629C4">
            <w:pPr>
              <w:pStyle w:val="P68B1DB1-paragraph95"/>
              <w:spacing w:before="0" w:beforeAutospacing="0" w:after="0" w:afterAutospacing="0"/>
              <w:textAlignment w:val="baseline"/>
              <w:rPr>
                <w:noProof/>
              </w:rPr>
            </w:pPr>
            <w:r>
              <w:rPr>
                <w:noProof/>
              </w:rPr>
              <w:t>Täytäntöönpanosopimus tulee voimaan.</w:t>
            </w:r>
          </w:p>
        </w:tc>
      </w:tr>
      <w:tr w:rsidR="00E42B18" w14:paraId="7D6C78E8" w14:textId="77777777">
        <w:trPr>
          <w:trHeight w:val="300"/>
          <w:jc w:val="center"/>
        </w:trPr>
        <w:tc>
          <w:tcPr>
            <w:tcW w:w="1078" w:type="dxa"/>
            <w:shd w:val="clear" w:color="auto" w:fill="C6EFCE"/>
            <w:noWrap/>
          </w:tcPr>
          <w:p w14:paraId="2294AEB2" w14:textId="77777777" w:rsidR="00E42B18" w:rsidRDefault="009629C4">
            <w:pPr>
              <w:pStyle w:val="P68B1DB1-Normal12"/>
              <w:jc w:val="center"/>
              <w:rPr>
                <w:noProof/>
              </w:rPr>
            </w:pPr>
            <w:r>
              <w:rPr>
                <w:noProof/>
              </w:rPr>
              <w:t>M4C1–32</w:t>
            </w:r>
          </w:p>
        </w:tc>
        <w:tc>
          <w:tcPr>
            <w:tcW w:w="1701" w:type="dxa"/>
            <w:shd w:val="clear" w:color="auto" w:fill="C6EFCE"/>
            <w:noWrap/>
          </w:tcPr>
          <w:p w14:paraId="3CFEB310" w14:textId="77777777" w:rsidR="00E42B18" w:rsidRDefault="009629C4">
            <w:pPr>
              <w:pStyle w:val="P68B1DB1-Normal12"/>
              <w:jc w:val="center"/>
              <w:rPr>
                <w:noProof/>
              </w:rPr>
            </w:pPr>
            <w:r>
              <w:rPr>
                <w:noProof/>
              </w:rPr>
              <w:t>Investointi 5: Opiskelijoiden asuntorahasto</w:t>
            </w:r>
          </w:p>
        </w:tc>
        <w:tc>
          <w:tcPr>
            <w:tcW w:w="1135" w:type="dxa"/>
            <w:shd w:val="clear" w:color="auto" w:fill="C6EFCE"/>
            <w:noWrap/>
          </w:tcPr>
          <w:p w14:paraId="122842D5" w14:textId="7B071DB5" w:rsidR="00E42B18" w:rsidRDefault="009629C4">
            <w:pPr>
              <w:pStyle w:val="P68B1DB1-Normal12"/>
              <w:jc w:val="center"/>
              <w:rPr>
                <w:noProof/>
              </w:rPr>
            </w:pPr>
            <w:r>
              <w:rPr>
                <w:noProof/>
              </w:rPr>
              <w:t>Virstanpylväs</w:t>
            </w:r>
          </w:p>
        </w:tc>
        <w:tc>
          <w:tcPr>
            <w:tcW w:w="1814" w:type="dxa"/>
            <w:shd w:val="clear" w:color="auto" w:fill="C6EFCE"/>
            <w:noWrap/>
          </w:tcPr>
          <w:p w14:paraId="2D98ACF0" w14:textId="77777777" w:rsidR="00E42B18" w:rsidRDefault="009629C4">
            <w:pPr>
              <w:pStyle w:val="P68B1DB1-Normal12"/>
              <w:jc w:val="center"/>
              <w:rPr>
                <w:noProof/>
              </w:rPr>
            </w:pPr>
            <w:r>
              <w:rPr>
                <w:noProof/>
              </w:rPr>
              <w:t>Lopullisten edunsaajien kanssa allekirjoitetut oikeudelliset sopimukset ja investointien loppuun saattaminen</w:t>
            </w:r>
          </w:p>
        </w:tc>
        <w:tc>
          <w:tcPr>
            <w:tcW w:w="1578" w:type="dxa"/>
            <w:shd w:val="clear" w:color="auto" w:fill="C6EFCE"/>
            <w:noWrap/>
          </w:tcPr>
          <w:p w14:paraId="552F3892" w14:textId="77777777" w:rsidR="00E42B18" w:rsidRDefault="009629C4">
            <w:pPr>
              <w:pStyle w:val="P68B1DB1-Normal12"/>
              <w:jc w:val="center"/>
              <w:rPr>
                <w:noProof/>
              </w:rPr>
            </w:pPr>
            <w:r>
              <w:rPr>
                <w:noProof/>
              </w:rPr>
              <w:t>Allekirjoitetut oikeudelliset sopimukset ja siirtotodistus</w:t>
            </w:r>
          </w:p>
        </w:tc>
        <w:tc>
          <w:tcPr>
            <w:tcW w:w="1148" w:type="dxa"/>
            <w:shd w:val="clear" w:color="auto" w:fill="C6EFCE"/>
            <w:noWrap/>
          </w:tcPr>
          <w:p w14:paraId="0F9A1A86" w14:textId="5375A3F6" w:rsidR="00E42B18" w:rsidRDefault="009629C4">
            <w:pPr>
              <w:pStyle w:val="P68B1DB1-Normal12"/>
              <w:jc w:val="center"/>
              <w:rPr>
                <w:noProof/>
              </w:rPr>
            </w:pPr>
            <w:r>
              <w:rPr>
                <w:noProof/>
              </w:rPr>
              <w:t>EI OLE</w:t>
            </w:r>
          </w:p>
        </w:tc>
        <w:tc>
          <w:tcPr>
            <w:tcW w:w="1133" w:type="dxa"/>
            <w:shd w:val="clear" w:color="auto" w:fill="C6EFCE"/>
            <w:noWrap/>
          </w:tcPr>
          <w:p w14:paraId="25F84639" w14:textId="2AD9E664" w:rsidR="00E42B18" w:rsidRDefault="009629C4">
            <w:pPr>
              <w:pStyle w:val="P68B1DB1-Normal12"/>
              <w:jc w:val="center"/>
              <w:rPr>
                <w:noProof/>
              </w:rPr>
            </w:pPr>
            <w:r>
              <w:rPr>
                <w:noProof/>
              </w:rPr>
              <w:t>EI OLE</w:t>
            </w:r>
          </w:p>
        </w:tc>
        <w:tc>
          <w:tcPr>
            <w:tcW w:w="848" w:type="dxa"/>
            <w:shd w:val="clear" w:color="auto" w:fill="C6EFCE"/>
            <w:noWrap/>
          </w:tcPr>
          <w:p w14:paraId="40AAAD62" w14:textId="12BD911D" w:rsidR="00E42B18" w:rsidRDefault="009629C4">
            <w:pPr>
              <w:pStyle w:val="P68B1DB1-Normal12"/>
              <w:jc w:val="center"/>
              <w:rPr>
                <w:noProof/>
              </w:rPr>
            </w:pPr>
            <w:r>
              <w:rPr>
                <w:noProof/>
              </w:rPr>
              <w:t>EI OLE</w:t>
            </w:r>
          </w:p>
        </w:tc>
        <w:tc>
          <w:tcPr>
            <w:tcW w:w="900" w:type="dxa"/>
            <w:shd w:val="clear" w:color="auto" w:fill="C6EFCE"/>
            <w:noWrap/>
          </w:tcPr>
          <w:p w14:paraId="6ECA56AD" w14:textId="77777777" w:rsidR="00E42B18" w:rsidRDefault="009629C4">
            <w:pPr>
              <w:pStyle w:val="P68B1DB1-Normal12"/>
              <w:jc w:val="center"/>
              <w:rPr>
                <w:noProof/>
              </w:rPr>
            </w:pPr>
            <w:r>
              <w:rPr>
                <w:noProof/>
              </w:rPr>
              <w:t>Q2</w:t>
            </w:r>
          </w:p>
        </w:tc>
        <w:tc>
          <w:tcPr>
            <w:tcW w:w="710" w:type="dxa"/>
            <w:shd w:val="clear" w:color="auto" w:fill="C6EFCE"/>
            <w:noWrap/>
          </w:tcPr>
          <w:p w14:paraId="636C0F06" w14:textId="77777777" w:rsidR="00E42B18" w:rsidRDefault="009629C4">
            <w:pPr>
              <w:pStyle w:val="P68B1DB1-Normal12"/>
              <w:jc w:val="center"/>
              <w:rPr>
                <w:noProof/>
              </w:rPr>
            </w:pPr>
            <w:r>
              <w:rPr>
                <w:noProof/>
              </w:rPr>
              <w:t>2026</w:t>
            </w:r>
          </w:p>
        </w:tc>
        <w:tc>
          <w:tcPr>
            <w:tcW w:w="3208" w:type="dxa"/>
            <w:shd w:val="clear" w:color="auto" w:fill="C6EFCE"/>
            <w:noWrap/>
          </w:tcPr>
          <w:p w14:paraId="438953D6" w14:textId="77777777" w:rsidR="00E42B18" w:rsidRDefault="009629C4">
            <w:pPr>
              <w:pStyle w:val="P68B1DB1-Normal12"/>
              <w:spacing w:line="240" w:lineRule="auto"/>
              <w:jc w:val="both"/>
              <w:rPr>
                <w:noProof/>
              </w:rPr>
            </w:pPr>
            <w:r>
              <w:rPr>
                <w:noProof/>
              </w:rPr>
              <w:t xml:space="preserve">Cassa Depositi e Prestiti S.p.A. on tehnyt lopullisten edunsaajien kanssa oikeudellisia avustussopimuksia määrästä, joka tarvitaan, jotta elpymis- ja palautumistukivälineen investoinneista voidaan käyttää 100 prosenttia järjestelmään (hallinnointipalkkiot huomioon ottaen). </w:t>
            </w:r>
          </w:p>
          <w:p w14:paraId="06621FD9" w14:textId="06BD8754" w:rsidR="00E42B18" w:rsidRDefault="009629C4">
            <w:pPr>
              <w:pStyle w:val="P68B1DB1-paragraph95"/>
              <w:spacing w:before="0" w:beforeAutospacing="0" w:after="0" w:afterAutospacing="0"/>
              <w:textAlignment w:val="baseline"/>
              <w:rPr>
                <w:noProof/>
              </w:rPr>
            </w:pPr>
            <w:r>
              <w:rPr>
                <w:noProof/>
              </w:rPr>
              <w:t>Italia siirtää 599000000 euroa Cassa Depositi e Prestiti S.p.A:lle rahastoa varten.</w:t>
            </w:r>
          </w:p>
        </w:tc>
      </w:tr>
    </w:tbl>
    <w:p w14:paraId="45675B82" w14:textId="77777777" w:rsidR="00E42B18" w:rsidRDefault="00E42B18">
      <w:pPr>
        <w:spacing w:before="120" w:after="120"/>
        <w:jc w:val="both"/>
        <w:rPr>
          <w:rFonts w:ascii="Arial Narrow" w:hAnsi="Arial Narrow"/>
          <w:noProof/>
          <w:color w:val="000000" w:themeColor="text1"/>
          <w:sz w:val="20"/>
          <w:szCs w:val="20"/>
        </w:rPr>
        <w:sectPr w:rsidR="00E42B18" w:rsidSect="005F11B9">
          <w:headerReference w:type="even" r:id="rId190"/>
          <w:headerReference w:type="default" r:id="rId191"/>
          <w:footerReference w:type="even" r:id="rId192"/>
          <w:footerReference w:type="default" r:id="rId193"/>
          <w:headerReference w:type="first" r:id="rId194"/>
          <w:footerReference w:type="first" r:id="rId195"/>
          <w:pgSz w:w="16839" w:h="11907" w:orient="landscape"/>
          <w:pgMar w:top="1134" w:right="1134" w:bottom="1134" w:left="1134" w:header="567" w:footer="567" w:gutter="0"/>
          <w:cols w:space="720"/>
          <w:docGrid w:linePitch="360"/>
        </w:sectPr>
      </w:pPr>
    </w:p>
    <w:p w14:paraId="172BA92A" w14:textId="77777777" w:rsidR="00E42B18" w:rsidRDefault="009629C4">
      <w:pPr>
        <w:pStyle w:val="P68B1DB1-Heading23"/>
        <w:rPr>
          <w:noProof/>
        </w:rPr>
      </w:pPr>
      <w:r>
        <w:rPr>
          <w:noProof/>
        </w:rPr>
        <w:t>K. MISSION 4 KOMPONENTTI 2: Tutkimuksesta yrityksiin</w:t>
      </w:r>
    </w:p>
    <w:p w14:paraId="01056623" w14:textId="5AE5A982" w:rsidR="00E42B18" w:rsidRDefault="009629C4">
      <w:pPr>
        <w:pStyle w:val="P68B1DB1-Normal96"/>
        <w:spacing w:before="120" w:after="120"/>
        <w:jc w:val="both"/>
        <w:rPr>
          <w:rFonts w:eastAsia="Calibri" w:hint="default"/>
          <w:noProof/>
        </w:rPr>
      </w:pPr>
      <w:r>
        <w:rPr>
          <w:noProof/>
        </w:rPr>
        <w:t>Tällä Italian elpymis- ja palautumissuunnitelman osa-alueella pyritään tukemaan investointeja tutkimukseen ja innovointiin, edistämään innovointia ja teknologian levittämistä, vahvistamaan osaamista ja tukemaan siirtymistä osaamistalouteen. Se tukee julkista tutkimusjärjestelmää, tutkijoiden osaamista ja liikkuvuutta sekä julkisen ja yksityisen sektorin yhteistyötä kansallisella ja EU:n tasolla. Se perustuu kolmeen pääpilariin: I) Tiedeperustan parantaminen; vahvat liike-elämän ja tieteen väliset yhteydet (tiedon ja teknologian siirto; III) Yritys-innovaatioiden tukeminen (erityisesti pk-yritykset, startup-yritykset).</w:t>
      </w:r>
    </w:p>
    <w:p w14:paraId="472BF0D5" w14:textId="37A4CA53" w:rsidR="00E42B18" w:rsidRDefault="009629C4">
      <w:pPr>
        <w:pStyle w:val="P68B1DB1-Normal96"/>
        <w:spacing w:before="120" w:after="120"/>
        <w:jc w:val="both"/>
        <w:rPr>
          <w:rFonts w:hint="default"/>
          <w:noProof/>
        </w:rPr>
      </w:pPr>
      <w:r>
        <w:rPr>
          <w:noProof/>
        </w:rPr>
        <w:t xml:space="preserve">Tähän osa-alueeseen kuuluvilla investoinneilla ja uudistuksilla edistetään Italialle vuosina 2020 ja 2019 annettujen maakohtaisten suositusten noudattamista tarpeesta keskittää investointeihin liittyvä talouspolitiikka tutkimukseen ja innovointiin sekä infrastruktuurin laatuun (maakohtainen suositus 3, 2019), </w:t>
      </w:r>
      <w:r>
        <w:rPr>
          <w:noProof/>
        </w:rPr>
        <w:t>”</w:t>
      </w:r>
      <w:r>
        <w:rPr>
          <w:noProof/>
        </w:rPr>
        <w:t>edistää yksityisiä investointeja talouden elpymisen edistämiseksi</w:t>
      </w:r>
      <w:r>
        <w:rPr>
          <w:noProof/>
        </w:rPr>
        <w:t>”</w:t>
      </w:r>
      <w:r>
        <w:rPr>
          <w:noProof/>
        </w:rPr>
        <w:t xml:space="preserve"> (maakohtainen suositus 3, 2020) ja </w:t>
      </w:r>
      <w:r>
        <w:rPr>
          <w:noProof/>
        </w:rPr>
        <w:t>”</w:t>
      </w:r>
      <w:r>
        <w:rPr>
          <w:noProof/>
        </w:rPr>
        <w:t>keskittää investoinnit vihreään siirtymään ja digitaaliseen muutokseen, erityisesti tutkimukseen ja innovointiin</w:t>
      </w:r>
      <w:r>
        <w:rPr>
          <w:noProof/>
        </w:rPr>
        <w:t>”</w:t>
      </w:r>
      <w:r>
        <w:rPr>
          <w:noProof/>
        </w:rPr>
        <w:t xml:space="preserve"> (maakohtainen suositus 3, 2020). </w:t>
      </w:r>
    </w:p>
    <w:p w14:paraId="7BC2E3FB" w14:textId="77777777" w:rsidR="00E42B18" w:rsidRDefault="009629C4">
      <w:pPr>
        <w:pStyle w:val="P68B1DB1-Heading368"/>
        <w:ind w:left="850" w:hanging="850"/>
        <w:rPr>
          <w:noProof/>
        </w:rPr>
      </w:pPr>
      <w:r>
        <w:rPr>
          <w:noProof/>
        </w:rPr>
        <w:t xml:space="preserve">K.1 </w:t>
      </w:r>
      <w:r>
        <w:rPr>
          <w:noProof/>
        </w:rPr>
        <w:tab/>
        <w:t>Kuvaus uudistuksista ja investoinneista, joita rahoitetaan rahoitustuella, jota ei makseta takaisin</w:t>
      </w:r>
    </w:p>
    <w:p w14:paraId="6EA0CB35" w14:textId="77777777" w:rsidR="00E42B18" w:rsidRDefault="00E42B18">
      <w:pPr>
        <w:rPr>
          <w:noProof/>
        </w:rPr>
      </w:pPr>
    </w:p>
    <w:p w14:paraId="7EB12039" w14:textId="77777777" w:rsidR="00E42B18" w:rsidRDefault="009629C4">
      <w:pPr>
        <w:pStyle w:val="P68B1DB1-Normal5"/>
        <w:spacing w:before="120" w:after="120"/>
        <w:jc w:val="both"/>
        <w:rPr>
          <w:noProof/>
        </w:rPr>
      </w:pPr>
      <w:r>
        <w:rPr>
          <w:noProof/>
        </w:rPr>
        <w:t>Investointi 1.2: Nuorten tutkijoiden esittämien hankkeiden rahoittaminen</w:t>
      </w:r>
    </w:p>
    <w:p w14:paraId="6C2E1747" w14:textId="77777777" w:rsidR="00E42B18" w:rsidRDefault="009629C4">
      <w:pPr>
        <w:pStyle w:val="P68B1DB1-Normal7"/>
        <w:spacing w:after="0"/>
        <w:jc w:val="both"/>
        <w:rPr>
          <w:noProof/>
        </w:rPr>
      </w:pPr>
      <w:r>
        <w:rPr>
          <w:noProof/>
        </w:rPr>
        <w:t xml:space="preserve">Investoinnin tavoitteena on saada nuoret tutkijat pysymään Italiassa. Toimenpiteellä tuetaan nuorten tutkijoiden tutkimustoimintaa. </w:t>
      </w:r>
    </w:p>
    <w:p w14:paraId="3F3FE046" w14:textId="77777777" w:rsidR="00E42B18" w:rsidRDefault="009629C4">
      <w:pPr>
        <w:pStyle w:val="P68B1DB1-Normal5"/>
        <w:spacing w:before="120" w:after="120" w:line="257" w:lineRule="auto"/>
        <w:ind w:left="-680" w:firstLine="709"/>
        <w:jc w:val="both"/>
        <w:rPr>
          <w:bCs/>
          <w:i/>
          <w:iCs/>
          <w:noProof/>
          <w:u w:val="single"/>
        </w:rPr>
      </w:pPr>
      <w:r>
        <w:rPr>
          <w:noProof/>
        </w:rPr>
        <w:t>Investointi 2.2 a: Innovaatiosopimukset</w:t>
      </w:r>
    </w:p>
    <w:p w14:paraId="108BC369" w14:textId="47F2B3C9" w:rsidR="00E42B18" w:rsidRDefault="009629C4">
      <w:pPr>
        <w:pStyle w:val="P68B1DB1-Normal7"/>
        <w:jc w:val="both"/>
        <w:rPr>
          <w:noProof/>
        </w:rPr>
      </w:pPr>
      <w:r>
        <w:rPr>
          <w:noProof/>
        </w:rPr>
        <w:t xml:space="preserve">Tämän toimenpiteen tavoitteena on edistää innovointia. Toimenpide koostuu tutkimus-, kehitys- ja innovointihankkeiden (ns. innovaatiosopimukset) määrittelystä aloilla, jotka ovat johdonmukaisia Horisontti Eurooppa -ohjelman II pilarin kanssa asetuksen (EU) 2021/695 mukaisesti. </w:t>
      </w:r>
    </w:p>
    <w:p w14:paraId="5CD44EC9" w14:textId="77777777" w:rsidR="00E42B18" w:rsidRDefault="009629C4">
      <w:pPr>
        <w:pStyle w:val="P68B1DB1-Normal5"/>
        <w:spacing w:before="120" w:after="120"/>
        <w:jc w:val="both"/>
        <w:rPr>
          <w:rFonts w:eastAsia="Calibri"/>
          <w:bCs/>
          <w:noProof/>
        </w:rPr>
      </w:pPr>
      <w:r>
        <w:rPr>
          <w:noProof/>
        </w:rPr>
        <w:t xml:space="preserve">Investointi 3.3: Tohtorintutkinnon apurahojen myöntäminen yhteistyössä yritysten kanssa </w:t>
      </w:r>
    </w:p>
    <w:p w14:paraId="57DF6556" w14:textId="77777777" w:rsidR="00E42B18" w:rsidRDefault="009629C4">
      <w:pPr>
        <w:pStyle w:val="P68B1DB1-Normal7"/>
        <w:spacing w:before="120" w:after="120"/>
        <w:jc w:val="both"/>
        <w:rPr>
          <w:noProof/>
        </w:rPr>
      </w:pPr>
      <w:r>
        <w:rPr>
          <w:noProof/>
        </w:rPr>
        <w:t xml:space="preserve">Tämän toimenpiteen tavoitteena on parantaa korkeatasoista osaamista, myös keskeisten mahdollistavien teknologioiden alalla. </w:t>
      </w:r>
    </w:p>
    <w:p w14:paraId="303F78CC" w14:textId="583A4A22" w:rsidR="00E42B18" w:rsidRDefault="009629C4">
      <w:pPr>
        <w:spacing w:before="120" w:after="120"/>
        <w:jc w:val="both"/>
        <w:rPr>
          <w:rFonts w:ascii="Times New Roman" w:hAnsi="Times New Roman" w:cs="Times New Roman"/>
          <w:noProof/>
        </w:rPr>
      </w:pPr>
      <w:r>
        <w:rPr>
          <w:rFonts w:ascii="Times New Roman" w:hAnsi="Times New Roman" w:cs="Times New Roman"/>
          <w:noProof/>
        </w:rPr>
        <w:t>Toimenpide koostuu siitä, että yliopistot ja AFAM-laitokset myöntävät tohtorintutkinnon apurahoja yritysten panoksella ja myötävaikutuksella. Erityisesti MUR:n (yliopisto- ja tutkimusministeriö) toteuttamassa toimenpiteessä myönnetään kolmen vuoden aikana yhteensä</w:t>
      </w:r>
      <w:r>
        <w:rPr>
          <w:rFonts w:ascii="Arial Narrow" w:hAnsi="Arial Narrow"/>
          <w:noProof/>
          <w:color w:val="006100"/>
          <w:sz w:val="20"/>
          <w:szCs w:val="20"/>
        </w:rPr>
        <w:t xml:space="preserve"> </w:t>
      </w:r>
      <w:r>
        <w:rPr>
          <w:rFonts w:ascii="Times New Roman" w:hAnsi="Times New Roman" w:cs="Times New Roman"/>
          <w:noProof/>
        </w:rPr>
        <w:t xml:space="preserve">6000 tohtorintutkintoa ja yksityistä yhteisrahoitusta. </w:t>
      </w:r>
    </w:p>
    <w:p w14:paraId="0E09FACF" w14:textId="77777777" w:rsidR="00E42B18" w:rsidRDefault="009629C4">
      <w:pPr>
        <w:pStyle w:val="P68B1DB1-Normal5"/>
        <w:spacing w:before="120" w:after="120" w:line="288" w:lineRule="auto"/>
        <w:jc w:val="both"/>
        <w:rPr>
          <w:bCs/>
          <w:noProof/>
        </w:rPr>
      </w:pPr>
      <w:r>
        <w:rPr>
          <w:noProof/>
        </w:rPr>
        <w:t>Uudistus 1.1: Tutkimuksen ja innovoinnin tukitoimien toteuttaminen yksinkertaistamisen ja liikkuvuuden edistämiseksi</w:t>
      </w:r>
    </w:p>
    <w:p w14:paraId="2FE7A2BA" w14:textId="77777777" w:rsidR="00E42B18" w:rsidRDefault="009629C4">
      <w:pPr>
        <w:pStyle w:val="P68B1DB1-Normal7"/>
        <w:spacing w:before="120" w:after="120"/>
        <w:jc w:val="both"/>
        <w:rPr>
          <w:noProof/>
        </w:rPr>
      </w:pPr>
      <w:r>
        <w:rPr>
          <w:noProof/>
        </w:rPr>
        <w:t xml:space="preserve">Uudistuksen toteuttavat yliopisto- ja tutkimusministeriö (MUR) ja taloudellisen kehityksen ministeriö (MiSE) perustamalla ministeriöiden välinen johtokunta ja antamalla kaksi ministeriön asetusta: I) lisätä ja tukea korkean profiilin henkilöiden liikkuvuutta (kannustimien avulla) (kuten tutkijat ja johtajat) yliopistojen, tutkimusinfrastruktuurien ja yritysten välillä ja ii) tutkimusvarojen hallinnoinnin yksinkertaistamiseksi, iii) tutkijoiden urakehityksen uudistamiseksi siten, että he keskittyvät entistä enemmän tutkimustoimintaan. </w:t>
      </w:r>
    </w:p>
    <w:p w14:paraId="26A96F51" w14:textId="2A2F54D4" w:rsidR="00E42B18" w:rsidRDefault="009629C4">
      <w:pPr>
        <w:pStyle w:val="P68B1DB1-Normal7"/>
        <w:jc w:val="both"/>
        <w:rPr>
          <w:b/>
          <w:bCs/>
          <w:noProof/>
        </w:rPr>
      </w:pPr>
      <w:r>
        <w:rPr>
          <w:noProof/>
        </w:rPr>
        <w:t>Uudistuksessa siirrytään T &amp; K-toimiin järjestelmällisempään lähestymistapaan, jossa mennään nykyistä resurssien uudelleenkohdentamisen logiikkaa suosimalla yhteiskäyttöön perustuvaa lähestymistapaa, ja siinä keskitytään yksinkertaistamaan julkisen ja yksityisen sektorin tutkimustoimintaan osoitettujen varojen hallinnointiin liittyvää byrokratiaa. Näin saadaan aikaan merkittäviä vaikutuksia välttämällä painopisteiden hajanaisuutta ja hajanaisuutta, joita tuetaan myös operaation ensimmäisellä osa-alueella. Julkisilla tutkimuselimillä on keskeinen rooli sekä kumppanuuksissa, kansallisissa kampanjoissa ja alueellisissa ekosysteemeissä mahdollisesti toimivien hankkeiden vetäjinä että PNR-rahastoa ja infrastruktuurirahastoa koskevien ehdotuspyyntöjen mahdollisina osallistujina.</w:t>
      </w:r>
    </w:p>
    <w:p w14:paraId="025FEE9D" w14:textId="2FFD621B" w:rsidR="00E42B18" w:rsidRDefault="009629C4">
      <w:pPr>
        <w:pStyle w:val="P68B1DB1-Normal5"/>
        <w:spacing w:before="120" w:after="120"/>
        <w:jc w:val="both"/>
        <w:rPr>
          <w:bCs/>
          <w:noProof/>
        </w:rPr>
      </w:pPr>
      <w:r>
        <w:rPr>
          <w:noProof/>
        </w:rPr>
        <w:t>Uudistus 1.2: Kolmivuotinen tutkimustoiminnan rahoitussuunnitelma</w:t>
      </w:r>
    </w:p>
    <w:p w14:paraId="31625454" w14:textId="55A39CA6" w:rsidR="00E42B18" w:rsidRDefault="009629C4">
      <w:pPr>
        <w:pStyle w:val="P68B1DB1-Normal7"/>
        <w:jc w:val="both"/>
        <w:rPr>
          <w:noProof/>
        </w:rPr>
      </w:pPr>
      <w:r>
        <w:rPr>
          <w:noProof/>
        </w:rPr>
        <w:t>Uudistuksella pyritään parantamaan tutkimusrahoituksen suunnittelua ja ennustettavuutta. Se koostuu sellaisen primaarilainsäädännön voimaantulosta, jossa vahvistetaan oikeudelliset puitteet tutkimustoiminnan rahoittamista koskevan kolmivuotissuunnitelman hyväksymiselle.</w:t>
      </w:r>
    </w:p>
    <w:p w14:paraId="375E5F23" w14:textId="77777777" w:rsidR="00E42B18" w:rsidRDefault="00E42B18">
      <w:pPr>
        <w:jc w:val="both"/>
        <w:rPr>
          <w:rFonts w:ascii="Times New Roman" w:hAnsi="Times New Roman" w:cs="Times New Roman"/>
          <w:noProof/>
        </w:rPr>
      </w:pPr>
    </w:p>
    <w:p w14:paraId="3A748D05" w14:textId="77777777" w:rsidR="00E42B18" w:rsidRDefault="00E42B18">
      <w:pPr>
        <w:rPr>
          <w:rFonts w:ascii="Times New Roman" w:hAnsi="Times New Roman" w:cs="Times New Roman"/>
          <w:b/>
          <w:bCs/>
          <w:noProof/>
          <w:u w:val="single"/>
        </w:rPr>
        <w:sectPr w:rsidR="00E42B18" w:rsidSect="005F11B9">
          <w:headerReference w:type="even" r:id="rId196"/>
          <w:headerReference w:type="default" r:id="rId197"/>
          <w:footerReference w:type="even" r:id="rId198"/>
          <w:footerReference w:type="default" r:id="rId199"/>
          <w:headerReference w:type="first" r:id="rId200"/>
          <w:footerReference w:type="first" r:id="rId201"/>
          <w:pgSz w:w="11906" w:h="16838"/>
          <w:pgMar w:top="1440" w:right="1440" w:bottom="1440" w:left="1440" w:header="708" w:footer="708" w:gutter="0"/>
          <w:cols w:space="708"/>
          <w:docGrid w:linePitch="360"/>
        </w:sectPr>
      </w:pPr>
    </w:p>
    <w:p w14:paraId="2452C159" w14:textId="77777777" w:rsidR="00E42B18" w:rsidRDefault="009629C4">
      <w:pPr>
        <w:pStyle w:val="P68B1DB1-Heading397"/>
        <w:ind w:left="850" w:hanging="850"/>
        <w:rPr>
          <w:rFonts w:hint="default"/>
          <w:noProof/>
        </w:rPr>
      </w:pPr>
      <w:r>
        <w:rPr>
          <w:noProof/>
        </w:rPr>
        <w:t xml:space="preserve">K.2 </w:t>
      </w:r>
      <w:r>
        <w:rPr>
          <w:noProof/>
        </w:rPr>
        <w:tab/>
        <w:t>Ei-takaisinmaksettavan rahoitustuen seurannan ja täytäntöönpanon välitavoitteet, tavoitteet, indikaattorit ja aikataulu</w:t>
      </w:r>
    </w:p>
    <w:tbl>
      <w:tblPr>
        <w:tblW w:w="14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1558"/>
        <w:gridCol w:w="1396"/>
        <w:gridCol w:w="1727"/>
        <w:gridCol w:w="1727"/>
        <w:gridCol w:w="954"/>
        <w:gridCol w:w="1041"/>
        <w:gridCol w:w="1335"/>
        <w:gridCol w:w="871"/>
        <w:gridCol w:w="589"/>
        <w:gridCol w:w="2463"/>
      </w:tblGrid>
      <w:tr w:rsidR="00E42B18" w14:paraId="77EBB1CA" w14:textId="77777777">
        <w:trPr>
          <w:trHeight w:val="927"/>
          <w:tblHeader/>
          <w:jc w:val="center"/>
        </w:trPr>
        <w:tc>
          <w:tcPr>
            <w:tcW w:w="1292" w:type="dxa"/>
            <w:vMerge w:val="restart"/>
            <w:shd w:val="clear" w:color="auto" w:fill="BDD7EE"/>
            <w:vAlign w:val="center"/>
            <w:hideMark/>
          </w:tcPr>
          <w:p w14:paraId="15D04695" w14:textId="77777777" w:rsidR="00E42B18" w:rsidRDefault="009629C4">
            <w:pPr>
              <w:pStyle w:val="P68B1DB1-Normal10"/>
              <w:jc w:val="center"/>
              <w:rPr>
                <w:noProof/>
                <w:szCs w:val="20"/>
              </w:rPr>
            </w:pPr>
            <w:r>
              <w:rPr>
                <w:noProof/>
              </w:rPr>
              <w:t>Juokseva numero</w:t>
            </w:r>
          </w:p>
        </w:tc>
        <w:tc>
          <w:tcPr>
            <w:tcW w:w="1368" w:type="dxa"/>
            <w:vMerge w:val="restart"/>
            <w:shd w:val="clear" w:color="auto" w:fill="BDD7EE"/>
            <w:vAlign w:val="center"/>
            <w:hideMark/>
          </w:tcPr>
          <w:p w14:paraId="72306E09" w14:textId="77777777" w:rsidR="00E42B18" w:rsidRDefault="009629C4">
            <w:pPr>
              <w:pStyle w:val="P68B1DB1-Normal10"/>
              <w:jc w:val="center"/>
              <w:rPr>
                <w:noProof/>
                <w:szCs w:val="20"/>
              </w:rPr>
            </w:pPr>
            <w:r>
              <w:rPr>
                <w:noProof/>
              </w:rPr>
              <w:t>Toimenpide (uudistus tai investointi)</w:t>
            </w:r>
          </w:p>
        </w:tc>
        <w:tc>
          <w:tcPr>
            <w:tcW w:w="1413" w:type="dxa"/>
            <w:vMerge w:val="restart"/>
            <w:shd w:val="clear" w:color="auto" w:fill="BDD7EE"/>
            <w:vAlign w:val="center"/>
            <w:hideMark/>
          </w:tcPr>
          <w:p w14:paraId="46FA3A0B" w14:textId="77777777" w:rsidR="00E42B18" w:rsidRDefault="009629C4">
            <w:pPr>
              <w:pStyle w:val="P68B1DB1-Normal10"/>
              <w:jc w:val="center"/>
              <w:rPr>
                <w:noProof/>
                <w:szCs w:val="20"/>
              </w:rPr>
            </w:pPr>
            <w:r>
              <w:rPr>
                <w:noProof/>
              </w:rPr>
              <w:t>Välitavoite/tavoite</w:t>
            </w:r>
          </w:p>
        </w:tc>
        <w:tc>
          <w:tcPr>
            <w:tcW w:w="1302" w:type="dxa"/>
            <w:vMerge w:val="restart"/>
            <w:shd w:val="clear" w:color="auto" w:fill="BDD7EE"/>
            <w:vAlign w:val="center"/>
            <w:hideMark/>
          </w:tcPr>
          <w:p w14:paraId="08918BB2" w14:textId="77777777" w:rsidR="00E42B18" w:rsidRDefault="009629C4">
            <w:pPr>
              <w:pStyle w:val="P68B1DB1-Normal10"/>
              <w:jc w:val="center"/>
              <w:rPr>
                <w:noProof/>
                <w:szCs w:val="20"/>
              </w:rPr>
            </w:pPr>
            <w:r>
              <w:rPr>
                <w:noProof/>
              </w:rPr>
              <w:t>Nimi</w:t>
            </w:r>
          </w:p>
        </w:tc>
        <w:tc>
          <w:tcPr>
            <w:tcW w:w="1377" w:type="dxa"/>
            <w:vMerge w:val="restart"/>
            <w:shd w:val="clear" w:color="auto" w:fill="BDD7EE"/>
            <w:vAlign w:val="center"/>
            <w:hideMark/>
          </w:tcPr>
          <w:p w14:paraId="52A8DB05" w14:textId="7777777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702" w:type="dxa"/>
            <w:gridSpan w:val="3"/>
            <w:shd w:val="clear" w:color="auto" w:fill="BDD7EE"/>
            <w:vAlign w:val="center"/>
            <w:hideMark/>
          </w:tcPr>
          <w:p w14:paraId="32E720DD"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586" w:type="dxa"/>
            <w:gridSpan w:val="2"/>
            <w:shd w:val="clear" w:color="auto" w:fill="BDD7EE"/>
            <w:vAlign w:val="center"/>
            <w:hideMark/>
          </w:tcPr>
          <w:p w14:paraId="67E49427" w14:textId="77777777" w:rsidR="00E42B18" w:rsidRDefault="009629C4">
            <w:pPr>
              <w:pStyle w:val="P68B1DB1-Normal10"/>
              <w:jc w:val="center"/>
              <w:rPr>
                <w:noProof/>
                <w:szCs w:val="20"/>
              </w:rPr>
            </w:pPr>
            <w:r>
              <w:rPr>
                <w:noProof/>
              </w:rPr>
              <w:t>Alustava toteutusaikataulu</w:t>
            </w:r>
          </w:p>
        </w:tc>
        <w:tc>
          <w:tcPr>
            <w:tcW w:w="2521" w:type="dxa"/>
            <w:vMerge w:val="restart"/>
            <w:shd w:val="clear" w:color="auto" w:fill="BDD7EE"/>
            <w:vAlign w:val="center"/>
            <w:hideMark/>
          </w:tcPr>
          <w:p w14:paraId="47147C27" w14:textId="77777777" w:rsidR="00E42B18" w:rsidRDefault="009629C4">
            <w:pPr>
              <w:pStyle w:val="P68B1DB1-Normal10"/>
              <w:jc w:val="center"/>
              <w:rPr>
                <w:noProof/>
                <w:szCs w:val="20"/>
              </w:rPr>
            </w:pPr>
            <w:r>
              <w:rPr>
                <w:noProof/>
              </w:rPr>
              <w:t>Kunkin välitavoitteen ja tavoitteen kuvaus</w:t>
            </w:r>
          </w:p>
        </w:tc>
      </w:tr>
      <w:tr w:rsidR="00E42B18" w14:paraId="7DC70438" w14:textId="77777777">
        <w:trPr>
          <w:trHeight w:val="802"/>
          <w:tblHeader/>
          <w:jc w:val="center"/>
        </w:trPr>
        <w:tc>
          <w:tcPr>
            <w:tcW w:w="1292" w:type="dxa"/>
            <w:vMerge/>
            <w:vAlign w:val="center"/>
            <w:hideMark/>
          </w:tcPr>
          <w:p w14:paraId="2810997B" w14:textId="77777777" w:rsidR="00E42B18" w:rsidRDefault="00E42B18">
            <w:pPr>
              <w:jc w:val="center"/>
              <w:rPr>
                <w:rFonts w:ascii="Arial Narrow" w:hAnsi="Arial Narrow"/>
                <w:b/>
                <w:noProof/>
                <w:sz w:val="20"/>
                <w:szCs w:val="20"/>
              </w:rPr>
            </w:pPr>
          </w:p>
        </w:tc>
        <w:tc>
          <w:tcPr>
            <w:tcW w:w="1368" w:type="dxa"/>
            <w:vMerge/>
            <w:vAlign w:val="center"/>
            <w:hideMark/>
          </w:tcPr>
          <w:p w14:paraId="1FDCCA58" w14:textId="77777777" w:rsidR="00E42B18" w:rsidRDefault="00E42B18">
            <w:pPr>
              <w:jc w:val="center"/>
              <w:rPr>
                <w:rFonts w:ascii="Arial Narrow" w:hAnsi="Arial Narrow"/>
                <w:b/>
                <w:noProof/>
                <w:sz w:val="20"/>
                <w:szCs w:val="20"/>
              </w:rPr>
            </w:pPr>
          </w:p>
        </w:tc>
        <w:tc>
          <w:tcPr>
            <w:tcW w:w="1413" w:type="dxa"/>
            <w:vMerge/>
            <w:vAlign w:val="center"/>
            <w:hideMark/>
          </w:tcPr>
          <w:p w14:paraId="744B5075" w14:textId="77777777" w:rsidR="00E42B18" w:rsidRDefault="00E42B18">
            <w:pPr>
              <w:jc w:val="center"/>
              <w:rPr>
                <w:rFonts w:ascii="Arial Narrow" w:hAnsi="Arial Narrow"/>
                <w:b/>
                <w:noProof/>
                <w:sz w:val="20"/>
                <w:szCs w:val="20"/>
              </w:rPr>
            </w:pPr>
          </w:p>
        </w:tc>
        <w:tc>
          <w:tcPr>
            <w:tcW w:w="1302" w:type="dxa"/>
            <w:vMerge/>
            <w:vAlign w:val="center"/>
            <w:hideMark/>
          </w:tcPr>
          <w:p w14:paraId="085A8514" w14:textId="77777777" w:rsidR="00E42B18" w:rsidRDefault="00E42B18">
            <w:pPr>
              <w:jc w:val="center"/>
              <w:rPr>
                <w:rFonts w:ascii="Arial Narrow" w:hAnsi="Arial Narrow"/>
                <w:b/>
                <w:noProof/>
                <w:sz w:val="20"/>
                <w:szCs w:val="20"/>
              </w:rPr>
            </w:pPr>
          </w:p>
        </w:tc>
        <w:tc>
          <w:tcPr>
            <w:tcW w:w="1377" w:type="dxa"/>
            <w:vMerge/>
            <w:vAlign w:val="center"/>
            <w:hideMark/>
          </w:tcPr>
          <w:p w14:paraId="13B00B63" w14:textId="77777777" w:rsidR="00E42B18" w:rsidRDefault="00E42B18">
            <w:pPr>
              <w:jc w:val="center"/>
              <w:rPr>
                <w:rFonts w:ascii="Arial Narrow" w:hAnsi="Arial Narrow"/>
                <w:b/>
                <w:noProof/>
                <w:sz w:val="20"/>
                <w:szCs w:val="20"/>
              </w:rPr>
            </w:pPr>
          </w:p>
        </w:tc>
        <w:tc>
          <w:tcPr>
            <w:tcW w:w="1089" w:type="dxa"/>
            <w:shd w:val="clear" w:color="auto" w:fill="BDD7EE"/>
            <w:vAlign w:val="center"/>
            <w:hideMark/>
          </w:tcPr>
          <w:p w14:paraId="63B19481" w14:textId="77777777" w:rsidR="00E42B18" w:rsidRDefault="009629C4">
            <w:pPr>
              <w:pStyle w:val="P68B1DB1-Normal10"/>
              <w:jc w:val="center"/>
              <w:rPr>
                <w:noProof/>
                <w:szCs w:val="20"/>
              </w:rPr>
            </w:pPr>
            <w:r>
              <w:rPr>
                <w:noProof/>
              </w:rPr>
              <w:t>Mitta-yksikkö</w:t>
            </w:r>
          </w:p>
        </w:tc>
        <w:tc>
          <w:tcPr>
            <w:tcW w:w="1074" w:type="dxa"/>
            <w:shd w:val="clear" w:color="auto" w:fill="BDD7EE"/>
            <w:vAlign w:val="center"/>
            <w:hideMark/>
          </w:tcPr>
          <w:p w14:paraId="2E9AF3E7" w14:textId="77777777" w:rsidR="00E42B18" w:rsidRDefault="009629C4">
            <w:pPr>
              <w:pStyle w:val="P68B1DB1-Normal10"/>
              <w:jc w:val="center"/>
              <w:rPr>
                <w:noProof/>
                <w:szCs w:val="20"/>
              </w:rPr>
            </w:pPr>
            <w:r>
              <w:rPr>
                <w:noProof/>
              </w:rPr>
              <w:t>Lähtötilanne</w:t>
            </w:r>
          </w:p>
        </w:tc>
        <w:tc>
          <w:tcPr>
            <w:tcW w:w="1539" w:type="dxa"/>
            <w:shd w:val="clear" w:color="auto" w:fill="BDD7EE"/>
            <w:vAlign w:val="center"/>
            <w:hideMark/>
          </w:tcPr>
          <w:p w14:paraId="098BB2FF" w14:textId="77777777" w:rsidR="00E42B18" w:rsidRDefault="009629C4">
            <w:pPr>
              <w:pStyle w:val="P68B1DB1-Normal10"/>
              <w:jc w:val="center"/>
              <w:rPr>
                <w:noProof/>
                <w:szCs w:val="20"/>
              </w:rPr>
            </w:pPr>
            <w:r>
              <w:rPr>
                <w:noProof/>
              </w:rPr>
              <w:t>Päämäärä</w:t>
            </w:r>
          </w:p>
        </w:tc>
        <w:tc>
          <w:tcPr>
            <w:tcW w:w="975" w:type="dxa"/>
            <w:shd w:val="clear" w:color="auto" w:fill="BDD7EE"/>
            <w:vAlign w:val="center"/>
            <w:hideMark/>
          </w:tcPr>
          <w:p w14:paraId="4F5E9E74" w14:textId="77777777" w:rsidR="00E42B18" w:rsidRDefault="009629C4">
            <w:pPr>
              <w:pStyle w:val="P68B1DB1-Normal10"/>
              <w:jc w:val="center"/>
              <w:rPr>
                <w:noProof/>
                <w:szCs w:val="20"/>
              </w:rPr>
            </w:pPr>
            <w:r>
              <w:rPr>
                <w:noProof/>
              </w:rPr>
              <w:t>Neljännes</w:t>
            </w:r>
          </w:p>
        </w:tc>
        <w:tc>
          <w:tcPr>
            <w:tcW w:w="611" w:type="dxa"/>
            <w:shd w:val="clear" w:color="auto" w:fill="BDD7EE"/>
            <w:vAlign w:val="center"/>
            <w:hideMark/>
          </w:tcPr>
          <w:p w14:paraId="7BF19C5B" w14:textId="77777777" w:rsidR="00E42B18" w:rsidRDefault="009629C4">
            <w:pPr>
              <w:pStyle w:val="P68B1DB1-Normal10"/>
              <w:jc w:val="center"/>
              <w:rPr>
                <w:noProof/>
                <w:szCs w:val="20"/>
              </w:rPr>
            </w:pPr>
            <w:r>
              <w:rPr>
                <w:noProof/>
              </w:rPr>
              <w:t>Vuosi</w:t>
            </w:r>
          </w:p>
        </w:tc>
        <w:tc>
          <w:tcPr>
            <w:tcW w:w="2521" w:type="dxa"/>
            <w:vMerge/>
            <w:vAlign w:val="center"/>
            <w:hideMark/>
          </w:tcPr>
          <w:p w14:paraId="7F08558D" w14:textId="77777777" w:rsidR="00E42B18" w:rsidRDefault="00E42B18">
            <w:pPr>
              <w:rPr>
                <w:rFonts w:ascii="Arial Narrow" w:hAnsi="Arial Narrow"/>
                <w:b/>
                <w:noProof/>
                <w:sz w:val="20"/>
                <w:szCs w:val="20"/>
              </w:rPr>
            </w:pPr>
          </w:p>
        </w:tc>
      </w:tr>
      <w:tr w:rsidR="00E42B18" w14:paraId="0D8617CE" w14:textId="77777777">
        <w:trPr>
          <w:trHeight w:val="1065"/>
          <w:jc w:val="center"/>
        </w:trPr>
        <w:tc>
          <w:tcPr>
            <w:tcW w:w="1292" w:type="dxa"/>
            <w:shd w:val="clear" w:color="auto" w:fill="C6EFCE"/>
            <w:noWrap/>
            <w:vAlign w:val="center"/>
            <w:hideMark/>
          </w:tcPr>
          <w:p w14:paraId="56F9DE3D" w14:textId="77777777" w:rsidR="00E42B18" w:rsidRDefault="009629C4">
            <w:pPr>
              <w:pStyle w:val="P68B1DB1-Normal11"/>
              <w:jc w:val="center"/>
              <w:rPr>
                <w:noProof/>
                <w:szCs w:val="20"/>
              </w:rPr>
            </w:pPr>
            <w:r>
              <w:rPr>
                <w:noProof/>
              </w:rPr>
              <w:t>M4C2–1</w:t>
            </w:r>
          </w:p>
        </w:tc>
        <w:tc>
          <w:tcPr>
            <w:tcW w:w="1368" w:type="dxa"/>
            <w:shd w:val="clear" w:color="auto" w:fill="C6EFCE"/>
            <w:noWrap/>
            <w:vAlign w:val="center"/>
            <w:hideMark/>
          </w:tcPr>
          <w:p w14:paraId="4ACFBAC7" w14:textId="77777777" w:rsidR="00E42B18" w:rsidRDefault="009629C4">
            <w:pPr>
              <w:pStyle w:val="P68B1DB1-Normal11"/>
              <w:jc w:val="center"/>
              <w:rPr>
                <w:noProof/>
                <w:szCs w:val="20"/>
              </w:rPr>
            </w:pPr>
            <w:r>
              <w:rPr>
                <w:noProof/>
              </w:rPr>
              <w:t xml:space="preserve"> Investointi 1.2: Nuorten tutkijoiden esittämien hankkeiden rahoittaminen</w:t>
            </w:r>
          </w:p>
        </w:tc>
        <w:tc>
          <w:tcPr>
            <w:tcW w:w="1413" w:type="dxa"/>
            <w:shd w:val="clear" w:color="auto" w:fill="C6EFCE"/>
            <w:noWrap/>
            <w:vAlign w:val="center"/>
            <w:hideMark/>
          </w:tcPr>
          <w:p w14:paraId="1E3D3E5C" w14:textId="77777777" w:rsidR="00E42B18" w:rsidRDefault="009629C4">
            <w:pPr>
              <w:pStyle w:val="P68B1DB1-Normal11"/>
              <w:jc w:val="center"/>
              <w:rPr>
                <w:noProof/>
                <w:szCs w:val="20"/>
              </w:rPr>
            </w:pPr>
            <w:r>
              <w:rPr>
                <w:noProof/>
              </w:rPr>
              <w:t>Kohde</w:t>
            </w:r>
          </w:p>
        </w:tc>
        <w:tc>
          <w:tcPr>
            <w:tcW w:w="1302" w:type="dxa"/>
            <w:shd w:val="clear" w:color="auto" w:fill="C6EFCE"/>
            <w:noWrap/>
            <w:vAlign w:val="center"/>
            <w:hideMark/>
          </w:tcPr>
          <w:p w14:paraId="2E8E0FA3" w14:textId="77777777" w:rsidR="00E42B18" w:rsidRDefault="009629C4">
            <w:pPr>
              <w:pStyle w:val="P68B1DB1-Normal11"/>
              <w:jc w:val="center"/>
              <w:rPr>
                <w:rFonts w:eastAsia="Calibri"/>
                <w:noProof/>
                <w:szCs w:val="20"/>
              </w:rPr>
            </w:pPr>
            <w:r>
              <w:rPr>
                <w:noProof/>
              </w:rPr>
              <w:t>Tutkimusapurahan saaneiden opiskelijoiden lukumäärä</w:t>
            </w:r>
          </w:p>
        </w:tc>
        <w:tc>
          <w:tcPr>
            <w:tcW w:w="1377" w:type="dxa"/>
            <w:shd w:val="clear" w:color="auto" w:fill="C6EFCE"/>
            <w:noWrap/>
            <w:vAlign w:val="center"/>
            <w:hideMark/>
          </w:tcPr>
          <w:p w14:paraId="1AFAAD3E" w14:textId="77777777" w:rsidR="00E42B18" w:rsidRDefault="009629C4">
            <w:pPr>
              <w:pStyle w:val="P68B1DB1-Normal11"/>
              <w:jc w:val="center"/>
              <w:rPr>
                <w:noProof/>
                <w:szCs w:val="20"/>
              </w:rPr>
            </w:pPr>
            <w:r>
              <w:rPr>
                <w:noProof/>
              </w:rPr>
              <w:t>EI OLE</w:t>
            </w:r>
          </w:p>
        </w:tc>
        <w:tc>
          <w:tcPr>
            <w:tcW w:w="1089" w:type="dxa"/>
            <w:shd w:val="clear" w:color="auto" w:fill="C6EFCE"/>
            <w:noWrap/>
            <w:vAlign w:val="center"/>
            <w:hideMark/>
          </w:tcPr>
          <w:p w14:paraId="1DD4F2E0" w14:textId="77777777" w:rsidR="00E42B18" w:rsidRDefault="009629C4">
            <w:pPr>
              <w:pStyle w:val="P68B1DB1-Normal11"/>
              <w:jc w:val="center"/>
              <w:rPr>
                <w:noProof/>
                <w:szCs w:val="20"/>
              </w:rPr>
            </w:pPr>
            <w:r>
              <w:rPr>
                <w:noProof/>
              </w:rPr>
              <w:t>Numero</w:t>
            </w:r>
          </w:p>
        </w:tc>
        <w:tc>
          <w:tcPr>
            <w:tcW w:w="1074" w:type="dxa"/>
            <w:shd w:val="clear" w:color="auto" w:fill="C6EFCE"/>
            <w:noWrap/>
            <w:vAlign w:val="center"/>
            <w:hideMark/>
          </w:tcPr>
          <w:p w14:paraId="0D763C91" w14:textId="77777777" w:rsidR="00E42B18" w:rsidRDefault="009629C4">
            <w:pPr>
              <w:pStyle w:val="P68B1DB1-Normal11"/>
              <w:jc w:val="center"/>
              <w:rPr>
                <w:noProof/>
                <w:szCs w:val="20"/>
              </w:rPr>
            </w:pPr>
            <w:r>
              <w:rPr>
                <w:noProof/>
              </w:rPr>
              <w:t>50</w:t>
            </w:r>
          </w:p>
        </w:tc>
        <w:tc>
          <w:tcPr>
            <w:tcW w:w="1539" w:type="dxa"/>
            <w:shd w:val="clear" w:color="auto" w:fill="C6EFCE"/>
            <w:noWrap/>
            <w:vAlign w:val="center"/>
            <w:hideMark/>
          </w:tcPr>
          <w:p w14:paraId="0BFE3B34" w14:textId="77777777" w:rsidR="00E42B18" w:rsidRDefault="009629C4">
            <w:pPr>
              <w:pStyle w:val="P68B1DB1-Normal11"/>
              <w:jc w:val="center"/>
              <w:rPr>
                <w:noProof/>
                <w:szCs w:val="20"/>
              </w:rPr>
            </w:pPr>
            <w:r>
              <w:rPr>
                <w:noProof/>
              </w:rPr>
              <w:t>300</w:t>
            </w:r>
          </w:p>
        </w:tc>
        <w:tc>
          <w:tcPr>
            <w:tcW w:w="975" w:type="dxa"/>
            <w:shd w:val="clear" w:color="auto" w:fill="C6EFCE"/>
            <w:noWrap/>
            <w:vAlign w:val="center"/>
            <w:hideMark/>
          </w:tcPr>
          <w:p w14:paraId="3331FA08" w14:textId="77777777" w:rsidR="00E42B18" w:rsidRDefault="009629C4">
            <w:pPr>
              <w:pStyle w:val="P68B1DB1-Normal11"/>
              <w:jc w:val="center"/>
              <w:rPr>
                <w:noProof/>
                <w:szCs w:val="20"/>
              </w:rPr>
            </w:pPr>
            <w:r>
              <w:rPr>
                <w:noProof/>
              </w:rPr>
              <w:t>Q4</w:t>
            </w:r>
          </w:p>
        </w:tc>
        <w:tc>
          <w:tcPr>
            <w:tcW w:w="611" w:type="dxa"/>
            <w:shd w:val="clear" w:color="auto" w:fill="C6EFCE"/>
            <w:noWrap/>
            <w:vAlign w:val="center"/>
            <w:hideMark/>
          </w:tcPr>
          <w:p w14:paraId="1F51CAF7" w14:textId="77777777" w:rsidR="00E42B18" w:rsidRDefault="009629C4">
            <w:pPr>
              <w:pStyle w:val="P68B1DB1-Normal11"/>
              <w:jc w:val="center"/>
              <w:rPr>
                <w:noProof/>
                <w:szCs w:val="20"/>
              </w:rPr>
            </w:pPr>
            <w:r>
              <w:rPr>
                <w:noProof/>
              </w:rPr>
              <w:t>2022</w:t>
            </w:r>
          </w:p>
        </w:tc>
        <w:tc>
          <w:tcPr>
            <w:tcW w:w="2521" w:type="dxa"/>
            <w:shd w:val="clear" w:color="auto" w:fill="C6EFCE"/>
            <w:noWrap/>
            <w:vAlign w:val="center"/>
            <w:hideMark/>
          </w:tcPr>
          <w:p w14:paraId="1FE43934" w14:textId="77777777" w:rsidR="00E42B18" w:rsidRDefault="009629C4">
            <w:pPr>
              <w:pStyle w:val="P68B1DB1-Normal11"/>
              <w:rPr>
                <w:noProof/>
                <w:szCs w:val="20"/>
              </w:rPr>
            </w:pPr>
            <w:r>
              <w:rPr>
                <w:noProof/>
              </w:rPr>
              <w:t>Vähintään 300 tutkimusapurahan myöntäminen opiskelijoille. Myöntämismenettelyyn on sisällyttävä tukikelpoisuusperusteet, joilla varmistetaan, että valitut hankkeet ovat ”ei merkittävää haittaa” -periaatetta koskevien teknisten ohjeiden (2021/C58/01) mukaisia poissulkemisluetteloa ja asiaa koskevan EU:n ja kansallisen ympäristölainsäädännön noudattamista koskevan vaatimuksen avulla.</w:t>
            </w:r>
          </w:p>
          <w:p w14:paraId="117340B5" w14:textId="77777777" w:rsidR="00E42B18" w:rsidRDefault="009629C4">
            <w:pPr>
              <w:pStyle w:val="P68B1DB1-Normal11"/>
              <w:rPr>
                <w:noProof/>
                <w:szCs w:val="20"/>
              </w:rPr>
            </w:pPr>
            <w:r>
              <w:rPr>
                <w:noProof/>
              </w:rPr>
              <w:t>Tavoitteen tyydyttävässä saavuttamisessa otetaan huomioon myös se, että vähintään 300 nuoresta tutkijasta on sopimussuhteessa.</w:t>
            </w:r>
          </w:p>
        </w:tc>
      </w:tr>
      <w:tr w:rsidR="00E42B18" w14:paraId="6AE167D3" w14:textId="77777777">
        <w:trPr>
          <w:trHeight w:val="1065"/>
          <w:jc w:val="center"/>
        </w:trPr>
        <w:tc>
          <w:tcPr>
            <w:tcW w:w="1292" w:type="dxa"/>
            <w:shd w:val="clear" w:color="auto" w:fill="C6EFCE"/>
            <w:noWrap/>
            <w:vAlign w:val="center"/>
            <w:hideMark/>
          </w:tcPr>
          <w:p w14:paraId="6C4BE837" w14:textId="77777777" w:rsidR="00E42B18" w:rsidRDefault="009629C4">
            <w:pPr>
              <w:pStyle w:val="P68B1DB1-Normal12"/>
              <w:jc w:val="center"/>
              <w:rPr>
                <w:rFonts w:eastAsia="Calibri"/>
                <w:noProof/>
              </w:rPr>
            </w:pPr>
            <w:r>
              <w:rPr>
                <w:noProof/>
              </w:rPr>
              <w:t>M4C2–1a</w:t>
            </w:r>
          </w:p>
        </w:tc>
        <w:tc>
          <w:tcPr>
            <w:tcW w:w="1368" w:type="dxa"/>
            <w:shd w:val="clear" w:color="auto" w:fill="C6EFCE"/>
            <w:noWrap/>
            <w:vAlign w:val="center"/>
            <w:hideMark/>
          </w:tcPr>
          <w:p w14:paraId="37187088" w14:textId="77777777" w:rsidR="00E42B18" w:rsidRDefault="009629C4">
            <w:pPr>
              <w:pStyle w:val="P68B1DB1-Normal11"/>
              <w:jc w:val="center"/>
              <w:rPr>
                <w:noProof/>
                <w:szCs w:val="20"/>
              </w:rPr>
            </w:pPr>
            <w:r>
              <w:rPr>
                <w:noProof/>
              </w:rPr>
              <w:t>Investointi 1.2: Nuorten tutkijoiden esittämien hankkeiden rahoittaminen</w:t>
            </w:r>
          </w:p>
          <w:p w14:paraId="3FA1D045" w14:textId="77777777" w:rsidR="00E42B18" w:rsidRDefault="00E42B18">
            <w:pPr>
              <w:jc w:val="center"/>
              <w:rPr>
                <w:rFonts w:ascii="Arial Narrow" w:hAnsi="Arial Narrow"/>
                <w:noProof/>
                <w:color w:val="006100"/>
                <w:sz w:val="20"/>
                <w:szCs w:val="20"/>
              </w:rPr>
            </w:pPr>
          </w:p>
        </w:tc>
        <w:tc>
          <w:tcPr>
            <w:tcW w:w="1413" w:type="dxa"/>
            <w:shd w:val="clear" w:color="auto" w:fill="C6EFCE"/>
            <w:noWrap/>
            <w:vAlign w:val="center"/>
            <w:hideMark/>
          </w:tcPr>
          <w:p w14:paraId="3DBFD01E" w14:textId="77777777" w:rsidR="00E42B18" w:rsidRDefault="009629C4">
            <w:pPr>
              <w:pStyle w:val="P68B1DB1-Normal12"/>
              <w:jc w:val="center"/>
              <w:rPr>
                <w:noProof/>
              </w:rPr>
            </w:pPr>
            <w:r>
              <w:rPr>
                <w:noProof/>
              </w:rPr>
              <w:t>Virstanpylväs</w:t>
            </w:r>
          </w:p>
        </w:tc>
        <w:tc>
          <w:tcPr>
            <w:tcW w:w="1302" w:type="dxa"/>
            <w:shd w:val="clear" w:color="auto" w:fill="C6EFCE"/>
            <w:noWrap/>
            <w:vAlign w:val="center"/>
            <w:hideMark/>
          </w:tcPr>
          <w:p w14:paraId="029FDBB4" w14:textId="00BD6972" w:rsidR="00E42B18" w:rsidRDefault="009629C4">
            <w:pPr>
              <w:pStyle w:val="P68B1DB1-Normal12"/>
              <w:jc w:val="center"/>
              <w:rPr>
                <w:noProof/>
              </w:rPr>
            </w:pPr>
            <w:r>
              <w:rPr>
                <w:noProof/>
              </w:rPr>
              <w:t xml:space="preserve">Tuen myöntämistä nuorille tutkijoille koskevien asetusten julkaiseminen </w:t>
            </w:r>
          </w:p>
          <w:p w14:paraId="49BC42D6" w14:textId="77777777" w:rsidR="00E42B18" w:rsidRDefault="00E42B18">
            <w:pPr>
              <w:jc w:val="center"/>
              <w:rPr>
                <w:rFonts w:ascii="Arial Narrow" w:eastAsia="Calibri" w:hAnsi="Arial Narrow"/>
                <w:noProof/>
                <w:color w:val="006100"/>
                <w:sz w:val="20"/>
                <w:szCs w:val="20"/>
              </w:rPr>
            </w:pPr>
          </w:p>
        </w:tc>
        <w:tc>
          <w:tcPr>
            <w:tcW w:w="1377" w:type="dxa"/>
            <w:shd w:val="clear" w:color="auto" w:fill="C6EFCE"/>
            <w:noWrap/>
            <w:vAlign w:val="center"/>
            <w:hideMark/>
          </w:tcPr>
          <w:p w14:paraId="565CD94B" w14:textId="77777777" w:rsidR="00E42B18" w:rsidRDefault="009629C4">
            <w:pPr>
              <w:pStyle w:val="P68B1DB1-Normal12"/>
              <w:jc w:val="center"/>
              <w:rPr>
                <w:noProof/>
              </w:rPr>
            </w:pPr>
            <w:r>
              <w:rPr>
                <w:noProof/>
              </w:rPr>
              <w:t>Asetuksen (asetusten) julkaiseminen</w:t>
            </w:r>
          </w:p>
        </w:tc>
        <w:tc>
          <w:tcPr>
            <w:tcW w:w="1089" w:type="dxa"/>
            <w:shd w:val="clear" w:color="auto" w:fill="C6EFCE"/>
            <w:noWrap/>
            <w:vAlign w:val="center"/>
            <w:hideMark/>
          </w:tcPr>
          <w:p w14:paraId="43090303" w14:textId="77777777" w:rsidR="00E42B18" w:rsidRDefault="009629C4">
            <w:pPr>
              <w:pStyle w:val="P68B1DB1-Normal12"/>
              <w:jc w:val="center"/>
              <w:rPr>
                <w:noProof/>
              </w:rPr>
            </w:pPr>
            <w:r>
              <w:rPr>
                <w:noProof/>
              </w:rPr>
              <w:t>EI OLE</w:t>
            </w:r>
          </w:p>
        </w:tc>
        <w:tc>
          <w:tcPr>
            <w:tcW w:w="1074" w:type="dxa"/>
            <w:shd w:val="clear" w:color="auto" w:fill="C6EFCE"/>
            <w:noWrap/>
            <w:vAlign w:val="center"/>
            <w:hideMark/>
          </w:tcPr>
          <w:p w14:paraId="4BC57217" w14:textId="77777777" w:rsidR="00E42B18" w:rsidRDefault="009629C4">
            <w:pPr>
              <w:pStyle w:val="P68B1DB1-Normal12"/>
              <w:jc w:val="center"/>
              <w:rPr>
                <w:noProof/>
              </w:rPr>
            </w:pPr>
            <w:r>
              <w:rPr>
                <w:noProof/>
              </w:rPr>
              <w:t>EI OLE</w:t>
            </w:r>
          </w:p>
        </w:tc>
        <w:tc>
          <w:tcPr>
            <w:tcW w:w="1539" w:type="dxa"/>
            <w:shd w:val="clear" w:color="auto" w:fill="C6EFCE"/>
            <w:noWrap/>
            <w:vAlign w:val="center"/>
            <w:hideMark/>
          </w:tcPr>
          <w:p w14:paraId="70B6BAB0" w14:textId="77777777" w:rsidR="00E42B18" w:rsidRDefault="009629C4">
            <w:pPr>
              <w:pStyle w:val="P68B1DB1-Normal12"/>
              <w:jc w:val="center"/>
              <w:rPr>
                <w:noProof/>
              </w:rPr>
            </w:pPr>
            <w:r>
              <w:rPr>
                <w:noProof/>
              </w:rPr>
              <w:t>EI OLE</w:t>
            </w:r>
          </w:p>
        </w:tc>
        <w:tc>
          <w:tcPr>
            <w:tcW w:w="975" w:type="dxa"/>
            <w:shd w:val="clear" w:color="auto" w:fill="C6EFCE"/>
            <w:noWrap/>
            <w:vAlign w:val="center"/>
            <w:hideMark/>
          </w:tcPr>
          <w:p w14:paraId="2D24E614" w14:textId="77777777" w:rsidR="00E42B18" w:rsidRDefault="009629C4">
            <w:pPr>
              <w:pStyle w:val="P68B1DB1-Normal12"/>
              <w:jc w:val="center"/>
              <w:rPr>
                <w:noProof/>
              </w:rPr>
            </w:pPr>
            <w:r>
              <w:rPr>
                <w:noProof/>
              </w:rPr>
              <w:t>Q2</w:t>
            </w:r>
          </w:p>
        </w:tc>
        <w:tc>
          <w:tcPr>
            <w:tcW w:w="611" w:type="dxa"/>
            <w:shd w:val="clear" w:color="auto" w:fill="C6EFCE"/>
            <w:noWrap/>
            <w:vAlign w:val="center"/>
            <w:hideMark/>
          </w:tcPr>
          <w:p w14:paraId="7B9B55B8" w14:textId="77777777" w:rsidR="00E42B18" w:rsidRDefault="009629C4">
            <w:pPr>
              <w:pStyle w:val="P68B1DB1-Normal11"/>
              <w:jc w:val="center"/>
              <w:rPr>
                <w:noProof/>
                <w:szCs w:val="20"/>
              </w:rPr>
            </w:pPr>
            <w:r>
              <w:rPr>
                <w:noProof/>
              </w:rPr>
              <w:t>2025</w:t>
            </w:r>
          </w:p>
        </w:tc>
        <w:tc>
          <w:tcPr>
            <w:tcW w:w="2521" w:type="dxa"/>
            <w:shd w:val="clear" w:color="auto" w:fill="C6EFCE"/>
            <w:noWrap/>
            <w:vAlign w:val="center"/>
            <w:hideMark/>
          </w:tcPr>
          <w:p w14:paraId="1134667D" w14:textId="29A0AB10" w:rsidR="00E42B18" w:rsidRDefault="009629C4">
            <w:pPr>
              <w:pStyle w:val="P68B1DB1-Normal12"/>
              <w:rPr>
                <w:noProof/>
              </w:rPr>
            </w:pPr>
            <w:r>
              <w:rPr>
                <w:noProof/>
              </w:rPr>
              <w:t xml:space="preserve">Julkaistaan asetus (asetukset), jolla/joilla myönnetään rahoitusta vähintään 550 nuorelle tutkijalle. </w:t>
            </w:r>
          </w:p>
          <w:p w14:paraId="224C7997" w14:textId="0BA3E18F" w:rsidR="00E42B18" w:rsidRDefault="009629C4">
            <w:pPr>
              <w:pStyle w:val="P68B1DB1-Normal12"/>
              <w:rPr>
                <w:noProof/>
              </w:rPr>
            </w:pPr>
            <w:r>
              <w:rPr>
                <w:noProof/>
              </w:rPr>
              <w:t>Nuorten tutkijoiden on noudatettava seuraavia edellytyksiä: hakija on ollut enintään 40-vuotias ehdotuspyynnön julkaisupäivänä (hakupyynnön julkaisupäivänä 40 vuotta vanhat profiilit ovat tukikelpoisia 41 vuoden ikään asti) tai enintään seitsemän vuotta aiemmin tohtorintutkinnon suorittaneiden 41–45-vuotiaiden profiilien osalta (hakupyynnön julkaisupäivänä 45 vuotta vanhat profiilit ovat tukikelpoisia 46 vuoden ikään asti).</w:t>
            </w:r>
          </w:p>
        </w:tc>
      </w:tr>
      <w:tr w:rsidR="00E42B18" w14:paraId="49555037" w14:textId="77777777">
        <w:trPr>
          <w:trHeight w:val="309"/>
          <w:jc w:val="center"/>
        </w:trPr>
        <w:tc>
          <w:tcPr>
            <w:tcW w:w="1292" w:type="dxa"/>
            <w:shd w:val="clear" w:color="auto" w:fill="C6EFCE"/>
            <w:noWrap/>
            <w:vAlign w:val="center"/>
          </w:tcPr>
          <w:p w14:paraId="6458FEEA" w14:textId="77777777" w:rsidR="00E42B18" w:rsidRDefault="009629C4">
            <w:pPr>
              <w:pStyle w:val="P68B1DB1-Normal11"/>
              <w:jc w:val="center"/>
              <w:rPr>
                <w:noProof/>
                <w:szCs w:val="20"/>
              </w:rPr>
            </w:pPr>
            <w:r>
              <w:rPr>
                <w:noProof/>
              </w:rPr>
              <w:t>M4C2–2bis</w:t>
            </w:r>
          </w:p>
        </w:tc>
        <w:tc>
          <w:tcPr>
            <w:tcW w:w="1368" w:type="dxa"/>
            <w:shd w:val="clear" w:color="auto" w:fill="C6EFCE"/>
            <w:noWrap/>
            <w:vAlign w:val="center"/>
          </w:tcPr>
          <w:p w14:paraId="45383B30" w14:textId="77777777" w:rsidR="00E42B18" w:rsidRDefault="009629C4">
            <w:pPr>
              <w:pStyle w:val="P68B1DB1-Normal11"/>
              <w:jc w:val="center"/>
              <w:rPr>
                <w:noProof/>
              </w:rPr>
            </w:pPr>
            <w:r>
              <w:rPr>
                <w:noProof/>
              </w:rPr>
              <w:t>Investointi 2.2 a: Innovaatiosopimukset</w:t>
            </w:r>
          </w:p>
        </w:tc>
        <w:tc>
          <w:tcPr>
            <w:tcW w:w="1413" w:type="dxa"/>
            <w:shd w:val="clear" w:color="auto" w:fill="C6EFCE"/>
            <w:noWrap/>
            <w:vAlign w:val="center"/>
          </w:tcPr>
          <w:p w14:paraId="194374A9" w14:textId="77777777" w:rsidR="00E42B18" w:rsidRDefault="009629C4">
            <w:pPr>
              <w:pStyle w:val="P68B1DB1-Normal11"/>
              <w:jc w:val="center"/>
              <w:rPr>
                <w:noProof/>
              </w:rPr>
            </w:pPr>
            <w:r>
              <w:rPr>
                <w:noProof/>
              </w:rPr>
              <w:t>Kohde</w:t>
            </w:r>
          </w:p>
        </w:tc>
        <w:tc>
          <w:tcPr>
            <w:tcW w:w="1302" w:type="dxa"/>
            <w:shd w:val="clear" w:color="auto" w:fill="C6EFCE"/>
            <w:noWrap/>
            <w:vAlign w:val="center"/>
          </w:tcPr>
          <w:p w14:paraId="4BDF312A" w14:textId="77777777" w:rsidR="00E42B18" w:rsidRDefault="009629C4">
            <w:pPr>
              <w:pStyle w:val="P68B1DB1-Normal11"/>
              <w:jc w:val="center"/>
              <w:rPr>
                <w:noProof/>
              </w:rPr>
            </w:pPr>
            <w:r>
              <w:rPr>
                <w:noProof/>
              </w:rPr>
              <w:t xml:space="preserve">Innovaatiosopimukset valmis </w:t>
            </w:r>
          </w:p>
        </w:tc>
        <w:tc>
          <w:tcPr>
            <w:tcW w:w="1377" w:type="dxa"/>
            <w:shd w:val="clear" w:color="auto" w:fill="C6EFCE"/>
            <w:noWrap/>
            <w:vAlign w:val="center"/>
          </w:tcPr>
          <w:p w14:paraId="4C6DF3D2" w14:textId="77777777" w:rsidR="00E42B18" w:rsidRDefault="009629C4">
            <w:pPr>
              <w:pStyle w:val="P68B1DB1-Normal11"/>
              <w:jc w:val="center"/>
              <w:rPr>
                <w:noProof/>
              </w:rPr>
            </w:pPr>
            <w:r>
              <w:rPr>
                <w:noProof/>
              </w:rPr>
              <w:t>EI OLE</w:t>
            </w:r>
          </w:p>
        </w:tc>
        <w:tc>
          <w:tcPr>
            <w:tcW w:w="1089" w:type="dxa"/>
            <w:shd w:val="clear" w:color="auto" w:fill="C6EFCE"/>
            <w:noWrap/>
            <w:vAlign w:val="center"/>
          </w:tcPr>
          <w:p w14:paraId="312F97C8" w14:textId="77777777" w:rsidR="00E42B18" w:rsidRDefault="009629C4">
            <w:pPr>
              <w:pStyle w:val="P68B1DB1-Normal11"/>
              <w:jc w:val="center"/>
              <w:rPr>
                <w:noProof/>
              </w:rPr>
            </w:pPr>
            <w:r>
              <w:rPr>
                <w:noProof/>
              </w:rPr>
              <w:t>Numero</w:t>
            </w:r>
          </w:p>
        </w:tc>
        <w:tc>
          <w:tcPr>
            <w:tcW w:w="1074" w:type="dxa"/>
            <w:shd w:val="clear" w:color="auto" w:fill="C6EFCE"/>
            <w:noWrap/>
            <w:vAlign w:val="center"/>
          </w:tcPr>
          <w:p w14:paraId="09DE9AFE" w14:textId="77777777" w:rsidR="00E42B18" w:rsidRDefault="009629C4">
            <w:pPr>
              <w:pStyle w:val="P68B1DB1-Normal11"/>
              <w:jc w:val="center"/>
              <w:rPr>
                <w:noProof/>
              </w:rPr>
            </w:pPr>
            <w:r>
              <w:rPr>
                <w:noProof/>
              </w:rPr>
              <w:t>0</w:t>
            </w:r>
          </w:p>
        </w:tc>
        <w:tc>
          <w:tcPr>
            <w:tcW w:w="1539" w:type="dxa"/>
            <w:shd w:val="clear" w:color="auto" w:fill="C6EFCE"/>
            <w:noWrap/>
            <w:vAlign w:val="center"/>
          </w:tcPr>
          <w:p w14:paraId="3BECB2C1" w14:textId="77777777" w:rsidR="00E42B18" w:rsidRDefault="009629C4">
            <w:pPr>
              <w:pStyle w:val="P68B1DB1-Normal11"/>
              <w:jc w:val="center"/>
              <w:rPr>
                <w:noProof/>
                <w:szCs w:val="20"/>
              </w:rPr>
            </w:pPr>
            <w:r>
              <w:rPr>
                <w:noProof/>
              </w:rPr>
              <w:t>32</w:t>
            </w:r>
          </w:p>
        </w:tc>
        <w:tc>
          <w:tcPr>
            <w:tcW w:w="975" w:type="dxa"/>
            <w:shd w:val="clear" w:color="auto" w:fill="C6EFCE"/>
            <w:noWrap/>
            <w:vAlign w:val="center"/>
          </w:tcPr>
          <w:p w14:paraId="02925D99" w14:textId="77777777" w:rsidR="00E42B18" w:rsidRDefault="009629C4">
            <w:pPr>
              <w:pStyle w:val="P68B1DB1-Normal11"/>
              <w:jc w:val="center"/>
              <w:rPr>
                <w:noProof/>
                <w:szCs w:val="20"/>
              </w:rPr>
            </w:pPr>
            <w:r>
              <w:rPr>
                <w:noProof/>
              </w:rPr>
              <w:t>Q4</w:t>
            </w:r>
          </w:p>
        </w:tc>
        <w:tc>
          <w:tcPr>
            <w:tcW w:w="611" w:type="dxa"/>
            <w:shd w:val="clear" w:color="auto" w:fill="C6EFCE"/>
            <w:noWrap/>
            <w:vAlign w:val="center"/>
          </w:tcPr>
          <w:p w14:paraId="441D74FF" w14:textId="77777777" w:rsidR="00E42B18" w:rsidRDefault="009629C4">
            <w:pPr>
              <w:pStyle w:val="P68B1DB1-Normal12"/>
              <w:jc w:val="center"/>
              <w:rPr>
                <w:noProof/>
              </w:rPr>
            </w:pPr>
            <w:r>
              <w:rPr>
                <w:noProof/>
              </w:rPr>
              <w:t>2025</w:t>
            </w:r>
          </w:p>
        </w:tc>
        <w:tc>
          <w:tcPr>
            <w:tcW w:w="2521" w:type="dxa"/>
            <w:shd w:val="clear" w:color="auto" w:fill="C6EFCE"/>
            <w:noWrap/>
            <w:vAlign w:val="center"/>
          </w:tcPr>
          <w:p w14:paraId="391E403E" w14:textId="21A8441E" w:rsidR="00E42B18" w:rsidRDefault="009629C4">
            <w:pPr>
              <w:pStyle w:val="P68B1DB1-Normal12"/>
              <w:rPr>
                <w:noProof/>
              </w:rPr>
            </w:pPr>
            <w:r>
              <w:rPr>
                <w:noProof/>
              </w:rPr>
              <w:t xml:space="preserve">Antaa todistuksen vähintään 32 innovaatiosopimuksen täyttämisestä seuraavilla toiminta-aloilla: </w:t>
            </w:r>
          </w:p>
          <w:p w14:paraId="589360B1" w14:textId="77777777" w:rsidR="00E42B18" w:rsidRDefault="009629C4">
            <w:pPr>
              <w:pStyle w:val="P68B1DB1-Normal12"/>
              <w:numPr>
                <w:ilvl w:val="0"/>
                <w:numId w:val="64"/>
              </w:numPr>
              <w:spacing w:line="279" w:lineRule="auto"/>
              <w:rPr>
                <w:noProof/>
              </w:rPr>
            </w:pPr>
            <w:r>
              <w:rPr>
                <w:noProof/>
              </w:rPr>
              <w:t xml:space="preserve">valmistusteknologiat, </w:t>
            </w:r>
          </w:p>
          <w:p w14:paraId="28F13BCC" w14:textId="77777777" w:rsidR="00E42B18" w:rsidRDefault="009629C4">
            <w:pPr>
              <w:pStyle w:val="P68B1DB1-Normal12"/>
              <w:numPr>
                <w:ilvl w:val="0"/>
                <w:numId w:val="64"/>
              </w:numPr>
              <w:spacing w:line="279" w:lineRule="auto"/>
              <w:rPr>
                <w:noProof/>
              </w:rPr>
            </w:pPr>
            <w:r>
              <w:rPr>
                <w:noProof/>
              </w:rPr>
              <w:t>keskeiset digitaaliset teknologiat, myös kvanttiteknologiat,</w:t>
            </w:r>
          </w:p>
          <w:p w14:paraId="498FBE40" w14:textId="77777777" w:rsidR="00E42B18" w:rsidRDefault="009629C4">
            <w:pPr>
              <w:pStyle w:val="P68B1DB1-Normal12"/>
              <w:numPr>
                <w:ilvl w:val="0"/>
                <w:numId w:val="64"/>
              </w:numPr>
              <w:spacing w:line="279" w:lineRule="auto"/>
              <w:rPr>
                <w:noProof/>
              </w:rPr>
            </w:pPr>
            <w:r>
              <w:rPr>
                <w:noProof/>
              </w:rPr>
              <w:t xml:space="preserve">uudet mahdollistavat teknologiat, </w:t>
            </w:r>
          </w:p>
          <w:p w14:paraId="2A827F7C" w14:textId="77777777" w:rsidR="00E42B18" w:rsidRDefault="009629C4">
            <w:pPr>
              <w:pStyle w:val="P68B1DB1-Normal12"/>
              <w:numPr>
                <w:ilvl w:val="0"/>
                <w:numId w:val="64"/>
              </w:numPr>
              <w:spacing w:line="279" w:lineRule="auto"/>
              <w:rPr>
                <w:noProof/>
              </w:rPr>
            </w:pPr>
            <w:r>
              <w:rPr>
                <w:noProof/>
              </w:rPr>
              <w:t>kehittyneet materiaalit;</w:t>
            </w:r>
          </w:p>
          <w:p w14:paraId="6B61708A" w14:textId="77777777" w:rsidR="00E42B18" w:rsidRDefault="009629C4">
            <w:pPr>
              <w:pStyle w:val="P68B1DB1-Normal12"/>
              <w:numPr>
                <w:ilvl w:val="0"/>
                <w:numId w:val="64"/>
              </w:numPr>
              <w:spacing w:line="279" w:lineRule="auto"/>
              <w:rPr>
                <w:noProof/>
              </w:rPr>
            </w:pPr>
            <w:r>
              <w:rPr>
                <w:noProof/>
              </w:rPr>
              <w:t xml:space="preserve">tekoäly ja robotiikka, </w:t>
            </w:r>
          </w:p>
          <w:p w14:paraId="14275CB1" w14:textId="77777777" w:rsidR="00E42B18" w:rsidRDefault="009629C4">
            <w:pPr>
              <w:pStyle w:val="P68B1DB1-Normal12"/>
              <w:numPr>
                <w:ilvl w:val="0"/>
                <w:numId w:val="64"/>
              </w:numPr>
              <w:spacing w:line="279" w:lineRule="auto"/>
              <w:rPr>
                <w:noProof/>
              </w:rPr>
            </w:pPr>
            <w:r>
              <w:rPr>
                <w:noProof/>
              </w:rPr>
              <w:t xml:space="preserve">kiertoteollisuus, </w:t>
            </w:r>
          </w:p>
          <w:p w14:paraId="451B9DD6" w14:textId="77777777" w:rsidR="00E42B18" w:rsidRDefault="009629C4">
            <w:pPr>
              <w:pStyle w:val="P68B1DB1-Normal12"/>
              <w:numPr>
                <w:ilvl w:val="0"/>
                <w:numId w:val="64"/>
              </w:numPr>
              <w:spacing w:line="279" w:lineRule="auto"/>
              <w:rPr>
                <w:noProof/>
              </w:rPr>
            </w:pPr>
            <w:r>
              <w:rPr>
                <w:noProof/>
              </w:rPr>
              <w:t xml:space="preserve">vähähiilinen ja puhdas teollisuus, </w:t>
            </w:r>
          </w:p>
          <w:p w14:paraId="4F82E2AC" w14:textId="77777777" w:rsidR="00E42B18" w:rsidRDefault="009629C4">
            <w:pPr>
              <w:pStyle w:val="P68B1DB1-Normal12"/>
              <w:numPr>
                <w:ilvl w:val="0"/>
                <w:numId w:val="64"/>
              </w:numPr>
              <w:spacing w:line="279" w:lineRule="auto"/>
              <w:rPr>
                <w:noProof/>
              </w:rPr>
            </w:pPr>
            <w:r>
              <w:rPr>
                <w:noProof/>
              </w:rPr>
              <w:t>ei-tarttuvat taudit ja harvinaissairaudet;</w:t>
            </w:r>
          </w:p>
          <w:p w14:paraId="6B3EC8B5" w14:textId="77777777" w:rsidR="00E42B18" w:rsidRDefault="009629C4">
            <w:pPr>
              <w:pStyle w:val="P68B1DB1-Normal12"/>
              <w:numPr>
                <w:ilvl w:val="0"/>
                <w:numId w:val="64"/>
              </w:numPr>
              <w:spacing w:line="279" w:lineRule="auto"/>
              <w:rPr>
                <w:noProof/>
              </w:rPr>
            </w:pPr>
            <w:r>
              <w:rPr>
                <w:noProof/>
              </w:rPr>
              <w:t xml:space="preserve">tartuntataudit, mukaan lukien köyhyyteen liittyvät ja laiminlyödyt sairaudet; </w:t>
            </w:r>
          </w:p>
          <w:p w14:paraId="62A6BAFE" w14:textId="77777777" w:rsidR="00E42B18" w:rsidRDefault="009629C4">
            <w:pPr>
              <w:pStyle w:val="P68B1DB1-Normal12"/>
              <w:numPr>
                <w:ilvl w:val="0"/>
                <w:numId w:val="64"/>
              </w:numPr>
              <w:spacing w:line="279" w:lineRule="auto"/>
              <w:rPr>
                <w:noProof/>
              </w:rPr>
            </w:pPr>
            <w:r>
              <w:rPr>
                <w:noProof/>
              </w:rPr>
              <w:t>välineet, teknologiat ja digitaaliset ratkaisut terveydenhuoltoa ja hoito-alaa varten yksilöllistetty hoito mukaan lukien;</w:t>
            </w:r>
          </w:p>
          <w:p w14:paraId="31608A33" w14:textId="77777777" w:rsidR="00E42B18" w:rsidRDefault="009629C4">
            <w:pPr>
              <w:pStyle w:val="P68B1DB1-Normal12"/>
              <w:numPr>
                <w:ilvl w:val="0"/>
                <w:numId w:val="64"/>
              </w:numPr>
              <w:spacing w:line="279" w:lineRule="auto"/>
              <w:rPr>
                <w:noProof/>
              </w:rPr>
            </w:pPr>
            <w:r>
              <w:rPr>
                <w:noProof/>
              </w:rPr>
              <w:t>energiakäänteen teollisuuslaitokset;</w:t>
            </w:r>
          </w:p>
          <w:p w14:paraId="5FA29DE4" w14:textId="77777777" w:rsidR="00E42B18" w:rsidRDefault="009629C4">
            <w:pPr>
              <w:pStyle w:val="P68B1DB1-Normal12"/>
              <w:numPr>
                <w:ilvl w:val="0"/>
                <w:numId w:val="64"/>
              </w:numPr>
              <w:spacing w:line="279" w:lineRule="auto"/>
              <w:rPr>
                <w:noProof/>
              </w:rPr>
            </w:pPr>
            <w:r>
              <w:rPr>
                <w:noProof/>
              </w:rPr>
              <w:t>teollisuuden kilpailukyky liikenteessä,</w:t>
            </w:r>
          </w:p>
          <w:p w14:paraId="7C902C16" w14:textId="77777777" w:rsidR="00E42B18" w:rsidRDefault="009629C4">
            <w:pPr>
              <w:pStyle w:val="P68B1DB1-Normal12"/>
              <w:numPr>
                <w:ilvl w:val="0"/>
                <w:numId w:val="64"/>
              </w:numPr>
              <w:spacing w:line="279" w:lineRule="auto"/>
              <w:rPr>
                <w:noProof/>
              </w:rPr>
            </w:pPr>
            <w:r>
              <w:rPr>
                <w:noProof/>
              </w:rPr>
              <w:t>puhdas, turvallinen ja esteetön liikenne ja liikkuvuus;</w:t>
            </w:r>
          </w:p>
          <w:p w14:paraId="41F83649" w14:textId="77777777" w:rsidR="00E42B18" w:rsidRDefault="009629C4">
            <w:pPr>
              <w:pStyle w:val="P68B1DB1-Normal12"/>
              <w:numPr>
                <w:ilvl w:val="0"/>
                <w:numId w:val="64"/>
              </w:numPr>
              <w:spacing w:line="279" w:lineRule="auto"/>
              <w:rPr>
                <w:noProof/>
              </w:rPr>
            </w:pPr>
            <w:r>
              <w:rPr>
                <w:noProof/>
              </w:rPr>
              <w:t xml:space="preserve">älykäs liikkuvuus; </w:t>
            </w:r>
          </w:p>
          <w:p w14:paraId="6A4776BE" w14:textId="77777777" w:rsidR="00E42B18" w:rsidRDefault="009629C4">
            <w:pPr>
              <w:pStyle w:val="P68B1DB1-Normal12"/>
              <w:numPr>
                <w:ilvl w:val="0"/>
                <w:numId w:val="64"/>
              </w:numPr>
              <w:spacing w:line="279" w:lineRule="auto"/>
              <w:rPr>
                <w:noProof/>
              </w:rPr>
            </w:pPr>
            <w:r>
              <w:rPr>
                <w:noProof/>
              </w:rPr>
              <w:t>energian varastointi,</w:t>
            </w:r>
          </w:p>
          <w:p w14:paraId="52A34A43" w14:textId="77777777" w:rsidR="00E42B18" w:rsidRDefault="009629C4">
            <w:pPr>
              <w:pStyle w:val="P68B1DB1-Normal12"/>
              <w:numPr>
                <w:ilvl w:val="0"/>
                <w:numId w:val="64"/>
              </w:numPr>
              <w:spacing w:line="279" w:lineRule="auto"/>
              <w:rPr>
                <w:noProof/>
              </w:rPr>
            </w:pPr>
            <w:r>
              <w:rPr>
                <w:noProof/>
              </w:rPr>
              <w:t>elintarvikejärjestelmä;</w:t>
            </w:r>
          </w:p>
          <w:p w14:paraId="5D64D41D" w14:textId="77777777" w:rsidR="00E42B18" w:rsidRDefault="009629C4">
            <w:pPr>
              <w:pStyle w:val="P68B1DB1-Normal12"/>
              <w:numPr>
                <w:ilvl w:val="0"/>
                <w:numId w:val="64"/>
              </w:numPr>
              <w:spacing w:line="279" w:lineRule="auto"/>
              <w:rPr>
                <w:noProof/>
              </w:rPr>
            </w:pPr>
            <w:r>
              <w:rPr>
                <w:noProof/>
              </w:rPr>
              <w:t>unionin biotalouden biopohjaiset innovaatiojärjestelmät ja</w:t>
            </w:r>
          </w:p>
          <w:p w14:paraId="002A4C55" w14:textId="77777777" w:rsidR="00E42B18" w:rsidRDefault="009629C4">
            <w:pPr>
              <w:pStyle w:val="P68B1DB1-Normal12"/>
              <w:numPr>
                <w:ilvl w:val="0"/>
                <w:numId w:val="64"/>
              </w:numPr>
              <w:spacing w:line="279" w:lineRule="auto"/>
              <w:rPr>
                <w:noProof/>
              </w:rPr>
            </w:pPr>
            <w:r>
              <w:rPr>
                <w:noProof/>
              </w:rPr>
              <w:t>kiertoon perustuvat järjestelmät.</w:t>
            </w:r>
          </w:p>
          <w:p w14:paraId="71BF0CA7" w14:textId="19DE5B71" w:rsidR="00E42B18" w:rsidRDefault="009629C4">
            <w:pPr>
              <w:rPr>
                <w:rFonts w:ascii="Arial Narrow" w:eastAsia="Arial Narrow" w:hAnsi="Arial Narrow" w:cs="Arial Narrow"/>
                <w:noProof/>
                <w:sz w:val="20"/>
                <w:szCs w:val="20"/>
              </w:rPr>
            </w:pPr>
            <w:r>
              <w:rPr>
                <w:rFonts w:ascii="Arial Narrow" w:eastAsia="Arial Narrow" w:hAnsi="Arial Narrow" w:cs="Arial Narrow"/>
                <w:noProof/>
                <w:color w:val="006100"/>
                <w:sz w:val="20"/>
                <w:szCs w:val="20"/>
              </w:rPr>
              <w:t>Sen varmistamiseksi, että toimenpide on ”ei merkittävää haittaa” -periaatetta koskevien teknisten ohjeiden (2021/C58/01) mukainen, valittujen hankkeiden ulkopuolelle on jätettävä seuraavat toimet: I) fossiilisiin polttoaineisiin liittyvät toiminnot ja varat, mukaan lukien käyttö tuotantoketjun loppupäässä;</w:t>
            </w:r>
            <w:r>
              <w:rPr>
                <w:rStyle w:val="FootnoteReference"/>
                <w:rFonts w:ascii="Arial Narrow" w:eastAsia="Arial Narrow" w:hAnsi="Arial Narrow" w:cs="Arial Narrow"/>
                <w:noProof/>
                <w:color w:val="006100"/>
                <w:sz w:val="20"/>
                <w:szCs w:val="20"/>
              </w:rPr>
              <w:footnoteReference w:id="77"/>
            </w:r>
            <w:r>
              <w:rPr>
                <w:rFonts w:ascii="Arial Narrow" w:eastAsia="Arial Narrow" w:hAnsi="Arial Narrow" w:cs="Arial Narrow"/>
                <w:noProof/>
                <w:color w:val="006100"/>
                <w:sz w:val="20"/>
                <w:szCs w:val="20"/>
              </w:rPr>
              <w:t xml:space="preserve"> II) EU:n päästökauppajärjestelmään kuuluvat toimet, joilla saavutetaan ennustetut kasvihuonekaasupäästöt, jotka eivät alita asiaankuuluvia vertailuarvoja;</w:t>
            </w:r>
            <w:r>
              <w:rPr>
                <w:rStyle w:val="FootnoteReference"/>
                <w:rFonts w:ascii="Arial Narrow" w:eastAsia="Arial Narrow" w:hAnsi="Arial Narrow" w:cs="Arial Narrow"/>
                <w:noProof/>
                <w:color w:val="006100"/>
                <w:sz w:val="20"/>
                <w:szCs w:val="20"/>
              </w:rPr>
              <w:footnoteReference w:id="78"/>
            </w:r>
            <w:r>
              <w:rPr>
                <w:rFonts w:ascii="Arial Narrow" w:eastAsia="Arial Narrow" w:hAnsi="Arial Narrow" w:cs="Arial Narrow"/>
                <w:noProof/>
                <w:color w:val="006100"/>
                <w:sz w:val="20"/>
                <w:szCs w:val="20"/>
              </w:rPr>
              <w:t xml:space="preserve"> III) kaatopaikkoihin, polttolaitoksiin ja mekaanisiin biologisiin käsittelylaitoksiin liittyvä toiminta</w:t>
            </w:r>
            <w:r>
              <w:rPr>
                <w:rStyle w:val="FootnoteReference"/>
                <w:rFonts w:ascii="Arial Narrow" w:eastAsia="Arial Narrow" w:hAnsi="Arial Narrow" w:cs="Arial Narrow"/>
                <w:noProof/>
                <w:color w:val="006100"/>
                <w:sz w:val="20"/>
                <w:szCs w:val="20"/>
              </w:rPr>
              <w:footnoteReference w:id="79"/>
            </w:r>
            <w:r>
              <w:rPr>
                <w:rFonts w:ascii="Arial Narrow" w:eastAsia="Arial Narrow" w:hAnsi="Arial Narrow" w:cs="Arial Narrow"/>
                <w:noProof/>
                <w:color w:val="006100"/>
                <w:sz w:val="20"/>
                <w:szCs w:val="20"/>
              </w:rPr>
              <w:t xml:space="preserve"> ja omaisuus.</w:t>
            </w:r>
            <w:r>
              <w:rPr>
                <w:rStyle w:val="FootnoteReference"/>
                <w:rFonts w:ascii="Arial Narrow" w:eastAsia="Arial Narrow" w:hAnsi="Arial Narrow" w:cs="Arial Narrow"/>
                <w:noProof/>
                <w:color w:val="006100"/>
                <w:sz w:val="20"/>
                <w:szCs w:val="20"/>
              </w:rPr>
              <w:footnoteReference w:id="80"/>
            </w:r>
          </w:p>
        </w:tc>
      </w:tr>
      <w:tr w:rsidR="00E42B18" w14:paraId="50D5BCC5" w14:textId="77777777">
        <w:trPr>
          <w:trHeight w:val="309"/>
          <w:jc w:val="center"/>
        </w:trPr>
        <w:tc>
          <w:tcPr>
            <w:tcW w:w="1292" w:type="dxa"/>
            <w:shd w:val="clear" w:color="auto" w:fill="C6EFCE"/>
            <w:noWrap/>
            <w:vAlign w:val="center"/>
            <w:hideMark/>
          </w:tcPr>
          <w:p w14:paraId="68F32545" w14:textId="77777777" w:rsidR="00E42B18" w:rsidRDefault="009629C4">
            <w:pPr>
              <w:pStyle w:val="P68B1DB1-Normal12"/>
              <w:jc w:val="center"/>
              <w:rPr>
                <w:noProof/>
              </w:rPr>
            </w:pPr>
            <w:r>
              <w:rPr>
                <w:noProof/>
              </w:rPr>
              <w:t>M4C2–3</w:t>
            </w:r>
          </w:p>
        </w:tc>
        <w:tc>
          <w:tcPr>
            <w:tcW w:w="1368" w:type="dxa"/>
            <w:shd w:val="clear" w:color="auto" w:fill="C6EFCE"/>
            <w:noWrap/>
            <w:vAlign w:val="center"/>
            <w:hideMark/>
          </w:tcPr>
          <w:p w14:paraId="52E9B95B" w14:textId="77777777" w:rsidR="00E42B18" w:rsidRDefault="009629C4">
            <w:pPr>
              <w:pStyle w:val="P68B1DB1-Normal12"/>
              <w:jc w:val="center"/>
              <w:rPr>
                <w:rFonts w:eastAsia="Calibri"/>
                <w:noProof/>
              </w:rPr>
            </w:pPr>
            <w:r>
              <w:rPr>
                <w:noProof/>
              </w:rPr>
              <w:t>Investointi 3.3: Tohtorintutkinnon stipendien myöntäminen yhteistyössä yritysten kanssa ja tutkijoiden palkkaamisen edistäminen yrityksissä</w:t>
            </w:r>
          </w:p>
        </w:tc>
        <w:tc>
          <w:tcPr>
            <w:tcW w:w="1413" w:type="dxa"/>
            <w:shd w:val="clear" w:color="auto" w:fill="C6EFCE"/>
            <w:noWrap/>
            <w:vAlign w:val="center"/>
            <w:hideMark/>
          </w:tcPr>
          <w:p w14:paraId="6B78CA79" w14:textId="77777777" w:rsidR="00E42B18" w:rsidRDefault="009629C4">
            <w:pPr>
              <w:pStyle w:val="P68B1DB1-Normal11"/>
              <w:jc w:val="center"/>
              <w:rPr>
                <w:noProof/>
                <w:szCs w:val="20"/>
              </w:rPr>
            </w:pPr>
            <w:r>
              <w:rPr>
                <w:noProof/>
              </w:rPr>
              <w:t>Kohde</w:t>
            </w:r>
          </w:p>
        </w:tc>
        <w:tc>
          <w:tcPr>
            <w:tcW w:w="1302" w:type="dxa"/>
            <w:shd w:val="clear" w:color="auto" w:fill="C6EFCE"/>
            <w:noWrap/>
            <w:vAlign w:val="center"/>
            <w:hideMark/>
          </w:tcPr>
          <w:p w14:paraId="13FC6BD0" w14:textId="63902618" w:rsidR="00E42B18" w:rsidRDefault="009629C4">
            <w:pPr>
              <w:pStyle w:val="P68B1DB1-Normal11"/>
              <w:jc w:val="center"/>
              <w:rPr>
                <w:noProof/>
                <w:szCs w:val="20"/>
              </w:rPr>
            </w:pPr>
            <w:r>
              <w:rPr>
                <w:noProof/>
              </w:rPr>
              <w:t>Tohtorintutkinnon suorittaneille myönnettyjen apurahojen määrä</w:t>
            </w:r>
          </w:p>
        </w:tc>
        <w:tc>
          <w:tcPr>
            <w:tcW w:w="1377" w:type="dxa"/>
            <w:shd w:val="clear" w:color="auto" w:fill="C6EFCE"/>
            <w:noWrap/>
            <w:vAlign w:val="center"/>
            <w:hideMark/>
          </w:tcPr>
          <w:p w14:paraId="55C0B4BF" w14:textId="77777777" w:rsidR="00E42B18" w:rsidRDefault="009629C4">
            <w:pPr>
              <w:pStyle w:val="P68B1DB1-Normal11"/>
              <w:jc w:val="center"/>
              <w:rPr>
                <w:noProof/>
                <w:szCs w:val="20"/>
              </w:rPr>
            </w:pPr>
            <w:r>
              <w:rPr>
                <w:noProof/>
              </w:rPr>
              <w:t>EI OLE</w:t>
            </w:r>
          </w:p>
        </w:tc>
        <w:tc>
          <w:tcPr>
            <w:tcW w:w="1089" w:type="dxa"/>
            <w:shd w:val="clear" w:color="auto" w:fill="C6EFCE"/>
            <w:noWrap/>
            <w:vAlign w:val="center"/>
            <w:hideMark/>
          </w:tcPr>
          <w:p w14:paraId="5CE2E757" w14:textId="77777777" w:rsidR="00E42B18" w:rsidRDefault="009629C4">
            <w:pPr>
              <w:pStyle w:val="P68B1DB1-Normal11"/>
              <w:jc w:val="center"/>
              <w:rPr>
                <w:rFonts w:eastAsia="Calibri"/>
                <w:noProof/>
                <w:szCs w:val="20"/>
              </w:rPr>
            </w:pPr>
            <w:r>
              <w:rPr>
                <w:noProof/>
              </w:rPr>
              <w:t>Numero</w:t>
            </w:r>
          </w:p>
        </w:tc>
        <w:tc>
          <w:tcPr>
            <w:tcW w:w="1074" w:type="dxa"/>
            <w:shd w:val="clear" w:color="auto" w:fill="C6EFCE"/>
            <w:noWrap/>
            <w:vAlign w:val="center"/>
            <w:hideMark/>
          </w:tcPr>
          <w:p w14:paraId="07D1DA49" w14:textId="77777777" w:rsidR="00E42B18" w:rsidRDefault="009629C4">
            <w:pPr>
              <w:pStyle w:val="P68B1DB1-Normal11"/>
              <w:jc w:val="center"/>
              <w:rPr>
                <w:noProof/>
                <w:szCs w:val="20"/>
              </w:rPr>
            </w:pPr>
            <w:r>
              <w:rPr>
                <w:noProof/>
              </w:rPr>
              <w:t>0</w:t>
            </w:r>
          </w:p>
        </w:tc>
        <w:tc>
          <w:tcPr>
            <w:tcW w:w="1539" w:type="dxa"/>
            <w:shd w:val="clear" w:color="auto" w:fill="C6EFCE"/>
            <w:noWrap/>
            <w:vAlign w:val="center"/>
            <w:hideMark/>
          </w:tcPr>
          <w:p w14:paraId="18AFE8A8"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6</w:t>
            </w:r>
            <w:r>
              <w:rPr>
                <w:noProof/>
                <w:sz w:val="23"/>
                <w:szCs w:val="23"/>
              </w:rPr>
              <w:t xml:space="preserve"> </w:t>
            </w:r>
            <w:r>
              <w:rPr>
                <w:rFonts w:ascii="Arial Narrow" w:hAnsi="Arial Narrow"/>
                <w:noProof/>
                <w:color w:val="006100"/>
                <w:sz w:val="20"/>
              </w:rPr>
              <w:t>000</w:t>
            </w:r>
          </w:p>
        </w:tc>
        <w:tc>
          <w:tcPr>
            <w:tcW w:w="975" w:type="dxa"/>
            <w:shd w:val="clear" w:color="auto" w:fill="C6EFCE"/>
            <w:noWrap/>
            <w:vAlign w:val="center"/>
            <w:hideMark/>
          </w:tcPr>
          <w:p w14:paraId="2F7D291C" w14:textId="77777777" w:rsidR="00E42B18" w:rsidRDefault="009629C4">
            <w:pPr>
              <w:pStyle w:val="P68B1DB1-Normal11"/>
              <w:jc w:val="center"/>
              <w:rPr>
                <w:noProof/>
                <w:szCs w:val="20"/>
              </w:rPr>
            </w:pPr>
            <w:r>
              <w:rPr>
                <w:noProof/>
              </w:rPr>
              <w:t>Q4</w:t>
            </w:r>
          </w:p>
        </w:tc>
        <w:tc>
          <w:tcPr>
            <w:tcW w:w="611" w:type="dxa"/>
            <w:shd w:val="clear" w:color="auto" w:fill="C6EFCE"/>
            <w:noWrap/>
            <w:vAlign w:val="center"/>
            <w:hideMark/>
          </w:tcPr>
          <w:p w14:paraId="6F9ED3DC" w14:textId="77777777" w:rsidR="00E42B18" w:rsidRDefault="009629C4">
            <w:pPr>
              <w:pStyle w:val="P68B1DB1-Normal11"/>
              <w:jc w:val="center"/>
              <w:rPr>
                <w:noProof/>
                <w:szCs w:val="20"/>
              </w:rPr>
            </w:pPr>
            <w:r>
              <w:rPr>
                <w:noProof/>
              </w:rPr>
              <w:t>2024</w:t>
            </w:r>
          </w:p>
        </w:tc>
        <w:tc>
          <w:tcPr>
            <w:tcW w:w="2521" w:type="dxa"/>
            <w:shd w:val="clear" w:color="auto" w:fill="C6EFCE"/>
            <w:noWrap/>
            <w:vAlign w:val="center"/>
            <w:hideMark/>
          </w:tcPr>
          <w:p w14:paraId="3B32A412" w14:textId="77777777" w:rsidR="00E42B18" w:rsidRDefault="009629C4">
            <w:pPr>
              <w:rPr>
                <w:rFonts w:ascii="Arial Narrow" w:hAnsi="Arial Narrow"/>
                <w:noProof/>
                <w:color w:val="006100"/>
                <w:sz w:val="20"/>
                <w:szCs w:val="20"/>
              </w:rPr>
            </w:pPr>
            <w:r>
              <w:rPr>
                <w:rFonts w:ascii="Arial Narrow" w:hAnsi="Arial Narrow"/>
                <w:noProof/>
                <w:color w:val="006100"/>
                <w:sz w:val="20"/>
                <w:szCs w:val="20"/>
              </w:rPr>
              <w:t>Yliopistot ja AFAM-oppilaitokset myöntävät vähintään 6000 tohtorintutkinto-apurahaa.</w:t>
            </w:r>
          </w:p>
          <w:p w14:paraId="20CD17D7" w14:textId="77777777" w:rsidR="00E42B18" w:rsidRDefault="009629C4">
            <w:pPr>
              <w:pStyle w:val="P68B1DB1-Normal12"/>
              <w:rPr>
                <w:noProof/>
              </w:rPr>
            </w:pPr>
            <w:r>
              <w:rPr>
                <w:noProof/>
              </w:rPr>
              <w:t>Tohtorintutkinnon suorittamisen kannalta kriittisiä vaatimuksia ovat muun muassa seuraavat:</w:t>
            </w:r>
          </w:p>
          <w:p w14:paraId="771849A6" w14:textId="77777777" w:rsidR="00E42B18" w:rsidRDefault="009629C4">
            <w:pPr>
              <w:pStyle w:val="P68B1DB1-Normal12"/>
              <w:rPr>
                <w:noProof/>
              </w:rPr>
            </w:pPr>
            <w:r>
              <w:rPr>
                <w:noProof/>
              </w:rPr>
              <w:t>säädetään vähintään kuudesta (6) kuukaudesta enintään kahdeksaan (18) kuukauteen yrityksessä suoritettavista opinnoista ja tutkimuksista;</w:t>
            </w:r>
          </w:p>
          <w:p w14:paraId="79CE6E7F" w14:textId="77777777" w:rsidR="00E42B18" w:rsidRDefault="009629C4">
            <w:pPr>
              <w:pStyle w:val="P68B1DB1-Normal12"/>
              <w:rPr>
                <w:noProof/>
              </w:rPr>
            </w:pPr>
            <w:r>
              <w:rPr>
                <w:noProof/>
              </w:rPr>
              <w:t>säädetään opiskelu- ja tutkimusjaksoista ulkomailla vähintään kuudesta (6) kuukaudesta enintään kahdeksaan (18) kuukauteen;</w:t>
            </w:r>
          </w:p>
          <w:p w14:paraId="7F71EE73" w14:textId="77777777" w:rsidR="00E42B18" w:rsidRDefault="009629C4">
            <w:pPr>
              <w:pStyle w:val="P68B1DB1-Normal12"/>
              <w:rPr>
                <w:noProof/>
              </w:rPr>
            </w:pPr>
            <w:r>
              <w:rPr>
                <w:noProof/>
              </w:rPr>
              <w:t>yritysten osallistuminen koulutuksen määrittelyyn myös yliopiston ja AFAM-laitosten kanssa tehtävän laajemman yhteistyön yhteydessä.</w:t>
            </w:r>
          </w:p>
        </w:tc>
      </w:tr>
      <w:tr w:rsidR="00E42B18" w14:paraId="66EE4F27" w14:textId="77777777">
        <w:trPr>
          <w:trHeight w:val="309"/>
          <w:jc w:val="center"/>
        </w:trPr>
        <w:tc>
          <w:tcPr>
            <w:tcW w:w="1292" w:type="dxa"/>
            <w:shd w:val="clear" w:color="auto" w:fill="C6EFCE"/>
            <w:noWrap/>
            <w:vAlign w:val="center"/>
            <w:hideMark/>
          </w:tcPr>
          <w:p w14:paraId="7DA9B4C0" w14:textId="77777777" w:rsidR="00E42B18" w:rsidRDefault="009629C4">
            <w:pPr>
              <w:pStyle w:val="P68B1DB1-Normal11"/>
              <w:jc w:val="center"/>
              <w:rPr>
                <w:noProof/>
                <w:szCs w:val="20"/>
              </w:rPr>
            </w:pPr>
            <w:r>
              <w:rPr>
                <w:noProof/>
              </w:rPr>
              <w:t>M4C2–4</w:t>
            </w:r>
          </w:p>
        </w:tc>
        <w:tc>
          <w:tcPr>
            <w:tcW w:w="1368" w:type="dxa"/>
            <w:shd w:val="clear" w:color="auto" w:fill="C6EFCE"/>
            <w:noWrap/>
            <w:vAlign w:val="center"/>
            <w:hideMark/>
          </w:tcPr>
          <w:p w14:paraId="72882A40" w14:textId="77777777" w:rsidR="00E42B18" w:rsidRDefault="009629C4">
            <w:pPr>
              <w:pStyle w:val="P68B1DB1-Normal11"/>
              <w:jc w:val="center"/>
              <w:rPr>
                <w:noProof/>
                <w:szCs w:val="20"/>
              </w:rPr>
            </w:pPr>
            <w:r>
              <w:rPr>
                <w:noProof/>
              </w:rPr>
              <w:t>Uudistus 1.1: T &amp; K-tukitoimenpiteiden toteuttaminen yksinkertaistamisen ja liikkuvuuden edistämiseksi</w:t>
            </w:r>
          </w:p>
        </w:tc>
        <w:tc>
          <w:tcPr>
            <w:tcW w:w="1413" w:type="dxa"/>
            <w:shd w:val="clear" w:color="auto" w:fill="C6EFCE"/>
            <w:noWrap/>
            <w:vAlign w:val="center"/>
            <w:hideMark/>
          </w:tcPr>
          <w:p w14:paraId="6CC9C6DE" w14:textId="77777777" w:rsidR="00E42B18" w:rsidRDefault="009629C4">
            <w:pPr>
              <w:pStyle w:val="P68B1DB1-Normal11"/>
              <w:jc w:val="center"/>
              <w:rPr>
                <w:noProof/>
                <w:szCs w:val="20"/>
              </w:rPr>
            </w:pPr>
            <w:r>
              <w:rPr>
                <w:noProof/>
              </w:rPr>
              <w:t>Virstanpylväs</w:t>
            </w:r>
          </w:p>
        </w:tc>
        <w:tc>
          <w:tcPr>
            <w:tcW w:w="1302" w:type="dxa"/>
            <w:shd w:val="clear" w:color="auto" w:fill="C6EFCE"/>
            <w:noWrap/>
            <w:vAlign w:val="center"/>
            <w:hideMark/>
          </w:tcPr>
          <w:p w14:paraId="13DF28F7" w14:textId="77777777" w:rsidR="00E42B18" w:rsidRDefault="009629C4">
            <w:pPr>
              <w:pStyle w:val="P68B1DB1-Normal11"/>
              <w:jc w:val="center"/>
              <w:rPr>
                <w:noProof/>
                <w:szCs w:val="20"/>
              </w:rPr>
            </w:pPr>
            <w:r>
              <w:rPr>
                <w:noProof/>
              </w:rPr>
              <w:t>Tavalliseen rahoitusrahastoon liittyvää T &amp; K-toiminnan yksinkertaistamista ja liikkuvuutta koskevien ministeriön asetusten voimaantulo.</w:t>
            </w:r>
          </w:p>
        </w:tc>
        <w:tc>
          <w:tcPr>
            <w:tcW w:w="1377" w:type="dxa"/>
            <w:shd w:val="clear" w:color="auto" w:fill="C6EFCE"/>
            <w:noWrap/>
            <w:vAlign w:val="center"/>
            <w:hideMark/>
          </w:tcPr>
          <w:p w14:paraId="73333803" w14:textId="77777777" w:rsidR="00E42B18" w:rsidRDefault="009629C4">
            <w:pPr>
              <w:pStyle w:val="P68B1DB1-Normal11"/>
              <w:jc w:val="center"/>
              <w:rPr>
                <w:noProof/>
                <w:szCs w:val="20"/>
              </w:rPr>
            </w:pPr>
            <w:r>
              <w:rPr>
                <w:noProof/>
              </w:rPr>
              <w:t>Lain voimaantuloa koskeva asetuksen säännös</w:t>
            </w:r>
          </w:p>
        </w:tc>
        <w:tc>
          <w:tcPr>
            <w:tcW w:w="1089" w:type="dxa"/>
            <w:shd w:val="clear" w:color="auto" w:fill="C6EFCE"/>
            <w:noWrap/>
            <w:vAlign w:val="center"/>
            <w:hideMark/>
          </w:tcPr>
          <w:p w14:paraId="0EF8B258" w14:textId="77777777" w:rsidR="00E42B18" w:rsidRDefault="009629C4">
            <w:pPr>
              <w:pStyle w:val="P68B1DB1-Normal11"/>
              <w:jc w:val="center"/>
              <w:rPr>
                <w:noProof/>
                <w:szCs w:val="20"/>
              </w:rPr>
            </w:pPr>
            <w:r>
              <w:rPr>
                <w:noProof/>
              </w:rPr>
              <w:t>EI OLE</w:t>
            </w:r>
          </w:p>
        </w:tc>
        <w:tc>
          <w:tcPr>
            <w:tcW w:w="1074" w:type="dxa"/>
            <w:shd w:val="clear" w:color="auto" w:fill="C6EFCE"/>
            <w:noWrap/>
            <w:vAlign w:val="center"/>
            <w:hideMark/>
          </w:tcPr>
          <w:p w14:paraId="75DE9921" w14:textId="77777777" w:rsidR="00E42B18" w:rsidRDefault="009629C4">
            <w:pPr>
              <w:pStyle w:val="P68B1DB1-Normal11"/>
              <w:jc w:val="center"/>
              <w:rPr>
                <w:noProof/>
                <w:szCs w:val="20"/>
              </w:rPr>
            </w:pPr>
            <w:r>
              <w:rPr>
                <w:noProof/>
              </w:rPr>
              <w:t>EI OLE</w:t>
            </w:r>
          </w:p>
        </w:tc>
        <w:tc>
          <w:tcPr>
            <w:tcW w:w="1539" w:type="dxa"/>
            <w:shd w:val="clear" w:color="auto" w:fill="C6EFCE"/>
            <w:noWrap/>
            <w:vAlign w:val="center"/>
            <w:hideMark/>
          </w:tcPr>
          <w:p w14:paraId="77A58BE8" w14:textId="77777777" w:rsidR="00E42B18" w:rsidRDefault="00E42B18">
            <w:pPr>
              <w:jc w:val="center"/>
              <w:rPr>
                <w:rFonts w:ascii="Arial Narrow" w:hAnsi="Arial Narrow"/>
                <w:noProof/>
                <w:color w:val="006100"/>
                <w:sz w:val="20"/>
                <w:szCs w:val="20"/>
              </w:rPr>
            </w:pPr>
          </w:p>
        </w:tc>
        <w:tc>
          <w:tcPr>
            <w:tcW w:w="975" w:type="dxa"/>
            <w:shd w:val="clear" w:color="auto" w:fill="C6EFCE"/>
            <w:noWrap/>
            <w:vAlign w:val="center"/>
            <w:hideMark/>
          </w:tcPr>
          <w:p w14:paraId="24F54C7A" w14:textId="77777777" w:rsidR="00E42B18" w:rsidRDefault="009629C4">
            <w:pPr>
              <w:pStyle w:val="P68B1DB1-Normal11"/>
              <w:jc w:val="center"/>
              <w:rPr>
                <w:noProof/>
                <w:szCs w:val="20"/>
              </w:rPr>
            </w:pPr>
            <w:r>
              <w:rPr>
                <w:noProof/>
              </w:rPr>
              <w:t>Q2</w:t>
            </w:r>
          </w:p>
        </w:tc>
        <w:tc>
          <w:tcPr>
            <w:tcW w:w="611" w:type="dxa"/>
            <w:shd w:val="clear" w:color="auto" w:fill="C6EFCE"/>
            <w:noWrap/>
            <w:vAlign w:val="center"/>
            <w:hideMark/>
          </w:tcPr>
          <w:p w14:paraId="7183AE46" w14:textId="77777777" w:rsidR="00E42B18" w:rsidRDefault="009629C4">
            <w:pPr>
              <w:pStyle w:val="P68B1DB1-Normal11"/>
              <w:jc w:val="center"/>
              <w:rPr>
                <w:noProof/>
                <w:szCs w:val="20"/>
              </w:rPr>
            </w:pPr>
            <w:r>
              <w:rPr>
                <w:noProof/>
              </w:rPr>
              <w:t>2022</w:t>
            </w:r>
          </w:p>
        </w:tc>
        <w:tc>
          <w:tcPr>
            <w:tcW w:w="2521" w:type="dxa"/>
            <w:shd w:val="clear" w:color="auto" w:fill="C6EFCE"/>
            <w:noWrap/>
            <w:vAlign w:val="center"/>
            <w:hideMark/>
          </w:tcPr>
          <w:p w14:paraId="63C197FB" w14:textId="77777777" w:rsidR="00E42B18" w:rsidRDefault="009629C4">
            <w:pPr>
              <w:pStyle w:val="P68B1DB1-Normal11"/>
              <w:rPr>
                <w:noProof/>
                <w:szCs w:val="20"/>
              </w:rPr>
            </w:pPr>
            <w:r>
              <w:rPr>
                <w:noProof/>
              </w:rPr>
              <w:t>Ministeriön asetusten on sisällettävä seuraavat keskeiset osat:</w:t>
            </w:r>
          </w:p>
          <w:p w14:paraId="14F06F66" w14:textId="77777777" w:rsidR="00E42B18" w:rsidRDefault="009629C4">
            <w:pPr>
              <w:pStyle w:val="P68B1DB1-Normal12"/>
              <w:rPr>
                <w:noProof/>
              </w:rPr>
            </w:pPr>
            <w:r>
              <w:rPr>
                <w:noProof/>
              </w:rPr>
              <w:t>I) siirrytään järjestelmällisempään lähestymistapaan T &amp; K-toiminnassa uuden yksinkertaistetun mallin avulla, jolla pyritään saamaan aikaan merkittäviä vaikutuksia välttämällä painopisteiden hajanaisuutta ja hajanaisuutta; II) uudistetaan lainsäädäntöä korkean profiilin henkilöiden (kuten tutkijoiden ja johtajien) liikkuvuuden lisäämiseksi yliopistojen, tutkimusinfrastruktuurien ja yritysten keskuudessa; III) varainhallinnan yksinkertaistaminen; IV) uudistetaan tutkijoiden urapolkua siten, että he keskittyvät entistä enemmän tutkimustoimintaan.</w:t>
            </w:r>
          </w:p>
        </w:tc>
      </w:tr>
      <w:tr w:rsidR="00E42B18" w14:paraId="7CB6DF17" w14:textId="77777777">
        <w:trPr>
          <w:trHeight w:val="309"/>
          <w:jc w:val="center"/>
        </w:trPr>
        <w:tc>
          <w:tcPr>
            <w:tcW w:w="1292" w:type="dxa"/>
            <w:shd w:val="clear" w:color="auto" w:fill="C6EFCE"/>
            <w:noWrap/>
            <w:vAlign w:val="center"/>
            <w:hideMark/>
          </w:tcPr>
          <w:p w14:paraId="5F5F86B9" w14:textId="77777777" w:rsidR="00E42B18" w:rsidRDefault="009629C4">
            <w:pPr>
              <w:pStyle w:val="P68B1DB1-Normal84"/>
              <w:jc w:val="center"/>
              <w:rPr>
                <w:noProof/>
              </w:rPr>
            </w:pPr>
            <w:r>
              <w:rPr>
                <w:noProof/>
              </w:rPr>
              <w:t>M4C2–4bis</w:t>
            </w:r>
          </w:p>
        </w:tc>
        <w:tc>
          <w:tcPr>
            <w:tcW w:w="1368" w:type="dxa"/>
            <w:shd w:val="clear" w:color="auto" w:fill="C6EFCE"/>
            <w:noWrap/>
            <w:vAlign w:val="center"/>
            <w:hideMark/>
          </w:tcPr>
          <w:p w14:paraId="6EC05533" w14:textId="77777777" w:rsidR="00E42B18" w:rsidRDefault="009629C4">
            <w:pPr>
              <w:pStyle w:val="P68B1DB1-Normal84"/>
              <w:jc w:val="center"/>
              <w:rPr>
                <w:noProof/>
              </w:rPr>
            </w:pPr>
            <w:r>
              <w:rPr>
                <w:noProof/>
              </w:rPr>
              <w:t>Uudistus 1.2: Kolmivuotinen tutkimustoiminnan rahoitussuunnitelma</w:t>
            </w:r>
          </w:p>
        </w:tc>
        <w:tc>
          <w:tcPr>
            <w:tcW w:w="1413" w:type="dxa"/>
            <w:shd w:val="clear" w:color="auto" w:fill="C6EFCE"/>
            <w:noWrap/>
            <w:vAlign w:val="center"/>
            <w:hideMark/>
          </w:tcPr>
          <w:p w14:paraId="6391783E" w14:textId="77777777" w:rsidR="00E42B18" w:rsidRDefault="009629C4">
            <w:pPr>
              <w:pStyle w:val="P68B1DB1-Normal84"/>
              <w:jc w:val="center"/>
              <w:rPr>
                <w:noProof/>
              </w:rPr>
            </w:pPr>
            <w:r>
              <w:rPr>
                <w:noProof/>
              </w:rPr>
              <w:t>Virstanpylväs</w:t>
            </w:r>
          </w:p>
        </w:tc>
        <w:tc>
          <w:tcPr>
            <w:tcW w:w="1302" w:type="dxa"/>
            <w:shd w:val="clear" w:color="auto" w:fill="C6EFCE"/>
            <w:noWrap/>
            <w:vAlign w:val="center"/>
            <w:hideMark/>
          </w:tcPr>
          <w:p w14:paraId="5EBEBFF5" w14:textId="5625F559" w:rsidR="00E42B18" w:rsidRDefault="009629C4">
            <w:pPr>
              <w:pStyle w:val="P68B1DB1-Normal84"/>
              <w:spacing w:line="257" w:lineRule="auto"/>
              <w:jc w:val="center"/>
              <w:rPr>
                <w:noProof/>
              </w:rPr>
            </w:pPr>
            <w:r>
              <w:rPr>
                <w:noProof/>
              </w:rPr>
              <w:t xml:space="preserve">Primaarilainsäädäntö tutkimustoiminnan rahoittamista koskevan kolmivuotissuunnitelman hyväksymiseksi </w:t>
            </w:r>
          </w:p>
        </w:tc>
        <w:tc>
          <w:tcPr>
            <w:tcW w:w="1377" w:type="dxa"/>
            <w:shd w:val="clear" w:color="auto" w:fill="C6EFCE"/>
            <w:noWrap/>
            <w:vAlign w:val="center"/>
            <w:hideMark/>
          </w:tcPr>
          <w:p w14:paraId="56D70740" w14:textId="2C124E32" w:rsidR="00E42B18" w:rsidRDefault="009629C4">
            <w:pPr>
              <w:pStyle w:val="P68B1DB1-Normal84"/>
              <w:jc w:val="center"/>
              <w:rPr>
                <w:noProof/>
              </w:rPr>
            </w:pPr>
            <w:r>
              <w:rPr>
                <w:noProof/>
              </w:rPr>
              <w:t>Tutkimustoiminnan rahoittamista koskevan kolmivuotissuunnitelman sisältävän primäärilainsäädännön voimaantulo</w:t>
            </w:r>
          </w:p>
        </w:tc>
        <w:tc>
          <w:tcPr>
            <w:tcW w:w="1089" w:type="dxa"/>
            <w:shd w:val="clear" w:color="auto" w:fill="C6EFCE"/>
            <w:noWrap/>
            <w:vAlign w:val="center"/>
            <w:hideMark/>
          </w:tcPr>
          <w:p w14:paraId="123DF5A6" w14:textId="77777777" w:rsidR="00E42B18" w:rsidRDefault="009629C4">
            <w:pPr>
              <w:pStyle w:val="P68B1DB1-Normal84"/>
              <w:jc w:val="center"/>
              <w:rPr>
                <w:noProof/>
              </w:rPr>
            </w:pPr>
            <w:r>
              <w:rPr>
                <w:noProof/>
              </w:rPr>
              <w:t>EI OLE</w:t>
            </w:r>
          </w:p>
        </w:tc>
        <w:tc>
          <w:tcPr>
            <w:tcW w:w="1074" w:type="dxa"/>
            <w:shd w:val="clear" w:color="auto" w:fill="C6EFCE"/>
            <w:noWrap/>
            <w:vAlign w:val="center"/>
            <w:hideMark/>
          </w:tcPr>
          <w:p w14:paraId="6E059B26" w14:textId="77777777" w:rsidR="00E42B18" w:rsidRDefault="009629C4">
            <w:pPr>
              <w:pStyle w:val="P68B1DB1-Normal84"/>
              <w:jc w:val="center"/>
              <w:rPr>
                <w:noProof/>
              </w:rPr>
            </w:pPr>
            <w:r>
              <w:rPr>
                <w:noProof/>
              </w:rPr>
              <w:t>EI OLE</w:t>
            </w:r>
          </w:p>
        </w:tc>
        <w:tc>
          <w:tcPr>
            <w:tcW w:w="1539" w:type="dxa"/>
            <w:shd w:val="clear" w:color="auto" w:fill="C6EFCE"/>
            <w:noWrap/>
            <w:vAlign w:val="center"/>
            <w:hideMark/>
          </w:tcPr>
          <w:p w14:paraId="681DE355" w14:textId="77777777" w:rsidR="00E42B18" w:rsidRDefault="009629C4">
            <w:pPr>
              <w:pStyle w:val="P68B1DB1-Normal84"/>
              <w:jc w:val="center"/>
              <w:rPr>
                <w:noProof/>
              </w:rPr>
            </w:pPr>
            <w:r>
              <w:rPr>
                <w:noProof/>
              </w:rPr>
              <w:t>EI OLE</w:t>
            </w:r>
          </w:p>
        </w:tc>
        <w:tc>
          <w:tcPr>
            <w:tcW w:w="975" w:type="dxa"/>
            <w:shd w:val="clear" w:color="auto" w:fill="C6EFCE"/>
            <w:noWrap/>
            <w:vAlign w:val="center"/>
            <w:hideMark/>
          </w:tcPr>
          <w:p w14:paraId="5DA72EAF" w14:textId="77777777" w:rsidR="00E42B18" w:rsidRDefault="009629C4">
            <w:pPr>
              <w:pStyle w:val="P68B1DB1-Normal84"/>
              <w:jc w:val="center"/>
              <w:rPr>
                <w:noProof/>
              </w:rPr>
            </w:pPr>
            <w:r>
              <w:rPr>
                <w:noProof/>
              </w:rPr>
              <w:t xml:space="preserve">Q4 </w:t>
            </w:r>
          </w:p>
        </w:tc>
        <w:tc>
          <w:tcPr>
            <w:tcW w:w="611" w:type="dxa"/>
            <w:shd w:val="clear" w:color="auto" w:fill="C6EFCE"/>
            <w:noWrap/>
            <w:vAlign w:val="center"/>
            <w:hideMark/>
          </w:tcPr>
          <w:p w14:paraId="71B6E49C" w14:textId="77777777" w:rsidR="00E42B18" w:rsidRDefault="009629C4">
            <w:pPr>
              <w:pStyle w:val="P68B1DB1-Normal84"/>
              <w:jc w:val="center"/>
              <w:rPr>
                <w:noProof/>
              </w:rPr>
            </w:pPr>
            <w:r>
              <w:rPr>
                <w:noProof/>
              </w:rPr>
              <w:t>2025</w:t>
            </w:r>
          </w:p>
        </w:tc>
        <w:tc>
          <w:tcPr>
            <w:tcW w:w="2521" w:type="dxa"/>
            <w:shd w:val="clear" w:color="auto" w:fill="C6EFCE"/>
            <w:noWrap/>
            <w:vAlign w:val="center"/>
            <w:hideMark/>
          </w:tcPr>
          <w:p w14:paraId="106D2A3D" w14:textId="554EA815" w:rsidR="00E42B18" w:rsidRDefault="009629C4">
            <w:pPr>
              <w:pStyle w:val="P68B1DB1-Normal12"/>
              <w:jc w:val="both"/>
              <w:rPr>
                <w:noProof/>
              </w:rPr>
            </w:pPr>
            <w:r>
              <w:rPr>
                <w:noProof/>
              </w:rPr>
              <w:t xml:space="preserve">Uudistus edellyttää sellaisen primäärilainsäädännön voimaantuloa, jossa vahvistetaan oikeudellinen kehys varastointitoiminnan rahoittamista koskevan kolmivuotissuunnitelman hyväksymiselle. </w:t>
            </w:r>
          </w:p>
          <w:p w14:paraId="46FA197C" w14:textId="77777777" w:rsidR="00E42B18" w:rsidRDefault="009629C4">
            <w:pPr>
              <w:pStyle w:val="P68B1DB1-Normal12"/>
              <w:rPr>
                <w:noProof/>
              </w:rPr>
            </w:pPr>
            <w:r>
              <w:rPr>
                <w:noProof/>
              </w:rPr>
              <w:t>Oikeudellisen kehyksen on</w:t>
            </w:r>
          </w:p>
          <w:p w14:paraId="03B09426" w14:textId="750C048B" w:rsidR="00E42B18" w:rsidRDefault="009629C4">
            <w:pPr>
              <w:pStyle w:val="P68B1DB1-ListParagraph13"/>
              <w:numPr>
                <w:ilvl w:val="0"/>
                <w:numId w:val="90"/>
              </w:numPr>
              <w:spacing w:before="120" w:after="120" w:line="240" w:lineRule="auto"/>
              <w:jc w:val="both"/>
              <w:rPr>
                <w:noProof/>
              </w:rPr>
            </w:pPr>
            <w:r>
              <w:rPr>
                <w:noProof/>
              </w:rPr>
              <w:t>Perustetaan rahasto eri rahoitusvälineiden yhdistämiseksi;</w:t>
            </w:r>
          </w:p>
          <w:p w14:paraId="28303113" w14:textId="09424E3F" w:rsidR="00E42B18" w:rsidRDefault="009629C4">
            <w:pPr>
              <w:pStyle w:val="P68B1DB1-ListParagraph23"/>
              <w:numPr>
                <w:ilvl w:val="0"/>
                <w:numId w:val="90"/>
              </w:numPr>
              <w:jc w:val="both"/>
              <w:rPr>
                <w:noProof/>
              </w:rPr>
            </w:pPr>
            <w:r>
              <w:rPr>
                <w:noProof/>
              </w:rPr>
              <w:t xml:space="preserve">vaatia yliopistojen, tutkimusyksiköiden ja AFAM-instituutioiden tutkimustoiminnan rahoittamista koskevan kolmivuotisen suunnitelman hyväksymistä; </w:t>
            </w:r>
          </w:p>
          <w:p w14:paraId="5BD77360" w14:textId="77777777" w:rsidR="00E42B18" w:rsidRDefault="009629C4">
            <w:pPr>
              <w:pStyle w:val="P68B1DB1-ListParagraph23"/>
              <w:numPr>
                <w:ilvl w:val="0"/>
                <w:numId w:val="90"/>
              </w:numPr>
              <w:jc w:val="both"/>
              <w:rPr>
                <w:noProof/>
              </w:rPr>
            </w:pPr>
            <w:r>
              <w:rPr>
                <w:noProof/>
              </w:rPr>
              <w:t xml:space="preserve">Edellytetään, että hyväksytään aikataulu (”cronoprogramma”) hankepyyntöjen käynnistämiselle ja niiden valintamenettelyjen päättämiselle. </w:t>
            </w:r>
          </w:p>
          <w:p w14:paraId="73722308" w14:textId="6AEDA999" w:rsidR="00E42B18" w:rsidRDefault="009629C4">
            <w:pPr>
              <w:pStyle w:val="P68B1DB1-ListParagraph23"/>
              <w:numPr>
                <w:ilvl w:val="0"/>
                <w:numId w:val="90"/>
              </w:numPr>
              <w:jc w:val="both"/>
              <w:rPr>
                <w:noProof/>
              </w:rPr>
            </w:pPr>
            <w:r>
              <w:rPr>
                <w:noProof/>
              </w:rPr>
              <w:t xml:space="preserve">Sisällettävä erityinen budjettikohta PRIN-hankkeiden rahoittamista varten. </w:t>
            </w:r>
          </w:p>
        </w:tc>
      </w:tr>
    </w:tbl>
    <w:p w14:paraId="0E9978DC" w14:textId="77777777" w:rsidR="00E42B18" w:rsidRDefault="00E42B18">
      <w:pPr>
        <w:spacing w:before="120" w:after="120"/>
        <w:ind w:left="709"/>
        <w:jc w:val="both"/>
        <w:rPr>
          <w:noProof/>
        </w:rPr>
        <w:sectPr w:rsidR="00E42B18" w:rsidSect="005F11B9">
          <w:headerReference w:type="default" r:id="rId202"/>
          <w:footerReference w:type="default" r:id="rId203"/>
          <w:pgSz w:w="16839" w:h="11907" w:orient="landscape"/>
          <w:pgMar w:top="1134" w:right="1134" w:bottom="1134" w:left="1134" w:header="567" w:footer="567" w:gutter="0"/>
          <w:cols w:space="720"/>
          <w:docGrid w:linePitch="360"/>
        </w:sectPr>
      </w:pPr>
    </w:p>
    <w:p w14:paraId="30BE3B02" w14:textId="77777777" w:rsidR="00E42B18" w:rsidRDefault="009629C4">
      <w:pPr>
        <w:pStyle w:val="Heading3"/>
        <w:ind w:left="850" w:hanging="850"/>
        <w:rPr>
          <w:rFonts w:ascii="Times New Roman" w:eastAsia="Times New Roman" w:hAnsi="Times New Roman" w:cs="Times New Roman"/>
          <w:b/>
          <w:i/>
          <w:noProof/>
          <w:color w:val="156082" w:themeColor="accent1"/>
          <w:u w:val="single"/>
        </w:rPr>
      </w:pPr>
      <w:r>
        <w:rPr>
          <w:rFonts w:ascii="Times New Roman" w:eastAsia="Times New Roman" w:hAnsi="Times New Roman" w:cs="Times New Roman"/>
          <w:b/>
          <w:noProof/>
          <w:u w:val="single"/>
        </w:rPr>
        <w:t xml:space="preserve">K.3 </w:t>
      </w:r>
      <w:r>
        <w:rPr>
          <w:noProof/>
        </w:rPr>
        <w:t xml:space="preserve"> </w:t>
      </w:r>
      <w:r>
        <w:rPr>
          <w:rFonts w:ascii="Times New Roman" w:eastAsia="Times New Roman" w:hAnsi="Times New Roman" w:cs="Times New Roman"/>
          <w:b/>
          <w:noProof/>
          <w:u w:val="single"/>
        </w:rPr>
        <w:t xml:space="preserve">Kuvaus lainamuotoisella tuella rahoitettavista uudistuksista ja investoinneista </w:t>
      </w:r>
    </w:p>
    <w:p w14:paraId="0CEA8037" w14:textId="77777777" w:rsidR="00E42B18" w:rsidRDefault="009629C4">
      <w:pPr>
        <w:pStyle w:val="P68B1DB1-Normal42"/>
        <w:spacing w:before="120" w:after="120"/>
        <w:jc w:val="both"/>
        <w:rPr>
          <w:bCs/>
          <w:noProof/>
        </w:rPr>
      </w:pPr>
      <w:r>
        <w:rPr>
          <w:noProof/>
        </w:rPr>
        <w:t>Investointi 1.1: Kansallista etua koskevat tutkimushankkeet (PRIN)</w:t>
      </w:r>
    </w:p>
    <w:p w14:paraId="1B457235" w14:textId="57D62EDE" w:rsidR="00E42B18" w:rsidRDefault="009629C4">
      <w:pPr>
        <w:pStyle w:val="P68B1DB1-Normal8"/>
        <w:spacing w:before="120" w:after="120"/>
        <w:jc w:val="both"/>
        <w:rPr>
          <w:noProof/>
          <w:color w:val="000000" w:themeColor="text1"/>
        </w:rPr>
      </w:pPr>
      <w:r>
        <w:rPr>
          <w:noProof/>
          <w:color w:val="000000" w:themeColor="text1"/>
        </w:rPr>
        <w:t>Tämän toimenpiteen tavoitteena on tukea</w:t>
      </w:r>
      <w:r>
        <w:rPr>
          <w:noProof/>
        </w:rPr>
        <w:t xml:space="preserve"> tutkimustoimintaa. Toimenpiteellä </w:t>
      </w:r>
      <w:r>
        <w:rPr>
          <w:noProof/>
          <w:color w:val="000000" w:themeColor="text1"/>
        </w:rPr>
        <w:t>rahoitetaan kansallisen edun kannalta merkittäviä tutkimushankkeita (PRIN), joihin kuuluu korkeakoulujen tutkimusyksiköiden ja tutkimuslaitosten välinen yhteistyö ja määräaikaisten tutkijoiden palkkaaminen.</w:t>
      </w:r>
    </w:p>
    <w:p w14:paraId="523B25E2" w14:textId="77777777" w:rsidR="00E42B18" w:rsidRDefault="009629C4">
      <w:pPr>
        <w:pStyle w:val="paragraph"/>
        <w:spacing w:before="120" w:beforeAutospacing="0" w:after="120" w:afterAutospacing="0"/>
        <w:jc w:val="both"/>
        <w:textAlignment w:val="baseline"/>
        <w:rPr>
          <w:rStyle w:val="eop"/>
          <w:rFonts w:eastAsiaTheme="majorEastAsia"/>
          <w:b/>
          <w:bCs/>
          <w:noProof/>
          <w:color w:val="000000" w:themeColor="text1"/>
          <w:shd w:val="clear" w:color="auto" w:fill="FFFFFF"/>
        </w:rPr>
      </w:pPr>
      <w:r>
        <w:rPr>
          <w:rStyle w:val="normaltextrun"/>
          <w:b/>
          <w:noProof/>
          <w:color w:val="000000" w:themeColor="text1"/>
          <w:shd w:val="clear" w:color="auto" w:fill="FFFFFF"/>
        </w:rPr>
        <w:t>Investointi 1.3: Yliopistoihin, tutkimuskeskuksiin, yrityksiin ja perustutkimushankkeiden rahoitukseen liittyvät kumppanuudet</w:t>
      </w:r>
    </w:p>
    <w:p w14:paraId="422925A5" w14:textId="77777777" w:rsidR="00E42B18" w:rsidRDefault="009629C4">
      <w:pPr>
        <w:pStyle w:val="P68B1DB1-Normal66"/>
        <w:spacing w:before="120" w:after="120"/>
        <w:jc w:val="both"/>
        <w:rPr>
          <w:noProof/>
        </w:rPr>
      </w:pPr>
      <w:r>
        <w:rPr>
          <w:noProof/>
        </w:rPr>
        <w:t>Toimenpiteen tavoitteena on perustaa yliopistojen, tutkimusorganisaatioiden ja muiden sidosryhmien verkostoja, edistää teknologian siirtoa ja tukea tutkimukseen perustuvia startup- ja spin-off-yrityksiä. Toimenpiteellä rahoitetaan vähintään 14:ää suurta perustutkimusohjelmaa, joita toteuttavat julkisten ja yksityisten tahojen verkostot.</w:t>
      </w:r>
    </w:p>
    <w:p w14:paraId="3F95FCEA" w14:textId="3A904E5D" w:rsidR="00E42B18" w:rsidRDefault="009629C4">
      <w:pPr>
        <w:pStyle w:val="P68B1DB1-Normal42"/>
        <w:spacing w:before="120" w:after="120"/>
        <w:jc w:val="both"/>
        <w:rPr>
          <w:bCs/>
          <w:noProof/>
        </w:rPr>
      </w:pPr>
      <w:r>
        <w:rPr>
          <w:noProof/>
        </w:rPr>
        <w:t>Investointi 1.4: ”Kansallisten T &amp; K-johtajien” perustaminen joidenkin keskeisten mahdollistavien teknologioiden alalla</w:t>
      </w:r>
    </w:p>
    <w:p w14:paraId="78146BE7" w14:textId="77777777" w:rsidR="00E42B18" w:rsidRDefault="009629C4">
      <w:pPr>
        <w:pStyle w:val="P68B1DB1-Normal66"/>
        <w:spacing w:before="120" w:after="120"/>
        <w:jc w:val="both"/>
        <w:rPr>
          <w:noProof/>
        </w:rPr>
      </w:pPr>
      <w:r>
        <w:rPr>
          <w:noProof/>
        </w:rPr>
        <w:t>Tämän toimenpiteen tavoitteena on luoda kansallisia T &amp; K-johtajia. Toimenpiteessä sakotetaan viittä kansallista tutkimuskeskusta, jotka pystyvät saavuttamaan kriittisen tutkimus- ja innovointikapasiteetin kynnysarvon yliopistojen, tutkimuskeskusten ja yritysten välisen yhteistyön avulla.</w:t>
      </w:r>
    </w:p>
    <w:p w14:paraId="427C8763" w14:textId="77777777" w:rsidR="00E42B18" w:rsidRDefault="009629C4">
      <w:pPr>
        <w:pStyle w:val="P68B1DB1-Normal42"/>
        <w:spacing w:before="120" w:after="120"/>
        <w:jc w:val="both"/>
        <w:rPr>
          <w:bCs/>
          <w:noProof/>
        </w:rPr>
      </w:pPr>
      <w:r>
        <w:rPr>
          <w:noProof/>
        </w:rPr>
        <w:t xml:space="preserve">Investointi 1.5: ”Kestävyyttä edistävät innovaatioekosysteemit”, ”T &amp; K-toiminnan aluejohtajat”. </w:t>
      </w:r>
    </w:p>
    <w:p w14:paraId="3E62AE37" w14:textId="77777777" w:rsidR="00E42B18" w:rsidRDefault="009629C4">
      <w:pPr>
        <w:pStyle w:val="P68B1DB1-Normal66"/>
        <w:spacing w:before="120" w:after="120"/>
        <w:jc w:val="both"/>
        <w:rPr>
          <w:noProof/>
        </w:rPr>
      </w:pPr>
      <w:r>
        <w:rPr>
          <w:noProof/>
        </w:rPr>
        <w:t>Tämän toimenpiteen tavoitteena on edistää innovointia. Toimenpide koostuu nykyisten tai uusien innovaatioekosysteemien rahoittamisesta keskittyen sosiaaliseen kestävyyteen.</w:t>
      </w:r>
    </w:p>
    <w:p w14:paraId="6AC2583B" w14:textId="77777777" w:rsidR="00E42B18" w:rsidRDefault="009629C4">
      <w:pPr>
        <w:pStyle w:val="P68B1DB1-Normal29"/>
        <w:spacing w:before="120" w:after="120"/>
        <w:jc w:val="both"/>
        <w:rPr>
          <w:bCs/>
          <w:noProof/>
        </w:rPr>
      </w:pPr>
      <w:r>
        <w:rPr>
          <w:noProof/>
        </w:rPr>
        <w:t>Investointi 2.1: Euroopan yhteistä etua koskeva tärkeä hanke (IPCEI)</w:t>
      </w:r>
    </w:p>
    <w:p w14:paraId="3CBFD0FC" w14:textId="77777777" w:rsidR="00E42B18" w:rsidRDefault="009629C4">
      <w:pPr>
        <w:pStyle w:val="P68B1DB1-Normal8"/>
        <w:spacing w:before="120" w:after="120" w:line="288" w:lineRule="auto"/>
        <w:jc w:val="both"/>
        <w:rPr>
          <w:noProof/>
        </w:rPr>
      </w:pPr>
      <w:r>
        <w:rPr>
          <w:noProof/>
        </w:rPr>
        <w:t>Tämän toimenpiteen tavoitteena on täydentää nykyistä IPCEI-rahastoa, johon viitataan vuoden 2020 talousarviolain 1 §:n 232 momentissa. Toimenpiteellä tuetaan IPCEI-rahastoa lisävaroilla.</w:t>
      </w:r>
    </w:p>
    <w:p w14:paraId="25C12F90" w14:textId="77777777" w:rsidR="00E42B18" w:rsidRDefault="009629C4">
      <w:pPr>
        <w:pStyle w:val="P68B1DB1-Normal29"/>
        <w:spacing w:before="120" w:after="120"/>
        <w:jc w:val="both"/>
        <w:rPr>
          <w:bCs/>
          <w:noProof/>
        </w:rPr>
      </w:pPr>
      <w:r>
        <w:rPr>
          <w:noProof/>
        </w:rPr>
        <w:t xml:space="preserve">Investointi 2.3: Teknologiansiirtokeskukset </w:t>
      </w:r>
    </w:p>
    <w:p w14:paraId="7F4A5CE2" w14:textId="25008A25" w:rsidR="00E42B18" w:rsidRDefault="009629C4">
      <w:pPr>
        <w:pStyle w:val="P68B1DB1-Normal8"/>
        <w:spacing w:before="120" w:after="120"/>
        <w:jc w:val="both"/>
        <w:rPr>
          <w:noProof/>
        </w:rPr>
      </w:pPr>
      <w:r>
        <w:rPr>
          <w:noProof/>
        </w:rPr>
        <w:t>Tämän toimenpiteen tavoitteena on tukea keskusten (osaamiskeskukset, eurooppalainen digitaali-innovointikeskittymä, huippuosaamismerkki, kansalliset digitaali-innovointikeskukset) verkostoa, joka vastaa hankkeiden kehittämisestä, kehittyneiden teknologiapalvelujen tarjoamisesta yrityksille ja julkishallinnoille sekä teknologiansiirtopalveluista. Eurooppalaiset digitaali-innovointikeskittymät voivat saada rahoitusta muista EU:n rahastoista, kuten Digitaalinen Eurooppa -ohjelmasta, toimintansa toteuttamiseen</w:t>
      </w:r>
      <w:r>
        <w:rPr>
          <w:noProof/>
          <w:color w:val="D13438"/>
          <w:u w:val="single"/>
        </w:rPr>
        <w:t>.</w:t>
      </w:r>
      <w:r>
        <w:rPr>
          <w:noProof/>
        </w:rPr>
        <w:t xml:space="preserve"> </w:t>
      </w:r>
    </w:p>
    <w:p w14:paraId="62DA456F" w14:textId="77777777" w:rsidR="00E42B18" w:rsidRDefault="009629C4">
      <w:pPr>
        <w:spacing w:before="120" w:after="120"/>
        <w:jc w:val="both"/>
        <w:rPr>
          <w:rFonts w:ascii="Times New Roman" w:eastAsia="Times New Roman" w:hAnsi="Times New Roman" w:cs="Times New Roman"/>
          <w:noProof/>
        </w:rPr>
      </w:pPr>
      <w:r>
        <w:rPr>
          <w:rFonts w:ascii="Times New Roman" w:eastAsia="Times New Roman" w:hAnsi="Times New Roman" w:cs="Times New Roman"/>
          <w:noProof/>
        </w:rPr>
        <w:t xml:space="preserve">Investointi koostuu kahdesta toimintalinjasta. Ensimmäisen budjettikohdan puitteissa elpymis- ja palautumistukivälineestä rahoitetaan yksinomaan vähintään 32 keskusta ilman muista EU:n lähteistä saatavaa tukea. </w:t>
      </w:r>
      <w:r>
        <w:rPr>
          <w:rFonts w:ascii="Times New Roman" w:eastAsia="Times New Roman" w:hAnsi="Times New Roman" w:cs="Times New Roman"/>
          <w:noProof/>
          <w:color w:val="000000" w:themeColor="text1"/>
        </w:rPr>
        <w:t xml:space="preserve">Toisella budjettikohdalla elpymis- ja </w:t>
      </w:r>
      <w:r>
        <w:rPr>
          <w:rFonts w:ascii="Times New Roman" w:eastAsia="Times New Roman" w:hAnsi="Times New Roman" w:cs="Times New Roman"/>
          <w:noProof/>
        </w:rPr>
        <w:t xml:space="preserve">palautumistukivälineestä rahoitetaan osa 13:sta </w:t>
      </w:r>
      <w:r>
        <w:rPr>
          <w:rFonts w:ascii="Times New Roman" w:eastAsia="Times New Roman" w:hAnsi="Times New Roman" w:cs="Times New Roman"/>
          <w:noProof/>
          <w:color w:val="000000" w:themeColor="text1"/>
        </w:rPr>
        <w:t>eurooppalaisesta digitaali-innovointikeskittymästä</w:t>
      </w:r>
      <w:r>
        <w:rPr>
          <w:rFonts w:ascii="Times New Roman" w:eastAsia="Times New Roman" w:hAnsi="Times New Roman" w:cs="Times New Roman"/>
          <w:noProof/>
        </w:rPr>
        <w:t xml:space="preserve">, ja toinen osa kustannuksista tulee Digitaalinen Eurooppa -ohjelmasta. Elpymis- </w:t>
      </w:r>
      <w:r>
        <w:rPr>
          <w:rFonts w:ascii="Times New Roman" w:eastAsia="Times New Roman" w:hAnsi="Times New Roman" w:cs="Times New Roman"/>
          <w:noProof/>
          <w:color w:val="000000" w:themeColor="text1"/>
        </w:rPr>
        <w:t>ja palautumistukivälineestä ja Digitaalinen Eurooppa -ohjelmasta rahoitettujen 13 eurooppalaisen digitaali-innovointikeskittymän toiminta on jäsennettävä tehtäväkokonaisuuksiksi</w:t>
      </w:r>
      <w:r>
        <w:rPr>
          <w:rStyle w:val="FootnoteReference"/>
          <w:rFonts w:ascii="Times New Roman" w:eastAsia="Times New Roman" w:hAnsi="Times New Roman" w:cs="Times New Roman"/>
          <w:noProof/>
          <w:color w:val="000000" w:themeColor="text1"/>
        </w:rPr>
        <w:footnoteReference w:id="81"/>
      </w:r>
      <w:r>
        <w:rPr>
          <w:rFonts w:ascii="Times New Roman" w:eastAsia="Times New Roman" w:hAnsi="Times New Roman" w:cs="Times New Roman"/>
          <w:noProof/>
          <w:color w:val="000000" w:themeColor="text1"/>
        </w:rPr>
        <w:t>. Elpymis- ja palautumistukivälineen tuki ei koske työpaketteja, joihin eurooppalaiset digitaali-innovointikeskittymät saavat tukea Digitaalinen Eurooppa -ohjelmasta. I</w:t>
      </w:r>
      <w:r>
        <w:rPr>
          <w:rFonts w:ascii="Times New Roman" w:eastAsia="Times New Roman" w:hAnsi="Times New Roman" w:cs="Times New Roman"/>
          <w:noProof/>
        </w:rPr>
        <w:t xml:space="preserve"> </w:t>
      </w:r>
    </w:p>
    <w:p w14:paraId="6AA68C90" w14:textId="20C06591" w:rsidR="00E42B18" w:rsidRDefault="009629C4">
      <w:pPr>
        <w:pStyle w:val="P68B1DB1-Normal29"/>
        <w:spacing w:before="120" w:after="120" w:line="288" w:lineRule="auto"/>
        <w:jc w:val="both"/>
        <w:rPr>
          <w:bCs/>
          <w:noProof/>
        </w:rPr>
      </w:pPr>
      <w:r>
        <w:rPr>
          <w:noProof/>
        </w:rPr>
        <w:t>Investointi 3.1: Tutkimus- ja innovointi-infrastruktuurit</w:t>
      </w:r>
    </w:p>
    <w:p w14:paraId="126B56F8" w14:textId="10052107" w:rsidR="00E42B18" w:rsidRDefault="009629C4">
      <w:pPr>
        <w:pStyle w:val="P68B1DB1-Normal8"/>
        <w:spacing w:before="120" w:after="120"/>
        <w:jc w:val="both"/>
        <w:rPr>
          <w:noProof/>
        </w:rPr>
      </w:pPr>
      <w:r>
        <w:rPr>
          <w:noProof/>
        </w:rPr>
        <w:t>Toimenpiteen tavoitteena on tukea teollisuuden ja tiedeyhteisön välisten tutkimus- ja innovointi-infrastruktuurien luomista tai tukea niistä poistuvia. Investointi koostuu nykyisten tai uusien infrastruktuurihankkeiden rahoittamisesta siten, että kullakin infrastruktuurilla on tutkimusvastaava.</w:t>
      </w:r>
    </w:p>
    <w:p w14:paraId="3AF415BA" w14:textId="77777777" w:rsidR="00E42B18" w:rsidRDefault="009629C4">
      <w:pPr>
        <w:pStyle w:val="P68B1DB1-Normal29"/>
        <w:spacing w:before="120" w:after="120" w:line="288" w:lineRule="auto"/>
        <w:jc w:val="both"/>
        <w:rPr>
          <w:noProof/>
        </w:rPr>
      </w:pPr>
      <w:r>
        <w:rPr>
          <w:noProof/>
        </w:rPr>
        <w:t>Investointi 3.2: Pääomanlisäys CDP Venture Capital SGR:n hallinnoimaan digitaalisen siirtymän rahastoon (DTF)</w:t>
      </w:r>
    </w:p>
    <w:p w14:paraId="40F24BCC" w14:textId="7FF84FBC" w:rsidR="00E42B18" w:rsidRDefault="009629C4">
      <w:pPr>
        <w:spacing w:line="240" w:lineRule="auto"/>
        <w:jc w:val="both"/>
        <w:rPr>
          <w:rFonts w:ascii="Times New Roman" w:eastAsia="Times New Roman" w:hAnsi="Times New Roman" w:cs="Times New Roman"/>
          <w:noProof/>
        </w:rPr>
      </w:pPr>
      <w:r>
        <w:rPr>
          <w:rFonts w:ascii="Times New Roman" w:eastAsia="Times New Roman" w:hAnsi="Times New Roman" w:cs="Times New Roman"/>
          <w:noProof/>
        </w:rPr>
        <w:t>Tällä toimenpiteellä pyritään tukemaan Italian talouden kasvupotentiaalia kannustamalla yksityisiin investointeihin, parantamalla startup-yritysten rahoituksen saantia ja kehittämällä tämän alan riskipääomamarkkinoita. Toimenpide koostuu 400000000 euron pääomasijoituksesta CDP Venture Capital SGR</w:t>
      </w:r>
      <w:r>
        <w:rPr>
          <w:rFonts w:ascii="Arial Narrow" w:hAnsi="Arial Narrow"/>
          <w:noProof/>
          <w:color w:val="006100"/>
          <w:sz w:val="20"/>
          <w:szCs w:val="20"/>
        </w:rPr>
        <w:t xml:space="preserve"> </w:t>
      </w:r>
      <w:r>
        <w:rPr>
          <w:rFonts w:ascii="Times New Roman" w:eastAsia="Times New Roman" w:hAnsi="Times New Roman" w:cs="Times New Roman"/>
          <w:noProof/>
        </w:rPr>
        <w:t xml:space="preserve">:n hallinnoimaan digitaalisen siirtymän rahastoon, jäljempänä ’DTF’. </w:t>
      </w:r>
    </w:p>
    <w:p w14:paraId="0DDE14E6" w14:textId="1A7BD8B8" w:rsidR="00E42B18" w:rsidRDefault="009629C4">
      <w:pPr>
        <w:pStyle w:val="P68B1DB1-LegalNumPar260"/>
        <w:numPr>
          <w:ilvl w:val="0"/>
          <w:numId w:val="0"/>
        </w:numPr>
        <w:spacing w:line="259" w:lineRule="auto"/>
        <w:jc w:val="both"/>
        <w:rPr>
          <w:noProof/>
        </w:rPr>
      </w:pPr>
      <w:r>
        <w:rPr>
          <w:noProof/>
        </w:rPr>
        <w:t>CDP Venture Capital SGR:n on noudatettava oman pääoman käyttöä koskevaa sijoituspolitiikkaa. Investointipolitiikkaan on sisällyttävä kuvaus rahoitustuotteesta (-tuotteista) niiden tukikelpoisten lopullisten edunsaajien odotetusta tyypistä, joita pääomasta odotetaan tuettavan, mukaan lukien odotettu 15 vuoden täytäntöönpanoaikataulu ja enintään 13 prosentin hallinnointipalkkio.</w:t>
      </w:r>
      <w:r>
        <w:rPr>
          <w:noProof/>
        </w:rPr>
        <w:footnoteReference w:id="82"/>
      </w:r>
      <w:r>
        <w:rPr>
          <w:noProof/>
        </w:rPr>
        <w:t xml:space="preserve"> DTF:n on toimittava tarjoamalla suoraan tai välillisesti oman pääoman ehtoista, oman pääoman luonteista, vieraan pääoman ehtoista tai vieraan pääoman luonteista tukea.</w:t>
      </w:r>
      <w:r>
        <w:rPr>
          <w:noProof/>
        </w:rPr>
        <w:footnoteReference w:id="83"/>
      </w:r>
      <w:r>
        <w:rPr>
          <w:noProof/>
        </w:rPr>
        <w:t xml:space="preserve"> CDP Venture Capital SGR:n on käytettävä oman pääoman käyttöä koskevissa ohjeissa ”Linee Guida per le attività di rendicontazione e controllo dei Fondi DTF e GTF” kuvattua tarkastus- ja valvontajärjestelmää. Sijoituspolitiikassa on edellytettävä, että oman pääoman ehtoiset rahoitustuotteet noudattavat ”ei merkittävää haittaa” -periaatetta, sellaisena kuin se on vahvistettu ”ei merkittävää haittaa” -periaatteen (2021/C58/01) mukaisesti. Erityisesti kun kyseessä on start-up-yritysten yleinen tuki, investointipolitiikan ulkopuolelle on jätettävä yritykset,</w:t>
      </w:r>
      <w:r>
        <w:rPr>
          <w:noProof/>
        </w:rPr>
        <w:footnoteReference w:id="84"/>
      </w:r>
      <w:r>
        <w:rPr>
          <w:noProof/>
        </w:rPr>
        <w:t xml:space="preserve"> jotka keskittyvät erityisesti seuraaviin aloihin: I) fossiilisiin polttoaineisiin perustuva energiantuotanto ja siihen liittyvä toiminta</w:t>
      </w:r>
      <w:r>
        <w:rPr>
          <w:noProof/>
        </w:rPr>
        <w:footnoteReference w:id="85"/>
      </w:r>
      <w:r>
        <w:rPr>
          <w:noProof/>
        </w:rPr>
        <w:t>; II) energiaintensiiviset ja/tai paljon hiilidioksidipäästöjä aiheuttavat teollisuudenalat</w:t>
      </w:r>
      <w:r>
        <w:rPr>
          <w:noProof/>
        </w:rPr>
        <w:footnoteReference w:id="86"/>
      </w:r>
      <w:r>
        <w:rPr>
          <w:noProof/>
        </w:rPr>
        <w:t>; III) saastuttavien ajoneuvojen tuotanto, vuokraus tai myynti</w:t>
      </w:r>
      <w:r>
        <w:rPr>
          <w:noProof/>
        </w:rPr>
        <w:footnoteReference w:id="87"/>
      </w:r>
      <w:r>
        <w:rPr>
          <w:noProof/>
        </w:rPr>
        <w:t>; IV) jätteiden keruu, käsittely ja</w:t>
      </w:r>
      <w:r>
        <w:rPr>
          <w:noProof/>
        </w:rPr>
        <w:footnoteReference w:id="88"/>
      </w:r>
      <w:r>
        <w:rPr>
          <w:noProof/>
        </w:rPr>
        <w:t>loppusijoitus, v) ydinpolttoaineen käsittely, ydinenergian tuotanto. Lisäksi investointipolitiikassa on edellytettävä asiaa koskevan EU:n ja kansallisen ympäristölainsäädännön noudattamista.</w:t>
      </w:r>
    </w:p>
    <w:p w14:paraId="429165A3" w14:textId="4B4489C3" w:rsidR="00E42B18" w:rsidRDefault="00E42B18">
      <w:pPr>
        <w:pStyle w:val="LegalNumPar2"/>
        <w:numPr>
          <w:ilvl w:val="0"/>
          <w:numId w:val="0"/>
        </w:numPr>
        <w:spacing w:line="259" w:lineRule="auto"/>
        <w:jc w:val="both"/>
        <w:rPr>
          <w:rFonts w:ascii="Times New Roman" w:hAnsi="Times New Roman" w:cs="Times New Roman"/>
          <w:noProof/>
        </w:rPr>
        <w:sectPr w:rsidR="00E42B18" w:rsidSect="005F11B9">
          <w:headerReference w:type="even" r:id="rId204"/>
          <w:headerReference w:type="default" r:id="rId205"/>
          <w:footerReference w:type="even" r:id="rId206"/>
          <w:footerReference w:type="default" r:id="rId207"/>
          <w:headerReference w:type="first" r:id="rId208"/>
          <w:footerReference w:type="first" r:id="rId209"/>
          <w:pgSz w:w="11907" w:h="16839"/>
          <w:pgMar w:top="1440" w:right="1440" w:bottom="1440" w:left="1440" w:header="567" w:footer="567" w:gutter="0"/>
          <w:cols w:space="720"/>
          <w:docGrid w:linePitch="360"/>
        </w:sectPr>
      </w:pPr>
    </w:p>
    <w:p w14:paraId="5EF4F01C" w14:textId="77777777" w:rsidR="00E42B18" w:rsidRDefault="009629C4">
      <w:pPr>
        <w:pStyle w:val="P68B1DB1-Heading368"/>
        <w:ind w:left="850" w:hanging="850"/>
        <w:rPr>
          <w:noProof/>
        </w:rPr>
      </w:pPr>
      <w:r>
        <w:rPr>
          <w:noProof/>
        </w:rPr>
        <w:t xml:space="preserve">K.4 </w:t>
      </w:r>
      <w:r>
        <w:rPr>
          <w:noProof/>
        </w:rPr>
        <w:tab/>
        <w:t xml:space="preserve">Lainamuotoisen tuen seurantaa ja täytäntöönpanoa koskevat välitavoitteet, tavoitteet, indikaattorit ja aikataulu </w:t>
      </w:r>
    </w:p>
    <w:tbl>
      <w:tblPr>
        <w:tblW w:w="543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1"/>
        <w:gridCol w:w="1395"/>
        <w:gridCol w:w="1486"/>
        <w:gridCol w:w="1441"/>
        <w:gridCol w:w="1584"/>
        <w:gridCol w:w="1297"/>
        <w:gridCol w:w="1152"/>
        <w:gridCol w:w="1296"/>
        <w:gridCol w:w="1009"/>
        <w:gridCol w:w="861"/>
        <w:gridCol w:w="2452"/>
      </w:tblGrid>
      <w:tr w:rsidR="00E42B18" w14:paraId="3A961C41" w14:textId="77777777">
        <w:trPr>
          <w:trHeight w:val="939"/>
          <w:tblHeader/>
        </w:trPr>
        <w:tc>
          <w:tcPr>
            <w:tcW w:w="1441" w:type="dxa"/>
            <w:vMerge w:val="restart"/>
            <w:shd w:val="clear" w:color="auto" w:fill="BDD7EE"/>
            <w:vAlign w:val="center"/>
            <w:hideMark/>
          </w:tcPr>
          <w:p w14:paraId="75AC5077" w14:textId="77777777" w:rsidR="00E42B18" w:rsidRDefault="009629C4">
            <w:pPr>
              <w:pStyle w:val="P68B1DB1-Normal10"/>
              <w:jc w:val="center"/>
              <w:rPr>
                <w:noProof/>
                <w:szCs w:val="20"/>
              </w:rPr>
            </w:pPr>
            <w:r>
              <w:rPr>
                <w:noProof/>
              </w:rPr>
              <w:t>Juokseva numero</w:t>
            </w:r>
          </w:p>
        </w:tc>
        <w:tc>
          <w:tcPr>
            <w:tcW w:w="1395" w:type="dxa"/>
            <w:vMerge w:val="restart"/>
            <w:shd w:val="clear" w:color="auto" w:fill="BDD7EE"/>
            <w:vAlign w:val="center"/>
            <w:hideMark/>
          </w:tcPr>
          <w:p w14:paraId="6E97CD74" w14:textId="77777777" w:rsidR="00E42B18" w:rsidRDefault="009629C4">
            <w:pPr>
              <w:pStyle w:val="P68B1DB1-Normal10"/>
              <w:jc w:val="center"/>
              <w:rPr>
                <w:noProof/>
                <w:szCs w:val="20"/>
              </w:rPr>
            </w:pPr>
            <w:r>
              <w:rPr>
                <w:noProof/>
              </w:rPr>
              <w:t>Toimenpide (uudistus tai investointi)</w:t>
            </w:r>
          </w:p>
        </w:tc>
        <w:tc>
          <w:tcPr>
            <w:tcW w:w="1486" w:type="dxa"/>
            <w:vMerge w:val="restart"/>
            <w:shd w:val="clear" w:color="auto" w:fill="BDD7EE"/>
            <w:vAlign w:val="center"/>
            <w:hideMark/>
          </w:tcPr>
          <w:p w14:paraId="50B1CE74" w14:textId="77777777" w:rsidR="00E42B18" w:rsidRDefault="009629C4">
            <w:pPr>
              <w:pStyle w:val="P68B1DB1-Normal10"/>
              <w:jc w:val="center"/>
              <w:rPr>
                <w:noProof/>
                <w:szCs w:val="20"/>
              </w:rPr>
            </w:pPr>
            <w:r>
              <w:rPr>
                <w:noProof/>
              </w:rPr>
              <w:t>Välitavoite/tavoite</w:t>
            </w:r>
          </w:p>
        </w:tc>
        <w:tc>
          <w:tcPr>
            <w:tcW w:w="1441" w:type="dxa"/>
            <w:vMerge w:val="restart"/>
            <w:shd w:val="clear" w:color="auto" w:fill="BDD7EE"/>
            <w:vAlign w:val="center"/>
            <w:hideMark/>
          </w:tcPr>
          <w:p w14:paraId="504A26F5" w14:textId="77777777" w:rsidR="00E42B18" w:rsidRDefault="009629C4">
            <w:pPr>
              <w:pStyle w:val="P68B1DB1-Normal10"/>
              <w:jc w:val="center"/>
              <w:rPr>
                <w:noProof/>
                <w:szCs w:val="20"/>
              </w:rPr>
            </w:pPr>
            <w:r>
              <w:rPr>
                <w:noProof/>
              </w:rPr>
              <w:t>Nimi</w:t>
            </w:r>
          </w:p>
        </w:tc>
        <w:tc>
          <w:tcPr>
            <w:tcW w:w="1584" w:type="dxa"/>
            <w:vMerge w:val="restart"/>
            <w:shd w:val="clear" w:color="auto" w:fill="BDD7EE"/>
            <w:vAlign w:val="center"/>
            <w:hideMark/>
          </w:tcPr>
          <w:p w14:paraId="47C577A5" w14:textId="7777777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745" w:type="dxa"/>
            <w:gridSpan w:val="3"/>
            <w:shd w:val="clear" w:color="auto" w:fill="BDD7EE"/>
            <w:vAlign w:val="center"/>
            <w:hideMark/>
          </w:tcPr>
          <w:p w14:paraId="7D8BCB55"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870" w:type="dxa"/>
            <w:gridSpan w:val="2"/>
            <w:shd w:val="clear" w:color="auto" w:fill="BDD7EE"/>
            <w:vAlign w:val="center"/>
            <w:hideMark/>
          </w:tcPr>
          <w:p w14:paraId="77046646" w14:textId="77777777" w:rsidR="00E42B18" w:rsidRDefault="009629C4">
            <w:pPr>
              <w:pStyle w:val="P68B1DB1-Normal10"/>
              <w:jc w:val="center"/>
              <w:rPr>
                <w:noProof/>
                <w:szCs w:val="20"/>
              </w:rPr>
            </w:pPr>
            <w:r>
              <w:rPr>
                <w:noProof/>
              </w:rPr>
              <w:t>Alustava toteutusaikataulu</w:t>
            </w:r>
          </w:p>
        </w:tc>
        <w:tc>
          <w:tcPr>
            <w:tcW w:w="2452" w:type="dxa"/>
            <w:vMerge w:val="restart"/>
            <w:shd w:val="clear" w:color="auto" w:fill="BDD7EE"/>
            <w:vAlign w:val="center"/>
            <w:hideMark/>
          </w:tcPr>
          <w:p w14:paraId="7ED488EE" w14:textId="77777777" w:rsidR="00E42B18" w:rsidRDefault="009629C4">
            <w:pPr>
              <w:pStyle w:val="P68B1DB1-Normal10"/>
              <w:jc w:val="center"/>
              <w:rPr>
                <w:noProof/>
                <w:szCs w:val="20"/>
              </w:rPr>
            </w:pPr>
            <w:r>
              <w:rPr>
                <w:noProof/>
              </w:rPr>
              <w:t>Kunkin välitavoitteen ja tavoitteen kuvaus</w:t>
            </w:r>
          </w:p>
        </w:tc>
      </w:tr>
      <w:tr w:rsidR="00E42B18" w14:paraId="75BD3359" w14:textId="77777777">
        <w:trPr>
          <w:trHeight w:val="741"/>
          <w:tblHeader/>
        </w:trPr>
        <w:tc>
          <w:tcPr>
            <w:tcW w:w="1441" w:type="dxa"/>
            <w:vMerge/>
            <w:vAlign w:val="center"/>
            <w:hideMark/>
          </w:tcPr>
          <w:p w14:paraId="2BC6C4F4" w14:textId="77777777" w:rsidR="00E42B18" w:rsidRDefault="00E42B18">
            <w:pPr>
              <w:jc w:val="center"/>
              <w:rPr>
                <w:rFonts w:ascii="Arial Narrow" w:hAnsi="Arial Narrow"/>
                <w:b/>
                <w:noProof/>
                <w:sz w:val="20"/>
                <w:szCs w:val="20"/>
              </w:rPr>
            </w:pPr>
          </w:p>
        </w:tc>
        <w:tc>
          <w:tcPr>
            <w:tcW w:w="1395" w:type="dxa"/>
            <w:vMerge/>
            <w:vAlign w:val="center"/>
            <w:hideMark/>
          </w:tcPr>
          <w:p w14:paraId="037E883B" w14:textId="77777777" w:rsidR="00E42B18" w:rsidRDefault="00E42B18">
            <w:pPr>
              <w:jc w:val="center"/>
              <w:rPr>
                <w:rFonts w:ascii="Arial Narrow" w:hAnsi="Arial Narrow"/>
                <w:b/>
                <w:noProof/>
                <w:sz w:val="20"/>
                <w:szCs w:val="20"/>
              </w:rPr>
            </w:pPr>
          </w:p>
        </w:tc>
        <w:tc>
          <w:tcPr>
            <w:tcW w:w="1486" w:type="dxa"/>
            <w:vMerge/>
            <w:vAlign w:val="center"/>
            <w:hideMark/>
          </w:tcPr>
          <w:p w14:paraId="283CECC4" w14:textId="77777777" w:rsidR="00E42B18" w:rsidRDefault="00E42B18">
            <w:pPr>
              <w:jc w:val="center"/>
              <w:rPr>
                <w:rFonts w:ascii="Arial Narrow" w:hAnsi="Arial Narrow"/>
                <w:b/>
                <w:noProof/>
                <w:sz w:val="20"/>
                <w:szCs w:val="20"/>
              </w:rPr>
            </w:pPr>
          </w:p>
        </w:tc>
        <w:tc>
          <w:tcPr>
            <w:tcW w:w="1441" w:type="dxa"/>
            <w:vMerge/>
            <w:vAlign w:val="center"/>
            <w:hideMark/>
          </w:tcPr>
          <w:p w14:paraId="4453F0EC" w14:textId="77777777" w:rsidR="00E42B18" w:rsidRDefault="00E42B18">
            <w:pPr>
              <w:jc w:val="center"/>
              <w:rPr>
                <w:rFonts w:ascii="Arial Narrow" w:hAnsi="Arial Narrow"/>
                <w:b/>
                <w:noProof/>
                <w:sz w:val="20"/>
                <w:szCs w:val="20"/>
              </w:rPr>
            </w:pPr>
          </w:p>
        </w:tc>
        <w:tc>
          <w:tcPr>
            <w:tcW w:w="1584" w:type="dxa"/>
            <w:vMerge/>
            <w:vAlign w:val="center"/>
            <w:hideMark/>
          </w:tcPr>
          <w:p w14:paraId="634E5FC7" w14:textId="77777777" w:rsidR="00E42B18" w:rsidRDefault="00E42B18">
            <w:pPr>
              <w:jc w:val="center"/>
              <w:rPr>
                <w:rFonts w:ascii="Arial Narrow" w:hAnsi="Arial Narrow"/>
                <w:b/>
                <w:noProof/>
                <w:sz w:val="20"/>
                <w:szCs w:val="20"/>
              </w:rPr>
            </w:pPr>
          </w:p>
        </w:tc>
        <w:tc>
          <w:tcPr>
            <w:tcW w:w="1297" w:type="dxa"/>
            <w:shd w:val="clear" w:color="auto" w:fill="BDD7EE"/>
            <w:vAlign w:val="center"/>
            <w:hideMark/>
          </w:tcPr>
          <w:p w14:paraId="50BD5186" w14:textId="77777777" w:rsidR="00E42B18" w:rsidRDefault="009629C4">
            <w:pPr>
              <w:pStyle w:val="P68B1DB1-Normal10"/>
              <w:jc w:val="center"/>
              <w:rPr>
                <w:noProof/>
                <w:szCs w:val="20"/>
              </w:rPr>
            </w:pPr>
            <w:r>
              <w:rPr>
                <w:noProof/>
              </w:rPr>
              <w:t>Mitta-yksikkö</w:t>
            </w:r>
          </w:p>
        </w:tc>
        <w:tc>
          <w:tcPr>
            <w:tcW w:w="1152" w:type="dxa"/>
            <w:shd w:val="clear" w:color="auto" w:fill="BDD7EE"/>
            <w:vAlign w:val="center"/>
            <w:hideMark/>
          </w:tcPr>
          <w:p w14:paraId="09ED61AB" w14:textId="77777777" w:rsidR="00E42B18" w:rsidRDefault="009629C4">
            <w:pPr>
              <w:pStyle w:val="P68B1DB1-Normal10"/>
              <w:jc w:val="center"/>
              <w:rPr>
                <w:noProof/>
                <w:szCs w:val="20"/>
              </w:rPr>
            </w:pPr>
            <w:r>
              <w:rPr>
                <w:noProof/>
              </w:rPr>
              <w:t>Lähtötilanne</w:t>
            </w:r>
          </w:p>
        </w:tc>
        <w:tc>
          <w:tcPr>
            <w:tcW w:w="1296" w:type="dxa"/>
            <w:shd w:val="clear" w:color="auto" w:fill="BDD7EE"/>
            <w:vAlign w:val="center"/>
            <w:hideMark/>
          </w:tcPr>
          <w:p w14:paraId="72C88461" w14:textId="77777777" w:rsidR="00E42B18" w:rsidRDefault="009629C4">
            <w:pPr>
              <w:pStyle w:val="P68B1DB1-Normal10"/>
              <w:jc w:val="center"/>
              <w:rPr>
                <w:noProof/>
                <w:szCs w:val="20"/>
              </w:rPr>
            </w:pPr>
            <w:r>
              <w:rPr>
                <w:noProof/>
              </w:rPr>
              <w:t>Päämäärä</w:t>
            </w:r>
          </w:p>
        </w:tc>
        <w:tc>
          <w:tcPr>
            <w:tcW w:w="1009" w:type="dxa"/>
            <w:shd w:val="clear" w:color="auto" w:fill="BDD7EE"/>
            <w:vAlign w:val="center"/>
            <w:hideMark/>
          </w:tcPr>
          <w:p w14:paraId="118B8456" w14:textId="77777777" w:rsidR="00E42B18" w:rsidRDefault="009629C4">
            <w:pPr>
              <w:pStyle w:val="P68B1DB1-Normal10"/>
              <w:jc w:val="center"/>
              <w:rPr>
                <w:noProof/>
                <w:szCs w:val="20"/>
              </w:rPr>
            </w:pPr>
            <w:r>
              <w:rPr>
                <w:noProof/>
              </w:rPr>
              <w:t>Neljännes</w:t>
            </w:r>
          </w:p>
        </w:tc>
        <w:tc>
          <w:tcPr>
            <w:tcW w:w="861" w:type="dxa"/>
            <w:shd w:val="clear" w:color="auto" w:fill="BDD7EE"/>
            <w:vAlign w:val="center"/>
            <w:hideMark/>
          </w:tcPr>
          <w:p w14:paraId="30609DE7" w14:textId="77777777" w:rsidR="00E42B18" w:rsidRDefault="009629C4">
            <w:pPr>
              <w:pStyle w:val="P68B1DB1-Normal10"/>
              <w:jc w:val="center"/>
              <w:rPr>
                <w:noProof/>
                <w:szCs w:val="20"/>
              </w:rPr>
            </w:pPr>
            <w:r>
              <w:rPr>
                <w:noProof/>
              </w:rPr>
              <w:t>Vuosi</w:t>
            </w:r>
          </w:p>
        </w:tc>
        <w:tc>
          <w:tcPr>
            <w:tcW w:w="2452" w:type="dxa"/>
            <w:vMerge/>
            <w:vAlign w:val="center"/>
            <w:hideMark/>
          </w:tcPr>
          <w:p w14:paraId="05966569" w14:textId="77777777" w:rsidR="00E42B18" w:rsidRDefault="00E42B18">
            <w:pPr>
              <w:rPr>
                <w:rFonts w:ascii="Arial Narrow" w:hAnsi="Arial Narrow"/>
                <w:b/>
                <w:noProof/>
                <w:sz w:val="20"/>
                <w:szCs w:val="20"/>
              </w:rPr>
            </w:pPr>
          </w:p>
        </w:tc>
      </w:tr>
      <w:tr w:rsidR="00E42B18" w14:paraId="162B57E2" w14:textId="77777777">
        <w:trPr>
          <w:trHeight w:val="1740"/>
        </w:trPr>
        <w:tc>
          <w:tcPr>
            <w:tcW w:w="1441" w:type="dxa"/>
            <w:shd w:val="clear" w:color="auto" w:fill="C6EFCE"/>
            <w:noWrap/>
            <w:vAlign w:val="center"/>
            <w:hideMark/>
          </w:tcPr>
          <w:p w14:paraId="7667E519" w14:textId="77777777" w:rsidR="00E42B18" w:rsidRDefault="009629C4">
            <w:pPr>
              <w:pStyle w:val="P68B1DB1-Normal11"/>
              <w:jc w:val="center"/>
              <w:rPr>
                <w:noProof/>
                <w:szCs w:val="20"/>
              </w:rPr>
            </w:pPr>
            <w:r>
              <w:rPr>
                <w:noProof/>
              </w:rPr>
              <w:t>M4C2–5</w:t>
            </w:r>
          </w:p>
          <w:p w14:paraId="0ACCF562" w14:textId="77777777" w:rsidR="00E42B18" w:rsidRDefault="00E42B18">
            <w:pPr>
              <w:jc w:val="center"/>
              <w:rPr>
                <w:rFonts w:ascii="Arial Narrow" w:hAnsi="Arial Narrow"/>
                <w:noProof/>
                <w:color w:val="006100"/>
                <w:sz w:val="20"/>
                <w:szCs w:val="20"/>
              </w:rPr>
            </w:pPr>
          </w:p>
        </w:tc>
        <w:tc>
          <w:tcPr>
            <w:tcW w:w="1395" w:type="dxa"/>
            <w:shd w:val="clear" w:color="auto" w:fill="C6EFCE"/>
            <w:noWrap/>
            <w:vAlign w:val="center"/>
          </w:tcPr>
          <w:p w14:paraId="73EE6978" w14:textId="77777777" w:rsidR="00E42B18" w:rsidRDefault="009629C4">
            <w:pPr>
              <w:pStyle w:val="P68B1DB1-Normal11"/>
              <w:jc w:val="center"/>
              <w:rPr>
                <w:noProof/>
                <w:szCs w:val="20"/>
              </w:rPr>
            </w:pPr>
            <w:r>
              <w:rPr>
                <w:noProof/>
              </w:rPr>
              <w:t>Investointi 1.1: Kansallista etua koskevat tutkimushankkeet (PRIN)</w:t>
            </w:r>
          </w:p>
        </w:tc>
        <w:tc>
          <w:tcPr>
            <w:tcW w:w="1486" w:type="dxa"/>
            <w:shd w:val="clear" w:color="auto" w:fill="C6EFCE"/>
            <w:noWrap/>
            <w:vAlign w:val="center"/>
            <w:hideMark/>
          </w:tcPr>
          <w:p w14:paraId="1C511BA1" w14:textId="77777777" w:rsidR="00E42B18" w:rsidRDefault="009629C4">
            <w:pPr>
              <w:pStyle w:val="P68B1DB1-Normal11"/>
              <w:jc w:val="center"/>
              <w:rPr>
                <w:noProof/>
                <w:szCs w:val="20"/>
              </w:rPr>
            </w:pPr>
            <w:r>
              <w:rPr>
                <w:noProof/>
              </w:rPr>
              <w:t>Kohde</w:t>
            </w:r>
          </w:p>
        </w:tc>
        <w:tc>
          <w:tcPr>
            <w:tcW w:w="1441" w:type="dxa"/>
            <w:shd w:val="clear" w:color="auto" w:fill="C6EFCE"/>
            <w:noWrap/>
            <w:vAlign w:val="center"/>
          </w:tcPr>
          <w:p w14:paraId="6E9DACDA" w14:textId="77777777" w:rsidR="00E42B18" w:rsidRDefault="009629C4">
            <w:pPr>
              <w:pStyle w:val="P68B1DB1-Normal11"/>
              <w:jc w:val="center"/>
              <w:rPr>
                <w:noProof/>
                <w:szCs w:val="20"/>
              </w:rPr>
            </w:pPr>
            <w:r>
              <w:rPr>
                <w:noProof/>
              </w:rPr>
              <w:t>Myönnettyjen tutkimushankkeiden lukumäärä</w:t>
            </w:r>
          </w:p>
        </w:tc>
        <w:tc>
          <w:tcPr>
            <w:tcW w:w="1584" w:type="dxa"/>
            <w:shd w:val="clear" w:color="auto" w:fill="C6EFCE"/>
            <w:noWrap/>
            <w:vAlign w:val="center"/>
            <w:hideMark/>
          </w:tcPr>
          <w:p w14:paraId="31FD1E55" w14:textId="77777777" w:rsidR="00E42B18" w:rsidRDefault="009629C4">
            <w:pPr>
              <w:pStyle w:val="P68B1DB1-Normal11"/>
              <w:jc w:val="center"/>
              <w:rPr>
                <w:noProof/>
                <w:szCs w:val="20"/>
              </w:rPr>
            </w:pPr>
            <w:r>
              <w:rPr>
                <w:noProof/>
              </w:rPr>
              <w:t>EI OLE</w:t>
            </w:r>
          </w:p>
        </w:tc>
        <w:tc>
          <w:tcPr>
            <w:tcW w:w="1297" w:type="dxa"/>
            <w:shd w:val="clear" w:color="auto" w:fill="C6EFCE"/>
            <w:noWrap/>
            <w:vAlign w:val="center"/>
            <w:hideMark/>
          </w:tcPr>
          <w:p w14:paraId="56817586" w14:textId="77777777" w:rsidR="00E42B18" w:rsidRDefault="009629C4">
            <w:pPr>
              <w:pStyle w:val="P68B1DB1-Normal11"/>
              <w:jc w:val="center"/>
              <w:rPr>
                <w:noProof/>
                <w:szCs w:val="20"/>
              </w:rPr>
            </w:pPr>
            <w:r>
              <w:rPr>
                <w:noProof/>
              </w:rPr>
              <w:t>Numero</w:t>
            </w:r>
          </w:p>
        </w:tc>
        <w:tc>
          <w:tcPr>
            <w:tcW w:w="1152" w:type="dxa"/>
            <w:shd w:val="clear" w:color="auto" w:fill="C6EFCE"/>
            <w:noWrap/>
            <w:vAlign w:val="center"/>
          </w:tcPr>
          <w:p w14:paraId="3F867CEE" w14:textId="77777777" w:rsidR="00E42B18" w:rsidRDefault="009629C4">
            <w:pPr>
              <w:pStyle w:val="P68B1DB1-Normal11"/>
              <w:jc w:val="center"/>
              <w:rPr>
                <w:noProof/>
                <w:szCs w:val="20"/>
              </w:rPr>
            </w:pPr>
            <w:r>
              <w:rPr>
                <w:noProof/>
              </w:rPr>
              <w:t>0</w:t>
            </w:r>
          </w:p>
        </w:tc>
        <w:tc>
          <w:tcPr>
            <w:tcW w:w="1296" w:type="dxa"/>
            <w:shd w:val="clear" w:color="auto" w:fill="C6EFCE"/>
            <w:noWrap/>
            <w:vAlign w:val="center"/>
          </w:tcPr>
          <w:p w14:paraId="25739BD7"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3</w:t>
            </w:r>
            <w:r>
              <w:rPr>
                <w:noProof/>
                <w:sz w:val="23"/>
                <w:szCs w:val="23"/>
              </w:rPr>
              <w:t xml:space="preserve"> </w:t>
            </w:r>
            <w:r>
              <w:rPr>
                <w:rFonts w:ascii="Arial Narrow" w:hAnsi="Arial Narrow"/>
                <w:noProof/>
                <w:color w:val="006100"/>
                <w:sz w:val="20"/>
              </w:rPr>
              <w:t>150</w:t>
            </w:r>
          </w:p>
        </w:tc>
        <w:tc>
          <w:tcPr>
            <w:tcW w:w="1009" w:type="dxa"/>
            <w:shd w:val="clear" w:color="auto" w:fill="C6EFCE"/>
            <w:noWrap/>
            <w:vAlign w:val="center"/>
            <w:hideMark/>
          </w:tcPr>
          <w:p w14:paraId="5F2E57BA" w14:textId="77777777" w:rsidR="00E42B18" w:rsidRDefault="009629C4">
            <w:pPr>
              <w:pStyle w:val="P68B1DB1-Normal11"/>
              <w:jc w:val="center"/>
              <w:rPr>
                <w:noProof/>
                <w:szCs w:val="20"/>
              </w:rPr>
            </w:pPr>
            <w:r>
              <w:rPr>
                <w:noProof/>
              </w:rPr>
              <w:t>Q4</w:t>
            </w:r>
          </w:p>
        </w:tc>
        <w:tc>
          <w:tcPr>
            <w:tcW w:w="861" w:type="dxa"/>
            <w:shd w:val="clear" w:color="auto" w:fill="C6EFCE"/>
            <w:noWrap/>
            <w:vAlign w:val="center"/>
            <w:hideMark/>
          </w:tcPr>
          <w:p w14:paraId="0FE8657F" w14:textId="77777777" w:rsidR="00E42B18" w:rsidRDefault="009629C4">
            <w:pPr>
              <w:pStyle w:val="P68B1DB1-Normal11"/>
              <w:jc w:val="center"/>
              <w:rPr>
                <w:noProof/>
                <w:szCs w:val="20"/>
              </w:rPr>
            </w:pPr>
            <w:r>
              <w:rPr>
                <w:noProof/>
              </w:rPr>
              <w:t>2023</w:t>
            </w:r>
          </w:p>
        </w:tc>
        <w:tc>
          <w:tcPr>
            <w:tcW w:w="2452" w:type="dxa"/>
            <w:shd w:val="clear" w:color="auto" w:fill="C6EFCE"/>
            <w:noWrap/>
            <w:vAlign w:val="center"/>
            <w:hideMark/>
          </w:tcPr>
          <w:p w14:paraId="618A7454" w14:textId="77777777" w:rsidR="00E42B18" w:rsidRDefault="009629C4">
            <w:pPr>
              <w:rPr>
                <w:rFonts w:ascii="Arial Narrow" w:hAnsi="Arial Narrow"/>
                <w:noProof/>
                <w:color w:val="006100"/>
                <w:sz w:val="20"/>
                <w:szCs w:val="20"/>
              </w:rPr>
            </w:pPr>
            <w:r>
              <w:rPr>
                <w:rFonts w:ascii="Arial Narrow" w:hAnsi="Arial Narrow"/>
                <w:noProof/>
                <w:color w:val="006100"/>
                <w:sz w:val="20"/>
              </w:rPr>
              <w:t>Myönnetään vähintään 3150 Progetti</w:t>
            </w:r>
            <w:r>
              <w:rPr>
                <w:noProof/>
                <w:sz w:val="23"/>
                <w:szCs w:val="23"/>
              </w:rPr>
              <w:t xml:space="preserve"> </w:t>
            </w:r>
            <w:r>
              <w:rPr>
                <w:rFonts w:ascii="Arial Narrow" w:hAnsi="Arial Narrow"/>
                <w:noProof/>
                <w:color w:val="006100"/>
                <w:sz w:val="20"/>
              </w:rPr>
              <w:t xml:space="preserve"> </w:t>
            </w:r>
            <w:r>
              <w:rPr>
                <w:rFonts w:ascii="Arial Narrow" w:hAnsi="Arial Narrow"/>
                <w:i/>
                <w:noProof/>
                <w:color w:val="006100"/>
                <w:sz w:val="20"/>
              </w:rPr>
              <w:t>di Ricerca di Interesse Nazionale</w:t>
            </w:r>
            <w:r>
              <w:rPr>
                <w:rFonts w:ascii="Arial Narrow" w:hAnsi="Arial Narrow"/>
                <w:noProof/>
                <w:color w:val="006100"/>
                <w:sz w:val="20"/>
              </w:rPr>
              <w:t xml:space="preserve"> -tutkimushanketta. </w:t>
            </w:r>
          </w:p>
          <w:p w14:paraId="179DA764" w14:textId="77777777" w:rsidR="00E42B18" w:rsidRDefault="009629C4">
            <w:pPr>
              <w:pStyle w:val="P68B1DB1-Normal12"/>
              <w:rPr>
                <w:noProof/>
              </w:rPr>
            </w:pPr>
            <w:r>
              <w:rPr>
                <w:noProof/>
              </w:rPr>
              <w:t>Tarjouskilpailujen perusteella valittujen hankkeiden kanssa tehtävät sopimukset on tehtävä noudattaen ”ei merkittävää haittaa” -periaatetta koskevia teknisiä ohjeita (2021/C58/01) käyttämällä poissulkemisluetteloa ja vaatimusta noudattaa asiaankuuluvaa EU:n ja kansallista ympäristölainsäädäntöä.</w:t>
            </w:r>
          </w:p>
        </w:tc>
      </w:tr>
      <w:tr w:rsidR="00E42B18" w14:paraId="68B079C8" w14:textId="77777777">
        <w:trPr>
          <w:trHeight w:val="313"/>
        </w:trPr>
        <w:tc>
          <w:tcPr>
            <w:tcW w:w="1441" w:type="dxa"/>
            <w:shd w:val="clear" w:color="auto" w:fill="C6EFCE"/>
            <w:noWrap/>
            <w:vAlign w:val="center"/>
            <w:hideMark/>
          </w:tcPr>
          <w:p w14:paraId="17D7478E" w14:textId="77777777" w:rsidR="00E42B18" w:rsidRDefault="009629C4">
            <w:pPr>
              <w:pStyle w:val="P68B1DB1-Normal12"/>
              <w:jc w:val="center"/>
              <w:rPr>
                <w:noProof/>
              </w:rPr>
            </w:pPr>
            <w:r>
              <w:rPr>
                <w:noProof/>
              </w:rPr>
              <w:t>M4C2–6</w:t>
            </w:r>
          </w:p>
        </w:tc>
        <w:tc>
          <w:tcPr>
            <w:tcW w:w="1395" w:type="dxa"/>
            <w:shd w:val="clear" w:color="auto" w:fill="C6EFCE"/>
            <w:noWrap/>
            <w:vAlign w:val="center"/>
          </w:tcPr>
          <w:p w14:paraId="38E0CCE2" w14:textId="77777777" w:rsidR="00E42B18" w:rsidRDefault="009629C4">
            <w:pPr>
              <w:pStyle w:val="P68B1DB1-Normal11"/>
              <w:jc w:val="center"/>
              <w:rPr>
                <w:noProof/>
                <w:szCs w:val="20"/>
              </w:rPr>
            </w:pPr>
            <w:r>
              <w:rPr>
                <w:noProof/>
              </w:rPr>
              <w:t>Investointi 1.1: Kansallista etua koskevat tutkimushankkeet (PRIN)</w:t>
            </w:r>
          </w:p>
        </w:tc>
        <w:tc>
          <w:tcPr>
            <w:tcW w:w="1486" w:type="dxa"/>
            <w:shd w:val="clear" w:color="auto" w:fill="C6EFCE"/>
            <w:noWrap/>
            <w:vAlign w:val="center"/>
            <w:hideMark/>
          </w:tcPr>
          <w:p w14:paraId="2320B9B8" w14:textId="1C35D0AE" w:rsidR="00E42B18" w:rsidRDefault="009629C4">
            <w:pPr>
              <w:pStyle w:val="P68B1DB1-Normal12"/>
              <w:jc w:val="center"/>
              <w:rPr>
                <w:noProof/>
              </w:rPr>
            </w:pPr>
            <w:r>
              <w:rPr>
                <w:noProof/>
              </w:rPr>
              <w:t>Virstanpylväs</w:t>
            </w:r>
          </w:p>
        </w:tc>
        <w:tc>
          <w:tcPr>
            <w:tcW w:w="1441" w:type="dxa"/>
            <w:shd w:val="clear" w:color="auto" w:fill="C6EFCE"/>
            <w:noWrap/>
            <w:vAlign w:val="center"/>
          </w:tcPr>
          <w:p w14:paraId="3981837D" w14:textId="77777777" w:rsidR="00E42B18" w:rsidRDefault="009629C4">
            <w:pPr>
              <w:pStyle w:val="P68B1DB1-Normal12"/>
              <w:jc w:val="center"/>
              <w:rPr>
                <w:noProof/>
              </w:rPr>
            </w:pPr>
            <w:r>
              <w:rPr>
                <w:noProof/>
              </w:rPr>
              <w:t xml:space="preserve">Hankkeiden hyväksymispäätöksen (myöntävien päätösten) julkaiseminen </w:t>
            </w:r>
          </w:p>
        </w:tc>
        <w:tc>
          <w:tcPr>
            <w:tcW w:w="1584" w:type="dxa"/>
            <w:shd w:val="clear" w:color="auto" w:fill="C6EFCE"/>
            <w:noWrap/>
            <w:vAlign w:val="center"/>
            <w:hideMark/>
          </w:tcPr>
          <w:p w14:paraId="389E1C5D" w14:textId="579361C6" w:rsidR="00E42B18" w:rsidRDefault="009629C4">
            <w:pPr>
              <w:pStyle w:val="P68B1DB1-Normal12"/>
              <w:jc w:val="center"/>
              <w:rPr>
                <w:noProof/>
              </w:rPr>
            </w:pPr>
            <w:r>
              <w:rPr>
                <w:noProof/>
              </w:rPr>
              <w:t>Asetuksen (asetusten) julkaiseminen</w:t>
            </w:r>
          </w:p>
        </w:tc>
        <w:tc>
          <w:tcPr>
            <w:tcW w:w="1297" w:type="dxa"/>
            <w:shd w:val="clear" w:color="auto" w:fill="C6EFCE"/>
            <w:noWrap/>
            <w:vAlign w:val="center"/>
            <w:hideMark/>
          </w:tcPr>
          <w:p w14:paraId="24B30057" w14:textId="77777777" w:rsidR="00E42B18" w:rsidRDefault="009629C4">
            <w:pPr>
              <w:pStyle w:val="P68B1DB1-Normal12"/>
              <w:jc w:val="center"/>
              <w:rPr>
                <w:noProof/>
              </w:rPr>
            </w:pPr>
            <w:r>
              <w:rPr>
                <w:noProof/>
              </w:rPr>
              <w:t>EI OLE</w:t>
            </w:r>
          </w:p>
        </w:tc>
        <w:tc>
          <w:tcPr>
            <w:tcW w:w="1152" w:type="dxa"/>
            <w:shd w:val="clear" w:color="auto" w:fill="C6EFCE"/>
            <w:noWrap/>
            <w:vAlign w:val="center"/>
          </w:tcPr>
          <w:p w14:paraId="0220DA4F" w14:textId="77777777" w:rsidR="00E42B18" w:rsidRDefault="009629C4">
            <w:pPr>
              <w:pStyle w:val="P68B1DB1-Normal12"/>
              <w:jc w:val="center"/>
              <w:rPr>
                <w:noProof/>
              </w:rPr>
            </w:pPr>
            <w:r>
              <w:rPr>
                <w:noProof/>
              </w:rPr>
              <w:t>EI OLE</w:t>
            </w:r>
          </w:p>
        </w:tc>
        <w:tc>
          <w:tcPr>
            <w:tcW w:w="1296" w:type="dxa"/>
            <w:shd w:val="clear" w:color="auto" w:fill="C6EFCE"/>
            <w:noWrap/>
            <w:vAlign w:val="center"/>
          </w:tcPr>
          <w:p w14:paraId="4163ADDD" w14:textId="77777777" w:rsidR="00E42B18" w:rsidRDefault="009629C4">
            <w:pPr>
              <w:pStyle w:val="P68B1DB1-Normal12"/>
              <w:jc w:val="center"/>
              <w:rPr>
                <w:noProof/>
              </w:rPr>
            </w:pPr>
            <w:r>
              <w:rPr>
                <w:noProof/>
              </w:rPr>
              <w:t>EI OLE</w:t>
            </w:r>
          </w:p>
        </w:tc>
        <w:tc>
          <w:tcPr>
            <w:tcW w:w="1009" w:type="dxa"/>
            <w:shd w:val="clear" w:color="auto" w:fill="C6EFCE"/>
            <w:noWrap/>
            <w:vAlign w:val="center"/>
            <w:hideMark/>
          </w:tcPr>
          <w:p w14:paraId="2811D4BA"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4F1A9B17" w14:textId="77777777" w:rsidR="00E42B18" w:rsidRDefault="009629C4">
            <w:pPr>
              <w:pStyle w:val="P68B1DB1-Normal11"/>
              <w:jc w:val="center"/>
              <w:rPr>
                <w:noProof/>
                <w:szCs w:val="20"/>
              </w:rPr>
            </w:pPr>
            <w:r>
              <w:rPr>
                <w:noProof/>
              </w:rPr>
              <w:t>2025</w:t>
            </w:r>
          </w:p>
        </w:tc>
        <w:tc>
          <w:tcPr>
            <w:tcW w:w="2452" w:type="dxa"/>
            <w:shd w:val="clear" w:color="auto" w:fill="C6EFCE"/>
            <w:noWrap/>
            <w:vAlign w:val="center"/>
            <w:hideMark/>
          </w:tcPr>
          <w:p w14:paraId="4ABCB20C" w14:textId="77777777" w:rsidR="00E42B18" w:rsidRDefault="009629C4">
            <w:pPr>
              <w:rPr>
                <w:rFonts w:ascii="Arial Narrow" w:hAnsi="Arial Narrow"/>
                <w:noProof/>
                <w:color w:val="006100"/>
                <w:sz w:val="20"/>
                <w:szCs w:val="20"/>
              </w:rPr>
            </w:pPr>
            <w:r>
              <w:rPr>
                <w:rFonts w:ascii="Arial Narrow" w:hAnsi="Arial Narrow"/>
                <w:noProof/>
                <w:color w:val="006100"/>
                <w:sz w:val="20"/>
                <w:szCs w:val="20"/>
              </w:rPr>
              <w:t>Julkaistaan asetus (asetukset), jolla myönnetään vähintään 5350</w:t>
            </w:r>
            <w:r>
              <w:rPr>
                <w:noProof/>
                <w:sz w:val="23"/>
                <w:szCs w:val="23"/>
              </w:rPr>
              <w:t xml:space="preserve"> </w:t>
            </w:r>
            <w:r>
              <w:rPr>
                <w:rFonts w:ascii="Arial Narrow" w:hAnsi="Arial Narrow"/>
                <w:noProof/>
                <w:color w:val="006100"/>
                <w:sz w:val="20"/>
                <w:szCs w:val="20"/>
              </w:rPr>
              <w:t>kansallista etua koskevaa tutkimushanketta (Progetti di Ricerca di Interesse Nazionale).</w:t>
            </w:r>
          </w:p>
          <w:p w14:paraId="44075764" w14:textId="77777777" w:rsidR="00E42B18" w:rsidRDefault="009629C4">
            <w:pPr>
              <w:pStyle w:val="P68B1DB1-Normal12"/>
              <w:rPr>
                <w:noProof/>
              </w:rPr>
            </w:pPr>
            <w:r>
              <w:rPr>
                <w:noProof/>
              </w:rPr>
              <w:t>Hankepyynnöissä on täsmennettävä, että hankkeen keston on oltava vähintään kaksi vuotta, ja edellytettävä korkeakoulujen tutkimusyksiköiden ja tutkimuslaitosten välistä yhteistyötä.</w:t>
            </w:r>
          </w:p>
        </w:tc>
      </w:tr>
      <w:tr w:rsidR="00E42B18" w14:paraId="717DE753" w14:textId="77777777">
        <w:trPr>
          <w:trHeight w:val="313"/>
        </w:trPr>
        <w:tc>
          <w:tcPr>
            <w:tcW w:w="1441" w:type="dxa"/>
            <w:shd w:val="clear" w:color="auto" w:fill="C6EFCE"/>
            <w:noWrap/>
            <w:vAlign w:val="center"/>
            <w:hideMark/>
          </w:tcPr>
          <w:p w14:paraId="553CE16B" w14:textId="77777777" w:rsidR="00E42B18" w:rsidRDefault="009629C4">
            <w:pPr>
              <w:pStyle w:val="P68B1DB1-Normal12"/>
              <w:jc w:val="center"/>
              <w:rPr>
                <w:noProof/>
              </w:rPr>
            </w:pPr>
            <w:r>
              <w:rPr>
                <w:noProof/>
              </w:rPr>
              <w:t>M4C2–7</w:t>
            </w:r>
          </w:p>
        </w:tc>
        <w:tc>
          <w:tcPr>
            <w:tcW w:w="1395" w:type="dxa"/>
            <w:shd w:val="clear" w:color="auto" w:fill="C6EFCE"/>
            <w:noWrap/>
            <w:vAlign w:val="center"/>
            <w:hideMark/>
          </w:tcPr>
          <w:p w14:paraId="1BA0B810" w14:textId="77777777" w:rsidR="00E42B18" w:rsidRDefault="009629C4">
            <w:pPr>
              <w:pStyle w:val="P68B1DB1-Normal12"/>
              <w:jc w:val="center"/>
              <w:rPr>
                <w:noProof/>
              </w:rPr>
            </w:pPr>
            <w:r>
              <w:rPr>
                <w:noProof/>
              </w:rPr>
              <w:t>Investointi 1.1: Kansallista etua koskevat tutkimushankkeet (PRIN)</w:t>
            </w:r>
          </w:p>
        </w:tc>
        <w:tc>
          <w:tcPr>
            <w:tcW w:w="1486" w:type="dxa"/>
            <w:shd w:val="clear" w:color="auto" w:fill="C6EFCE"/>
            <w:noWrap/>
            <w:vAlign w:val="center"/>
            <w:hideMark/>
          </w:tcPr>
          <w:p w14:paraId="7FC210C1" w14:textId="77777777" w:rsidR="00E42B18" w:rsidRDefault="009629C4">
            <w:pPr>
              <w:pStyle w:val="P68B1DB1-Normal12"/>
              <w:jc w:val="center"/>
              <w:rPr>
                <w:noProof/>
              </w:rPr>
            </w:pPr>
            <w:r>
              <w:rPr>
                <w:noProof/>
              </w:rPr>
              <w:t>Kohde</w:t>
            </w:r>
          </w:p>
        </w:tc>
        <w:tc>
          <w:tcPr>
            <w:tcW w:w="1441" w:type="dxa"/>
            <w:shd w:val="clear" w:color="auto" w:fill="C6EFCE"/>
            <w:noWrap/>
            <w:vAlign w:val="center"/>
            <w:hideMark/>
          </w:tcPr>
          <w:p w14:paraId="5309BF3D" w14:textId="4C1ADC78" w:rsidR="00E42B18" w:rsidRDefault="009629C4">
            <w:pPr>
              <w:pStyle w:val="P68B1DB1-Normal12"/>
              <w:jc w:val="center"/>
              <w:rPr>
                <w:noProof/>
              </w:rPr>
            </w:pPr>
            <w:r>
              <w:rPr>
                <w:noProof/>
              </w:rPr>
              <w:t>Palvelukseen otettujen määräaikaisten tutkijoiden lukumäärä</w:t>
            </w:r>
          </w:p>
        </w:tc>
        <w:tc>
          <w:tcPr>
            <w:tcW w:w="1584" w:type="dxa"/>
            <w:shd w:val="clear" w:color="auto" w:fill="C6EFCE"/>
            <w:noWrap/>
            <w:vAlign w:val="center"/>
            <w:hideMark/>
          </w:tcPr>
          <w:p w14:paraId="37FA5C34" w14:textId="77777777" w:rsidR="00E42B18" w:rsidRDefault="009629C4">
            <w:pPr>
              <w:pStyle w:val="P68B1DB1-Normal12"/>
              <w:jc w:val="center"/>
              <w:rPr>
                <w:noProof/>
              </w:rPr>
            </w:pPr>
            <w:r>
              <w:rPr>
                <w:noProof/>
              </w:rPr>
              <w:t>EI OLE</w:t>
            </w:r>
          </w:p>
        </w:tc>
        <w:tc>
          <w:tcPr>
            <w:tcW w:w="1297" w:type="dxa"/>
            <w:shd w:val="clear" w:color="auto" w:fill="C6EFCE"/>
            <w:noWrap/>
            <w:vAlign w:val="center"/>
            <w:hideMark/>
          </w:tcPr>
          <w:p w14:paraId="1AB016F4" w14:textId="77777777" w:rsidR="00E42B18" w:rsidRDefault="009629C4">
            <w:pPr>
              <w:pStyle w:val="P68B1DB1-Normal12"/>
              <w:jc w:val="center"/>
              <w:rPr>
                <w:noProof/>
              </w:rPr>
            </w:pPr>
            <w:r>
              <w:rPr>
                <w:noProof/>
              </w:rPr>
              <w:t>Numero</w:t>
            </w:r>
          </w:p>
        </w:tc>
        <w:tc>
          <w:tcPr>
            <w:tcW w:w="1152" w:type="dxa"/>
            <w:shd w:val="clear" w:color="auto" w:fill="C6EFCE"/>
            <w:noWrap/>
            <w:vAlign w:val="center"/>
            <w:hideMark/>
          </w:tcPr>
          <w:p w14:paraId="706D3CDE" w14:textId="77777777" w:rsidR="00E42B18" w:rsidRDefault="009629C4">
            <w:pPr>
              <w:pStyle w:val="P68B1DB1-Normal12"/>
              <w:jc w:val="center"/>
              <w:rPr>
                <w:noProof/>
              </w:rPr>
            </w:pPr>
            <w:r>
              <w:rPr>
                <w:noProof/>
              </w:rPr>
              <w:t>0</w:t>
            </w:r>
          </w:p>
        </w:tc>
        <w:tc>
          <w:tcPr>
            <w:tcW w:w="1296" w:type="dxa"/>
            <w:shd w:val="clear" w:color="auto" w:fill="C6EFCE"/>
            <w:noWrap/>
            <w:vAlign w:val="center"/>
            <w:hideMark/>
          </w:tcPr>
          <w:p w14:paraId="29C513A0" w14:textId="77777777" w:rsidR="00E42B18" w:rsidRDefault="009629C4">
            <w:pPr>
              <w:pStyle w:val="P68B1DB1-Normal12"/>
              <w:jc w:val="center"/>
              <w:rPr>
                <w:noProof/>
              </w:rPr>
            </w:pPr>
            <w:r>
              <w:rPr>
                <w:noProof/>
              </w:rPr>
              <w:t>900</w:t>
            </w:r>
          </w:p>
        </w:tc>
        <w:tc>
          <w:tcPr>
            <w:tcW w:w="1009" w:type="dxa"/>
            <w:shd w:val="clear" w:color="auto" w:fill="C6EFCE"/>
            <w:noWrap/>
            <w:vAlign w:val="center"/>
            <w:hideMark/>
          </w:tcPr>
          <w:p w14:paraId="088EA816" w14:textId="77777777" w:rsidR="00E42B18" w:rsidRDefault="009629C4">
            <w:pPr>
              <w:pStyle w:val="P68B1DB1-Normal12"/>
              <w:jc w:val="center"/>
              <w:rPr>
                <w:noProof/>
              </w:rPr>
            </w:pPr>
            <w:r>
              <w:rPr>
                <w:noProof/>
              </w:rPr>
              <w:t>Q2</w:t>
            </w:r>
          </w:p>
        </w:tc>
        <w:tc>
          <w:tcPr>
            <w:tcW w:w="861" w:type="dxa"/>
            <w:shd w:val="clear" w:color="auto" w:fill="C6EFCE"/>
            <w:noWrap/>
            <w:vAlign w:val="center"/>
            <w:hideMark/>
          </w:tcPr>
          <w:p w14:paraId="63D307FE" w14:textId="77777777" w:rsidR="00E42B18" w:rsidRDefault="009629C4">
            <w:pPr>
              <w:pStyle w:val="P68B1DB1-Normal12"/>
              <w:jc w:val="center"/>
              <w:rPr>
                <w:noProof/>
              </w:rPr>
            </w:pPr>
            <w:r>
              <w:rPr>
                <w:noProof/>
              </w:rPr>
              <w:t>2025</w:t>
            </w:r>
          </w:p>
        </w:tc>
        <w:tc>
          <w:tcPr>
            <w:tcW w:w="2452" w:type="dxa"/>
            <w:shd w:val="clear" w:color="auto" w:fill="C6EFCE"/>
            <w:noWrap/>
            <w:vAlign w:val="center"/>
            <w:hideMark/>
          </w:tcPr>
          <w:p w14:paraId="31E6775D" w14:textId="77777777" w:rsidR="00E42B18" w:rsidRDefault="009629C4">
            <w:pPr>
              <w:pStyle w:val="P68B1DB1-Normal12"/>
              <w:spacing w:after="120"/>
              <w:rPr>
                <w:noProof/>
              </w:rPr>
            </w:pPr>
            <w:r>
              <w:rPr>
                <w:noProof/>
              </w:rPr>
              <w:t>Palvelukseen otetaan vähintään 900 määräaikaista tutkijaa. Palkatun tutkijan toiminnan on koskettava aiheita, jotka ovat johdonmukaisia tutkimuksen ja innovoinnin puiteohjelman 2021–2027 kuuden klusterin kanssa.</w:t>
            </w:r>
          </w:p>
        </w:tc>
      </w:tr>
      <w:tr w:rsidR="00E42B18" w14:paraId="0F0564D8" w14:textId="77777777">
        <w:trPr>
          <w:trHeight w:val="1278"/>
        </w:trPr>
        <w:tc>
          <w:tcPr>
            <w:tcW w:w="1441" w:type="dxa"/>
            <w:shd w:val="clear" w:color="auto" w:fill="C6EFCE"/>
            <w:noWrap/>
            <w:vAlign w:val="center"/>
            <w:hideMark/>
          </w:tcPr>
          <w:p w14:paraId="0620525E" w14:textId="77777777" w:rsidR="00E42B18" w:rsidRDefault="009629C4">
            <w:pPr>
              <w:pStyle w:val="P68B1DB1-Normal12"/>
              <w:jc w:val="center"/>
              <w:rPr>
                <w:noProof/>
              </w:rPr>
            </w:pPr>
            <w:r>
              <w:rPr>
                <w:noProof/>
              </w:rPr>
              <w:t>M4C2–8</w:t>
            </w:r>
          </w:p>
        </w:tc>
        <w:tc>
          <w:tcPr>
            <w:tcW w:w="1395" w:type="dxa"/>
            <w:shd w:val="clear" w:color="auto" w:fill="C6EFCE"/>
            <w:noWrap/>
            <w:vAlign w:val="center"/>
            <w:hideMark/>
          </w:tcPr>
          <w:p w14:paraId="21049354" w14:textId="77777777" w:rsidR="00E42B18" w:rsidRDefault="009629C4">
            <w:pPr>
              <w:pStyle w:val="P68B1DB1-Normal11"/>
              <w:jc w:val="center"/>
              <w:rPr>
                <w:noProof/>
                <w:szCs w:val="20"/>
              </w:rPr>
            </w:pPr>
            <w:r>
              <w:rPr>
                <w:noProof/>
              </w:rPr>
              <w:t>Investointi 1.3: Yliopistoihin, tutkimuskeskuksiin, yrityksiin ja perustutkimushankkeiden rahoitukseen liittyvät kumppanuudet</w:t>
            </w:r>
          </w:p>
        </w:tc>
        <w:tc>
          <w:tcPr>
            <w:tcW w:w="1486" w:type="dxa"/>
            <w:shd w:val="clear" w:color="auto" w:fill="C6EFCE"/>
            <w:noWrap/>
            <w:vAlign w:val="center"/>
            <w:hideMark/>
          </w:tcPr>
          <w:p w14:paraId="4794B350" w14:textId="77777777" w:rsidR="00E42B18" w:rsidRDefault="009629C4">
            <w:pPr>
              <w:pStyle w:val="P68B1DB1-Normal11"/>
              <w:jc w:val="center"/>
              <w:rPr>
                <w:noProof/>
                <w:szCs w:val="20"/>
              </w:rPr>
            </w:pPr>
            <w:r>
              <w:rPr>
                <w:noProof/>
              </w:rPr>
              <w:t>Kohde</w:t>
            </w:r>
          </w:p>
        </w:tc>
        <w:tc>
          <w:tcPr>
            <w:tcW w:w="1441" w:type="dxa"/>
            <w:shd w:val="clear" w:color="auto" w:fill="C6EFCE"/>
            <w:noWrap/>
            <w:vAlign w:val="center"/>
            <w:hideMark/>
          </w:tcPr>
          <w:p w14:paraId="2EAFEDF0" w14:textId="77777777" w:rsidR="00E42B18" w:rsidRDefault="009629C4">
            <w:pPr>
              <w:pStyle w:val="P68B1DB1-Normal12"/>
              <w:jc w:val="center"/>
              <w:rPr>
                <w:noProof/>
              </w:rPr>
            </w:pPr>
            <w:r>
              <w:rPr>
                <w:noProof/>
              </w:rPr>
              <w:t xml:space="preserve">Allekirjoitettujen tutkimuskumppanuuksien lukumäärä </w:t>
            </w:r>
          </w:p>
        </w:tc>
        <w:tc>
          <w:tcPr>
            <w:tcW w:w="1584" w:type="dxa"/>
            <w:shd w:val="clear" w:color="auto" w:fill="C6EFCE"/>
            <w:noWrap/>
            <w:vAlign w:val="center"/>
            <w:hideMark/>
          </w:tcPr>
          <w:p w14:paraId="2E47DCEA" w14:textId="77777777" w:rsidR="00E42B18" w:rsidRDefault="009629C4">
            <w:pPr>
              <w:pStyle w:val="P68B1DB1-Normal11"/>
              <w:jc w:val="center"/>
              <w:rPr>
                <w:noProof/>
                <w:szCs w:val="20"/>
              </w:rPr>
            </w:pPr>
            <w:r>
              <w:rPr>
                <w:noProof/>
              </w:rPr>
              <w:t>EI OLE</w:t>
            </w:r>
          </w:p>
        </w:tc>
        <w:tc>
          <w:tcPr>
            <w:tcW w:w="1297" w:type="dxa"/>
            <w:shd w:val="clear" w:color="auto" w:fill="C6EFCE"/>
            <w:noWrap/>
            <w:vAlign w:val="center"/>
            <w:hideMark/>
          </w:tcPr>
          <w:p w14:paraId="15F2D6DA" w14:textId="77777777" w:rsidR="00E42B18" w:rsidRDefault="009629C4">
            <w:pPr>
              <w:pStyle w:val="P68B1DB1-Normal11"/>
              <w:jc w:val="center"/>
              <w:rPr>
                <w:noProof/>
                <w:szCs w:val="20"/>
              </w:rPr>
            </w:pPr>
            <w:r>
              <w:rPr>
                <w:noProof/>
              </w:rPr>
              <w:t>Numero</w:t>
            </w:r>
          </w:p>
        </w:tc>
        <w:tc>
          <w:tcPr>
            <w:tcW w:w="1152" w:type="dxa"/>
            <w:shd w:val="clear" w:color="auto" w:fill="C6EFCE"/>
            <w:noWrap/>
            <w:vAlign w:val="center"/>
            <w:hideMark/>
          </w:tcPr>
          <w:p w14:paraId="20291482" w14:textId="77777777" w:rsidR="00E42B18" w:rsidRDefault="009629C4">
            <w:pPr>
              <w:pStyle w:val="P68B1DB1-Normal11"/>
              <w:jc w:val="center"/>
              <w:rPr>
                <w:noProof/>
                <w:szCs w:val="20"/>
              </w:rPr>
            </w:pPr>
            <w:r>
              <w:rPr>
                <w:noProof/>
              </w:rPr>
              <w:t>0</w:t>
            </w:r>
          </w:p>
        </w:tc>
        <w:tc>
          <w:tcPr>
            <w:tcW w:w="1296" w:type="dxa"/>
            <w:shd w:val="clear" w:color="auto" w:fill="C6EFCE"/>
            <w:noWrap/>
            <w:vAlign w:val="center"/>
            <w:hideMark/>
          </w:tcPr>
          <w:p w14:paraId="63047240"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szCs w:val="20"/>
              </w:rPr>
              <w:t>1</w:t>
            </w:r>
            <w:r>
              <w:rPr>
                <w:noProof/>
                <w:sz w:val="23"/>
                <w:szCs w:val="23"/>
              </w:rPr>
              <w:t xml:space="preserve"> </w:t>
            </w:r>
            <w:r>
              <w:rPr>
                <w:rFonts w:ascii="Arial Narrow" w:hAnsi="Arial Narrow"/>
                <w:noProof/>
                <w:color w:val="006100"/>
                <w:sz w:val="20"/>
                <w:szCs w:val="20"/>
              </w:rPr>
              <w:t>4</w:t>
            </w:r>
          </w:p>
        </w:tc>
        <w:tc>
          <w:tcPr>
            <w:tcW w:w="1009" w:type="dxa"/>
            <w:shd w:val="clear" w:color="auto" w:fill="C6EFCE"/>
            <w:noWrap/>
            <w:vAlign w:val="center"/>
            <w:hideMark/>
          </w:tcPr>
          <w:p w14:paraId="3C9FF5D7"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5FA704DB" w14:textId="77777777" w:rsidR="00E42B18" w:rsidRDefault="009629C4">
            <w:pPr>
              <w:pStyle w:val="P68B1DB1-Normal11"/>
              <w:jc w:val="center"/>
              <w:rPr>
                <w:noProof/>
                <w:szCs w:val="20"/>
              </w:rPr>
            </w:pPr>
            <w:r>
              <w:rPr>
                <w:noProof/>
              </w:rPr>
              <w:t>2025</w:t>
            </w:r>
          </w:p>
        </w:tc>
        <w:tc>
          <w:tcPr>
            <w:tcW w:w="2452" w:type="dxa"/>
            <w:shd w:val="clear" w:color="auto" w:fill="C6EFCE"/>
            <w:noWrap/>
            <w:vAlign w:val="center"/>
            <w:hideMark/>
          </w:tcPr>
          <w:p w14:paraId="257237E7" w14:textId="3D88C4E1" w:rsidR="00E42B18" w:rsidRDefault="009629C4">
            <w:pPr>
              <w:pStyle w:val="P68B1DB1-Normal12"/>
              <w:spacing w:after="0" w:line="240" w:lineRule="auto"/>
              <w:rPr>
                <w:noProof/>
              </w:rPr>
            </w:pPr>
            <w:r>
              <w:rPr>
                <w:noProof/>
              </w:rPr>
              <w:t>Vähintään 14:ää tutkimuskumppanuutta koskevien sopimusten allekirjoittaminen (”atto d’obbligo”). Ohjelmapyynnöissä on edellytettävä, että</w:t>
            </w:r>
          </w:p>
          <w:p w14:paraId="44A8C435" w14:textId="77777777" w:rsidR="00E42B18" w:rsidRDefault="009629C4">
            <w:pPr>
              <w:pStyle w:val="P68B1DB1-Normal12"/>
              <w:spacing w:after="0" w:line="240" w:lineRule="auto"/>
              <w:rPr>
                <w:noProof/>
              </w:rPr>
            </w:pPr>
            <w:r>
              <w:rPr>
                <w:noProof/>
              </w:rPr>
              <w:t>a) kukin yhteistyökumppani palkkaa vähintään 100 määräaikaista tutkijaa;</w:t>
            </w:r>
          </w:p>
          <w:p w14:paraId="445514A2" w14:textId="1CCD399A" w:rsidR="00E42B18" w:rsidRDefault="009629C4">
            <w:pPr>
              <w:pStyle w:val="P68B1DB1-paragraph98"/>
              <w:spacing w:before="0" w:beforeAutospacing="0" w:after="120" w:afterAutospacing="0"/>
              <w:textAlignment w:val="baseline"/>
              <w:rPr>
                <w:noProof/>
              </w:rPr>
            </w:pPr>
            <w:r>
              <w:rPr>
                <w:noProof/>
              </w:rPr>
              <w:t>b) Sitoumus siitä, että asetuksen (EU) 2021/241 liitteessä VI esitetyn menetelmän mukainen investoinnin ilmastorahoitusosuus on vähintään 42 prosenttia elpymis- ja palautumistukivälineestä tuetun investoinnin kokonaiskustannuksista.</w:t>
            </w:r>
          </w:p>
        </w:tc>
      </w:tr>
      <w:tr w:rsidR="00E42B18" w14:paraId="19FD557A" w14:textId="77777777">
        <w:trPr>
          <w:trHeight w:val="313"/>
        </w:trPr>
        <w:tc>
          <w:tcPr>
            <w:tcW w:w="1441" w:type="dxa"/>
            <w:shd w:val="clear" w:color="auto" w:fill="C6EFCE"/>
            <w:noWrap/>
            <w:vAlign w:val="center"/>
            <w:hideMark/>
          </w:tcPr>
          <w:p w14:paraId="5CFA6BB6" w14:textId="77777777" w:rsidR="00E42B18" w:rsidRDefault="009629C4">
            <w:pPr>
              <w:pStyle w:val="P68B1DB1-Normal12"/>
              <w:jc w:val="center"/>
              <w:rPr>
                <w:noProof/>
              </w:rPr>
            </w:pPr>
            <w:r>
              <w:rPr>
                <w:noProof/>
              </w:rPr>
              <w:t>M4C2–9</w:t>
            </w:r>
          </w:p>
        </w:tc>
        <w:tc>
          <w:tcPr>
            <w:tcW w:w="1395" w:type="dxa"/>
            <w:shd w:val="clear" w:color="auto" w:fill="C6EFCE"/>
            <w:noWrap/>
            <w:vAlign w:val="center"/>
            <w:hideMark/>
          </w:tcPr>
          <w:p w14:paraId="0E031CA2" w14:textId="42F5CB0C" w:rsidR="00E42B18" w:rsidRDefault="009629C4">
            <w:pPr>
              <w:pStyle w:val="P68B1DB1-Normal12"/>
              <w:jc w:val="center"/>
              <w:rPr>
                <w:noProof/>
              </w:rPr>
            </w:pPr>
            <w:r>
              <w:rPr>
                <w:noProof/>
              </w:rPr>
              <w:t>Investointi 1.4: ”Kansallisten T &amp; K-johtajien” perustaminen joidenkin keskeisten mahdollistavien teknologioiden alalla</w:t>
            </w:r>
          </w:p>
        </w:tc>
        <w:tc>
          <w:tcPr>
            <w:tcW w:w="1486" w:type="dxa"/>
            <w:shd w:val="clear" w:color="auto" w:fill="C6EFCE"/>
            <w:noWrap/>
            <w:vAlign w:val="center"/>
            <w:hideMark/>
          </w:tcPr>
          <w:p w14:paraId="286E1B77" w14:textId="77777777" w:rsidR="00E42B18" w:rsidRDefault="009629C4">
            <w:pPr>
              <w:pStyle w:val="P68B1DB1-Normal11"/>
              <w:jc w:val="center"/>
              <w:rPr>
                <w:noProof/>
                <w:szCs w:val="20"/>
              </w:rPr>
            </w:pPr>
            <w:r>
              <w:rPr>
                <w:noProof/>
              </w:rPr>
              <w:t>Kohde</w:t>
            </w:r>
          </w:p>
        </w:tc>
        <w:tc>
          <w:tcPr>
            <w:tcW w:w="1441" w:type="dxa"/>
            <w:shd w:val="clear" w:color="auto" w:fill="C6EFCE"/>
            <w:noWrap/>
            <w:vAlign w:val="center"/>
            <w:hideMark/>
          </w:tcPr>
          <w:p w14:paraId="2D66AEAF" w14:textId="77777777" w:rsidR="00E42B18" w:rsidRDefault="009629C4">
            <w:pPr>
              <w:pStyle w:val="P68B1DB1-Normal12"/>
              <w:jc w:val="center"/>
              <w:rPr>
                <w:noProof/>
              </w:rPr>
            </w:pPr>
            <w:r>
              <w:rPr>
                <w:noProof/>
              </w:rPr>
              <w:t xml:space="preserve">Kansalliset keskukset ovat saaneet tutkimustoimintansa päätökseen </w:t>
            </w:r>
          </w:p>
        </w:tc>
        <w:tc>
          <w:tcPr>
            <w:tcW w:w="1584" w:type="dxa"/>
            <w:shd w:val="clear" w:color="auto" w:fill="C6EFCE"/>
            <w:noWrap/>
            <w:vAlign w:val="center"/>
            <w:hideMark/>
          </w:tcPr>
          <w:p w14:paraId="57482DD7" w14:textId="77777777" w:rsidR="00E42B18" w:rsidRDefault="009629C4">
            <w:pPr>
              <w:pStyle w:val="P68B1DB1-Normal11"/>
              <w:jc w:val="center"/>
              <w:rPr>
                <w:noProof/>
                <w:szCs w:val="20"/>
              </w:rPr>
            </w:pPr>
            <w:r>
              <w:rPr>
                <w:noProof/>
              </w:rPr>
              <w:t>EI OLE</w:t>
            </w:r>
          </w:p>
        </w:tc>
        <w:tc>
          <w:tcPr>
            <w:tcW w:w="1297" w:type="dxa"/>
            <w:shd w:val="clear" w:color="auto" w:fill="C6EFCE"/>
            <w:noWrap/>
            <w:vAlign w:val="center"/>
            <w:hideMark/>
          </w:tcPr>
          <w:p w14:paraId="071368C6" w14:textId="77777777" w:rsidR="00E42B18" w:rsidRDefault="009629C4">
            <w:pPr>
              <w:pStyle w:val="P68B1DB1-Normal11"/>
              <w:jc w:val="center"/>
              <w:rPr>
                <w:noProof/>
                <w:szCs w:val="20"/>
              </w:rPr>
            </w:pPr>
            <w:r>
              <w:rPr>
                <w:noProof/>
              </w:rPr>
              <w:t>Numero</w:t>
            </w:r>
          </w:p>
        </w:tc>
        <w:tc>
          <w:tcPr>
            <w:tcW w:w="1152" w:type="dxa"/>
            <w:shd w:val="clear" w:color="auto" w:fill="C6EFCE"/>
            <w:noWrap/>
            <w:vAlign w:val="center"/>
            <w:hideMark/>
          </w:tcPr>
          <w:p w14:paraId="0EA73B57" w14:textId="77777777" w:rsidR="00E42B18" w:rsidRDefault="009629C4">
            <w:pPr>
              <w:pStyle w:val="P68B1DB1-Normal11"/>
              <w:jc w:val="center"/>
              <w:rPr>
                <w:noProof/>
                <w:szCs w:val="20"/>
              </w:rPr>
            </w:pPr>
            <w:r>
              <w:rPr>
                <w:noProof/>
              </w:rPr>
              <w:t>0</w:t>
            </w:r>
          </w:p>
        </w:tc>
        <w:tc>
          <w:tcPr>
            <w:tcW w:w="1296" w:type="dxa"/>
            <w:shd w:val="clear" w:color="auto" w:fill="C6EFCE"/>
            <w:noWrap/>
            <w:vAlign w:val="center"/>
            <w:hideMark/>
          </w:tcPr>
          <w:p w14:paraId="409C300D" w14:textId="77777777" w:rsidR="00E42B18" w:rsidRDefault="009629C4">
            <w:pPr>
              <w:pStyle w:val="P68B1DB1-Normal11"/>
              <w:jc w:val="center"/>
              <w:rPr>
                <w:noProof/>
                <w:szCs w:val="20"/>
              </w:rPr>
            </w:pPr>
            <w:r>
              <w:rPr>
                <w:noProof/>
              </w:rPr>
              <w:t>5</w:t>
            </w:r>
          </w:p>
        </w:tc>
        <w:tc>
          <w:tcPr>
            <w:tcW w:w="1009" w:type="dxa"/>
            <w:shd w:val="clear" w:color="auto" w:fill="C6EFCE"/>
            <w:noWrap/>
            <w:vAlign w:val="center"/>
            <w:hideMark/>
          </w:tcPr>
          <w:p w14:paraId="42EC4C72"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7E3D9690" w14:textId="77777777" w:rsidR="00E42B18" w:rsidRDefault="009629C4">
            <w:pPr>
              <w:pStyle w:val="P68B1DB1-Normal11"/>
              <w:jc w:val="center"/>
              <w:rPr>
                <w:noProof/>
                <w:szCs w:val="20"/>
              </w:rPr>
            </w:pPr>
            <w:r>
              <w:rPr>
                <w:noProof/>
              </w:rPr>
              <w:t>2026</w:t>
            </w:r>
          </w:p>
        </w:tc>
        <w:tc>
          <w:tcPr>
            <w:tcW w:w="2452" w:type="dxa"/>
            <w:shd w:val="clear" w:color="auto" w:fill="C6EFCE"/>
            <w:noWrap/>
            <w:vAlign w:val="center"/>
            <w:hideMark/>
          </w:tcPr>
          <w:p w14:paraId="1BC61AC2" w14:textId="6114964B" w:rsidR="00E42B18" w:rsidRDefault="009629C4">
            <w:pPr>
              <w:pStyle w:val="P68B1DB1-Normal12"/>
              <w:jc w:val="both"/>
              <w:rPr>
                <w:noProof/>
              </w:rPr>
            </w:pPr>
            <w:r>
              <w:rPr>
                <w:noProof/>
              </w:rPr>
              <w:t xml:space="preserve">Kustakin viidestä kansallisesta keskuksesta laaditaan tutkimustoimintaa koskeva raportti. </w:t>
            </w:r>
          </w:p>
        </w:tc>
      </w:tr>
      <w:tr w:rsidR="00E42B18" w14:paraId="1D0780B0" w14:textId="77777777">
        <w:trPr>
          <w:trHeight w:val="313"/>
        </w:trPr>
        <w:tc>
          <w:tcPr>
            <w:tcW w:w="1441" w:type="dxa"/>
            <w:shd w:val="clear" w:color="auto" w:fill="C6EFCE"/>
            <w:noWrap/>
            <w:vAlign w:val="center"/>
            <w:hideMark/>
          </w:tcPr>
          <w:p w14:paraId="26C4EA5C" w14:textId="77777777" w:rsidR="00E42B18" w:rsidRDefault="009629C4">
            <w:pPr>
              <w:pStyle w:val="P68B1DB1-Normal11"/>
              <w:jc w:val="center"/>
              <w:rPr>
                <w:noProof/>
                <w:szCs w:val="20"/>
              </w:rPr>
            </w:pPr>
            <w:r>
              <w:rPr>
                <w:noProof/>
              </w:rPr>
              <w:t>M4C2–10</w:t>
            </w:r>
          </w:p>
        </w:tc>
        <w:tc>
          <w:tcPr>
            <w:tcW w:w="1395" w:type="dxa"/>
            <w:shd w:val="clear" w:color="auto" w:fill="C6EFCE"/>
            <w:noWrap/>
            <w:vAlign w:val="center"/>
            <w:hideMark/>
          </w:tcPr>
          <w:p w14:paraId="6B5F985F" w14:textId="77777777" w:rsidR="00E42B18" w:rsidRDefault="009629C4">
            <w:pPr>
              <w:pStyle w:val="P68B1DB1-Normal11"/>
              <w:jc w:val="center"/>
              <w:rPr>
                <w:noProof/>
                <w:szCs w:val="20"/>
              </w:rPr>
            </w:pPr>
            <w:r>
              <w:rPr>
                <w:noProof/>
              </w:rPr>
              <w:t>Investointi 2.1: IPCEI-HANKE</w:t>
            </w:r>
          </w:p>
        </w:tc>
        <w:tc>
          <w:tcPr>
            <w:tcW w:w="1486" w:type="dxa"/>
            <w:shd w:val="clear" w:color="auto" w:fill="C6EFCE"/>
            <w:noWrap/>
            <w:vAlign w:val="center"/>
            <w:hideMark/>
          </w:tcPr>
          <w:p w14:paraId="4D656341" w14:textId="77777777" w:rsidR="00E42B18" w:rsidRDefault="009629C4">
            <w:pPr>
              <w:pStyle w:val="P68B1DB1-Normal11"/>
              <w:jc w:val="center"/>
              <w:rPr>
                <w:noProof/>
                <w:szCs w:val="20"/>
              </w:rPr>
            </w:pPr>
            <w:r>
              <w:rPr>
                <w:noProof/>
              </w:rPr>
              <w:t>Virstanpylväs</w:t>
            </w:r>
          </w:p>
        </w:tc>
        <w:tc>
          <w:tcPr>
            <w:tcW w:w="1441" w:type="dxa"/>
            <w:shd w:val="clear" w:color="auto" w:fill="C6EFCE"/>
            <w:noWrap/>
            <w:vAlign w:val="center"/>
            <w:hideMark/>
          </w:tcPr>
          <w:p w14:paraId="459DA06F" w14:textId="77777777" w:rsidR="00E42B18" w:rsidRDefault="009629C4">
            <w:pPr>
              <w:pStyle w:val="P68B1DB1-Normal11"/>
              <w:jc w:val="center"/>
              <w:rPr>
                <w:noProof/>
                <w:szCs w:val="20"/>
              </w:rPr>
            </w:pPr>
            <w:r>
              <w:rPr>
                <w:noProof/>
              </w:rPr>
              <w:t>Kiinnostuksenilmaisupyynnön käynnistäminen kansallisten hankkeiden yksilöimiseksi, mukaan lukien mikroelektroniikkaa koskevat IPCEI-hankkeet</w:t>
            </w:r>
          </w:p>
        </w:tc>
        <w:tc>
          <w:tcPr>
            <w:tcW w:w="1584" w:type="dxa"/>
            <w:shd w:val="clear" w:color="auto" w:fill="C6EFCE"/>
            <w:noWrap/>
            <w:vAlign w:val="center"/>
            <w:hideMark/>
          </w:tcPr>
          <w:p w14:paraId="4B20AAC6" w14:textId="77777777" w:rsidR="00E42B18" w:rsidRDefault="009629C4">
            <w:pPr>
              <w:pStyle w:val="P68B1DB1-Normal11"/>
              <w:jc w:val="center"/>
              <w:rPr>
                <w:noProof/>
                <w:szCs w:val="20"/>
              </w:rPr>
            </w:pPr>
            <w:r>
              <w:rPr>
                <w:noProof/>
              </w:rPr>
              <w:t>Kiinnostuksenilmaisupyyntö julkaistaan</w:t>
            </w:r>
          </w:p>
        </w:tc>
        <w:tc>
          <w:tcPr>
            <w:tcW w:w="1297" w:type="dxa"/>
            <w:shd w:val="clear" w:color="auto" w:fill="C6EFCE"/>
            <w:noWrap/>
            <w:vAlign w:val="center"/>
            <w:hideMark/>
          </w:tcPr>
          <w:p w14:paraId="3F444FB6" w14:textId="77777777" w:rsidR="00E42B18" w:rsidRDefault="009629C4">
            <w:pPr>
              <w:pStyle w:val="P68B1DB1-Normal11"/>
              <w:jc w:val="center"/>
              <w:rPr>
                <w:noProof/>
                <w:szCs w:val="20"/>
              </w:rPr>
            </w:pPr>
            <w:r>
              <w:rPr>
                <w:noProof/>
              </w:rPr>
              <w:t>EI OLE</w:t>
            </w:r>
          </w:p>
        </w:tc>
        <w:tc>
          <w:tcPr>
            <w:tcW w:w="1152" w:type="dxa"/>
            <w:shd w:val="clear" w:color="auto" w:fill="C6EFCE"/>
            <w:noWrap/>
            <w:vAlign w:val="center"/>
            <w:hideMark/>
          </w:tcPr>
          <w:p w14:paraId="3AB2D488" w14:textId="77777777" w:rsidR="00E42B18" w:rsidRDefault="009629C4">
            <w:pPr>
              <w:pStyle w:val="P68B1DB1-Normal11"/>
              <w:jc w:val="center"/>
              <w:rPr>
                <w:noProof/>
                <w:szCs w:val="20"/>
              </w:rPr>
            </w:pPr>
            <w:r>
              <w:rPr>
                <w:noProof/>
              </w:rPr>
              <w:t>EI OLE</w:t>
            </w:r>
          </w:p>
        </w:tc>
        <w:tc>
          <w:tcPr>
            <w:tcW w:w="1296" w:type="dxa"/>
            <w:shd w:val="clear" w:color="auto" w:fill="C6EFCE"/>
            <w:noWrap/>
            <w:vAlign w:val="center"/>
            <w:hideMark/>
          </w:tcPr>
          <w:p w14:paraId="79902FF5" w14:textId="77777777" w:rsidR="00E42B18" w:rsidRDefault="009629C4">
            <w:pPr>
              <w:pStyle w:val="P68B1DB1-Normal11"/>
              <w:jc w:val="center"/>
              <w:rPr>
                <w:noProof/>
                <w:szCs w:val="20"/>
              </w:rPr>
            </w:pPr>
            <w:r>
              <w:rPr>
                <w:noProof/>
              </w:rPr>
              <w:t>EI OLE</w:t>
            </w:r>
          </w:p>
        </w:tc>
        <w:tc>
          <w:tcPr>
            <w:tcW w:w="1009" w:type="dxa"/>
            <w:shd w:val="clear" w:color="auto" w:fill="C6EFCE"/>
            <w:noWrap/>
            <w:vAlign w:val="center"/>
            <w:hideMark/>
          </w:tcPr>
          <w:p w14:paraId="2B8CBFF1"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51AC56CB" w14:textId="77777777" w:rsidR="00E42B18" w:rsidRDefault="009629C4">
            <w:pPr>
              <w:pStyle w:val="P68B1DB1-Normal11"/>
              <w:jc w:val="center"/>
              <w:rPr>
                <w:noProof/>
                <w:szCs w:val="20"/>
              </w:rPr>
            </w:pPr>
            <w:r>
              <w:rPr>
                <w:noProof/>
              </w:rPr>
              <w:t>2021</w:t>
            </w:r>
          </w:p>
        </w:tc>
        <w:tc>
          <w:tcPr>
            <w:tcW w:w="2452" w:type="dxa"/>
            <w:shd w:val="clear" w:color="auto" w:fill="C6EFCE"/>
            <w:noWrap/>
            <w:vAlign w:val="center"/>
            <w:hideMark/>
          </w:tcPr>
          <w:p w14:paraId="5B8A8635" w14:textId="77777777" w:rsidR="00E42B18" w:rsidRDefault="009629C4">
            <w:pPr>
              <w:pStyle w:val="P68B1DB1-Normal11"/>
              <w:rPr>
                <w:noProof/>
                <w:szCs w:val="20"/>
              </w:rPr>
            </w:pPr>
            <w:r>
              <w:rPr>
                <w:noProof/>
              </w:rPr>
              <w:t>Tuettavat IPCEI-hankkeet on tarkoitus päivittää riippuen käynnissä olevien kansallisten IPCEI-menettelyjen tosiasiallisesta etenemisvaiheesta ja valtiontuki-ilmoitusmenettelyn etenemisvaiheesta.</w:t>
            </w:r>
          </w:p>
          <w:p w14:paraId="6C4B7EA3" w14:textId="77777777" w:rsidR="00E42B18" w:rsidRDefault="009629C4">
            <w:pPr>
              <w:pStyle w:val="P68B1DB1-Normal12"/>
              <w:rPr>
                <w:noProof/>
              </w:rPr>
            </w:pPr>
            <w:r>
              <w:rPr>
                <w:noProof/>
              </w:rPr>
              <w:t>Valitussa IPCEI-hankkeessa on otettava huomioon tietyt teollisuuden innovatiiviset alat jo yksilöityjen eurooppalaisten arvoketjujen mukaisesti.</w:t>
            </w:r>
          </w:p>
          <w:p w14:paraId="274615D3" w14:textId="77777777" w:rsidR="00E42B18" w:rsidRDefault="009629C4">
            <w:pPr>
              <w:pStyle w:val="P68B1DB1-Normal12"/>
              <w:rPr>
                <w:noProof/>
              </w:rPr>
            </w:pPr>
            <w:r>
              <w:rPr>
                <w:noProof/>
              </w:rPr>
              <w:t>Tähän toimenpiteeseen kuuluvat sekä jo hyväksytyt Euroopan yhteistä etua koskevat tärkeät hankkeet että tulevat hankkeet, kuten pilvipalvelut, terveys, rivimateriaalit ja kyberturvallisuus.</w:t>
            </w:r>
          </w:p>
          <w:p w14:paraId="46BFF4A0" w14:textId="77777777" w:rsidR="00E42B18" w:rsidRDefault="009629C4">
            <w:pPr>
              <w:pStyle w:val="P68B1DB1-Normal11"/>
              <w:spacing w:before="120" w:after="120"/>
              <w:rPr>
                <w:noProof/>
                <w:szCs w:val="20"/>
              </w:rPr>
            </w:pPr>
            <w:r>
              <w:rPr>
                <w:noProof/>
              </w:rPr>
              <w:t>Ehdotuspyynnön ehtoihin on sisällyttävä seuraavat:</w:t>
            </w:r>
          </w:p>
          <w:p w14:paraId="4D188813" w14:textId="77777777" w:rsidR="00E42B18" w:rsidRDefault="009629C4">
            <w:pPr>
              <w:pStyle w:val="P68B1DB1-paragraph98"/>
              <w:spacing w:before="0" w:beforeAutospacing="0" w:after="0" w:afterAutospacing="0"/>
              <w:textAlignment w:val="baseline"/>
              <w:rPr>
                <w:noProof/>
              </w:rPr>
            </w:pPr>
            <w:r>
              <w:rPr>
                <w:noProof/>
              </w:rPr>
              <w:t>a) Tukikelpoisuuskriteerit, joilla varmistetaan, että valitut hankkeet ovat ”ei merkittävää haittaa” -periaatetta koskevien teknisten ohjeiden (2021/C58/01) mukaisia, käyttämällä poissulkemisluetteloa ja vaatimusta asiaa koskevan EU:n ja kansallisen ympäristölainsäädännön noudattamisesta.</w:t>
            </w:r>
          </w:p>
          <w:p w14:paraId="41291499" w14:textId="77777777" w:rsidR="00E42B18" w:rsidRDefault="009629C4">
            <w:pPr>
              <w:pStyle w:val="P68B1DB1-paragraph89"/>
              <w:spacing w:before="0" w:beforeAutospacing="0" w:after="0" w:afterAutospacing="0"/>
              <w:textAlignment w:val="baseline"/>
              <w:rPr>
                <w:noProof/>
                <w:szCs w:val="20"/>
              </w:rPr>
            </w:pPr>
            <w:r>
              <w:rPr>
                <w:noProof/>
              </w:rPr>
              <w:t>b) Sitoumus siitä, että asetuksen (EU) 2021/241 liitteessä VI esitetyn menetelmän mukainen investoinnin ilmastovaikutus on vähintään 40 prosenttia elpymis- ja palautumistukivälineestä tuetun investoinnin kokonaiskustannuksista.</w:t>
            </w:r>
          </w:p>
          <w:p w14:paraId="6008074C" w14:textId="77777777" w:rsidR="00E42B18" w:rsidRDefault="009629C4">
            <w:pPr>
              <w:pStyle w:val="P68B1DB1-paragraph89"/>
              <w:spacing w:before="0" w:beforeAutospacing="0" w:after="0" w:afterAutospacing="0"/>
              <w:textAlignment w:val="baseline"/>
              <w:rPr>
                <w:noProof/>
              </w:rPr>
            </w:pPr>
            <w:r>
              <w:rPr>
                <w:noProof/>
              </w:rPr>
              <w:t>C) Sitoumus siitä, että asetuksen (EU) 2021/241 liitteessä VII esitetyn menetelmän mukainen investoinnin digitaalinen panos on vähintään 60 prosenttia elpymis- ja palautumistukivälineestä tuetun investoinnin kokonaiskustannuksista.</w:t>
            </w:r>
          </w:p>
          <w:p w14:paraId="2F0CE705" w14:textId="77777777" w:rsidR="00E42B18" w:rsidRDefault="009629C4">
            <w:pPr>
              <w:pStyle w:val="P68B1DB1-paragraph98"/>
              <w:spacing w:before="0" w:beforeAutospacing="0" w:after="0" w:afterAutospacing="0"/>
              <w:textAlignment w:val="baseline"/>
              <w:rPr>
                <w:noProof/>
              </w:rPr>
            </w:pPr>
            <w:r>
              <w:rPr>
                <w:noProof/>
              </w:rPr>
              <w:t>d) Sitoutuminen raportoimaan toimenpiteen täytäntöönpanosta järjestelmän elinkaaren puolivälissä ja sen lopussa.</w:t>
            </w:r>
          </w:p>
        </w:tc>
      </w:tr>
      <w:tr w:rsidR="00E42B18" w14:paraId="4E8776B5" w14:textId="77777777">
        <w:trPr>
          <w:trHeight w:val="313"/>
        </w:trPr>
        <w:tc>
          <w:tcPr>
            <w:tcW w:w="1441" w:type="dxa"/>
            <w:shd w:val="clear" w:color="auto" w:fill="C6EFCE"/>
            <w:noWrap/>
            <w:vAlign w:val="center"/>
            <w:hideMark/>
          </w:tcPr>
          <w:p w14:paraId="43E0998F" w14:textId="77777777" w:rsidR="00E42B18" w:rsidRDefault="009629C4">
            <w:pPr>
              <w:pStyle w:val="P68B1DB1-Normal11"/>
              <w:jc w:val="center"/>
              <w:rPr>
                <w:noProof/>
                <w:szCs w:val="20"/>
              </w:rPr>
            </w:pPr>
            <w:r>
              <w:rPr>
                <w:noProof/>
              </w:rPr>
              <w:t>M4C2–11</w:t>
            </w:r>
          </w:p>
        </w:tc>
        <w:tc>
          <w:tcPr>
            <w:tcW w:w="1395" w:type="dxa"/>
            <w:shd w:val="clear" w:color="auto" w:fill="C6EFCE"/>
            <w:noWrap/>
            <w:vAlign w:val="center"/>
            <w:hideMark/>
          </w:tcPr>
          <w:p w14:paraId="1A6FD094" w14:textId="77777777" w:rsidR="00E42B18" w:rsidRDefault="009629C4">
            <w:pPr>
              <w:pStyle w:val="P68B1DB1-Normal11"/>
              <w:jc w:val="center"/>
              <w:rPr>
                <w:noProof/>
                <w:szCs w:val="20"/>
              </w:rPr>
            </w:pPr>
            <w:r>
              <w:rPr>
                <w:noProof/>
              </w:rPr>
              <w:t>Investointi 2.1: IPCEI-HANKE</w:t>
            </w:r>
          </w:p>
        </w:tc>
        <w:tc>
          <w:tcPr>
            <w:tcW w:w="1486" w:type="dxa"/>
            <w:shd w:val="clear" w:color="auto" w:fill="C6EFCE"/>
            <w:noWrap/>
            <w:vAlign w:val="center"/>
            <w:hideMark/>
          </w:tcPr>
          <w:p w14:paraId="4EA17822" w14:textId="77777777" w:rsidR="00E42B18" w:rsidRDefault="009629C4">
            <w:pPr>
              <w:pStyle w:val="P68B1DB1-Normal11"/>
              <w:jc w:val="center"/>
              <w:rPr>
                <w:noProof/>
                <w:szCs w:val="20"/>
              </w:rPr>
            </w:pPr>
            <w:r>
              <w:rPr>
                <w:noProof/>
              </w:rPr>
              <w:t>Virstanpylväs</w:t>
            </w:r>
          </w:p>
        </w:tc>
        <w:tc>
          <w:tcPr>
            <w:tcW w:w="1441" w:type="dxa"/>
            <w:shd w:val="clear" w:color="auto" w:fill="C6EFCE"/>
            <w:noWrap/>
            <w:vAlign w:val="center"/>
            <w:hideMark/>
          </w:tcPr>
          <w:p w14:paraId="238A9D4D" w14:textId="77777777" w:rsidR="00E42B18" w:rsidRDefault="009629C4">
            <w:pPr>
              <w:pStyle w:val="P68B1DB1-Normal11"/>
              <w:jc w:val="center"/>
              <w:rPr>
                <w:noProof/>
                <w:szCs w:val="20"/>
              </w:rPr>
            </w:pPr>
            <w:r>
              <w:rPr>
                <w:noProof/>
              </w:rPr>
              <w:t>Hankkeen osallistujien tukemiseen tarvittavan rahoituksen myöntämistä koskevan kansallisen säädöksen voimaantulo.</w:t>
            </w:r>
          </w:p>
        </w:tc>
        <w:tc>
          <w:tcPr>
            <w:tcW w:w="1584" w:type="dxa"/>
            <w:shd w:val="clear" w:color="auto" w:fill="C6EFCE"/>
            <w:noWrap/>
            <w:vAlign w:val="center"/>
            <w:hideMark/>
          </w:tcPr>
          <w:p w14:paraId="17C14A7F" w14:textId="77777777" w:rsidR="00E42B18" w:rsidRDefault="009629C4">
            <w:pPr>
              <w:pStyle w:val="P68B1DB1-Normal11"/>
              <w:jc w:val="center"/>
              <w:rPr>
                <w:noProof/>
                <w:szCs w:val="20"/>
              </w:rPr>
            </w:pPr>
            <w:r>
              <w:rPr>
                <w:noProof/>
              </w:rPr>
              <w:t>Kansallisen lain säännös, josta käy ilmi säädöksen voimaantulo</w:t>
            </w:r>
          </w:p>
        </w:tc>
        <w:tc>
          <w:tcPr>
            <w:tcW w:w="1297" w:type="dxa"/>
            <w:shd w:val="clear" w:color="auto" w:fill="C6EFCE"/>
            <w:noWrap/>
            <w:vAlign w:val="center"/>
            <w:hideMark/>
          </w:tcPr>
          <w:p w14:paraId="6D53B477" w14:textId="77777777" w:rsidR="00E42B18" w:rsidRDefault="009629C4">
            <w:pPr>
              <w:pStyle w:val="P68B1DB1-Normal11"/>
              <w:jc w:val="center"/>
              <w:rPr>
                <w:noProof/>
                <w:szCs w:val="20"/>
              </w:rPr>
            </w:pPr>
            <w:r>
              <w:rPr>
                <w:noProof/>
              </w:rPr>
              <w:t>EI OLE</w:t>
            </w:r>
          </w:p>
        </w:tc>
        <w:tc>
          <w:tcPr>
            <w:tcW w:w="1152" w:type="dxa"/>
            <w:shd w:val="clear" w:color="auto" w:fill="C6EFCE"/>
            <w:noWrap/>
            <w:vAlign w:val="center"/>
            <w:hideMark/>
          </w:tcPr>
          <w:p w14:paraId="3F3F1A43" w14:textId="77777777" w:rsidR="00E42B18" w:rsidRDefault="009629C4">
            <w:pPr>
              <w:pStyle w:val="P68B1DB1-Normal11"/>
              <w:jc w:val="center"/>
              <w:rPr>
                <w:noProof/>
                <w:szCs w:val="20"/>
              </w:rPr>
            </w:pPr>
            <w:r>
              <w:rPr>
                <w:noProof/>
              </w:rPr>
              <w:t>EI OLE</w:t>
            </w:r>
          </w:p>
        </w:tc>
        <w:tc>
          <w:tcPr>
            <w:tcW w:w="1296" w:type="dxa"/>
            <w:shd w:val="clear" w:color="auto" w:fill="C6EFCE"/>
            <w:noWrap/>
            <w:vAlign w:val="center"/>
            <w:hideMark/>
          </w:tcPr>
          <w:p w14:paraId="72DF5EDE" w14:textId="77777777" w:rsidR="00E42B18" w:rsidRDefault="009629C4">
            <w:pPr>
              <w:pStyle w:val="P68B1DB1-Normal11"/>
              <w:jc w:val="center"/>
              <w:rPr>
                <w:noProof/>
                <w:szCs w:val="20"/>
              </w:rPr>
            </w:pPr>
            <w:r>
              <w:rPr>
                <w:noProof/>
              </w:rPr>
              <w:t>EI OLE</w:t>
            </w:r>
          </w:p>
        </w:tc>
        <w:tc>
          <w:tcPr>
            <w:tcW w:w="1009" w:type="dxa"/>
            <w:shd w:val="clear" w:color="auto" w:fill="C6EFCE"/>
            <w:noWrap/>
            <w:vAlign w:val="center"/>
            <w:hideMark/>
          </w:tcPr>
          <w:p w14:paraId="7E476561"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14092876" w14:textId="77777777" w:rsidR="00E42B18" w:rsidRDefault="009629C4">
            <w:pPr>
              <w:pStyle w:val="P68B1DB1-Normal11"/>
              <w:jc w:val="center"/>
              <w:rPr>
                <w:noProof/>
                <w:szCs w:val="20"/>
              </w:rPr>
            </w:pPr>
            <w:r>
              <w:rPr>
                <w:noProof/>
              </w:rPr>
              <w:t>2022</w:t>
            </w:r>
          </w:p>
        </w:tc>
        <w:tc>
          <w:tcPr>
            <w:tcW w:w="2452" w:type="dxa"/>
            <w:shd w:val="clear" w:color="auto" w:fill="C6EFCE"/>
            <w:noWrap/>
            <w:vAlign w:val="center"/>
            <w:hideMark/>
          </w:tcPr>
          <w:p w14:paraId="3E61F1D6" w14:textId="77777777" w:rsidR="00E42B18" w:rsidRDefault="009629C4">
            <w:pPr>
              <w:pStyle w:val="P68B1DB1-Normal11"/>
              <w:rPr>
                <w:noProof/>
                <w:szCs w:val="20"/>
              </w:rPr>
            </w:pPr>
            <w:r>
              <w:rPr>
                <w:noProof/>
              </w:rPr>
              <w:t>Kansallisessa laissa on ilmoitettava hankkeiden esittämistä koskevat menettelyt ja määräajat sekä mahdollisten tuensaajien osallistumisvaatimukset.</w:t>
            </w:r>
          </w:p>
        </w:tc>
      </w:tr>
      <w:tr w:rsidR="00E42B18" w14:paraId="41C45ABA" w14:textId="77777777">
        <w:trPr>
          <w:trHeight w:val="313"/>
        </w:trPr>
        <w:tc>
          <w:tcPr>
            <w:tcW w:w="1441" w:type="dxa"/>
            <w:shd w:val="clear" w:color="auto" w:fill="C6EFCE"/>
            <w:noWrap/>
            <w:vAlign w:val="center"/>
            <w:hideMark/>
          </w:tcPr>
          <w:p w14:paraId="3DE1E109" w14:textId="77777777" w:rsidR="00E42B18" w:rsidRDefault="009629C4">
            <w:pPr>
              <w:pStyle w:val="P68B1DB1-Normal11"/>
              <w:jc w:val="center"/>
              <w:rPr>
                <w:noProof/>
                <w:szCs w:val="20"/>
              </w:rPr>
            </w:pPr>
            <w:r>
              <w:rPr>
                <w:noProof/>
              </w:rPr>
              <w:t>M4C2–12</w:t>
            </w:r>
          </w:p>
        </w:tc>
        <w:tc>
          <w:tcPr>
            <w:tcW w:w="1395" w:type="dxa"/>
            <w:shd w:val="clear" w:color="auto" w:fill="C6EFCE"/>
            <w:noWrap/>
            <w:vAlign w:val="center"/>
            <w:hideMark/>
          </w:tcPr>
          <w:p w14:paraId="1D82E399" w14:textId="77777777" w:rsidR="00E42B18" w:rsidRDefault="009629C4">
            <w:pPr>
              <w:pStyle w:val="P68B1DB1-Normal11"/>
              <w:jc w:val="center"/>
              <w:rPr>
                <w:noProof/>
                <w:szCs w:val="20"/>
              </w:rPr>
            </w:pPr>
            <w:r>
              <w:rPr>
                <w:noProof/>
              </w:rPr>
              <w:t>Investointi 2.1: IPCEI-HANKE</w:t>
            </w:r>
          </w:p>
        </w:tc>
        <w:tc>
          <w:tcPr>
            <w:tcW w:w="1486" w:type="dxa"/>
            <w:shd w:val="clear" w:color="auto" w:fill="C6EFCE"/>
            <w:noWrap/>
            <w:vAlign w:val="center"/>
            <w:hideMark/>
          </w:tcPr>
          <w:p w14:paraId="41622971" w14:textId="77777777" w:rsidR="00E42B18" w:rsidRDefault="009629C4">
            <w:pPr>
              <w:pStyle w:val="P68B1DB1-Normal11"/>
              <w:jc w:val="center"/>
              <w:rPr>
                <w:noProof/>
                <w:szCs w:val="20"/>
              </w:rPr>
            </w:pPr>
            <w:r>
              <w:rPr>
                <w:noProof/>
              </w:rPr>
              <w:t>Virstanpylväs</w:t>
            </w:r>
          </w:p>
        </w:tc>
        <w:tc>
          <w:tcPr>
            <w:tcW w:w="1441" w:type="dxa"/>
            <w:shd w:val="clear" w:color="auto" w:fill="C6EFCE"/>
            <w:noWrap/>
            <w:vAlign w:val="center"/>
            <w:hideMark/>
          </w:tcPr>
          <w:p w14:paraId="6DDCAB1D" w14:textId="77777777" w:rsidR="00E42B18" w:rsidRDefault="009629C4">
            <w:pPr>
              <w:pStyle w:val="P68B1DB1-Normal11"/>
              <w:jc w:val="center"/>
              <w:rPr>
                <w:noProof/>
                <w:szCs w:val="20"/>
              </w:rPr>
            </w:pPr>
            <w:r>
              <w:rPr>
                <w:noProof/>
              </w:rPr>
              <w:t>Luettelo IPCEI-hankkeiden osallistujista on valmistunut 30.6.2023 mennessä.</w:t>
            </w:r>
          </w:p>
        </w:tc>
        <w:tc>
          <w:tcPr>
            <w:tcW w:w="1584" w:type="dxa"/>
            <w:shd w:val="clear" w:color="auto" w:fill="C6EFCE"/>
            <w:noWrap/>
            <w:vAlign w:val="center"/>
            <w:hideMark/>
          </w:tcPr>
          <w:p w14:paraId="459D7A49" w14:textId="77777777" w:rsidR="00E42B18" w:rsidRDefault="009629C4">
            <w:pPr>
              <w:pStyle w:val="P68B1DB1-Normal11"/>
              <w:jc w:val="center"/>
              <w:rPr>
                <w:noProof/>
                <w:szCs w:val="20"/>
              </w:rPr>
            </w:pPr>
            <w:r>
              <w:rPr>
                <w:noProof/>
              </w:rPr>
              <w:t>Osallistujaluettelon julkaiseminen</w:t>
            </w:r>
          </w:p>
        </w:tc>
        <w:tc>
          <w:tcPr>
            <w:tcW w:w="1297" w:type="dxa"/>
            <w:shd w:val="clear" w:color="auto" w:fill="C6EFCE"/>
            <w:noWrap/>
            <w:vAlign w:val="center"/>
            <w:hideMark/>
          </w:tcPr>
          <w:p w14:paraId="45691B03" w14:textId="77777777" w:rsidR="00E42B18" w:rsidRDefault="009629C4">
            <w:pPr>
              <w:pStyle w:val="P68B1DB1-Normal11"/>
              <w:jc w:val="center"/>
              <w:rPr>
                <w:noProof/>
                <w:szCs w:val="20"/>
              </w:rPr>
            </w:pPr>
            <w:r>
              <w:rPr>
                <w:noProof/>
              </w:rPr>
              <w:t>EI OLE</w:t>
            </w:r>
          </w:p>
        </w:tc>
        <w:tc>
          <w:tcPr>
            <w:tcW w:w="1152" w:type="dxa"/>
            <w:shd w:val="clear" w:color="auto" w:fill="C6EFCE"/>
            <w:noWrap/>
            <w:vAlign w:val="center"/>
            <w:hideMark/>
          </w:tcPr>
          <w:p w14:paraId="6C3E096B" w14:textId="77777777" w:rsidR="00E42B18" w:rsidRDefault="009629C4">
            <w:pPr>
              <w:pStyle w:val="P68B1DB1-Normal11"/>
              <w:jc w:val="center"/>
              <w:rPr>
                <w:noProof/>
                <w:szCs w:val="20"/>
              </w:rPr>
            </w:pPr>
            <w:r>
              <w:rPr>
                <w:noProof/>
              </w:rPr>
              <w:t>EI OLE</w:t>
            </w:r>
          </w:p>
        </w:tc>
        <w:tc>
          <w:tcPr>
            <w:tcW w:w="1296" w:type="dxa"/>
            <w:shd w:val="clear" w:color="auto" w:fill="C6EFCE"/>
            <w:noWrap/>
            <w:vAlign w:val="center"/>
            <w:hideMark/>
          </w:tcPr>
          <w:p w14:paraId="22FC4B14" w14:textId="77777777" w:rsidR="00E42B18" w:rsidRDefault="009629C4">
            <w:pPr>
              <w:pStyle w:val="P68B1DB1-Normal11"/>
              <w:jc w:val="center"/>
              <w:rPr>
                <w:noProof/>
                <w:szCs w:val="20"/>
              </w:rPr>
            </w:pPr>
            <w:r>
              <w:rPr>
                <w:noProof/>
              </w:rPr>
              <w:t>EI OLE</w:t>
            </w:r>
          </w:p>
        </w:tc>
        <w:tc>
          <w:tcPr>
            <w:tcW w:w="1009" w:type="dxa"/>
            <w:shd w:val="clear" w:color="auto" w:fill="C6EFCE"/>
            <w:noWrap/>
            <w:vAlign w:val="center"/>
            <w:hideMark/>
          </w:tcPr>
          <w:p w14:paraId="43D905D2"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77C13508" w14:textId="77777777" w:rsidR="00E42B18" w:rsidRDefault="009629C4">
            <w:pPr>
              <w:pStyle w:val="P68B1DB1-Normal11"/>
              <w:jc w:val="center"/>
              <w:rPr>
                <w:noProof/>
                <w:szCs w:val="20"/>
              </w:rPr>
            </w:pPr>
            <w:r>
              <w:rPr>
                <w:noProof/>
              </w:rPr>
              <w:t>2023</w:t>
            </w:r>
          </w:p>
        </w:tc>
        <w:tc>
          <w:tcPr>
            <w:tcW w:w="2452" w:type="dxa"/>
            <w:shd w:val="clear" w:color="auto" w:fill="C6EFCE"/>
            <w:noWrap/>
            <w:vAlign w:val="center"/>
            <w:hideMark/>
          </w:tcPr>
          <w:p w14:paraId="4A1C7BC0" w14:textId="77777777" w:rsidR="00E42B18" w:rsidRDefault="009629C4">
            <w:pPr>
              <w:pStyle w:val="P68B1DB1-Normal12"/>
              <w:rPr>
                <w:noProof/>
              </w:rPr>
            </w:pPr>
            <w:r>
              <w:rPr>
                <w:noProof/>
              </w:rPr>
              <w:t>Luetteloon on sisällytettävä IPCEI-hankkeisiin osallistuvat hyväksytyt aiheet niiden esitettyjen hankkeiden todentamisten ja arviointien jälkeen, jotka on tehtävä ”ei merkittävää haittaa” -periaatetta (2021/C58/01) koskevien teknisten ohjeiden (2021/C58/01) mukaisesti käyttämällä poissulkemisluetteloa ja vaatimusta noudattaa asiaankuuluvaa EU:n ja kansallista ympäristöä.</w:t>
            </w:r>
          </w:p>
        </w:tc>
      </w:tr>
      <w:tr w:rsidR="00E42B18" w14:paraId="5F2FC417" w14:textId="77777777">
        <w:trPr>
          <w:trHeight w:val="300"/>
        </w:trPr>
        <w:tc>
          <w:tcPr>
            <w:tcW w:w="1441" w:type="dxa"/>
            <w:shd w:val="clear" w:color="auto" w:fill="C6EFCE"/>
            <w:noWrap/>
            <w:vAlign w:val="center"/>
          </w:tcPr>
          <w:p w14:paraId="3CC8D7CA" w14:textId="77777777" w:rsidR="00E42B18" w:rsidRDefault="009629C4">
            <w:pPr>
              <w:pStyle w:val="P68B1DB1-Normal12"/>
              <w:jc w:val="center"/>
              <w:rPr>
                <w:noProof/>
              </w:rPr>
            </w:pPr>
            <w:r>
              <w:rPr>
                <w:noProof/>
              </w:rPr>
              <w:t>M4C2–14</w:t>
            </w:r>
          </w:p>
        </w:tc>
        <w:tc>
          <w:tcPr>
            <w:tcW w:w="1395" w:type="dxa"/>
            <w:shd w:val="clear" w:color="auto" w:fill="C6EFCE"/>
            <w:noWrap/>
            <w:vAlign w:val="center"/>
          </w:tcPr>
          <w:p w14:paraId="000B404C" w14:textId="77777777" w:rsidR="00E42B18" w:rsidRDefault="009629C4">
            <w:pPr>
              <w:pStyle w:val="P68B1DB1-Normal12"/>
              <w:jc w:val="center"/>
              <w:rPr>
                <w:noProof/>
              </w:rPr>
            </w:pPr>
            <w:r>
              <w:rPr>
                <w:noProof/>
              </w:rPr>
              <w:t xml:space="preserve">Investointi 2.3: f Teknologian siirtokeskukset </w:t>
            </w:r>
          </w:p>
        </w:tc>
        <w:tc>
          <w:tcPr>
            <w:tcW w:w="1486" w:type="dxa"/>
            <w:shd w:val="clear" w:color="auto" w:fill="C6EFCE"/>
            <w:noWrap/>
            <w:vAlign w:val="center"/>
          </w:tcPr>
          <w:p w14:paraId="4AAE43E7" w14:textId="77777777" w:rsidR="00E42B18" w:rsidRDefault="009629C4">
            <w:pPr>
              <w:pStyle w:val="P68B1DB1-Normal11"/>
              <w:jc w:val="center"/>
              <w:rPr>
                <w:noProof/>
              </w:rPr>
            </w:pPr>
            <w:r>
              <w:rPr>
                <w:noProof/>
              </w:rPr>
              <w:t>Kohde</w:t>
            </w:r>
          </w:p>
        </w:tc>
        <w:tc>
          <w:tcPr>
            <w:tcW w:w="1441" w:type="dxa"/>
            <w:shd w:val="clear" w:color="auto" w:fill="C6EFCE"/>
            <w:noWrap/>
            <w:vAlign w:val="center"/>
          </w:tcPr>
          <w:p w14:paraId="1A6FD9C7" w14:textId="77777777" w:rsidR="00E42B18" w:rsidRDefault="009629C4">
            <w:pPr>
              <w:pStyle w:val="P68B1DB1-Normal12"/>
              <w:jc w:val="center"/>
              <w:rPr>
                <w:noProof/>
              </w:rPr>
            </w:pPr>
            <w:r>
              <w:rPr>
                <w:noProof/>
              </w:rPr>
              <w:t>Rahallinen arvo 330000000 euroa</w:t>
            </w:r>
          </w:p>
        </w:tc>
        <w:tc>
          <w:tcPr>
            <w:tcW w:w="1584" w:type="dxa"/>
            <w:shd w:val="clear" w:color="auto" w:fill="C6EFCE"/>
            <w:noWrap/>
            <w:vAlign w:val="center"/>
          </w:tcPr>
          <w:p w14:paraId="500254C6" w14:textId="77777777" w:rsidR="00E42B18" w:rsidRDefault="009629C4">
            <w:pPr>
              <w:pStyle w:val="P68B1DB1-Normal11"/>
              <w:jc w:val="center"/>
              <w:rPr>
                <w:noProof/>
              </w:rPr>
            </w:pPr>
            <w:r>
              <w:rPr>
                <w:noProof/>
              </w:rPr>
              <w:t>EI OLE</w:t>
            </w:r>
          </w:p>
        </w:tc>
        <w:tc>
          <w:tcPr>
            <w:tcW w:w="1297" w:type="dxa"/>
            <w:shd w:val="clear" w:color="auto" w:fill="C6EFCE"/>
            <w:noWrap/>
            <w:vAlign w:val="center"/>
          </w:tcPr>
          <w:p w14:paraId="047B1397" w14:textId="77777777" w:rsidR="00E42B18" w:rsidRDefault="009629C4">
            <w:pPr>
              <w:pStyle w:val="P68B1DB1-Normal11"/>
              <w:jc w:val="center"/>
              <w:rPr>
                <w:noProof/>
              </w:rPr>
            </w:pPr>
            <w:r>
              <w:rPr>
                <w:noProof/>
              </w:rPr>
              <w:t>EUR</w:t>
            </w:r>
          </w:p>
        </w:tc>
        <w:tc>
          <w:tcPr>
            <w:tcW w:w="1152" w:type="dxa"/>
            <w:shd w:val="clear" w:color="auto" w:fill="C6EFCE"/>
            <w:noWrap/>
            <w:vAlign w:val="center"/>
          </w:tcPr>
          <w:p w14:paraId="00AB2B4D" w14:textId="77777777" w:rsidR="00E42B18" w:rsidRDefault="009629C4">
            <w:pPr>
              <w:pStyle w:val="P68B1DB1-Normal11"/>
              <w:jc w:val="center"/>
              <w:rPr>
                <w:noProof/>
              </w:rPr>
            </w:pPr>
            <w:r>
              <w:rPr>
                <w:noProof/>
              </w:rPr>
              <w:t>0</w:t>
            </w:r>
          </w:p>
        </w:tc>
        <w:tc>
          <w:tcPr>
            <w:tcW w:w="1296" w:type="dxa"/>
            <w:shd w:val="clear" w:color="auto" w:fill="C6EFCE"/>
            <w:noWrap/>
            <w:vAlign w:val="center"/>
          </w:tcPr>
          <w:p w14:paraId="41A8D93A" w14:textId="4594B979" w:rsidR="00E42B18" w:rsidRDefault="009629C4">
            <w:pPr>
              <w:pStyle w:val="P68B1DB1-Normal12"/>
              <w:jc w:val="center"/>
              <w:rPr>
                <w:noProof/>
              </w:rPr>
            </w:pPr>
            <w:r>
              <w:rPr>
                <w:noProof/>
              </w:rPr>
              <w:t>330 000 000</w:t>
            </w:r>
          </w:p>
        </w:tc>
        <w:tc>
          <w:tcPr>
            <w:tcW w:w="1009" w:type="dxa"/>
            <w:shd w:val="clear" w:color="auto" w:fill="C6EFCE"/>
            <w:noWrap/>
            <w:vAlign w:val="center"/>
          </w:tcPr>
          <w:p w14:paraId="05A25F04" w14:textId="77777777" w:rsidR="00E42B18" w:rsidRDefault="009629C4">
            <w:pPr>
              <w:pStyle w:val="P68B1DB1-Normal11"/>
              <w:jc w:val="center"/>
              <w:rPr>
                <w:noProof/>
              </w:rPr>
            </w:pPr>
            <w:r>
              <w:rPr>
                <w:noProof/>
              </w:rPr>
              <w:t>Q2</w:t>
            </w:r>
          </w:p>
        </w:tc>
        <w:tc>
          <w:tcPr>
            <w:tcW w:w="861" w:type="dxa"/>
            <w:shd w:val="clear" w:color="auto" w:fill="C6EFCE"/>
            <w:noWrap/>
            <w:vAlign w:val="center"/>
          </w:tcPr>
          <w:p w14:paraId="4123CC55" w14:textId="77777777" w:rsidR="00E42B18" w:rsidRDefault="009629C4">
            <w:pPr>
              <w:pStyle w:val="P68B1DB1-Normal12"/>
              <w:jc w:val="center"/>
              <w:rPr>
                <w:noProof/>
              </w:rPr>
            </w:pPr>
            <w:r>
              <w:rPr>
                <w:noProof/>
              </w:rPr>
              <w:t>2026</w:t>
            </w:r>
          </w:p>
        </w:tc>
        <w:tc>
          <w:tcPr>
            <w:tcW w:w="2452" w:type="dxa"/>
            <w:shd w:val="clear" w:color="auto" w:fill="C6EFCE"/>
            <w:noWrap/>
            <w:vAlign w:val="center"/>
          </w:tcPr>
          <w:p w14:paraId="1562B558" w14:textId="101A22E1" w:rsidR="00E42B18" w:rsidRDefault="009629C4">
            <w:pPr>
              <w:pStyle w:val="P68B1DB1-Normal12"/>
              <w:jc w:val="both"/>
              <w:rPr>
                <w:noProof/>
              </w:rPr>
            </w:pPr>
            <w:r>
              <w:rPr>
                <w:noProof/>
              </w:rPr>
              <w:t>Maksumääräysten kokonaisarvo on vähintään 330000000 euroa vähintään 45 keskukselle, joiden kanssa ministeriö on tehnyt rahoitussopimuksen.</w:t>
            </w:r>
          </w:p>
          <w:p w14:paraId="06D3A9FE" w14:textId="77777777" w:rsidR="00E42B18" w:rsidRDefault="009629C4">
            <w:pPr>
              <w:pStyle w:val="P68B1DB1-Normal12"/>
              <w:jc w:val="both"/>
              <w:rPr>
                <w:noProof/>
              </w:rPr>
            </w:pPr>
            <w:r>
              <w:rPr>
                <w:noProof/>
              </w:rPr>
              <w:t xml:space="preserve">Digitaalinen Eurooppa -ohjelmasta toisen toimintalinjan puitteissa yhteisrahoitettujen 13 eurooppalaisen digitaali-innovointikeskittymän kanssa tehtävissä sopimuksissa on täsmennettävä elpymis- ja palautumistukivälineestä rahoitetut työpaketit. </w:t>
            </w:r>
          </w:p>
          <w:p w14:paraId="0F698C15" w14:textId="759C294D" w:rsidR="00E42B18" w:rsidRDefault="009629C4">
            <w:pPr>
              <w:pStyle w:val="P68B1DB1-Normal12"/>
              <w:jc w:val="both"/>
              <w:rPr>
                <w:noProof/>
              </w:rPr>
            </w:pPr>
            <w:r>
              <w:rPr>
                <w:noProof/>
              </w:rPr>
              <w:t>Maksumääräysten on koskettava toimenpiteen toisen toimintalinjan 13 eurooppalaisen digitaalisen innovoinnin tehtäväkokonaisuuksia, lukuun ottamatta Digitaalinen Eurooppa -ohjelmasta rahoitettavia tehtäväpaketteja.</w:t>
            </w:r>
          </w:p>
        </w:tc>
      </w:tr>
      <w:tr w:rsidR="00E42B18" w14:paraId="79D9669E" w14:textId="77777777">
        <w:trPr>
          <w:trHeight w:val="313"/>
        </w:trPr>
        <w:tc>
          <w:tcPr>
            <w:tcW w:w="1441" w:type="dxa"/>
            <w:shd w:val="clear" w:color="auto" w:fill="C6EFCE"/>
            <w:noWrap/>
            <w:vAlign w:val="center"/>
            <w:hideMark/>
          </w:tcPr>
          <w:p w14:paraId="1F4484C6" w14:textId="77777777" w:rsidR="00E42B18" w:rsidRDefault="009629C4">
            <w:pPr>
              <w:pStyle w:val="P68B1DB1-Normal11"/>
              <w:jc w:val="center"/>
              <w:rPr>
                <w:noProof/>
                <w:szCs w:val="20"/>
              </w:rPr>
            </w:pPr>
            <w:r>
              <w:rPr>
                <w:noProof/>
              </w:rPr>
              <w:t>M4C2–16</w:t>
            </w:r>
          </w:p>
        </w:tc>
        <w:tc>
          <w:tcPr>
            <w:tcW w:w="1395" w:type="dxa"/>
            <w:shd w:val="clear" w:color="auto" w:fill="C6EFCE"/>
            <w:noWrap/>
            <w:vAlign w:val="center"/>
            <w:hideMark/>
          </w:tcPr>
          <w:p w14:paraId="22A65F19" w14:textId="77777777" w:rsidR="00E42B18" w:rsidRDefault="009629C4">
            <w:pPr>
              <w:pStyle w:val="P68B1DB1-Normal11"/>
              <w:jc w:val="center"/>
              <w:rPr>
                <w:noProof/>
                <w:szCs w:val="20"/>
              </w:rPr>
            </w:pPr>
            <w:r>
              <w:rPr>
                <w:noProof/>
              </w:rPr>
              <w:t xml:space="preserve">Investointi 3.1: </w:t>
            </w:r>
            <w:r>
              <w:rPr>
                <w:noProof/>
                <w:szCs w:val="20"/>
              </w:rPr>
              <w:t>Tutkimus-</w:t>
            </w:r>
            <w:r>
              <w:rPr>
                <w:noProof/>
              </w:rPr>
              <w:t xml:space="preserve"> ja innovointi-infrastruktuurit</w:t>
            </w:r>
          </w:p>
        </w:tc>
        <w:tc>
          <w:tcPr>
            <w:tcW w:w="1486" w:type="dxa"/>
            <w:shd w:val="clear" w:color="auto" w:fill="C6EFCE"/>
            <w:noWrap/>
            <w:vAlign w:val="center"/>
            <w:hideMark/>
          </w:tcPr>
          <w:p w14:paraId="639AFA47" w14:textId="77777777" w:rsidR="00E42B18" w:rsidRDefault="009629C4">
            <w:pPr>
              <w:pStyle w:val="P68B1DB1-Normal11"/>
              <w:jc w:val="center"/>
              <w:rPr>
                <w:noProof/>
                <w:szCs w:val="20"/>
              </w:rPr>
            </w:pPr>
            <w:r>
              <w:rPr>
                <w:noProof/>
              </w:rPr>
              <w:t>Kohde</w:t>
            </w:r>
          </w:p>
        </w:tc>
        <w:tc>
          <w:tcPr>
            <w:tcW w:w="1441" w:type="dxa"/>
            <w:shd w:val="clear" w:color="auto" w:fill="C6EFCE"/>
            <w:noWrap/>
            <w:vAlign w:val="center"/>
            <w:hideMark/>
          </w:tcPr>
          <w:p w14:paraId="4B805879" w14:textId="77777777" w:rsidR="00E42B18" w:rsidRDefault="009629C4">
            <w:pPr>
              <w:pStyle w:val="P68B1DB1-Normal11"/>
              <w:jc w:val="center"/>
              <w:rPr>
                <w:noProof/>
                <w:szCs w:val="20"/>
              </w:rPr>
            </w:pPr>
            <w:r>
              <w:rPr>
                <w:noProof/>
              </w:rPr>
              <w:t>Rahoitettujen infrastruktuurien lukumäärä</w:t>
            </w:r>
          </w:p>
        </w:tc>
        <w:tc>
          <w:tcPr>
            <w:tcW w:w="1584" w:type="dxa"/>
            <w:shd w:val="clear" w:color="auto" w:fill="C6EFCE"/>
            <w:noWrap/>
            <w:vAlign w:val="center"/>
            <w:hideMark/>
          </w:tcPr>
          <w:p w14:paraId="15CEFC44" w14:textId="77777777" w:rsidR="00E42B18" w:rsidRDefault="009629C4">
            <w:pPr>
              <w:pStyle w:val="P68B1DB1-Normal11"/>
              <w:jc w:val="center"/>
              <w:rPr>
                <w:noProof/>
                <w:szCs w:val="20"/>
              </w:rPr>
            </w:pPr>
            <w:r>
              <w:rPr>
                <w:noProof/>
              </w:rPr>
              <w:t>EI OLE</w:t>
            </w:r>
          </w:p>
        </w:tc>
        <w:tc>
          <w:tcPr>
            <w:tcW w:w="1297" w:type="dxa"/>
            <w:shd w:val="clear" w:color="auto" w:fill="C6EFCE"/>
            <w:noWrap/>
            <w:vAlign w:val="center"/>
            <w:hideMark/>
          </w:tcPr>
          <w:p w14:paraId="40B07C2B" w14:textId="77777777" w:rsidR="00E42B18" w:rsidRDefault="009629C4">
            <w:pPr>
              <w:pStyle w:val="P68B1DB1-Normal11"/>
              <w:jc w:val="center"/>
              <w:rPr>
                <w:noProof/>
                <w:szCs w:val="20"/>
              </w:rPr>
            </w:pPr>
            <w:r>
              <w:rPr>
                <w:noProof/>
              </w:rPr>
              <w:t>Numero</w:t>
            </w:r>
          </w:p>
        </w:tc>
        <w:tc>
          <w:tcPr>
            <w:tcW w:w="1152" w:type="dxa"/>
            <w:shd w:val="clear" w:color="auto" w:fill="C6EFCE"/>
            <w:noWrap/>
            <w:vAlign w:val="center"/>
            <w:hideMark/>
          </w:tcPr>
          <w:p w14:paraId="4D9851B1" w14:textId="77777777" w:rsidR="00E42B18" w:rsidRDefault="009629C4">
            <w:pPr>
              <w:pStyle w:val="P68B1DB1-Normal11"/>
              <w:jc w:val="center"/>
              <w:rPr>
                <w:noProof/>
                <w:szCs w:val="20"/>
              </w:rPr>
            </w:pPr>
            <w:r>
              <w:rPr>
                <w:noProof/>
              </w:rPr>
              <w:t>0</w:t>
            </w:r>
          </w:p>
        </w:tc>
        <w:tc>
          <w:tcPr>
            <w:tcW w:w="1296" w:type="dxa"/>
            <w:shd w:val="clear" w:color="auto" w:fill="C6EFCE"/>
            <w:noWrap/>
            <w:vAlign w:val="center"/>
            <w:hideMark/>
          </w:tcPr>
          <w:p w14:paraId="6782C57F" w14:textId="77777777" w:rsidR="00E42B18" w:rsidRDefault="009629C4">
            <w:pPr>
              <w:pStyle w:val="P68B1DB1-Normal11"/>
              <w:jc w:val="center"/>
              <w:rPr>
                <w:noProof/>
                <w:szCs w:val="20"/>
              </w:rPr>
            </w:pPr>
            <w:r>
              <w:rPr>
                <w:noProof/>
              </w:rPr>
              <w:t>30</w:t>
            </w:r>
          </w:p>
        </w:tc>
        <w:tc>
          <w:tcPr>
            <w:tcW w:w="1009" w:type="dxa"/>
            <w:shd w:val="clear" w:color="auto" w:fill="C6EFCE"/>
            <w:noWrap/>
            <w:vAlign w:val="center"/>
            <w:hideMark/>
          </w:tcPr>
          <w:p w14:paraId="1EDF7CF2"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7EC9014A" w14:textId="77777777" w:rsidR="00E42B18" w:rsidRDefault="009629C4">
            <w:pPr>
              <w:pStyle w:val="P68B1DB1-Normal11"/>
              <w:jc w:val="center"/>
              <w:rPr>
                <w:noProof/>
                <w:szCs w:val="20"/>
              </w:rPr>
            </w:pPr>
            <w:r>
              <w:rPr>
                <w:noProof/>
              </w:rPr>
              <w:t>2023</w:t>
            </w:r>
          </w:p>
        </w:tc>
        <w:tc>
          <w:tcPr>
            <w:tcW w:w="2452" w:type="dxa"/>
            <w:shd w:val="clear" w:color="auto" w:fill="C6EFCE"/>
            <w:noWrap/>
            <w:vAlign w:val="center"/>
            <w:hideMark/>
          </w:tcPr>
          <w:p w14:paraId="004368A0" w14:textId="5BBDA330" w:rsidR="00E42B18" w:rsidRDefault="009629C4">
            <w:pPr>
              <w:spacing w:after="120"/>
              <w:rPr>
                <w:rFonts w:ascii="Arial Narrow" w:hAnsi="Arial Narrow"/>
                <w:noProof/>
                <w:color w:val="006100"/>
                <w:sz w:val="20"/>
                <w:szCs w:val="20"/>
              </w:rPr>
            </w:pPr>
            <w:r>
              <w:rPr>
                <w:rFonts w:ascii="Arial Narrow" w:hAnsi="Arial Narrow"/>
                <w:noProof/>
                <w:color w:val="006100"/>
                <w:sz w:val="20"/>
              </w:rPr>
              <w:t>Vähintään 30 infrastruktuuria, jotka on rahoitettu integroitua tutkimus- ja innovointi-infrastruktuurijärjestelmää varten.</w:t>
            </w:r>
            <w:r>
              <w:rPr>
                <w:rFonts w:ascii="Arial Narrow" w:hAnsi="Arial Narrow"/>
                <w:noProof/>
              </w:rPr>
              <w:t xml:space="preserve"> </w:t>
            </w:r>
            <w:r>
              <w:rPr>
                <w:noProof/>
              </w:rPr>
              <w:t xml:space="preserve"> </w:t>
            </w:r>
            <w:r>
              <w:rPr>
                <w:noProof/>
              </w:rPr>
              <w:br/>
            </w:r>
            <w:r>
              <w:rPr>
                <w:rFonts w:ascii="Arial Narrow" w:hAnsi="Arial Narrow"/>
                <w:noProof/>
                <w:color w:val="006100"/>
                <w:sz w:val="20"/>
              </w:rPr>
              <w:t>Innovaatioinfrastruktuuriin on sisällyttävä monikäyttöisiä infrastruktuureja, jotka voivat kattaa vähintään kolme aihealuetta: I) kvantti, ii) kehittyneet materiaalit, iii) fotoniikka, iv) biotieteet, v) tekoäly, vi) energiasiirtymä.</w:t>
            </w:r>
          </w:p>
          <w:p w14:paraId="3511759A" w14:textId="77777777" w:rsidR="00E42B18" w:rsidRDefault="009629C4">
            <w:pPr>
              <w:pStyle w:val="P68B1DB1-Normal11"/>
              <w:spacing w:after="120"/>
              <w:jc w:val="both"/>
              <w:rPr>
                <w:noProof/>
                <w:szCs w:val="20"/>
              </w:rPr>
            </w:pPr>
            <w:r>
              <w:rPr>
                <w:noProof/>
              </w:rPr>
              <w:t>Tavoitteen tyydyttävä saavuttaminen riippuu myös siitä, että vähintään 30 tutkimusjohtajaa palkataan integroituun tutkimus- ja innovointi-infrastruktuurijärjestelmään.</w:t>
            </w:r>
          </w:p>
        </w:tc>
      </w:tr>
      <w:tr w:rsidR="00E42B18" w14:paraId="37730A30" w14:textId="77777777">
        <w:trPr>
          <w:trHeight w:val="313"/>
        </w:trPr>
        <w:tc>
          <w:tcPr>
            <w:tcW w:w="1441" w:type="dxa"/>
            <w:shd w:val="clear" w:color="auto" w:fill="C6EFCE"/>
            <w:noWrap/>
            <w:vAlign w:val="center"/>
            <w:hideMark/>
          </w:tcPr>
          <w:p w14:paraId="2442A32D" w14:textId="77777777" w:rsidR="00E42B18" w:rsidRDefault="009629C4">
            <w:pPr>
              <w:pStyle w:val="P68B1DB1-Normal12"/>
              <w:jc w:val="center"/>
              <w:rPr>
                <w:noProof/>
              </w:rPr>
            </w:pPr>
            <w:r>
              <w:rPr>
                <w:noProof/>
              </w:rPr>
              <w:t xml:space="preserve">M4C2–16 a </w:t>
            </w:r>
          </w:p>
        </w:tc>
        <w:tc>
          <w:tcPr>
            <w:tcW w:w="1395" w:type="dxa"/>
            <w:shd w:val="clear" w:color="auto" w:fill="C6EFCE"/>
            <w:noWrap/>
            <w:vAlign w:val="center"/>
            <w:hideMark/>
          </w:tcPr>
          <w:p w14:paraId="2B7ABEDB" w14:textId="152A5F0D" w:rsidR="00E42B18" w:rsidRDefault="009629C4">
            <w:pPr>
              <w:pStyle w:val="P68B1DB1-Normal12"/>
              <w:jc w:val="center"/>
              <w:rPr>
                <w:noProof/>
              </w:rPr>
            </w:pPr>
            <w:r>
              <w:rPr>
                <w:noProof/>
              </w:rPr>
              <w:t>Investointi 3.1: Tutkimus- ja innovointi-infrastruktuurit</w:t>
            </w:r>
          </w:p>
        </w:tc>
        <w:tc>
          <w:tcPr>
            <w:tcW w:w="1486" w:type="dxa"/>
            <w:shd w:val="clear" w:color="auto" w:fill="C6EFCE"/>
            <w:noWrap/>
            <w:vAlign w:val="center"/>
            <w:hideMark/>
          </w:tcPr>
          <w:p w14:paraId="1EF8924E" w14:textId="77777777" w:rsidR="00E42B18" w:rsidRDefault="009629C4">
            <w:pPr>
              <w:pStyle w:val="P68B1DB1-Normal11"/>
              <w:jc w:val="center"/>
              <w:rPr>
                <w:noProof/>
                <w:szCs w:val="20"/>
              </w:rPr>
            </w:pPr>
            <w:r>
              <w:rPr>
                <w:noProof/>
              </w:rPr>
              <w:t>Kohde</w:t>
            </w:r>
          </w:p>
        </w:tc>
        <w:tc>
          <w:tcPr>
            <w:tcW w:w="1441" w:type="dxa"/>
            <w:shd w:val="clear" w:color="auto" w:fill="C6EFCE"/>
            <w:noWrap/>
            <w:vAlign w:val="center"/>
            <w:hideMark/>
          </w:tcPr>
          <w:p w14:paraId="41117D66" w14:textId="158D3DCE" w:rsidR="00E42B18" w:rsidRDefault="009629C4">
            <w:pPr>
              <w:pStyle w:val="P68B1DB1-Normal12"/>
              <w:jc w:val="center"/>
              <w:rPr>
                <w:noProof/>
              </w:rPr>
            </w:pPr>
            <w:r>
              <w:rPr>
                <w:noProof/>
              </w:rPr>
              <w:t xml:space="preserve">Toimintansa lopettaneiden tutkimus- ja innovointi-infrastruktuurien lukumäärä </w:t>
            </w:r>
          </w:p>
        </w:tc>
        <w:tc>
          <w:tcPr>
            <w:tcW w:w="1584" w:type="dxa"/>
            <w:shd w:val="clear" w:color="auto" w:fill="C6EFCE"/>
            <w:noWrap/>
            <w:vAlign w:val="center"/>
            <w:hideMark/>
          </w:tcPr>
          <w:p w14:paraId="57047B55" w14:textId="77777777" w:rsidR="00E42B18" w:rsidRDefault="009629C4">
            <w:pPr>
              <w:pStyle w:val="P68B1DB1-Normal11"/>
              <w:jc w:val="center"/>
              <w:rPr>
                <w:noProof/>
                <w:szCs w:val="20"/>
              </w:rPr>
            </w:pPr>
            <w:r>
              <w:rPr>
                <w:noProof/>
              </w:rPr>
              <w:t>EI OLE</w:t>
            </w:r>
          </w:p>
        </w:tc>
        <w:tc>
          <w:tcPr>
            <w:tcW w:w="1297" w:type="dxa"/>
            <w:shd w:val="clear" w:color="auto" w:fill="C6EFCE"/>
            <w:noWrap/>
            <w:vAlign w:val="center"/>
            <w:hideMark/>
          </w:tcPr>
          <w:p w14:paraId="61FC5E71" w14:textId="77777777" w:rsidR="00E42B18" w:rsidRDefault="009629C4">
            <w:pPr>
              <w:pStyle w:val="P68B1DB1-Normal11"/>
              <w:jc w:val="center"/>
              <w:rPr>
                <w:noProof/>
                <w:szCs w:val="20"/>
              </w:rPr>
            </w:pPr>
            <w:r>
              <w:rPr>
                <w:noProof/>
              </w:rPr>
              <w:t>Numero</w:t>
            </w:r>
          </w:p>
        </w:tc>
        <w:tc>
          <w:tcPr>
            <w:tcW w:w="1152" w:type="dxa"/>
            <w:shd w:val="clear" w:color="auto" w:fill="C6EFCE"/>
            <w:noWrap/>
            <w:vAlign w:val="center"/>
            <w:hideMark/>
          </w:tcPr>
          <w:p w14:paraId="29C00AD7" w14:textId="77777777" w:rsidR="00E42B18" w:rsidRDefault="009629C4">
            <w:pPr>
              <w:pStyle w:val="P68B1DB1-Normal11"/>
              <w:jc w:val="center"/>
              <w:rPr>
                <w:noProof/>
                <w:szCs w:val="20"/>
              </w:rPr>
            </w:pPr>
            <w:r>
              <w:rPr>
                <w:noProof/>
              </w:rPr>
              <w:t>0</w:t>
            </w:r>
          </w:p>
        </w:tc>
        <w:tc>
          <w:tcPr>
            <w:tcW w:w="1296" w:type="dxa"/>
            <w:shd w:val="clear" w:color="auto" w:fill="C6EFCE"/>
            <w:noWrap/>
            <w:vAlign w:val="center"/>
            <w:hideMark/>
          </w:tcPr>
          <w:p w14:paraId="476CA243" w14:textId="77777777" w:rsidR="00E42B18" w:rsidRDefault="009629C4">
            <w:pPr>
              <w:pStyle w:val="P68B1DB1-Normal11"/>
              <w:jc w:val="center"/>
              <w:rPr>
                <w:noProof/>
                <w:szCs w:val="20"/>
              </w:rPr>
            </w:pPr>
            <w:r>
              <w:rPr>
                <w:noProof/>
              </w:rPr>
              <w:t>30</w:t>
            </w:r>
          </w:p>
        </w:tc>
        <w:tc>
          <w:tcPr>
            <w:tcW w:w="1009" w:type="dxa"/>
            <w:shd w:val="clear" w:color="auto" w:fill="C6EFCE"/>
            <w:noWrap/>
            <w:vAlign w:val="center"/>
            <w:hideMark/>
          </w:tcPr>
          <w:p w14:paraId="2D99BB1C"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7DABE1AF" w14:textId="77777777" w:rsidR="00E42B18" w:rsidRDefault="009629C4">
            <w:pPr>
              <w:pStyle w:val="P68B1DB1-Normal11"/>
              <w:jc w:val="center"/>
              <w:rPr>
                <w:noProof/>
                <w:szCs w:val="20"/>
              </w:rPr>
            </w:pPr>
            <w:r>
              <w:rPr>
                <w:noProof/>
              </w:rPr>
              <w:t>2026</w:t>
            </w:r>
          </w:p>
        </w:tc>
        <w:tc>
          <w:tcPr>
            <w:tcW w:w="2452" w:type="dxa"/>
            <w:shd w:val="clear" w:color="auto" w:fill="C6EFCE"/>
            <w:noWrap/>
            <w:vAlign w:val="center"/>
            <w:hideMark/>
          </w:tcPr>
          <w:p w14:paraId="45FDDF79" w14:textId="691732BE" w:rsidR="00E42B18" w:rsidRDefault="009629C4">
            <w:pPr>
              <w:pStyle w:val="P68B1DB1-Normal12"/>
              <w:rPr>
                <w:noProof/>
              </w:rPr>
            </w:pPr>
            <w:r>
              <w:rPr>
                <w:noProof/>
              </w:rPr>
              <w:t>Vähintään 30:stä tutkimusinfrastruktuuriin (IR) ja innovaatioinfrastruktuuriin (ITEC) liittyvästä hankkeesta laaditaan tutkimustoimia koskevat raportit.</w:t>
            </w:r>
          </w:p>
        </w:tc>
      </w:tr>
      <w:tr w:rsidR="00E42B18" w14:paraId="6D2ABF8B" w14:textId="77777777">
        <w:trPr>
          <w:trHeight w:val="313"/>
        </w:trPr>
        <w:tc>
          <w:tcPr>
            <w:tcW w:w="1441" w:type="dxa"/>
            <w:shd w:val="clear" w:color="auto" w:fill="C6EFCE"/>
            <w:noWrap/>
            <w:vAlign w:val="center"/>
            <w:hideMark/>
          </w:tcPr>
          <w:p w14:paraId="535A961F" w14:textId="77777777" w:rsidR="00E42B18" w:rsidRDefault="009629C4">
            <w:pPr>
              <w:pStyle w:val="P68B1DB1-Normal11"/>
              <w:jc w:val="center"/>
              <w:rPr>
                <w:noProof/>
                <w:szCs w:val="20"/>
              </w:rPr>
            </w:pPr>
            <w:r>
              <w:rPr>
                <w:noProof/>
              </w:rPr>
              <w:t>M4C2–17</w:t>
            </w:r>
          </w:p>
        </w:tc>
        <w:tc>
          <w:tcPr>
            <w:tcW w:w="1395" w:type="dxa"/>
            <w:shd w:val="clear" w:color="auto" w:fill="C6EFCE"/>
            <w:noWrap/>
            <w:vAlign w:val="center"/>
            <w:hideMark/>
          </w:tcPr>
          <w:p w14:paraId="553E166D" w14:textId="77777777" w:rsidR="00E42B18" w:rsidRDefault="009629C4">
            <w:pPr>
              <w:pStyle w:val="P68B1DB1-Normal11"/>
              <w:jc w:val="center"/>
              <w:rPr>
                <w:noProof/>
                <w:szCs w:val="20"/>
              </w:rPr>
            </w:pPr>
            <w:r>
              <w:rPr>
                <w:noProof/>
              </w:rPr>
              <w:t>Investointi 3.1: Rahasto integroidun tutkimus- ja innovointi-infrastruktuurijärjestelmän rakentamista varten; Investointi</w:t>
            </w:r>
          </w:p>
        </w:tc>
        <w:tc>
          <w:tcPr>
            <w:tcW w:w="1486" w:type="dxa"/>
            <w:shd w:val="clear" w:color="auto" w:fill="C6EFCE"/>
            <w:noWrap/>
            <w:vAlign w:val="center"/>
            <w:hideMark/>
          </w:tcPr>
          <w:p w14:paraId="49EF3468" w14:textId="77777777" w:rsidR="00E42B18" w:rsidRDefault="009629C4">
            <w:pPr>
              <w:pStyle w:val="P68B1DB1-Normal11"/>
              <w:jc w:val="center"/>
              <w:rPr>
                <w:noProof/>
                <w:szCs w:val="20"/>
              </w:rPr>
            </w:pPr>
            <w:r>
              <w:rPr>
                <w:noProof/>
              </w:rPr>
              <w:t>Virstanpylväs</w:t>
            </w:r>
          </w:p>
        </w:tc>
        <w:tc>
          <w:tcPr>
            <w:tcW w:w="1441" w:type="dxa"/>
            <w:shd w:val="clear" w:color="auto" w:fill="C6EFCE"/>
            <w:noWrap/>
            <w:vAlign w:val="center"/>
            <w:hideMark/>
          </w:tcPr>
          <w:p w14:paraId="78BA4754" w14:textId="6688D7A2" w:rsidR="00E42B18" w:rsidRDefault="009629C4">
            <w:pPr>
              <w:pStyle w:val="P68B1DB1-Normal11"/>
              <w:jc w:val="center"/>
              <w:rPr>
                <w:noProof/>
                <w:szCs w:val="20"/>
              </w:rPr>
            </w:pPr>
            <w:r>
              <w:rPr>
                <w:noProof/>
              </w:rPr>
              <w:t>Hankintasopimusten tekeminen seuraavien hankkeiden osalta: Tutkimus- ja innovointi-infrastruktuurien yhdennetty järjestelmä</w:t>
            </w:r>
          </w:p>
        </w:tc>
        <w:tc>
          <w:tcPr>
            <w:tcW w:w="1584" w:type="dxa"/>
            <w:shd w:val="clear" w:color="auto" w:fill="C6EFCE"/>
            <w:noWrap/>
            <w:vAlign w:val="center"/>
            <w:hideMark/>
          </w:tcPr>
          <w:p w14:paraId="1D4F61A5" w14:textId="77777777" w:rsidR="00E42B18" w:rsidRDefault="009629C4">
            <w:pPr>
              <w:pStyle w:val="P68B1DB1-Normal11"/>
              <w:jc w:val="center"/>
              <w:rPr>
                <w:noProof/>
                <w:szCs w:val="20"/>
              </w:rPr>
            </w:pPr>
            <w:r>
              <w:rPr>
                <w:noProof/>
              </w:rPr>
              <w:t>Hankintasopimusten tekemisestä ilmoittaminen</w:t>
            </w:r>
          </w:p>
        </w:tc>
        <w:tc>
          <w:tcPr>
            <w:tcW w:w="1297" w:type="dxa"/>
            <w:shd w:val="clear" w:color="auto" w:fill="C6EFCE"/>
            <w:noWrap/>
            <w:vAlign w:val="center"/>
            <w:hideMark/>
          </w:tcPr>
          <w:p w14:paraId="0961C1CC" w14:textId="77777777" w:rsidR="00E42B18" w:rsidRDefault="009629C4">
            <w:pPr>
              <w:pStyle w:val="P68B1DB1-Normal11"/>
              <w:jc w:val="center"/>
              <w:rPr>
                <w:noProof/>
                <w:szCs w:val="20"/>
              </w:rPr>
            </w:pPr>
            <w:r>
              <w:rPr>
                <w:noProof/>
              </w:rPr>
              <w:t>EI OLE</w:t>
            </w:r>
          </w:p>
        </w:tc>
        <w:tc>
          <w:tcPr>
            <w:tcW w:w="1152" w:type="dxa"/>
            <w:shd w:val="clear" w:color="auto" w:fill="C6EFCE"/>
            <w:noWrap/>
            <w:vAlign w:val="center"/>
            <w:hideMark/>
          </w:tcPr>
          <w:p w14:paraId="06547432" w14:textId="77777777" w:rsidR="00E42B18" w:rsidRDefault="009629C4">
            <w:pPr>
              <w:pStyle w:val="P68B1DB1-Normal11"/>
              <w:jc w:val="center"/>
              <w:rPr>
                <w:noProof/>
                <w:szCs w:val="20"/>
              </w:rPr>
            </w:pPr>
            <w:r>
              <w:rPr>
                <w:noProof/>
              </w:rPr>
              <w:t>EI OLE</w:t>
            </w:r>
          </w:p>
        </w:tc>
        <w:tc>
          <w:tcPr>
            <w:tcW w:w="1296" w:type="dxa"/>
            <w:shd w:val="clear" w:color="auto" w:fill="C6EFCE"/>
            <w:noWrap/>
            <w:vAlign w:val="center"/>
            <w:hideMark/>
          </w:tcPr>
          <w:p w14:paraId="70FA67C5" w14:textId="77777777" w:rsidR="00E42B18" w:rsidRDefault="009629C4">
            <w:pPr>
              <w:pStyle w:val="P68B1DB1-Normal11"/>
              <w:jc w:val="center"/>
              <w:rPr>
                <w:noProof/>
                <w:szCs w:val="20"/>
              </w:rPr>
            </w:pPr>
            <w:r>
              <w:rPr>
                <w:noProof/>
              </w:rPr>
              <w:t>EI OLE</w:t>
            </w:r>
          </w:p>
        </w:tc>
        <w:tc>
          <w:tcPr>
            <w:tcW w:w="1009" w:type="dxa"/>
            <w:shd w:val="clear" w:color="auto" w:fill="C6EFCE"/>
            <w:noWrap/>
            <w:vAlign w:val="center"/>
            <w:hideMark/>
          </w:tcPr>
          <w:p w14:paraId="516BE6F4"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3387F82E" w14:textId="77777777" w:rsidR="00E42B18" w:rsidRDefault="009629C4">
            <w:pPr>
              <w:pStyle w:val="P68B1DB1-Normal11"/>
              <w:jc w:val="center"/>
              <w:rPr>
                <w:noProof/>
                <w:szCs w:val="20"/>
              </w:rPr>
            </w:pPr>
            <w:r>
              <w:rPr>
                <w:noProof/>
              </w:rPr>
              <w:t>2022</w:t>
            </w:r>
          </w:p>
        </w:tc>
        <w:tc>
          <w:tcPr>
            <w:tcW w:w="2452" w:type="dxa"/>
            <w:shd w:val="clear" w:color="auto" w:fill="C6EFCE"/>
            <w:noWrap/>
            <w:vAlign w:val="center"/>
            <w:hideMark/>
          </w:tcPr>
          <w:p w14:paraId="0248D8E0" w14:textId="2AC54CDA" w:rsidR="00E42B18" w:rsidRDefault="009629C4">
            <w:pPr>
              <w:pStyle w:val="P68B1DB1-Normal12"/>
              <w:spacing w:after="120"/>
              <w:rPr>
                <w:noProof/>
              </w:rPr>
            </w:pPr>
            <w:r>
              <w:rPr>
                <w:noProof/>
              </w:rPr>
              <w:t>Ilmoitus hankintasopimusten tekemisestä kilpailuun perustuvien ehdotuspyyntöjen perusteella valittujen hankkeiden osalta noudattaen ”ei merkittävää haittaa” -periaatetta koskevia teknisiä ohjeita (2021/C58/01) käyttämällä poissulkemisluetteloa ja vaatimusta asiaa koskevan EU:n ja kansallisen ympäristölainsäädännön noudattamisesta.</w:t>
            </w:r>
          </w:p>
          <w:p w14:paraId="3FB4CCE3" w14:textId="77777777" w:rsidR="00E42B18" w:rsidRDefault="009629C4">
            <w:pPr>
              <w:pStyle w:val="P68B1DB1-Normal11"/>
              <w:spacing w:after="120"/>
              <w:rPr>
                <w:noProof/>
              </w:rPr>
            </w:pPr>
            <w:r>
              <w:rPr>
                <w:noProof/>
              </w:rPr>
              <w:t xml:space="preserve">Ehdotukset valitaan seuraavin perustein: </w:t>
            </w:r>
          </w:p>
          <w:p w14:paraId="1624ED32" w14:textId="77777777" w:rsidR="00E42B18" w:rsidRDefault="009629C4">
            <w:pPr>
              <w:pStyle w:val="P68B1DB1-Normal12"/>
              <w:spacing w:after="120"/>
              <w:rPr>
                <w:noProof/>
              </w:rPr>
            </w:pPr>
            <w:r>
              <w:rPr>
                <w:noProof/>
              </w:rPr>
              <w:t>tieteellinen/teknologinen/innovointijohtajuus, niiden innovointipotentiaali (sekä avoimen innovoinnin/avoimen datan että omistusoikeuden alaisen kehityksen osalta), niiden yhdenmukaisuus aihealueiden tai uusien murroksellisten muutosten osalta, niiden translaatio- ja innovointisuunnitelmat, teollisuuden tuki avoimen innovoinnin kumppanina ja/tai käyttäjinä, liiketoiminnan kehittämistoimien vahvuus, teollis- ja tekijänoikeuksien luominen, selkeät säännöt avoimen ja suojatun tuotoksen ja lisensointisuunnitelmien erottamiseksi toisistaan, kyky kehittää ja isännöidä teollisia tohtorintutkintoja, yhteydet yritykseen tai muuntyyppiset rahastot uusien startup-yritysten kehittämisen helpottamiseksi.</w:t>
            </w:r>
          </w:p>
          <w:p w14:paraId="21AC61A5" w14:textId="77777777" w:rsidR="00E42B18" w:rsidRDefault="009629C4">
            <w:pPr>
              <w:pStyle w:val="P68B1DB1-Normal11"/>
              <w:spacing w:after="120"/>
              <w:rPr>
                <w:noProof/>
                <w:szCs w:val="20"/>
              </w:rPr>
            </w:pPr>
            <w:r>
              <w:rPr>
                <w:noProof/>
              </w:rPr>
              <w:t>Valintamenettely edellyttää ”ei merkittävää haittaa” -arviointia ja tarvittaessa strategista ympäristöarviointia, jos hankkeella odotetaan olevan johdonmukainen vaikutus alueeseen.</w:t>
            </w:r>
          </w:p>
        </w:tc>
      </w:tr>
      <w:tr w:rsidR="00E42B18" w14:paraId="476EE27A" w14:textId="77777777">
        <w:trPr>
          <w:trHeight w:val="313"/>
        </w:trPr>
        <w:tc>
          <w:tcPr>
            <w:tcW w:w="1441" w:type="dxa"/>
            <w:shd w:val="clear" w:color="auto" w:fill="C6EFCE"/>
            <w:noWrap/>
            <w:vAlign w:val="center"/>
          </w:tcPr>
          <w:p w14:paraId="1C033813" w14:textId="77777777" w:rsidR="00E42B18" w:rsidRDefault="009629C4">
            <w:pPr>
              <w:pStyle w:val="P68B1DB1-Normal11"/>
              <w:spacing w:after="120"/>
              <w:jc w:val="center"/>
              <w:rPr>
                <w:noProof/>
                <w:szCs w:val="20"/>
              </w:rPr>
            </w:pPr>
            <w:r>
              <w:rPr>
                <w:noProof/>
              </w:rPr>
              <w:t>M4C2–18</w:t>
            </w:r>
          </w:p>
        </w:tc>
        <w:tc>
          <w:tcPr>
            <w:tcW w:w="1395" w:type="dxa"/>
            <w:shd w:val="clear" w:color="auto" w:fill="C6EFCE"/>
            <w:noWrap/>
            <w:vAlign w:val="center"/>
          </w:tcPr>
          <w:p w14:paraId="428AFF0D" w14:textId="77777777" w:rsidR="00E42B18" w:rsidRDefault="009629C4">
            <w:pPr>
              <w:pStyle w:val="P68B1DB1-Normal11"/>
              <w:spacing w:after="120"/>
              <w:jc w:val="center"/>
              <w:rPr>
                <w:noProof/>
                <w:szCs w:val="20"/>
              </w:rPr>
            </w:pPr>
            <w:r>
              <w:rPr>
                <w:noProof/>
              </w:rPr>
              <w:t>Invesment1.5: ”Kestävyyttä edistävien innovaatioekosysteemien” perustaminen ja vahvistaminen, ”T &amp; K-toiminnan alueellisten johtajien” rakentaminen</w:t>
            </w:r>
          </w:p>
        </w:tc>
        <w:tc>
          <w:tcPr>
            <w:tcW w:w="1486" w:type="dxa"/>
            <w:shd w:val="clear" w:color="auto" w:fill="C6EFCE"/>
            <w:noWrap/>
            <w:vAlign w:val="center"/>
          </w:tcPr>
          <w:p w14:paraId="696780DE" w14:textId="77777777" w:rsidR="00E42B18" w:rsidRDefault="009629C4">
            <w:pPr>
              <w:pStyle w:val="P68B1DB1-Normal11"/>
              <w:spacing w:after="120"/>
              <w:jc w:val="center"/>
              <w:rPr>
                <w:noProof/>
                <w:szCs w:val="20"/>
              </w:rPr>
            </w:pPr>
            <w:r>
              <w:rPr>
                <w:noProof/>
              </w:rPr>
              <w:t>Virstanpylväs</w:t>
            </w:r>
          </w:p>
        </w:tc>
        <w:tc>
          <w:tcPr>
            <w:tcW w:w="1441" w:type="dxa"/>
            <w:shd w:val="clear" w:color="auto" w:fill="C6EFCE"/>
            <w:noWrap/>
            <w:vAlign w:val="center"/>
          </w:tcPr>
          <w:p w14:paraId="42C7BB1C" w14:textId="6E22095B" w:rsidR="00E42B18" w:rsidRDefault="009629C4">
            <w:pPr>
              <w:pStyle w:val="P68B1DB1-Normal11"/>
              <w:spacing w:after="120"/>
              <w:jc w:val="center"/>
              <w:rPr>
                <w:noProof/>
                <w:szCs w:val="20"/>
              </w:rPr>
            </w:pPr>
            <w:r>
              <w:rPr>
                <w:noProof/>
              </w:rPr>
              <w:t>Hankintasopimusten tekeminen innovaatioekosysteemeihin liittyvistä hankkeista;</w:t>
            </w:r>
          </w:p>
        </w:tc>
        <w:tc>
          <w:tcPr>
            <w:tcW w:w="1584" w:type="dxa"/>
            <w:shd w:val="clear" w:color="auto" w:fill="C6EFCE"/>
            <w:noWrap/>
            <w:vAlign w:val="center"/>
          </w:tcPr>
          <w:p w14:paraId="036201AF" w14:textId="77777777" w:rsidR="00E42B18" w:rsidRDefault="009629C4">
            <w:pPr>
              <w:pStyle w:val="P68B1DB1-Normal11"/>
              <w:spacing w:after="120"/>
              <w:jc w:val="center"/>
              <w:rPr>
                <w:noProof/>
                <w:szCs w:val="20"/>
              </w:rPr>
            </w:pPr>
            <w:r>
              <w:rPr>
                <w:noProof/>
              </w:rPr>
              <w:t>Hankintasopimusten tekemisestä ilmoittaminen</w:t>
            </w:r>
          </w:p>
        </w:tc>
        <w:tc>
          <w:tcPr>
            <w:tcW w:w="1297" w:type="dxa"/>
            <w:shd w:val="clear" w:color="auto" w:fill="C6EFCE"/>
            <w:noWrap/>
            <w:vAlign w:val="center"/>
          </w:tcPr>
          <w:p w14:paraId="61E74840" w14:textId="77777777" w:rsidR="00E42B18" w:rsidRDefault="009629C4">
            <w:pPr>
              <w:pStyle w:val="P68B1DB1-Normal11"/>
              <w:spacing w:after="120"/>
              <w:jc w:val="center"/>
              <w:rPr>
                <w:noProof/>
                <w:szCs w:val="20"/>
              </w:rPr>
            </w:pPr>
            <w:r>
              <w:rPr>
                <w:noProof/>
              </w:rPr>
              <w:t>EI OLE</w:t>
            </w:r>
          </w:p>
        </w:tc>
        <w:tc>
          <w:tcPr>
            <w:tcW w:w="1152" w:type="dxa"/>
            <w:shd w:val="clear" w:color="auto" w:fill="C6EFCE"/>
            <w:noWrap/>
            <w:vAlign w:val="center"/>
          </w:tcPr>
          <w:p w14:paraId="00CBA981" w14:textId="77777777" w:rsidR="00E42B18" w:rsidRDefault="009629C4">
            <w:pPr>
              <w:pStyle w:val="P68B1DB1-Normal11"/>
              <w:spacing w:after="120"/>
              <w:jc w:val="center"/>
              <w:rPr>
                <w:noProof/>
                <w:szCs w:val="20"/>
              </w:rPr>
            </w:pPr>
            <w:r>
              <w:rPr>
                <w:noProof/>
              </w:rPr>
              <w:t>EI OLE</w:t>
            </w:r>
          </w:p>
        </w:tc>
        <w:tc>
          <w:tcPr>
            <w:tcW w:w="1296" w:type="dxa"/>
            <w:shd w:val="clear" w:color="auto" w:fill="C6EFCE"/>
            <w:noWrap/>
            <w:vAlign w:val="center"/>
          </w:tcPr>
          <w:p w14:paraId="20325CB5" w14:textId="77777777" w:rsidR="00E42B18" w:rsidRDefault="009629C4">
            <w:pPr>
              <w:pStyle w:val="P68B1DB1-Normal11"/>
              <w:spacing w:after="120"/>
              <w:jc w:val="center"/>
              <w:rPr>
                <w:noProof/>
                <w:szCs w:val="20"/>
              </w:rPr>
            </w:pPr>
            <w:r>
              <w:rPr>
                <w:noProof/>
              </w:rPr>
              <w:t>EI OLE</w:t>
            </w:r>
          </w:p>
        </w:tc>
        <w:tc>
          <w:tcPr>
            <w:tcW w:w="1009" w:type="dxa"/>
            <w:shd w:val="clear" w:color="auto" w:fill="C6EFCE"/>
            <w:noWrap/>
            <w:vAlign w:val="center"/>
          </w:tcPr>
          <w:p w14:paraId="471B50FD" w14:textId="77777777" w:rsidR="00E42B18" w:rsidRDefault="009629C4">
            <w:pPr>
              <w:pStyle w:val="P68B1DB1-Normal11"/>
              <w:spacing w:after="120"/>
              <w:jc w:val="center"/>
              <w:rPr>
                <w:noProof/>
                <w:szCs w:val="20"/>
              </w:rPr>
            </w:pPr>
            <w:r>
              <w:rPr>
                <w:noProof/>
              </w:rPr>
              <w:t>Q2</w:t>
            </w:r>
          </w:p>
        </w:tc>
        <w:tc>
          <w:tcPr>
            <w:tcW w:w="861" w:type="dxa"/>
            <w:shd w:val="clear" w:color="auto" w:fill="C6EFCE"/>
            <w:noWrap/>
            <w:vAlign w:val="center"/>
          </w:tcPr>
          <w:p w14:paraId="7DFED8F4" w14:textId="77777777" w:rsidR="00E42B18" w:rsidRDefault="009629C4">
            <w:pPr>
              <w:pStyle w:val="P68B1DB1-Normal11"/>
              <w:spacing w:after="120"/>
              <w:jc w:val="center"/>
              <w:rPr>
                <w:noProof/>
                <w:szCs w:val="20"/>
              </w:rPr>
            </w:pPr>
            <w:r>
              <w:rPr>
                <w:noProof/>
              </w:rPr>
              <w:t>2022</w:t>
            </w:r>
          </w:p>
        </w:tc>
        <w:tc>
          <w:tcPr>
            <w:tcW w:w="2452" w:type="dxa"/>
            <w:shd w:val="clear" w:color="auto" w:fill="C6EFCE"/>
            <w:noWrap/>
            <w:vAlign w:val="center"/>
          </w:tcPr>
          <w:p w14:paraId="34D60579" w14:textId="2ACDD0CF" w:rsidR="00E42B18" w:rsidRDefault="009629C4">
            <w:pPr>
              <w:pStyle w:val="P68B1DB1-Normal12"/>
              <w:spacing w:after="120"/>
              <w:rPr>
                <w:noProof/>
              </w:rPr>
            </w:pPr>
            <w:r>
              <w:rPr>
                <w:noProof/>
              </w:rPr>
              <w:t>Ilmoitus hankintasopimusten tekemisestä kilpailuun perustuvien ehdotuspyyntöjen perusteella valittujen hankkeiden osalta noudattaen ”ei merkittävää haittaa” -periaatetta koskevia teknisiä ohjeita (2021/C58/01) käyttämällä poissulkemisluetteloa ja vaatimusta asiaa koskevan EU:n ja kansallisen ympäristölainsäädännön noudattamisesta.</w:t>
            </w:r>
          </w:p>
          <w:p w14:paraId="119CBE1D" w14:textId="77777777" w:rsidR="00E42B18" w:rsidRDefault="009629C4">
            <w:pPr>
              <w:pStyle w:val="P68B1DB1-Normal11"/>
              <w:spacing w:after="120"/>
              <w:rPr>
                <w:noProof/>
                <w:szCs w:val="20"/>
              </w:rPr>
            </w:pPr>
            <w:r>
              <w:rPr>
                <w:noProof/>
              </w:rPr>
              <w:t>Valintamenettely edellyttää ”ei merkittävää haittaa” -arviointia ja tarvittaessa strategista ympäristöarviointia, jos hankkeella odotetaan olevan johdonmukainen vaikutus alueeseen.</w:t>
            </w:r>
          </w:p>
          <w:p w14:paraId="45361921" w14:textId="77777777" w:rsidR="00E42B18" w:rsidRDefault="009629C4">
            <w:pPr>
              <w:pStyle w:val="P68B1DB1-Normal11"/>
              <w:spacing w:after="120"/>
              <w:rPr>
                <w:noProof/>
                <w:szCs w:val="20"/>
              </w:rPr>
            </w:pPr>
            <w:r>
              <w:rPr>
                <w:noProof/>
              </w:rPr>
              <w:t>Kansalliset keskukset perustetaan tarjouskilpailun perusteella yhdistämällä yliopistoissa jo olevia maailman johtavia laboratorioita sekä julkisia ja yksityisiä tutkimuskeskuksia sekä perustamalla uutta räätälöityä infrastruktuuria.</w:t>
            </w:r>
          </w:p>
        </w:tc>
      </w:tr>
      <w:tr w:rsidR="00E42B18" w14:paraId="51C9DDEE" w14:textId="77777777">
        <w:trPr>
          <w:trHeight w:val="313"/>
        </w:trPr>
        <w:tc>
          <w:tcPr>
            <w:tcW w:w="1441" w:type="dxa"/>
            <w:shd w:val="clear" w:color="auto" w:fill="C6EFCE"/>
            <w:noWrap/>
            <w:vAlign w:val="center"/>
          </w:tcPr>
          <w:p w14:paraId="03F333D9" w14:textId="77777777" w:rsidR="00E42B18" w:rsidRDefault="009629C4">
            <w:pPr>
              <w:pStyle w:val="P68B1DB1-Normal12"/>
              <w:jc w:val="center"/>
              <w:rPr>
                <w:noProof/>
              </w:rPr>
            </w:pPr>
            <w:r>
              <w:rPr>
                <w:noProof/>
              </w:rPr>
              <w:t>M4C2–18 Bis</w:t>
            </w:r>
          </w:p>
        </w:tc>
        <w:tc>
          <w:tcPr>
            <w:tcW w:w="1395" w:type="dxa"/>
            <w:shd w:val="clear" w:color="auto" w:fill="C6EFCE"/>
            <w:noWrap/>
            <w:vAlign w:val="center"/>
          </w:tcPr>
          <w:p w14:paraId="2418B0EC" w14:textId="34D06CA4" w:rsidR="00E42B18" w:rsidRDefault="009629C4">
            <w:pPr>
              <w:pStyle w:val="P68B1DB1-Normal12"/>
              <w:jc w:val="center"/>
              <w:rPr>
                <w:noProof/>
              </w:rPr>
            </w:pPr>
            <w:r>
              <w:rPr>
                <w:noProof/>
              </w:rPr>
              <w:t>Invesment1.5: ”Kestävyyttä edistävät innovaatioekosysteemit”, ”T &amp; K-toiminnan alueellisten johtajien rakentaminen”</w:t>
            </w:r>
          </w:p>
        </w:tc>
        <w:tc>
          <w:tcPr>
            <w:tcW w:w="1486" w:type="dxa"/>
            <w:shd w:val="clear" w:color="auto" w:fill="C6EFCE"/>
            <w:noWrap/>
            <w:vAlign w:val="center"/>
          </w:tcPr>
          <w:p w14:paraId="62482433" w14:textId="77777777" w:rsidR="00E42B18" w:rsidRDefault="009629C4">
            <w:pPr>
              <w:pStyle w:val="P68B1DB1-Normal11"/>
              <w:jc w:val="center"/>
              <w:rPr>
                <w:noProof/>
                <w:szCs w:val="20"/>
              </w:rPr>
            </w:pPr>
            <w:r>
              <w:rPr>
                <w:noProof/>
              </w:rPr>
              <w:t>Kohde</w:t>
            </w:r>
          </w:p>
        </w:tc>
        <w:tc>
          <w:tcPr>
            <w:tcW w:w="1441" w:type="dxa"/>
            <w:shd w:val="clear" w:color="auto" w:fill="C6EFCE"/>
            <w:noWrap/>
            <w:vAlign w:val="center"/>
          </w:tcPr>
          <w:p w14:paraId="04A1A9E6" w14:textId="3AE4A872" w:rsidR="00E42B18" w:rsidRDefault="009629C4">
            <w:pPr>
              <w:pStyle w:val="P68B1DB1-Normal12"/>
              <w:jc w:val="center"/>
              <w:rPr>
                <w:noProof/>
              </w:rPr>
            </w:pPr>
            <w:r>
              <w:rPr>
                <w:noProof/>
              </w:rPr>
              <w:t>Innovaatioekosysteemien toteuttamat toimet</w:t>
            </w:r>
          </w:p>
        </w:tc>
        <w:tc>
          <w:tcPr>
            <w:tcW w:w="1584" w:type="dxa"/>
            <w:shd w:val="clear" w:color="auto" w:fill="C6EFCE"/>
            <w:noWrap/>
            <w:vAlign w:val="center"/>
          </w:tcPr>
          <w:p w14:paraId="48FF8936" w14:textId="77777777" w:rsidR="00E42B18" w:rsidRDefault="009629C4">
            <w:pPr>
              <w:pStyle w:val="P68B1DB1-Normal11"/>
              <w:jc w:val="center"/>
              <w:rPr>
                <w:noProof/>
                <w:szCs w:val="20"/>
              </w:rPr>
            </w:pPr>
            <w:r>
              <w:rPr>
                <w:noProof/>
              </w:rPr>
              <w:t>EI OLE</w:t>
            </w:r>
          </w:p>
        </w:tc>
        <w:tc>
          <w:tcPr>
            <w:tcW w:w="1297" w:type="dxa"/>
            <w:shd w:val="clear" w:color="auto" w:fill="C6EFCE"/>
            <w:noWrap/>
            <w:vAlign w:val="center"/>
          </w:tcPr>
          <w:p w14:paraId="0E3FC05A" w14:textId="77777777" w:rsidR="00E42B18" w:rsidRDefault="009629C4">
            <w:pPr>
              <w:pStyle w:val="P68B1DB1-Normal11"/>
              <w:jc w:val="center"/>
              <w:rPr>
                <w:noProof/>
                <w:szCs w:val="20"/>
              </w:rPr>
            </w:pPr>
            <w:r>
              <w:rPr>
                <w:noProof/>
              </w:rPr>
              <w:t>Numero</w:t>
            </w:r>
          </w:p>
        </w:tc>
        <w:tc>
          <w:tcPr>
            <w:tcW w:w="1152" w:type="dxa"/>
            <w:shd w:val="clear" w:color="auto" w:fill="C6EFCE"/>
            <w:noWrap/>
            <w:vAlign w:val="center"/>
          </w:tcPr>
          <w:p w14:paraId="3EC2E71B" w14:textId="77777777" w:rsidR="00E42B18" w:rsidRDefault="009629C4">
            <w:pPr>
              <w:pStyle w:val="P68B1DB1-Normal11"/>
              <w:jc w:val="center"/>
              <w:rPr>
                <w:noProof/>
                <w:szCs w:val="20"/>
              </w:rPr>
            </w:pPr>
            <w:r>
              <w:rPr>
                <w:noProof/>
              </w:rPr>
              <w:t>0</w:t>
            </w:r>
          </w:p>
        </w:tc>
        <w:tc>
          <w:tcPr>
            <w:tcW w:w="1296" w:type="dxa"/>
            <w:shd w:val="clear" w:color="auto" w:fill="C6EFCE"/>
            <w:noWrap/>
            <w:vAlign w:val="center"/>
          </w:tcPr>
          <w:p w14:paraId="5628C94E" w14:textId="77777777" w:rsidR="00E42B18" w:rsidRDefault="009629C4">
            <w:pPr>
              <w:pStyle w:val="P68B1DB1-Normal11"/>
              <w:jc w:val="center"/>
              <w:rPr>
                <w:noProof/>
                <w:szCs w:val="20"/>
              </w:rPr>
            </w:pPr>
            <w:r>
              <w:rPr>
                <w:noProof/>
              </w:rPr>
              <w:t>10</w:t>
            </w:r>
          </w:p>
        </w:tc>
        <w:tc>
          <w:tcPr>
            <w:tcW w:w="1009" w:type="dxa"/>
            <w:shd w:val="clear" w:color="auto" w:fill="C6EFCE"/>
            <w:noWrap/>
            <w:vAlign w:val="center"/>
          </w:tcPr>
          <w:p w14:paraId="75BF8EA6" w14:textId="77777777" w:rsidR="00E42B18" w:rsidRDefault="009629C4">
            <w:pPr>
              <w:pStyle w:val="P68B1DB1-Normal11"/>
              <w:jc w:val="center"/>
              <w:rPr>
                <w:noProof/>
                <w:szCs w:val="20"/>
              </w:rPr>
            </w:pPr>
            <w:r>
              <w:rPr>
                <w:noProof/>
              </w:rPr>
              <w:t>Q2</w:t>
            </w:r>
          </w:p>
        </w:tc>
        <w:tc>
          <w:tcPr>
            <w:tcW w:w="861" w:type="dxa"/>
            <w:shd w:val="clear" w:color="auto" w:fill="C6EFCE"/>
            <w:noWrap/>
            <w:vAlign w:val="center"/>
          </w:tcPr>
          <w:p w14:paraId="50D063ED" w14:textId="77777777" w:rsidR="00E42B18" w:rsidRDefault="009629C4">
            <w:pPr>
              <w:pStyle w:val="P68B1DB1-Normal11"/>
              <w:jc w:val="center"/>
              <w:rPr>
                <w:noProof/>
                <w:szCs w:val="20"/>
              </w:rPr>
            </w:pPr>
            <w:r>
              <w:rPr>
                <w:noProof/>
              </w:rPr>
              <w:t>2026</w:t>
            </w:r>
          </w:p>
        </w:tc>
        <w:tc>
          <w:tcPr>
            <w:tcW w:w="2452" w:type="dxa"/>
            <w:shd w:val="clear" w:color="auto" w:fill="C6EFCE"/>
            <w:noWrap/>
            <w:vAlign w:val="center"/>
          </w:tcPr>
          <w:p w14:paraId="65964B0B" w14:textId="77777777" w:rsidR="00E42B18" w:rsidRDefault="009629C4">
            <w:pPr>
              <w:pStyle w:val="P68B1DB1-Normal12"/>
              <w:rPr>
                <w:noProof/>
              </w:rPr>
            </w:pPr>
            <w:r>
              <w:rPr>
                <w:noProof/>
              </w:rPr>
              <w:t>Tutkimustoimia koskevat raportit on laadittava vähintään kymmenestä innovaatioekosysteemistä.</w:t>
            </w:r>
          </w:p>
        </w:tc>
      </w:tr>
      <w:tr w:rsidR="00E42B18" w14:paraId="05602867" w14:textId="77777777">
        <w:trPr>
          <w:trHeight w:val="313"/>
        </w:trPr>
        <w:tc>
          <w:tcPr>
            <w:tcW w:w="1441" w:type="dxa"/>
            <w:shd w:val="clear" w:color="auto" w:fill="C6EFCE"/>
            <w:noWrap/>
            <w:vAlign w:val="center"/>
          </w:tcPr>
          <w:p w14:paraId="4853D3BE" w14:textId="77777777" w:rsidR="00E42B18" w:rsidRDefault="009629C4">
            <w:pPr>
              <w:pStyle w:val="P68B1DB1-Normal11"/>
              <w:jc w:val="center"/>
              <w:rPr>
                <w:noProof/>
                <w:szCs w:val="20"/>
              </w:rPr>
            </w:pPr>
            <w:r>
              <w:rPr>
                <w:noProof/>
              </w:rPr>
              <w:t>M4C2–19</w:t>
            </w:r>
          </w:p>
        </w:tc>
        <w:tc>
          <w:tcPr>
            <w:tcW w:w="1395" w:type="dxa"/>
            <w:shd w:val="clear" w:color="auto" w:fill="C6EFCE"/>
            <w:noWrap/>
            <w:vAlign w:val="center"/>
          </w:tcPr>
          <w:p w14:paraId="52EF0986" w14:textId="77777777" w:rsidR="00E42B18" w:rsidRDefault="009629C4">
            <w:pPr>
              <w:pStyle w:val="P68B1DB1-Normal11"/>
              <w:jc w:val="center"/>
              <w:rPr>
                <w:noProof/>
                <w:szCs w:val="20"/>
              </w:rPr>
            </w:pPr>
            <w:r>
              <w:rPr>
                <w:noProof/>
              </w:rPr>
              <w:t>Investointi 1.4: Tutkimusrakenteiden vahvistaminen ja kansallisten T &amp; K-johtajien perustamisen tukeminen joidenkin keskeisten mahdollistavien teknologioiden alalla</w:t>
            </w:r>
          </w:p>
        </w:tc>
        <w:tc>
          <w:tcPr>
            <w:tcW w:w="1486" w:type="dxa"/>
            <w:shd w:val="clear" w:color="auto" w:fill="C6EFCE"/>
            <w:noWrap/>
            <w:vAlign w:val="center"/>
          </w:tcPr>
          <w:p w14:paraId="374D29EE" w14:textId="77777777" w:rsidR="00E42B18" w:rsidRDefault="009629C4">
            <w:pPr>
              <w:pStyle w:val="P68B1DB1-Normal11"/>
              <w:jc w:val="center"/>
              <w:rPr>
                <w:noProof/>
                <w:szCs w:val="20"/>
              </w:rPr>
            </w:pPr>
            <w:r>
              <w:rPr>
                <w:noProof/>
              </w:rPr>
              <w:t>Virstanpylväs</w:t>
            </w:r>
          </w:p>
        </w:tc>
        <w:tc>
          <w:tcPr>
            <w:tcW w:w="1441" w:type="dxa"/>
            <w:shd w:val="clear" w:color="auto" w:fill="C6EFCE"/>
            <w:noWrap/>
            <w:vAlign w:val="center"/>
          </w:tcPr>
          <w:p w14:paraId="264E578B" w14:textId="77777777" w:rsidR="00E42B18" w:rsidRDefault="009629C4">
            <w:pPr>
              <w:pStyle w:val="P68B1DB1-Normal11"/>
              <w:jc w:val="center"/>
              <w:rPr>
                <w:noProof/>
                <w:szCs w:val="20"/>
              </w:rPr>
            </w:pPr>
            <w:r>
              <w:rPr>
                <w:noProof/>
              </w:rPr>
              <w:t>Keskeisiä kehitystä vauhdittavia teknologioita koskevien kansallisten T &amp; K-johtajien hankkeita koskevien sopimusten tekeminen</w:t>
            </w:r>
          </w:p>
        </w:tc>
        <w:tc>
          <w:tcPr>
            <w:tcW w:w="1584" w:type="dxa"/>
            <w:shd w:val="clear" w:color="auto" w:fill="C6EFCE"/>
            <w:noWrap/>
            <w:vAlign w:val="center"/>
          </w:tcPr>
          <w:p w14:paraId="26813F4C" w14:textId="77777777" w:rsidR="00E42B18" w:rsidRDefault="009629C4">
            <w:pPr>
              <w:pStyle w:val="P68B1DB1-Normal11"/>
              <w:jc w:val="center"/>
              <w:rPr>
                <w:noProof/>
                <w:szCs w:val="20"/>
              </w:rPr>
            </w:pPr>
            <w:r>
              <w:rPr>
                <w:noProof/>
              </w:rPr>
              <w:t>Hankintasopimusten tekemisestä ilmoittaminen</w:t>
            </w:r>
          </w:p>
        </w:tc>
        <w:tc>
          <w:tcPr>
            <w:tcW w:w="1297" w:type="dxa"/>
            <w:shd w:val="clear" w:color="auto" w:fill="C6EFCE"/>
            <w:noWrap/>
            <w:vAlign w:val="center"/>
          </w:tcPr>
          <w:p w14:paraId="47660B3E" w14:textId="77777777" w:rsidR="00E42B18" w:rsidRDefault="009629C4">
            <w:pPr>
              <w:pStyle w:val="P68B1DB1-Normal11"/>
              <w:jc w:val="center"/>
              <w:rPr>
                <w:noProof/>
                <w:szCs w:val="20"/>
              </w:rPr>
            </w:pPr>
            <w:r>
              <w:rPr>
                <w:noProof/>
              </w:rPr>
              <w:t>EI OLE</w:t>
            </w:r>
          </w:p>
        </w:tc>
        <w:tc>
          <w:tcPr>
            <w:tcW w:w="1152" w:type="dxa"/>
            <w:shd w:val="clear" w:color="auto" w:fill="C6EFCE"/>
            <w:noWrap/>
            <w:vAlign w:val="center"/>
          </w:tcPr>
          <w:p w14:paraId="30CA320D" w14:textId="77777777" w:rsidR="00E42B18" w:rsidRDefault="009629C4">
            <w:pPr>
              <w:pStyle w:val="P68B1DB1-Normal11"/>
              <w:jc w:val="center"/>
              <w:rPr>
                <w:noProof/>
                <w:szCs w:val="20"/>
              </w:rPr>
            </w:pPr>
            <w:r>
              <w:rPr>
                <w:noProof/>
              </w:rPr>
              <w:t>EI OLE</w:t>
            </w:r>
          </w:p>
        </w:tc>
        <w:tc>
          <w:tcPr>
            <w:tcW w:w="1296" w:type="dxa"/>
            <w:shd w:val="clear" w:color="auto" w:fill="C6EFCE"/>
            <w:noWrap/>
            <w:vAlign w:val="center"/>
          </w:tcPr>
          <w:p w14:paraId="57EEDF1C" w14:textId="77777777" w:rsidR="00E42B18" w:rsidRDefault="009629C4">
            <w:pPr>
              <w:pStyle w:val="P68B1DB1-Normal11"/>
              <w:jc w:val="center"/>
              <w:rPr>
                <w:noProof/>
                <w:szCs w:val="20"/>
              </w:rPr>
            </w:pPr>
            <w:r>
              <w:rPr>
                <w:noProof/>
              </w:rPr>
              <w:t>N</w:t>
            </w:r>
          </w:p>
        </w:tc>
        <w:tc>
          <w:tcPr>
            <w:tcW w:w="1009" w:type="dxa"/>
            <w:shd w:val="clear" w:color="auto" w:fill="C6EFCE"/>
            <w:noWrap/>
            <w:vAlign w:val="center"/>
          </w:tcPr>
          <w:p w14:paraId="01F20C78" w14:textId="77777777" w:rsidR="00E42B18" w:rsidRDefault="009629C4">
            <w:pPr>
              <w:pStyle w:val="P68B1DB1-Normal11"/>
              <w:jc w:val="center"/>
              <w:rPr>
                <w:noProof/>
                <w:szCs w:val="20"/>
              </w:rPr>
            </w:pPr>
            <w:r>
              <w:rPr>
                <w:noProof/>
              </w:rPr>
              <w:t>Q2</w:t>
            </w:r>
          </w:p>
        </w:tc>
        <w:tc>
          <w:tcPr>
            <w:tcW w:w="861" w:type="dxa"/>
            <w:shd w:val="clear" w:color="auto" w:fill="C6EFCE"/>
            <w:noWrap/>
            <w:vAlign w:val="center"/>
          </w:tcPr>
          <w:p w14:paraId="3DD4FC29" w14:textId="77777777" w:rsidR="00E42B18" w:rsidRDefault="009629C4">
            <w:pPr>
              <w:pStyle w:val="P68B1DB1-Normal11"/>
              <w:jc w:val="center"/>
              <w:rPr>
                <w:noProof/>
                <w:szCs w:val="20"/>
              </w:rPr>
            </w:pPr>
            <w:r>
              <w:rPr>
                <w:noProof/>
              </w:rPr>
              <w:t>2022</w:t>
            </w:r>
          </w:p>
        </w:tc>
        <w:tc>
          <w:tcPr>
            <w:tcW w:w="2452" w:type="dxa"/>
            <w:shd w:val="clear" w:color="auto" w:fill="C6EFCE"/>
            <w:noWrap/>
            <w:vAlign w:val="center"/>
          </w:tcPr>
          <w:p w14:paraId="2EDA7CF3" w14:textId="77777777" w:rsidR="00E42B18" w:rsidRDefault="009629C4">
            <w:pPr>
              <w:pStyle w:val="P68B1DB1-Normal12"/>
              <w:spacing w:after="120"/>
              <w:rPr>
                <w:noProof/>
              </w:rPr>
            </w:pPr>
            <w:r>
              <w:rPr>
                <w:noProof/>
              </w:rPr>
              <w:t>Ilmoitus hankintasopimusten tekemisestä kilpailuun perustuvien ehdotuspyyntöjen perusteella valittujen hankkeiden osalta noudattaen ”ei merkittävää haittaa” -periaatetta koskevia teknisiä ohjeita (2021/C58/01) käyttämällä poissulkemisluetteloa ja vaatimusta asiaa koskevan EU:n ja kansallisen ympäristölainsäädännön noudattamisesta.</w:t>
            </w:r>
          </w:p>
          <w:p w14:paraId="0EF84EC5" w14:textId="77777777" w:rsidR="00E42B18" w:rsidRDefault="009629C4">
            <w:pPr>
              <w:pStyle w:val="P68B1DB1-Normal11"/>
              <w:spacing w:after="120"/>
              <w:rPr>
                <w:noProof/>
                <w:szCs w:val="20"/>
              </w:rPr>
            </w:pPr>
            <w:r>
              <w:rPr>
                <w:noProof/>
              </w:rPr>
              <w:t>Hankkeet valitaan 30 prosenttia resursseista tukitoimiksi ”Tutkimus- ja innovointiprosessit, teknologian siirto ja yritysten välinen yhteistyö, joissa keskitytään vähähiiliseen talouteen, selviytymiskykyyn ja ilmastonmuutokseen sopeutumiseen” (IF022) ja 15 prosenttia resursseista toimiin ”Tutkimus- ja innovointiprosessit, teknologian siirto ja yritysten välinen yhteistyö, joissa keskitytään kiertotalouteen” (IF023).</w:t>
            </w:r>
          </w:p>
          <w:p w14:paraId="66F2A2E5" w14:textId="77777777" w:rsidR="00E42B18" w:rsidRDefault="009629C4">
            <w:pPr>
              <w:pStyle w:val="P68B1DB1-Normal12"/>
              <w:spacing w:after="120"/>
              <w:rPr>
                <w:noProof/>
              </w:rPr>
            </w:pPr>
            <w:r>
              <w:rPr>
                <w:noProof/>
              </w:rPr>
              <w:t>Hankkeiden arvioinnissa on otettava huomioon niiden toteutettavuus, kestävyys, muista lähteistä (kuten alueellisista rahastoista) saatava tuki, tuotantosektorin osallistuminen, kumppaneiden laatu sekä vaikutus sosiaaliseen ja ekologiseen kestävyyteen. Ehdotuspyyntö, joka koskee hankkeiden rahoittamista innovaatioekosysteemeina. Valintamenettely edellyttää ”ei merkittävää haittaa” -arviointia ja tarvittaessa strategista ympäristöarviointia, jos hankkeella odotetaan olevan johdonmukainen vaikutus alueeseen.</w:t>
            </w:r>
          </w:p>
        </w:tc>
      </w:tr>
      <w:tr w:rsidR="00E42B18" w14:paraId="7B87238D" w14:textId="77777777">
        <w:trPr>
          <w:trHeight w:val="313"/>
        </w:trPr>
        <w:tc>
          <w:tcPr>
            <w:tcW w:w="1441" w:type="dxa"/>
            <w:shd w:val="clear" w:color="auto" w:fill="C6EFCE"/>
            <w:noWrap/>
            <w:vAlign w:val="center"/>
            <w:hideMark/>
          </w:tcPr>
          <w:p w14:paraId="54FA9889" w14:textId="77777777" w:rsidR="00E42B18" w:rsidRDefault="009629C4">
            <w:pPr>
              <w:pStyle w:val="P68B1DB1-Normal11"/>
              <w:jc w:val="center"/>
              <w:rPr>
                <w:noProof/>
                <w:szCs w:val="20"/>
              </w:rPr>
            </w:pPr>
            <w:r>
              <w:rPr>
                <w:noProof/>
              </w:rPr>
              <w:t>M4C2–20</w:t>
            </w:r>
          </w:p>
        </w:tc>
        <w:tc>
          <w:tcPr>
            <w:tcW w:w="1395" w:type="dxa"/>
            <w:shd w:val="clear" w:color="auto" w:fill="C6EFCE"/>
            <w:noWrap/>
            <w:vAlign w:val="center"/>
            <w:hideMark/>
          </w:tcPr>
          <w:p w14:paraId="2CBAA48D" w14:textId="77777777" w:rsidR="00E42B18" w:rsidRDefault="009629C4">
            <w:pPr>
              <w:pStyle w:val="P68B1DB1-Normal11"/>
              <w:jc w:val="center"/>
              <w:rPr>
                <w:noProof/>
                <w:szCs w:val="20"/>
              </w:rPr>
            </w:pPr>
            <w:r>
              <w:rPr>
                <w:noProof/>
              </w:rPr>
              <w:t>Investointi 3.2: Pääomanlisäys digitaalisen siirtymän rahastoon (DTF)</w:t>
            </w:r>
          </w:p>
        </w:tc>
        <w:tc>
          <w:tcPr>
            <w:tcW w:w="1486" w:type="dxa"/>
            <w:shd w:val="clear" w:color="auto" w:fill="C6EFCE"/>
            <w:noWrap/>
            <w:vAlign w:val="center"/>
            <w:hideMark/>
          </w:tcPr>
          <w:p w14:paraId="0F477477" w14:textId="77777777" w:rsidR="00E42B18" w:rsidRDefault="009629C4">
            <w:pPr>
              <w:pStyle w:val="P68B1DB1-Normal11"/>
              <w:jc w:val="center"/>
              <w:rPr>
                <w:noProof/>
                <w:szCs w:val="20"/>
              </w:rPr>
            </w:pPr>
            <w:r>
              <w:rPr>
                <w:noProof/>
              </w:rPr>
              <w:t>Virstanpylväs</w:t>
            </w:r>
          </w:p>
        </w:tc>
        <w:tc>
          <w:tcPr>
            <w:tcW w:w="1441" w:type="dxa"/>
            <w:shd w:val="clear" w:color="auto" w:fill="C6EFCE"/>
            <w:noWrap/>
            <w:vAlign w:val="center"/>
            <w:hideMark/>
          </w:tcPr>
          <w:p w14:paraId="434BB865" w14:textId="77777777" w:rsidR="00E42B18" w:rsidRDefault="009629C4">
            <w:pPr>
              <w:pStyle w:val="P68B1DB1-Normal11"/>
              <w:jc w:val="center"/>
              <w:rPr>
                <w:noProof/>
                <w:szCs w:val="20"/>
              </w:rPr>
            </w:pPr>
            <w:r>
              <w:rPr>
                <w:noProof/>
              </w:rPr>
              <w:t>IT-hallinnon ja toteutuskumppani Cassa Depositi e Prestitin (CDP) välinen sopimus rahoitusvälineen perustamisesta allekirjoitettu</w:t>
            </w:r>
          </w:p>
        </w:tc>
        <w:tc>
          <w:tcPr>
            <w:tcW w:w="1584" w:type="dxa"/>
            <w:shd w:val="clear" w:color="auto" w:fill="C6EFCE"/>
            <w:noWrap/>
            <w:vAlign w:val="center"/>
            <w:hideMark/>
          </w:tcPr>
          <w:p w14:paraId="4AEDD940" w14:textId="77777777" w:rsidR="00E42B18" w:rsidRDefault="009629C4">
            <w:pPr>
              <w:pStyle w:val="P68B1DB1-Normal11"/>
              <w:jc w:val="center"/>
              <w:rPr>
                <w:noProof/>
                <w:szCs w:val="20"/>
              </w:rPr>
            </w:pPr>
            <w:r>
              <w:rPr>
                <w:noProof/>
              </w:rPr>
              <w:t>Sopimuksen ovat allekirjoittaneet Italian hallitus ja Cassa Depositi e Prestiti.</w:t>
            </w:r>
          </w:p>
        </w:tc>
        <w:tc>
          <w:tcPr>
            <w:tcW w:w="1297" w:type="dxa"/>
            <w:shd w:val="clear" w:color="auto" w:fill="C6EFCE"/>
            <w:noWrap/>
            <w:vAlign w:val="center"/>
            <w:hideMark/>
          </w:tcPr>
          <w:p w14:paraId="21B44EEF" w14:textId="77777777" w:rsidR="00E42B18" w:rsidRDefault="009629C4">
            <w:pPr>
              <w:pStyle w:val="P68B1DB1-Normal11"/>
              <w:jc w:val="center"/>
              <w:rPr>
                <w:noProof/>
                <w:szCs w:val="20"/>
              </w:rPr>
            </w:pPr>
            <w:r>
              <w:rPr>
                <w:noProof/>
              </w:rPr>
              <w:t>EI OLE</w:t>
            </w:r>
          </w:p>
        </w:tc>
        <w:tc>
          <w:tcPr>
            <w:tcW w:w="1152" w:type="dxa"/>
            <w:shd w:val="clear" w:color="auto" w:fill="C6EFCE"/>
            <w:noWrap/>
            <w:vAlign w:val="center"/>
            <w:hideMark/>
          </w:tcPr>
          <w:p w14:paraId="1D44E2C5" w14:textId="77777777" w:rsidR="00E42B18" w:rsidRDefault="009629C4">
            <w:pPr>
              <w:pStyle w:val="P68B1DB1-Normal11"/>
              <w:jc w:val="center"/>
              <w:rPr>
                <w:noProof/>
                <w:szCs w:val="20"/>
              </w:rPr>
            </w:pPr>
            <w:r>
              <w:rPr>
                <w:noProof/>
              </w:rPr>
              <w:t>EI OLE</w:t>
            </w:r>
          </w:p>
        </w:tc>
        <w:tc>
          <w:tcPr>
            <w:tcW w:w="1296" w:type="dxa"/>
            <w:shd w:val="clear" w:color="auto" w:fill="C6EFCE"/>
            <w:noWrap/>
            <w:vAlign w:val="center"/>
            <w:hideMark/>
          </w:tcPr>
          <w:p w14:paraId="76BC5F07" w14:textId="77777777" w:rsidR="00E42B18" w:rsidRDefault="009629C4">
            <w:pPr>
              <w:pStyle w:val="P68B1DB1-Normal11"/>
              <w:jc w:val="center"/>
              <w:rPr>
                <w:noProof/>
                <w:szCs w:val="20"/>
              </w:rPr>
            </w:pPr>
            <w:r>
              <w:rPr>
                <w:noProof/>
              </w:rPr>
              <w:t>EI OLE</w:t>
            </w:r>
          </w:p>
        </w:tc>
        <w:tc>
          <w:tcPr>
            <w:tcW w:w="1009" w:type="dxa"/>
            <w:shd w:val="clear" w:color="auto" w:fill="C6EFCE"/>
            <w:noWrap/>
            <w:vAlign w:val="center"/>
            <w:hideMark/>
          </w:tcPr>
          <w:p w14:paraId="339689FA"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31380E2B" w14:textId="77777777" w:rsidR="00E42B18" w:rsidRDefault="009629C4">
            <w:pPr>
              <w:pStyle w:val="P68B1DB1-Normal11"/>
              <w:jc w:val="center"/>
              <w:rPr>
                <w:noProof/>
                <w:szCs w:val="20"/>
              </w:rPr>
            </w:pPr>
            <w:r>
              <w:rPr>
                <w:noProof/>
              </w:rPr>
              <w:t>2022</w:t>
            </w:r>
          </w:p>
        </w:tc>
        <w:tc>
          <w:tcPr>
            <w:tcW w:w="2452" w:type="dxa"/>
            <w:shd w:val="clear" w:color="auto" w:fill="C6EFCE"/>
            <w:noWrap/>
            <w:vAlign w:val="center"/>
            <w:hideMark/>
          </w:tcPr>
          <w:p w14:paraId="4E845300" w14:textId="77777777" w:rsidR="00E42B18" w:rsidRDefault="009629C4">
            <w:pPr>
              <w:pStyle w:val="P68B1DB1-Normal11"/>
              <w:rPr>
                <w:noProof/>
                <w:szCs w:val="20"/>
              </w:rPr>
            </w:pPr>
            <w:r>
              <w:rPr>
                <w:noProof/>
              </w:rPr>
              <w:t>Rahoitusvälineen sijoituspolitiikkaan/-strategiaan on sisällytettävä seuraavat osatekijät:</w:t>
            </w:r>
          </w:p>
          <w:p w14:paraId="4570F680" w14:textId="77777777" w:rsidR="00E42B18" w:rsidRDefault="009629C4">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Investointitavoitteet (rahaston koko, toimien lukumäärä, ajan mukaan eritellyt tuettavat määrät, kuten pk-yritykset ja midcap-yritykset/suuret yritykset)</w:t>
            </w:r>
          </w:p>
          <w:p w14:paraId="19AD5BA0" w14:textId="77777777" w:rsidR="00E42B18" w:rsidRDefault="009629C4">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Soveltamisala ja tukikelpoiset edunsaajat</w:t>
            </w:r>
          </w:p>
          <w:p w14:paraId="2AA0DBC6" w14:textId="77777777" w:rsidR="00E42B18" w:rsidRDefault="009629C4">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Tukikelpoiset rahoituksen välittäjät ja valintaprosessi</w:t>
            </w:r>
          </w:p>
          <w:p w14:paraId="781BFBD1" w14:textId="77777777" w:rsidR="00E42B18" w:rsidRDefault="009629C4">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Myönnetyn tuen tyyppi (kuten takaukset, lainat, oman pääoman ehtoinen ja oman pääoman luonteinen rahoitus)</w:t>
            </w:r>
          </w:p>
          <w:p w14:paraId="6498664D" w14:textId="77777777" w:rsidR="00E42B18" w:rsidRDefault="009629C4">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Kohdennetut riskit/tuotot kullekin sijoittajatyypille</w:t>
            </w:r>
          </w:p>
          <w:p w14:paraId="45998F09" w14:textId="77777777" w:rsidR="00E42B18" w:rsidRDefault="009629C4">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Riskipolitiikka ja rahanpesun torjuntaa koskevat toimintaperiaatteet</w:t>
            </w:r>
          </w:p>
          <w:p w14:paraId="2F1117CC" w14:textId="77777777" w:rsidR="00E42B18" w:rsidRDefault="009629C4">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Hallinto (kumppanit, rahastonhoitajat, johtokunta, investointikomitea, rooli ja vastuualueet)</w:t>
            </w:r>
          </w:p>
          <w:p w14:paraId="3DCACA8C" w14:textId="77777777" w:rsidR="00E42B18" w:rsidRDefault="009629C4">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Hajautus- ja pitoisuusrajat</w:t>
            </w:r>
          </w:p>
          <w:p w14:paraId="27C923BE" w14:textId="77777777" w:rsidR="00E42B18" w:rsidRDefault="009629C4">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Oman pääoman ehtoiset toimintaperiaatteet, mukaan lukien oman pääoman ehtoisia sijoituksia koskeva irtautumisstrategia</w:t>
            </w:r>
          </w:p>
          <w:p w14:paraId="6A6D036B" w14:textId="77777777" w:rsidR="00E42B18" w:rsidRDefault="009629C4">
            <w:pPr>
              <w:ind w:left="176" w:hanging="142"/>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”Ei merkittävää haittaa” -periaatteen ja kestävyysarvioinnin toimintaperiaatteet ja poissulkemisluettelo</w:t>
            </w:r>
          </w:p>
          <w:p w14:paraId="73290014" w14:textId="77777777" w:rsidR="00E42B18" w:rsidRDefault="009629C4">
            <w:pPr>
              <w:ind w:left="176" w:hanging="142"/>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Velkainvestointeihin liittyvä lainanantopolitiikka, mukaan lukien vaaditut takaukset ja vakuudet</w:t>
            </w:r>
          </w:p>
          <w:p w14:paraId="06F4E1CD" w14:textId="77777777" w:rsidR="00E42B18" w:rsidRDefault="009629C4">
            <w:pPr>
              <w:ind w:left="176" w:hanging="142"/>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Varainhankinnan ja täytäntöönpanon aikataulu</w:t>
            </w:r>
          </w:p>
        </w:tc>
      </w:tr>
      <w:tr w:rsidR="00E42B18" w14:paraId="6C967395" w14:textId="77777777">
        <w:trPr>
          <w:trHeight w:val="313"/>
        </w:trPr>
        <w:tc>
          <w:tcPr>
            <w:tcW w:w="1441" w:type="dxa"/>
            <w:shd w:val="clear" w:color="auto" w:fill="C6EFCE"/>
            <w:noWrap/>
            <w:hideMark/>
          </w:tcPr>
          <w:p w14:paraId="0A6BCD44" w14:textId="77777777" w:rsidR="00E42B18" w:rsidRDefault="009629C4">
            <w:pPr>
              <w:pStyle w:val="P68B1DB1-Normal11"/>
              <w:jc w:val="center"/>
              <w:rPr>
                <w:noProof/>
                <w:szCs w:val="20"/>
              </w:rPr>
            </w:pPr>
            <w:r>
              <w:rPr>
                <w:noProof/>
              </w:rPr>
              <w:t>M4C2–21bis</w:t>
            </w:r>
          </w:p>
        </w:tc>
        <w:tc>
          <w:tcPr>
            <w:tcW w:w="1395" w:type="dxa"/>
            <w:shd w:val="clear" w:color="auto" w:fill="C6EFCE"/>
            <w:noWrap/>
            <w:hideMark/>
          </w:tcPr>
          <w:p w14:paraId="64AE52B0" w14:textId="77777777" w:rsidR="00E42B18" w:rsidRDefault="009629C4">
            <w:pPr>
              <w:pStyle w:val="P68B1DB1-Normal11"/>
              <w:jc w:val="center"/>
              <w:rPr>
                <w:noProof/>
                <w:szCs w:val="20"/>
              </w:rPr>
            </w:pPr>
            <w:r>
              <w:rPr>
                <w:noProof/>
              </w:rPr>
              <w:t>Investointi 3.2 Pääomanlisäys digitaalisen siirtymän rahastoon (DTF)</w:t>
            </w:r>
          </w:p>
        </w:tc>
        <w:tc>
          <w:tcPr>
            <w:tcW w:w="1486" w:type="dxa"/>
            <w:shd w:val="clear" w:color="auto" w:fill="C6EFCE"/>
            <w:noWrap/>
            <w:hideMark/>
          </w:tcPr>
          <w:p w14:paraId="0EA7117E" w14:textId="77777777" w:rsidR="00E42B18" w:rsidRDefault="009629C4">
            <w:pPr>
              <w:pStyle w:val="P68B1DB1-Normal11"/>
              <w:jc w:val="center"/>
              <w:rPr>
                <w:noProof/>
                <w:szCs w:val="20"/>
              </w:rPr>
            </w:pPr>
            <w:r>
              <w:rPr>
                <w:noProof/>
              </w:rPr>
              <w:t>Virstanpylväs</w:t>
            </w:r>
          </w:p>
        </w:tc>
        <w:tc>
          <w:tcPr>
            <w:tcW w:w="1441" w:type="dxa"/>
            <w:shd w:val="clear" w:color="auto" w:fill="C6EFCE"/>
            <w:noWrap/>
            <w:hideMark/>
          </w:tcPr>
          <w:p w14:paraId="3A56C34D" w14:textId="77777777" w:rsidR="00E42B18" w:rsidRDefault="009629C4">
            <w:pPr>
              <w:pStyle w:val="P68B1DB1-Normal11"/>
              <w:jc w:val="center"/>
              <w:rPr>
                <w:noProof/>
                <w:szCs w:val="20"/>
              </w:rPr>
            </w:pPr>
            <w:r>
              <w:rPr>
                <w:noProof/>
              </w:rPr>
              <w:t xml:space="preserve">Pääomanlisäys digitaalisen siirtymän rahastoon </w:t>
            </w:r>
          </w:p>
        </w:tc>
        <w:tc>
          <w:tcPr>
            <w:tcW w:w="1584" w:type="dxa"/>
            <w:shd w:val="clear" w:color="auto" w:fill="C6EFCE"/>
            <w:noWrap/>
            <w:hideMark/>
          </w:tcPr>
          <w:p w14:paraId="2D8F211D" w14:textId="77777777" w:rsidR="00E42B18" w:rsidRDefault="009629C4">
            <w:pPr>
              <w:pStyle w:val="P68B1DB1-Normal11"/>
              <w:jc w:val="center"/>
              <w:rPr>
                <w:noProof/>
                <w:szCs w:val="20"/>
              </w:rPr>
            </w:pPr>
            <w:r>
              <w:rPr>
                <w:noProof/>
              </w:rPr>
              <w:t xml:space="preserve">Todistus siirrosta </w:t>
            </w:r>
          </w:p>
        </w:tc>
        <w:tc>
          <w:tcPr>
            <w:tcW w:w="1297" w:type="dxa"/>
            <w:shd w:val="clear" w:color="auto" w:fill="C6EFCE"/>
            <w:noWrap/>
            <w:hideMark/>
          </w:tcPr>
          <w:p w14:paraId="66F61B97" w14:textId="77777777" w:rsidR="00E42B18" w:rsidRDefault="009629C4">
            <w:pPr>
              <w:pStyle w:val="P68B1DB1-Normal12"/>
              <w:jc w:val="center"/>
              <w:rPr>
                <w:noProof/>
              </w:rPr>
            </w:pPr>
            <w:r>
              <w:rPr>
                <w:noProof/>
              </w:rPr>
              <w:t>EI OLE</w:t>
            </w:r>
          </w:p>
        </w:tc>
        <w:tc>
          <w:tcPr>
            <w:tcW w:w="1152" w:type="dxa"/>
            <w:shd w:val="clear" w:color="auto" w:fill="C6EFCE"/>
            <w:noWrap/>
            <w:hideMark/>
          </w:tcPr>
          <w:p w14:paraId="0A8D69B1" w14:textId="77777777" w:rsidR="00E42B18" w:rsidRDefault="009629C4">
            <w:pPr>
              <w:pStyle w:val="P68B1DB1-Normal12"/>
              <w:jc w:val="center"/>
              <w:rPr>
                <w:noProof/>
              </w:rPr>
            </w:pPr>
            <w:r>
              <w:rPr>
                <w:noProof/>
              </w:rPr>
              <w:t>EI OLE</w:t>
            </w:r>
          </w:p>
        </w:tc>
        <w:tc>
          <w:tcPr>
            <w:tcW w:w="1296" w:type="dxa"/>
            <w:shd w:val="clear" w:color="auto" w:fill="C6EFCE"/>
            <w:noWrap/>
            <w:hideMark/>
          </w:tcPr>
          <w:p w14:paraId="6E1C6C1C" w14:textId="77777777" w:rsidR="00E42B18" w:rsidRDefault="009629C4">
            <w:pPr>
              <w:pStyle w:val="P68B1DB1-Normal12"/>
              <w:jc w:val="center"/>
              <w:rPr>
                <w:noProof/>
              </w:rPr>
            </w:pPr>
            <w:r>
              <w:rPr>
                <w:noProof/>
              </w:rPr>
              <w:t>EI OLE</w:t>
            </w:r>
          </w:p>
        </w:tc>
        <w:tc>
          <w:tcPr>
            <w:tcW w:w="1009" w:type="dxa"/>
            <w:shd w:val="clear" w:color="auto" w:fill="C6EFCE"/>
            <w:noWrap/>
            <w:hideMark/>
          </w:tcPr>
          <w:p w14:paraId="536C72F2" w14:textId="77777777" w:rsidR="00E42B18" w:rsidRDefault="009629C4">
            <w:pPr>
              <w:pStyle w:val="P68B1DB1-Normal11"/>
              <w:jc w:val="center"/>
              <w:rPr>
                <w:noProof/>
                <w:szCs w:val="20"/>
              </w:rPr>
            </w:pPr>
            <w:r>
              <w:rPr>
                <w:noProof/>
              </w:rPr>
              <w:t>Q4</w:t>
            </w:r>
          </w:p>
        </w:tc>
        <w:tc>
          <w:tcPr>
            <w:tcW w:w="861" w:type="dxa"/>
            <w:shd w:val="clear" w:color="auto" w:fill="C6EFCE"/>
            <w:noWrap/>
            <w:hideMark/>
          </w:tcPr>
          <w:p w14:paraId="028282A9" w14:textId="77777777" w:rsidR="00E42B18" w:rsidRDefault="009629C4">
            <w:pPr>
              <w:pStyle w:val="P68B1DB1-Normal11"/>
              <w:jc w:val="center"/>
              <w:rPr>
                <w:noProof/>
                <w:szCs w:val="20"/>
              </w:rPr>
            </w:pPr>
            <w:r>
              <w:rPr>
                <w:noProof/>
              </w:rPr>
              <w:t>2024</w:t>
            </w:r>
          </w:p>
        </w:tc>
        <w:tc>
          <w:tcPr>
            <w:tcW w:w="2452" w:type="dxa"/>
            <w:shd w:val="clear" w:color="auto" w:fill="C6EFCE"/>
            <w:noWrap/>
            <w:hideMark/>
          </w:tcPr>
          <w:p w14:paraId="63DB5194" w14:textId="77777777" w:rsidR="00E42B18" w:rsidRDefault="009629C4">
            <w:pPr>
              <w:pStyle w:val="P68B1DB1-Normal11"/>
              <w:rPr>
                <w:noProof/>
                <w:szCs w:val="20"/>
              </w:rPr>
            </w:pPr>
            <w:r>
              <w:rPr>
                <w:noProof/>
                <w:szCs w:val="20"/>
              </w:rPr>
              <w:t>Italia siirtää 400000000 euroa DTF:lle.</w:t>
            </w:r>
            <w:r>
              <w:rPr>
                <w:noProof/>
              </w:rPr>
              <w:t xml:space="preserve"> </w:t>
            </w:r>
          </w:p>
          <w:p w14:paraId="6FD57FD8" w14:textId="77777777" w:rsidR="00E42B18" w:rsidRDefault="009629C4">
            <w:pPr>
              <w:pStyle w:val="P68B1DB1-Normal12"/>
              <w:rPr>
                <w:noProof/>
              </w:rPr>
            </w:pPr>
            <w:r>
              <w:rPr>
                <w:noProof/>
              </w:rPr>
              <w:t>Lisäksi sijoituspolitiikan (”Accordo Finanziario”) on oltava toimenpiteen kuvauksen mukainen.</w:t>
            </w:r>
          </w:p>
        </w:tc>
      </w:tr>
      <w:tr w:rsidR="00E42B18" w14:paraId="57134218" w14:textId="77777777">
        <w:trPr>
          <w:trHeight w:val="313"/>
        </w:trPr>
        <w:tc>
          <w:tcPr>
            <w:tcW w:w="1441" w:type="dxa"/>
            <w:shd w:val="clear" w:color="auto" w:fill="C6EFCE"/>
            <w:noWrap/>
          </w:tcPr>
          <w:p w14:paraId="62DD0D8B" w14:textId="77777777" w:rsidR="00E42B18" w:rsidRDefault="009629C4">
            <w:pPr>
              <w:pStyle w:val="P68B1DB1-Normal11"/>
              <w:jc w:val="center"/>
              <w:rPr>
                <w:noProof/>
              </w:rPr>
            </w:pPr>
            <w:r>
              <w:rPr>
                <w:noProof/>
              </w:rPr>
              <w:t>M4C2–21</w:t>
            </w:r>
          </w:p>
        </w:tc>
        <w:tc>
          <w:tcPr>
            <w:tcW w:w="1395" w:type="dxa"/>
            <w:shd w:val="clear" w:color="auto" w:fill="C6EFCE"/>
            <w:noWrap/>
          </w:tcPr>
          <w:p w14:paraId="555D756C" w14:textId="77777777" w:rsidR="00E42B18" w:rsidRDefault="009629C4">
            <w:pPr>
              <w:pStyle w:val="P68B1DB1-Normal11"/>
              <w:jc w:val="center"/>
              <w:rPr>
                <w:noProof/>
              </w:rPr>
            </w:pPr>
            <w:r>
              <w:rPr>
                <w:noProof/>
              </w:rPr>
              <w:t>Investointi 3.2 Pääomanlisäys digitaalisen siirtymän rahastoon (DTF)</w:t>
            </w:r>
          </w:p>
        </w:tc>
        <w:tc>
          <w:tcPr>
            <w:tcW w:w="1486" w:type="dxa"/>
            <w:shd w:val="clear" w:color="auto" w:fill="C6EFCE"/>
            <w:noWrap/>
          </w:tcPr>
          <w:p w14:paraId="7D6E8799" w14:textId="77777777" w:rsidR="00E42B18" w:rsidRDefault="009629C4">
            <w:pPr>
              <w:pStyle w:val="P68B1DB1-Normal11"/>
              <w:jc w:val="center"/>
              <w:rPr>
                <w:noProof/>
              </w:rPr>
            </w:pPr>
            <w:r>
              <w:rPr>
                <w:noProof/>
              </w:rPr>
              <w:t>Virstanpylväs</w:t>
            </w:r>
          </w:p>
        </w:tc>
        <w:tc>
          <w:tcPr>
            <w:tcW w:w="1441" w:type="dxa"/>
            <w:shd w:val="clear" w:color="auto" w:fill="C6EFCE"/>
            <w:noWrap/>
          </w:tcPr>
          <w:p w14:paraId="1454F0D8" w14:textId="77777777" w:rsidR="00E42B18" w:rsidRDefault="009629C4">
            <w:pPr>
              <w:pStyle w:val="P68B1DB1-Normal11"/>
              <w:jc w:val="center"/>
              <w:rPr>
                <w:noProof/>
              </w:rPr>
            </w:pPr>
            <w:r>
              <w:rPr>
                <w:noProof/>
              </w:rPr>
              <w:t>Mietinnön hyväksyminen</w:t>
            </w:r>
          </w:p>
        </w:tc>
        <w:tc>
          <w:tcPr>
            <w:tcW w:w="1584" w:type="dxa"/>
            <w:shd w:val="clear" w:color="auto" w:fill="C6EFCE"/>
            <w:noWrap/>
          </w:tcPr>
          <w:p w14:paraId="19A8567A" w14:textId="77777777" w:rsidR="00E42B18" w:rsidRDefault="009629C4">
            <w:pPr>
              <w:pStyle w:val="P68B1DB1-Normal11"/>
              <w:jc w:val="center"/>
              <w:rPr>
                <w:noProof/>
              </w:rPr>
            </w:pPr>
            <w:r>
              <w:rPr>
                <w:noProof/>
              </w:rPr>
              <w:t>Mietinnön hyväksyminen</w:t>
            </w:r>
          </w:p>
        </w:tc>
        <w:tc>
          <w:tcPr>
            <w:tcW w:w="1297" w:type="dxa"/>
            <w:shd w:val="clear" w:color="auto" w:fill="C6EFCE"/>
            <w:noWrap/>
          </w:tcPr>
          <w:p w14:paraId="6A0A4F26" w14:textId="77777777" w:rsidR="00E42B18" w:rsidRDefault="009629C4">
            <w:pPr>
              <w:pStyle w:val="P68B1DB1-Normal12"/>
              <w:jc w:val="center"/>
              <w:rPr>
                <w:noProof/>
              </w:rPr>
            </w:pPr>
            <w:r>
              <w:rPr>
                <w:noProof/>
              </w:rPr>
              <w:t>EI OLE</w:t>
            </w:r>
          </w:p>
        </w:tc>
        <w:tc>
          <w:tcPr>
            <w:tcW w:w="1152" w:type="dxa"/>
            <w:shd w:val="clear" w:color="auto" w:fill="C6EFCE"/>
            <w:noWrap/>
          </w:tcPr>
          <w:p w14:paraId="288B53ED" w14:textId="77777777" w:rsidR="00E42B18" w:rsidRDefault="009629C4">
            <w:pPr>
              <w:pStyle w:val="P68B1DB1-Normal12"/>
              <w:jc w:val="center"/>
              <w:rPr>
                <w:noProof/>
              </w:rPr>
            </w:pPr>
            <w:r>
              <w:rPr>
                <w:noProof/>
              </w:rPr>
              <w:t>EI OLE</w:t>
            </w:r>
          </w:p>
        </w:tc>
        <w:tc>
          <w:tcPr>
            <w:tcW w:w="1296" w:type="dxa"/>
            <w:shd w:val="clear" w:color="auto" w:fill="C6EFCE"/>
            <w:noWrap/>
          </w:tcPr>
          <w:p w14:paraId="041F6CE4" w14:textId="77777777" w:rsidR="00E42B18" w:rsidRDefault="009629C4">
            <w:pPr>
              <w:pStyle w:val="P68B1DB1-Normal12"/>
              <w:jc w:val="center"/>
              <w:rPr>
                <w:noProof/>
              </w:rPr>
            </w:pPr>
            <w:r>
              <w:rPr>
                <w:noProof/>
              </w:rPr>
              <w:t>EI OLE</w:t>
            </w:r>
          </w:p>
        </w:tc>
        <w:tc>
          <w:tcPr>
            <w:tcW w:w="1009" w:type="dxa"/>
            <w:shd w:val="clear" w:color="auto" w:fill="C6EFCE"/>
            <w:noWrap/>
          </w:tcPr>
          <w:p w14:paraId="44A1065F" w14:textId="77777777" w:rsidR="00E42B18" w:rsidRDefault="009629C4">
            <w:pPr>
              <w:pStyle w:val="P68B1DB1-Normal11"/>
              <w:jc w:val="center"/>
              <w:rPr>
                <w:noProof/>
              </w:rPr>
            </w:pPr>
            <w:r>
              <w:rPr>
                <w:noProof/>
              </w:rPr>
              <w:t>Q2</w:t>
            </w:r>
          </w:p>
        </w:tc>
        <w:tc>
          <w:tcPr>
            <w:tcW w:w="861" w:type="dxa"/>
            <w:shd w:val="clear" w:color="auto" w:fill="C6EFCE"/>
            <w:noWrap/>
          </w:tcPr>
          <w:p w14:paraId="707E5668" w14:textId="77777777" w:rsidR="00E42B18" w:rsidRDefault="009629C4">
            <w:pPr>
              <w:pStyle w:val="P68B1DB1-Normal11"/>
              <w:jc w:val="center"/>
              <w:rPr>
                <w:noProof/>
              </w:rPr>
            </w:pPr>
            <w:r>
              <w:rPr>
                <w:noProof/>
              </w:rPr>
              <w:t>2026</w:t>
            </w:r>
          </w:p>
        </w:tc>
        <w:tc>
          <w:tcPr>
            <w:tcW w:w="2452" w:type="dxa"/>
            <w:shd w:val="clear" w:color="auto" w:fill="C6EFCE"/>
            <w:noWrap/>
            <w:vAlign w:val="center"/>
          </w:tcPr>
          <w:p w14:paraId="39C5C333" w14:textId="77777777" w:rsidR="00E42B18" w:rsidRDefault="009629C4">
            <w:pPr>
              <w:pStyle w:val="P68B1DB1-Normal11"/>
              <w:rPr>
                <w:noProof/>
              </w:rPr>
            </w:pPr>
            <w:r>
              <w:rPr>
                <w:noProof/>
              </w:rPr>
              <w:t>Italian on toimitettava raportti, jossa esitetään DTF:n sijoituspolitiikan täytäntöönpanemiseksi toteuttamat toimet, mukaan lukien toimet, joita on toteutettu niiden rahoitustuotteiden täytäntöönpanemiseksi, joita pääomalla odotetaan tuettavan, sekä toimet, joita odotetaan toteutettavan kyseisten tuotteiden täytäntöönpanon jatkamiseksi.</w:t>
            </w:r>
          </w:p>
          <w:p w14:paraId="72DE5943" w14:textId="77777777" w:rsidR="00E42B18" w:rsidRDefault="009629C4">
            <w:pPr>
              <w:pStyle w:val="P68B1DB1-Normal11"/>
              <w:rPr>
                <w:noProof/>
              </w:rPr>
            </w:pPr>
            <w:r>
              <w:rPr>
                <w:noProof/>
              </w:rPr>
              <w:t>Kertomuksessa on myös ilmoitettava määrät, jotka on sijoitettu suoraan tai välillisesti kuhunkin rahoitustuotteeseen.</w:t>
            </w:r>
          </w:p>
        </w:tc>
      </w:tr>
      <w:tr w:rsidR="00E42B18" w14:paraId="2EDCDA8C" w14:textId="77777777">
        <w:trPr>
          <w:trHeight w:val="313"/>
        </w:trPr>
        <w:tc>
          <w:tcPr>
            <w:tcW w:w="1441" w:type="dxa"/>
            <w:shd w:val="clear" w:color="auto" w:fill="C6EFCE"/>
            <w:noWrap/>
            <w:vAlign w:val="center"/>
            <w:hideMark/>
          </w:tcPr>
          <w:p w14:paraId="18DB7C25" w14:textId="77777777" w:rsidR="00E42B18" w:rsidRDefault="009629C4">
            <w:pPr>
              <w:pStyle w:val="P68B1DB1-Normal11"/>
              <w:jc w:val="center"/>
              <w:rPr>
                <w:noProof/>
                <w:szCs w:val="20"/>
              </w:rPr>
            </w:pPr>
            <w:r>
              <w:rPr>
                <w:noProof/>
              </w:rPr>
              <w:t>M4C2–22</w:t>
            </w:r>
          </w:p>
        </w:tc>
        <w:tc>
          <w:tcPr>
            <w:tcW w:w="1395" w:type="dxa"/>
            <w:shd w:val="clear" w:color="auto" w:fill="C6EFCE"/>
            <w:noWrap/>
            <w:vAlign w:val="center"/>
            <w:hideMark/>
          </w:tcPr>
          <w:p w14:paraId="373660B9" w14:textId="77777777" w:rsidR="00E42B18" w:rsidRDefault="009629C4">
            <w:pPr>
              <w:pStyle w:val="P68B1DB1-Normal11"/>
              <w:jc w:val="center"/>
              <w:rPr>
                <w:noProof/>
                <w:szCs w:val="20"/>
              </w:rPr>
            </w:pPr>
            <w:r>
              <w:rPr>
                <w:noProof/>
              </w:rPr>
              <w:t>Investointi 2.1: IPCEI-HANKE</w:t>
            </w:r>
          </w:p>
        </w:tc>
        <w:tc>
          <w:tcPr>
            <w:tcW w:w="1486" w:type="dxa"/>
            <w:shd w:val="clear" w:color="auto" w:fill="C6EFCE"/>
            <w:noWrap/>
            <w:vAlign w:val="center"/>
            <w:hideMark/>
          </w:tcPr>
          <w:p w14:paraId="3C296569" w14:textId="77777777" w:rsidR="00E42B18" w:rsidRDefault="009629C4">
            <w:pPr>
              <w:pStyle w:val="P68B1DB1-Normal11"/>
              <w:jc w:val="center"/>
              <w:rPr>
                <w:noProof/>
                <w:szCs w:val="20"/>
              </w:rPr>
            </w:pPr>
            <w:r>
              <w:rPr>
                <w:noProof/>
              </w:rPr>
              <w:t>Kohde</w:t>
            </w:r>
          </w:p>
        </w:tc>
        <w:tc>
          <w:tcPr>
            <w:tcW w:w="1441" w:type="dxa"/>
            <w:shd w:val="clear" w:color="auto" w:fill="C6EFCE"/>
            <w:noWrap/>
            <w:vAlign w:val="center"/>
            <w:hideMark/>
          </w:tcPr>
          <w:p w14:paraId="1B243C92" w14:textId="77777777" w:rsidR="00E42B18" w:rsidRDefault="009629C4">
            <w:pPr>
              <w:pStyle w:val="P68B1DB1-Normal11"/>
              <w:jc w:val="center"/>
              <w:rPr>
                <w:noProof/>
                <w:szCs w:val="20"/>
              </w:rPr>
            </w:pPr>
            <w:r>
              <w:rPr>
                <w:noProof/>
              </w:rPr>
              <w:t>Tuettujen hankkeiden lukumäärä</w:t>
            </w:r>
          </w:p>
        </w:tc>
        <w:tc>
          <w:tcPr>
            <w:tcW w:w="1584" w:type="dxa"/>
            <w:shd w:val="clear" w:color="auto" w:fill="C6EFCE"/>
            <w:noWrap/>
            <w:vAlign w:val="center"/>
            <w:hideMark/>
          </w:tcPr>
          <w:p w14:paraId="58347532" w14:textId="77777777" w:rsidR="00E42B18" w:rsidRDefault="009629C4">
            <w:pPr>
              <w:pStyle w:val="P68B1DB1-Normal11"/>
              <w:jc w:val="center"/>
              <w:rPr>
                <w:noProof/>
                <w:szCs w:val="20"/>
              </w:rPr>
            </w:pPr>
            <w:r>
              <w:rPr>
                <w:noProof/>
              </w:rPr>
              <w:t>EI OLE</w:t>
            </w:r>
          </w:p>
        </w:tc>
        <w:tc>
          <w:tcPr>
            <w:tcW w:w="1297" w:type="dxa"/>
            <w:shd w:val="clear" w:color="auto" w:fill="C6EFCE"/>
            <w:noWrap/>
            <w:vAlign w:val="center"/>
            <w:hideMark/>
          </w:tcPr>
          <w:p w14:paraId="6F80D5EE" w14:textId="77777777" w:rsidR="00E42B18" w:rsidRDefault="009629C4">
            <w:pPr>
              <w:pStyle w:val="P68B1DB1-Normal11"/>
              <w:jc w:val="center"/>
              <w:rPr>
                <w:noProof/>
                <w:szCs w:val="20"/>
              </w:rPr>
            </w:pPr>
            <w:r>
              <w:rPr>
                <w:noProof/>
              </w:rPr>
              <w:t>Numero</w:t>
            </w:r>
          </w:p>
        </w:tc>
        <w:tc>
          <w:tcPr>
            <w:tcW w:w="1152" w:type="dxa"/>
            <w:shd w:val="clear" w:color="auto" w:fill="C6EFCE"/>
            <w:noWrap/>
            <w:vAlign w:val="center"/>
            <w:hideMark/>
          </w:tcPr>
          <w:p w14:paraId="3C9BF257" w14:textId="77777777" w:rsidR="00E42B18" w:rsidRDefault="009629C4">
            <w:pPr>
              <w:pStyle w:val="P68B1DB1-Normal11"/>
              <w:jc w:val="center"/>
              <w:rPr>
                <w:noProof/>
                <w:szCs w:val="20"/>
              </w:rPr>
            </w:pPr>
            <w:r>
              <w:rPr>
                <w:noProof/>
              </w:rPr>
              <w:t>0</w:t>
            </w:r>
          </w:p>
        </w:tc>
        <w:tc>
          <w:tcPr>
            <w:tcW w:w="1296" w:type="dxa"/>
            <w:shd w:val="clear" w:color="auto" w:fill="C6EFCE"/>
            <w:noWrap/>
            <w:vAlign w:val="center"/>
            <w:hideMark/>
          </w:tcPr>
          <w:p w14:paraId="45ACB637" w14:textId="711EE139" w:rsidR="00E42B18" w:rsidRDefault="009629C4">
            <w:pPr>
              <w:pStyle w:val="P68B1DB1-Normal12"/>
              <w:jc w:val="center"/>
              <w:rPr>
                <w:noProof/>
              </w:rPr>
            </w:pPr>
            <w:r>
              <w:rPr>
                <w:noProof/>
              </w:rPr>
              <w:t>20</w:t>
            </w:r>
          </w:p>
        </w:tc>
        <w:tc>
          <w:tcPr>
            <w:tcW w:w="1009" w:type="dxa"/>
            <w:shd w:val="clear" w:color="auto" w:fill="C6EFCE"/>
            <w:noWrap/>
            <w:vAlign w:val="center"/>
            <w:hideMark/>
          </w:tcPr>
          <w:p w14:paraId="0DD7482E" w14:textId="77777777" w:rsidR="00E42B18" w:rsidRDefault="009629C4">
            <w:pPr>
              <w:pStyle w:val="P68B1DB1-Normal11"/>
              <w:jc w:val="center"/>
              <w:rPr>
                <w:noProof/>
                <w:szCs w:val="20"/>
              </w:rPr>
            </w:pPr>
            <w:r>
              <w:rPr>
                <w:noProof/>
              </w:rPr>
              <w:t>Q2</w:t>
            </w:r>
          </w:p>
        </w:tc>
        <w:tc>
          <w:tcPr>
            <w:tcW w:w="861" w:type="dxa"/>
            <w:shd w:val="clear" w:color="auto" w:fill="C6EFCE"/>
            <w:noWrap/>
            <w:vAlign w:val="center"/>
            <w:hideMark/>
          </w:tcPr>
          <w:p w14:paraId="16F8CB47" w14:textId="77777777" w:rsidR="00E42B18" w:rsidRDefault="009629C4">
            <w:pPr>
              <w:pStyle w:val="P68B1DB1-Normal11"/>
              <w:jc w:val="center"/>
              <w:rPr>
                <w:noProof/>
                <w:szCs w:val="20"/>
              </w:rPr>
            </w:pPr>
            <w:r>
              <w:rPr>
                <w:noProof/>
              </w:rPr>
              <w:t>2025</w:t>
            </w:r>
          </w:p>
        </w:tc>
        <w:tc>
          <w:tcPr>
            <w:tcW w:w="2452" w:type="dxa"/>
            <w:shd w:val="clear" w:color="auto" w:fill="C6EFCE"/>
            <w:noWrap/>
            <w:vAlign w:val="center"/>
            <w:hideMark/>
          </w:tcPr>
          <w:p w14:paraId="198C1A62" w14:textId="17E387C6" w:rsidR="00E42B18" w:rsidRDefault="009629C4">
            <w:pPr>
              <w:pStyle w:val="P68B1DB1-Normal12"/>
              <w:rPr>
                <w:noProof/>
              </w:rPr>
            </w:pPr>
            <w:r>
              <w:rPr>
                <w:noProof/>
              </w:rPr>
              <w:t>Italian yritys- ja Made-ministeriö antaa käyttöoikeussopimuksia koskevia päätöksiä, joilla tuetaan vähintään 20:tä IPCEI-hanketta.</w:t>
            </w:r>
          </w:p>
        </w:tc>
      </w:tr>
    </w:tbl>
    <w:p w14:paraId="69B9087F" w14:textId="77777777" w:rsidR="00E42B18" w:rsidRDefault="00E42B18">
      <w:pPr>
        <w:rPr>
          <w:noProof/>
        </w:rPr>
        <w:sectPr w:rsidR="00E42B18" w:rsidSect="005F11B9">
          <w:headerReference w:type="default" r:id="rId210"/>
          <w:footerReference w:type="default" r:id="rId211"/>
          <w:pgSz w:w="16839" w:h="11907" w:orient="landscape"/>
          <w:pgMar w:top="1440" w:right="1440" w:bottom="1440" w:left="1440" w:header="567" w:footer="567" w:gutter="0"/>
          <w:cols w:space="720"/>
          <w:docGrid w:linePitch="360"/>
        </w:sectPr>
      </w:pPr>
    </w:p>
    <w:p w14:paraId="7DEB0A4A" w14:textId="77777777" w:rsidR="00E42B18" w:rsidRDefault="009629C4">
      <w:pPr>
        <w:pStyle w:val="P68B1DB1-Heading23"/>
        <w:ind w:left="1080"/>
        <w:rPr>
          <w:noProof/>
          <w:u w:val="single"/>
        </w:rPr>
      </w:pPr>
      <w:r>
        <w:rPr>
          <w:noProof/>
        </w:rPr>
        <w:t>L. MISSION 5 KOMPONENTTI 1: Työllisyyspolitiikka</w:t>
      </w:r>
    </w:p>
    <w:p w14:paraId="3CF6C0BA" w14:textId="77777777" w:rsidR="00E42B18" w:rsidRDefault="009629C4">
      <w:pPr>
        <w:pStyle w:val="P68B1DB1-Normal7"/>
        <w:spacing w:before="120" w:after="120"/>
        <w:jc w:val="both"/>
        <w:rPr>
          <w:rFonts w:eastAsia="Calibri"/>
          <w:noProof/>
        </w:rPr>
      </w:pPr>
      <w:r>
        <w:rPr>
          <w:noProof/>
          <w:color w:val="000000" w:themeColor="text1"/>
        </w:rPr>
        <w:t xml:space="preserve">Italian elpymis- ja palautumissuunnitelman </w:t>
      </w:r>
      <w:r>
        <w:rPr>
          <w:noProof/>
        </w:rPr>
        <w:t>tähän komponenttiin kuuluvilla toimenpiteillä otetaan käyttöön kattava ja yhdennetty aktiivisen työmarkkinapolitiikan ja ammatillisen koulutuksen uudistus. Aktiivisen työmarkkinapolitiikan vahvistamisen ja julkisten työvoimapalvelujen valmiuksien kehittämisen parantamisen, mukaan lukien niiden integroiminen koulutuksen tarjoajiin ja yksityisiin toimijoihin, odotetaan lisäävän palvelujen tehokkuutta. Lisäksi tämän komponentin toimenpiteillä pyritään vähentämään sosiaalisia haavoittuvuuksia häiriöille erityisesti torjumalla pimeää työtä sen kaikissa muodoissa ja aloilla asettamalla tehokkaampia seuraamuksia sekä vahvempia kannustimia työskennellä laillisesti. Lisäksi tällä osa-alueella edistetään sukupuolten tasa-arvoa (sama palkka) sukupuolten tasa-arvon sertifiointijärjestelmän avulla. Se investoi myös nuoriin lisäämällä koulutusohjelmien määrää ja laatua esimerkiksi osallistumalla yleiseen virkamiesohjelmaan.</w:t>
      </w:r>
    </w:p>
    <w:p w14:paraId="614C858C" w14:textId="77777777" w:rsidR="00E42B18" w:rsidRDefault="009629C4">
      <w:pPr>
        <w:pStyle w:val="P68B1DB1-Normal7"/>
        <w:spacing w:before="120" w:after="120"/>
        <w:jc w:val="both"/>
        <w:rPr>
          <w:noProof/>
        </w:rPr>
      </w:pPr>
      <w:r>
        <w:rPr>
          <w:noProof/>
        </w:rPr>
        <w:t>Näiden toimenpiteiden täytäntöönpanon odotetaan edistävän niiden haasteiden ratkaisemista, jotka sisältyvät vuoden 2020 työmarkkinoita koskevaan maakohtaiseen suositukseen 2, jossa Italiaa kehotetaan ”keskittämään kriisin työllisyysvaikutusta muun muassa työllisyyden aktiivisella tuella”, vuoden 2020 maakohtaisessa suosituksessa 2 ”tuetaan taitoja, mukaan lukien digitaaliset taidot”, ja vuoden 2019 maakohtaisessa suosituksessa 2, jonka mukaan ”tehostetaan toimia pimeän työn torjumiseksi ja varmistetaan, että aktiivinen työmarkkina- ja sosiaalipolitiikka tavoittaa erityisesti nuoret ja haavoittuvassa asemassa olevat ryhmät. Naisten työmarkkinoille osallistumisen tukeminen” ja vuoden 2019 maakohtaisessa suosituksessa 2 ”edistetään taitojen parantamista muun muassa vahvistamalla digitaalisia taitoja”.</w:t>
      </w:r>
    </w:p>
    <w:p w14:paraId="4FAC2DDD" w14:textId="77777777" w:rsidR="00E42B18" w:rsidRDefault="009629C4">
      <w:pPr>
        <w:pStyle w:val="P68B1DB1-Heading359"/>
        <w:ind w:left="850" w:hanging="850"/>
        <w:rPr>
          <w:b/>
          <w:bCs/>
          <w:i/>
          <w:iCs/>
          <w:noProof/>
          <w:color w:val="156082" w:themeColor="accent1"/>
          <w:u w:val="single"/>
        </w:rPr>
      </w:pPr>
      <w:r>
        <w:rPr>
          <w:b/>
          <w:noProof/>
          <w:u w:val="single"/>
        </w:rPr>
        <w:t xml:space="preserve">L.1 </w:t>
      </w:r>
      <w:r>
        <w:rPr>
          <w:noProof/>
        </w:rPr>
        <w:t xml:space="preserve"> </w:t>
      </w:r>
      <w:r>
        <w:rPr>
          <w:b/>
          <w:noProof/>
          <w:u w:val="single"/>
        </w:rPr>
        <w:t>Kuvaus uudistuksista ja investoinneista, joita rahoitetaan rahoitustuella, jota ei makseta takaisin</w:t>
      </w:r>
    </w:p>
    <w:p w14:paraId="1B68679B" w14:textId="77777777" w:rsidR="00E42B18" w:rsidRDefault="009629C4">
      <w:pPr>
        <w:pStyle w:val="P68B1DB1-Normal5"/>
        <w:spacing w:before="120" w:after="120"/>
        <w:jc w:val="both"/>
        <w:rPr>
          <w:bCs/>
          <w:noProof/>
          <w:color w:val="006100"/>
        </w:rPr>
      </w:pPr>
      <w:r>
        <w:rPr>
          <w:noProof/>
        </w:rPr>
        <w:t xml:space="preserve">Uudistus 1 – Aktiivinen työmarkkinapolitiikka ja ammatillinen koulutus </w:t>
      </w:r>
    </w:p>
    <w:p w14:paraId="0F5B6381" w14:textId="48B3304F" w:rsidR="00E42B18" w:rsidRDefault="009629C4">
      <w:pPr>
        <w:pStyle w:val="P68B1DB1-Normal7"/>
        <w:spacing w:before="120" w:after="120"/>
        <w:jc w:val="both"/>
        <w:rPr>
          <w:noProof/>
          <w:color w:val="000000" w:themeColor="text1"/>
        </w:rPr>
      </w:pPr>
      <w:r>
        <w:rPr>
          <w:noProof/>
        </w:rPr>
        <w:t xml:space="preserve">Uudistuksen tavoitteena on tukea aktiivista työmarkkinajärjestelmää, jotta voidaan tarjota yksilöllisiä suunnitelmia, joihin sisältyy työllisyys-, koulutus- ja sosiaalipalveluja. Tällä toimenpiteellä perustetaan </w:t>
      </w:r>
      <w:r>
        <w:rPr>
          <w:noProof/>
          <w:color w:val="000000" w:themeColor="text1"/>
        </w:rPr>
        <w:t xml:space="preserve">työntekijöiden taattua työllisyyttä koskeva kansallinen ohjelma, jolla tuetaan erityisesti heikoimmassa asemassa olevia ryhmiä (naiset, pitkäaikaistyöttömät, nuoret ja ikääntyneet työntekijät sekä vammaiset) ja toteutetaan aikuiskoulutuksen koulutusohjelmia. </w:t>
      </w:r>
    </w:p>
    <w:p w14:paraId="4004F633" w14:textId="77777777" w:rsidR="00E42B18" w:rsidRDefault="009629C4">
      <w:pPr>
        <w:pStyle w:val="P68B1DB1-Normal5"/>
        <w:spacing w:before="120" w:after="120"/>
        <w:jc w:val="both"/>
        <w:rPr>
          <w:bCs/>
          <w:noProof/>
        </w:rPr>
      </w:pPr>
      <w:r>
        <w:rPr>
          <w:noProof/>
          <w:color w:val="000000" w:themeColor="text1"/>
        </w:rPr>
        <w:t xml:space="preserve">Investointi 1 – </w:t>
      </w:r>
      <w:r>
        <w:rPr>
          <w:noProof/>
        </w:rPr>
        <w:t>Julkisten työvoimapalvelujen vahvistaminen</w:t>
      </w:r>
    </w:p>
    <w:p w14:paraId="1965CE0F" w14:textId="77777777" w:rsidR="00E42B18" w:rsidRDefault="009629C4">
      <w:pPr>
        <w:pStyle w:val="P68B1DB1-Normal27"/>
        <w:spacing w:before="120" w:after="120"/>
        <w:jc w:val="both"/>
        <w:rPr>
          <w:noProof/>
        </w:rPr>
      </w:pPr>
      <w:r>
        <w:rPr>
          <w:noProof/>
        </w:rPr>
        <w:t xml:space="preserve">Investoinnin tavoitteena on mahdollistaa työllisyys- ja koulutuspalvelujen tehokas tarjoaminen. Toimenpide koostuu julkisista työvoimapalveluista, jotka harjoittavat seuraavia toimintoja: infrastruktuuri-investoinnit, paikallisten työmarkkinoiden alueellisten seurantakeskusten perustaminen, tietotekniikkajärjestelmän päivittäminen, henkilöstön ammatillinen koulutus sekä institutionaalinen viestintä ja tiedotus. </w:t>
      </w:r>
    </w:p>
    <w:p w14:paraId="719ECC85" w14:textId="77777777" w:rsidR="00E42B18" w:rsidRDefault="009629C4">
      <w:pPr>
        <w:pStyle w:val="P68B1DB1-Normal99"/>
        <w:spacing w:before="120" w:after="120"/>
        <w:jc w:val="both"/>
        <w:rPr>
          <w:bCs/>
          <w:noProof/>
        </w:rPr>
      </w:pPr>
      <w:r>
        <w:rPr>
          <w:noProof/>
        </w:rPr>
        <w:t>Uudistus 2 – Kansallinen suunnitelma pimeän työn torjumiseksi</w:t>
      </w:r>
    </w:p>
    <w:p w14:paraId="7418F78F" w14:textId="1D51100E" w:rsidR="00E42B18" w:rsidRDefault="009629C4">
      <w:pPr>
        <w:pStyle w:val="P68B1DB1-Normal27"/>
        <w:spacing w:before="120" w:after="120"/>
        <w:jc w:val="both"/>
        <w:rPr>
          <w:noProof/>
        </w:rPr>
      </w:pPr>
      <w:r>
        <w:rPr>
          <w:noProof/>
        </w:rPr>
        <w:t>Tämän toimenpiteen tavoitteena on tukea työpaikkojen laatua ja työoloja ehkäisemällä ja torjumalla pimeää työtä, työvoiman hyväksikäyttöä (ns. caporalato) ja muita sääntöjenvastaisen työn muotoja. Toimenpide koostuu lainsäädännöllisistä ja muista toimista, joita ovat muun muassa seuraavat: vahvistetaan työsuojelutarkastuksia ja -seuraamuksia, tarjotaan kannustimia säännölliseen työhön, koulutetaan työvoimatoimistoja, toteutetaan kansallinen tiedotuskampanja, parannetaan hallintoa pimeän työn torjumiseksi sekä toteutetaan erityistoimia, joilla puututaan työvoiman hyväksikäyttöön maataloudessa.</w:t>
      </w:r>
    </w:p>
    <w:p w14:paraId="7CDE22DB" w14:textId="77777777" w:rsidR="00E42B18" w:rsidRDefault="009629C4">
      <w:pPr>
        <w:pStyle w:val="P68B1DB1-Normal99"/>
        <w:spacing w:before="120" w:after="120"/>
        <w:jc w:val="both"/>
        <w:rPr>
          <w:noProof/>
        </w:rPr>
      </w:pPr>
      <w:r>
        <w:rPr>
          <w:noProof/>
        </w:rPr>
        <w:t>Investointi 2 – Sukupuolten tasa-arvon sertifiointijärjestelmä</w:t>
      </w:r>
    </w:p>
    <w:p w14:paraId="70EC19C7" w14:textId="77777777" w:rsidR="00E42B18" w:rsidRDefault="009629C4">
      <w:pPr>
        <w:pStyle w:val="P68B1DB1-Normal7"/>
        <w:spacing w:before="120" w:after="120"/>
        <w:jc w:val="both"/>
        <w:rPr>
          <w:noProof/>
        </w:rPr>
      </w:pPr>
      <w:r>
        <w:rPr>
          <w:noProof/>
          <w:color w:val="000000" w:themeColor="text1"/>
        </w:rPr>
        <w:t xml:space="preserve">Tämän toimenpiteen tavoitteena on lisätä </w:t>
      </w:r>
      <w:r>
        <w:rPr>
          <w:noProof/>
        </w:rPr>
        <w:t>naisten osallistumista työmarkkinoille</w:t>
      </w:r>
      <w:r>
        <w:rPr>
          <w:noProof/>
          <w:color w:val="000000" w:themeColor="text1"/>
        </w:rPr>
        <w:t xml:space="preserve"> ja edistää sukupuolten palkkaeron kaventamista. Investoinnilla </w:t>
      </w:r>
      <w:r>
        <w:rPr>
          <w:noProof/>
        </w:rPr>
        <w:t>luodaan kansallinen sukupuolten tasa-arvon sertifiointijärjestelmä, jolla edistetään työmarkkinoiden avoimuutta ja parannetaan naisten työoloja laadun, palkkauksen ja voimaannuttamisen osalta.</w:t>
      </w:r>
    </w:p>
    <w:p w14:paraId="3A5F11B4" w14:textId="74D60854" w:rsidR="00E42B18" w:rsidRDefault="00E42B18">
      <w:pPr>
        <w:pStyle w:val="P68B1DB1-Normal7"/>
        <w:rPr>
          <w:b/>
          <w:bCs/>
          <w:noProof/>
        </w:rPr>
      </w:pPr>
    </w:p>
    <w:p w14:paraId="2CA5C8A0" w14:textId="0EDC741C" w:rsidR="00E42B18" w:rsidRDefault="009629C4">
      <w:pPr>
        <w:pStyle w:val="P68B1DB1-Normal5"/>
        <w:spacing w:before="120" w:after="120"/>
        <w:jc w:val="both"/>
        <w:rPr>
          <w:bCs/>
          <w:noProof/>
          <w:color w:val="000000" w:themeColor="text1"/>
        </w:rPr>
      </w:pPr>
      <w:r>
        <w:rPr>
          <w:noProof/>
        </w:rPr>
        <w:t>Investointi 3 – Kaksinkertaisen järjestelmän vahvistaminen</w:t>
      </w:r>
    </w:p>
    <w:p w14:paraId="6F0E7A2A" w14:textId="73FFFB47" w:rsidR="00E42B18" w:rsidRDefault="009629C4">
      <w:pPr>
        <w:pStyle w:val="P68B1DB1-Normal7"/>
        <w:spacing w:before="120" w:after="120"/>
        <w:jc w:val="both"/>
        <w:rPr>
          <w:noProof/>
        </w:rPr>
      </w:pPr>
      <w:r>
        <w:rPr>
          <w:noProof/>
        </w:rPr>
        <w:t xml:space="preserve">Tämän toimenpiteen tavoitteena on tukea nuoria ja aikuisia, joilla ei ole keskiasteen koulutusta, työllistymismahdollisuuksien saamisessa. Investointi koostuu virallisen ja ammatillisen koulutuksen opiskelijoiden ”kaksoisjärjestelmään” osallistumisen laajentamisesta, myös oppisopimuskoulutuksen avulla. </w:t>
      </w:r>
    </w:p>
    <w:p w14:paraId="19718782" w14:textId="77777777" w:rsidR="00E42B18" w:rsidRDefault="009629C4">
      <w:pPr>
        <w:pStyle w:val="P68B1DB1-Normal5"/>
        <w:spacing w:before="120" w:after="120"/>
        <w:jc w:val="both"/>
        <w:rPr>
          <w:bCs/>
          <w:noProof/>
          <w:color w:val="000000" w:themeColor="text1"/>
        </w:rPr>
      </w:pPr>
      <w:r>
        <w:rPr>
          <w:noProof/>
        </w:rPr>
        <w:t>Investointi 4</w:t>
      </w:r>
      <w:r>
        <w:rPr>
          <w:noProof/>
          <w:color w:val="000000" w:themeColor="text1"/>
        </w:rPr>
        <w:t>– Yleisen julkishallinnon vahvistaminen</w:t>
      </w:r>
    </w:p>
    <w:p w14:paraId="33684F95" w14:textId="3E57C1B0" w:rsidR="00E42B18" w:rsidRDefault="009629C4">
      <w:pPr>
        <w:pStyle w:val="P68B1DB1-Normal7"/>
        <w:spacing w:before="120" w:after="120"/>
        <w:jc w:val="both"/>
        <w:rPr>
          <w:noProof/>
          <w:color w:val="000000" w:themeColor="text1"/>
        </w:rPr>
        <w:sectPr w:rsidR="00E42B18" w:rsidSect="00726CF9">
          <w:headerReference w:type="even" r:id="rId212"/>
          <w:headerReference w:type="default" r:id="rId213"/>
          <w:footerReference w:type="even" r:id="rId214"/>
          <w:footerReference w:type="default" r:id="rId215"/>
          <w:headerReference w:type="first" r:id="rId216"/>
          <w:footerReference w:type="first" r:id="rId217"/>
          <w:pgSz w:w="11906" w:h="16838"/>
          <w:pgMar w:top="1440" w:right="1440" w:bottom="1440" w:left="1440" w:header="708" w:footer="708" w:gutter="0"/>
          <w:cols w:space="708"/>
          <w:docGrid w:linePitch="360"/>
        </w:sectPr>
      </w:pPr>
      <w:r>
        <w:rPr>
          <w:noProof/>
        </w:rPr>
        <w:t xml:space="preserve">Toimenpiteen tavoitteena on lisätä epäviralliseen oppimiseen osallistuvien nuorten määrää ja lisätä heidän tietojaan ja taitojaan. Investointi koostuu yleisen virkamiesohjelman täydentämisestä ja osallistujien määrän lisäämisestä. </w:t>
      </w:r>
    </w:p>
    <w:p w14:paraId="43C1DA4D" w14:textId="77777777" w:rsidR="00E42B18" w:rsidRDefault="009629C4">
      <w:pPr>
        <w:pStyle w:val="P68B1DB1-Heading39"/>
        <w:ind w:left="850" w:hanging="850"/>
        <w:rPr>
          <w:b/>
          <w:bCs/>
          <w:i/>
          <w:iCs/>
          <w:noProof/>
          <w:u w:val="single"/>
        </w:rPr>
      </w:pPr>
      <w:r>
        <w:rPr>
          <w:b/>
          <w:noProof/>
          <w:u w:val="single"/>
        </w:rPr>
        <w:t xml:space="preserve">L.2 </w:t>
      </w:r>
      <w:r>
        <w:rPr>
          <w:noProof/>
        </w:rPr>
        <w:t xml:space="preserve"> </w:t>
      </w:r>
      <w:r>
        <w:rPr>
          <w:b/>
          <w:noProof/>
          <w:u w:val="single"/>
        </w:rPr>
        <w:t>Seurantaa ja täytäntöönpanoa koskevat välitavoitteet, tavoitteet, indikaattorit ja aikataulu – rahoitustuki, jota ei makseta takaisin</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4"/>
        <w:gridCol w:w="1513"/>
        <w:gridCol w:w="1281"/>
        <w:gridCol w:w="1597"/>
        <w:gridCol w:w="1470"/>
        <w:gridCol w:w="1275"/>
        <w:gridCol w:w="1134"/>
        <w:gridCol w:w="1134"/>
        <w:gridCol w:w="851"/>
        <w:gridCol w:w="705"/>
        <w:gridCol w:w="2839"/>
      </w:tblGrid>
      <w:tr w:rsidR="00E42B18" w14:paraId="3B69C277" w14:textId="77777777">
        <w:trPr>
          <w:trHeight w:val="633"/>
          <w:tblHeader/>
          <w:jc w:val="center"/>
        </w:trPr>
        <w:tc>
          <w:tcPr>
            <w:tcW w:w="1364" w:type="dxa"/>
            <w:vMerge w:val="restart"/>
            <w:shd w:val="clear" w:color="auto" w:fill="BDD7EE"/>
            <w:vAlign w:val="center"/>
            <w:hideMark/>
          </w:tcPr>
          <w:p w14:paraId="7EE08746" w14:textId="77777777" w:rsidR="00E42B18" w:rsidRDefault="009629C4">
            <w:pPr>
              <w:pStyle w:val="P68B1DB1-Normal10"/>
              <w:jc w:val="center"/>
              <w:rPr>
                <w:bCs/>
                <w:noProof/>
                <w:szCs w:val="20"/>
              </w:rPr>
            </w:pPr>
            <w:r>
              <w:rPr>
                <w:noProof/>
              </w:rPr>
              <w:t>Juokseva numero</w:t>
            </w:r>
          </w:p>
        </w:tc>
        <w:tc>
          <w:tcPr>
            <w:tcW w:w="1513" w:type="dxa"/>
            <w:vMerge w:val="restart"/>
            <w:shd w:val="clear" w:color="auto" w:fill="BDD7EE"/>
            <w:vAlign w:val="center"/>
            <w:hideMark/>
          </w:tcPr>
          <w:p w14:paraId="06B27754" w14:textId="77777777" w:rsidR="00E42B18" w:rsidRDefault="009629C4">
            <w:pPr>
              <w:pStyle w:val="P68B1DB1-Normal10"/>
              <w:jc w:val="center"/>
              <w:rPr>
                <w:bCs/>
                <w:noProof/>
                <w:szCs w:val="20"/>
              </w:rPr>
            </w:pPr>
            <w:r>
              <w:rPr>
                <w:noProof/>
              </w:rPr>
              <w:t>Toimenpide (uudistus tai investointi)</w:t>
            </w:r>
          </w:p>
        </w:tc>
        <w:tc>
          <w:tcPr>
            <w:tcW w:w="1281" w:type="dxa"/>
            <w:vMerge w:val="restart"/>
            <w:shd w:val="clear" w:color="auto" w:fill="BDD7EE"/>
            <w:vAlign w:val="center"/>
            <w:hideMark/>
          </w:tcPr>
          <w:p w14:paraId="07987E67" w14:textId="77777777" w:rsidR="00E42B18" w:rsidRDefault="009629C4">
            <w:pPr>
              <w:pStyle w:val="P68B1DB1-Normal10"/>
              <w:jc w:val="center"/>
              <w:rPr>
                <w:bCs/>
                <w:noProof/>
                <w:szCs w:val="20"/>
              </w:rPr>
            </w:pPr>
            <w:r>
              <w:rPr>
                <w:noProof/>
              </w:rPr>
              <w:t>Välitavoite/tavoite</w:t>
            </w:r>
          </w:p>
        </w:tc>
        <w:tc>
          <w:tcPr>
            <w:tcW w:w="1597" w:type="dxa"/>
            <w:vMerge w:val="restart"/>
            <w:shd w:val="clear" w:color="auto" w:fill="BDD7EE"/>
            <w:vAlign w:val="center"/>
            <w:hideMark/>
          </w:tcPr>
          <w:p w14:paraId="0035E155" w14:textId="77777777" w:rsidR="00E42B18" w:rsidRDefault="009629C4">
            <w:pPr>
              <w:pStyle w:val="P68B1DB1-Normal10"/>
              <w:jc w:val="center"/>
              <w:rPr>
                <w:bCs/>
                <w:noProof/>
                <w:szCs w:val="20"/>
              </w:rPr>
            </w:pPr>
            <w:r>
              <w:rPr>
                <w:noProof/>
              </w:rPr>
              <w:t>Nimi</w:t>
            </w:r>
          </w:p>
        </w:tc>
        <w:tc>
          <w:tcPr>
            <w:tcW w:w="1470" w:type="dxa"/>
            <w:vMerge w:val="restart"/>
            <w:shd w:val="clear" w:color="auto" w:fill="BDD7EE"/>
            <w:vAlign w:val="center"/>
            <w:hideMark/>
          </w:tcPr>
          <w:p w14:paraId="2E1217ED" w14:textId="77777777" w:rsidR="00E42B18" w:rsidRDefault="009629C4">
            <w:pPr>
              <w:jc w:val="center"/>
              <w:rPr>
                <w:rFonts w:ascii="Arial Narrow" w:hAnsi="Arial Narrow"/>
                <w:b/>
                <w:bCs/>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543" w:type="dxa"/>
            <w:gridSpan w:val="3"/>
            <w:shd w:val="clear" w:color="auto" w:fill="BDD7EE"/>
            <w:vAlign w:val="center"/>
            <w:hideMark/>
          </w:tcPr>
          <w:p w14:paraId="072CB2B9" w14:textId="77777777" w:rsidR="00E42B18" w:rsidRDefault="009629C4">
            <w:pPr>
              <w:jc w:val="center"/>
              <w:rPr>
                <w:rFonts w:ascii="Arial Narrow" w:hAnsi="Arial Narrow"/>
                <w:b/>
                <w:bCs/>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556" w:type="dxa"/>
            <w:gridSpan w:val="2"/>
            <w:shd w:val="clear" w:color="auto" w:fill="BDD7EE"/>
            <w:vAlign w:val="center"/>
            <w:hideMark/>
          </w:tcPr>
          <w:p w14:paraId="58D119FA" w14:textId="77777777" w:rsidR="00E42B18" w:rsidRDefault="009629C4">
            <w:pPr>
              <w:pStyle w:val="P68B1DB1-Normal10"/>
              <w:jc w:val="center"/>
              <w:rPr>
                <w:bCs/>
                <w:noProof/>
                <w:szCs w:val="20"/>
              </w:rPr>
            </w:pPr>
            <w:r>
              <w:rPr>
                <w:noProof/>
              </w:rPr>
              <w:t>Alustava toteutusaikataulu</w:t>
            </w:r>
          </w:p>
        </w:tc>
        <w:tc>
          <w:tcPr>
            <w:tcW w:w="2839" w:type="dxa"/>
            <w:vMerge w:val="restart"/>
            <w:shd w:val="clear" w:color="auto" w:fill="BDD7EE"/>
            <w:vAlign w:val="center"/>
            <w:hideMark/>
          </w:tcPr>
          <w:p w14:paraId="68DE838E" w14:textId="77777777" w:rsidR="00E42B18" w:rsidRDefault="009629C4">
            <w:pPr>
              <w:pStyle w:val="P68B1DB1-Normal10"/>
              <w:jc w:val="center"/>
              <w:rPr>
                <w:bCs/>
                <w:noProof/>
                <w:szCs w:val="20"/>
              </w:rPr>
            </w:pPr>
            <w:r>
              <w:rPr>
                <w:noProof/>
              </w:rPr>
              <w:t>Kunkin välitavoitteen ja tavoitteen kuvaus</w:t>
            </w:r>
          </w:p>
        </w:tc>
      </w:tr>
      <w:tr w:rsidR="00E42B18" w14:paraId="38C5DCE8" w14:textId="77777777">
        <w:trPr>
          <w:trHeight w:val="632"/>
          <w:tblHeader/>
          <w:jc w:val="center"/>
        </w:trPr>
        <w:tc>
          <w:tcPr>
            <w:tcW w:w="1364" w:type="dxa"/>
            <w:vMerge/>
            <w:vAlign w:val="center"/>
          </w:tcPr>
          <w:p w14:paraId="63562DF0" w14:textId="77777777" w:rsidR="00E42B18" w:rsidRDefault="00E42B18">
            <w:pPr>
              <w:jc w:val="center"/>
              <w:rPr>
                <w:rFonts w:ascii="Arial Narrow" w:hAnsi="Arial Narrow"/>
                <w:b/>
                <w:noProof/>
                <w:sz w:val="20"/>
                <w:szCs w:val="20"/>
              </w:rPr>
            </w:pPr>
          </w:p>
        </w:tc>
        <w:tc>
          <w:tcPr>
            <w:tcW w:w="1513" w:type="dxa"/>
            <w:vMerge/>
            <w:vAlign w:val="center"/>
          </w:tcPr>
          <w:p w14:paraId="7C2D40CD" w14:textId="77777777" w:rsidR="00E42B18" w:rsidRDefault="00E42B18">
            <w:pPr>
              <w:jc w:val="center"/>
              <w:rPr>
                <w:rFonts w:ascii="Arial Narrow" w:hAnsi="Arial Narrow"/>
                <w:b/>
                <w:noProof/>
                <w:sz w:val="20"/>
                <w:szCs w:val="20"/>
              </w:rPr>
            </w:pPr>
          </w:p>
        </w:tc>
        <w:tc>
          <w:tcPr>
            <w:tcW w:w="1281" w:type="dxa"/>
            <w:vMerge/>
            <w:vAlign w:val="center"/>
          </w:tcPr>
          <w:p w14:paraId="6F1BF8E6" w14:textId="77777777" w:rsidR="00E42B18" w:rsidRDefault="00E42B18">
            <w:pPr>
              <w:jc w:val="center"/>
              <w:rPr>
                <w:rFonts w:ascii="Arial Narrow" w:hAnsi="Arial Narrow"/>
                <w:b/>
                <w:noProof/>
                <w:sz w:val="20"/>
                <w:szCs w:val="20"/>
              </w:rPr>
            </w:pPr>
          </w:p>
        </w:tc>
        <w:tc>
          <w:tcPr>
            <w:tcW w:w="1597" w:type="dxa"/>
            <w:vMerge/>
            <w:vAlign w:val="center"/>
          </w:tcPr>
          <w:p w14:paraId="1F287649" w14:textId="77777777" w:rsidR="00E42B18" w:rsidRDefault="00E42B18">
            <w:pPr>
              <w:jc w:val="center"/>
              <w:rPr>
                <w:rFonts w:ascii="Arial Narrow" w:hAnsi="Arial Narrow"/>
                <w:b/>
                <w:noProof/>
                <w:sz w:val="20"/>
                <w:szCs w:val="20"/>
              </w:rPr>
            </w:pPr>
          </w:p>
        </w:tc>
        <w:tc>
          <w:tcPr>
            <w:tcW w:w="1470" w:type="dxa"/>
            <w:vMerge/>
            <w:vAlign w:val="center"/>
          </w:tcPr>
          <w:p w14:paraId="6E4E8331" w14:textId="77777777" w:rsidR="00E42B18" w:rsidRDefault="00E42B18">
            <w:pPr>
              <w:jc w:val="center"/>
              <w:rPr>
                <w:rFonts w:ascii="Arial Narrow" w:hAnsi="Arial Narrow"/>
                <w:b/>
                <w:noProof/>
                <w:sz w:val="20"/>
                <w:szCs w:val="20"/>
              </w:rPr>
            </w:pPr>
          </w:p>
        </w:tc>
        <w:tc>
          <w:tcPr>
            <w:tcW w:w="1275" w:type="dxa"/>
            <w:shd w:val="clear" w:color="auto" w:fill="BDD7EE"/>
            <w:vAlign w:val="center"/>
          </w:tcPr>
          <w:p w14:paraId="550BE33D" w14:textId="77777777" w:rsidR="00E42B18" w:rsidRDefault="009629C4">
            <w:pPr>
              <w:pStyle w:val="P68B1DB1-Normal10"/>
              <w:jc w:val="center"/>
              <w:rPr>
                <w:noProof/>
                <w:szCs w:val="20"/>
              </w:rPr>
            </w:pPr>
            <w:r>
              <w:rPr>
                <w:noProof/>
              </w:rPr>
              <w:t>Mitta-yksikkö</w:t>
            </w:r>
          </w:p>
        </w:tc>
        <w:tc>
          <w:tcPr>
            <w:tcW w:w="1134" w:type="dxa"/>
            <w:shd w:val="clear" w:color="auto" w:fill="BDD7EE"/>
            <w:vAlign w:val="center"/>
          </w:tcPr>
          <w:p w14:paraId="44197F7D" w14:textId="77777777" w:rsidR="00E42B18" w:rsidRDefault="009629C4">
            <w:pPr>
              <w:pStyle w:val="P68B1DB1-Normal10"/>
              <w:jc w:val="center"/>
              <w:rPr>
                <w:noProof/>
                <w:szCs w:val="20"/>
              </w:rPr>
            </w:pPr>
            <w:r>
              <w:rPr>
                <w:noProof/>
              </w:rPr>
              <w:t>Lähtötilanne</w:t>
            </w:r>
          </w:p>
        </w:tc>
        <w:tc>
          <w:tcPr>
            <w:tcW w:w="1134" w:type="dxa"/>
            <w:shd w:val="clear" w:color="auto" w:fill="BDD7EE"/>
            <w:vAlign w:val="center"/>
          </w:tcPr>
          <w:p w14:paraId="213CC092" w14:textId="77777777" w:rsidR="00E42B18" w:rsidRDefault="009629C4">
            <w:pPr>
              <w:pStyle w:val="P68B1DB1-Normal10"/>
              <w:jc w:val="center"/>
              <w:rPr>
                <w:noProof/>
                <w:szCs w:val="20"/>
              </w:rPr>
            </w:pPr>
            <w:r>
              <w:rPr>
                <w:noProof/>
              </w:rPr>
              <w:t>Päämäärä</w:t>
            </w:r>
          </w:p>
        </w:tc>
        <w:tc>
          <w:tcPr>
            <w:tcW w:w="851" w:type="dxa"/>
            <w:shd w:val="clear" w:color="auto" w:fill="BDD7EE"/>
            <w:vAlign w:val="center"/>
          </w:tcPr>
          <w:p w14:paraId="32B45291" w14:textId="77777777" w:rsidR="00E42B18" w:rsidRDefault="009629C4">
            <w:pPr>
              <w:pStyle w:val="P68B1DB1-Normal10"/>
              <w:jc w:val="center"/>
              <w:rPr>
                <w:noProof/>
                <w:szCs w:val="20"/>
              </w:rPr>
            </w:pPr>
            <w:r>
              <w:rPr>
                <w:noProof/>
              </w:rPr>
              <w:t>Neljännes</w:t>
            </w:r>
          </w:p>
        </w:tc>
        <w:tc>
          <w:tcPr>
            <w:tcW w:w="705" w:type="dxa"/>
            <w:shd w:val="clear" w:color="auto" w:fill="BDD7EE"/>
            <w:vAlign w:val="center"/>
          </w:tcPr>
          <w:p w14:paraId="4AD060FD" w14:textId="77777777" w:rsidR="00E42B18" w:rsidRDefault="009629C4">
            <w:pPr>
              <w:pStyle w:val="P68B1DB1-Normal10"/>
              <w:jc w:val="center"/>
              <w:rPr>
                <w:noProof/>
                <w:szCs w:val="20"/>
              </w:rPr>
            </w:pPr>
            <w:r>
              <w:rPr>
                <w:noProof/>
              </w:rPr>
              <w:t>Vuosi</w:t>
            </w:r>
          </w:p>
        </w:tc>
        <w:tc>
          <w:tcPr>
            <w:tcW w:w="2839" w:type="dxa"/>
            <w:vMerge/>
            <w:vAlign w:val="center"/>
          </w:tcPr>
          <w:p w14:paraId="37259B5C" w14:textId="77777777" w:rsidR="00E42B18" w:rsidRDefault="00E42B18">
            <w:pPr>
              <w:jc w:val="center"/>
              <w:rPr>
                <w:rFonts w:ascii="Arial Narrow" w:hAnsi="Arial Narrow"/>
                <w:b/>
                <w:noProof/>
                <w:sz w:val="20"/>
                <w:szCs w:val="20"/>
              </w:rPr>
            </w:pPr>
          </w:p>
        </w:tc>
      </w:tr>
      <w:tr w:rsidR="00E42B18" w14:paraId="600F9428"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B88ADF" w14:textId="77777777" w:rsidR="00E42B18" w:rsidRDefault="009629C4">
            <w:pPr>
              <w:pStyle w:val="P68B1DB1-Normal11"/>
              <w:jc w:val="center"/>
              <w:rPr>
                <w:noProof/>
                <w:szCs w:val="20"/>
              </w:rPr>
            </w:pPr>
            <w:r>
              <w:rPr>
                <w:noProof/>
              </w:rPr>
              <w:t xml:space="preserve">M5C1–1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B457A4" w14:textId="77777777" w:rsidR="00E42B18" w:rsidRDefault="009629C4">
            <w:pPr>
              <w:pStyle w:val="P68B1DB1-Normal11"/>
              <w:jc w:val="center"/>
              <w:rPr>
                <w:noProof/>
                <w:szCs w:val="20"/>
              </w:rPr>
            </w:pPr>
            <w:r>
              <w:rPr>
                <w:noProof/>
              </w:rPr>
              <w:t>Uudistus 1 – Työvoimapolitiikka ja ammatillinen koulutus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93051F" w14:textId="77777777" w:rsidR="00E42B18" w:rsidRDefault="009629C4">
            <w:pPr>
              <w:pStyle w:val="P68B1DB1-Normal11"/>
              <w:jc w:val="center"/>
              <w:rPr>
                <w:noProof/>
                <w:szCs w:val="20"/>
              </w:rPr>
            </w:pPr>
            <w:r>
              <w:rPr>
                <w:noProof/>
              </w:rPr>
              <w:t>Virstanpylväs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38483B" w14:textId="77777777" w:rsidR="00E42B18" w:rsidRDefault="009629C4">
            <w:pPr>
              <w:pStyle w:val="P68B1DB1-Normal11"/>
              <w:jc w:val="center"/>
              <w:rPr>
                <w:noProof/>
                <w:szCs w:val="20"/>
              </w:rPr>
            </w:pPr>
            <w:r>
              <w:rPr>
                <w:noProof/>
              </w:rPr>
              <w:t>Työntekijöiden taattua työllistettävyyttä koskevan kansallisen ohjelman (GOL) perustamisesta annetun ministeriöiden välisen asetuksen ja uuden osaamisen kansallisen suunnitelman vahvistamisesta annetun ministeriöiden välisen asetuksen voimaantulo</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37F4B2" w14:textId="77777777" w:rsidR="00E42B18" w:rsidRDefault="009629C4">
            <w:pPr>
              <w:pStyle w:val="P68B1DB1-Normal11"/>
              <w:jc w:val="center"/>
              <w:rPr>
                <w:noProof/>
                <w:szCs w:val="20"/>
              </w:rPr>
            </w:pPr>
            <w:r>
              <w:rPr>
                <w:noProof/>
              </w:rPr>
              <w:t>Ministeriöiden välisten asetusten säännös, josta käy ilmi kahden ministeriöiden välisen asetuksen voimaantulo sen jälkeen, kun valtio-alueiden konferenssissa oli sovittu GOL-ohjelmasta ja kansallisesta uuden osaamisen suunnitelmasta</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B334D8" w14:textId="77777777" w:rsidR="00E42B18" w:rsidRDefault="009629C4">
            <w:pPr>
              <w:pStyle w:val="P68B1DB1-Normal11"/>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FF16B0" w14:textId="77777777" w:rsidR="00E42B18" w:rsidRDefault="009629C4">
            <w:pPr>
              <w:pStyle w:val="P68B1DB1-Normal11"/>
              <w:jc w:val="center"/>
              <w:rPr>
                <w:rFonts w:eastAsia="Calibri"/>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163E12" w14:textId="77777777" w:rsidR="00E42B18" w:rsidRDefault="009629C4">
            <w:pPr>
              <w:pStyle w:val="P68B1DB1-Normal11"/>
              <w:jc w:val="center"/>
              <w:rPr>
                <w:noProof/>
                <w:szCs w:val="20"/>
              </w:rPr>
            </w:pPr>
            <w:r>
              <w:rPr>
                <w:noProof/>
              </w:rPr>
              <w:t>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58141B" w14:textId="77777777" w:rsidR="00E42B18" w:rsidRDefault="009629C4">
            <w:pPr>
              <w:pStyle w:val="P68B1DB1-Normal11"/>
              <w:jc w:val="center"/>
              <w:rPr>
                <w:rFonts w:eastAsia="Calibri"/>
                <w:noProof/>
                <w:szCs w:val="20"/>
              </w:rPr>
            </w:pPr>
            <w:r>
              <w:rPr>
                <w:noProof/>
              </w:rPr>
              <w:t>Q4</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A0801F0" w14:textId="77777777" w:rsidR="00E42B18" w:rsidRDefault="009629C4">
            <w:pPr>
              <w:pStyle w:val="P68B1DB1-Normal11"/>
              <w:jc w:val="center"/>
              <w:rPr>
                <w:noProof/>
                <w:szCs w:val="20"/>
              </w:rPr>
            </w:pPr>
            <w:r>
              <w:rPr>
                <w:noProof/>
              </w:rPr>
              <w:t>2021</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03F1B86" w14:textId="77777777" w:rsidR="00E42B18" w:rsidRDefault="009629C4">
            <w:pPr>
              <w:pStyle w:val="P68B1DB1-Normal11"/>
              <w:rPr>
                <w:rFonts w:eastAsia="Calibri"/>
                <w:noProof/>
                <w:szCs w:val="20"/>
              </w:rPr>
            </w:pPr>
            <w:r>
              <w:rPr>
                <w:noProof/>
              </w:rPr>
              <w:t>GOL:n säädösten on oltava vähintään seuraavat: I) määriteltävä julkisten työvoimapalvelujen keskeiset osatekijät ja niiden standardit, mukaan lukien taitojen ennustaminen, yksilölliset koulutussuunnitelmat, ohjaus ja työnohjaus, jotta voidaan varmistaa yksilöllisten työvoimapalvelujen tehokas tarjoaminen yhteisten ja yhdenmukaisten normien mukaisesti koko jäsenvaltion alueella, ii) varmistettava, että julkisten työvoimapalvelujen tarjoamat täydennys- ja uudelleenkoulutustoimet ovat täysin uuden osaamisen, myös digitaalisten taitojen, kansallisen suunnitelman mukaisia, iii) varmistettava, että julkiset työvoimapalvelut kohdennetaan vastaanottajien tarpeisiin, iv) varmistettava, että julkiset työvoimapalvelut asetetaan etusijalle kaikkein heikoimmassa asemassa oleville; v) asetetaan tavoitteeksi, että vähintään 25 prosenttia työntekijöiden taattua työllistettävyyttä koskevien ohjelmien edunsaajista on asiaankuuluvan koulutuksen saajia, keskittyen erityisesti digitaalisiin taitoihin ja siten, että etusijalle asetetaan kaikkein heikoimmassa asemassa olevat; VI) luodaan uusia mekanismeja, joilla vahvistetaan ja rakennetaan julkisten ja yksityisten järjestelmien välistä yhteistyötä, mukaan lukien asiaankuuluvien osaamistarpeiden määrittäminen ja työtarjousten tarjoaminen. Asetuksessa säädetään, että sosiaalisten turvaverkkojen vastaanottajien on saatava kansallisen ohjelman mukaiset palvelut työntekijöiden työllistettävyyttä koskevan kansallisen ohjelman mukaisesti neljän kuukauden kuluessa siitä, kun he ovat saavuttaneet oikeuden sosiaalisiin turvaverkkoihin. Uuden osaamisen kansallista suunnitelmaa koskevissa säädöksissä on vähintään I) määritellään yhteiset normit ja ammatillisen koulutuksen olennaiset tasot koko jäsenvaltion alueella, ii) kohteena ovat sekä työssäkäyvät että työttömät ja henkilöt, joiden tavoitteena on parantaa heidän digitaalisia taitojaan ja edistää elinikäistä oppimista. III) Määritetään taidot ja asiaankuuluvat standardit julkisten ja yksityisten järjestelmien välisen yhteistyön perusteella, iv) otetaan huomioon kohderyhmien erilaiset tarpeet, joihin on kuuluttava vähintään kaikkein haavoittuvimmassa asemassa olevat, ja v) kattavat kaikki asiaankuuluvat alakohtaiset strategiat kattavan lähestymistavan luomiseksi, mukaan lukien aikuisten osaamista koskeva kansallinen strategiasuunnitelma. vi) sisällytetään siihen säännös työmarkkinoiden lyhyellä ja keskipitkällä aikavälillä tarvittavia uusia taitoja koskevan ennustejärjestelmän kehittämisestä.</w:t>
            </w:r>
          </w:p>
        </w:tc>
      </w:tr>
      <w:tr w:rsidR="00E42B18" w14:paraId="41F09158"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B3B060" w14:textId="77777777" w:rsidR="00E42B18" w:rsidRDefault="009629C4">
            <w:pPr>
              <w:pStyle w:val="P68B1DB1-Normal11"/>
              <w:jc w:val="center"/>
              <w:rPr>
                <w:noProof/>
                <w:szCs w:val="20"/>
              </w:rPr>
            </w:pPr>
            <w:r>
              <w:rPr>
                <w:noProof/>
              </w:rPr>
              <w:t xml:space="preserve">M5C1–2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88237A8" w14:textId="77777777" w:rsidR="00E42B18" w:rsidRDefault="009629C4">
            <w:pPr>
              <w:pStyle w:val="P68B1DB1-Normal11"/>
              <w:jc w:val="center"/>
              <w:rPr>
                <w:noProof/>
                <w:szCs w:val="20"/>
              </w:rPr>
            </w:pPr>
            <w:r>
              <w:rPr>
                <w:noProof/>
              </w:rPr>
              <w:t>Uudistus 1 – Työvoimapolitiikka ja ammatillinen koulutus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9DE745" w14:textId="77777777" w:rsidR="00E42B18" w:rsidRDefault="009629C4">
            <w:pPr>
              <w:pStyle w:val="P68B1DB1-Normal11"/>
              <w:jc w:val="center"/>
              <w:rPr>
                <w:noProof/>
                <w:szCs w:val="20"/>
              </w:rPr>
            </w:pPr>
            <w:r>
              <w:rPr>
                <w:noProof/>
              </w:rPr>
              <w:t>Virstanpylväs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BE2799" w14:textId="47AE502F" w:rsidR="00E42B18" w:rsidRDefault="009629C4">
            <w:pPr>
              <w:pStyle w:val="P68B1DB1-Normal11"/>
              <w:jc w:val="center"/>
              <w:rPr>
                <w:noProof/>
                <w:szCs w:val="20"/>
              </w:rPr>
            </w:pPr>
            <w:r>
              <w:rPr>
                <w:noProof/>
              </w:rPr>
              <w:t xml:space="preserve">Kaikkien julkisia työvoimapalveluja koskevien suunnitelmien voimaantulo aluetasolla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01D0C7" w14:textId="77777777" w:rsidR="00E42B18" w:rsidRDefault="009629C4">
            <w:pPr>
              <w:pStyle w:val="P68B1DB1-Normal11"/>
              <w:jc w:val="center"/>
              <w:rPr>
                <w:noProof/>
                <w:szCs w:val="20"/>
              </w:rPr>
            </w:pPr>
            <w:r>
              <w:rPr>
                <w:noProof/>
              </w:rPr>
              <w:t>Määräys, jossa ilmoitetaan alueiden hyväksymien suunnitelmien ja toteutettujen toimien voimaantulo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B344F9" w14:textId="77777777" w:rsidR="00E42B18" w:rsidRDefault="009629C4">
            <w:pPr>
              <w:pStyle w:val="P68B1DB1-Normal11"/>
              <w:jc w:val="center"/>
              <w:rPr>
                <w:rFonts w:eastAsia="Calibri"/>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69FDC4" w14:textId="77777777" w:rsidR="00E42B18" w:rsidRDefault="009629C4">
            <w:pPr>
              <w:pStyle w:val="P68B1DB1-Normal11"/>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3924F8" w14:textId="77777777" w:rsidR="00E42B18" w:rsidRDefault="009629C4">
            <w:pPr>
              <w:pStyle w:val="P68B1DB1-Normal11"/>
              <w:jc w:val="center"/>
              <w:rPr>
                <w:noProof/>
                <w:szCs w:val="20"/>
              </w:rPr>
            </w:pPr>
            <w:r>
              <w:rPr>
                <w:noProof/>
              </w:rPr>
              <w:t>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4BECA0" w14:textId="77777777" w:rsidR="00E42B18" w:rsidRDefault="009629C4">
            <w:pPr>
              <w:pStyle w:val="P68B1DB1-Normal11"/>
              <w:jc w:val="center"/>
              <w:rPr>
                <w:rFonts w:eastAsia="Calibri"/>
                <w:noProof/>
                <w:szCs w:val="20"/>
              </w:rPr>
            </w:pPr>
            <w:r>
              <w:rPr>
                <w:noProof/>
              </w:rPr>
              <w:t>Q4</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C1883F" w14:textId="77777777" w:rsidR="00E42B18" w:rsidRDefault="009629C4">
            <w:pPr>
              <w:pStyle w:val="P68B1DB1-Normal11"/>
              <w:jc w:val="center"/>
              <w:rPr>
                <w:noProof/>
                <w:szCs w:val="20"/>
              </w:rPr>
            </w:pPr>
            <w:r>
              <w:rPr>
                <w:noProof/>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94B5BA" w14:textId="77777777" w:rsidR="00E42B18" w:rsidRDefault="009629C4">
            <w:pPr>
              <w:pStyle w:val="P68B1DB1-Normal11"/>
              <w:rPr>
                <w:rFonts w:eastAsia="Calibri"/>
                <w:noProof/>
                <w:szCs w:val="20"/>
              </w:rPr>
            </w:pPr>
            <w:r>
              <w:rPr>
                <w:noProof/>
              </w:rPr>
              <w:t xml:space="preserve">Työntekijöiden taattua työllistettävyyttä koskevan ohjelman (GOL) kansallisessa sääntelyssä on määriteltävä alueellisella tasolla tarvittavat operatiiviset toimet ohjelman täytäntöönpanemiseksi. Kansallisen sääntelyn ja alueellisen täytäntöönpanon välisen johdonmukaisuuden varmistamiseksi on hyväksyttävä julkisia työvoimapalveluja koskevat alueelliset suunnitelmat. </w:t>
            </w:r>
          </w:p>
          <w:p w14:paraId="060C5613" w14:textId="77777777" w:rsidR="00E42B18" w:rsidRDefault="009629C4">
            <w:pPr>
              <w:pStyle w:val="P68B1DB1-Normal11"/>
              <w:rPr>
                <w:rFonts w:eastAsia="Calibri"/>
                <w:noProof/>
                <w:szCs w:val="20"/>
              </w:rPr>
            </w:pPr>
            <w:r>
              <w:rPr>
                <w:noProof/>
              </w:rPr>
              <w:t>Suunnitelmien hyväksymisen lisäksi alueet toteuttavat suunnitelmien mukaiset toimet siten, että ne saavuttavat vähintään 10 prosenttia ohjelman suunnitelluista edunsaajista (lopullinen tavoite 3000000 henkilöä).</w:t>
            </w:r>
          </w:p>
          <w:p w14:paraId="224EBE8B" w14:textId="77777777" w:rsidR="00E42B18" w:rsidRDefault="009629C4">
            <w:pPr>
              <w:pStyle w:val="P68B1DB1-Normal11"/>
              <w:rPr>
                <w:rFonts w:eastAsia="Calibri"/>
                <w:noProof/>
                <w:szCs w:val="20"/>
              </w:rPr>
            </w:pPr>
            <w:r>
              <w:rPr>
                <w:noProof/>
              </w:rPr>
              <w:t>Julkisia työvoimapalveluja koskevien suunnitelmien voimaantulon myötä työntekijöiden taattua työllisyyttä koskeva ohjelma (GOL) voidaan panna täysimääräisesti täytäntöön.</w:t>
            </w:r>
          </w:p>
        </w:tc>
      </w:tr>
      <w:tr w:rsidR="00E42B18" w14:paraId="5F251F06"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04B54F" w14:textId="77777777" w:rsidR="00E42B18" w:rsidRDefault="009629C4">
            <w:pPr>
              <w:pStyle w:val="P68B1DB1-Normal12"/>
              <w:jc w:val="center"/>
              <w:rPr>
                <w:noProof/>
                <w:highlight w:val="yellow"/>
              </w:rPr>
            </w:pPr>
            <w:r>
              <w:rPr>
                <w:noProof/>
              </w:rPr>
              <w:t xml:space="preserve">M5C1–3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AC7775" w14:textId="77777777" w:rsidR="00E42B18" w:rsidRDefault="009629C4">
            <w:pPr>
              <w:pStyle w:val="P68B1DB1-Normal11"/>
              <w:jc w:val="center"/>
              <w:rPr>
                <w:noProof/>
                <w:szCs w:val="20"/>
              </w:rPr>
            </w:pPr>
            <w:r>
              <w:rPr>
                <w:noProof/>
              </w:rPr>
              <w:t>Uudistus 1 – Työvoimapolitiikka ja ammatillinen koulutus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6FA296" w14:textId="77777777" w:rsidR="00E42B18" w:rsidRDefault="009629C4">
            <w:pPr>
              <w:pStyle w:val="P68B1DB1-Normal11"/>
              <w:jc w:val="center"/>
              <w:rPr>
                <w:noProof/>
                <w:szCs w:val="20"/>
              </w:rPr>
            </w:pPr>
            <w:r>
              <w:rPr>
                <w:noProof/>
              </w:rPr>
              <w:t>Kohde</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CBD4196" w14:textId="77777777" w:rsidR="00E42B18" w:rsidRDefault="009629C4">
            <w:pPr>
              <w:pStyle w:val="P68B1DB1-Normal11"/>
              <w:jc w:val="center"/>
              <w:rPr>
                <w:rFonts w:eastAsia="Calibri"/>
                <w:noProof/>
                <w:szCs w:val="20"/>
              </w:rPr>
            </w:pPr>
            <w:r>
              <w:rPr>
                <w:noProof/>
              </w:rPr>
              <w:t>Työntekijöiden taattua työllistyvyyttä koskevasta ohjelmasta (GOL) hyötyvät henkilöt</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38A0351" w14:textId="77777777" w:rsidR="00E42B18" w:rsidRDefault="009629C4">
            <w:pPr>
              <w:pStyle w:val="P68B1DB1-Normal11"/>
              <w:jc w:val="center"/>
              <w:rPr>
                <w:noProof/>
                <w:szCs w:val="20"/>
              </w:rPr>
            </w:pPr>
            <w:r>
              <w:rPr>
                <w:noProof/>
              </w:rPr>
              <w:t>EI OLE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ADFC96" w14:textId="77777777" w:rsidR="00E42B18" w:rsidRDefault="009629C4">
            <w:pPr>
              <w:pStyle w:val="P68B1DB1-Normal11"/>
              <w:jc w:val="center"/>
              <w:rPr>
                <w:rFonts w:eastAsia="Calibri"/>
                <w:noProof/>
                <w:szCs w:val="20"/>
              </w:rPr>
            </w:pPr>
            <w:r>
              <w:rPr>
                <w:noProof/>
              </w:rPr>
              <w:t xml:space="preserve">Numero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DBFEF3F" w14:textId="77777777" w:rsidR="00E42B18" w:rsidRDefault="009629C4">
            <w:pPr>
              <w:pStyle w:val="P68B1DB1-Normal11"/>
              <w:jc w:val="center"/>
              <w:rPr>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49F4D1"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3</w:t>
            </w:r>
            <w:r>
              <w:rPr>
                <w:noProof/>
                <w:sz w:val="23"/>
                <w:szCs w:val="23"/>
              </w:rPr>
              <w:t xml:space="preserve"> </w:t>
            </w:r>
            <w:r>
              <w:rPr>
                <w:rFonts w:ascii="Arial Narrow" w:hAnsi="Arial Narrow"/>
                <w:noProof/>
                <w:color w:val="006100"/>
                <w:sz w:val="20"/>
              </w:rPr>
              <w:t>000</w:t>
            </w:r>
            <w:r>
              <w:rPr>
                <w:noProof/>
                <w:sz w:val="23"/>
                <w:szCs w:val="23"/>
              </w:rPr>
              <w:t xml:space="preserve"> </w:t>
            </w:r>
            <w:r>
              <w:rPr>
                <w:rFonts w:ascii="Arial Narrow" w:hAnsi="Arial Narrow"/>
                <w:noProof/>
                <w:color w:val="006100"/>
                <w:sz w:val="20"/>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B41C0DC" w14:textId="77777777" w:rsidR="00E42B18" w:rsidRDefault="009629C4">
            <w:pPr>
              <w:pStyle w:val="P68B1DB1-Normal11"/>
              <w:jc w:val="center"/>
              <w:rPr>
                <w:noProof/>
                <w:szCs w:val="20"/>
              </w:rPr>
            </w:pPr>
            <w:r>
              <w:rPr>
                <w:noProof/>
              </w:rPr>
              <w:t>Q4</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905D9C" w14:textId="77777777" w:rsidR="00E42B18" w:rsidRDefault="009629C4">
            <w:pPr>
              <w:pStyle w:val="P68B1DB1-Normal11"/>
              <w:jc w:val="center"/>
              <w:rPr>
                <w:rFonts w:eastAsia="Calibri"/>
                <w:noProof/>
                <w:szCs w:val="20"/>
              </w:rPr>
            </w:pPr>
            <w:r>
              <w:rPr>
                <w:noProof/>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641185" w14:textId="77777777" w:rsidR="00E42B18" w:rsidRDefault="009629C4">
            <w:pPr>
              <w:rPr>
                <w:rFonts w:ascii="Arial Narrow" w:hAnsi="Arial Narrow"/>
                <w:noProof/>
                <w:color w:val="006100"/>
                <w:sz w:val="20"/>
              </w:rPr>
            </w:pPr>
            <w:r>
              <w:rPr>
                <w:rFonts w:ascii="Arial Narrow" w:hAnsi="Arial Narrow"/>
                <w:noProof/>
                <w:color w:val="006100"/>
                <w:sz w:val="20"/>
                <w:szCs w:val="20"/>
              </w:rPr>
              <w:t>Työntekijöiden taattua työllistettävyyttä koskevasta ohjelmasta (GOL) hyötyy vähintään 3000000 henkilöä.</w:t>
            </w:r>
          </w:p>
          <w:p w14:paraId="5701123A" w14:textId="67A92FB0" w:rsidR="00E42B18" w:rsidRDefault="009629C4">
            <w:pPr>
              <w:pStyle w:val="P68B1DB1-Normal11"/>
              <w:rPr>
                <w:noProof/>
                <w:szCs w:val="20"/>
              </w:rPr>
            </w:pPr>
            <w:r>
              <w:rPr>
                <w:noProof/>
              </w:rPr>
              <w:t xml:space="preserve">Lisäksi </w:t>
            </w:r>
            <w:r>
              <w:rPr>
                <w:noProof/>
                <w:szCs w:val="20"/>
              </w:rPr>
              <w:t xml:space="preserve">GOL-ohjelmassa </w:t>
            </w:r>
            <w:r>
              <w:rPr>
                <w:i/>
                <w:noProof/>
                <w:szCs w:val="20"/>
              </w:rPr>
              <w:t>määriteltyjen keskeisten palvelutasojen (”Livelli essenziali delle prestazioni”)</w:t>
            </w:r>
            <w:r>
              <w:rPr>
                <w:noProof/>
                <w:szCs w:val="20"/>
              </w:rPr>
              <w:t xml:space="preserve"> on oltava saatavilla vähintään 80 prosentissa julkisista työvoimapalveluista.</w:t>
            </w:r>
          </w:p>
        </w:tc>
      </w:tr>
      <w:tr w:rsidR="00E42B18" w14:paraId="328CFFD5"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E240EDC" w14:textId="77777777" w:rsidR="00E42B18" w:rsidRDefault="009629C4">
            <w:pPr>
              <w:pStyle w:val="P68B1DB1-Normal12"/>
              <w:jc w:val="center"/>
              <w:rPr>
                <w:noProof/>
                <w:highlight w:val="yellow"/>
              </w:rPr>
            </w:pPr>
            <w:r>
              <w:rPr>
                <w:noProof/>
              </w:rPr>
              <w:t xml:space="preserve">M5C1–4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AD40E" w14:textId="77777777" w:rsidR="00E42B18" w:rsidRDefault="009629C4">
            <w:pPr>
              <w:pStyle w:val="P68B1DB1-Normal11"/>
              <w:jc w:val="center"/>
              <w:rPr>
                <w:rFonts w:eastAsia="Calibri"/>
                <w:noProof/>
                <w:szCs w:val="20"/>
              </w:rPr>
            </w:pPr>
            <w:r>
              <w:rPr>
                <w:noProof/>
              </w:rPr>
              <w:t>Uudistus 1 – Työvoimapolitiikka ja ammatillinen koulutus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85F787" w14:textId="77777777" w:rsidR="00E42B18" w:rsidRDefault="009629C4">
            <w:pPr>
              <w:pStyle w:val="P68B1DB1-Normal11"/>
              <w:jc w:val="center"/>
              <w:rPr>
                <w:noProof/>
                <w:szCs w:val="20"/>
              </w:rPr>
            </w:pPr>
            <w:r>
              <w:rPr>
                <w:noProof/>
              </w:rPr>
              <w:t>Kohde</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75B2BD" w14:textId="7CCDB143" w:rsidR="00E42B18" w:rsidRDefault="009629C4">
            <w:pPr>
              <w:pStyle w:val="P68B1DB1-Normal11"/>
              <w:jc w:val="center"/>
              <w:rPr>
                <w:noProof/>
                <w:szCs w:val="20"/>
              </w:rPr>
            </w:pPr>
            <w:r>
              <w:rPr>
                <w:noProof/>
              </w:rPr>
              <w:t>Koulutusohjelmiin osallistuvat henkilöt</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56B515" w14:textId="77777777" w:rsidR="00E42B18" w:rsidRDefault="009629C4">
            <w:pPr>
              <w:pStyle w:val="P68B1DB1-Normal11"/>
              <w:jc w:val="center"/>
              <w:rPr>
                <w:noProof/>
                <w:szCs w:val="20"/>
              </w:rPr>
            </w:pPr>
            <w:r>
              <w:rPr>
                <w:noProof/>
              </w:rPr>
              <w:t>EI OLE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6DB7DB" w14:textId="77777777" w:rsidR="00E42B18" w:rsidRDefault="009629C4">
            <w:pPr>
              <w:pStyle w:val="P68B1DB1-Normal11"/>
              <w:jc w:val="center"/>
              <w:rPr>
                <w:rFonts w:eastAsia="Calibri"/>
                <w:noProof/>
                <w:szCs w:val="20"/>
              </w:rPr>
            </w:pPr>
            <w:r>
              <w:rPr>
                <w:noProof/>
              </w:rPr>
              <w:t xml:space="preserve">Numero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32FC23" w14:textId="77777777" w:rsidR="00E42B18" w:rsidRDefault="009629C4">
            <w:pPr>
              <w:pStyle w:val="P68B1DB1-Normal11"/>
              <w:jc w:val="center"/>
              <w:rPr>
                <w:rFonts w:eastAsia="Calibri"/>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FFB1AA" w14:textId="77777777" w:rsidR="00E42B18" w:rsidRDefault="009629C4">
            <w:pPr>
              <w:jc w:val="center"/>
              <w:rPr>
                <w:rFonts w:ascii="Arial Narrow" w:eastAsia="Calibri" w:hAnsi="Arial Narrow"/>
                <w:noProof/>
                <w:color w:val="006100"/>
                <w:sz w:val="20"/>
                <w:szCs w:val="20"/>
              </w:rPr>
            </w:pPr>
            <w:r>
              <w:rPr>
                <w:rFonts w:ascii="Arial Narrow" w:hAnsi="Arial Narrow"/>
                <w:noProof/>
                <w:color w:val="006100"/>
                <w:sz w:val="20"/>
              </w:rPr>
              <w:t>600</w:t>
            </w:r>
            <w:r>
              <w:rPr>
                <w:noProof/>
                <w:sz w:val="23"/>
                <w:szCs w:val="23"/>
              </w:rPr>
              <w:t xml:space="preserve"> </w:t>
            </w:r>
            <w:r>
              <w:rPr>
                <w:rFonts w:ascii="Arial Narrow" w:hAnsi="Arial Narrow"/>
                <w:noProof/>
                <w:color w:val="006100"/>
                <w:sz w:val="20"/>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4FB6C8" w14:textId="77777777" w:rsidR="00E42B18" w:rsidRDefault="009629C4">
            <w:pPr>
              <w:pStyle w:val="P68B1DB1-Normal11"/>
              <w:jc w:val="center"/>
              <w:rPr>
                <w:rFonts w:eastAsia="Calibri"/>
                <w:noProof/>
                <w:szCs w:val="20"/>
              </w:rPr>
            </w:pPr>
            <w:r>
              <w:rPr>
                <w:noProof/>
              </w:rPr>
              <w:t>Q4</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23B8F9" w14:textId="77777777" w:rsidR="00E42B18" w:rsidRDefault="009629C4">
            <w:pPr>
              <w:pStyle w:val="P68B1DB1-Normal11"/>
              <w:jc w:val="center"/>
              <w:rPr>
                <w:rFonts w:eastAsia="Calibri"/>
                <w:noProof/>
                <w:szCs w:val="20"/>
              </w:rPr>
            </w:pPr>
            <w:r>
              <w:rPr>
                <w:noProof/>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7C09A3" w14:textId="2C9C2417" w:rsidR="00E42B18" w:rsidRDefault="009629C4">
            <w:pPr>
              <w:rPr>
                <w:rFonts w:ascii="Arial Narrow" w:hAnsi="Arial Narrow"/>
                <w:noProof/>
                <w:color w:val="006100"/>
                <w:sz w:val="20"/>
                <w:szCs w:val="20"/>
              </w:rPr>
            </w:pPr>
            <w:r>
              <w:rPr>
                <w:rFonts w:ascii="Arial Narrow" w:hAnsi="Arial Narrow"/>
                <w:noProof/>
                <w:color w:val="006100"/>
                <w:sz w:val="20"/>
                <w:szCs w:val="20"/>
              </w:rPr>
              <w:t>Vähintään 600000</w:t>
            </w:r>
            <w:r>
              <w:rPr>
                <w:noProof/>
                <w:sz w:val="23"/>
                <w:szCs w:val="23"/>
              </w:rPr>
              <w:t xml:space="preserve"> </w:t>
            </w:r>
            <w:r>
              <w:rPr>
                <w:rFonts w:ascii="Arial Narrow" w:hAnsi="Arial Narrow"/>
                <w:noProof/>
                <w:color w:val="006100"/>
                <w:sz w:val="20"/>
                <w:szCs w:val="20"/>
              </w:rPr>
              <w:t>GOL-ohjelman edunsaajasta osallistuu koulutukseen, josta vähintään 300000</w:t>
            </w:r>
            <w:r>
              <w:rPr>
                <w:noProof/>
                <w:sz w:val="23"/>
                <w:szCs w:val="23"/>
              </w:rPr>
              <w:t xml:space="preserve">  </w:t>
            </w:r>
            <w:r>
              <w:rPr>
                <w:rFonts w:ascii="Arial Narrow" w:hAnsi="Arial Narrow"/>
                <w:noProof/>
                <w:color w:val="006100"/>
                <w:sz w:val="20"/>
                <w:szCs w:val="20"/>
              </w:rPr>
              <w:t>osallistuu digitaalisia taitoja koskevaan koulutukseen.</w:t>
            </w:r>
          </w:p>
          <w:p w14:paraId="058AA29C" w14:textId="77777777" w:rsidR="00E42B18" w:rsidRDefault="009629C4">
            <w:pPr>
              <w:pStyle w:val="P68B1DB1-Normal12"/>
              <w:rPr>
                <w:noProof/>
              </w:rPr>
            </w:pPr>
            <w:r>
              <w:rPr>
                <w:noProof/>
              </w:rPr>
              <w:t xml:space="preserve">Luettelot koulutusohjelmiin </w:t>
            </w:r>
            <w:r>
              <w:rPr>
                <w:i/>
                <w:noProof/>
              </w:rPr>
              <w:t>”Progetto per l’autoimpiego”, ”Fondo nuove competenze” ja</w:t>
            </w:r>
            <w:r>
              <w:rPr>
                <w:noProof/>
              </w:rPr>
              <w:t>”Tietokumppanuus</w:t>
            </w:r>
            <w:r>
              <w:rPr>
                <w:i/>
                <w:noProof/>
              </w:rPr>
              <w:t>Ucraina-Italia”</w:t>
            </w:r>
            <w:r>
              <w:rPr>
                <w:noProof/>
              </w:rPr>
              <w:t>valituista edunsaajista julkaistaan.</w:t>
            </w:r>
          </w:p>
        </w:tc>
      </w:tr>
      <w:tr w:rsidR="00E42B18" w14:paraId="4D48BF16" w14:textId="77777777">
        <w:trPr>
          <w:trHeight w:val="593"/>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3F5AF4" w14:textId="77777777" w:rsidR="00E42B18" w:rsidRDefault="009629C4">
            <w:pPr>
              <w:pStyle w:val="P68B1DB1-Normal12"/>
              <w:jc w:val="center"/>
              <w:rPr>
                <w:noProof/>
                <w:highlight w:val="yellow"/>
              </w:rPr>
            </w:pPr>
            <w:r>
              <w:rPr>
                <w:noProof/>
              </w:rPr>
              <w:t xml:space="preserve">M5C1–4a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79134E8" w14:textId="77777777" w:rsidR="00E42B18" w:rsidRDefault="009629C4">
            <w:pPr>
              <w:pStyle w:val="P68B1DB1-Normal11"/>
              <w:jc w:val="center"/>
              <w:rPr>
                <w:noProof/>
                <w:szCs w:val="20"/>
              </w:rPr>
            </w:pPr>
            <w:r>
              <w:rPr>
                <w:noProof/>
              </w:rPr>
              <w:t>Uudistus 1 – Työvoimapolitiikka ja ammatillinen koulutus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A78233" w14:textId="77777777" w:rsidR="00E42B18" w:rsidRDefault="009629C4">
            <w:pPr>
              <w:pStyle w:val="P68B1DB1-Normal11"/>
              <w:jc w:val="center"/>
              <w:rPr>
                <w:noProof/>
                <w:szCs w:val="20"/>
              </w:rPr>
            </w:pPr>
            <w:r>
              <w:rPr>
                <w:noProof/>
              </w:rPr>
              <w:t>Kohde</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3A90CF" w14:textId="77777777" w:rsidR="00E42B18" w:rsidRDefault="009629C4">
            <w:pPr>
              <w:pStyle w:val="P68B1DB1-Normal12"/>
              <w:jc w:val="center"/>
              <w:rPr>
                <w:rFonts w:eastAsia="Calibri"/>
                <w:noProof/>
              </w:rPr>
            </w:pPr>
            <w:r>
              <w:rPr>
                <w:noProof/>
              </w:rPr>
              <w:t xml:space="preserve">Koulutusohjelmiin osallistuvat henkilöt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D2041A" w14:textId="77777777" w:rsidR="00E42B18" w:rsidRDefault="009629C4">
            <w:pPr>
              <w:pStyle w:val="P68B1DB1-Normal11"/>
              <w:jc w:val="center"/>
              <w:rPr>
                <w:noProof/>
                <w:szCs w:val="20"/>
              </w:rPr>
            </w:pPr>
            <w:r>
              <w:rPr>
                <w:noProof/>
              </w:rPr>
              <w:t>EI OLE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44E69" w14:textId="77777777" w:rsidR="00E42B18" w:rsidRDefault="009629C4">
            <w:pPr>
              <w:pStyle w:val="P68B1DB1-Normal11"/>
              <w:jc w:val="center"/>
              <w:rPr>
                <w:noProof/>
                <w:szCs w:val="20"/>
              </w:rPr>
            </w:pPr>
            <w:r>
              <w:rPr>
                <w:noProof/>
              </w:rPr>
              <w:t>Numero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0DA73" w14:textId="345B9566" w:rsidR="00E42B18" w:rsidRDefault="009629C4">
            <w:pPr>
              <w:pStyle w:val="P68B1DB1-Normal11"/>
              <w:jc w:val="center"/>
              <w:rPr>
                <w:noProof/>
                <w:szCs w:val="20"/>
              </w:rPr>
            </w:pPr>
            <w:r>
              <w:rPr>
                <w:noProof/>
              </w:rPr>
              <w:t>600 000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79527A" w14:textId="2EC41DA2" w:rsidR="00E42B18" w:rsidRDefault="009629C4">
            <w:pPr>
              <w:pStyle w:val="P68B1DB1-Normal11"/>
              <w:jc w:val="center"/>
              <w:rPr>
                <w:rFonts w:eastAsia="Calibri"/>
                <w:noProof/>
                <w:szCs w:val="20"/>
              </w:rPr>
            </w:pPr>
            <w:r>
              <w:rPr>
                <w:noProof/>
                <w:szCs w:val="20"/>
              </w:rPr>
              <w:t>800 000</w:t>
            </w:r>
            <w:r>
              <w:rPr>
                <w:noProof/>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55E1751" w14:textId="77777777" w:rsidR="00E42B18" w:rsidRDefault="009629C4">
            <w:pPr>
              <w:pStyle w:val="P68B1DB1-Normal11"/>
              <w:jc w:val="center"/>
              <w:rPr>
                <w:rFonts w:eastAsia="Calibri"/>
                <w:noProof/>
                <w:szCs w:val="20"/>
              </w:rPr>
            </w:pPr>
            <w:r>
              <w:rPr>
                <w:noProof/>
              </w:rPr>
              <w:t>Q2</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5B16827" w14:textId="77777777" w:rsidR="00E42B18" w:rsidRDefault="009629C4">
            <w:pPr>
              <w:pStyle w:val="P68B1DB1-Normal11"/>
              <w:jc w:val="center"/>
              <w:rPr>
                <w:rFonts w:eastAsia="Calibri"/>
                <w:noProof/>
                <w:szCs w:val="20"/>
              </w:rPr>
            </w:pPr>
            <w:r>
              <w:rPr>
                <w:noProof/>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1F55EF5" w14:textId="5510CA36" w:rsidR="00E42B18" w:rsidRDefault="009629C4">
            <w:pPr>
              <w:pStyle w:val="P68B1DB1-Normal12"/>
              <w:rPr>
                <w:rFonts w:eastAsia="Calibri"/>
                <w:noProof/>
              </w:rPr>
            </w:pPr>
            <w:r>
              <w:rPr>
                <w:noProof/>
              </w:rPr>
              <w:t>Vähintään 200000 henkilöä osallistuu koulutukseen GOL-ohjelman ”Fondo</w:t>
            </w:r>
            <w:r>
              <w:rPr>
                <w:i/>
                <w:noProof/>
              </w:rPr>
              <w:t>nuove competenze” tai</w:t>
            </w:r>
            <w:r>
              <w:rPr>
                <w:noProof/>
              </w:rPr>
              <w:t xml:space="preserve">” </w:t>
            </w:r>
            <w:r>
              <w:rPr>
                <w:i/>
                <w:noProof/>
              </w:rPr>
              <w:t>Progetto per l’autoimpiego” kautta,</w:t>
            </w:r>
            <w:r>
              <w:rPr>
                <w:noProof/>
              </w:rPr>
              <w:t xml:space="preserve">joista vähintään 75000 on GOL:n edunsaajia. </w:t>
            </w:r>
          </w:p>
        </w:tc>
      </w:tr>
      <w:tr w:rsidR="00E42B18" w14:paraId="4E47ECBE"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D77FE9" w14:textId="77777777" w:rsidR="00E42B18" w:rsidRDefault="009629C4">
            <w:pPr>
              <w:pStyle w:val="P68B1DB1-Normal11"/>
              <w:spacing w:before="120" w:after="120"/>
              <w:jc w:val="center"/>
              <w:rPr>
                <w:noProof/>
                <w:szCs w:val="20"/>
              </w:rPr>
            </w:pPr>
            <w:r>
              <w:rPr>
                <w:noProof/>
              </w:rPr>
              <w:t>M5C1–6</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31471" w14:textId="77777777" w:rsidR="00E42B18" w:rsidRDefault="009629C4">
            <w:pPr>
              <w:pStyle w:val="P68B1DB1-Normal11"/>
              <w:spacing w:before="120" w:after="120"/>
              <w:jc w:val="center"/>
              <w:rPr>
                <w:rFonts w:eastAsia="Calibri"/>
                <w:noProof/>
                <w:szCs w:val="20"/>
              </w:rPr>
            </w:pPr>
            <w:r>
              <w:rPr>
                <w:noProof/>
              </w:rPr>
              <w:t>Investointi 1 – Julkisten työvoimapalvelujen vahvistaminen</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440432" w14:textId="77777777" w:rsidR="00E42B18" w:rsidRDefault="009629C4">
            <w:pPr>
              <w:pStyle w:val="P68B1DB1-Normal11"/>
              <w:spacing w:before="120" w:after="120"/>
              <w:jc w:val="center"/>
              <w:rPr>
                <w:rFonts w:eastAsia="Calibri"/>
                <w:noProof/>
                <w:szCs w:val="20"/>
              </w:rPr>
            </w:pPr>
            <w:r>
              <w:rPr>
                <w:noProof/>
              </w:rPr>
              <w:t>Kohde</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61E780" w14:textId="77777777" w:rsidR="00E42B18" w:rsidRDefault="009629C4">
            <w:pPr>
              <w:pStyle w:val="P68B1DB1-Normal11"/>
              <w:spacing w:before="120" w:after="120"/>
              <w:jc w:val="center"/>
              <w:rPr>
                <w:rFonts w:eastAsia="Calibri"/>
                <w:noProof/>
                <w:szCs w:val="20"/>
              </w:rPr>
            </w:pPr>
            <w:r>
              <w:rPr>
                <w:noProof/>
              </w:rPr>
              <w:t xml:space="preserve"> Julkiset työvoimapalvelut toteuttavat vahvistamissuunnitelmassa suunniteltuja toimia kolmivuotiskaudella 2021–2023.</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FB0492" w14:textId="77777777" w:rsidR="00E42B18" w:rsidRDefault="009629C4">
            <w:pPr>
              <w:pStyle w:val="P68B1DB1-Normal11"/>
              <w:spacing w:before="120" w:after="120"/>
              <w:jc w:val="center"/>
              <w:rPr>
                <w:rFonts w:eastAsia="Calibri"/>
                <w:noProof/>
                <w:szCs w:val="20"/>
              </w:rPr>
            </w:pPr>
            <w:r>
              <w:rPr>
                <w:noProof/>
              </w:rPr>
              <w:t>EI OLE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EB4488" w14:textId="77777777" w:rsidR="00E42B18" w:rsidRDefault="009629C4">
            <w:pPr>
              <w:pStyle w:val="P68B1DB1-Normal11"/>
              <w:spacing w:before="120" w:after="120"/>
              <w:jc w:val="center"/>
              <w:rPr>
                <w:rFonts w:eastAsia="Calibri"/>
                <w:noProof/>
                <w:szCs w:val="20"/>
              </w:rPr>
            </w:pPr>
            <w:r>
              <w:rPr>
                <w:noProof/>
              </w:rPr>
              <w:t>Numero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B0FA08" w14:textId="77777777" w:rsidR="00E42B18" w:rsidRDefault="009629C4">
            <w:pPr>
              <w:pStyle w:val="P68B1DB1-Normal11"/>
              <w:spacing w:before="120" w:after="120"/>
              <w:jc w:val="center"/>
              <w:rPr>
                <w:rFonts w:eastAsia="Calibri"/>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7502EF" w14:textId="77777777" w:rsidR="00E42B18" w:rsidRDefault="009629C4">
            <w:pPr>
              <w:pStyle w:val="P68B1DB1-Normal11"/>
              <w:spacing w:before="120" w:after="120"/>
              <w:jc w:val="center"/>
              <w:rPr>
                <w:rFonts w:eastAsia="Calibri"/>
                <w:noProof/>
                <w:szCs w:val="20"/>
              </w:rPr>
            </w:pPr>
            <w:r>
              <w:rPr>
                <w:noProof/>
              </w:rPr>
              <w:t>250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FE78BF" w14:textId="77777777" w:rsidR="00E42B18" w:rsidRDefault="009629C4">
            <w:pPr>
              <w:pStyle w:val="P68B1DB1-Normal11"/>
              <w:spacing w:before="120" w:after="120"/>
              <w:jc w:val="center"/>
              <w:rPr>
                <w:rFonts w:eastAsia="Calibri"/>
                <w:noProof/>
                <w:szCs w:val="20"/>
              </w:rPr>
            </w:pPr>
            <w:r>
              <w:rPr>
                <w:noProof/>
              </w:rPr>
              <w:t>Q4</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06AFCC6" w14:textId="77777777" w:rsidR="00E42B18" w:rsidRDefault="009629C4">
            <w:pPr>
              <w:pStyle w:val="P68B1DB1-Normal11"/>
              <w:spacing w:before="120" w:after="120"/>
              <w:jc w:val="center"/>
              <w:rPr>
                <w:rFonts w:eastAsia="Calibri"/>
                <w:noProof/>
                <w:szCs w:val="20"/>
              </w:rPr>
            </w:pPr>
            <w:r>
              <w:rPr>
                <w:noProof/>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36FF30D" w14:textId="77777777" w:rsidR="00E42B18" w:rsidRDefault="009629C4">
            <w:pPr>
              <w:pStyle w:val="P68B1DB1-Normal11"/>
              <w:spacing w:before="120" w:after="120"/>
              <w:rPr>
                <w:rFonts w:eastAsia="Calibri"/>
                <w:noProof/>
                <w:szCs w:val="20"/>
              </w:rPr>
            </w:pPr>
            <w:r>
              <w:rPr>
                <w:noProof/>
              </w:rPr>
              <w:t>Vähintään 250 julkista työvoimapalvelua on toteuttanut vähintään 50 prosenttia vahvistamissuunnitelmassa suunnitelluista toimista kolmen vuoden aikana 2021–2023.</w:t>
            </w:r>
          </w:p>
          <w:p w14:paraId="48CBF943" w14:textId="77777777" w:rsidR="00E42B18" w:rsidRDefault="009629C4">
            <w:pPr>
              <w:pStyle w:val="P68B1DB1-Normal11"/>
              <w:spacing w:before="120" w:after="120"/>
              <w:rPr>
                <w:rFonts w:eastAsia="Calibri"/>
                <w:noProof/>
                <w:szCs w:val="20"/>
              </w:rPr>
            </w:pPr>
            <w:r>
              <w:rPr>
                <w:noProof/>
              </w:rPr>
              <w:t>Nämä toimet ovat keskitetyn vahvistamissuunnitelman mukaisia, ja ne on määritelty tarkemmin alueellisella tasolla tarveanalyysin ja kohdennettujen resurssien perusteella.</w:t>
            </w:r>
          </w:p>
          <w:p w14:paraId="54265A60" w14:textId="77777777" w:rsidR="00E42B18" w:rsidRDefault="009629C4">
            <w:pPr>
              <w:pStyle w:val="P68B1DB1-Normal11"/>
              <w:spacing w:before="120" w:after="120"/>
              <w:rPr>
                <w:rFonts w:eastAsia="Calibri"/>
                <w:noProof/>
                <w:szCs w:val="20"/>
              </w:rPr>
            </w:pPr>
            <w:r>
              <w:rPr>
                <w:noProof/>
              </w:rPr>
              <w:t xml:space="preserve">Näihin toimiin kuuluvat: I) julkisten työvoimapalvelujen nykyisten sijaintien kunnostaminen ja kunnostaminen sekä uusien hankinta; II) tietojärjestelmän täytäntöönpanon jatkaminen kansallisen yhteentoimivuuden kannalta; III) henkilöstön ammatillinen koulutus; IV) paikallisten työmarkkinoiden alueellisten seurantakeskusten perustaminen; V) institutionaalinen viestintä ja tiedotus. </w:t>
            </w:r>
          </w:p>
          <w:p w14:paraId="5E660950" w14:textId="77777777" w:rsidR="00E42B18" w:rsidRDefault="009629C4">
            <w:pPr>
              <w:pStyle w:val="P68B1DB1-Normal11"/>
              <w:spacing w:before="120" w:after="120"/>
              <w:rPr>
                <w:rFonts w:eastAsia="Calibri"/>
                <w:noProof/>
                <w:szCs w:val="20"/>
              </w:rPr>
            </w:pPr>
            <w:r>
              <w:rPr>
                <w:noProof/>
              </w:rPr>
              <w:t>Tämä tavoite ei koske infrastruktuuritoimia.</w:t>
            </w:r>
          </w:p>
          <w:p w14:paraId="0B80263F" w14:textId="77777777" w:rsidR="00E42B18" w:rsidRDefault="009629C4">
            <w:pPr>
              <w:pStyle w:val="P68B1DB1-Normal11"/>
              <w:spacing w:before="120" w:after="120"/>
              <w:rPr>
                <w:rFonts w:eastAsia="Calibri"/>
                <w:noProof/>
                <w:szCs w:val="20"/>
              </w:rPr>
            </w:pPr>
            <w:r>
              <w:rPr>
                <w:noProof/>
              </w:rPr>
              <w:t>Tavoitteen saavuttamisessa varmistetaan tasavertainen tasapaino alueellisen jakautumisen osalta (pohjoinen, keskinen ja eteläinen).</w:t>
            </w:r>
          </w:p>
        </w:tc>
      </w:tr>
      <w:tr w:rsidR="00E42B18" w14:paraId="60AB01AC"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21528" w14:textId="77777777" w:rsidR="00E42B18" w:rsidRDefault="009629C4">
            <w:pPr>
              <w:pStyle w:val="P68B1DB1-Normal12"/>
              <w:spacing w:before="120" w:after="120"/>
              <w:jc w:val="center"/>
              <w:rPr>
                <w:rFonts w:eastAsia="Calibri"/>
                <w:noProof/>
                <w:highlight w:val="yellow"/>
              </w:rPr>
            </w:pPr>
            <w:r>
              <w:rPr>
                <w:noProof/>
              </w:rPr>
              <w:t>M5C1–7</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027B18" w14:textId="77777777" w:rsidR="00E42B18" w:rsidRDefault="009629C4">
            <w:pPr>
              <w:pStyle w:val="P68B1DB1-Normal11"/>
              <w:spacing w:before="120" w:after="120"/>
              <w:jc w:val="center"/>
              <w:rPr>
                <w:rFonts w:eastAsia="Calibri"/>
                <w:noProof/>
                <w:szCs w:val="20"/>
              </w:rPr>
            </w:pPr>
            <w:r>
              <w:rPr>
                <w:noProof/>
              </w:rPr>
              <w:t>Investointi 1 – Julkisten työvoimapalvelujen vahvistaminen</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A392036" w14:textId="77777777" w:rsidR="00E42B18" w:rsidRDefault="009629C4">
            <w:pPr>
              <w:pStyle w:val="P68B1DB1-Normal12"/>
              <w:spacing w:before="120" w:after="120"/>
              <w:jc w:val="center"/>
              <w:rPr>
                <w:noProof/>
              </w:rPr>
            </w:pPr>
            <w:r>
              <w:rPr>
                <w:noProof/>
              </w:rPr>
              <w:t>Kohde</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957EF3" w14:textId="77777777" w:rsidR="00E42B18" w:rsidRDefault="009629C4">
            <w:pPr>
              <w:pStyle w:val="P68B1DB1-Normal12"/>
              <w:spacing w:before="120" w:after="120"/>
              <w:jc w:val="center"/>
              <w:rPr>
                <w:rFonts w:eastAsia="Calibri"/>
                <w:noProof/>
              </w:rPr>
            </w:pPr>
            <w:r>
              <w:rPr>
                <w:noProof/>
              </w:rPr>
              <w:t>Julkiset työvoimapalvelut ovat saattaneet päätökseen vahvistamissuunnitelmassa suunnitellut toimet.</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34071E" w14:textId="77777777" w:rsidR="00E42B18" w:rsidRDefault="009629C4">
            <w:pPr>
              <w:pStyle w:val="P68B1DB1-Normal12"/>
              <w:spacing w:before="120" w:after="120"/>
              <w:jc w:val="center"/>
              <w:rPr>
                <w:rFonts w:eastAsia="Calibri"/>
                <w:noProof/>
              </w:rPr>
            </w:pPr>
            <w:r>
              <w:rPr>
                <w:noProof/>
              </w:rPr>
              <w:t>EI OLE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01F7BE" w14:textId="77777777" w:rsidR="00E42B18" w:rsidRDefault="009629C4">
            <w:pPr>
              <w:pStyle w:val="P68B1DB1-Normal11"/>
              <w:spacing w:before="120" w:after="120"/>
              <w:jc w:val="center"/>
              <w:rPr>
                <w:rFonts w:eastAsia="Calibri"/>
                <w:noProof/>
                <w:szCs w:val="20"/>
              </w:rPr>
            </w:pPr>
            <w:r>
              <w:rPr>
                <w:noProof/>
              </w:rPr>
              <w:t xml:space="preserve">Numero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8A18CE" w14:textId="77777777" w:rsidR="00E42B18" w:rsidRDefault="009629C4">
            <w:pPr>
              <w:pStyle w:val="P68B1DB1-Normal11"/>
              <w:spacing w:before="120" w:after="120"/>
              <w:jc w:val="center"/>
              <w:rPr>
                <w:rFonts w:eastAsia="Calibri"/>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E65613" w14:textId="77777777" w:rsidR="00E42B18" w:rsidRDefault="009629C4">
            <w:pPr>
              <w:pStyle w:val="P68B1DB1-Normal12"/>
              <w:spacing w:before="120" w:after="120"/>
              <w:jc w:val="center"/>
              <w:rPr>
                <w:noProof/>
                <w:highlight w:val="yellow"/>
              </w:rPr>
            </w:pPr>
            <w:r>
              <w:rPr>
                <w:noProof/>
              </w:rPr>
              <w:t>326</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80FC6F" w14:textId="77777777" w:rsidR="00E42B18" w:rsidRDefault="009629C4">
            <w:pPr>
              <w:pStyle w:val="P68B1DB1-Normal11"/>
              <w:spacing w:before="120" w:after="120"/>
              <w:jc w:val="center"/>
              <w:rPr>
                <w:rFonts w:eastAsia="Calibri"/>
                <w:noProof/>
                <w:szCs w:val="20"/>
              </w:rPr>
            </w:pPr>
            <w:r>
              <w:rPr>
                <w:noProof/>
              </w:rPr>
              <w:t>Q4</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960E686" w14:textId="77777777" w:rsidR="00E42B18" w:rsidRDefault="009629C4">
            <w:pPr>
              <w:pStyle w:val="P68B1DB1-Normal11"/>
              <w:spacing w:before="120" w:after="120"/>
              <w:jc w:val="center"/>
              <w:rPr>
                <w:rFonts w:eastAsia="Calibri"/>
                <w:noProof/>
                <w:szCs w:val="20"/>
              </w:rPr>
            </w:pPr>
            <w:r>
              <w:rPr>
                <w:noProof/>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5E155F1" w14:textId="34B1928A" w:rsidR="00E42B18" w:rsidRDefault="009629C4">
            <w:pPr>
              <w:pStyle w:val="P68B1DB1-Normal11"/>
              <w:spacing w:before="120" w:after="120"/>
              <w:rPr>
                <w:rFonts w:eastAsia="Calibri"/>
                <w:noProof/>
                <w:szCs w:val="20"/>
              </w:rPr>
            </w:pPr>
            <w:r>
              <w:rPr>
                <w:noProof/>
                <w:szCs w:val="20"/>
              </w:rPr>
              <w:t>Ainakin 326 julkista työvoimapalvelua ja aluetoimistoa on saattanut päätökseen alueellisten työvoimakeskusten vahvistamista koskevien alueellisten suunnitelmien mukaiset toimet (</w:t>
            </w:r>
            <w:r>
              <w:rPr>
                <w:i/>
                <w:noProof/>
                <w:szCs w:val="20"/>
              </w:rPr>
              <w:t>Piani regionali di potenziamento dei centri per l’impiego)</w:t>
            </w:r>
            <w:r>
              <w:rPr>
                <w:noProof/>
                <w:szCs w:val="20"/>
              </w:rPr>
              <w:t xml:space="preserve">. Näitä toimia ovat muun </w:t>
            </w:r>
            <w:r>
              <w:rPr>
                <w:noProof/>
              </w:rPr>
              <w:t>muassa seuraavat: Sen kehittäminen, henkilöstön koulutus, paikallisten työmarkkinoiden alueellisten seurantakeskusten perustaminen ja viestintäkampanjat.</w:t>
            </w:r>
          </w:p>
        </w:tc>
      </w:tr>
      <w:tr w:rsidR="00E42B18" w14:paraId="6806E5BB"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6C1EE5" w14:textId="77777777" w:rsidR="00E42B18" w:rsidRDefault="009629C4">
            <w:pPr>
              <w:pStyle w:val="P68B1DB1-Normal12"/>
              <w:jc w:val="center"/>
              <w:rPr>
                <w:noProof/>
                <w:highlight w:val="yellow"/>
              </w:rPr>
            </w:pPr>
            <w:r>
              <w:rPr>
                <w:noProof/>
              </w:rPr>
              <w:t>M5C1–7a</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E9F0E3" w14:textId="77777777" w:rsidR="00E42B18" w:rsidRDefault="009629C4">
            <w:pPr>
              <w:pStyle w:val="P68B1DB1-Normal12"/>
              <w:spacing w:before="120" w:after="120"/>
              <w:jc w:val="center"/>
              <w:rPr>
                <w:rFonts w:eastAsia="Calibri"/>
                <w:noProof/>
              </w:rPr>
            </w:pPr>
            <w:r>
              <w:rPr>
                <w:noProof/>
              </w:rPr>
              <w:t>Investointi 1 – Julkisten työvoimapalvelujen vahvistaminen</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B090F" w14:textId="77777777" w:rsidR="00E42B18" w:rsidRDefault="009629C4">
            <w:pPr>
              <w:pStyle w:val="P68B1DB1-Normal11"/>
              <w:jc w:val="center"/>
              <w:rPr>
                <w:rFonts w:eastAsia="Calibri"/>
                <w:noProof/>
                <w:szCs w:val="20"/>
              </w:rPr>
            </w:pPr>
            <w:r>
              <w:rPr>
                <w:noProof/>
              </w:rPr>
              <w:t>Kohde</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276110" w14:textId="0058D981" w:rsidR="00E42B18" w:rsidRDefault="009629C4">
            <w:pPr>
              <w:pStyle w:val="P68B1DB1-Normal11"/>
              <w:jc w:val="center"/>
              <w:rPr>
                <w:noProof/>
                <w:szCs w:val="20"/>
              </w:rPr>
            </w:pPr>
            <w:r>
              <w:rPr>
                <w:noProof/>
              </w:rPr>
              <w:t xml:space="preserve">Julkisten työvoimapalvelujen infrastruktuuritoiminta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C369C5" w14:textId="77777777" w:rsidR="00E42B18" w:rsidRDefault="009629C4">
            <w:pPr>
              <w:pStyle w:val="P68B1DB1-Normal12"/>
              <w:jc w:val="center"/>
              <w:rPr>
                <w:rFonts w:eastAsia="Calibri"/>
                <w:noProof/>
              </w:rPr>
            </w:pPr>
            <w:r>
              <w:rPr>
                <w:noProof/>
              </w:rPr>
              <w:t>EI OLE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BD84EF" w14:textId="77777777" w:rsidR="00E42B18" w:rsidRDefault="009629C4">
            <w:pPr>
              <w:pStyle w:val="P68B1DB1-Normal11"/>
              <w:jc w:val="center"/>
              <w:rPr>
                <w:rFonts w:eastAsia="Calibri"/>
                <w:noProof/>
                <w:szCs w:val="20"/>
              </w:rPr>
            </w:pPr>
            <w:r>
              <w:rPr>
                <w:noProof/>
              </w:rPr>
              <w:t xml:space="preserve">Numero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17A8C" w14:textId="77777777" w:rsidR="00E42B18" w:rsidRDefault="009629C4">
            <w:pPr>
              <w:pStyle w:val="P68B1DB1-Normal11"/>
              <w:jc w:val="center"/>
              <w:rPr>
                <w:rFonts w:eastAsia="Calibri"/>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72FC4" w14:textId="77777777" w:rsidR="00E42B18" w:rsidRDefault="009629C4">
            <w:pPr>
              <w:pStyle w:val="P68B1DB1-Normal12"/>
              <w:jc w:val="center"/>
              <w:rPr>
                <w:rFonts w:eastAsia="Calibri"/>
                <w:noProof/>
              </w:rPr>
            </w:pPr>
            <w:r>
              <w:rPr>
                <w:noProof/>
              </w:rPr>
              <w:t>270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05A0F" w14:textId="77777777" w:rsidR="00E42B18" w:rsidRDefault="009629C4">
            <w:pPr>
              <w:pStyle w:val="P68B1DB1-Normal11"/>
              <w:jc w:val="center"/>
              <w:rPr>
                <w:rFonts w:eastAsia="Calibri"/>
                <w:noProof/>
                <w:szCs w:val="20"/>
              </w:rPr>
            </w:pPr>
            <w:r>
              <w:rPr>
                <w:noProof/>
              </w:rPr>
              <w:t>Q2</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2B9B7C" w14:textId="77777777" w:rsidR="00E42B18" w:rsidRDefault="009629C4">
            <w:pPr>
              <w:pStyle w:val="P68B1DB1-Normal11"/>
              <w:jc w:val="center"/>
              <w:rPr>
                <w:rFonts w:eastAsia="Calibri"/>
                <w:noProof/>
                <w:szCs w:val="20"/>
              </w:rPr>
            </w:pPr>
            <w:r>
              <w:rPr>
                <w:noProof/>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F8BA11" w14:textId="77777777" w:rsidR="00E42B18" w:rsidRDefault="009629C4">
            <w:pPr>
              <w:pStyle w:val="P68B1DB1-Normal12"/>
              <w:spacing w:before="120" w:after="120"/>
              <w:rPr>
                <w:rFonts w:eastAsia="Calibri"/>
                <w:noProof/>
              </w:rPr>
            </w:pPr>
            <w:r>
              <w:rPr>
                <w:noProof/>
              </w:rPr>
              <w:t xml:space="preserve">Vähintään 270 julkista työvoimapalvelua ja alueellisia toimistotiloja on kunnostettu ja/tai kunnostettu tai hankittu julkisten työvoimakeskusten vahvistamista koskevien alueellisten suunnitelmien </w:t>
            </w:r>
            <w:r>
              <w:rPr>
                <w:i/>
                <w:noProof/>
              </w:rPr>
              <w:t>(Piani regionali di potenziamento dei centri per l’impiego)</w:t>
            </w:r>
            <w:r>
              <w:rPr>
                <w:noProof/>
              </w:rPr>
              <w:t xml:space="preserve"> mukaisesti.</w:t>
            </w:r>
          </w:p>
        </w:tc>
      </w:tr>
      <w:tr w:rsidR="00E42B18" w14:paraId="31789569" w14:textId="77777777">
        <w:trPr>
          <w:trHeight w:val="5175"/>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BA822AE" w14:textId="77777777" w:rsidR="00E42B18" w:rsidRDefault="009629C4">
            <w:pPr>
              <w:pStyle w:val="P68B1DB1-Normal11"/>
              <w:jc w:val="center"/>
              <w:rPr>
                <w:rFonts w:eastAsia="Calibri"/>
                <w:noProof/>
                <w:szCs w:val="20"/>
              </w:rPr>
            </w:pPr>
            <w:r>
              <w:rPr>
                <w:noProof/>
              </w:rPr>
              <w:t>M5C1–8</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C474EB2" w14:textId="77777777" w:rsidR="00E42B18" w:rsidRDefault="009629C4">
            <w:pPr>
              <w:pStyle w:val="P68B1DB1-Normal11"/>
              <w:jc w:val="center"/>
              <w:rPr>
                <w:rFonts w:eastAsia="Calibri"/>
                <w:noProof/>
                <w:szCs w:val="20"/>
              </w:rPr>
            </w:pPr>
            <w:r>
              <w:rPr>
                <w:noProof/>
              </w:rPr>
              <w:t>Uudistus 2 – Ilmoittamaton työ</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A2C247" w14:textId="77777777" w:rsidR="00E42B18" w:rsidRDefault="009629C4">
            <w:pPr>
              <w:pStyle w:val="P68B1DB1-Normal11"/>
              <w:jc w:val="center"/>
              <w:rPr>
                <w:rFonts w:eastAsia="Calibri"/>
                <w:noProof/>
                <w:szCs w:val="20"/>
              </w:rPr>
            </w:pPr>
            <w:r>
              <w:rPr>
                <w:noProof/>
              </w:rPr>
              <w:t>Virstanpylväs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D03FFCC" w14:textId="77777777" w:rsidR="00E42B18" w:rsidRDefault="009629C4">
            <w:pPr>
              <w:pStyle w:val="P68B1DB1-Normal11"/>
              <w:jc w:val="center"/>
              <w:rPr>
                <w:noProof/>
                <w:szCs w:val="20"/>
              </w:rPr>
            </w:pPr>
            <w:r>
              <w:rPr>
                <w:noProof/>
              </w:rPr>
              <w:t>Pimeän työn torjuntaa kaikilla talouden aloilla koskevan kansallisen suunnitelman ja täytäntöönpanosuunnitelman voimaantulo</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D79256D" w14:textId="77777777" w:rsidR="00E42B18" w:rsidRDefault="009629C4">
            <w:pPr>
              <w:pStyle w:val="P68B1DB1-Normal11"/>
              <w:jc w:val="center"/>
              <w:rPr>
                <w:rFonts w:eastAsia="Calibri"/>
                <w:noProof/>
                <w:szCs w:val="20"/>
              </w:rPr>
            </w:pPr>
            <w:r>
              <w:rPr>
                <w:noProof/>
              </w:rPr>
              <w:t>Kansallisen suunnitelman voimaantuloa koskevat lain säännökset ja kansallisen suunnitelman ja täytäntöönpanosuunnitelman laatimisesta vastaavan toimielinten välisen työryhmän perustaminen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9DAB3A" w14:textId="77777777" w:rsidR="00E42B18" w:rsidRDefault="009629C4">
            <w:pPr>
              <w:pStyle w:val="P68B1DB1-Normal11"/>
              <w:jc w:val="center"/>
              <w:rPr>
                <w:rFonts w:eastAsia="Calibri"/>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ABEA7BD" w14:textId="77777777" w:rsidR="00E42B18" w:rsidRDefault="009629C4">
            <w:pPr>
              <w:pStyle w:val="P68B1DB1-Normal11"/>
              <w:jc w:val="center"/>
              <w:rPr>
                <w:rFonts w:eastAsia="Calibri"/>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35C510" w14:textId="77777777" w:rsidR="00E42B18" w:rsidRDefault="009629C4">
            <w:pPr>
              <w:pStyle w:val="P68B1DB1-Normal11"/>
              <w:jc w:val="center"/>
              <w:rPr>
                <w:rFonts w:eastAsia="Calibri"/>
                <w:noProof/>
                <w:szCs w:val="20"/>
              </w:rPr>
            </w:pPr>
            <w:r>
              <w:rPr>
                <w:noProof/>
              </w:rPr>
              <w:t>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CD5FAFC" w14:textId="77777777" w:rsidR="00E42B18" w:rsidRDefault="009629C4">
            <w:pPr>
              <w:pStyle w:val="P68B1DB1-Normal11"/>
              <w:jc w:val="center"/>
              <w:rPr>
                <w:rFonts w:eastAsia="Calibri"/>
                <w:noProof/>
                <w:szCs w:val="20"/>
              </w:rPr>
            </w:pPr>
            <w:r>
              <w:rPr>
                <w:noProof/>
              </w:rPr>
              <w:t>Q4</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0A7F46" w14:textId="77777777" w:rsidR="00E42B18" w:rsidRDefault="009629C4">
            <w:pPr>
              <w:pStyle w:val="P68B1DB1-Normal11"/>
              <w:jc w:val="center"/>
              <w:rPr>
                <w:rFonts w:eastAsia="Calibri"/>
                <w:noProof/>
                <w:szCs w:val="20"/>
              </w:rPr>
            </w:pPr>
            <w:r>
              <w:rPr>
                <w:noProof/>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C15F4C" w14:textId="6996F8ED" w:rsidR="00E42B18" w:rsidRDefault="009629C4">
            <w:pPr>
              <w:rPr>
                <w:rFonts w:ascii="Arial Narrow" w:eastAsia="Calibri" w:hAnsi="Arial Narrow"/>
                <w:noProof/>
                <w:color w:val="006100"/>
                <w:sz w:val="20"/>
                <w:szCs w:val="20"/>
              </w:rPr>
            </w:pPr>
            <w:r>
              <w:rPr>
                <w:noProof/>
              </w:rPr>
              <w:t xml:space="preserve">Kansallisen suunnitelman ja aikasidonnaisen (yksi vuosi) täytäntöönpanosuunnitelman </w:t>
            </w:r>
            <w:r>
              <w:rPr>
                <w:rFonts w:ascii="Arial Narrow" w:hAnsi="Arial Narrow"/>
                <w:noProof/>
                <w:color w:val="006100"/>
                <w:sz w:val="20"/>
                <w:szCs w:val="20"/>
              </w:rPr>
              <w:t xml:space="preserve">hyväksyminen pimeän työn torjumiseksi kaikilla talouden aloilla. Kansallisen suunnitelman on perustuttava pimeän työn torjuntaa koskevaan yleiseen strategiaan ja eri virastojen väliseen lähestymistapaan, jota on käytetty hyväksyttäessä maatalousalan työvoiman hyväksikäytön torjuntaa koskeva kansallinen suunnitelma ”Piano triennale di contrasto allo allo sfruttamento lavorativo in agricoltura e al caporalato (2020–2022)”. Kansallisessa suunnitelmassa ja täytäntöönpanoa koskevassa etenemissuunnitelmassa on oltava vähintään seuraavat tiedot: </w:t>
            </w:r>
            <w:r>
              <w:rPr>
                <w:noProof/>
              </w:rPr>
              <w:t xml:space="preserve"> </w:t>
            </w:r>
            <w:r>
              <w:rPr>
                <w:noProof/>
              </w:rPr>
              <w:br/>
            </w:r>
            <w:r>
              <w:rPr>
                <w:rFonts w:ascii="Arial Narrow" w:hAnsi="Arial Narrow"/>
                <w:noProof/>
                <w:color w:val="006100"/>
                <w:sz w:val="20"/>
                <w:szCs w:val="20"/>
              </w:rPr>
              <w:t xml:space="preserve">I) toimenpiteet, joilla parannetaan pimeää työtä koskevien yksityiskohtaisten tietojen tuottamista, keräämistä ja oikea-aikaista jakelua; </w:t>
            </w:r>
            <w:r>
              <w:rPr>
                <w:noProof/>
              </w:rPr>
              <w:t xml:space="preserve"> </w:t>
            </w:r>
            <w:r>
              <w:rPr>
                <w:noProof/>
              </w:rPr>
              <w:br/>
            </w:r>
            <w:r>
              <w:rPr>
                <w:rFonts w:ascii="Arial Narrow" w:hAnsi="Arial Narrow"/>
                <w:noProof/>
                <w:color w:val="006100"/>
                <w:sz w:val="20"/>
                <w:szCs w:val="20"/>
              </w:rPr>
              <w:t xml:space="preserve">II) otetaan käyttöön suoria ja epäsuoria toimenpiteitä pimeän työn muuttamiseksi ilmoitetuksi työksi varmistamalla, että ilmoitetussa taloudessa toimimisesta saatavat hyödyt ovat suuremmat kuin pimeässä taloudessa työskentelystä aiheutuvat kustannukset. Esimerkiksi a) ennalta ehkäisevät toimenpiteet, kuten tarkastusten ja seuraamusten vahvistaminen, ja ennalta ehkäisevät toimenpiteet ilmoitetun työn edistämiseksi, kuten kohdennetut taloudelliset kannustimet, myös tarkistamalla ja järkeistämällä nykyisiä; b) vahvistetaan yhteyttä työllisyys- ja sosiaalipolitiikkaan; </w:t>
            </w:r>
            <w:r>
              <w:rPr>
                <w:noProof/>
              </w:rPr>
              <w:t xml:space="preserve"> </w:t>
            </w:r>
            <w:r>
              <w:rPr>
                <w:noProof/>
              </w:rPr>
              <w:br/>
            </w:r>
            <w:r>
              <w:rPr>
                <w:rFonts w:ascii="Arial Narrow" w:hAnsi="Arial Narrow"/>
                <w:noProof/>
                <w:color w:val="006100"/>
                <w:sz w:val="20"/>
                <w:szCs w:val="20"/>
              </w:rPr>
              <w:t xml:space="preserve">III) työnantajille ja työntekijöille suunnattu kansallinen tiedotuskampanja pimeän työn ”haitoista”, johon työmarkkinaosapuolet osallistuvat aktiivisesti; </w:t>
            </w:r>
            <w:r>
              <w:rPr>
                <w:noProof/>
              </w:rPr>
              <w:t xml:space="preserve"> </w:t>
            </w:r>
            <w:r>
              <w:rPr>
                <w:noProof/>
              </w:rPr>
              <w:br/>
            </w:r>
            <w:r>
              <w:rPr>
                <w:rFonts w:ascii="Arial Narrow" w:hAnsi="Arial Narrow"/>
                <w:noProof/>
                <w:color w:val="006100"/>
                <w:sz w:val="20"/>
                <w:szCs w:val="20"/>
              </w:rPr>
              <w:t xml:space="preserve">IV) hallintorakenne, jolla varmistetaan toimien tehokas täytäntöönpano; </w:t>
            </w:r>
          </w:p>
          <w:p w14:paraId="6671A94B" w14:textId="77777777" w:rsidR="00E42B18" w:rsidRDefault="009629C4">
            <w:pPr>
              <w:pStyle w:val="P68B1DB1-Normal11"/>
              <w:rPr>
                <w:rFonts w:eastAsia="Calibri"/>
                <w:noProof/>
                <w:szCs w:val="20"/>
              </w:rPr>
            </w:pPr>
            <w:r>
              <w:rPr>
                <w:noProof/>
              </w:rPr>
              <w:t>V) toimenpiteet laittomien siirtokuntien poistamiseksi, jotta voidaan torjua työvoiman hyväksikäyttöä maataloudessa.</w:t>
            </w:r>
          </w:p>
        </w:tc>
      </w:tr>
      <w:tr w:rsidR="00E42B18" w14:paraId="163C2CFD"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08BDF3" w14:textId="77777777" w:rsidR="00E42B18" w:rsidRDefault="009629C4">
            <w:pPr>
              <w:pStyle w:val="P68B1DB1-Normal11"/>
              <w:jc w:val="center"/>
              <w:rPr>
                <w:rFonts w:eastAsia="Calibri"/>
                <w:noProof/>
                <w:szCs w:val="20"/>
              </w:rPr>
            </w:pPr>
            <w:r>
              <w:rPr>
                <w:noProof/>
              </w:rPr>
              <w:t>M5C1–9</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6C0731" w14:textId="77777777" w:rsidR="00E42B18" w:rsidRDefault="009629C4">
            <w:pPr>
              <w:pStyle w:val="P68B1DB1-Normal11"/>
              <w:jc w:val="center"/>
              <w:rPr>
                <w:rFonts w:eastAsia="Calibri"/>
                <w:noProof/>
                <w:szCs w:val="20"/>
              </w:rPr>
            </w:pPr>
            <w:r>
              <w:rPr>
                <w:noProof/>
              </w:rPr>
              <w:t>Uudistus 2 – Ilmoittamaton työ</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5CBCA5" w14:textId="77777777" w:rsidR="00E42B18" w:rsidRDefault="009629C4">
            <w:pPr>
              <w:pStyle w:val="P68B1DB1-Normal11"/>
              <w:jc w:val="center"/>
              <w:rPr>
                <w:rFonts w:eastAsia="Calibri"/>
                <w:noProof/>
                <w:szCs w:val="20"/>
              </w:rPr>
            </w:pPr>
            <w:r>
              <w:rPr>
                <w:noProof/>
              </w:rPr>
              <w:t>Virstanpylväs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BBDB140" w14:textId="77777777" w:rsidR="00E42B18" w:rsidRDefault="009629C4">
            <w:pPr>
              <w:pStyle w:val="P68B1DB1-Normal11"/>
              <w:jc w:val="center"/>
              <w:rPr>
                <w:rFonts w:eastAsia="Arial Narrow" w:cs="Arial Narrow"/>
                <w:noProof/>
                <w:szCs w:val="20"/>
              </w:rPr>
            </w:pPr>
            <w:r>
              <w:rPr>
                <w:noProof/>
              </w:rPr>
              <w:t>Toteutetaan toimia pimeän työn torjumiseksi</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45BDA4" w14:textId="77777777" w:rsidR="00E42B18" w:rsidRDefault="009629C4">
            <w:pPr>
              <w:pStyle w:val="P68B1DB1-Normal11"/>
              <w:jc w:val="center"/>
              <w:rPr>
                <w:rFonts w:eastAsia="Arial Narrow" w:cs="Arial Narrow"/>
                <w:noProof/>
                <w:szCs w:val="20"/>
              </w:rPr>
            </w:pPr>
            <w:r>
              <w:rPr>
                <w:noProof/>
              </w:rPr>
              <w:t>Toteutetut toimet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9890ACD" w14:textId="77777777" w:rsidR="00E42B18" w:rsidRDefault="009629C4">
            <w:pPr>
              <w:pStyle w:val="P68B1DB1-Normal11"/>
              <w:jc w:val="center"/>
              <w:rPr>
                <w:rFonts w:eastAsia="Calibri"/>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9704C97" w14:textId="77777777" w:rsidR="00E42B18" w:rsidRDefault="009629C4">
            <w:pPr>
              <w:pStyle w:val="P68B1DB1-Normal11"/>
              <w:jc w:val="center"/>
              <w:rPr>
                <w:rFonts w:eastAsia="Calibri"/>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3708D4" w14:textId="77777777" w:rsidR="00E42B18" w:rsidRDefault="009629C4">
            <w:pPr>
              <w:pStyle w:val="P68B1DB1-Normal11"/>
              <w:jc w:val="center"/>
              <w:rPr>
                <w:rFonts w:eastAsia="Calibri"/>
                <w:noProof/>
                <w:szCs w:val="20"/>
              </w:rPr>
            </w:pPr>
            <w:r>
              <w:rPr>
                <w:noProof/>
              </w:rPr>
              <w:t>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5AB442" w14:textId="77777777" w:rsidR="00E42B18" w:rsidRDefault="009629C4">
            <w:pPr>
              <w:pStyle w:val="P68B1DB1-Normal11"/>
              <w:jc w:val="center"/>
              <w:rPr>
                <w:rFonts w:eastAsia="Calibri"/>
                <w:noProof/>
                <w:szCs w:val="20"/>
              </w:rPr>
            </w:pPr>
            <w:r>
              <w:rPr>
                <w:noProof/>
              </w:rPr>
              <w:t>Q1</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C242EE" w14:textId="77777777" w:rsidR="00E42B18" w:rsidRDefault="009629C4">
            <w:pPr>
              <w:pStyle w:val="P68B1DB1-Normal11"/>
              <w:jc w:val="center"/>
              <w:rPr>
                <w:rFonts w:eastAsia="Calibri"/>
                <w:noProof/>
                <w:szCs w:val="20"/>
              </w:rPr>
            </w:pPr>
            <w:r>
              <w:rPr>
                <w:noProof/>
              </w:rPr>
              <w:t>2024</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8EA783" w14:textId="5FD898C7" w:rsidR="00E42B18" w:rsidRDefault="009629C4">
            <w:pPr>
              <w:pStyle w:val="P68B1DB1-Normal11"/>
              <w:rPr>
                <w:noProof/>
                <w:szCs w:val="20"/>
              </w:rPr>
            </w:pPr>
            <w:r>
              <w:rPr>
                <w:noProof/>
              </w:rPr>
              <w:t xml:space="preserve">Toteutetaan seuraavat toimet:  </w:t>
            </w:r>
          </w:p>
          <w:p w14:paraId="2EBD1A97" w14:textId="1369EDBA" w:rsidR="00E42B18" w:rsidRDefault="009629C4">
            <w:pPr>
              <w:pStyle w:val="P68B1DB1-Normal11"/>
              <w:rPr>
                <w:noProof/>
                <w:szCs w:val="20"/>
              </w:rPr>
            </w:pPr>
            <w:r>
              <w:rPr>
                <w:noProof/>
              </w:rPr>
              <w:t xml:space="preserve">I) Otetaan käyttöön toimenpiteitä, joilla parannetaan pimeää työtä koskevien yksityiskohtaisten tietojen keruuta; </w:t>
            </w:r>
          </w:p>
          <w:p w14:paraId="27B1F011" w14:textId="61D1AD78" w:rsidR="00E42B18" w:rsidRDefault="009629C4">
            <w:pPr>
              <w:pStyle w:val="P68B1DB1-Normal11"/>
              <w:rPr>
                <w:noProof/>
                <w:szCs w:val="20"/>
              </w:rPr>
            </w:pPr>
            <w:r>
              <w:rPr>
                <w:noProof/>
              </w:rPr>
              <w:t xml:space="preserve">II) Otetaan käyttöön toimenpiteitä pimeän työn muuttamiseksi ilmoitetuksi työksi:  </w:t>
            </w:r>
          </w:p>
          <w:p w14:paraId="70539483" w14:textId="77777777" w:rsidR="00E42B18" w:rsidRDefault="009629C4">
            <w:pPr>
              <w:pStyle w:val="P68B1DB1-Normal11"/>
              <w:rPr>
                <w:noProof/>
                <w:szCs w:val="20"/>
              </w:rPr>
            </w:pPr>
            <w:r>
              <w:rPr>
                <w:noProof/>
              </w:rPr>
              <w:t>ennalta ehkäisevät toimenpiteet, joihin voi sisältyä muun muassa tarkastusten ja seuraamusten vahvistaminen sekä ennalta ehkäisevät toimenpiteet ilmoitetun työn edistämiseksi, joihin voi sisältyä muun muassa kohdennettuja taloudellisia kannustimia;</w:t>
            </w:r>
          </w:p>
          <w:p w14:paraId="51756BB6" w14:textId="77777777" w:rsidR="00E42B18" w:rsidRDefault="009629C4">
            <w:pPr>
              <w:pStyle w:val="P68B1DB1-Normal11"/>
              <w:rPr>
                <w:noProof/>
                <w:szCs w:val="20"/>
              </w:rPr>
            </w:pPr>
            <w:r>
              <w:rPr>
                <w:noProof/>
              </w:rPr>
              <w:t>toimenpiteet, joilla vahvistetaan yhteyttä aktiiviseen työmarkkinapolitiikkaan, johon voi sisältyä muun muassa työvoimapalvelujen tarjoajien kouluttaminen;</w:t>
            </w:r>
          </w:p>
          <w:p w14:paraId="20B2045A" w14:textId="77777777" w:rsidR="00E42B18" w:rsidRDefault="009629C4">
            <w:pPr>
              <w:pStyle w:val="P68B1DB1-Normal11"/>
              <w:rPr>
                <w:noProof/>
                <w:szCs w:val="20"/>
              </w:rPr>
            </w:pPr>
            <w:r>
              <w:rPr>
                <w:noProof/>
              </w:rPr>
              <w:t xml:space="preserve">III) Toteutetaan kansallinen tiedotuskampanja pimeän työn ”haitoista” </w:t>
            </w:r>
          </w:p>
          <w:p w14:paraId="685DC55D" w14:textId="77777777" w:rsidR="00E42B18" w:rsidRDefault="009629C4">
            <w:pPr>
              <w:pStyle w:val="P68B1DB1-Normal11"/>
              <w:rPr>
                <w:noProof/>
                <w:szCs w:val="20"/>
              </w:rPr>
            </w:pPr>
            <w:r>
              <w:rPr>
                <w:noProof/>
              </w:rPr>
              <w:t>IV) Pimeää työtä torjuvan hallintorakenteen työn aloittaminen;</w:t>
            </w:r>
          </w:p>
          <w:p w14:paraId="7069645D" w14:textId="77777777" w:rsidR="00E42B18" w:rsidRDefault="009629C4">
            <w:pPr>
              <w:pStyle w:val="P68B1DB1-Normal11"/>
              <w:spacing w:line="257" w:lineRule="auto"/>
              <w:rPr>
                <w:noProof/>
                <w:szCs w:val="20"/>
              </w:rPr>
            </w:pPr>
            <w:r>
              <w:rPr>
                <w:noProof/>
              </w:rPr>
              <w:t>V) Otetaan käyttöön toimenpiteitä, joilla puututaan työvoiman hyväksikäyttöön maataloudessa.</w:t>
            </w:r>
          </w:p>
        </w:tc>
      </w:tr>
      <w:tr w:rsidR="00E42B18" w14:paraId="7D43F777"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969A4A" w14:textId="77777777" w:rsidR="00E42B18" w:rsidRDefault="009629C4">
            <w:pPr>
              <w:pStyle w:val="P68B1DB1-Normal12"/>
              <w:jc w:val="center"/>
              <w:rPr>
                <w:noProof/>
                <w:highlight w:val="yellow"/>
              </w:rPr>
            </w:pPr>
            <w:r>
              <w:rPr>
                <w:noProof/>
              </w:rPr>
              <w:t xml:space="preserve">M5C1–10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A9BB16" w14:textId="77777777" w:rsidR="00E42B18" w:rsidRDefault="009629C4">
            <w:pPr>
              <w:pStyle w:val="P68B1DB1-Normal12"/>
              <w:jc w:val="center"/>
              <w:rPr>
                <w:rFonts w:eastAsia="Calibri"/>
                <w:noProof/>
              </w:rPr>
            </w:pPr>
            <w:r>
              <w:rPr>
                <w:noProof/>
              </w:rPr>
              <w:t>Uudistus 2 – Ilmoittamaton työ</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7B094B" w14:textId="77777777" w:rsidR="00E42B18" w:rsidRDefault="009629C4">
            <w:pPr>
              <w:pStyle w:val="P68B1DB1-Normal11"/>
              <w:jc w:val="center"/>
              <w:rPr>
                <w:rFonts w:eastAsia="Calibri"/>
                <w:noProof/>
                <w:szCs w:val="20"/>
              </w:rPr>
            </w:pPr>
            <w:r>
              <w:rPr>
                <w:noProof/>
              </w:rPr>
              <w:t>Kohde</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A2054F7" w14:textId="77777777" w:rsidR="00E42B18" w:rsidRDefault="009629C4">
            <w:pPr>
              <w:pStyle w:val="P68B1DB1-Normal11"/>
              <w:jc w:val="center"/>
              <w:rPr>
                <w:rFonts w:eastAsia="Calibri"/>
                <w:noProof/>
                <w:szCs w:val="20"/>
              </w:rPr>
            </w:pPr>
            <w:r>
              <w:rPr>
                <w:noProof/>
              </w:rPr>
              <w:t>Työsuojelutarkastusten ja maatalousverkoston jäsenyyden lisääntyminen</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56875F3" w14:textId="77777777" w:rsidR="00E42B18" w:rsidRDefault="009629C4">
            <w:pPr>
              <w:pStyle w:val="P68B1DB1-Normal11"/>
              <w:jc w:val="center"/>
              <w:rPr>
                <w:rFonts w:eastAsia="Calibri"/>
                <w:noProof/>
                <w:szCs w:val="20"/>
              </w:rPr>
            </w:pPr>
            <w:r>
              <w:rPr>
                <w:noProof/>
              </w:rPr>
              <w:t>EI OLE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81CC89" w14:textId="77777777" w:rsidR="00E42B18" w:rsidRDefault="009629C4">
            <w:pPr>
              <w:pStyle w:val="P68B1DB1-Normal11"/>
              <w:jc w:val="center"/>
              <w:rPr>
                <w:noProof/>
                <w:szCs w:val="20"/>
              </w:rPr>
            </w:pPr>
            <w:r>
              <w:rPr>
                <w:noProof/>
              </w:rPr>
              <w:t xml:space="preserve">Numero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9074C4" w14:textId="77777777" w:rsidR="00E42B18" w:rsidRDefault="009629C4">
            <w:pPr>
              <w:pStyle w:val="P68B1DB1-Normal11"/>
              <w:jc w:val="center"/>
              <w:rPr>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1DC6A9A" w14:textId="77777777" w:rsidR="00E42B18" w:rsidRDefault="009629C4">
            <w:pPr>
              <w:pStyle w:val="P68B1DB1-Normal12"/>
              <w:jc w:val="center"/>
              <w:rPr>
                <w:noProof/>
              </w:rPr>
            </w:pPr>
            <w:r>
              <w:rPr>
                <w:noProof/>
              </w:rPr>
              <w:t>102 895</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F28943" w14:textId="77777777" w:rsidR="00E42B18" w:rsidRDefault="009629C4">
            <w:pPr>
              <w:pStyle w:val="P68B1DB1-Normal11"/>
              <w:jc w:val="center"/>
              <w:rPr>
                <w:rFonts w:eastAsia="Calibri"/>
                <w:noProof/>
                <w:szCs w:val="20"/>
              </w:rPr>
            </w:pPr>
            <w:r>
              <w:rPr>
                <w:noProof/>
              </w:rPr>
              <w:t>Q4</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8897B8" w14:textId="77777777" w:rsidR="00E42B18" w:rsidRDefault="009629C4">
            <w:pPr>
              <w:pStyle w:val="P68B1DB1-Normal11"/>
              <w:jc w:val="center"/>
              <w:rPr>
                <w:rFonts w:eastAsia="Calibri"/>
                <w:noProof/>
                <w:szCs w:val="20"/>
              </w:rPr>
            </w:pPr>
            <w:r>
              <w:rPr>
                <w:noProof/>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315985" w14:textId="5AF9CA02" w:rsidR="00E42B18" w:rsidRDefault="009629C4">
            <w:pPr>
              <w:pStyle w:val="P68B1DB1-Normal12"/>
              <w:rPr>
                <w:noProof/>
              </w:rPr>
            </w:pPr>
            <w:r>
              <w:rPr>
                <w:noProof/>
              </w:rPr>
              <w:t>Vuotuisten tarkastusten keskimääräisen määrän 1 päivän tammikuuta 2023 ja 31 päivän joulukuuta 2025 välisenä aikana on oltava vähintään 102895. Lisäksi INPS:n verkkosivustolla julkaistuun ”rete</w:t>
            </w:r>
            <w:r>
              <w:rPr>
                <w:i/>
                <w:noProof/>
              </w:rPr>
              <w:t>del lavoro agricolo di qualità”</w:t>
            </w:r>
            <w:r>
              <w:rPr>
                <w:noProof/>
              </w:rPr>
              <w:t>-verkoston jäsenluetteloon on lisättävä 2000 uutta yritystä kesäkuuhun 2024 verrattuna.</w:t>
            </w:r>
          </w:p>
        </w:tc>
      </w:tr>
      <w:tr w:rsidR="00E42B18" w14:paraId="38D25A12"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797A41" w14:textId="77777777" w:rsidR="00E42B18" w:rsidRDefault="009629C4">
            <w:pPr>
              <w:pStyle w:val="P68B1DB1-Normal12"/>
              <w:jc w:val="center"/>
              <w:rPr>
                <w:rFonts w:eastAsia="Calibri"/>
                <w:noProof/>
                <w:highlight w:val="yellow"/>
              </w:rPr>
            </w:pPr>
            <w:r>
              <w:rPr>
                <w:noProof/>
              </w:rPr>
              <w:t xml:space="preserve">M5C1–11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53EA5A" w14:textId="77777777" w:rsidR="00E42B18" w:rsidRDefault="009629C4">
            <w:pPr>
              <w:pStyle w:val="P68B1DB1-Normal11"/>
              <w:jc w:val="center"/>
              <w:rPr>
                <w:rFonts w:eastAsia="Calibri"/>
                <w:noProof/>
                <w:szCs w:val="20"/>
              </w:rPr>
            </w:pPr>
            <w:r>
              <w:rPr>
                <w:noProof/>
              </w:rPr>
              <w:t>Uudistus 2 – Ilmoittamaton työ</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525742" w14:textId="77777777" w:rsidR="00E42B18" w:rsidRDefault="009629C4">
            <w:pPr>
              <w:pStyle w:val="P68B1DB1-Normal11"/>
              <w:jc w:val="center"/>
              <w:rPr>
                <w:rFonts w:eastAsia="Arial Narrow" w:cs="Arial Narrow"/>
                <w:noProof/>
                <w:szCs w:val="20"/>
              </w:rPr>
            </w:pPr>
            <w:r>
              <w:rPr>
                <w:noProof/>
              </w:rPr>
              <w:t>Virstanpylväs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EA73A4" w14:textId="77777777" w:rsidR="00E42B18" w:rsidRDefault="009629C4">
            <w:pPr>
              <w:pStyle w:val="P68B1DB1-Normal11"/>
              <w:jc w:val="center"/>
              <w:rPr>
                <w:rFonts w:eastAsia="Arial Narrow" w:cs="Arial Narrow"/>
                <w:noProof/>
                <w:szCs w:val="20"/>
              </w:rPr>
            </w:pPr>
            <w:r>
              <w:rPr>
                <w:noProof/>
              </w:rPr>
              <w:t>Toteutetaan toimia pimeän työn torjumiseksi</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632D60" w14:textId="77777777" w:rsidR="00E42B18" w:rsidRDefault="009629C4">
            <w:pPr>
              <w:pStyle w:val="P68B1DB1-Normal11"/>
              <w:jc w:val="center"/>
              <w:rPr>
                <w:noProof/>
                <w:szCs w:val="20"/>
              </w:rPr>
            </w:pPr>
            <w:r>
              <w:rPr>
                <w:noProof/>
              </w:rPr>
              <w:t>Toteutetut toimet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5D08AB2" w14:textId="77777777" w:rsidR="00E42B18" w:rsidRDefault="009629C4">
            <w:pPr>
              <w:pStyle w:val="P68B1DB1-Normal11"/>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65D229" w14:textId="77777777" w:rsidR="00E42B18" w:rsidRDefault="009629C4">
            <w:pPr>
              <w:pStyle w:val="P68B1DB1-Normal11"/>
              <w:jc w:val="center"/>
              <w:rPr>
                <w:rFonts w:eastAsia="Arial Narrow" w:cs="Arial Narrow"/>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93C66B4" w14:textId="77777777" w:rsidR="00E42B18" w:rsidRDefault="009629C4">
            <w:pPr>
              <w:pStyle w:val="P68B1DB1-Normal11"/>
              <w:jc w:val="center"/>
              <w:rPr>
                <w:rFonts w:eastAsia="Arial Narrow" w:cs="Arial Narrow"/>
                <w:noProof/>
                <w:szCs w:val="20"/>
              </w:rPr>
            </w:pPr>
            <w:r>
              <w:rPr>
                <w:noProof/>
              </w:rPr>
              <w:t>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3CF23D" w14:textId="77777777" w:rsidR="00E42B18" w:rsidRDefault="009629C4">
            <w:pPr>
              <w:pStyle w:val="P68B1DB1-Normal11"/>
              <w:jc w:val="center"/>
              <w:rPr>
                <w:rFonts w:eastAsia="Calibri"/>
                <w:noProof/>
                <w:szCs w:val="20"/>
              </w:rPr>
            </w:pPr>
            <w:r>
              <w:rPr>
                <w:noProof/>
              </w:rPr>
              <w:t>Q1</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25E8C0" w14:textId="77777777" w:rsidR="00E42B18" w:rsidRDefault="009629C4">
            <w:pPr>
              <w:pStyle w:val="P68B1DB1-Normal11"/>
              <w:jc w:val="center"/>
              <w:rPr>
                <w:rFonts w:eastAsia="Calibri"/>
                <w:noProof/>
                <w:szCs w:val="20"/>
              </w:rPr>
            </w:pPr>
            <w:r>
              <w:rPr>
                <w:noProof/>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75ED861" w14:textId="77777777" w:rsidR="00E42B18" w:rsidRDefault="009629C4">
            <w:pPr>
              <w:pStyle w:val="P68B1DB1-Normal11"/>
              <w:rPr>
                <w:noProof/>
                <w:szCs w:val="20"/>
              </w:rPr>
            </w:pPr>
            <w:r>
              <w:rPr>
                <w:noProof/>
              </w:rPr>
              <w:t>Toteutetaan seuraavat toimet:</w:t>
            </w:r>
          </w:p>
          <w:p w14:paraId="1C9FD7C8" w14:textId="77777777" w:rsidR="00E42B18" w:rsidRDefault="009629C4">
            <w:pPr>
              <w:pStyle w:val="P68B1DB1-Normal12"/>
              <w:rPr>
                <w:noProof/>
              </w:rPr>
            </w:pPr>
            <w:r>
              <w:rPr>
                <w:noProof/>
              </w:rPr>
              <w:t xml:space="preserve">— tutkimus ”Indici Sintetici di Affidabilità Contributiva” (ISAC-indikaattorit) kahdeksalla muulla pimeän työn vaarassa olevalla talouden alalla; </w:t>
            </w:r>
          </w:p>
          <w:p w14:paraId="3B25E5A1" w14:textId="77777777" w:rsidR="00E42B18" w:rsidRDefault="009629C4">
            <w:pPr>
              <w:rPr>
                <w:rFonts w:ascii="Arial Narrow" w:hAnsi="Arial Narrow"/>
                <w:noProof/>
                <w:color w:val="006100"/>
                <w:sz w:val="20"/>
                <w:szCs w:val="20"/>
              </w:rPr>
            </w:pPr>
            <w:r>
              <w:rPr>
                <w:rFonts w:ascii="Arial Narrow" w:hAnsi="Arial Narrow"/>
                <w:noProof/>
                <w:color w:val="006100"/>
                <w:sz w:val="20"/>
                <w:szCs w:val="20"/>
              </w:rPr>
              <w:t>- ISAC-indikaattoreiden avulla yksilöidyille yrityksille lähetettyjen vähintään 12000 vaatimustenmukaisuuskirjeen postitus;</w:t>
            </w:r>
          </w:p>
          <w:p w14:paraId="37E72063" w14:textId="77777777" w:rsidR="00E42B18" w:rsidRDefault="009629C4">
            <w:pPr>
              <w:pStyle w:val="P68B1DB1-Normal12"/>
              <w:rPr>
                <w:noProof/>
              </w:rPr>
            </w:pPr>
            <w:r>
              <w:rPr>
                <w:noProof/>
              </w:rPr>
              <w:t>— ”PrestO”- ja ”Libretto Famiglia” -seteleiden käyttöä pimeän työn ja työntekijöiden olosuhteiden parantamisen yhteydessä koskevan vaikutustenarviointitutkimuksen julkaiseminen.</w:t>
            </w:r>
          </w:p>
        </w:tc>
      </w:tr>
      <w:tr w:rsidR="00E42B18" w14:paraId="2BFE5780"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D631C9" w14:textId="77777777" w:rsidR="00E42B18" w:rsidRDefault="009629C4">
            <w:pPr>
              <w:pStyle w:val="P68B1DB1-Normal11"/>
              <w:spacing w:before="120" w:after="120"/>
              <w:jc w:val="center"/>
              <w:rPr>
                <w:rFonts w:eastAsia="Calibri"/>
                <w:noProof/>
                <w:szCs w:val="20"/>
              </w:rPr>
            </w:pPr>
            <w:r>
              <w:rPr>
                <w:noProof/>
              </w:rPr>
              <w:t>M5C1–12</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40F6A3" w14:textId="77777777" w:rsidR="00E42B18" w:rsidRDefault="009629C4">
            <w:pPr>
              <w:pStyle w:val="P68B1DB1-Normal11"/>
              <w:spacing w:before="120" w:after="120"/>
              <w:jc w:val="center"/>
              <w:rPr>
                <w:noProof/>
                <w:szCs w:val="20"/>
              </w:rPr>
            </w:pPr>
            <w:r>
              <w:rPr>
                <w:noProof/>
              </w:rPr>
              <w:t>Investointi 2 – Sukupuolten tasa-arvon sertifiointijärjestelmä</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342A68D" w14:textId="77777777" w:rsidR="00E42B18" w:rsidRDefault="009629C4">
            <w:pPr>
              <w:pStyle w:val="P68B1DB1-Normal11"/>
              <w:spacing w:before="120" w:after="120"/>
              <w:jc w:val="center"/>
              <w:rPr>
                <w:rFonts w:eastAsia="Calibri"/>
                <w:noProof/>
                <w:szCs w:val="20"/>
              </w:rPr>
            </w:pPr>
            <w:r>
              <w:rPr>
                <w:noProof/>
              </w:rPr>
              <w:t>Virstanpylväs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EFC592B" w14:textId="77777777" w:rsidR="00E42B18" w:rsidRDefault="009629C4">
            <w:pPr>
              <w:pStyle w:val="P68B1DB1-Normal11"/>
              <w:spacing w:before="120" w:after="120"/>
              <w:jc w:val="center"/>
              <w:rPr>
                <w:rFonts w:eastAsia="Calibri"/>
                <w:noProof/>
                <w:szCs w:val="20"/>
              </w:rPr>
            </w:pPr>
            <w:r>
              <w:rPr>
                <w:noProof/>
              </w:rPr>
              <w:t xml:space="preserve">Sukupuolten tasa-arvon sertifiointijärjestelmän ja siihen liittyvien yritysten kannustinmekanismien voimaantulo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F5C0D5" w14:textId="77777777" w:rsidR="00E42B18" w:rsidRDefault="009629C4">
            <w:pPr>
              <w:pStyle w:val="P68B1DB1-Normal11"/>
              <w:spacing w:before="120" w:after="120"/>
              <w:jc w:val="center"/>
              <w:rPr>
                <w:rFonts w:eastAsia="Calibri"/>
                <w:noProof/>
                <w:szCs w:val="20"/>
              </w:rPr>
            </w:pPr>
            <w:r>
              <w:rPr>
                <w:noProof/>
              </w:rPr>
              <w:t>Lain säännökset, jotka koskevat sertifiointijärjestelmän määrittelyä koskevien säädösten voimaantuloa ja täytäntöönpanotoimenpiteitä</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BF368AC" w14:textId="77777777" w:rsidR="00E42B18" w:rsidRDefault="009629C4">
            <w:pPr>
              <w:pStyle w:val="P68B1DB1-Normal11"/>
              <w:spacing w:before="120" w:after="120"/>
              <w:jc w:val="center"/>
              <w:rPr>
                <w:rFonts w:eastAsia="Calibri"/>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035849" w14:textId="77777777" w:rsidR="00E42B18" w:rsidRDefault="009629C4">
            <w:pPr>
              <w:pStyle w:val="P68B1DB1-Normal11"/>
              <w:spacing w:before="120" w:after="120"/>
              <w:jc w:val="center"/>
              <w:rPr>
                <w:rFonts w:eastAsia="Calibri"/>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5EE57F" w14:textId="77777777" w:rsidR="00E42B18" w:rsidRDefault="009629C4">
            <w:pPr>
              <w:pStyle w:val="P68B1DB1-Normal11"/>
              <w:spacing w:before="120" w:after="120"/>
              <w:jc w:val="center"/>
              <w:rPr>
                <w:rFonts w:eastAsia="Calibri"/>
                <w:noProof/>
                <w:szCs w:val="20"/>
              </w:rPr>
            </w:pPr>
            <w:r>
              <w:rPr>
                <w:noProof/>
              </w:rPr>
              <w:t>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6973871" w14:textId="77777777" w:rsidR="00E42B18" w:rsidRDefault="009629C4">
            <w:pPr>
              <w:pStyle w:val="P68B1DB1-Normal11"/>
              <w:spacing w:before="120" w:after="120"/>
              <w:jc w:val="center"/>
              <w:rPr>
                <w:rFonts w:eastAsia="Calibri"/>
                <w:noProof/>
                <w:szCs w:val="20"/>
              </w:rPr>
            </w:pPr>
            <w:r>
              <w:rPr>
                <w:noProof/>
              </w:rPr>
              <w:t>Q4</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25D11E8" w14:textId="77777777" w:rsidR="00E42B18" w:rsidRDefault="009629C4">
            <w:pPr>
              <w:pStyle w:val="P68B1DB1-Normal11"/>
              <w:spacing w:before="120" w:after="120"/>
              <w:jc w:val="center"/>
              <w:rPr>
                <w:rFonts w:eastAsia="Calibri"/>
                <w:noProof/>
                <w:szCs w:val="20"/>
              </w:rPr>
            </w:pPr>
            <w:r>
              <w:rPr>
                <w:noProof/>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84B65E" w14:textId="77777777" w:rsidR="00E42B18" w:rsidRDefault="009629C4">
            <w:pPr>
              <w:pStyle w:val="P68B1DB1-Normal11"/>
              <w:spacing w:before="120" w:after="120"/>
              <w:rPr>
                <w:rFonts w:eastAsia="Calibri"/>
                <w:noProof/>
                <w:szCs w:val="20"/>
              </w:rPr>
            </w:pPr>
            <w:r>
              <w:rPr>
                <w:noProof/>
              </w:rPr>
              <w:t>Sukupuolten tasa-arvon sertifiointijärjestelmän ja siihen liittyvien yritysten kannustinmekanismien on katettava ainakin seuraavat näkökohdat: naisten kasvumahdollisuudet, sama palkka samasta työstä, sukupuolten monimuotoisuutta koskevat johtamispolitiikat, äitiyden suojelu.</w:t>
            </w:r>
          </w:p>
          <w:p w14:paraId="5954F9C1" w14:textId="77777777" w:rsidR="00E42B18" w:rsidRDefault="009629C4">
            <w:pPr>
              <w:pStyle w:val="P68B1DB1-Normal11"/>
              <w:spacing w:before="120" w:after="120"/>
              <w:rPr>
                <w:rFonts w:eastAsia="Calibri"/>
                <w:noProof/>
                <w:szCs w:val="20"/>
              </w:rPr>
            </w:pPr>
            <w:r>
              <w:rPr>
                <w:noProof/>
              </w:rPr>
              <w:t>Sertifiointiprosessin toteuttavien organisaatioiden kannustinmekanismien ja teknisten ohjeiden määrittely. Mukaan lukien: Yritysten sukupuolisertifiointijärjestelmän teknisten standardien laatiminen; II) kannustinmekanismin yksilöinti; III) toimenpiteeseen on liitettävä tietotekninen järjestelmä.</w:t>
            </w:r>
          </w:p>
        </w:tc>
      </w:tr>
      <w:tr w:rsidR="00E42B18" w14:paraId="52EC149A"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6FA30A" w14:textId="77777777" w:rsidR="00E42B18" w:rsidRDefault="009629C4">
            <w:pPr>
              <w:pStyle w:val="P68B1DB1-Normal12"/>
              <w:spacing w:before="120" w:after="120"/>
              <w:jc w:val="center"/>
              <w:rPr>
                <w:noProof/>
                <w:highlight w:val="yellow"/>
              </w:rPr>
            </w:pPr>
            <w:r>
              <w:rPr>
                <w:noProof/>
              </w:rPr>
              <w:t>M5C1–14</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CE92CB" w14:textId="77777777" w:rsidR="00E42B18" w:rsidRDefault="009629C4">
            <w:pPr>
              <w:pStyle w:val="P68B1DB1-Normal11"/>
              <w:spacing w:before="120" w:after="120"/>
              <w:jc w:val="center"/>
              <w:rPr>
                <w:rFonts w:eastAsia="Calibri"/>
                <w:noProof/>
                <w:szCs w:val="20"/>
              </w:rPr>
            </w:pPr>
            <w:r>
              <w:rPr>
                <w:noProof/>
              </w:rPr>
              <w:t>Investointi 2 – Sukupuolten tasa-arvon sertifiointijärjestelmä</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E25F9F" w14:textId="77777777" w:rsidR="00E42B18" w:rsidRDefault="009629C4">
            <w:pPr>
              <w:pStyle w:val="P68B1DB1-Normal11"/>
              <w:spacing w:before="120" w:after="120"/>
              <w:jc w:val="center"/>
              <w:rPr>
                <w:rFonts w:eastAsia="Calibri"/>
                <w:noProof/>
                <w:szCs w:val="20"/>
              </w:rPr>
            </w:pPr>
            <w:r>
              <w:rPr>
                <w:noProof/>
              </w:rPr>
              <w:t>Kohde</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7B2390" w14:textId="77777777" w:rsidR="00E42B18" w:rsidRDefault="009629C4">
            <w:pPr>
              <w:pStyle w:val="P68B1DB1-Normal12"/>
              <w:spacing w:before="120" w:after="120"/>
              <w:jc w:val="center"/>
              <w:rPr>
                <w:rFonts w:eastAsia="Calibri"/>
                <w:noProof/>
              </w:rPr>
            </w:pPr>
            <w:r>
              <w:rPr>
                <w:noProof/>
              </w:rPr>
              <w:t>Yritykset ovat saaneet sukupuolten tasa-arvoa koskevan todistuksen</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102C1F" w14:textId="77777777" w:rsidR="00E42B18" w:rsidRDefault="009629C4">
            <w:pPr>
              <w:pStyle w:val="P68B1DB1-Normal11"/>
              <w:spacing w:before="120" w:after="120"/>
              <w:jc w:val="center"/>
              <w:rPr>
                <w:rFonts w:eastAsia="Calibri"/>
                <w:noProof/>
                <w:szCs w:val="20"/>
              </w:rPr>
            </w:pPr>
            <w:r>
              <w:rPr>
                <w:noProof/>
              </w:rPr>
              <w:t>EI OLE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4796ED0" w14:textId="77777777" w:rsidR="00E42B18" w:rsidRDefault="009629C4">
            <w:pPr>
              <w:pStyle w:val="P68B1DB1-Normal11"/>
              <w:spacing w:before="120" w:after="120"/>
              <w:jc w:val="center"/>
              <w:rPr>
                <w:rFonts w:eastAsia="Calibri"/>
                <w:noProof/>
                <w:szCs w:val="20"/>
              </w:rPr>
            </w:pPr>
            <w:r>
              <w:rPr>
                <w:noProof/>
              </w:rPr>
              <w:t xml:space="preserve">Numero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19CFB54" w14:textId="77777777" w:rsidR="00E42B18" w:rsidRDefault="009629C4">
            <w:pPr>
              <w:pStyle w:val="P68B1DB1-Normal11"/>
              <w:spacing w:before="120" w:after="120"/>
              <w:jc w:val="center"/>
              <w:rPr>
                <w:rFonts w:eastAsia="Calibri"/>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E629037" w14:textId="77777777" w:rsidR="00E42B18" w:rsidRDefault="009629C4">
            <w:pPr>
              <w:spacing w:before="120" w:after="120"/>
              <w:jc w:val="center"/>
              <w:rPr>
                <w:rFonts w:ascii="Arial Narrow" w:eastAsia="Calibri" w:hAnsi="Arial Narrow"/>
                <w:noProof/>
                <w:color w:val="006100"/>
                <w:sz w:val="20"/>
                <w:szCs w:val="20"/>
              </w:rPr>
            </w:pPr>
            <w:r>
              <w:rPr>
                <w:rFonts w:ascii="Arial Narrow" w:hAnsi="Arial Narrow"/>
                <w:noProof/>
                <w:color w:val="006100"/>
                <w:sz w:val="20"/>
              </w:rPr>
              <w:t>3</w:t>
            </w:r>
            <w:r>
              <w:rPr>
                <w:noProof/>
                <w:sz w:val="23"/>
                <w:szCs w:val="23"/>
              </w:rPr>
              <w:t xml:space="preserve"> </w:t>
            </w:r>
            <w:r>
              <w:rPr>
                <w:rFonts w:ascii="Arial Narrow" w:hAnsi="Arial Narrow"/>
                <w:noProof/>
                <w:color w:val="006100"/>
                <w:sz w:val="20"/>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4391DA" w14:textId="77777777" w:rsidR="00E42B18" w:rsidRDefault="009629C4">
            <w:pPr>
              <w:pStyle w:val="P68B1DB1-Normal11"/>
              <w:spacing w:before="120" w:after="120"/>
              <w:jc w:val="center"/>
              <w:rPr>
                <w:rFonts w:eastAsia="Calibri"/>
                <w:noProof/>
                <w:szCs w:val="20"/>
              </w:rPr>
            </w:pPr>
            <w:r>
              <w:rPr>
                <w:noProof/>
              </w:rPr>
              <w:t>Q2</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93F4C68" w14:textId="77777777" w:rsidR="00E42B18" w:rsidRDefault="009629C4">
            <w:pPr>
              <w:pStyle w:val="P68B1DB1-Normal11"/>
              <w:spacing w:before="120" w:after="120"/>
              <w:jc w:val="center"/>
              <w:rPr>
                <w:rFonts w:eastAsia="Calibri"/>
                <w:noProof/>
                <w:szCs w:val="20"/>
              </w:rPr>
            </w:pPr>
            <w:r>
              <w:rPr>
                <w:noProof/>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63276C" w14:textId="77777777" w:rsidR="00E42B18" w:rsidRDefault="009629C4">
            <w:pPr>
              <w:spacing w:before="120" w:after="120"/>
              <w:rPr>
                <w:rFonts w:ascii="Arial Narrow" w:eastAsia="Calibri" w:hAnsi="Arial Narrow"/>
                <w:noProof/>
                <w:color w:val="006100"/>
                <w:sz w:val="20"/>
                <w:szCs w:val="20"/>
              </w:rPr>
            </w:pPr>
            <w:r>
              <w:rPr>
                <w:rFonts w:ascii="Arial Narrow" w:hAnsi="Arial Narrow"/>
                <w:noProof/>
                <w:color w:val="006100"/>
                <w:sz w:val="20"/>
              </w:rPr>
              <w:t>Vähintään 3000</w:t>
            </w:r>
            <w:r>
              <w:rPr>
                <w:noProof/>
                <w:sz w:val="23"/>
                <w:szCs w:val="23"/>
              </w:rPr>
              <w:t xml:space="preserve"> </w:t>
            </w:r>
            <w:r>
              <w:rPr>
                <w:rFonts w:ascii="Arial Narrow" w:hAnsi="Arial Narrow"/>
                <w:noProof/>
                <w:color w:val="006100"/>
                <w:sz w:val="20"/>
              </w:rPr>
              <w:t>yritystä on saanut tasa-arvotodistuksen. Näistä vähintään 1800 on pk-yrityksiä, joista 500 on saanut</w:t>
            </w:r>
            <w:r>
              <w:rPr>
                <w:rFonts w:ascii="Arial Narrow" w:hAnsi="Arial Narrow"/>
                <w:noProof/>
                <w:color w:val="006100"/>
                <w:sz w:val="20"/>
                <w:szCs w:val="20"/>
              </w:rPr>
              <w:t xml:space="preserve">teknistä apua arvosetelijärjestelmän kautta (esimerkiksi mentoroinnin, teknisen hallinnan tuen, työ- ja yksityiselämän tasapainottamiseen tähtäävien toimenpiteiden tai yrittäjyyskoulutuksen muodossa) tai sertifiointiprosessia tukevina suorina rahoitusosuuksina. </w:t>
            </w:r>
          </w:p>
        </w:tc>
      </w:tr>
      <w:tr w:rsidR="00E42B18" w14:paraId="6E147081"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DF44E4" w14:textId="77777777" w:rsidR="00E42B18" w:rsidRDefault="009629C4">
            <w:pPr>
              <w:pStyle w:val="P68B1DB1-Normal12"/>
              <w:spacing w:before="120" w:after="120"/>
              <w:jc w:val="center"/>
              <w:rPr>
                <w:rFonts w:eastAsia="Calibri"/>
                <w:noProof/>
                <w:highlight w:val="yellow"/>
              </w:rPr>
            </w:pPr>
            <w:r>
              <w:rPr>
                <w:noProof/>
              </w:rPr>
              <w:t>M5C1–15</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62BCB7" w14:textId="77777777" w:rsidR="00E42B18" w:rsidRDefault="009629C4">
            <w:pPr>
              <w:pStyle w:val="P68B1DB1-Normal11"/>
              <w:spacing w:before="120" w:after="120"/>
              <w:jc w:val="center"/>
              <w:rPr>
                <w:rFonts w:eastAsia="Calibri"/>
                <w:noProof/>
                <w:szCs w:val="20"/>
              </w:rPr>
            </w:pPr>
            <w:r>
              <w:rPr>
                <w:noProof/>
              </w:rPr>
              <w:t>Investointi 3 – Kaksinkertaisen järjestelmän vahvistaminen</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EE82CF" w14:textId="77777777" w:rsidR="00E42B18" w:rsidRDefault="009629C4">
            <w:pPr>
              <w:pStyle w:val="P68B1DB1-Normal11"/>
              <w:spacing w:before="120" w:after="120"/>
              <w:jc w:val="center"/>
              <w:rPr>
                <w:rFonts w:eastAsia="Calibri"/>
                <w:noProof/>
                <w:szCs w:val="20"/>
              </w:rPr>
            </w:pPr>
            <w:r>
              <w:rPr>
                <w:noProof/>
              </w:rPr>
              <w:t>Kohde</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1D203B" w14:textId="77777777" w:rsidR="00E42B18" w:rsidRDefault="009629C4">
            <w:pPr>
              <w:pStyle w:val="P68B1DB1-Normal12"/>
              <w:spacing w:before="120" w:after="120"/>
              <w:jc w:val="center"/>
              <w:rPr>
                <w:rFonts w:eastAsia="Calibri"/>
                <w:noProof/>
              </w:rPr>
            </w:pPr>
            <w:r>
              <w:rPr>
                <w:noProof/>
              </w:rPr>
              <w:t>Harjoittelu- ja opiskelujaksoja yhdistelevän koulutusjärjestelmän kautta myönnetyt todistukset</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6A59E5" w14:textId="77777777" w:rsidR="00E42B18" w:rsidRDefault="009629C4">
            <w:pPr>
              <w:pStyle w:val="P68B1DB1-Normal11"/>
              <w:spacing w:before="120" w:after="120"/>
              <w:jc w:val="center"/>
              <w:rPr>
                <w:rFonts w:eastAsia="Calibri"/>
                <w:noProof/>
                <w:szCs w:val="20"/>
              </w:rPr>
            </w:pPr>
            <w:r>
              <w:rPr>
                <w:noProof/>
              </w:rPr>
              <w:t>EI OLE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3074D3A" w14:textId="77777777" w:rsidR="00E42B18" w:rsidRDefault="009629C4">
            <w:pPr>
              <w:pStyle w:val="P68B1DB1-Normal11"/>
              <w:spacing w:before="120" w:after="120"/>
              <w:jc w:val="center"/>
              <w:rPr>
                <w:rFonts w:eastAsia="Calibri"/>
                <w:noProof/>
                <w:szCs w:val="20"/>
              </w:rPr>
            </w:pPr>
            <w:r>
              <w:rPr>
                <w:noProof/>
              </w:rPr>
              <w:t xml:space="preserve">Numero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2A9C42" w14:textId="77777777" w:rsidR="00E42B18" w:rsidRDefault="009629C4">
            <w:pPr>
              <w:pStyle w:val="P68B1DB1-Normal12"/>
              <w:spacing w:before="120" w:after="120"/>
              <w:jc w:val="center"/>
              <w:rPr>
                <w:rFonts w:eastAsia="Calibri"/>
                <w:noProof/>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B98949" w14:textId="77777777" w:rsidR="00E42B18" w:rsidRDefault="009629C4">
            <w:pPr>
              <w:spacing w:before="120" w:after="120"/>
              <w:jc w:val="center"/>
              <w:rPr>
                <w:rFonts w:ascii="Arial Narrow" w:eastAsia="Calibri" w:hAnsi="Arial Narrow"/>
                <w:noProof/>
                <w:color w:val="006100"/>
                <w:sz w:val="20"/>
                <w:szCs w:val="20"/>
              </w:rPr>
            </w:pPr>
            <w:r>
              <w:rPr>
                <w:rFonts w:ascii="Arial Narrow" w:hAnsi="Arial Narrow"/>
                <w:noProof/>
                <w:color w:val="006100"/>
                <w:sz w:val="20"/>
                <w:szCs w:val="20"/>
              </w:rPr>
              <w:t>90</w:t>
            </w:r>
            <w:r>
              <w:rPr>
                <w:noProof/>
                <w:sz w:val="23"/>
                <w:szCs w:val="23"/>
              </w:rPr>
              <w:t xml:space="preserve"> </w:t>
            </w:r>
            <w:r>
              <w:rPr>
                <w:rFonts w:ascii="Arial Narrow" w:hAnsi="Arial Narrow"/>
                <w:noProof/>
                <w:color w:val="006100"/>
                <w:sz w:val="20"/>
                <w:szCs w:val="20"/>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BD4925C" w14:textId="77777777" w:rsidR="00E42B18" w:rsidRDefault="009629C4">
            <w:pPr>
              <w:pStyle w:val="P68B1DB1-Normal12"/>
              <w:spacing w:before="120" w:after="120"/>
              <w:jc w:val="center"/>
              <w:rPr>
                <w:rFonts w:eastAsia="Calibri"/>
                <w:noProof/>
              </w:rPr>
            </w:pPr>
            <w:r>
              <w:rPr>
                <w:noProof/>
              </w:rPr>
              <w:t>Q2</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FF88EC" w14:textId="77777777" w:rsidR="00E42B18" w:rsidRDefault="009629C4">
            <w:pPr>
              <w:pStyle w:val="P68B1DB1-Normal11"/>
              <w:spacing w:before="120" w:after="120"/>
              <w:jc w:val="center"/>
              <w:rPr>
                <w:rFonts w:eastAsia="Calibri"/>
                <w:noProof/>
                <w:szCs w:val="20"/>
              </w:rPr>
            </w:pPr>
            <w:r>
              <w:rPr>
                <w:noProof/>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3493BD" w14:textId="76045961" w:rsidR="00E42B18" w:rsidRDefault="009629C4">
            <w:pPr>
              <w:pStyle w:val="P68B1DB1-Normal12"/>
              <w:spacing w:before="120" w:after="120"/>
              <w:rPr>
                <w:rFonts w:eastAsia="Calibri"/>
                <w:noProof/>
              </w:rPr>
            </w:pPr>
            <w:r>
              <w:rPr>
                <w:noProof/>
              </w:rPr>
              <w:t>Vähintään 90000 osallistumistodistusta myönnetään vuosille 2020–2021, 2021–2022, 2022–2023, 2023–2024 tai 2024–2025 opiskelijoille, joissa yhdistyvät virallinen koulutus ja oppimiskokemus työpaikalla.</w:t>
            </w:r>
          </w:p>
        </w:tc>
      </w:tr>
      <w:tr w:rsidR="00E42B18" w14:paraId="7400CAFB"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2D0392" w14:textId="77777777" w:rsidR="00E42B18" w:rsidRDefault="009629C4">
            <w:pPr>
              <w:pStyle w:val="P68B1DB1-Normal11"/>
              <w:spacing w:before="120" w:after="120"/>
              <w:jc w:val="center"/>
              <w:rPr>
                <w:rFonts w:eastAsia="Calibri"/>
                <w:noProof/>
                <w:szCs w:val="20"/>
              </w:rPr>
            </w:pPr>
            <w:r>
              <w:rPr>
                <w:noProof/>
              </w:rPr>
              <w:t>M5C1–15a</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EEB182" w14:textId="77777777" w:rsidR="00E42B18" w:rsidRDefault="009629C4">
            <w:pPr>
              <w:pStyle w:val="P68B1DB1-Normal11"/>
              <w:spacing w:before="120" w:after="120"/>
              <w:jc w:val="center"/>
              <w:rPr>
                <w:rFonts w:eastAsia="Calibri"/>
                <w:noProof/>
                <w:szCs w:val="20"/>
              </w:rPr>
            </w:pPr>
            <w:r>
              <w:rPr>
                <w:noProof/>
              </w:rPr>
              <w:t>Investointi 4 – Yleinen julkishallinto</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1CAE48" w14:textId="77777777" w:rsidR="00E42B18" w:rsidRDefault="009629C4">
            <w:pPr>
              <w:pStyle w:val="P68B1DB1-Normal11"/>
              <w:spacing w:before="120" w:after="120"/>
              <w:jc w:val="center"/>
              <w:rPr>
                <w:rFonts w:eastAsia="Calibri"/>
                <w:noProof/>
                <w:szCs w:val="20"/>
              </w:rPr>
            </w:pPr>
            <w:r>
              <w:rPr>
                <w:noProof/>
              </w:rPr>
              <w:t>Virstanpylväs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6C2C4" w14:textId="77777777" w:rsidR="00E42B18" w:rsidRDefault="009629C4">
            <w:pPr>
              <w:pStyle w:val="P68B1DB1-Normal33"/>
              <w:spacing w:before="120" w:after="120"/>
              <w:jc w:val="center"/>
              <w:rPr>
                <w:rFonts w:eastAsia="Calibri"/>
                <w:noProof/>
              </w:rPr>
            </w:pPr>
            <w:r>
              <w:rPr>
                <w:noProof/>
              </w:rPr>
              <w:t xml:space="preserve">Toteutetaan toimia, joilla lisätään nuorten osallistumista, yksinkertaistetaan menettelyjä ja parannetaan yleispalvelua koskevien hankkeiden laatua.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7AC567" w14:textId="77777777" w:rsidR="00E42B18" w:rsidRDefault="009629C4">
            <w:pPr>
              <w:pStyle w:val="P68B1DB1-Normal12"/>
              <w:spacing w:before="120" w:after="120"/>
              <w:jc w:val="center"/>
              <w:rPr>
                <w:noProof/>
              </w:rPr>
            </w:pPr>
            <w:r>
              <w:rPr>
                <w:noProof/>
              </w:rPr>
              <w:t>Toteutetut toimet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3BEFC" w14:textId="77777777" w:rsidR="00E42B18" w:rsidRDefault="009629C4">
            <w:pPr>
              <w:pStyle w:val="P68B1DB1-Normal11"/>
              <w:spacing w:before="120" w:after="120"/>
              <w:jc w:val="center"/>
              <w:rPr>
                <w:rFonts w:eastAsia="Calibri"/>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F296B9" w14:textId="77777777" w:rsidR="00E42B18" w:rsidRDefault="009629C4">
            <w:pPr>
              <w:pStyle w:val="P68B1DB1-Normal11"/>
              <w:spacing w:before="120" w:after="120"/>
              <w:jc w:val="center"/>
              <w:rPr>
                <w:rFonts w:eastAsia="Calibri"/>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D147E" w14:textId="77777777" w:rsidR="00E42B18" w:rsidRDefault="009629C4">
            <w:pPr>
              <w:pStyle w:val="P68B1DB1-Normal11"/>
              <w:spacing w:before="120" w:after="120"/>
              <w:jc w:val="center"/>
              <w:rPr>
                <w:rFonts w:eastAsia="Calibri"/>
                <w:noProof/>
                <w:szCs w:val="20"/>
              </w:rPr>
            </w:pPr>
            <w:r>
              <w:rPr>
                <w:noProof/>
              </w:rPr>
              <w:t>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80514" w14:textId="77777777" w:rsidR="00E42B18" w:rsidRDefault="009629C4">
            <w:pPr>
              <w:pStyle w:val="P68B1DB1-Normal11"/>
              <w:spacing w:before="120" w:after="120"/>
              <w:jc w:val="center"/>
              <w:rPr>
                <w:rFonts w:eastAsia="Calibri"/>
                <w:noProof/>
                <w:szCs w:val="20"/>
              </w:rPr>
            </w:pPr>
            <w:r>
              <w:rPr>
                <w:noProof/>
              </w:rPr>
              <w:t>Q4</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C7D244" w14:textId="77777777" w:rsidR="00E42B18" w:rsidRDefault="009629C4">
            <w:pPr>
              <w:pStyle w:val="P68B1DB1-Normal11"/>
              <w:spacing w:before="120" w:after="120"/>
              <w:jc w:val="center"/>
              <w:rPr>
                <w:rFonts w:eastAsia="Calibri"/>
                <w:noProof/>
                <w:szCs w:val="20"/>
              </w:rPr>
            </w:pPr>
            <w:r>
              <w:rPr>
                <w:noProof/>
              </w:rPr>
              <w:t>2024</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A5A3C" w14:textId="77777777" w:rsidR="00E42B18" w:rsidRDefault="009629C4">
            <w:pPr>
              <w:pStyle w:val="P68B1DB1-Normal33"/>
              <w:spacing w:before="120" w:after="120"/>
              <w:rPr>
                <w:noProof/>
              </w:rPr>
            </w:pPr>
            <w:r>
              <w:rPr>
                <w:noProof/>
              </w:rPr>
              <w:t xml:space="preserve">Toteutetaan seuraavat toimet: </w:t>
            </w:r>
          </w:p>
          <w:p w14:paraId="03C4A058" w14:textId="77777777" w:rsidR="00E42B18" w:rsidRDefault="009629C4">
            <w:pPr>
              <w:pStyle w:val="P68B1DB1-Normal33"/>
              <w:spacing w:before="120" w:after="120"/>
              <w:rPr>
                <w:noProof/>
              </w:rPr>
            </w:pPr>
            <w:r>
              <w:rPr>
                <w:noProof/>
              </w:rPr>
              <w:t>1. Otetaan käyttöön toimenpiteitä, joilla lisätään nuorten osallistumista yleisen virkamieskunnan ohjelmaan;</w:t>
            </w:r>
          </w:p>
          <w:p w14:paraId="2947FCDA" w14:textId="77777777" w:rsidR="00E42B18" w:rsidRDefault="009629C4">
            <w:pPr>
              <w:pStyle w:val="P68B1DB1-Normal33"/>
              <w:spacing w:before="120" w:after="120"/>
              <w:rPr>
                <w:noProof/>
              </w:rPr>
            </w:pPr>
            <w:r>
              <w:rPr>
                <w:noProof/>
              </w:rPr>
              <w:t xml:space="preserve">2. Otetaan käyttöön toimenpiteitä, joilla yksinkertaistetaan menettelyjä yleisen virkamiespalvelun (UCS) ohjelman täytäntöönpanosta aiheutuvan hallinnollisen taakan keventämiseksi; </w:t>
            </w:r>
          </w:p>
          <w:p w14:paraId="49BC0977" w14:textId="77777777" w:rsidR="00E42B18" w:rsidRDefault="009629C4">
            <w:pPr>
              <w:pStyle w:val="P68B1DB1-Normal33"/>
              <w:spacing w:before="120" w:after="120"/>
              <w:rPr>
                <w:noProof/>
              </w:rPr>
            </w:pPr>
            <w:r>
              <w:rPr>
                <w:noProof/>
              </w:rPr>
              <w:t xml:space="preserve">3. Otetaan käyttöön toimenpiteitä, joilla parannetaan yleisen virkamiespalvelun (UCS) hankkeiden laatua. </w:t>
            </w:r>
          </w:p>
          <w:p w14:paraId="4DC40501" w14:textId="77777777" w:rsidR="00E42B18" w:rsidRDefault="009629C4">
            <w:pPr>
              <w:pStyle w:val="P68B1DB1-Normal12"/>
              <w:spacing w:before="120" w:after="120"/>
              <w:rPr>
                <w:rFonts w:eastAsia="Calibri"/>
                <w:noProof/>
              </w:rPr>
            </w:pPr>
            <w:r>
              <w:rPr>
                <w:noProof/>
              </w:rPr>
              <w:t xml:space="preserve">Toteutetuissa toimissa on otettava huomioon teknisen tuen välineen hankkeen tulokset (20IT06 – ”Supporting design and implementation of the Universal Civil Service (UCS) Elpymis- ja palautumissuunnitelma, nuorten työllistymismahdollisuuksien avaaminen”). </w:t>
            </w:r>
          </w:p>
        </w:tc>
      </w:tr>
      <w:tr w:rsidR="00E42B18" w14:paraId="690E8BFC"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77F44C" w14:textId="77777777" w:rsidR="00E42B18" w:rsidRDefault="009629C4">
            <w:pPr>
              <w:pStyle w:val="P68B1DB1-Normal12"/>
              <w:spacing w:before="120" w:after="120"/>
              <w:jc w:val="center"/>
              <w:rPr>
                <w:rFonts w:eastAsia="Calibri"/>
                <w:noProof/>
              </w:rPr>
            </w:pPr>
            <w:r>
              <w:rPr>
                <w:noProof/>
              </w:rPr>
              <w:t>M5C1–16</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E3DDDA" w14:textId="77777777" w:rsidR="00E42B18" w:rsidRDefault="009629C4">
            <w:pPr>
              <w:pStyle w:val="P68B1DB1-Normal11"/>
              <w:spacing w:before="120" w:after="120"/>
              <w:jc w:val="center"/>
              <w:rPr>
                <w:rFonts w:eastAsia="Calibri"/>
                <w:noProof/>
                <w:szCs w:val="20"/>
              </w:rPr>
            </w:pPr>
            <w:r>
              <w:rPr>
                <w:noProof/>
              </w:rPr>
              <w:t>Investointi 4 – Yleinen julkishallinto</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9C2D0A9" w14:textId="77777777" w:rsidR="00E42B18" w:rsidRDefault="009629C4">
            <w:pPr>
              <w:pStyle w:val="P68B1DB1-Normal11"/>
              <w:spacing w:before="120" w:after="120"/>
              <w:jc w:val="center"/>
              <w:rPr>
                <w:rFonts w:eastAsia="Calibri"/>
                <w:noProof/>
                <w:szCs w:val="20"/>
              </w:rPr>
            </w:pPr>
            <w:r>
              <w:rPr>
                <w:noProof/>
              </w:rPr>
              <w:t>Kohde</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CB9C6B" w14:textId="77777777" w:rsidR="00E42B18" w:rsidRDefault="009629C4">
            <w:pPr>
              <w:pStyle w:val="P68B1DB1-Normal12"/>
              <w:spacing w:before="120" w:after="120"/>
              <w:jc w:val="center"/>
              <w:rPr>
                <w:rFonts w:eastAsia="Calibri"/>
                <w:noProof/>
              </w:rPr>
            </w:pPr>
            <w:r>
              <w:rPr>
                <w:noProof/>
              </w:rPr>
              <w:t xml:space="preserve">Yleisen virkamiespalvelun hankkeita varten myönnetyt todistukset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3C711D" w14:textId="77777777" w:rsidR="00E42B18" w:rsidRDefault="009629C4">
            <w:pPr>
              <w:pStyle w:val="P68B1DB1-Normal11"/>
              <w:spacing w:before="120" w:after="120"/>
              <w:jc w:val="center"/>
              <w:rPr>
                <w:rFonts w:eastAsia="Calibri"/>
                <w:noProof/>
                <w:szCs w:val="20"/>
              </w:rPr>
            </w:pPr>
            <w:r>
              <w:rPr>
                <w:noProof/>
              </w:rPr>
              <w:t>EI OLE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8CC40DF" w14:textId="77777777" w:rsidR="00E42B18" w:rsidRDefault="009629C4">
            <w:pPr>
              <w:pStyle w:val="P68B1DB1-Normal11"/>
              <w:spacing w:before="120" w:after="120"/>
              <w:jc w:val="center"/>
              <w:rPr>
                <w:rFonts w:eastAsia="Calibri"/>
                <w:noProof/>
                <w:szCs w:val="20"/>
              </w:rPr>
            </w:pPr>
            <w:r>
              <w:rPr>
                <w:noProof/>
              </w:rPr>
              <w:t xml:space="preserve">Numero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E194F5" w14:textId="77777777" w:rsidR="00E42B18" w:rsidRDefault="009629C4">
            <w:pPr>
              <w:pStyle w:val="P68B1DB1-Normal11"/>
              <w:spacing w:before="120" w:after="120"/>
              <w:jc w:val="center"/>
              <w:rPr>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F1C7510" w14:textId="5664E1C7" w:rsidR="00E42B18" w:rsidRDefault="009629C4">
            <w:pPr>
              <w:pStyle w:val="P68B1DB1-Normal11"/>
              <w:spacing w:before="120" w:after="120"/>
              <w:jc w:val="center"/>
              <w:rPr>
                <w:rFonts w:eastAsia="Calibri"/>
                <w:noProof/>
                <w:szCs w:val="20"/>
              </w:rPr>
            </w:pPr>
            <w:r>
              <w:rPr>
                <w:noProof/>
              </w:rPr>
              <w:t>166 670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1C3BC9A" w14:textId="77777777" w:rsidR="00E42B18" w:rsidRDefault="009629C4">
            <w:pPr>
              <w:pStyle w:val="P68B1DB1-Normal11"/>
              <w:spacing w:before="120" w:after="120"/>
              <w:jc w:val="center"/>
              <w:rPr>
                <w:rFonts w:eastAsia="Calibri"/>
                <w:noProof/>
                <w:szCs w:val="20"/>
              </w:rPr>
            </w:pPr>
            <w:r>
              <w:rPr>
                <w:noProof/>
              </w:rPr>
              <w:t>Q2</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275F52" w14:textId="77777777" w:rsidR="00E42B18" w:rsidRDefault="009629C4">
            <w:pPr>
              <w:pStyle w:val="P68B1DB1-Normal11"/>
              <w:spacing w:before="120" w:after="120"/>
              <w:jc w:val="center"/>
              <w:rPr>
                <w:rFonts w:eastAsia="Calibri"/>
                <w:noProof/>
                <w:szCs w:val="20"/>
              </w:rPr>
            </w:pPr>
            <w:r>
              <w:rPr>
                <w:noProof/>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80C4E6" w14:textId="77777777" w:rsidR="00E42B18" w:rsidRDefault="009629C4">
            <w:pPr>
              <w:pStyle w:val="P68B1DB1-Normal11"/>
              <w:spacing w:before="120" w:after="120"/>
              <w:rPr>
                <w:rFonts w:eastAsia="Calibri"/>
                <w:noProof/>
                <w:szCs w:val="20"/>
              </w:rPr>
            </w:pPr>
            <w:r>
              <w:rPr>
                <w:noProof/>
                <w:szCs w:val="20"/>
              </w:rPr>
              <w:t>Vähintään 166670</w:t>
            </w:r>
            <w:r>
              <w:rPr>
                <w:noProof/>
              </w:rPr>
              <w:t xml:space="preserve"> </w:t>
            </w:r>
            <w:r>
              <w:rPr>
                <w:noProof/>
                <w:szCs w:val="20"/>
              </w:rPr>
              <w:t>yleisen julkishallinnon osallistumistodistusta, jotka on myönnetty nelivuotiskaudella 2021–2024 käynnistettyjä hankkeita varten.</w:t>
            </w:r>
          </w:p>
        </w:tc>
      </w:tr>
    </w:tbl>
    <w:p w14:paraId="7246408D" w14:textId="77777777" w:rsidR="00E42B18" w:rsidRDefault="00E42B18">
      <w:pPr>
        <w:spacing w:before="120" w:after="120"/>
        <w:ind w:left="709"/>
        <w:jc w:val="both"/>
        <w:rPr>
          <w:noProof/>
        </w:rPr>
      </w:pPr>
    </w:p>
    <w:p w14:paraId="0C27507F" w14:textId="77777777" w:rsidR="00E42B18" w:rsidRDefault="00E42B18">
      <w:pPr>
        <w:spacing w:before="120" w:after="120"/>
        <w:ind w:left="709"/>
        <w:jc w:val="both"/>
        <w:rPr>
          <w:noProof/>
        </w:rPr>
        <w:sectPr w:rsidR="00E42B18" w:rsidSect="005F11B9">
          <w:headerReference w:type="even" r:id="rId218"/>
          <w:headerReference w:type="default" r:id="rId219"/>
          <w:footerReference w:type="even" r:id="rId220"/>
          <w:footerReference w:type="default" r:id="rId221"/>
          <w:headerReference w:type="first" r:id="rId222"/>
          <w:footerReference w:type="first" r:id="rId223"/>
          <w:pgSz w:w="16838" w:h="11906" w:orient="landscape" w:code="9"/>
          <w:pgMar w:top="1134" w:right="1134" w:bottom="1134" w:left="1134" w:header="567" w:footer="567" w:gutter="0"/>
          <w:cols w:space="720"/>
          <w:docGrid w:linePitch="360"/>
        </w:sectPr>
      </w:pPr>
    </w:p>
    <w:p w14:paraId="5B47C192" w14:textId="77777777" w:rsidR="00E42B18" w:rsidRDefault="009629C4">
      <w:pPr>
        <w:pStyle w:val="P68B1DB1-Heading39"/>
        <w:ind w:left="850" w:hanging="850"/>
        <w:rPr>
          <w:b/>
          <w:bCs/>
          <w:i/>
          <w:iCs/>
          <w:noProof/>
          <w:color w:val="156082" w:themeColor="accent1"/>
          <w:u w:val="single"/>
        </w:rPr>
      </w:pPr>
      <w:r>
        <w:rPr>
          <w:b/>
          <w:noProof/>
          <w:u w:val="single"/>
        </w:rPr>
        <w:t xml:space="preserve">L.3 </w:t>
      </w:r>
      <w:r>
        <w:rPr>
          <w:noProof/>
        </w:rPr>
        <w:t xml:space="preserve"> </w:t>
      </w:r>
      <w:r>
        <w:rPr>
          <w:b/>
          <w:noProof/>
          <w:u w:val="single"/>
        </w:rPr>
        <w:t xml:space="preserve">Kuvaus lainamuotoisella tuella rahoitettavista uudistuksista ja investoinneista </w:t>
      </w:r>
    </w:p>
    <w:p w14:paraId="6AD9E909" w14:textId="77777777" w:rsidR="00E42B18" w:rsidRDefault="009629C4">
      <w:pPr>
        <w:pStyle w:val="P68B1DB1-Normal5"/>
        <w:spacing w:before="120" w:after="120"/>
        <w:jc w:val="both"/>
        <w:rPr>
          <w:noProof/>
        </w:rPr>
      </w:pPr>
      <w:r>
        <w:rPr>
          <w:noProof/>
        </w:rPr>
        <w:t>Investointi 5 – Naisyritysten perustaminen</w:t>
      </w:r>
    </w:p>
    <w:p w14:paraId="44CDE6CB" w14:textId="6036EE0E" w:rsidR="00E42B18" w:rsidRDefault="009629C4">
      <w:pPr>
        <w:pStyle w:val="P68B1DB1-Normal7"/>
        <w:spacing w:before="120" w:after="120"/>
        <w:jc w:val="both"/>
        <w:rPr>
          <w:noProof/>
        </w:rPr>
      </w:pPr>
      <w:r>
        <w:rPr>
          <w:noProof/>
        </w:rPr>
        <w:t>Tämä toimenpide koostuu julkisesta investoinnista tukivälineeseen, jotta voidaan kannustaa yksityisiä investointeja ja parantaa rahoituksen saantia Italiassa naisyritysten perustamiseen ja kasvuun Italiassa hankerahoituksen, mentoroinnin, viestintätoimien ja yrittäjyyskoulutuspalvelujen avulla. Investointikehys toimii myöntämällä tukia ja lainoja suoraan yksityiselle sektorille.</w:t>
      </w:r>
    </w:p>
    <w:p w14:paraId="2A1BE293" w14:textId="77777777" w:rsidR="00E42B18" w:rsidRDefault="009629C4">
      <w:pPr>
        <w:pStyle w:val="P68B1DB1-Normal7"/>
        <w:spacing w:before="120" w:after="120"/>
        <w:jc w:val="both"/>
        <w:rPr>
          <w:noProof/>
        </w:rPr>
      </w:pPr>
      <w:r>
        <w:rPr>
          <w:noProof/>
        </w:rPr>
        <w:t>Investointivälinettä hallinnoi toteutuskumppanina toimiva Invitalia. Investointikehys sisältää seuraavat tuotelinjat:</w:t>
      </w:r>
    </w:p>
    <w:p w14:paraId="0ACFD94D" w14:textId="36576E3F" w:rsidR="00E42B18" w:rsidRDefault="009629C4">
      <w:pPr>
        <w:pStyle w:val="P68B1DB1-Normal7"/>
        <w:numPr>
          <w:ilvl w:val="0"/>
          <w:numId w:val="73"/>
        </w:numPr>
        <w:spacing w:before="120" w:after="120" w:line="279" w:lineRule="auto"/>
        <w:jc w:val="both"/>
        <w:rPr>
          <w:noProof/>
        </w:rPr>
      </w:pPr>
      <w:r>
        <w:rPr>
          <w:i/>
          <w:noProof/>
        </w:rPr>
        <w:t xml:space="preserve">Fondo a sostegno dell’impresa femminile, </w:t>
      </w:r>
      <w:r>
        <w:rPr>
          <w:noProof/>
        </w:rPr>
        <w:t>joka tukee naisjohtoisia yritysaloitteita avustuksilla ja korottomilla lainoilla; lisäksi siitä rahoitetaan naisopiskelijoille ja nuorille naisille suunnattuja viestintä- ja koulutusaloitteita sekä koulutuspalveluja, joilla pyritään levittämään naisten yrittäjyyskulttuuria.</w:t>
      </w:r>
    </w:p>
    <w:p w14:paraId="62D025C7" w14:textId="77777777" w:rsidR="00E42B18" w:rsidRDefault="009629C4">
      <w:pPr>
        <w:pStyle w:val="P68B1DB1-Normal7"/>
        <w:numPr>
          <w:ilvl w:val="0"/>
          <w:numId w:val="73"/>
        </w:numPr>
        <w:spacing w:before="120" w:after="120" w:line="279" w:lineRule="auto"/>
        <w:jc w:val="both"/>
        <w:rPr>
          <w:noProof/>
        </w:rPr>
      </w:pPr>
      <w:r>
        <w:rPr>
          <w:noProof/>
        </w:rPr>
        <w:t xml:space="preserve">Toteaa, että </w:t>
      </w:r>
      <w:r>
        <w:rPr>
          <w:i/>
          <w:noProof/>
        </w:rPr>
        <w:t>Nuove on tasso zero (NITO-ON)</w:t>
      </w:r>
      <w:r>
        <w:rPr>
          <w:noProof/>
        </w:rPr>
        <w:t>, joka on tarkoitettu sellaisten mikro- ja pienyritysten perustamiseen ja kasvuun, joita johtavat pääasiassa tai kokonaan nuoret tai naiset ja joita rahoitetaan avustuksilla ja korottomilla lainoilla;</w:t>
      </w:r>
    </w:p>
    <w:p w14:paraId="66463615" w14:textId="77777777" w:rsidR="00E42B18" w:rsidRDefault="009629C4">
      <w:pPr>
        <w:pStyle w:val="P68B1DB1-Normal7"/>
        <w:numPr>
          <w:ilvl w:val="0"/>
          <w:numId w:val="73"/>
        </w:numPr>
        <w:spacing w:before="120" w:after="120" w:line="279" w:lineRule="auto"/>
        <w:jc w:val="both"/>
        <w:rPr>
          <w:noProof/>
        </w:rPr>
      </w:pPr>
      <w:r>
        <w:rPr>
          <w:i/>
          <w:noProof/>
        </w:rPr>
        <w:t>Smart &amp; Start Italia</w:t>
      </w:r>
      <w:r>
        <w:rPr>
          <w:noProof/>
        </w:rPr>
        <w:t xml:space="preserve"> -ohjelma, jonka tavoitteena on edistää lainoilla rahoitettuja innovatiivisia, teknologiavetoisia startup-yrityksiä, erityisesti sellaisia, joissa on vahvoja digitaalisia tai tutkimukseen perustuvia elementtejä; Keski- ja Etelä-Italiassa sijaitsevien startup-yritysten osalta tietty prosenttiosuus lainasta voidaan muuntaa avustukseksi, jota ei makseta takaisin.</w:t>
      </w:r>
    </w:p>
    <w:p w14:paraId="2E95A7F6" w14:textId="77777777" w:rsidR="00E42B18" w:rsidRDefault="009629C4">
      <w:pPr>
        <w:pStyle w:val="P68B1DB1-Normal7"/>
        <w:spacing w:before="120" w:after="120"/>
        <w:jc w:val="both"/>
        <w:rPr>
          <w:noProof/>
        </w:rPr>
      </w:pPr>
      <w:r>
        <w:rPr>
          <w:noProof/>
        </w:rPr>
        <w:t>Investointivälineeseen tehtävän investoinnin toteuttamiseksi Italian ja Invitalian on allekirjoitettava täytäntöönpanosopimus, jonka sisältö on seuraava:</w:t>
      </w:r>
    </w:p>
    <w:p w14:paraId="3E594429" w14:textId="77777777" w:rsidR="00E42B18" w:rsidRDefault="009629C4">
      <w:pPr>
        <w:pStyle w:val="P68B1DB1-ListParagraph100"/>
        <w:numPr>
          <w:ilvl w:val="0"/>
          <w:numId w:val="92"/>
        </w:numPr>
        <w:spacing w:before="120" w:after="120" w:line="278" w:lineRule="auto"/>
        <w:ind w:left="714" w:hanging="357"/>
        <w:contextualSpacing w:val="0"/>
        <w:jc w:val="both"/>
        <w:rPr>
          <w:noProof/>
        </w:rPr>
      </w:pPr>
      <w:r>
        <w:rPr>
          <w:noProof/>
        </w:rPr>
        <w:t>Kuvaus tukivälineen päätöksentekoprosessista: Tukivälineen lopullisen investointipäätöksen tekee investointikomitea tai muu vastaava hallintoelin, ja se hyväksytään hallituksesta riippumattomien jäsenten äänten enemmistöllä.</w:t>
      </w:r>
    </w:p>
    <w:p w14:paraId="0198B0CA" w14:textId="77777777" w:rsidR="00E42B18" w:rsidRDefault="009629C4">
      <w:pPr>
        <w:pStyle w:val="P68B1DB1-ListParagraph100"/>
        <w:numPr>
          <w:ilvl w:val="0"/>
          <w:numId w:val="92"/>
        </w:numPr>
        <w:spacing w:before="120" w:after="120" w:line="278" w:lineRule="auto"/>
        <w:ind w:hanging="357"/>
        <w:contextualSpacing w:val="0"/>
        <w:jc w:val="both"/>
        <w:rPr>
          <w:noProof/>
        </w:rPr>
      </w:pPr>
      <w:r>
        <w:rPr>
          <w:noProof/>
        </w:rPr>
        <w:t>Asiaan liittyvän sijoituspolitiikan keskeiset vaatimukset, joihin kuuluvat:</w:t>
      </w:r>
    </w:p>
    <w:p w14:paraId="59C2EB54" w14:textId="77777777" w:rsidR="00E42B18" w:rsidRDefault="009629C4">
      <w:pPr>
        <w:pStyle w:val="P68B1DB1-ListParagraph100"/>
        <w:numPr>
          <w:ilvl w:val="0"/>
          <w:numId w:val="93"/>
        </w:numPr>
        <w:spacing w:before="120" w:after="120" w:line="278" w:lineRule="auto"/>
        <w:ind w:hanging="357"/>
        <w:contextualSpacing w:val="0"/>
        <w:jc w:val="both"/>
        <w:rPr>
          <w:noProof/>
        </w:rPr>
      </w:pPr>
      <w:r>
        <w:rPr>
          <w:noProof/>
        </w:rPr>
        <w:t>Rahoitustuotteiden ja tukikelpoisten lopullisten tuensaajien kuvaus.</w:t>
      </w:r>
    </w:p>
    <w:p w14:paraId="25CAED54" w14:textId="77777777" w:rsidR="00E42B18" w:rsidRDefault="009629C4">
      <w:pPr>
        <w:pStyle w:val="P68B1DB1-ListParagraph100"/>
        <w:numPr>
          <w:ilvl w:val="0"/>
          <w:numId w:val="93"/>
        </w:numPr>
        <w:spacing w:before="120" w:after="120" w:line="278" w:lineRule="auto"/>
        <w:ind w:hanging="357"/>
        <w:contextualSpacing w:val="0"/>
        <w:jc w:val="both"/>
        <w:rPr>
          <w:noProof/>
        </w:rPr>
      </w:pPr>
      <w:r>
        <w:rPr>
          <w:noProof/>
        </w:rPr>
        <w:t>Vaatimus siitä, että kaikki tuetut investoinnit ovat taloudellisesti elinkelpoisia.</w:t>
      </w:r>
    </w:p>
    <w:p w14:paraId="74FF7F76" w14:textId="77777777" w:rsidR="00E42B18" w:rsidRDefault="009629C4">
      <w:pPr>
        <w:pStyle w:val="P68B1DB1-ListParagraph37"/>
        <w:numPr>
          <w:ilvl w:val="0"/>
          <w:numId w:val="93"/>
        </w:numPr>
        <w:spacing w:before="120" w:after="120" w:line="278" w:lineRule="auto"/>
        <w:ind w:hanging="357"/>
        <w:contextualSpacing w:val="0"/>
        <w:jc w:val="both"/>
        <w:rPr>
          <w:noProof/>
        </w:rPr>
      </w:pPr>
      <w:r>
        <w:rPr>
          <w:noProof/>
        </w:rPr>
        <w:t>Vaatimus noudattaa ”ei merkittävää haittaa” -periaatetta sitä koskevien teknisten ohjeiden (2021/C58/01) mukaisesti. Sijoituspolitiikassa on erityisesti jätettävä tukikelpoisuuden ulkopuolelle seuraava luettelo toiminnoista ja omaisuuseristä: I) fossiilisiin polttoaineisiin liittyvät toiminnot ja omaisuuserät, mukaan lukien tuotantoketjun loppupään käyttö,</w:t>
      </w:r>
      <w:r>
        <w:rPr>
          <w:noProof/>
        </w:rPr>
        <w:footnoteReference w:id="89"/>
      </w:r>
      <w:r>
        <w:rPr>
          <w:noProof/>
        </w:rPr>
        <w:t>ii) EU:n päästökauppajärjestelmään kuuluvat toiminnot ja omaisuuserät, joiden avulla saavutetaan ennustetut kasvihuonekaasupäästöt, jotka eivät alita asiaankuuluvia vertailuarvoja</w:t>
      </w:r>
      <w:r>
        <w:rPr>
          <w:noProof/>
        </w:rPr>
        <w:footnoteReference w:id="90"/>
      </w:r>
      <w:r>
        <w:rPr>
          <w:noProof/>
        </w:rPr>
        <w:t>, iii) kaatopaikkoihin, polttolaitoksiin ja mekaanisiin biologisiin käsittelylaitoksiin liittyvät toiminnot</w:t>
      </w:r>
      <w:r>
        <w:rPr>
          <w:noProof/>
        </w:rPr>
        <w:footnoteReference w:id="91"/>
      </w:r>
      <w:r>
        <w:rPr>
          <w:noProof/>
        </w:rPr>
        <w:t xml:space="preserve"> ja varat</w:t>
      </w:r>
      <w:r>
        <w:rPr>
          <w:noProof/>
        </w:rPr>
        <w:footnoteReference w:id="92"/>
      </w:r>
      <w:r>
        <w:rPr>
          <w:noProof/>
        </w:rPr>
        <w:t xml:space="preserve">. </w:t>
      </w:r>
    </w:p>
    <w:p w14:paraId="08C9CACE" w14:textId="77777777" w:rsidR="00E42B18" w:rsidRDefault="009629C4">
      <w:pPr>
        <w:pStyle w:val="P68B1DB1-ListParagraph37"/>
        <w:numPr>
          <w:ilvl w:val="0"/>
          <w:numId w:val="93"/>
        </w:numPr>
        <w:spacing w:before="120" w:after="120" w:line="278" w:lineRule="auto"/>
        <w:ind w:hanging="357"/>
        <w:contextualSpacing w:val="0"/>
        <w:jc w:val="both"/>
        <w:rPr>
          <w:noProof/>
        </w:rPr>
      </w:pPr>
      <w:r>
        <w:rPr>
          <w:noProof/>
        </w:rPr>
        <w:t>Vaatimus, jonka mukaan tukivälineen lopulliset tuensaajat eivät saa tukea muista unionin välineistä samojen kustannusten kattamiseksi.</w:t>
      </w:r>
    </w:p>
    <w:p w14:paraId="4075FAE8" w14:textId="77777777" w:rsidR="00E42B18" w:rsidRDefault="009629C4">
      <w:pPr>
        <w:pStyle w:val="P68B1DB1-ListParagraph37"/>
        <w:numPr>
          <w:ilvl w:val="0"/>
          <w:numId w:val="92"/>
        </w:numPr>
        <w:spacing w:before="120" w:after="120" w:line="278" w:lineRule="auto"/>
        <w:ind w:left="714" w:hanging="357"/>
        <w:contextualSpacing w:val="0"/>
        <w:jc w:val="both"/>
        <w:rPr>
          <w:noProof/>
        </w:rPr>
      </w:pPr>
      <w:r>
        <w:rPr>
          <w:noProof/>
        </w:rPr>
        <w:t>Täytäntöönpanosopimuksen kattama määrä, toteutuskumppanin maksurakenne ja vaatimus sijoittaa takaisin saadut varat uudelleen investointikehyksen investointipolitiikan mukaisesti.</w:t>
      </w:r>
    </w:p>
    <w:p w14:paraId="0927675B" w14:textId="77777777" w:rsidR="00E42B18" w:rsidRDefault="009629C4">
      <w:pPr>
        <w:pStyle w:val="P68B1DB1-ListParagraph37"/>
        <w:numPr>
          <w:ilvl w:val="0"/>
          <w:numId w:val="92"/>
        </w:numPr>
        <w:spacing w:before="120" w:after="120" w:line="240" w:lineRule="auto"/>
        <w:jc w:val="both"/>
        <w:rPr>
          <w:noProof/>
        </w:rPr>
      </w:pPr>
      <w:r>
        <w:rPr>
          <w:noProof/>
        </w:rPr>
        <w:t>Seuranta-, valvonta- ja tarkastusvaatimukset, joihin sisältyvät</w:t>
      </w:r>
    </w:p>
    <w:p w14:paraId="47B4D611" w14:textId="77777777" w:rsidR="00E42B18" w:rsidRDefault="009629C4">
      <w:pPr>
        <w:pStyle w:val="P68B1DB1-Normal7"/>
        <w:numPr>
          <w:ilvl w:val="0"/>
          <w:numId w:val="91"/>
        </w:numPr>
        <w:spacing w:before="120" w:after="120" w:line="240" w:lineRule="auto"/>
        <w:jc w:val="both"/>
        <w:rPr>
          <w:noProof/>
        </w:rPr>
      </w:pPr>
      <w:bookmarkStart w:id="20" w:name="_Hlk139218377"/>
      <w:r>
        <w:rPr>
          <w:noProof/>
        </w:rPr>
        <w:t>Kuvaus toteutuskumppanin seurantajärjestelmästä, jolla raportoidaan mobilisoiduista investoinneista.</w:t>
      </w:r>
    </w:p>
    <w:p w14:paraId="7F851301" w14:textId="77777777" w:rsidR="00E42B18" w:rsidRDefault="009629C4">
      <w:pPr>
        <w:pStyle w:val="P68B1DB1-Normal7"/>
        <w:numPr>
          <w:ilvl w:val="0"/>
          <w:numId w:val="91"/>
        </w:numPr>
        <w:spacing w:before="120" w:after="120" w:line="240" w:lineRule="auto"/>
        <w:jc w:val="both"/>
        <w:rPr>
          <w:noProof/>
        </w:rPr>
      </w:pPr>
      <w:r>
        <w:rPr>
          <w:noProof/>
        </w:rPr>
        <w:t xml:space="preserve">Kuvaus toteutuskumppanin menettelyistä, joilla varmistetaan petosten, lahjonnan ja eturistiriitojen ehkäiseminen, havaitseminen ja korjaaminen. </w:t>
      </w:r>
    </w:p>
    <w:p w14:paraId="2F36FC7C" w14:textId="77777777" w:rsidR="00E42B18" w:rsidRDefault="009629C4">
      <w:pPr>
        <w:pStyle w:val="P68B1DB1-Normal7"/>
        <w:numPr>
          <w:ilvl w:val="0"/>
          <w:numId w:val="91"/>
        </w:numPr>
        <w:spacing w:before="120" w:after="120" w:line="240" w:lineRule="auto"/>
        <w:jc w:val="both"/>
        <w:rPr>
          <w:noProof/>
        </w:rPr>
      </w:pPr>
      <w:r>
        <w:rPr>
          <w:noProof/>
        </w:rPr>
        <w:t>Velvoite tarkistaa kunkin toimen tukikelpoisuus täytäntöönpanosopimuksessa vahvistettujen vaatimusten mukaisesti ennen sitoutumista toimen rahoittamiseen.</w:t>
      </w:r>
    </w:p>
    <w:bookmarkEnd w:id="20"/>
    <w:p w14:paraId="6B80E2E8" w14:textId="77777777" w:rsidR="00E42B18" w:rsidRDefault="009629C4">
      <w:pPr>
        <w:pStyle w:val="P68B1DB1-Normal7"/>
        <w:numPr>
          <w:ilvl w:val="0"/>
          <w:numId w:val="91"/>
        </w:numPr>
        <w:spacing w:before="120" w:after="120" w:line="278" w:lineRule="auto"/>
        <w:ind w:left="1077" w:hanging="357"/>
        <w:jc w:val="both"/>
        <w:rPr>
          <w:noProof/>
        </w:rPr>
      </w:pPr>
      <w:r>
        <w:rPr>
          <w:noProof/>
        </w:rPr>
        <w:t xml:space="preserve">Velvollisuus suorittaa riskiperusteisia jälkitarkastuksia Invitalian tarkastussuunnitelman mukaisesti. Näillä tarkastuksilla varmistetaan i) valvontajärjestelmien tehokkuus, mukaan lukien petosten, lahjonnan ja eturistiriitojen havaitseminen; II) ”ei merkittävää haittaa” -periaatteen, valtiontukisääntöjen ja digitaalista tavoitetta koskevan vaatimuksen noudattaminen; ja iii) noudatetaan vaatimusta, jonka mukaan tukivälineen lopulliset edunsaajat eivät ole saaneet tukea muista unionin välineistä samojen kustannusten kattamiseksi. Tarkastuksissa on myös todennettava toimien laillisuus ja se, että sovellettavan täytäntöönpanosopimuksen ehtoja noudatetaan. </w:t>
      </w:r>
    </w:p>
    <w:p w14:paraId="4A8DD185" w14:textId="77777777" w:rsidR="00E42B18" w:rsidRDefault="009629C4">
      <w:pPr>
        <w:pStyle w:val="P68B1DB1-Normal7"/>
        <w:spacing w:before="120" w:after="120" w:line="278" w:lineRule="auto"/>
        <w:jc w:val="both"/>
        <w:rPr>
          <w:noProof/>
        </w:rPr>
      </w:pPr>
      <w:r>
        <w:rPr>
          <w:noProof/>
        </w:rPr>
        <w:t xml:space="preserve">Toteutuskumppanin tekemiä digitaalisia investointeja koskevat vaatimukset: Elpymis- ja palautumistukivälineen investointivälineeseen vähintään 150000000 eurolla on edistettävä digitaalista siirtymää elpymis- ja palautumistukivälinettä koskevan asetuksen liitteen VII mukaisesti. </w:t>
      </w:r>
    </w:p>
    <w:p w14:paraId="3DABC33E" w14:textId="77777777" w:rsidR="00E42B18" w:rsidRDefault="00E42B18">
      <w:pPr>
        <w:spacing w:before="120" w:after="120" w:line="240" w:lineRule="auto"/>
        <w:jc w:val="both"/>
        <w:rPr>
          <w:rFonts w:ascii="Times New Roman" w:hAnsi="Times New Roman" w:cs="Times New Roman"/>
          <w:noProof/>
        </w:rPr>
      </w:pPr>
    </w:p>
    <w:p w14:paraId="016DF8E5" w14:textId="77777777" w:rsidR="00E42B18" w:rsidRDefault="009629C4">
      <w:pPr>
        <w:pStyle w:val="P68B1DB1-Normal101"/>
        <w:spacing w:before="120" w:after="120"/>
        <w:jc w:val="both"/>
        <w:rPr>
          <w:noProof/>
        </w:rPr>
        <w:sectPr w:rsidR="00E42B18" w:rsidSect="005F11B9">
          <w:headerReference w:type="even" r:id="rId224"/>
          <w:headerReference w:type="default" r:id="rId225"/>
          <w:footerReference w:type="even" r:id="rId226"/>
          <w:footerReference w:type="default" r:id="rId227"/>
          <w:headerReference w:type="first" r:id="rId228"/>
          <w:footerReference w:type="first" r:id="rId229"/>
          <w:pgSz w:w="11907" w:h="16839"/>
          <w:pgMar w:top="1134" w:right="1134" w:bottom="1134" w:left="1134" w:header="567" w:footer="567" w:gutter="0"/>
          <w:cols w:space="720"/>
          <w:docGrid w:linePitch="360"/>
        </w:sectPr>
      </w:pPr>
      <w:r>
        <w:rPr>
          <w:noProof/>
        </w:rPr>
        <w:br w:type="page"/>
      </w:r>
    </w:p>
    <w:p w14:paraId="72F214B9" w14:textId="77777777" w:rsidR="00E42B18" w:rsidRDefault="009629C4">
      <w:pPr>
        <w:pStyle w:val="P68B1DB1-Heading39"/>
        <w:ind w:left="850" w:hanging="850"/>
        <w:rPr>
          <w:b/>
          <w:bCs/>
          <w:i/>
          <w:iCs/>
          <w:noProof/>
          <w:u w:val="single"/>
        </w:rPr>
      </w:pPr>
      <w:r>
        <w:rPr>
          <w:b/>
          <w:noProof/>
          <w:u w:val="single"/>
        </w:rPr>
        <w:t xml:space="preserve">L.4 </w:t>
      </w:r>
      <w:r>
        <w:rPr>
          <w:noProof/>
        </w:rPr>
        <w:t xml:space="preserve"> </w:t>
      </w:r>
      <w:r>
        <w:rPr>
          <w:b/>
          <w:noProof/>
          <w:u w:val="single"/>
        </w:rPr>
        <w:t xml:space="preserve">Lainamuotoisen tuen seurantaa ja täytäntöönpanoa koskevat välitavoitteet, tavoitteet, indikaattorit ja aikataulu </w:t>
      </w:r>
    </w:p>
    <w:tbl>
      <w:tblPr>
        <w:tblW w:w="15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4"/>
        <w:gridCol w:w="1530"/>
        <w:gridCol w:w="1179"/>
        <w:gridCol w:w="1802"/>
        <w:gridCol w:w="1670"/>
        <w:gridCol w:w="1065"/>
        <w:gridCol w:w="971"/>
        <w:gridCol w:w="1189"/>
        <w:gridCol w:w="979"/>
        <w:gridCol w:w="689"/>
        <w:gridCol w:w="2982"/>
      </w:tblGrid>
      <w:tr w:rsidR="00E42B18" w14:paraId="213F423C" w14:textId="77777777">
        <w:trPr>
          <w:trHeight w:val="701"/>
          <w:tblHeader/>
          <w:jc w:val="center"/>
        </w:trPr>
        <w:tc>
          <w:tcPr>
            <w:tcW w:w="1254" w:type="dxa"/>
            <w:vMerge w:val="restart"/>
            <w:shd w:val="clear" w:color="auto" w:fill="BDD7EE"/>
            <w:vAlign w:val="center"/>
            <w:hideMark/>
          </w:tcPr>
          <w:p w14:paraId="4C11EB81" w14:textId="77777777" w:rsidR="00E42B18" w:rsidRDefault="009629C4">
            <w:pPr>
              <w:pStyle w:val="P68B1DB1-Normal102"/>
              <w:jc w:val="center"/>
              <w:rPr>
                <w:bCs/>
                <w:noProof/>
                <w:szCs w:val="20"/>
              </w:rPr>
            </w:pPr>
            <w:r>
              <w:rPr>
                <w:noProof/>
              </w:rPr>
              <w:t>Juokseva numero</w:t>
            </w:r>
          </w:p>
        </w:tc>
        <w:tc>
          <w:tcPr>
            <w:tcW w:w="1530" w:type="dxa"/>
            <w:vMerge w:val="restart"/>
            <w:shd w:val="clear" w:color="auto" w:fill="BDD7EE"/>
            <w:vAlign w:val="center"/>
            <w:hideMark/>
          </w:tcPr>
          <w:p w14:paraId="66848143" w14:textId="77777777" w:rsidR="00E42B18" w:rsidRDefault="009629C4">
            <w:pPr>
              <w:pStyle w:val="P68B1DB1-Normal102"/>
              <w:jc w:val="center"/>
              <w:rPr>
                <w:bCs/>
                <w:noProof/>
                <w:szCs w:val="20"/>
              </w:rPr>
            </w:pPr>
            <w:r>
              <w:rPr>
                <w:noProof/>
              </w:rPr>
              <w:t>Toimenpide (uudistus tai investointi)</w:t>
            </w:r>
          </w:p>
        </w:tc>
        <w:tc>
          <w:tcPr>
            <w:tcW w:w="1179" w:type="dxa"/>
            <w:vMerge w:val="restart"/>
            <w:shd w:val="clear" w:color="auto" w:fill="BDD7EE"/>
            <w:vAlign w:val="center"/>
            <w:hideMark/>
          </w:tcPr>
          <w:p w14:paraId="045FD989" w14:textId="77777777" w:rsidR="00E42B18" w:rsidRDefault="009629C4">
            <w:pPr>
              <w:pStyle w:val="P68B1DB1-Normal102"/>
              <w:jc w:val="center"/>
              <w:rPr>
                <w:bCs/>
                <w:noProof/>
                <w:szCs w:val="20"/>
              </w:rPr>
            </w:pPr>
            <w:r>
              <w:rPr>
                <w:noProof/>
              </w:rPr>
              <w:t>Välitavoite/tavoite</w:t>
            </w:r>
          </w:p>
        </w:tc>
        <w:tc>
          <w:tcPr>
            <w:tcW w:w="1802" w:type="dxa"/>
            <w:vMerge w:val="restart"/>
            <w:shd w:val="clear" w:color="auto" w:fill="BDD7EE"/>
            <w:vAlign w:val="center"/>
            <w:hideMark/>
          </w:tcPr>
          <w:p w14:paraId="6C290959" w14:textId="77777777" w:rsidR="00E42B18" w:rsidRDefault="009629C4">
            <w:pPr>
              <w:pStyle w:val="P68B1DB1-Normal102"/>
              <w:jc w:val="center"/>
              <w:rPr>
                <w:bCs/>
                <w:noProof/>
                <w:szCs w:val="20"/>
              </w:rPr>
            </w:pPr>
            <w:r>
              <w:rPr>
                <w:noProof/>
              </w:rPr>
              <w:t>Nimi</w:t>
            </w:r>
          </w:p>
        </w:tc>
        <w:tc>
          <w:tcPr>
            <w:tcW w:w="1670" w:type="dxa"/>
            <w:vMerge w:val="restart"/>
            <w:shd w:val="clear" w:color="auto" w:fill="BDD7EE"/>
            <w:vAlign w:val="center"/>
            <w:hideMark/>
          </w:tcPr>
          <w:p w14:paraId="7D589E74" w14:textId="77777777" w:rsidR="00E42B18" w:rsidRDefault="009629C4">
            <w:pPr>
              <w:jc w:val="center"/>
              <w:rPr>
                <w:rFonts w:ascii="Arial Narrow" w:hAnsi="Arial Narrow"/>
                <w:b/>
                <w:bCs/>
                <w:noProof/>
                <w:color w:val="000000"/>
                <w:sz w:val="20"/>
                <w:szCs w:val="20"/>
              </w:rPr>
            </w:pPr>
            <w:r>
              <w:rPr>
                <w:rFonts w:ascii="Arial Narrow" w:hAnsi="Arial Narrow"/>
                <w:b/>
                <w:noProof/>
                <w:color w:val="000000"/>
                <w:sz w:val="20"/>
              </w:rPr>
              <w:t>Laadulliset indikaattorit</w:t>
            </w:r>
            <w:r>
              <w:rPr>
                <w:noProof/>
              </w:rPr>
              <w:br/>
            </w:r>
            <w:r>
              <w:rPr>
                <w:rFonts w:ascii="Arial Narrow" w:hAnsi="Arial Narrow"/>
                <w:b/>
                <w:noProof/>
                <w:color w:val="000000"/>
                <w:sz w:val="20"/>
              </w:rPr>
              <w:t>(välitavoitteiden osalta)</w:t>
            </w:r>
          </w:p>
        </w:tc>
        <w:tc>
          <w:tcPr>
            <w:tcW w:w="3225" w:type="dxa"/>
            <w:gridSpan w:val="3"/>
            <w:shd w:val="clear" w:color="auto" w:fill="BDD7EE"/>
            <w:vAlign w:val="center"/>
            <w:hideMark/>
          </w:tcPr>
          <w:p w14:paraId="4BC3C38C" w14:textId="77777777" w:rsidR="00E42B18" w:rsidRDefault="009629C4">
            <w:pPr>
              <w:jc w:val="center"/>
              <w:rPr>
                <w:rFonts w:ascii="Arial Narrow" w:hAnsi="Arial Narrow"/>
                <w:b/>
                <w:bCs/>
                <w:noProof/>
                <w:color w:val="000000"/>
                <w:sz w:val="20"/>
                <w:szCs w:val="20"/>
              </w:rPr>
            </w:pPr>
            <w:r>
              <w:rPr>
                <w:rFonts w:ascii="Arial Narrow" w:hAnsi="Arial Narrow"/>
                <w:b/>
                <w:noProof/>
                <w:color w:val="000000"/>
                <w:sz w:val="20"/>
              </w:rPr>
              <w:t>Määrälliset indikaattorit</w:t>
            </w:r>
            <w:r>
              <w:rPr>
                <w:noProof/>
              </w:rPr>
              <w:br/>
            </w:r>
            <w:r>
              <w:rPr>
                <w:rFonts w:ascii="Arial Narrow" w:hAnsi="Arial Narrow"/>
                <w:b/>
                <w:noProof/>
                <w:color w:val="000000"/>
                <w:sz w:val="20"/>
              </w:rPr>
              <w:t>(tavoitteiden osalta)</w:t>
            </w:r>
          </w:p>
        </w:tc>
        <w:tc>
          <w:tcPr>
            <w:tcW w:w="1668" w:type="dxa"/>
            <w:gridSpan w:val="2"/>
            <w:shd w:val="clear" w:color="auto" w:fill="BDD7EE"/>
            <w:vAlign w:val="center"/>
            <w:hideMark/>
          </w:tcPr>
          <w:p w14:paraId="3031B1FE" w14:textId="77777777" w:rsidR="00E42B18" w:rsidRDefault="009629C4">
            <w:pPr>
              <w:pStyle w:val="P68B1DB1-Normal102"/>
              <w:jc w:val="center"/>
              <w:rPr>
                <w:bCs/>
                <w:noProof/>
                <w:szCs w:val="20"/>
              </w:rPr>
            </w:pPr>
            <w:r>
              <w:rPr>
                <w:noProof/>
              </w:rPr>
              <w:t>Alustava toteutusaikataulu</w:t>
            </w:r>
          </w:p>
        </w:tc>
        <w:tc>
          <w:tcPr>
            <w:tcW w:w="2982" w:type="dxa"/>
            <w:vMerge w:val="restart"/>
            <w:shd w:val="clear" w:color="auto" w:fill="BDD7EE"/>
            <w:vAlign w:val="center"/>
            <w:hideMark/>
          </w:tcPr>
          <w:p w14:paraId="7D8638D5" w14:textId="77777777" w:rsidR="00E42B18" w:rsidRDefault="009629C4">
            <w:pPr>
              <w:pStyle w:val="P68B1DB1-Normal102"/>
              <w:jc w:val="center"/>
              <w:rPr>
                <w:bCs/>
                <w:noProof/>
                <w:szCs w:val="20"/>
              </w:rPr>
            </w:pPr>
            <w:r>
              <w:rPr>
                <w:noProof/>
              </w:rPr>
              <w:t>Kunkin välitavoitteen ja tavoitteen kuvaus</w:t>
            </w:r>
          </w:p>
        </w:tc>
      </w:tr>
      <w:tr w:rsidR="00E42B18" w14:paraId="46A77538" w14:textId="77777777">
        <w:trPr>
          <w:trHeight w:val="701"/>
          <w:tblHeader/>
          <w:jc w:val="center"/>
        </w:trPr>
        <w:tc>
          <w:tcPr>
            <w:tcW w:w="1254" w:type="dxa"/>
            <w:vMerge/>
            <w:vAlign w:val="center"/>
          </w:tcPr>
          <w:p w14:paraId="12DCBF35" w14:textId="77777777" w:rsidR="00E42B18" w:rsidRDefault="00E42B18">
            <w:pPr>
              <w:rPr>
                <w:rFonts w:ascii="Arial Narrow" w:hAnsi="Arial Narrow"/>
                <w:b/>
                <w:bCs/>
                <w:noProof/>
                <w:color w:val="000000"/>
                <w:sz w:val="20"/>
                <w:szCs w:val="20"/>
              </w:rPr>
            </w:pPr>
          </w:p>
        </w:tc>
        <w:tc>
          <w:tcPr>
            <w:tcW w:w="1530" w:type="dxa"/>
            <w:vMerge/>
            <w:vAlign w:val="center"/>
          </w:tcPr>
          <w:p w14:paraId="39A00BB4" w14:textId="77777777" w:rsidR="00E42B18" w:rsidRDefault="00E42B18">
            <w:pPr>
              <w:rPr>
                <w:rFonts w:ascii="Arial Narrow" w:hAnsi="Arial Narrow"/>
                <w:b/>
                <w:bCs/>
                <w:noProof/>
                <w:color w:val="000000"/>
                <w:sz w:val="20"/>
                <w:szCs w:val="20"/>
              </w:rPr>
            </w:pPr>
          </w:p>
        </w:tc>
        <w:tc>
          <w:tcPr>
            <w:tcW w:w="1179" w:type="dxa"/>
            <w:vMerge/>
            <w:vAlign w:val="center"/>
          </w:tcPr>
          <w:p w14:paraId="4BEDBBC0" w14:textId="77777777" w:rsidR="00E42B18" w:rsidRDefault="00E42B18">
            <w:pPr>
              <w:rPr>
                <w:rFonts w:ascii="Arial Narrow" w:hAnsi="Arial Narrow"/>
                <w:b/>
                <w:bCs/>
                <w:noProof/>
                <w:color w:val="000000"/>
                <w:sz w:val="20"/>
                <w:szCs w:val="20"/>
              </w:rPr>
            </w:pPr>
          </w:p>
        </w:tc>
        <w:tc>
          <w:tcPr>
            <w:tcW w:w="1802" w:type="dxa"/>
            <w:vMerge/>
            <w:vAlign w:val="center"/>
          </w:tcPr>
          <w:p w14:paraId="7A4899E6" w14:textId="77777777" w:rsidR="00E42B18" w:rsidRDefault="00E42B18">
            <w:pPr>
              <w:rPr>
                <w:rFonts w:ascii="Arial Narrow" w:hAnsi="Arial Narrow"/>
                <w:b/>
                <w:bCs/>
                <w:noProof/>
                <w:color w:val="000000"/>
                <w:sz w:val="20"/>
                <w:szCs w:val="20"/>
              </w:rPr>
            </w:pPr>
          </w:p>
        </w:tc>
        <w:tc>
          <w:tcPr>
            <w:tcW w:w="1670" w:type="dxa"/>
            <w:vMerge/>
            <w:vAlign w:val="center"/>
          </w:tcPr>
          <w:p w14:paraId="4E451500" w14:textId="77777777" w:rsidR="00E42B18" w:rsidRDefault="00E42B18">
            <w:pPr>
              <w:jc w:val="center"/>
              <w:rPr>
                <w:rFonts w:ascii="Arial Narrow" w:hAnsi="Arial Narrow"/>
                <w:b/>
                <w:bCs/>
                <w:noProof/>
                <w:color w:val="000000"/>
                <w:sz w:val="20"/>
                <w:szCs w:val="20"/>
              </w:rPr>
            </w:pPr>
          </w:p>
        </w:tc>
        <w:tc>
          <w:tcPr>
            <w:tcW w:w="1065" w:type="dxa"/>
            <w:shd w:val="clear" w:color="auto" w:fill="BDD7EE"/>
            <w:vAlign w:val="center"/>
          </w:tcPr>
          <w:p w14:paraId="4B4371FF" w14:textId="77777777" w:rsidR="00E42B18" w:rsidRDefault="009629C4">
            <w:pPr>
              <w:pStyle w:val="P68B1DB1-Normal102"/>
              <w:jc w:val="center"/>
              <w:rPr>
                <w:bCs/>
                <w:noProof/>
                <w:szCs w:val="20"/>
              </w:rPr>
            </w:pPr>
            <w:r>
              <w:rPr>
                <w:noProof/>
              </w:rPr>
              <w:t>Mitta-yksikkö</w:t>
            </w:r>
          </w:p>
        </w:tc>
        <w:tc>
          <w:tcPr>
            <w:tcW w:w="971" w:type="dxa"/>
            <w:shd w:val="clear" w:color="auto" w:fill="BDD7EE"/>
            <w:vAlign w:val="center"/>
          </w:tcPr>
          <w:p w14:paraId="75792B09" w14:textId="77777777" w:rsidR="00E42B18" w:rsidRDefault="009629C4">
            <w:pPr>
              <w:pStyle w:val="P68B1DB1-Normal102"/>
              <w:jc w:val="center"/>
              <w:rPr>
                <w:bCs/>
                <w:noProof/>
                <w:szCs w:val="20"/>
              </w:rPr>
            </w:pPr>
            <w:r>
              <w:rPr>
                <w:noProof/>
              </w:rPr>
              <w:t>Lähtötilanne</w:t>
            </w:r>
          </w:p>
        </w:tc>
        <w:tc>
          <w:tcPr>
            <w:tcW w:w="1189" w:type="dxa"/>
            <w:shd w:val="clear" w:color="auto" w:fill="BDD7EE"/>
            <w:vAlign w:val="center"/>
          </w:tcPr>
          <w:p w14:paraId="4474EB96" w14:textId="77777777" w:rsidR="00E42B18" w:rsidRDefault="009629C4">
            <w:pPr>
              <w:pStyle w:val="P68B1DB1-Normal102"/>
              <w:jc w:val="center"/>
              <w:rPr>
                <w:bCs/>
                <w:noProof/>
                <w:szCs w:val="20"/>
              </w:rPr>
            </w:pPr>
            <w:r>
              <w:rPr>
                <w:noProof/>
              </w:rPr>
              <w:t>Päämäärä</w:t>
            </w:r>
          </w:p>
        </w:tc>
        <w:tc>
          <w:tcPr>
            <w:tcW w:w="979" w:type="dxa"/>
            <w:shd w:val="clear" w:color="auto" w:fill="BDD7EE"/>
            <w:vAlign w:val="center"/>
          </w:tcPr>
          <w:p w14:paraId="547EA1F2" w14:textId="77777777" w:rsidR="00E42B18" w:rsidRDefault="009629C4">
            <w:pPr>
              <w:pStyle w:val="P68B1DB1-Normal102"/>
              <w:jc w:val="center"/>
              <w:rPr>
                <w:bCs/>
                <w:noProof/>
                <w:szCs w:val="20"/>
              </w:rPr>
            </w:pPr>
            <w:r>
              <w:rPr>
                <w:noProof/>
              </w:rPr>
              <w:t>Neljännes</w:t>
            </w:r>
          </w:p>
        </w:tc>
        <w:tc>
          <w:tcPr>
            <w:tcW w:w="689" w:type="dxa"/>
            <w:shd w:val="clear" w:color="auto" w:fill="BDD7EE"/>
            <w:vAlign w:val="center"/>
          </w:tcPr>
          <w:p w14:paraId="1917B38F" w14:textId="77777777" w:rsidR="00E42B18" w:rsidRDefault="009629C4">
            <w:pPr>
              <w:pStyle w:val="P68B1DB1-Normal102"/>
              <w:jc w:val="center"/>
              <w:rPr>
                <w:bCs/>
                <w:noProof/>
                <w:szCs w:val="20"/>
              </w:rPr>
            </w:pPr>
            <w:r>
              <w:rPr>
                <w:noProof/>
              </w:rPr>
              <w:t>Vuosi</w:t>
            </w:r>
          </w:p>
        </w:tc>
        <w:tc>
          <w:tcPr>
            <w:tcW w:w="2982" w:type="dxa"/>
            <w:vMerge/>
            <w:vAlign w:val="center"/>
          </w:tcPr>
          <w:p w14:paraId="3D5024FB" w14:textId="77777777" w:rsidR="00E42B18" w:rsidRDefault="00E42B18">
            <w:pPr>
              <w:rPr>
                <w:rFonts w:ascii="Arial Narrow" w:hAnsi="Arial Narrow"/>
                <w:b/>
                <w:bCs/>
                <w:noProof/>
                <w:color w:val="000000"/>
                <w:sz w:val="20"/>
                <w:szCs w:val="20"/>
              </w:rPr>
            </w:pPr>
          </w:p>
        </w:tc>
      </w:tr>
      <w:tr w:rsidR="00E42B18" w14:paraId="0D3A634E" w14:textId="77777777">
        <w:trPr>
          <w:trHeight w:val="1965"/>
          <w:jc w:val="center"/>
        </w:trPr>
        <w:tc>
          <w:tcPr>
            <w:tcW w:w="1254" w:type="dxa"/>
            <w:shd w:val="clear" w:color="auto" w:fill="C6EFCE"/>
            <w:vAlign w:val="center"/>
            <w:hideMark/>
          </w:tcPr>
          <w:p w14:paraId="2148BC7D" w14:textId="77777777" w:rsidR="00E42B18" w:rsidRDefault="009629C4">
            <w:pPr>
              <w:pStyle w:val="P68B1DB1-Normal11"/>
              <w:jc w:val="center"/>
              <w:rPr>
                <w:noProof/>
                <w:szCs w:val="20"/>
              </w:rPr>
            </w:pPr>
            <w:r>
              <w:rPr>
                <w:noProof/>
              </w:rPr>
              <w:t>M5C1–17</w:t>
            </w:r>
          </w:p>
        </w:tc>
        <w:tc>
          <w:tcPr>
            <w:tcW w:w="1530" w:type="dxa"/>
            <w:shd w:val="clear" w:color="auto" w:fill="C6EFCE"/>
            <w:vAlign w:val="center"/>
            <w:hideMark/>
          </w:tcPr>
          <w:p w14:paraId="7E73C466" w14:textId="77777777" w:rsidR="00E42B18" w:rsidRDefault="009629C4">
            <w:pPr>
              <w:pStyle w:val="P68B1DB1-Normal11"/>
              <w:jc w:val="center"/>
              <w:rPr>
                <w:noProof/>
                <w:szCs w:val="20"/>
              </w:rPr>
            </w:pPr>
            <w:r>
              <w:rPr>
                <w:noProof/>
              </w:rPr>
              <w:t>Investointi 5 – Naisyritysten perustaminen</w:t>
            </w:r>
          </w:p>
        </w:tc>
        <w:tc>
          <w:tcPr>
            <w:tcW w:w="1179" w:type="dxa"/>
            <w:shd w:val="clear" w:color="auto" w:fill="C6EFCE"/>
            <w:vAlign w:val="center"/>
            <w:hideMark/>
          </w:tcPr>
          <w:p w14:paraId="3A4277B7" w14:textId="77777777" w:rsidR="00E42B18" w:rsidRDefault="009629C4">
            <w:pPr>
              <w:pStyle w:val="P68B1DB1-Normal11"/>
              <w:jc w:val="center"/>
              <w:rPr>
                <w:noProof/>
                <w:szCs w:val="20"/>
              </w:rPr>
            </w:pPr>
            <w:r>
              <w:rPr>
                <w:noProof/>
              </w:rPr>
              <w:t>Virstanpylväs</w:t>
            </w:r>
          </w:p>
        </w:tc>
        <w:tc>
          <w:tcPr>
            <w:tcW w:w="1802" w:type="dxa"/>
            <w:shd w:val="clear" w:color="auto" w:fill="C6EFCE"/>
            <w:vAlign w:val="center"/>
            <w:hideMark/>
          </w:tcPr>
          <w:p w14:paraId="22F7684C" w14:textId="77777777" w:rsidR="00E42B18" w:rsidRDefault="009629C4">
            <w:pPr>
              <w:pStyle w:val="P68B1DB1-Normal11"/>
              <w:jc w:val="center"/>
              <w:rPr>
                <w:noProof/>
                <w:szCs w:val="20"/>
              </w:rPr>
            </w:pPr>
            <w:r>
              <w:rPr>
                <w:noProof/>
              </w:rPr>
              <w:t>Naisten yrittäjyyttä tukeva rahasto on hyväksytty</w:t>
            </w:r>
          </w:p>
        </w:tc>
        <w:tc>
          <w:tcPr>
            <w:tcW w:w="1670" w:type="dxa"/>
            <w:shd w:val="clear" w:color="auto" w:fill="C6EFCE"/>
            <w:vAlign w:val="center"/>
            <w:hideMark/>
          </w:tcPr>
          <w:p w14:paraId="0868E3A9" w14:textId="77777777" w:rsidR="00E42B18" w:rsidRDefault="009629C4">
            <w:pPr>
              <w:pStyle w:val="P68B1DB1-Normal11"/>
              <w:jc w:val="center"/>
              <w:rPr>
                <w:noProof/>
                <w:szCs w:val="20"/>
              </w:rPr>
            </w:pPr>
            <w:r>
              <w:rPr>
                <w:noProof/>
              </w:rPr>
              <w:t>Hyväksytään ministeriön asetus Fondo Impresa Donnan perustamisesta.</w:t>
            </w:r>
          </w:p>
        </w:tc>
        <w:tc>
          <w:tcPr>
            <w:tcW w:w="1065" w:type="dxa"/>
            <w:shd w:val="clear" w:color="auto" w:fill="C6EFCE"/>
            <w:vAlign w:val="center"/>
            <w:hideMark/>
          </w:tcPr>
          <w:p w14:paraId="3AF278C7" w14:textId="77777777" w:rsidR="00E42B18" w:rsidRDefault="009629C4">
            <w:pPr>
              <w:pStyle w:val="P68B1DB1-Normal11"/>
              <w:jc w:val="center"/>
              <w:rPr>
                <w:noProof/>
                <w:szCs w:val="20"/>
              </w:rPr>
            </w:pPr>
            <w:r>
              <w:rPr>
                <w:noProof/>
              </w:rPr>
              <w:t>EI OLE</w:t>
            </w:r>
          </w:p>
        </w:tc>
        <w:tc>
          <w:tcPr>
            <w:tcW w:w="971" w:type="dxa"/>
            <w:shd w:val="clear" w:color="auto" w:fill="C6EFCE"/>
            <w:vAlign w:val="center"/>
            <w:hideMark/>
          </w:tcPr>
          <w:p w14:paraId="03102E7B" w14:textId="77777777" w:rsidR="00E42B18" w:rsidRDefault="009629C4">
            <w:pPr>
              <w:pStyle w:val="P68B1DB1-Normal11"/>
              <w:jc w:val="center"/>
              <w:rPr>
                <w:noProof/>
                <w:szCs w:val="20"/>
              </w:rPr>
            </w:pPr>
            <w:r>
              <w:rPr>
                <w:noProof/>
              </w:rPr>
              <w:t>EI OLE</w:t>
            </w:r>
          </w:p>
        </w:tc>
        <w:tc>
          <w:tcPr>
            <w:tcW w:w="1189" w:type="dxa"/>
            <w:shd w:val="clear" w:color="auto" w:fill="C6EFCE"/>
            <w:vAlign w:val="center"/>
            <w:hideMark/>
          </w:tcPr>
          <w:p w14:paraId="1ED3E367" w14:textId="77777777" w:rsidR="00E42B18" w:rsidRDefault="009629C4">
            <w:pPr>
              <w:pStyle w:val="P68B1DB1-Normal11"/>
              <w:jc w:val="center"/>
              <w:rPr>
                <w:noProof/>
                <w:szCs w:val="20"/>
              </w:rPr>
            </w:pPr>
            <w:r>
              <w:rPr>
                <w:noProof/>
              </w:rPr>
              <w:t>EI OLE</w:t>
            </w:r>
          </w:p>
        </w:tc>
        <w:tc>
          <w:tcPr>
            <w:tcW w:w="979" w:type="dxa"/>
            <w:shd w:val="clear" w:color="auto" w:fill="C6EFCE"/>
            <w:vAlign w:val="center"/>
            <w:hideMark/>
          </w:tcPr>
          <w:p w14:paraId="41C79B2C" w14:textId="77777777" w:rsidR="00E42B18" w:rsidRDefault="009629C4">
            <w:pPr>
              <w:pStyle w:val="P68B1DB1-Normal11"/>
              <w:jc w:val="center"/>
              <w:rPr>
                <w:noProof/>
                <w:szCs w:val="20"/>
              </w:rPr>
            </w:pPr>
            <w:r>
              <w:rPr>
                <w:noProof/>
              </w:rPr>
              <w:t>Q3</w:t>
            </w:r>
          </w:p>
        </w:tc>
        <w:tc>
          <w:tcPr>
            <w:tcW w:w="689" w:type="dxa"/>
            <w:shd w:val="clear" w:color="auto" w:fill="C6EFCE"/>
            <w:vAlign w:val="center"/>
            <w:hideMark/>
          </w:tcPr>
          <w:p w14:paraId="2198ACAB" w14:textId="77777777" w:rsidR="00E42B18" w:rsidRDefault="009629C4">
            <w:pPr>
              <w:pStyle w:val="P68B1DB1-Normal11"/>
              <w:jc w:val="center"/>
              <w:rPr>
                <w:noProof/>
                <w:szCs w:val="20"/>
              </w:rPr>
            </w:pPr>
            <w:r>
              <w:rPr>
                <w:noProof/>
              </w:rPr>
              <w:t>2021</w:t>
            </w:r>
          </w:p>
        </w:tc>
        <w:tc>
          <w:tcPr>
            <w:tcW w:w="2982" w:type="dxa"/>
            <w:shd w:val="clear" w:color="auto" w:fill="C6EFCE"/>
            <w:vAlign w:val="center"/>
            <w:hideMark/>
          </w:tcPr>
          <w:p w14:paraId="7924F31C" w14:textId="77777777" w:rsidR="00E42B18" w:rsidRDefault="009629C4">
            <w:pPr>
              <w:pStyle w:val="P68B1DB1-Normal11"/>
              <w:rPr>
                <w:noProof/>
                <w:sz w:val="16"/>
                <w:szCs w:val="16"/>
              </w:rPr>
            </w:pPr>
            <w:r>
              <w:rPr>
                <w:noProof/>
              </w:rPr>
              <w:t>Naisten yrittäjyyttä tukeva rahasto hyväksytään ministerin asetuksella, jossa vahvistetaan elpymis- ja palautumistukivälineen tavoitteiden mukaiset tukikelpoisuuskriteerit, mukaan lukien ”ei merkittävää haittaa” -periaate sekä rahoitussopimuksen ja operatiivisten sopimusten allekirjoittaminen rahoituksen välittäjien kanssa.</w:t>
            </w:r>
          </w:p>
          <w:p w14:paraId="198F74F5" w14:textId="77777777" w:rsidR="00E42B18" w:rsidRDefault="009629C4">
            <w:pPr>
              <w:pStyle w:val="P68B1DB1-Normal11"/>
              <w:spacing w:after="0" w:line="240" w:lineRule="auto"/>
              <w:rPr>
                <w:noProof/>
              </w:rPr>
            </w:pPr>
            <w:r>
              <w:rPr>
                <w:noProof/>
              </w:rPr>
              <w:t>Nämä rahastot muodostavat Fondo Impresa Donna -nimisen rahaston, jolla pannaan täytäntöön naisyrittäjyyttä tukeva erityistoimenpide. Talouskehitysministeriö ja yhtäläisiä mahdollisuuksia käsittelevä PCM-osasto sopivat etukäteen täytäntöönpanotoimenpiteistä, joiden tavoitteena on</w:t>
            </w:r>
          </w:p>
          <w:p w14:paraId="21051094" w14:textId="77777777" w:rsidR="00E42B18" w:rsidRDefault="00E42B18">
            <w:pPr>
              <w:spacing w:after="0" w:line="240" w:lineRule="auto"/>
              <w:rPr>
                <w:rFonts w:ascii="Arial Narrow" w:hAnsi="Arial Narrow"/>
                <w:noProof/>
                <w:color w:val="006100"/>
                <w:sz w:val="16"/>
                <w:szCs w:val="16"/>
              </w:rPr>
            </w:pPr>
          </w:p>
          <w:p w14:paraId="2F86912E" w14:textId="77777777" w:rsidR="00E42B18" w:rsidRDefault="009629C4">
            <w:pPr>
              <w:pStyle w:val="P68B1DB1-Normal11"/>
              <w:spacing w:after="0" w:line="240" w:lineRule="auto"/>
              <w:rPr>
                <w:noProof/>
              </w:rPr>
            </w:pPr>
            <w:r>
              <w:rPr>
                <w:noProof/>
              </w:rPr>
              <w:t>— vahvistetaan nykyisiä toimenpiteitä, joita jo hallinnoivat talouskehitysministeriön sisäiset elimet (kuten NITO-ON, Smart &amp; Start) pääomanlisäyksellä, joka on varattu ainoastaan naisyrityksille;</w:t>
            </w:r>
          </w:p>
          <w:p w14:paraId="417DC054" w14:textId="77777777" w:rsidR="00E42B18" w:rsidRDefault="00E42B18">
            <w:pPr>
              <w:spacing w:after="0" w:line="240" w:lineRule="auto"/>
              <w:rPr>
                <w:rFonts w:ascii="Arial Narrow" w:hAnsi="Arial Narrow"/>
                <w:noProof/>
                <w:color w:val="006100"/>
                <w:sz w:val="16"/>
                <w:szCs w:val="16"/>
              </w:rPr>
            </w:pPr>
          </w:p>
          <w:p w14:paraId="587C51B3" w14:textId="2D4B061E" w:rsidR="00E42B18" w:rsidRDefault="009629C4">
            <w:pPr>
              <w:pStyle w:val="P68B1DB1-Normal11"/>
              <w:spacing w:after="0"/>
              <w:rPr>
                <w:noProof/>
                <w:sz w:val="16"/>
                <w:szCs w:val="16"/>
              </w:rPr>
            </w:pPr>
            <w:r>
              <w:rPr>
                <w:noProof/>
              </w:rPr>
              <w:t>— säädetään vuoden 2021 talousarviolailla perustetun naisyrittäjyysrahaston lisärahoituksesta (vuoden 2022 kolmannesta neljänneksestä alkaen);</w:t>
            </w:r>
          </w:p>
          <w:p w14:paraId="34571E83" w14:textId="77777777" w:rsidR="00E42B18" w:rsidRDefault="009629C4">
            <w:pPr>
              <w:pStyle w:val="P68B1DB1-Normal11"/>
              <w:rPr>
                <w:noProof/>
                <w:szCs w:val="20"/>
              </w:rPr>
            </w:pPr>
            <w:r>
              <w:rPr>
                <w:noProof/>
              </w:rPr>
              <w:t>— liitännäistoimenpiteiden, seuranta- ja viestintäkampanjoiden suunnittelu. Yhtäläisiä mahdollisuuksia käsittelevä osasto toteuttaa monivuotisen tiedotuskampanjan, jolla edistetään naisyrittäjyyttä ja joka koskee kaikenikäisille naisille ja yliopistoissa työskenteleville naispuolisille opiskelijoille suunnattua ammatillista ohjausta, joka koskee aiheita ja ammatteja, joissa naiset ovat aliedustettuina, sekä viestintäfoorumin perustamista.</w:t>
            </w:r>
          </w:p>
        </w:tc>
      </w:tr>
      <w:tr w:rsidR="00E42B18" w14:paraId="79E9B2E6" w14:textId="77777777">
        <w:trPr>
          <w:trHeight w:val="561"/>
          <w:jc w:val="center"/>
        </w:trPr>
        <w:tc>
          <w:tcPr>
            <w:tcW w:w="1254" w:type="dxa"/>
            <w:shd w:val="clear" w:color="auto" w:fill="C6EFCE"/>
            <w:vAlign w:val="center"/>
            <w:hideMark/>
          </w:tcPr>
          <w:p w14:paraId="14006767" w14:textId="77777777" w:rsidR="00E42B18" w:rsidRDefault="009629C4">
            <w:pPr>
              <w:pStyle w:val="P68B1DB1-Normal11"/>
              <w:jc w:val="center"/>
              <w:rPr>
                <w:noProof/>
                <w:szCs w:val="20"/>
              </w:rPr>
            </w:pPr>
            <w:r>
              <w:rPr>
                <w:noProof/>
              </w:rPr>
              <w:t>M5C1–18</w:t>
            </w:r>
          </w:p>
        </w:tc>
        <w:tc>
          <w:tcPr>
            <w:tcW w:w="1530" w:type="dxa"/>
            <w:shd w:val="clear" w:color="auto" w:fill="C6EFCE"/>
            <w:vAlign w:val="center"/>
            <w:hideMark/>
          </w:tcPr>
          <w:p w14:paraId="6E8B9981" w14:textId="77777777" w:rsidR="00E42B18" w:rsidRDefault="009629C4">
            <w:pPr>
              <w:pStyle w:val="P68B1DB1-Normal11"/>
              <w:jc w:val="center"/>
              <w:rPr>
                <w:noProof/>
                <w:szCs w:val="20"/>
              </w:rPr>
            </w:pPr>
            <w:r>
              <w:rPr>
                <w:noProof/>
              </w:rPr>
              <w:t>Investointi 5 – Naisyritysten perustaminen</w:t>
            </w:r>
          </w:p>
        </w:tc>
        <w:tc>
          <w:tcPr>
            <w:tcW w:w="1179" w:type="dxa"/>
            <w:shd w:val="clear" w:color="auto" w:fill="C6EFCE"/>
            <w:vAlign w:val="center"/>
            <w:hideMark/>
          </w:tcPr>
          <w:p w14:paraId="7C8CE7D0" w14:textId="77777777" w:rsidR="00E42B18" w:rsidRDefault="009629C4">
            <w:pPr>
              <w:pStyle w:val="P68B1DB1-Normal11"/>
              <w:jc w:val="center"/>
              <w:rPr>
                <w:noProof/>
                <w:szCs w:val="20"/>
              </w:rPr>
            </w:pPr>
            <w:r>
              <w:rPr>
                <w:noProof/>
              </w:rPr>
              <w:t>Kohde</w:t>
            </w:r>
          </w:p>
        </w:tc>
        <w:tc>
          <w:tcPr>
            <w:tcW w:w="1802" w:type="dxa"/>
            <w:shd w:val="clear" w:color="auto" w:fill="C6EFCE"/>
            <w:vAlign w:val="center"/>
            <w:hideMark/>
          </w:tcPr>
          <w:p w14:paraId="44A623CD" w14:textId="77777777" w:rsidR="00E42B18" w:rsidRDefault="009629C4">
            <w:pPr>
              <w:pStyle w:val="P68B1DB1-Normal11"/>
              <w:jc w:val="center"/>
              <w:rPr>
                <w:noProof/>
                <w:szCs w:val="20"/>
              </w:rPr>
            </w:pPr>
            <w:r>
              <w:rPr>
                <w:noProof/>
              </w:rPr>
              <w:t xml:space="preserve"> Yrityksille myönnettävä rahoitustuki on sidottu </w:t>
            </w:r>
          </w:p>
        </w:tc>
        <w:tc>
          <w:tcPr>
            <w:tcW w:w="1670" w:type="dxa"/>
            <w:shd w:val="clear" w:color="auto" w:fill="C6EFCE"/>
            <w:vAlign w:val="center"/>
            <w:hideMark/>
          </w:tcPr>
          <w:p w14:paraId="34B85873" w14:textId="77777777" w:rsidR="00E42B18" w:rsidRDefault="009629C4">
            <w:pPr>
              <w:pStyle w:val="P68B1DB1-Normal11"/>
              <w:jc w:val="center"/>
              <w:rPr>
                <w:noProof/>
                <w:szCs w:val="20"/>
              </w:rPr>
            </w:pPr>
            <w:r>
              <w:rPr>
                <w:noProof/>
              </w:rPr>
              <w:t>EI OLE</w:t>
            </w:r>
          </w:p>
        </w:tc>
        <w:tc>
          <w:tcPr>
            <w:tcW w:w="1065" w:type="dxa"/>
            <w:shd w:val="clear" w:color="auto" w:fill="C6EFCE"/>
            <w:vAlign w:val="center"/>
            <w:hideMark/>
          </w:tcPr>
          <w:p w14:paraId="1F25F99D" w14:textId="77777777" w:rsidR="00E42B18" w:rsidRDefault="009629C4">
            <w:pPr>
              <w:pStyle w:val="P68B1DB1-Normal11"/>
              <w:jc w:val="center"/>
              <w:rPr>
                <w:noProof/>
                <w:szCs w:val="20"/>
              </w:rPr>
            </w:pPr>
            <w:r>
              <w:rPr>
                <w:noProof/>
              </w:rPr>
              <w:t>Numero</w:t>
            </w:r>
          </w:p>
        </w:tc>
        <w:tc>
          <w:tcPr>
            <w:tcW w:w="971" w:type="dxa"/>
            <w:shd w:val="clear" w:color="auto" w:fill="C6EFCE"/>
            <w:vAlign w:val="center"/>
            <w:hideMark/>
          </w:tcPr>
          <w:p w14:paraId="0EE5BA9B" w14:textId="77777777" w:rsidR="00E42B18" w:rsidRDefault="009629C4">
            <w:pPr>
              <w:pStyle w:val="P68B1DB1-Normal11"/>
              <w:jc w:val="center"/>
              <w:rPr>
                <w:noProof/>
                <w:szCs w:val="20"/>
              </w:rPr>
            </w:pPr>
            <w:r>
              <w:rPr>
                <w:noProof/>
              </w:rPr>
              <w:t>0</w:t>
            </w:r>
          </w:p>
        </w:tc>
        <w:tc>
          <w:tcPr>
            <w:tcW w:w="1189" w:type="dxa"/>
            <w:shd w:val="clear" w:color="auto" w:fill="C6EFCE"/>
            <w:vAlign w:val="center"/>
            <w:hideMark/>
          </w:tcPr>
          <w:p w14:paraId="1E347320" w14:textId="77777777" w:rsidR="00E42B18" w:rsidRDefault="009629C4">
            <w:pPr>
              <w:pStyle w:val="P68B1DB1-Normal11"/>
              <w:jc w:val="center"/>
              <w:rPr>
                <w:noProof/>
                <w:szCs w:val="20"/>
              </w:rPr>
            </w:pPr>
            <w:r>
              <w:rPr>
                <w:noProof/>
              </w:rPr>
              <w:t>700</w:t>
            </w:r>
          </w:p>
        </w:tc>
        <w:tc>
          <w:tcPr>
            <w:tcW w:w="979" w:type="dxa"/>
            <w:shd w:val="clear" w:color="auto" w:fill="C6EFCE"/>
            <w:vAlign w:val="center"/>
            <w:hideMark/>
          </w:tcPr>
          <w:p w14:paraId="5D31498C" w14:textId="77777777" w:rsidR="00E42B18" w:rsidRDefault="009629C4">
            <w:pPr>
              <w:pStyle w:val="P68B1DB1-Normal11"/>
              <w:jc w:val="center"/>
              <w:rPr>
                <w:noProof/>
                <w:szCs w:val="20"/>
              </w:rPr>
            </w:pPr>
            <w:r>
              <w:rPr>
                <w:noProof/>
              </w:rPr>
              <w:t>Q2</w:t>
            </w:r>
          </w:p>
        </w:tc>
        <w:tc>
          <w:tcPr>
            <w:tcW w:w="689" w:type="dxa"/>
            <w:shd w:val="clear" w:color="auto" w:fill="C6EFCE"/>
            <w:vAlign w:val="center"/>
            <w:hideMark/>
          </w:tcPr>
          <w:p w14:paraId="46DF5F2B" w14:textId="77777777" w:rsidR="00E42B18" w:rsidRDefault="009629C4">
            <w:pPr>
              <w:pStyle w:val="P68B1DB1-Normal11"/>
              <w:jc w:val="center"/>
              <w:rPr>
                <w:noProof/>
                <w:szCs w:val="20"/>
              </w:rPr>
            </w:pPr>
            <w:r>
              <w:rPr>
                <w:noProof/>
              </w:rPr>
              <w:t>2023</w:t>
            </w:r>
          </w:p>
        </w:tc>
        <w:tc>
          <w:tcPr>
            <w:tcW w:w="2982" w:type="dxa"/>
            <w:shd w:val="clear" w:color="auto" w:fill="C6EFCE"/>
            <w:vAlign w:val="center"/>
            <w:hideMark/>
          </w:tcPr>
          <w:p w14:paraId="0252D043" w14:textId="77777777" w:rsidR="00E42B18" w:rsidRDefault="009629C4">
            <w:pPr>
              <w:pStyle w:val="P68B1DB1-Normal11"/>
              <w:rPr>
                <w:noProof/>
                <w:szCs w:val="20"/>
              </w:rPr>
            </w:pPr>
            <w:r>
              <w:rPr>
                <w:noProof/>
              </w:rPr>
              <w:t xml:space="preserve">Rahoitustukea on myönnetty perustasoon verrattuna vähintään 700 uudelle yritykselle. </w:t>
            </w:r>
          </w:p>
          <w:p w14:paraId="3E0C5370" w14:textId="77777777" w:rsidR="00E42B18" w:rsidRDefault="009629C4">
            <w:pPr>
              <w:pStyle w:val="P68B1DB1-Normal11"/>
              <w:rPr>
                <w:noProof/>
                <w:szCs w:val="20"/>
              </w:rPr>
            </w:pPr>
            <w:r>
              <w:rPr>
                <w:noProof/>
              </w:rPr>
              <w:t>Naisyrittäjyyden tukeminen toteutetaan jo aktiivisilla välineillä (NITO-ON, Smart &amp; Start) ja vuoden 2021 talousarviolailla perustetulla uudella rahastolla (naisten yrityksiä tuetaan marraskuuhun 2020 asti nykyisillä rahoitusvälineillä).</w:t>
            </w:r>
          </w:p>
        </w:tc>
      </w:tr>
      <w:tr w:rsidR="00E42B18" w14:paraId="6BFA605C" w14:textId="77777777">
        <w:trPr>
          <w:trHeight w:val="703"/>
          <w:jc w:val="center"/>
        </w:trPr>
        <w:tc>
          <w:tcPr>
            <w:tcW w:w="1254" w:type="dxa"/>
            <w:shd w:val="clear" w:color="auto" w:fill="C6EFCE"/>
            <w:vAlign w:val="center"/>
            <w:hideMark/>
          </w:tcPr>
          <w:p w14:paraId="15810FC7" w14:textId="77777777" w:rsidR="00E42B18" w:rsidRDefault="009629C4">
            <w:pPr>
              <w:pStyle w:val="P68B1DB1-Normal12"/>
              <w:jc w:val="center"/>
              <w:rPr>
                <w:noProof/>
              </w:rPr>
            </w:pPr>
            <w:r>
              <w:rPr>
                <w:noProof/>
              </w:rPr>
              <w:t>M5C1–19bis</w:t>
            </w:r>
          </w:p>
        </w:tc>
        <w:tc>
          <w:tcPr>
            <w:tcW w:w="1530" w:type="dxa"/>
            <w:shd w:val="clear" w:color="auto" w:fill="C6EFCE"/>
            <w:vAlign w:val="center"/>
            <w:hideMark/>
          </w:tcPr>
          <w:p w14:paraId="13470044" w14:textId="77777777" w:rsidR="00E42B18" w:rsidRDefault="009629C4">
            <w:pPr>
              <w:pStyle w:val="P68B1DB1-Normal11"/>
              <w:jc w:val="center"/>
              <w:rPr>
                <w:noProof/>
                <w:szCs w:val="20"/>
              </w:rPr>
            </w:pPr>
            <w:r>
              <w:rPr>
                <w:noProof/>
              </w:rPr>
              <w:t>Investointi 5 – Naisyritysten perustaminen</w:t>
            </w:r>
          </w:p>
        </w:tc>
        <w:tc>
          <w:tcPr>
            <w:tcW w:w="1179" w:type="dxa"/>
            <w:shd w:val="clear" w:color="auto" w:fill="C6EFCE"/>
            <w:vAlign w:val="center"/>
            <w:hideMark/>
          </w:tcPr>
          <w:p w14:paraId="25E1E24F" w14:textId="77777777" w:rsidR="00E42B18" w:rsidRDefault="009629C4">
            <w:pPr>
              <w:pStyle w:val="P68B1DB1-Normal11"/>
              <w:jc w:val="center"/>
              <w:rPr>
                <w:noProof/>
                <w:szCs w:val="20"/>
              </w:rPr>
            </w:pPr>
            <w:r>
              <w:rPr>
                <w:noProof/>
              </w:rPr>
              <w:t>Virstanpylväs</w:t>
            </w:r>
          </w:p>
        </w:tc>
        <w:tc>
          <w:tcPr>
            <w:tcW w:w="1802" w:type="dxa"/>
            <w:shd w:val="clear" w:color="auto" w:fill="C6EFCE"/>
            <w:vAlign w:val="center"/>
            <w:hideMark/>
          </w:tcPr>
          <w:p w14:paraId="65B3AD9D" w14:textId="77777777" w:rsidR="00E42B18" w:rsidRDefault="009629C4">
            <w:pPr>
              <w:pStyle w:val="P68B1DB1-Normal11"/>
              <w:jc w:val="center"/>
              <w:rPr>
                <w:noProof/>
                <w:szCs w:val="20"/>
              </w:rPr>
            </w:pPr>
            <w:r>
              <w:rPr>
                <w:noProof/>
              </w:rPr>
              <w:t>Täytäntöönpanosopimus ja siirto Invitaliaan</w:t>
            </w:r>
          </w:p>
        </w:tc>
        <w:tc>
          <w:tcPr>
            <w:tcW w:w="1670" w:type="dxa"/>
            <w:shd w:val="clear" w:color="auto" w:fill="C6EFCE"/>
            <w:vAlign w:val="center"/>
            <w:hideMark/>
          </w:tcPr>
          <w:p w14:paraId="391853BA" w14:textId="77777777" w:rsidR="00E42B18" w:rsidRDefault="009629C4">
            <w:pPr>
              <w:jc w:val="center"/>
              <w:rPr>
                <w:rFonts w:ascii="Arial Narrow" w:hAnsi="Arial Narrow"/>
                <w:noProof/>
                <w:color w:val="006100"/>
                <w:sz w:val="20"/>
                <w:szCs w:val="20"/>
              </w:rPr>
            </w:pPr>
            <w:r>
              <w:rPr>
                <w:rFonts w:ascii="Times New Roman" w:eastAsia="Times New Roman" w:hAnsi="Times New Roman" w:cs="Times New Roman"/>
                <w:noProof/>
                <w:sz w:val="18"/>
                <w:szCs w:val="18"/>
              </w:rPr>
              <w:t xml:space="preserve"> </w:t>
            </w:r>
            <w:r>
              <w:rPr>
                <w:rFonts w:ascii="Arial Narrow" w:hAnsi="Arial Narrow"/>
                <w:noProof/>
                <w:color w:val="006100"/>
                <w:sz w:val="20"/>
              </w:rPr>
              <w:t>Täytäntöönpanosopimuksen voimaantulo ja siirtotodistus</w:t>
            </w:r>
          </w:p>
        </w:tc>
        <w:tc>
          <w:tcPr>
            <w:tcW w:w="1065" w:type="dxa"/>
            <w:shd w:val="clear" w:color="auto" w:fill="C6EFCE"/>
            <w:vAlign w:val="center"/>
            <w:hideMark/>
          </w:tcPr>
          <w:p w14:paraId="7550CB6D" w14:textId="77777777" w:rsidR="00E42B18" w:rsidRDefault="009629C4">
            <w:pPr>
              <w:pStyle w:val="P68B1DB1-Normal11"/>
              <w:jc w:val="center"/>
              <w:rPr>
                <w:noProof/>
                <w:szCs w:val="20"/>
              </w:rPr>
            </w:pPr>
            <w:r>
              <w:rPr>
                <w:noProof/>
              </w:rPr>
              <w:t>EI OLE</w:t>
            </w:r>
          </w:p>
        </w:tc>
        <w:tc>
          <w:tcPr>
            <w:tcW w:w="971" w:type="dxa"/>
            <w:shd w:val="clear" w:color="auto" w:fill="C6EFCE"/>
            <w:vAlign w:val="center"/>
            <w:hideMark/>
          </w:tcPr>
          <w:p w14:paraId="37991207" w14:textId="77777777" w:rsidR="00E42B18" w:rsidRDefault="009629C4">
            <w:pPr>
              <w:pStyle w:val="P68B1DB1-Normal11"/>
              <w:jc w:val="center"/>
              <w:rPr>
                <w:noProof/>
                <w:szCs w:val="20"/>
              </w:rPr>
            </w:pPr>
            <w:r>
              <w:rPr>
                <w:noProof/>
              </w:rPr>
              <w:t>EI OLE</w:t>
            </w:r>
          </w:p>
        </w:tc>
        <w:tc>
          <w:tcPr>
            <w:tcW w:w="1189" w:type="dxa"/>
            <w:shd w:val="clear" w:color="auto" w:fill="C6EFCE"/>
            <w:vAlign w:val="center"/>
            <w:hideMark/>
          </w:tcPr>
          <w:p w14:paraId="06557315" w14:textId="77777777" w:rsidR="00E42B18" w:rsidRDefault="009629C4">
            <w:pPr>
              <w:pStyle w:val="P68B1DB1-Normal11"/>
              <w:jc w:val="center"/>
              <w:rPr>
                <w:noProof/>
                <w:szCs w:val="20"/>
              </w:rPr>
            </w:pPr>
            <w:r>
              <w:rPr>
                <w:noProof/>
              </w:rPr>
              <w:t>EI OLE</w:t>
            </w:r>
          </w:p>
        </w:tc>
        <w:tc>
          <w:tcPr>
            <w:tcW w:w="979" w:type="dxa"/>
            <w:shd w:val="clear" w:color="auto" w:fill="C6EFCE"/>
            <w:vAlign w:val="center"/>
            <w:hideMark/>
          </w:tcPr>
          <w:p w14:paraId="172CAC9F" w14:textId="77777777" w:rsidR="00E42B18" w:rsidRDefault="009629C4">
            <w:pPr>
              <w:pStyle w:val="P68B1DB1-Normal11"/>
              <w:jc w:val="center"/>
              <w:rPr>
                <w:noProof/>
                <w:szCs w:val="20"/>
              </w:rPr>
            </w:pPr>
            <w:r>
              <w:rPr>
                <w:noProof/>
              </w:rPr>
              <w:t>Q4</w:t>
            </w:r>
          </w:p>
        </w:tc>
        <w:tc>
          <w:tcPr>
            <w:tcW w:w="689" w:type="dxa"/>
            <w:shd w:val="clear" w:color="auto" w:fill="C6EFCE"/>
            <w:vAlign w:val="center"/>
            <w:hideMark/>
          </w:tcPr>
          <w:p w14:paraId="27E707E3" w14:textId="77777777" w:rsidR="00E42B18" w:rsidRDefault="009629C4">
            <w:pPr>
              <w:pStyle w:val="P68B1DB1-Normal11"/>
              <w:jc w:val="center"/>
              <w:rPr>
                <w:noProof/>
                <w:szCs w:val="20"/>
              </w:rPr>
            </w:pPr>
            <w:r>
              <w:rPr>
                <w:noProof/>
              </w:rPr>
              <w:t>2025</w:t>
            </w:r>
          </w:p>
        </w:tc>
        <w:tc>
          <w:tcPr>
            <w:tcW w:w="2982" w:type="dxa"/>
            <w:shd w:val="clear" w:color="auto" w:fill="C6EFCE"/>
            <w:vAlign w:val="center"/>
            <w:hideMark/>
          </w:tcPr>
          <w:p w14:paraId="652644D0" w14:textId="77777777" w:rsidR="00E42B18" w:rsidRDefault="009629C4">
            <w:pPr>
              <w:pStyle w:val="P68B1DB1-Normal12"/>
              <w:rPr>
                <w:noProof/>
              </w:rPr>
            </w:pPr>
            <w:r>
              <w:rPr>
                <w:noProof/>
              </w:rPr>
              <w:t>Täytäntöönpanosopimus tulee voimaan.</w:t>
            </w:r>
          </w:p>
          <w:p w14:paraId="082AC5FE" w14:textId="7E9D6A91" w:rsidR="00E42B18" w:rsidRDefault="009629C4">
            <w:pPr>
              <w:pStyle w:val="P68B1DB1-Normal12"/>
              <w:rPr>
                <w:noProof/>
              </w:rPr>
            </w:pPr>
            <w:r>
              <w:rPr>
                <w:noProof/>
              </w:rPr>
              <w:t xml:space="preserve">Italia siirtää 400000000 euroa Invitalialle tukivälinettä varten. </w:t>
            </w:r>
          </w:p>
        </w:tc>
      </w:tr>
      <w:tr w:rsidR="00E42B18" w14:paraId="479147BD" w14:textId="77777777">
        <w:trPr>
          <w:trHeight w:val="703"/>
          <w:jc w:val="center"/>
        </w:trPr>
        <w:tc>
          <w:tcPr>
            <w:tcW w:w="1254" w:type="dxa"/>
            <w:shd w:val="clear" w:color="auto" w:fill="C6EFCE"/>
            <w:vAlign w:val="center"/>
          </w:tcPr>
          <w:p w14:paraId="7F4FA75F" w14:textId="77777777" w:rsidR="00E42B18" w:rsidRDefault="009629C4">
            <w:pPr>
              <w:pStyle w:val="P68B1DB1-Normal12"/>
              <w:jc w:val="center"/>
              <w:rPr>
                <w:noProof/>
              </w:rPr>
            </w:pPr>
            <w:r>
              <w:rPr>
                <w:noProof/>
              </w:rPr>
              <w:t>M5C1–20</w:t>
            </w:r>
          </w:p>
        </w:tc>
        <w:tc>
          <w:tcPr>
            <w:tcW w:w="1530" w:type="dxa"/>
            <w:shd w:val="clear" w:color="auto" w:fill="C6EFCE"/>
            <w:vAlign w:val="center"/>
          </w:tcPr>
          <w:p w14:paraId="2DD4F4C1" w14:textId="77777777" w:rsidR="00E42B18" w:rsidRDefault="009629C4">
            <w:pPr>
              <w:pStyle w:val="P68B1DB1-Normal11"/>
              <w:jc w:val="center"/>
              <w:rPr>
                <w:noProof/>
              </w:rPr>
            </w:pPr>
            <w:r>
              <w:rPr>
                <w:noProof/>
              </w:rPr>
              <w:t>Investointi 5 – Naisyritysten perustaminen</w:t>
            </w:r>
          </w:p>
        </w:tc>
        <w:tc>
          <w:tcPr>
            <w:tcW w:w="1179" w:type="dxa"/>
            <w:shd w:val="clear" w:color="auto" w:fill="C6EFCE"/>
            <w:vAlign w:val="center"/>
          </w:tcPr>
          <w:p w14:paraId="5DBE52B9" w14:textId="77777777" w:rsidR="00E42B18" w:rsidRDefault="009629C4">
            <w:pPr>
              <w:pStyle w:val="P68B1DB1-Normal11"/>
              <w:jc w:val="center"/>
              <w:rPr>
                <w:noProof/>
              </w:rPr>
            </w:pPr>
            <w:r>
              <w:rPr>
                <w:noProof/>
              </w:rPr>
              <w:t>Kohde</w:t>
            </w:r>
          </w:p>
        </w:tc>
        <w:tc>
          <w:tcPr>
            <w:tcW w:w="1802" w:type="dxa"/>
            <w:shd w:val="clear" w:color="auto" w:fill="C6EFCE"/>
            <w:vAlign w:val="center"/>
          </w:tcPr>
          <w:p w14:paraId="69786F67" w14:textId="77777777" w:rsidR="00E42B18" w:rsidRDefault="009629C4">
            <w:pPr>
              <w:pStyle w:val="P68B1DB1-Normal11"/>
              <w:jc w:val="center"/>
              <w:rPr>
                <w:noProof/>
              </w:rPr>
            </w:pPr>
            <w:r>
              <w:rPr>
                <w:noProof/>
              </w:rPr>
              <w:t>Lopullisten tuensaajien kanssa allekirjoitetut oikeudelliset sopimukset</w:t>
            </w:r>
          </w:p>
        </w:tc>
        <w:tc>
          <w:tcPr>
            <w:tcW w:w="1670" w:type="dxa"/>
            <w:shd w:val="clear" w:color="auto" w:fill="C6EFCE"/>
            <w:vAlign w:val="center"/>
          </w:tcPr>
          <w:p w14:paraId="4C56A759" w14:textId="77777777" w:rsidR="00E42B18" w:rsidRDefault="009629C4">
            <w:pPr>
              <w:pStyle w:val="P68B1DB1-Normal11"/>
              <w:jc w:val="center"/>
              <w:rPr>
                <w:noProof/>
              </w:rPr>
            </w:pPr>
            <w:r>
              <w:rPr>
                <w:noProof/>
              </w:rPr>
              <w:t>EI OLE</w:t>
            </w:r>
          </w:p>
        </w:tc>
        <w:tc>
          <w:tcPr>
            <w:tcW w:w="1065" w:type="dxa"/>
            <w:tcBorders>
              <w:top w:val="single" w:sz="6" w:space="0" w:color="auto"/>
              <w:left w:val="single" w:sz="6" w:space="0" w:color="auto"/>
              <w:bottom w:val="single" w:sz="6" w:space="0" w:color="auto"/>
              <w:right w:val="single" w:sz="6" w:space="0" w:color="auto"/>
            </w:tcBorders>
            <w:shd w:val="clear" w:color="auto" w:fill="C6EFCE"/>
            <w:vAlign w:val="center"/>
          </w:tcPr>
          <w:p w14:paraId="335ECE82" w14:textId="77777777" w:rsidR="00E42B18" w:rsidRDefault="009629C4">
            <w:pPr>
              <w:pStyle w:val="P68B1DB1-Normal11"/>
              <w:jc w:val="center"/>
              <w:rPr>
                <w:noProof/>
              </w:rPr>
            </w:pPr>
            <w:r>
              <w:rPr>
                <w:noProof/>
              </w:rPr>
              <w:t>Prosenttiosuus (%)</w:t>
            </w:r>
          </w:p>
        </w:tc>
        <w:tc>
          <w:tcPr>
            <w:tcW w:w="971" w:type="dxa"/>
            <w:tcBorders>
              <w:top w:val="single" w:sz="6" w:space="0" w:color="auto"/>
              <w:left w:val="single" w:sz="6" w:space="0" w:color="auto"/>
              <w:bottom w:val="single" w:sz="6" w:space="0" w:color="auto"/>
              <w:right w:val="single" w:sz="6" w:space="0" w:color="auto"/>
            </w:tcBorders>
            <w:shd w:val="clear" w:color="auto" w:fill="C6EFCE"/>
            <w:vAlign w:val="center"/>
          </w:tcPr>
          <w:p w14:paraId="57252E83" w14:textId="77777777" w:rsidR="00E42B18" w:rsidRDefault="009629C4">
            <w:pPr>
              <w:pStyle w:val="P68B1DB1-Normal11"/>
              <w:jc w:val="center"/>
              <w:rPr>
                <w:noProof/>
              </w:rPr>
            </w:pPr>
            <w:r>
              <w:rPr>
                <w:noProof/>
              </w:rPr>
              <w:t>0</w:t>
            </w:r>
          </w:p>
        </w:tc>
        <w:tc>
          <w:tcPr>
            <w:tcW w:w="1189" w:type="dxa"/>
            <w:tcBorders>
              <w:top w:val="single" w:sz="6" w:space="0" w:color="auto"/>
              <w:left w:val="single" w:sz="6" w:space="0" w:color="auto"/>
              <w:bottom w:val="single" w:sz="6" w:space="0" w:color="auto"/>
              <w:right w:val="single" w:sz="6" w:space="0" w:color="auto"/>
            </w:tcBorders>
            <w:shd w:val="clear" w:color="auto" w:fill="C6EFCE"/>
            <w:vAlign w:val="center"/>
          </w:tcPr>
          <w:p w14:paraId="487636E6" w14:textId="77777777" w:rsidR="00E42B18" w:rsidRDefault="009629C4">
            <w:pPr>
              <w:pStyle w:val="P68B1DB1-Normal11"/>
              <w:jc w:val="center"/>
              <w:rPr>
                <w:noProof/>
              </w:rPr>
            </w:pPr>
            <w:r>
              <w:rPr>
                <w:noProof/>
              </w:rPr>
              <w:t>100</w:t>
            </w:r>
          </w:p>
        </w:tc>
        <w:tc>
          <w:tcPr>
            <w:tcW w:w="979" w:type="dxa"/>
            <w:tcBorders>
              <w:top w:val="single" w:sz="6" w:space="0" w:color="auto"/>
              <w:left w:val="single" w:sz="6" w:space="0" w:color="auto"/>
              <w:bottom w:val="single" w:sz="6" w:space="0" w:color="auto"/>
              <w:right w:val="single" w:sz="6" w:space="0" w:color="auto"/>
            </w:tcBorders>
            <w:shd w:val="clear" w:color="auto" w:fill="C6EFCE"/>
            <w:vAlign w:val="center"/>
          </w:tcPr>
          <w:p w14:paraId="7A24F130" w14:textId="77777777" w:rsidR="00E42B18" w:rsidRDefault="009629C4">
            <w:pPr>
              <w:pStyle w:val="P68B1DB1-Normal11"/>
              <w:jc w:val="center"/>
              <w:rPr>
                <w:noProof/>
              </w:rPr>
            </w:pPr>
            <w:r>
              <w:rPr>
                <w:noProof/>
              </w:rPr>
              <w:t>Q2</w:t>
            </w:r>
          </w:p>
        </w:tc>
        <w:tc>
          <w:tcPr>
            <w:tcW w:w="689" w:type="dxa"/>
            <w:tcBorders>
              <w:top w:val="single" w:sz="6" w:space="0" w:color="auto"/>
              <w:left w:val="single" w:sz="6" w:space="0" w:color="auto"/>
              <w:bottom w:val="single" w:sz="6" w:space="0" w:color="auto"/>
              <w:right w:val="single" w:sz="6" w:space="0" w:color="auto"/>
            </w:tcBorders>
            <w:shd w:val="clear" w:color="auto" w:fill="C6EFCE"/>
            <w:vAlign w:val="center"/>
          </w:tcPr>
          <w:p w14:paraId="7645C442" w14:textId="77777777" w:rsidR="00E42B18" w:rsidRDefault="009629C4">
            <w:pPr>
              <w:pStyle w:val="P68B1DB1-Normal11"/>
              <w:jc w:val="center"/>
              <w:rPr>
                <w:noProof/>
              </w:rPr>
            </w:pPr>
            <w:r>
              <w:rPr>
                <w:noProof/>
              </w:rPr>
              <w:t>2026</w:t>
            </w:r>
          </w:p>
        </w:tc>
        <w:tc>
          <w:tcPr>
            <w:tcW w:w="2982" w:type="dxa"/>
            <w:shd w:val="clear" w:color="auto" w:fill="C6EFCE"/>
            <w:vAlign w:val="center"/>
          </w:tcPr>
          <w:p w14:paraId="6D8701B3" w14:textId="77777777" w:rsidR="00E42B18" w:rsidRDefault="009629C4">
            <w:pPr>
              <w:pStyle w:val="P68B1DB1-Normal12"/>
              <w:rPr>
                <w:noProof/>
              </w:rPr>
            </w:pPr>
            <w:r>
              <w:rPr>
                <w:noProof/>
              </w:rPr>
              <w:t xml:space="preserve">Invitalia on tehnyt lopullisten edunsaajien kanssa oikeudellisia rahoitussopimuksia määrästä, joka tarvitaan, jotta elpymis- ja palautumistukivälineen investoinneista voidaan käyttää 100 prosenttia tukivälineeseen (ottaen huomioon viestintä- ja koulutuspalvelujen hallinnointi ja maksut). </w:t>
            </w:r>
          </w:p>
          <w:p w14:paraId="6F591541" w14:textId="532D3496" w:rsidR="00E42B18" w:rsidRDefault="009629C4">
            <w:pPr>
              <w:pStyle w:val="P68B1DB1-Normal11"/>
              <w:rPr>
                <w:noProof/>
              </w:rPr>
            </w:pPr>
            <w:r>
              <w:rPr>
                <w:noProof/>
              </w:rPr>
              <w:t xml:space="preserve">Vähintään 40 prosentilla tästä rahoituksesta on edistettävä digitaalisia tavoitteita elpymis- ja palautumistukivälinettä koskevan asetuksen liitteessä VII esitetyn menetelmän mukaisesti. </w:t>
            </w:r>
          </w:p>
        </w:tc>
      </w:tr>
    </w:tbl>
    <w:p w14:paraId="2B79F182" w14:textId="77777777" w:rsidR="00E42B18" w:rsidRDefault="00E42B18">
      <w:pPr>
        <w:rPr>
          <w:rFonts w:ascii="Arial Narrow" w:hAnsi="Arial Narrow"/>
          <w:noProof/>
        </w:rPr>
      </w:pPr>
    </w:p>
    <w:p w14:paraId="0032C586" w14:textId="77777777" w:rsidR="00E42B18" w:rsidRDefault="00E42B18">
      <w:pPr>
        <w:tabs>
          <w:tab w:val="left" w:pos="4252"/>
        </w:tabs>
        <w:rPr>
          <w:i/>
          <w:noProof/>
        </w:rPr>
        <w:sectPr w:rsidR="00E42B18" w:rsidSect="005F11B9">
          <w:headerReference w:type="even" r:id="rId230"/>
          <w:headerReference w:type="default" r:id="rId231"/>
          <w:footerReference w:type="even" r:id="rId232"/>
          <w:footerReference w:type="default" r:id="rId233"/>
          <w:headerReference w:type="first" r:id="rId234"/>
          <w:footerReference w:type="first" r:id="rId235"/>
          <w:pgSz w:w="16838" w:h="11906" w:orient="landscape" w:code="9"/>
          <w:pgMar w:top="1134" w:right="1134" w:bottom="1134" w:left="1134" w:header="567" w:footer="567" w:gutter="0"/>
          <w:cols w:space="720"/>
          <w:docGrid w:linePitch="360"/>
        </w:sectPr>
      </w:pPr>
    </w:p>
    <w:p w14:paraId="5B777C78" w14:textId="77777777" w:rsidR="00E42B18" w:rsidRDefault="009629C4">
      <w:pPr>
        <w:pStyle w:val="P68B1DB1-Heading23"/>
        <w:ind w:left="1080"/>
        <w:rPr>
          <w:noProof/>
        </w:rPr>
      </w:pPr>
      <w:r>
        <w:rPr>
          <w:noProof/>
        </w:rPr>
        <w:t>M. MISSION 5 KOMPONENTTI 2: Sosiaaliset infrastruktuurit, perheet, yhteisöt ja kolmas sektori</w:t>
      </w:r>
    </w:p>
    <w:p w14:paraId="11EEF212" w14:textId="77777777" w:rsidR="00E42B18" w:rsidRDefault="009629C4">
      <w:pPr>
        <w:pStyle w:val="P68B1DB1-Normal7"/>
        <w:spacing w:before="120" w:after="120"/>
        <w:jc w:val="both"/>
        <w:rPr>
          <w:noProof/>
        </w:rPr>
      </w:pPr>
      <w:r>
        <w:rPr>
          <w:noProof/>
        </w:rPr>
        <w:t>Tähän komponenttiin sisältyvillä suunnitelluilla uudistuksilla ja investoinneilla pyritään vahvistamaan selviytymiskykyä tukemalla heikoimmassa asemassa olevien integroitumista ja osallisuutta yksilöllisen, perhe- ja sosiaalisen ulottuvuuden mukaisesti. Tämä osa-alue sisältää kansallisen strategian haavoittuvassa asemassa olevien väestöryhmien aktiivisen osallisuuden edistämiseksi. Tämän osa-alueen tavoitteet ovat seuraavat: I) vahvistetaan integroitujen sosiaalipalvelujen roolia, jotta voidaan tukea perheitä, alaikäisiä ja nuoria, tukea vanhemmuustaitoja ja suojella haavoittuvassa asemassa olevia perheitä ja vammaisia henkilöitä muun muassa parantamalla sosiaalisia infrastruktuureja, joihin kolmas sektori osallistuu; II) parannetaan vammaisten henkilöiden itsenäisyyttä tarjoamalla yhteisöllisiä ja kotoperäisiä sosiaali- ja terveyspalveluja ja poistamalla esteet asunnon ja työmahdollisuuksien saatavuudelta; III) parannetaan äärimmäisessä syrjäytymisessä ja puutteellisissa asuinoloissa olevien ihmisten (esim. asunnottomien) osallisuutta laajentamalla tilapäisten majoituspalvelujen ja -palvelujen tarjontaa, yksilöllisiä väyliä kohti itsenäisyyttä ja henkilökohtaista selviytymiskykyä; IV) kohtuuhintaisempien julkisten ja yksityisten asuntojen saatavuuden sekä kaupunkien ja alueiden elvyttämisen parantaminen; V) kaikkein heikoimmassa asemassa olevien selviytymiskyvyn kehittäminen levittämällä urheilukulttuuria ja perustamalla urheiluinfrastruktuureja perustamalla kaupunkipuistoja, joissa urheilutoiminta voidaan yhdistää viihdetoimintaan yhteisöjen hyväksi.</w:t>
      </w:r>
    </w:p>
    <w:p w14:paraId="16C9544A" w14:textId="77777777" w:rsidR="00E42B18" w:rsidRDefault="009629C4">
      <w:pPr>
        <w:pStyle w:val="P68B1DB1-Normal7"/>
        <w:spacing w:before="120" w:after="120"/>
        <w:jc w:val="both"/>
        <w:rPr>
          <w:noProof/>
        </w:rPr>
      </w:pPr>
      <w:r>
        <w:rPr>
          <w:noProof/>
        </w:rPr>
        <w:t xml:space="preserve">Näiden toimenpiteiden täytäntöönpanon odotetaan edistävän niiden haasteiden ratkaisemista, jotka sisältyvät vuoden 2019 sosiaalipolitiikkaa koskevaan maakohtaiseen suositukseen 2, jossa Italiaa kehotetaan ”varmistamaan, että [...] sosiaalipolitiikka integroidaan tehokkaasti ja tavoittamaan erityisesti nuoret ja haavoittuvassa asemassa olevat ryhmät”, ja vuoden 2020 maakohtaisiin suosituksiin 2, jotka koskevat ”riittävän sosiaalisen suojelun saatavuuden varmistamista”. </w:t>
      </w:r>
    </w:p>
    <w:p w14:paraId="44B353C1" w14:textId="77777777" w:rsidR="00E42B18" w:rsidRDefault="009629C4">
      <w:pPr>
        <w:pStyle w:val="P68B1DB1-Heading39"/>
        <w:ind w:left="850" w:hanging="850"/>
        <w:rPr>
          <w:b/>
          <w:bCs/>
          <w:i/>
          <w:iCs/>
          <w:noProof/>
          <w:color w:val="156082" w:themeColor="accent1"/>
          <w:u w:val="single"/>
        </w:rPr>
      </w:pPr>
      <w:r>
        <w:rPr>
          <w:b/>
          <w:noProof/>
          <w:u w:val="single"/>
        </w:rPr>
        <w:t xml:space="preserve">M.1 </w:t>
      </w:r>
      <w:r>
        <w:rPr>
          <w:noProof/>
        </w:rPr>
        <w:t xml:space="preserve"> </w:t>
      </w:r>
      <w:r>
        <w:rPr>
          <w:b/>
          <w:noProof/>
          <w:u w:val="single"/>
        </w:rPr>
        <w:t>Kuvaus uudistuksista ja investoinneista, joita rahoitetaan rahoitustuella, jota ei makseta takaisin</w:t>
      </w:r>
    </w:p>
    <w:p w14:paraId="2EA0E7C9" w14:textId="77777777" w:rsidR="00E42B18" w:rsidRDefault="009629C4">
      <w:pPr>
        <w:pStyle w:val="P68B1DB1-Normal5"/>
        <w:spacing w:before="120" w:after="120"/>
        <w:jc w:val="both"/>
        <w:rPr>
          <w:rFonts w:eastAsia="Calibri"/>
          <w:noProof/>
        </w:rPr>
      </w:pPr>
      <w:r>
        <w:rPr>
          <w:noProof/>
        </w:rPr>
        <w:t>Uudistus 1 – Vammaisuutta koskeva puitelaki</w:t>
      </w:r>
    </w:p>
    <w:p w14:paraId="16303200" w14:textId="54CF5AA8" w:rsidR="00E42B18" w:rsidRDefault="009629C4">
      <w:pPr>
        <w:pStyle w:val="P68B1DB1-Normal7"/>
        <w:spacing w:before="120" w:after="120"/>
        <w:jc w:val="both"/>
        <w:rPr>
          <w:b/>
          <w:noProof/>
        </w:rPr>
      </w:pPr>
      <w:r>
        <w:rPr>
          <w:noProof/>
        </w:rPr>
        <w:t xml:space="preserve">Uudistuksen päätavoitteena on muuttaa vammaislainsäädäntöä ja edistää vammaisten laitoshoidosta luopumista (eli siirtymistä julkisista tai yksityisistä laitoksista perheisiinsä tai yhteisöllisiin koteihin) ja vammaisten itsenäisyyttä. Tähän sisältyy I) sosiaalipalvelujen tarjonnan vahvistaminen, II) sosiaali- ja terveyspalvelujen saatavuuden yksinkertaistaminen, III) vammaisarviointien uudistaminen, IV) itsenäistä asumista koskevien hankkeiden edistäminen ja V) sellaisten asiantuntijaryhmien työn edistäminen, jotka voivat tukea moniulotteisia vammaisia henkilöitä. </w:t>
      </w:r>
    </w:p>
    <w:p w14:paraId="51FADE60" w14:textId="77777777" w:rsidR="00E42B18" w:rsidRDefault="009629C4">
      <w:pPr>
        <w:pStyle w:val="P68B1DB1-Normal5"/>
        <w:spacing w:before="120" w:after="120"/>
        <w:jc w:val="both"/>
        <w:rPr>
          <w:rFonts w:eastAsia="Calibri"/>
          <w:noProof/>
        </w:rPr>
      </w:pPr>
      <w:r>
        <w:rPr>
          <w:noProof/>
        </w:rPr>
        <w:t>Uudistus 2 – Uudistus muita kuin omavaraisia ikääntyneitä varten</w:t>
      </w:r>
    </w:p>
    <w:p w14:paraId="2031E171" w14:textId="08474632" w:rsidR="00E42B18" w:rsidRDefault="009629C4">
      <w:pPr>
        <w:pStyle w:val="P68B1DB1-Normal7"/>
        <w:spacing w:before="120" w:after="120"/>
        <w:jc w:val="both"/>
        <w:rPr>
          <w:rFonts w:eastAsia="Calibri"/>
          <w:noProof/>
        </w:rPr>
      </w:pPr>
      <w:r>
        <w:rPr>
          <w:noProof/>
        </w:rPr>
        <w:t xml:space="preserve">Toimenpiteen tavoitteena on uudistaa sosiaalipalveluja ja parantaa sellaisten ikääntyneiden elinoloja, jotka eivät ole riittäviä. Uudistukseen sisältyy: I) vanhusten palvelujen saatavuuden yksinkertaistaminen luomalla keskitettyjä asiointipisteitä sosiaali- ja terveyspalvelujen saatavuudelle, II) sellaisten keinojen määrittäminen, joilla tunnustetaan avun tarpeeseen perustuva epäomavaraisuus, III) moniulotteinen arviointi ja IV) laitoshoidosta luopumista edistävien yksilöllisten hankkeiden määrittely. Uudistus edellyttää suunnitelman mukaisia erityistoimia, jotka sisältyvät sekä terveysalan missioon (M6), paikallisia terveyspalveluja ja kotihoitoa vahvistaviin hankkeisiin, että tähän komponenttiin, erityisesti investointiin 1, laitoshoidosta luopumiseen tähtäävään toimeen II. </w:t>
      </w:r>
    </w:p>
    <w:p w14:paraId="34A27A5A" w14:textId="77777777" w:rsidR="00E42B18" w:rsidRDefault="009629C4">
      <w:pPr>
        <w:pStyle w:val="P68B1DB1-Normal5"/>
        <w:spacing w:before="120" w:after="120"/>
        <w:jc w:val="both"/>
        <w:rPr>
          <w:rFonts w:eastAsia="Calibri"/>
          <w:noProof/>
        </w:rPr>
      </w:pPr>
      <w:r>
        <w:rPr>
          <w:noProof/>
        </w:rPr>
        <w:t>Investointi 1 – Tuetaan haavoittuvassa asemassa olevia ihmisiä ja ehkäistään laitoshoitoa</w:t>
      </w:r>
    </w:p>
    <w:p w14:paraId="71D3F5A5" w14:textId="520A6B03" w:rsidR="00E42B18" w:rsidRDefault="009629C4" w:rsidP="0097361F">
      <w:pPr>
        <w:pStyle w:val="P68B1DB1-Normal7"/>
        <w:spacing w:before="120" w:after="120"/>
        <w:jc w:val="both"/>
        <w:rPr>
          <w:b/>
          <w:noProof/>
        </w:rPr>
      </w:pPr>
      <w:r>
        <w:rPr>
          <w:noProof/>
        </w:rPr>
        <w:t xml:space="preserve">Tämän toimenpiteen tavoitteena on tukea haavoittuvassa asemassa olevia ihmisiä ja estää laitoshoidon syntyminen. Toimenpide koostuu haavoittuvassa asemassa olevia perheitä, lapsia, vanhuksia ja sosiaalityöntekijöitä koskevista toimenpiteistä vähintään 85 prosentissa Italian sosiaalipiireistä. </w:t>
      </w:r>
      <w:r>
        <w:rPr>
          <w:noProof/>
        </w:rPr>
        <w:br w:type="page"/>
      </w:r>
    </w:p>
    <w:p w14:paraId="29094DBB" w14:textId="31D5CADB" w:rsidR="00E42B18" w:rsidRDefault="009629C4">
      <w:pPr>
        <w:pStyle w:val="P68B1DB1-Normal5"/>
        <w:spacing w:before="120" w:after="120"/>
        <w:jc w:val="both"/>
        <w:rPr>
          <w:rFonts w:eastAsia="Calibri"/>
          <w:noProof/>
        </w:rPr>
      </w:pPr>
      <w:r>
        <w:rPr>
          <w:noProof/>
        </w:rPr>
        <w:t>Investointi 2 – Vammaisten itsehallintomallit</w:t>
      </w:r>
    </w:p>
    <w:p w14:paraId="64F7B9D3" w14:textId="77777777" w:rsidR="00E42B18" w:rsidRDefault="009629C4">
      <w:pPr>
        <w:pStyle w:val="P68B1DB1-Normal7"/>
        <w:spacing w:before="120" w:after="120"/>
        <w:jc w:val="both"/>
        <w:rPr>
          <w:rFonts w:eastAsia="Calibri"/>
          <w:noProof/>
        </w:rPr>
      </w:pPr>
      <w:r>
        <w:rPr>
          <w:noProof/>
        </w:rPr>
        <w:t>Tämän toimenpiteen tavoitteena on lisätä vammaisten itsenäisyyttä ja nopeuttaa laitoshoidosta luopumista. Toimenpide koostuu asuntojen tai kotiratkaisujen saatavuudesta sekä digitaaliteknologiasta ja koulutuksesta.</w:t>
      </w:r>
    </w:p>
    <w:p w14:paraId="0EA0CB04" w14:textId="77777777" w:rsidR="00E42B18" w:rsidRDefault="009629C4">
      <w:pPr>
        <w:pStyle w:val="P68B1DB1-Normal5"/>
        <w:spacing w:before="120" w:after="120"/>
        <w:jc w:val="both"/>
        <w:rPr>
          <w:bCs/>
          <w:noProof/>
        </w:rPr>
      </w:pPr>
      <w:r>
        <w:rPr>
          <w:noProof/>
        </w:rPr>
        <w:t>Investointi 3 – Asuminen ensimmäisessä asunnossa ja sen jälkeen</w:t>
      </w:r>
    </w:p>
    <w:p w14:paraId="4999197E" w14:textId="77777777" w:rsidR="00E42B18" w:rsidRDefault="009629C4">
      <w:pPr>
        <w:pStyle w:val="P68B1DB1-Normal7"/>
        <w:spacing w:before="120" w:after="120"/>
        <w:jc w:val="both"/>
        <w:rPr>
          <w:noProof/>
        </w:rPr>
        <w:sectPr w:rsidR="00E42B18" w:rsidSect="005F11B9">
          <w:headerReference w:type="even" r:id="rId236"/>
          <w:headerReference w:type="default" r:id="rId237"/>
          <w:footerReference w:type="even" r:id="rId238"/>
          <w:footerReference w:type="default" r:id="rId239"/>
          <w:headerReference w:type="first" r:id="rId240"/>
          <w:footerReference w:type="first" r:id="rId241"/>
          <w:pgSz w:w="11906" w:h="16838"/>
          <w:pgMar w:top="1440" w:right="1440" w:bottom="1440" w:left="1440" w:header="708" w:footer="708" w:gutter="0"/>
          <w:cols w:space="708"/>
          <w:docGrid w:linePitch="360"/>
        </w:sectPr>
      </w:pPr>
      <w:r>
        <w:rPr>
          <w:noProof/>
        </w:rPr>
        <w:t>Tämän toimenpiteen tavoitteena on suojella ja tukea syrjäytyneiden osallisuutta. Toimenpide koostuu kahdentyyppisistä järjestelyistä: ”asunto ensin” -ratkaisut, joissa kunnat tarjoavat räätälöityjä hankkeita ja majoitusta yksityishenkilöille, pienille ryhmille tai perheille enintään 24 kuukauden ajan; sekä postiasemaratkaisut, jotka koostuvat asunnottomien palvelu- ja osallisuuskeskuksista, jotka tarjoavat keskeisiä palveluja, kuten perushyödykkeitä ja postinjakelua, aterioita ja terveydenhuoltoa.</w:t>
      </w:r>
    </w:p>
    <w:p w14:paraId="1173C3BA" w14:textId="77777777" w:rsidR="00E42B18" w:rsidRDefault="009629C4">
      <w:pPr>
        <w:pStyle w:val="P68B1DB1-Heading39"/>
        <w:ind w:left="850" w:hanging="850"/>
        <w:rPr>
          <w:b/>
          <w:bCs/>
          <w:i/>
          <w:iCs/>
          <w:noProof/>
          <w:u w:val="single"/>
        </w:rPr>
      </w:pPr>
      <w:r>
        <w:rPr>
          <w:b/>
          <w:noProof/>
          <w:u w:val="single"/>
        </w:rPr>
        <w:t xml:space="preserve">M.2 </w:t>
      </w:r>
      <w:r>
        <w:rPr>
          <w:noProof/>
        </w:rPr>
        <w:t xml:space="preserve"> </w:t>
      </w:r>
      <w:r>
        <w:rPr>
          <w:b/>
          <w:noProof/>
          <w:u w:val="single"/>
        </w:rPr>
        <w:t>Seurantaa ja täytäntöönpanoa koskevat välitavoitteet, tavoitteet, indikaattorit ja aikataulu – rahoitustuki, jota ei makseta takaisin</w:t>
      </w:r>
    </w:p>
    <w:tbl>
      <w:tblPr>
        <w:tblW w:w="17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8"/>
        <w:gridCol w:w="1497"/>
        <w:gridCol w:w="1193"/>
        <w:gridCol w:w="2059"/>
        <w:gridCol w:w="1717"/>
        <w:gridCol w:w="1277"/>
        <w:gridCol w:w="1306"/>
        <w:gridCol w:w="1314"/>
        <w:gridCol w:w="1014"/>
        <w:gridCol w:w="715"/>
        <w:gridCol w:w="4184"/>
      </w:tblGrid>
      <w:tr w:rsidR="00E42B18" w14:paraId="415A0791" w14:textId="77777777" w:rsidTr="0097361F">
        <w:trPr>
          <w:trHeight w:val="922"/>
          <w:tblHeader/>
          <w:jc w:val="center"/>
        </w:trPr>
        <w:tc>
          <w:tcPr>
            <w:tcW w:w="1338" w:type="dxa"/>
            <w:vMerge w:val="restart"/>
            <w:shd w:val="clear" w:color="auto" w:fill="BDD7EE"/>
            <w:vAlign w:val="center"/>
            <w:hideMark/>
          </w:tcPr>
          <w:p w14:paraId="21287EF4" w14:textId="77777777" w:rsidR="00E42B18" w:rsidRDefault="009629C4">
            <w:pPr>
              <w:pStyle w:val="P68B1DB1-Normal10"/>
              <w:jc w:val="center"/>
              <w:rPr>
                <w:noProof/>
                <w:szCs w:val="20"/>
              </w:rPr>
            </w:pPr>
            <w:r>
              <w:rPr>
                <w:noProof/>
              </w:rPr>
              <w:t>Juokseva numero</w:t>
            </w:r>
          </w:p>
        </w:tc>
        <w:tc>
          <w:tcPr>
            <w:tcW w:w="1497" w:type="dxa"/>
            <w:vMerge w:val="restart"/>
            <w:shd w:val="clear" w:color="auto" w:fill="BDD7EE"/>
            <w:vAlign w:val="center"/>
            <w:hideMark/>
          </w:tcPr>
          <w:p w14:paraId="299B1BF3" w14:textId="77777777" w:rsidR="00E42B18" w:rsidRDefault="009629C4">
            <w:pPr>
              <w:pStyle w:val="P68B1DB1-Normal10"/>
              <w:jc w:val="center"/>
              <w:rPr>
                <w:noProof/>
                <w:szCs w:val="20"/>
              </w:rPr>
            </w:pPr>
            <w:r>
              <w:rPr>
                <w:noProof/>
              </w:rPr>
              <w:t>Toimenpide (uudistus tai investointi)</w:t>
            </w:r>
          </w:p>
        </w:tc>
        <w:tc>
          <w:tcPr>
            <w:tcW w:w="1193" w:type="dxa"/>
            <w:vMerge w:val="restart"/>
            <w:shd w:val="clear" w:color="auto" w:fill="BDD7EE"/>
            <w:vAlign w:val="center"/>
            <w:hideMark/>
          </w:tcPr>
          <w:p w14:paraId="3E8C13CB" w14:textId="77777777" w:rsidR="00E42B18" w:rsidRDefault="009629C4">
            <w:pPr>
              <w:pStyle w:val="P68B1DB1-Normal10"/>
              <w:jc w:val="center"/>
              <w:rPr>
                <w:noProof/>
                <w:szCs w:val="20"/>
              </w:rPr>
            </w:pPr>
            <w:r>
              <w:rPr>
                <w:noProof/>
              </w:rPr>
              <w:t>Välitavoite/tavoite</w:t>
            </w:r>
          </w:p>
        </w:tc>
        <w:tc>
          <w:tcPr>
            <w:tcW w:w="2059" w:type="dxa"/>
            <w:vMerge w:val="restart"/>
            <w:shd w:val="clear" w:color="auto" w:fill="BDD7EE"/>
            <w:vAlign w:val="center"/>
            <w:hideMark/>
          </w:tcPr>
          <w:p w14:paraId="1EE01669" w14:textId="77777777" w:rsidR="00E42B18" w:rsidRDefault="009629C4">
            <w:pPr>
              <w:pStyle w:val="P68B1DB1-Normal10"/>
              <w:jc w:val="center"/>
              <w:rPr>
                <w:noProof/>
                <w:szCs w:val="20"/>
              </w:rPr>
            </w:pPr>
            <w:r>
              <w:rPr>
                <w:noProof/>
              </w:rPr>
              <w:t>Nimi</w:t>
            </w:r>
          </w:p>
        </w:tc>
        <w:tc>
          <w:tcPr>
            <w:tcW w:w="1717" w:type="dxa"/>
            <w:vMerge w:val="restart"/>
            <w:shd w:val="clear" w:color="auto" w:fill="BDD7EE"/>
            <w:vAlign w:val="center"/>
            <w:hideMark/>
          </w:tcPr>
          <w:p w14:paraId="15C86E73" w14:textId="7777777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897" w:type="dxa"/>
            <w:gridSpan w:val="3"/>
            <w:shd w:val="clear" w:color="auto" w:fill="BDD7EE"/>
            <w:vAlign w:val="center"/>
            <w:hideMark/>
          </w:tcPr>
          <w:p w14:paraId="4541DD03"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729" w:type="dxa"/>
            <w:gridSpan w:val="2"/>
            <w:shd w:val="clear" w:color="auto" w:fill="BDD7EE"/>
            <w:vAlign w:val="center"/>
            <w:hideMark/>
          </w:tcPr>
          <w:p w14:paraId="0AC88E84" w14:textId="77777777" w:rsidR="00E42B18" w:rsidRDefault="009629C4">
            <w:pPr>
              <w:pStyle w:val="P68B1DB1-Normal10"/>
              <w:jc w:val="center"/>
              <w:rPr>
                <w:noProof/>
                <w:szCs w:val="20"/>
              </w:rPr>
            </w:pPr>
            <w:r>
              <w:rPr>
                <w:noProof/>
              </w:rPr>
              <w:t>Alustava toteutusaikataulu</w:t>
            </w:r>
          </w:p>
        </w:tc>
        <w:tc>
          <w:tcPr>
            <w:tcW w:w="4184" w:type="dxa"/>
            <w:vMerge w:val="restart"/>
            <w:shd w:val="clear" w:color="auto" w:fill="BDD7EE"/>
            <w:vAlign w:val="center"/>
            <w:hideMark/>
          </w:tcPr>
          <w:p w14:paraId="4B1009F0" w14:textId="77777777" w:rsidR="00E42B18" w:rsidRDefault="009629C4">
            <w:pPr>
              <w:pStyle w:val="P68B1DB1-Normal10"/>
              <w:jc w:val="center"/>
              <w:rPr>
                <w:noProof/>
                <w:szCs w:val="20"/>
              </w:rPr>
            </w:pPr>
            <w:r>
              <w:rPr>
                <w:noProof/>
              </w:rPr>
              <w:t>Kunkin välitavoitteen ja tavoitteen kuvaus</w:t>
            </w:r>
          </w:p>
        </w:tc>
      </w:tr>
      <w:tr w:rsidR="00E42B18" w14:paraId="7EC7190F" w14:textId="77777777" w:rsidTr="0097361F">
        <w:trPr>
          <w:trHeight w:val="650"/>
          <w:tblHeader/>
          <w:jc w:val="center"/>
        </w:trPr>
        <w:tc>
          <w:tcPr>
            <w:tcW w:w="1338" w:type="dxa"/>
            <w:vMerge/>
            <w:vAlign w:val="center"/>
            <w:hideMark/>
          </w:tcPr>
          <w:p w14:paraId="35E1152D" w14:textId="77777777" w:rsidR="00E42B18" w:rsidRDefault="00E42B18">
            <w:pPr>
              <w:jc w:val="center"/>
              <w:rPr>
                <w:rFonts w:ascii="Arial Narrow" w:hAnsi="Arial Narrow"/>
                <w:b/>
                <w:noProof/>
                <w:sz w:val="20"/>
                <w:szCs w:val="20"/>
              </w:rPr>
            </w:pPr>
          </w:p>
        </w:tc>
        <w:tc>
          <w:tcPr>
            <w:tcW w:w="1497" w:type="dxa"/>
            <w:vMerge/>
            <w:vAlign w:val="center"/>
            <w:hideMark/>
          </w:tcPr>
          <w:p w14:paraId="16F62E7A" w14:textId="77777777" w:rsidR="00E42B18" w:rsidRDefault="00E42B18">
            <w:pPr>
              <w:jc w:val="center"/>
              <w:rPr>
                <w:rFonts w:ascii="Arial Narrow" w:hAnsi="Arial Narrow"/>
                <w:b/>
                <w:noProof/>
                <w:sz w:val="20"/>
                <w:szCs w:val="20"/>
              </w:rPr>
            </w:pPr>
          </w:p>
        </w:tc>
        <w:tc>
          <w:tcPr>
            <w:tcW w:w="1193" w:type="dxa"/>
            <w:vMerge/>
            <w:vAlign w:val="center"/>
            <w:hideMark/>
          </w:tcPr>
          <w:p w14:paraId="7D61AA99" w14:textId="77777777" w:rsidR="00E42B18" w:rsidRDefault="00E42B18">
            <w:pPr>
              <w:jc w:val="center"/>
              <w:rPr>
                <w:rFonts w:ascii="Arial Narrow" w:hAnsi="Arial Narrow"/>
                <w:b/>
                <w:noProof/>
                <w:sz w:val="20"/>
                <w:szCs w:val="20"/>
              </w:rPr>
            </w:pPr>
          </w:p>
        </w:tc>
        <w:tc>
          <w:tcPr>
            <w:tcW w:w="2059" w:type="dxa"/>
            <w:vMerge/>
            <w:vAlign w:val="center"/>
            <w:hideMark/>
          </w:tcPr>
          <w:p w14:paraId="26DABD33" w14:textId="77777777" w:rsidR="00E42B18" w:rsidRDefault="00E42B18">
            <w:pPr>
              <w:jc w:val="center"/>
              <w:rPr>
                <w:rFonts w:ascii="Arial Narrow" w:hAnsi="Arial Narrow"/>
                <w:b/>
                <w:noProof/>
                <w:sz w:val="20"/>
                <w:szCs w:val="20"/>
              </w:rPr>
            </w:pPr>
          </w:p>
        </w:tc>
        <w:tc>
          <w:tcPr>
            <w:tcW w:w="1717" w:type="dxa"/>
            <w:vMerge/>
            <w:vAlign w:val="center"/>
            <w:hideMark/>
          </w:tcPr>
          <w:p w14:paraId="30990CB1" w14:textId="77777777" w:rsidR="00E42B18" w:rsidRDefault="00E42B18">
            <w:pPr>
              <w:jc w:val="center"/>
              <w:rPr>
                <w:rFonts w:ascii="Arial Narrow" w:hAnsi="Arial Narrow"/>
                <w:b/>
                <w:noProof/>
                <w:sz w:val="20"/>
                <w:szCs w:val="20"/>
              </w:rPr>
            </w:pPr>
          </w:p>
        </w:tc>
        <w:tc>
          <w:tcPr>
            <w:tcW w:w="1277" w:type="dxa"/>
            <w:shd w:val="clear" w:color="auto" w:fill="BDD7EE"/>
            <w:vAlign w:val="center"/>
            <w:hideMark/>
          </w:tcPr>
          <w:p w14:paraId="7A88C0DB" w14:textId="77777777" w:rsidR="00E42B18" w:rsidRDefault="009629C4">
            <w:pPr>
              <w:pStyle w:val="P68B1DB1-Normal10"/>
              <w:jc w:val="center"/>
              <w:rPr>
                <w:noProof/>
                <w:szCs w:val="20"/>
              </w:rPr>
            </w:pPr>
            <w:r>
              <w:rPr>
                <w:noProof/>
              </w:rPr>
              <w:t>Mitta-yksikkö</w:t>
            </w:r>
          </w:p>
        </w:tc>
        <w:tc>
          <w:tcPr>
            <w:tcW w:w="1306" w:type="dxa"/>
            <w:shd w:val="clear" w:color="auto" w:fill="BDD7EE"/>
            <w:vAlign w:val="center"/>
            <w:hideMark/>
          </w:tcPr>
          <w:p w14:paraId="6B5B9A9A" w14:textId="77777777" w:rsidR="00E42B18" w:rsidRDefault="009629C4">
            <w:pPr>
              <w:pStyle w:val="P68B1DB1-Normal10"/>
              <w:jc w:val="center"/>
              <w:rPr>
                <w:noProof/>
                <w:szCs w:val="20"/>
              </w:rPr>
            </w:pPr>
            <w:r>
              <w:rPr>
                <w:noProof/>
              </w:rPr>
              <w:t>Lähtötilanne</w:t>
            </w:r>
          </w:p>
        </w:tc>
        <w:tc>
          <w:tcPr>
            <w:tcW w:w="1313" w:type="dxa"/>
            <w:shd w:val="clear" w:color="auto" w:fill="BDD7EE"/>
            <w:vAlign w:val="center"/>
            <w:hideMark/>
          </w:tcPr>
          <w:p w14:paraId="3446E854" w14:textId="77777777" w:rsidR="00E42B18" w:rsidRDefault="009629C4">
            <w:pPr>
              <w:pStyle w:val="P68B1DB1-Normal10"/>
              <w:jc w:val="center"/>
              <w:rPr>
                <w:noProof/>
                <w:szCs w:val="20"/>
              </w:rPr>
            </w:pPr>
            <w:r>
              <w:rPr>
                <w:noProof/>
              </w:rPr>
              <w:t>Päämäärä</w:t>
            </w:r>
          </w:p>
        </w:tc>
        <w:tc>
          <w:tcPr>
            <w:tcW w:w="1014" w:type="dxa"/>
            <w:shd w:val="clear" w:color="auto" w:fill="BDD7EE"/>
            <w:vAlign w:val="center"/>
            <w:hideMark/>
          </w:tcPr>
          <w:p w14:paraId="1F4BA507" w14:textId="77777777" w:rsidR="00E42B18" w:rsidRDefault="009629C4">
            <w:pPr>
              <w:pStyle w:val="P68B1DB1-Normal10"/>
              <w:jc w:val="center"/>
              <w:rPr>
                <w:noProof/>
                <w:szCs w:val="20"/>
              </w:rPr>
            </w:pPr>
            <w:r>
              <w:rPr>
                <w:noProof/>
              </w:rPr>
              <w:t>Neljännes</w:t>
            </w:r>
          </w:p>
        </w:tc>
        <w:tc>
          <w:tcPr>
            <w:tcW w:w="714" w:type="dxa"/>
            <w:shd w:val="clear" w:color="auto" w:fill="BDD7EE"/>
            <w:vAlign w:val="center"/>
            <w:hideMark/>
          </w:tcPr>
          <w:p w14:paraId="3406AE19" w14:textId="77777777" w:rsidR="00E42B18" w:rsidRDefault="009629C4">
            <w:pPr>
              <w:pStyle w:val="P68B1DB1-Normal10"/>
              <w:jc w:val="center"/>
              <w:rPr>
                <w:noProof/>
                <w:szCs w:val="20"/>
              </w:rPr>
            </w:pPr>
            <w:r>
              <w:rPr>
                <w:noProof/>
              </w:rPr>
              <w:t>Vuosi</w:t>
            </w:r>
          </w:p>
        </w:tc>
        <w:tc>
          <w:tcPr>
            <w:tcW w:w="4184" w:type="dxa"/>
            <w:vMerge/>
            <w:vAlign w:val="center"/>
            <w:hideMark/>
          </w:tcPr>
          <w:p w14:paraId="7F51C387" w14:textId="77777777" w:rsidR="00E42B18" w:rsidRDefault="00E42B18">
            <w:pPr>
              <w:rPr>
                <w:rFonts w:ascii="Arial Narrow" w:hAnsi="Arial Narrow"/>
                <w:b/>
                <w:noProof/>
                <w:sz w:val="20"/>
                <w:szCs w:val="20"/>
              </w:rPr>
            </w:pPr>
          </w:p>
        </w:tc>
      </w:tr>
      <w:tr w:rsidR="00E42B18" w14:paraId="2E9284F8" w14:textId="77777777" w:rsidTr="0097361F">
        <w:trPr>
          <w:trHeight w:val="307"/>
          <w:jc w:val="center"/>
        </w:trPr>
        <w:tc>
          <w:tcPr>
            <w:tcW w:w="1338" w:type="dxa"/>
            <w:shd w:val="clear" w:color="auto" w:fill="C6EFCE"/>
            <w:noWrap/>
            <w:vAlign w:val="center"/>
            <w:hideMark/>
          </w:tcPr>
          <w:p w14:paraId="371960F1" w14:textId="77777777" w:rsidR="00E42B18" w:rsidRDefault="009629C4">
            <w:pPr>
              <w:pStyle w:val="P68B1DB1-Normal11"/>
              <w:spacing w:before="120" w:after="120"/>
              <w:jc w:val="center"/>
              <w:rPr>
                <w:noProof/>
                <w:szCs w:val="20"/>
              </w:rPr>
            </w:pPr>
            <w:r>
              <w:rPr>
                <w:noProof/>
              </w:rPr>
              <w:t>M5C2–1</w:t>
            </w:r>
          </w:p>
        </w:tc>
        <w:tc>
          <w:tcPr>
            <w:tcW w:w="1497" w:type="dxa"/>
            <w:shd w:val="clear" w:color="auto" w:fill="C6EFCE"/>
            <w:noWrap/>
            <w:vAlign w:val="center"/>
            <w:hideMark/>
          </w:tcPr>
          <w:p w14:paraId="63A8C734" w14:textId="77777777" w:rsidR="00E42B18" w:rsidRDefault="009629C4">
            <w:pPr>
              <w:pStyle w:val="P68B1DB1-Normal11"/>
              <w:jc w:val="center"/>
              <w:rPr>
                <w:noProof/>
                <w:szCs w:val="20"/>
              </w:rPr>
            </w:pPr>
            <w:r>
              <w:rPr>
                <w:noProof/>
              </w:rPr>
              <w:t>Uudistus 1 – Vammaisuutta koskeva puitelaki</w:t>
            </w:r>
          </w:p>
        </w:tc>
        <w:tc>
          <w:tcPr>
            <w:tcW w:w="1193" w:type="dxa"/>
            <w:shd w:val="clear" w:color="auto" w:fill="C6EFCE"/>
            <w:noWrap/>
            <w:vAlign w:val="center"/>
            <w:hideMark/>
          </w:tcPr>
          <w:p w14:paraId="5CEF04EF" w14:textId="77777777" w:rsidR="00E42B18" w:rsidRDefault="009629C4">
            <w:pPr>
              <w:pStyle w:val="P68B1DB1-Normal11"/>
              <w:jc w:val="center"/>
              <w:rPr>
                <w:noProof/>
                <w:szCs w:val="20"/>
              </w:rPr>
            </w:pPr>
            <w:r>
              <w:rPr>
                <w:noProof/>
              </w:rPr>
              <w:t>Virstanpylväs</w:t>
            </w:r>
          </w:p>
        </w:tc>
        <w:tc>
          <w:tcPr>
            <w:tcW w:w="2059" w:type="dxa"/>
            <w:shd w:val="clear" w:color="auto" w:fill="C6EFCE"/>
            <w:noWrap/>
            <w:vAlign w:val="center"/>
            <w:hideMark/>
          </w:tcPr>
          <w:p w14:paraId="589D2601" w14:textId="77777777" w:rsidR="00E42B18" w:rsidRDefault="009629C4">
            <w:pPr>
              <w:pStyle w:val="P68B1DB1-Normal11"/>
              <w:jc w:val="center"/>
              <w:rPr>
                <w:noProof/>
                <w:szCs w:val="20"/>
              </w:rPr>
            </w:pPr>
            <w:r>
              <w:rPr>
                <w:noProof/>
              </w:rPr>
              <w:t>Vammaisten itsenäisyyttä vahvistava puitelaki tulee voimaan</w:t>
            </w:r>
          </w:p>
        </w:tc>
        <w:tc>
          <w:tcPr>
            <w:tcW w:w="1717" w:type="dxa"/>
            <w:shd w:val="clear" w:color="auto" w:fill="C6EFCE"/>
            <w:noWrap/>
            <w:vAlign w:val="center"/>
            <w:hideMark/>
          </w:tcPr>
          <w:p w14:paraId="1FC7E4C2" w14:textId="77777777" w:rsidR="00E42B18" w:rsidRDefault="009629C4">
            <w:pPr>
              <w:pStyle w:val="P68B1DB1-Normal11"/>
              <w:jc w:val="center"/>
              <w:rPr>
                <w:rFonts w:eastAsia="Calibri"/>
                <w:noProof/>
                <w:szCs w:val="20"/>
              </w:rPr>
            </w:pPr>
            <w:r>
              <w:rPr>
                <w:noProof/>
              </w:rPr>
              <w:t>Puitelain voimaantuloa koskeva lain säännös</w:t>
            </w:r>
          </w:p>
        </w:tc>
        <w:tc>
          <w:tcPr>
            <w:tcW w:w="1277" w:type="dxa"/>
            <w:shd w:val="clear" w:color="auto" w:fill="C6EFCE"/>
            <w:noWrap/>
            <w:vAlign w:val="center"/>
            <w:hideMark/>
          </w:tcPr>
          <w:p w14:paraId="529FABA2" w14:textId="77777777" w:rsidR="00E42B18" w:rsidRDefault="009629C4">
            <w:pPr>
              <w:pStyle w:val="P68B1DB1-Normal11"/>
              <w:jc w:val="center"/>
              <w:rPr>
                <w:rFonts w:eastAsia="Calibri"/>
                <w:noProof/>
                <w:szCs w:val="20"/>
              </w:rPr>
            </w:pPr>
            <w:r>
              <w:rPr>
                <w:noProof/>
              </w:rPr>
              <w:t>EI OLE</w:t>
            </w:r>
          </w:p>
        </w:tc>
        <w:tc>
          <w:tcPr>
            <w:tcW w:w="1306" w:type="dxa"/>
            <w:shd w:val="clear" w:color="auto" w:fill="C6EFCE"/>
            <w:noWrap/>
            <w:vAlign w:val="center"/>
            <w:hideMark/>
          </w:tcPr>
          <w:p w14:paraId="528858CA" w14:textId="77777777" w:rsidR="00E42B18" w:rsidRDefault="009629C4">
            <w:pPr>
              <w:pStyle w:val="P68B1DB1-Normal11"/>
              <w:jc w:val="center"/>
              <w:rPr>
                <w:noProof/>
                <w:szCs w:val="20"/>
              </w:rPr>
            </w:pPr>
            <w:r>
              <w:rPr>
                <w:noProof/>
              </w:rPr>
              <w:t>EI OLE</w:t>
            </w:r>
          </w:p>
        </w:tc>
        <w:tc>
          <w:tcPr>
            <w:tcW w:w="1313" w:type="dxa"/>
            <w:shd w:val="clear" w:color="auto" w:fill="C6EFCE"/>
            <w:noWrap/>
            <w:vAlign w:val="center"/>
            <w:hideMark/>
          </w:tcPr>
          <w:p w14:paraId="53C32FA6" w14:textId="77777777" w:rsidR="00E42B18" w:rsidRDefault="009629C4">
            <w:pPr>
              <w:pStyle w:val="P68B1DB1-Normal11"/>
              <w:jc w:val="center"/>
              <w:rPr>
                <w:rFonts w:eastAsia="Calibri"/>
                <w:noProof/>
                <w:szCs w:val="20"/>
              </w:rPr>
            </w:pPr>
            <w:r>
              <w:rPr>
                <w:noProof/>
              </w:rPr>
              <w:t>EI OLE</w:t>
            </w:r>
          </w:p>
        </w:tc>
        <w:tc>
          <w:tcPr>
            <w:tcW w:w="1014" w:type="dxa"/>
            <w:shd w:val="clear" w:color="auto" w:fill="C6EFCE"/>
            <w:noWrap/>
            <w:vAlign w:val="center"/>
            <w:hideMark/>
          </w:tcPr>
          <w:p w14:paraId="0207CD39" w14:textId="77777777" w:rsidR="00E42B18" w:rsidRDefault="009629C4">
            <w:pPr>
              <w:pStyle w:val="P68B1DB1-Normal11"/>
              <w:jc w:val="center"/>
              <w:rPr>
                <w:rFonts w:eastAsia="Calibri"/>
                <w:noProof/>
                <w:szCs w:val="20"/>
              </w:rPr>
            </w:pPr>
            <w:r>
              <w:rPr>
                <w:noProof/>
              </w:rPr>
              <w:t>Q4</w:t>
            </w:r>
          </w:p>
        </w:tc>
        <w:tc>
          <w:tcPr>
            <w:tcW w:w="714" w:type="dxa"/>
            <w:shd w:val="clear" w:color="auto" w:fill="C6EFCE"/>
            <w:noWrap/>
            <w:vAlign w:val="center"/>
            <w:hideMark/>
          </w:tcPr>
          <w:p w14:paraId="0058B5FD" w14:textId="77777777" w:rsidR="00E42B18" w:rsidRDefault="009629C4">
            <w:pPr>
              <w:pStyle w:val="P68B1DB1-Normal11"/>
              <w:jc w:val="center"/>
              <w:rPr>
                <w:noProof/>
                <w:szCs w:val="20"/>
              </w:rPr>
            </w:pPr>
            <w:r>
              <w:rPr>
                <w:noProof/>
              </w:rPr>
              <w:t>2021</w:t>
            </w:r>
          </w:p>
        </w:tc>
        <w:tc>
          <w:tcPr>
            <w:tcW w:w="4184" w:type="dxa"/>
            <w:shd w:val="clear" w:color="auto" w:fill="C6EFCE"/>
            <w:noWrap/>
            <w:vAlign w:val="center"/>
            <w:hideMark/>
          </w:tcPr>
          <w:p w14:paraId="664A59D1" w14:textId="6FC8B2C5" w:rsidR="00E42B18" w:rsidRDefault="009629C4">
            <w:pPr>
              <w:pStyle w:val="P68B1DB1-Normal11"/>
              <w:rPr>
                <w:noProof/>
                <w:szCs w:val="20"/>
              </w:rPr>
            </w:pPr>
            <w:r>
              <w:rPr>
                <w:noProof/>
              </w:rPr>
              <w:t>Puitelailla, joka koostuu tehtävien siirtoa koskevasta laista, vahvistetaan vammaisten henkilöiden itsenäisyyttä vammaisyleissopimuksen ja vammaisten henkilöiden oikeuksia koskevan EU:n strategian 2021–2030 periaatteiden mukaisesti, joihin on sisällyttävä vähintään seuraavat: I) vammaisille tarjottavien sosiaalipalvelujen kattava määrittely ja parantaminen sekä laitoshoidosta luopumisen ja itsenäisen asumisen edistäminen, ii) terveys- ja sosiaalipalvelujen saatavuutta koskevien menettelyjen yksinkertaistaminen ja iii) vammaisuuden arviointimenettelyjen tarkistaminen tavoitteena jokaisen henkilön tilan moniulotteinen arviointi.</w:t>
            </w:r>
          </w:p>
          <w:p w14:paraId="4D648C86" w14:textId="77777777" w:rsidR="00E42B18" w:rsidRDefault="009629C4">
            <w:pPr>
              <w:pStyle w:val="P68B1DB1-Normal11"/>
              <w:rPr>
                <w:rFonts w:eastAsia="Calibri"/>
                <w:noProof/>
                <w:szCs w:val="20"/>
              </w:rPr>
            </w:pPr>
            <w:r>
              <w:rPr>
                <w:noProof/>
              </w:rPr>
              <w:t>Vammaisilla henkilöillä tarkoitetaan vammaisyleissopimuksen periaatteiden mukaisia vammaisia henkilöitä, jotka on määritelty laissa nro 104/1992. Italiassa arviointiprosessi kuuluu alueiden toimivaltaan, ja henkilön arvioinnista vastaa paikallinen terveydenhuoltolaitos tai sosiaaliturvalaitos.</w:t>
            </w:r>
          </w:p>
          <w:p w14:paraId="256FC5F3" w14:textId="77777777" w:rsidR="00E42B18" w:rsidRDefault="009629C4">
            <w:pPr>
              <w:pStyle w:val="P68B1DB1-Normal11"/>
              <w:rPr>
                <w:rFonts w:eastAsia="Calibri"/>
                <w:noProof/>
                <w:szCs w:val="20"/>
              </w:rPr>
            </w:pPr>
            <w:r>
              <w:rPr>
                <w:noProof/>
              </w:rPr>
              <w:t>Vammaisministeri ehdottaa lakia ministerineuvoston hyväksyttäväksi vahvistetun etenemissuunnitelman mukaisesti.</w:t>
            </w:r>
          </w:p>
          <w:p w14:paraId="4C09C9E0" w14:textId="77777777" w:rsidR="00E42B18" w:rsidRDefault="009629C4">
            <w:pPr>
              <w:pStyle w:val="P68B1DB1-Normal11"/>
              <w:rPr>
                <w:rFonts w:eastAsia="Calibri"/>
                <w:noProof/>
                <w:szCs w:val="20"/>
              </w:rPr>
            </w:pPr>
            <w:r>
              <w:rPr>
                <w:noProof/>
              </w:rPr>
              <w:t>Puitelain hyväksymisen jälkeen toteutetaan paikallisten sosiaalipalvelujen uudelleenorganisointi, määritellään laatustandardit ja tarjotaan tieto- ja viestintätekniikka-alusta palvelujen parantamiseksi ja tehostamiseksi.</w:t>
            </w:r>
          </w:p>
        </w:tc>
      </w:tr>
      <w:tr w:rsidR="00E42B18" w14:paraId="210D399F" w14:textId="77777777" w:rsidTr="0097361F">
        <w:trPr>
          <w:trHeight w:val="307"/>
          <w:jc w:val="center"/>
        </w:trPr>
        <w:tc>
          <w:tcPr>
            <w:tcW w:w="1338" w:type="dxa"/>
            <w:shd w:val="clear" w:color="auto" w:fill="C6EFCE"/>
            <w:noWrap/>
            <w:vAlign w:val="center"/>
            <w:hideMark/>
          </w:tcPr>
          <w:p w14:paraId="4603FBD4" w14:textId="77777777" w:rsidR="00E42B18" w:rsidRDefault="009629C4">
            <w:pPr>
              <w:pStyle w:val="P68B1DB1-Normal11"/>
              <w:spacing w:before="120" w:after="120"/>
              <w:jc w:val="center"/>
              <w:rPr>
                <w:noProof/>
                <w:szCs w:val="20"/>
              </w:rPr>
            </w:pPr>
            <w:r>
              <w:rPr>
                <w:noProof/>
              </w:rPr>
              <w:t>M5C2–2</w:t>
            </w:r>
          </w:p>
        </w:tc>
        <w:tc>
          <w:tcPr>
            <w:tcW w:w="1497" w:type="dxa"/>
            <w:shd w:val="clear" w:color="auto" w:fill="C6EFCE"/>
            <w:noWrap/>
            <w:vAlign w:val="center"/>
            <w:hideMark/>
          </w:tcPr>
          <w:p w14:paraId="21E0D6C6" w14:textId="77777777" w:rsidR="00E42B18" w:rsidRDefault="009629C4">
            <w:pPr>
              <w:pStyle w:val="P68B1DB1-Normal11"/>
              <w:jc w:val="center"/>
              <w:rPr>
                <w:noProof/>
                <w:szCs w:val="20"/>
              </w:rPr>
            </w:pPr>
            <w:r>
              <w:rPr>
                <w:noProof/>
              </w:rPr>
              <w:t>Uudistus 1 – Vammaisuutta koskeva puitelaki</w:t>
            </w:r>
          </w:p>
        </w:tc>
        <w:tc>
          <w:tcPr>
            <w:tcW w:w="1193" w:type="dxa"/>
            <w:shd w:val="clear" w:color="auto" w:fill="C6EFCE"/>
            <w:noWrap/>
            <w:vAlign w:val="center"/>
            <w:hideMark/>
          </w:tcPr>
          <w:p w14:paraId="499C2CD7" w14:textId="77777777" w:rsidR="00E42B18" w:rsidRDefault="009629C4">
            <w:pPr>
              <w:pStyle w:val="P68B1DB1-Normal11"/>
              <w:jc w:val="center"/>
              <w:rPr>
                <w:rFonts w:eastAsia="Calibri"/>
                <w:noProof/>
                <w:szCs w:val="20"/>
              </w:rPr>
            </w:pPr>
            <w:r>
              <w:rPr>
                <w:noProof/>
              </w:rPr>
              <w:t>Virstanpylväs</w:t>
            </w:r>
          </w:p>
        </w:tc>
        <w:tc>
          <w:tcPr>
            <w:tcW w:w="2059" w:type="dxa"/>
            <w:shd w:val="clear" w:color="auto" w:fill="C6EFCE"/>
            <w:noWrap/>
            <w:vAlign w:val="center"/>
            <w:hideMark/>
          </w:tcPr>
          <w:p w14:paraId="077115D1" w14:textId="77777777" w:rsidR="00E42B18" w:rsidRDefault="009629C4">
            <w:pPr>
              <w:pStyle w:val="P68B1DB1-Normal11"/>
              <w:jc w:val="center"/>
              <w:rPr>
                <w:noProof/>
                <w:szCs w:val="20"/>
              </w:rPr>
            </w:pPr>
            <w:r>
              <w:rPr>
                <w:noProof/>
              </w:rPr>
              <w:t>Sellaisten asetusten voimaantulo, joilla kehitetään puitelain säännöksiä vammaisten henkilöiden itsenäisyyden vahvistamiseksi</w:t>
            </w:r>
          </w:p>
        </w:tc>
        <w:tc>
          <w:tcPr>
            <w:tcW w:w="1717" w:type="dxa"/>
            <w:shd w:val="clear" w:color="auto" w:fill="C6EFCE"/>
            <w:noWrap/>
            <w:vAlign w:val="center"/>
            <w:hideMark/>
          </w:tcPr>
          <w:p w14:paraId="185EA102" w14:textId="77777777" w:rsidR="00E42B18" w:rsidRDefault="009629C4">
            <w:pPr>
              <w:pStyle w:val="P68B1DB1-Normal11"/>
              <w:jc w:val="center"/>
              <w:rPr>
                <w:rFonts w:eastAsia="Calibri"/>
                <w:noProof/>
                <w:szCs w:val="20"/>
              </w:rPr>
            </w:pPr>
            <w:r>
              <w:rPr>
                <w:noProof/>
              </w:rPr>
              <w:t>Lain säännökset, joista käy ilmi asetusten voimaantulo</w:t>
            </w:r>
          </w:p>
        </w:tc>
        <w:tc>
          <w:tcPr>
            <w:tcW w:w="1277" w:type="dxa"/>
            <w:shd w:val="clear" w:color="auto" w:fill="C6EFCE"/>
            <w:noWrap/>
            <w:vAlign w:val="center"/>
            <w:hideMark/>
          </w:tcPr>
          <w:p w14:paraId="01539868" w14:textId="77777777" w:rsidR="00E42B18" w:rsidRDefault="009629C4">
            <w:pPr>
              <w:pStyle w:val="P68B1DB1-Normal11"/>
              <w:jc w:val="center"/>
              <w:rPr>
                <w:noProof/>
                <w:szCs w:val="20"/>
              </w:rPr>
            </w:pPr>
            <w:r>
              <w:rPr>
                <w:noProof/>
              </w:rPr>
              <w:t>EI OLE</w:t>
            </w:r>
          </w:p>
        </w:tc>
        <w:tc>
          <w:tcPr>
            <w:tcW w:w="1306" w:type="dxa"/>
            <w:shd w:val="clear" w:color="auto" w:fill="C6EFCE"/>
            <w:noWrap/>
            <w:vAlign w:val="center"/>
            <w:hideMark/>
          </w:tcPr>
          <w:p w14:paraId="7F0A769D" w14:textId="77777777" w:rsidR="00E42B18" w:rsidRDefault="009629C4">
            <w:pPr>
              <w:pStyle w:val="P68B1DB1-Normal11"/>
              <w:jc w:val="center"/>
              <w:rPr>
                <w:rFonts w:eastAsia="Calibri"/>
                <w:noProof/>
                <w:szCs w:val="20"/>
              </w:rPr>
            </w:pPr>
            <w:r>
              <w:rPr>
                <w:noProof/>
              </w:rPr>
              <w:t>EI OLE</w:t>
            </w:r>
          </w:p>
        </w:tc>
        <w:tc>
          <w:tcPr>
            <w:tcW w:w="1313" w:type="dxa"/>
            <w:shd w:val="clear" w:color="auto" w:fill="C6EFCE"/>
            <w:noWrap/>
            <w:vAlign w:val="center"/>
            <w:hideMark/>
          </w:tcPr>
          <w:p w14:paraId="4F756503" w14:textId="77777777" w:rsidR="00E42B18" w:rsidRDefault="009629C4">
            <w:pPr>
              <w:pStyle w:val="P68B1DB1-Normal11"/>
              <w:jc w:val="center"/>
              <w:rPr>
                <w:rFonts w:eastAsia="Calibri"/>
                <w:noProof/>
                <w:szCs w:val="20"/>
              </w:rPr>
            </w:pPr>
            <w:r>
              <w:rPr>
                <w:noProof/>
              </w:rPr>
              <w:t>EI OLE</w:t>
            </w:r>
          </w:p>
        </w:tc>
        <w:tc>
          <w:tcPr>
            <w:tcW w:w="1014" w:type="dxa"/>
            <w:shd w:val="clear" w:color="auto" w:fill="C6EFCE"/>
            <w:noWrap/>
            <w:vAlign w:val="center"/>
            <w:hideMark/>
          </w:tcPr>
          <w:p w14:paraId="65B112C2" w14:textId="77777777" w:rsidR="00E42B18" w:rsidRDefault="009629C4">
            <w:pPr>
              <w:pStyle w:val="P68B1DB1-Normal11"/>
              <w:jc w:val="center"/>
              <w:rPr>
                <w:noProof/>
                <w:szCs w:val="20"/>
              </w:rPr>
            </w:pPr>
            <w:r>
              <w:rPr>
                <w:noProof/>
              </w:rPr>
              <w:t>Q2</w:t>
            </w:r>
          </w:p>
        </w:tc>
        <w:tc>
          <w:tcPr>
            <w:tcW w:w="714" w:type="dxa"/>
            <w:shd w:val="clear" w:color="auto" w:fill="C6EFCE"/>
            <w:noWrap/>
            <w:vAlign w:val="center"/>
            <w:hideMark/>
          </w:tcPr>
          <w:p w14:paraId="5529812E" w14:textId="77777777" w:rsidR="00E42B18" w:rsidRDefault="009629C4">
            <w:pPr>
              <w:pStyle w:val="P68B1DB1-Normal11"/>
              <w:jc w:val="center"/>
              <w:rPr>
                <w:rFonts w:eastAsia="Calibri"/>
                <w:noProof/>
                <w:szCs w:val="20"/>
              </w:rPr>
            </w:pPr>
            <w:r>
              <w:rPr>
                <w:noProof/>
              </w:rPr>
              <w:t>2024</w:t>
            </w:r>
          </w:p>
        </w:tc>
        <w:tc>
          <w:tcPr>
            <w:tcW w:w="4184" w:type="dxa"/>
            <w:shd w:val="clear" w:color="auto" w:fill="C6EFCE"/>
            <w:noWrap/>
            <w:vAlign w:val="center"/>
            <w:hideMark/>
          </w:tcPr>
          <w:p w14:paraId="344DA059" w14:textId="77777777" w:rsidR="00E42B18" w:rsidRDefault="009629C4">
            <w:pPr>
              <w:pStyle w:val="P68B1DB1-Normal11"/>
              <w:rPr>
                <w:rFonts w:eastAsia="Calibri"/>
                <w:noProof/>
                <w:szCs w:val="20"/>
              </w:rPr>
            </w:pPr>
            <w:r>
              <w:rPr>
                <w:noProof/>
              </w:rPr>
              <w:t>Asetuksilla kehitetään puitelain säännöksiä, joilla vahvistetaan vammaisten itsenäisyyttä: I) sosiaalipalvelujen tarjonnan vahvistaminen, II) sosiaali- ja terveyspalvelujen saatavuuden yksinkertaistaminen, III) vammaisarviointien uudistukset, IV) itsenäistä asumista koskevien hankkeiden edistäminen, V) sellaisten asiantuntijaryhmien työn edistäminen, jotka voivat tukea moniulotteisia vammaisia henkilöitä.</w:t>
            </w:r>
          </w:p>
        </w:tc>
      </w:tr>
      <w:tr w:rsidR="00E42B18" w14:paraId="4297D7A7" w14:textId="77777777" w:rsidTr="0097361F">
        <w:trPr>
          <w:trHeight w:val="2227"/>
          <w:jc w:val="center"/>
        </w:trPr>
        <w:tc>
          <w:tcPr>
            <w:tcW w:w="1338" w:type="dxa"/>
            <w:shd w:val="clear" w:color="auto" w:fill="C6EFCE"/>
            <w:noWrap/>
            <w:vAlign w:val="center"/>
            <w:hideMark/>
          </w:tcPr>
          <w:p w14:paraId="13684096" w14:textId="77777777" w:rsidR="00E42B18" w:rsidRDefault="009629C4">
            <w:pPr>
              <w:pStyle w:val="P68B1DB1-Normal11"/>
              <w:spacing w:before="120" w:after="120"/>
              <w:jc w:val="center"/>
              <w:rPr>
                <w:noProof/>
                <w:szCs w:val="20"/>
              </w:rPr>
            </w:pPr>
            <w:r>
              <w:rPr>
                <w:noProof/>
              </w:rPr>
              <w:t>M5C2–3</w:t>
            </w:r>
          </w:p>
        </w:tc>
        <w:tc>
          <w:tcPr>
            <w:tcW w:w="1497" w:type="dxa"/>
            <w:shd w:val="clear" w:color="auto" w:fill="C6EFCE"/>
            <w:noWrap/>
            <w:vAlign w:val="center"/>
            <w:hideMark/>
          </w:tcPr>
          <w:p w14:paraId="21827A55" w14:textId="77777777" w:rsidR="00E42B18" w:rsidRDefault="009629C4">
            <w:pPr>
              <w:pStyle w:val="P68B1DB1-Normal11"/>
              <w:jc w:val="center"/>
              <w:rPr>
                <w:noProof/>
                <w:szCs w:val="20"/>
              </w:rPr>
            </w:pPr>
            <w:r>
              <w:rPr>
                <w:noProof/>
              </w:rPr>
              <w:t>Uudistus 2 – Uudistus muita kuin omavaraisia ikääntyneitä varten</w:t>
            </w:r>
          </w:p>
        </w:tc>
        <w:tc>
          <w:tcPr>
            <w:tcW w:w="1193" w:type="dxa"/>
            <w:shd w:val="clear" w:color="auto" w:fill="C6EFCE"/>
            <w:noWrap/>
            <w:vAlign w:val="center"/>
            <w:hideMark/>
          </w:tcPr>
          <w:p w14:paraId="259BDF6E" w14:textId="77777777" w:rsidR="00E42B18" w:rsidRDefault="009629C4">
            <w:pPr>
              <w:pStyle w:val="P68B1DB1-Normal11"/>
              <w:jc w:val="center"/>
              <w:rPr>
                <w:noProof/>
                <w:szCs w:val="20"/>
              </w:rPr>
            </w:pPr>
            <w:r>
              <w:rPr>
                <w:noProof/>
              </w:rPr>
              <w:t>Virstanpylväs</w:t>
            </w:r>
          </w:p>
        </w:tc>
        <w:tc>
          <w:tcPr>
            <w:tcW w:w="2059" w:type="dxa"/>
            <w:shd w:val="clear" w:color="auto" w:fill="C6EFCE"/>
            <w:noWrap/>
            <w:vAlign w:val="center"/>
            <w:hideMark/>
          </w:tcPr>
          <w:p w14:paraId="67D73C8D" w14:textId="77777777" w:rsidR="00E42B18" w:rsidRDefault="009629C4">
            <w:pPr>
              <w:pStyle w:val="P68B1DB1-Normal11"/>
              <w:jc w:val="center"/>
              <w:rPr>
                <w:noProof/>
                <w:szCs w:val="20"/>
              </w:rPr>
            </w:pPr>
            <w:r>
              <w:rPr>
                <w:noProof/>
              </w:rPr>
              <w:t>Sellaisen puitelain voimaantulo, jolla vahvistetaan omavaraisten vanhusten hyväksi toteutettavia toimia</w:t>
            </w:r>
          </w:p>
        </w:tc>
        <w:tc>
          <w:tcPr>
            <w:tcW w:w="1717" w:type="dxa"/>
            <w:shd w:val="clear" w:color="auto" w:fill="C6EFCE"/>
            <w:noWrap/>
            <w:vAlign w:val="center"/>
            <w:hideMark/>
          </w:tcPr>
          <w:p w14:paraId="473AD2E6" w14:textId="77777777" w:rsidR="00E42B18" w:rsidRDefault="009629C4">
            <w:pPr>
              <w:pStyle w:val="P68B1DB1-Normal14"/>
              <w:jc w:val="center"/>
              <w:rPr>
                <w:noProof/>
                <w:color w:val="006100"/>
                <w:szCs w:val="20"/>
              </w:rPr>
            </w:pPr>
            <w:r>
              <w:rPr>
                <w:noProof/>
                <w:color w:val="006100"/>
              </w:rPr>
              <w:t>Lain säännökset, jotka koskevat omavaraisten vanhusten hyväksi toteutettavia toimia vahvistavan puitelain voimaantuloa</w:t>
            </w:r>
          </w:p>
        </w:tc>
        <w:tc>
          <w:tcPr>
            <w:tcW w:w="1277" w:type="dxa"/>
            <w:shd w:val="clear" w:color="auto" w:fill="C6EFCE"/>
            <w:noWrap/>
            <w:vAlign w:val="center"/>
            <w:hideMark/>
          </w:tcPr>
          <w:p w14:paraId="36B9AE0D" w14:textId="77777777" w:rsidR="00E42B18" w:rsidRDefault="009629C4">
            <w:pPr>
              <w:pStyle w:val="P68B1DB1-Normal11"/>
              <w:jc w:val="center"/>
              <w:rPr>
                <w:noProof/>
                <w:szCs w:val="20"/>
              </w:rPr>
            </w:pPr>
            <w:r>
              <w:rPr>
                <w:noProof/>
              </w:rPr>
              <w:t>EI OLE</w:t>
            </w:r>
          </w:p>
        </w:tc>
        <w:tc>
          <w:tcPr>
            <w:tcW w:w="1306" w:type="dxa"/>
            <w:shd w:val="clear" w:color="auto" w:fill="C6EFCE"/>
            <w:noWrap/>
            <w:vAlign w:val="center"/>
            <w:hideMark/>
          </w:tcPr>
          <w:p w14:paraId="0C57032A" w14:textId="77777777" w:rsidR="00E42B18" w:rsidRDefault="009629C4">
            <w:pPr>
              <w:pStyle w:val="P68B1DB1-Normal11"/>
              <w:jc w:val="center"/>
              <w:rPr>
                <w:rFonts w:eastAsia="Calibri"/>
                <w:noProof/>
                <w:szCs w:val="20"/>
              </w:rPr>
            </w:pPr>
            <w:r>
              <w:rPr>
                <w:noProof/>
              </w:rPr>
              <w:t>EI OLE</w:t>
            </w:r>
          </w:p>
        </w:tc>
        <w:tc>
          <w:tcPr>
            <w:tcW w:w="1313" w:type="dxa"/>
            <w:shd w:val="clear" w:color="auto" w:fill="C6EFCE"/>
            <w:noWrap/>
            <w:vAlign w:val="center"/>
            <w:hideMark/>
          </w:tcPr>
          <w:p w14:paraId="01211EF4" w14:textId="77777777" w:rsidR="00E42B18" w:rsidRDefault="009629C4">
            <w:pPr>
              <w:pStyle w:val="P68B1DB1-Normal11"/>
              <w:jc w:val="center"/>
              <w:rPr>
                <w:rFonts w:eastAsia="Calibri"/>
                <w:noProof/>
                <w:szCs w:val="20"/>
              </w:rPr>
            </w:pPr>
            <w:r>
              <w:rPr>
                <w:noProof/>
              </w:rPr>
              <w:t>EI OLE</w:t>
            </w:r>
          </w:p>
        </w:tc>
        <w:tc>
          <w:tcPr>
            <w:tcW w:w="1014" w:type="dxa"/>
            <w:shd w:val="clear" w:color="auto" w:fill="C6EFCE"/>
            <w:noWrap/>
            <w:vAlign w:val="center"/>
            <w:hideMark/>
          </w:tcPr>
          <w:p w14:paraId="6EAD2F0F" w14:textId="77777777" w:rsidR="00E42B18" w:rsidRDefault="009629C4">
            <w:pPr>
              <w:pStyle w:val="P68B1DB1-Normal11"/>
              <w:jc w:val="center"/>
              <w:rPr>
                <w:noProof/>
                <w:szCs w:val="20"/>
              </w:rPr>
            </w:pPr>
            <w:r>
              <w:rPr>
                <w:noProof/>
              </w:rPr>
              <w:t>Q1</w:t>
            </w:r>
          </w:p>
        </w:tc>
        <w:tc>
          <w:tcPr>
            <w:tcW w:w="714" w:type="dxa"/>
            <w:shd w:val="clear" w:color="auto" w:fill="C6EFCE"/>
            <w:noWrap/>
            <w:vAlign w:val="center"/>
            <w:hideMark/>
          </w:tcPr>
          <w:p w14:paraId="04F34A0A" w14:textId="77777777" w:rsidR="00E42B18" w:rsidRDefault="009629C4">
            <w:pPr>
              <w:pStyle w:val="P68B1DB1-Normal11"/>
              <w:jc w:val="center"/>
              <w:rPr>
                <w:rFonts w:eastAsia="Calibri"/>
                <w:noProof/>
                <w:szCs w:val="20"/>
              </w:rPr>
            </w:pPr>
            <w:r>
              <w:rPr>
                <w:noProof/>
              </w:rPr>
              <w:t>2023</w:t>
            </w:r>
          </w:p>
        </w:tc>
        <w:tc>
          <w:tcPr>
            <w:tcW w:w="4184" w:type="dxa"/>
            <w:shd w:val="clear" w:color="auto" w:fill="C6EFCE"/>
            <w:noWrap/>
            <w:vAlign w:val="center"/>
            <w:hideMark/>
          </w:tcPr>
          <w:p w14:paraId="046C1CC1" w14:textId="77777777" w:rsidR="00E42B18" w:rsidRDefault="009629C4">
            <w:pPr>
              <w:pStyle w:val="P68B1DB1-Normal11"/>
              <w:rPr>
                <w:noProof/>
                <w:szCs w:val="20"/>
              </w:rPr>
            </w:pPr>
            <w:r>
              <w:rPr>
                <w:noProof/>
              </w:rPr>
              <w:t>Hallituksen ehdottamalla puitelailla vahvistetaan toimia sellaisten ikääntyneiden hyväksi, jotka eivät ole omavaraisia. Lailla yksinkertaistetaan sosiaali- ja terveyspalvelujen keskitettyjä asiointipisteitä ja säädetään niistä, tarkistetaan menettelyjä, joilla arvioidaan ikääntymättömän henkilön terveydentilaa, ja lisätään kotona tarjottavien sosiaali- ja terveydenhuoltopalvelujen määrää. Laissa on myös määritettävä tarvittavat taloudelliset resurssit.</w:t>
            </w:r>
          </w:p>
        </w:tc>
      </w:tr>
      <w:tr w:rsidR="00E42B18" w14:paraId="1AEC87F6" w14:textId="77777777" w:rsidTr="0097361F">
        <w:trPr>
          <w:trHeight w:val="1410"/>
          <w:jc w:val="center"/>
        </w:trPr>
        <w:tc>
          <w:tcPr>
            <w:tcW w:w="1338" w:type="dxa"/>
            <w:shd w:val="clear" w:color="auto" w:fill="C6EFCE"/>
            <w:noWrap/>
            <w:vAlign w:val="center"/>
            <w:hideMark/>
          </w:tcPr>
          <w:p w14:paraId="5638FCB4" w14:textId="77777777" w:rsidR="00E42B18" w:rsidRDefault="009629C4">
            <w:pPr>
              <w:pStyle w:val="P68B1DB1-Normal11"/>
              <w:jc w:val="center"/>
              <w:rPr>
                <w:rFonts w:eastAsia="Calibri"/>
                <w:noProof/>
                <w:szCs w:val="20"/>
              </w:rPr>
            </w:pPr>
            <w:r>
              <w:rPr>
                <w:noProof/>
              </w:rPr>
              <w:t>M5C2–4</w:t>
            </w:r>
          </w:p>
        </w:tc>
        <w:tc>
          <w:tcPr>
            <w:tcW w:w="1497" w:type="dxa"/>
            <w:shd w:val="clear" w:color="auto" w:fill="C6EFCE"/>
            <w:noWrap/>
            <w:vAlign w:val="center"/>
            <w:hideMark/>
          </w:tcPr>
          <w:p w14:paraId="634379D4" w14:textId="77777777" w:rsidR="00E42B18" w:rsidRDefault="009629C4">
            <w:pPr>
              <w:pStyle w:val="P68B1DB1-Normal11"/>
              <w:jc w:val="center"/>
              <w:rPr>
                <w:noProof/>
                <w:szCs w:val="20"/>
              </w:rPr>
            </w:pPr>
            <w:r>
              <w:rPr>
                <w:noProof/>
              </w:rPr>
              <w:t>Uudistus 2 – Uudistus muita kuin omavaraisia ikääntyneitä varten</w:t>
            </w:r>
          </w:p>
        </w:tc>
        <w:tc>
          <w:tcPr>
            <w:tcW w:w="1193" w:type="dxa"/>
            <w:shd w:val="clear" w:color="auto" w:fill="C6EFCE"/>
            <w:noWrap/>
            <w:vAlign w:val="center"/>
            <w:hideMark/>
          </w:tcPr>
          <w:p w14:paraId="2EA59E32" w14:textId="77777777" w:rsidR="00E42B18" w:rsidRDefault="009629C4">
            <w:pPr>
              <w:pStyle w:val="P68B1DB1-Normal11"/>
              <w:jc w:val="center"/>
              <w:rPr>
                <w:rFonts w:eastAsia="Calibri"/>
                <w:noProof/>
                <w:szCs w:val="20"/>
              </w:rPr>
            </w:pPr>
            <w:r>
              <w:rPr>
                <w:noProof/>
              </w:rPr>
              <w:t>Virstanpylväs</w:t>
            </w:r>
          </w:p>
        </w:tc>
        <w:tc>
          <w:tcPr>
            <w:tcW w:w="2059" w:type="dxa"/>
            <w:shd w:val="clear" w:color="auto" w:fill="C6EFCE"/>
            <w:noWrap/>
            <w:vAlign w:val="center"/>
            <w:hideMark/>
          </w:tcPr>
          <w:p w14:paraId="22B2B863" w14:textId="77777777" w:rsidR="00E42B18" w:rsidRDefault="009629C4">
            <w:pPr>
              <w:pStyle w:val="P68B1DB1-Normal11"/>
              <w:jc w:val="center"/>
              <w:rPr>
                <w:noProof/>
                <w:szCs w:val="20"/>
              </w:rPr>
            </w:pPr>
            <w:r>
              <w:rPr>
                <w:noProof/>
              </w:rPr>
              <w:t>Asetus, jolla kehitetään puitelain säännöksiä omavaraisten vanhusten hyväksi toteutettavien toimien tehostamiseksi, tulee voimaan</w:t>
            </w:r>
          </w:p>
        </w:tc>
        <w:tc>
          <w:tcPr>
            <w:tcW w:w="1717" w:type="dxa"/>
            <w:shd w:val="clear" w:color="auto" w:fill="C6EFCE"/>
            <w:noWrap/>
            <w:vAlign w:val="center"/>
            <w:hideMark/>
          </w:tcPr>
          <w:p w14:paraId="3D5867BC" w14:textId="77777777" w:rsidR="00E42B18" w:rsidRDefault="009629C4">
            <w:pPr>
              <w:pStyle w:val="P68B1DB1-Normal11"/>
              <w:jc w:val="center"/>
              <w:rPr>
                <w:noProof/>
                <w:szCs w:val="20"/>
              </w:rPr>
            </w:pPr>
            <w:r>
              <w:rPr>
                <w:noProof/>
              </w:rPr>
              <w:t>Lain säännökset, joista käy ilmi asetuksen voimaantulo</w:t>
            </w:r>
          </w:p>
        </w:tc>
        <w:tc>
          <w:tcPr>
            <w:tcW w:w="1277" w:type="dxa"/>
            <w:shd w:val="clear" w:color="auto" w:fill="C6EFCE"/>
            <w:noWrap/>
            <w:vAlign w:val="center"/>
            <w:hideMark/>
          </w:tcPr>
          <w:p w14:paraId="039072DD" w14:textId="77777777" w:rsidR="00E42B18" w:rsidRDefault="009629C4">
            <w:pPr>
              <w:pStyle w:val="P68B1DB1-Normal11"/>
              <w:jc w:val="center"/>
              <w:rPr>
                <w:rFonts w:eastAsia="Calibri"/>
                <w:noProof/>
                <w:szCs w:val="20"/>
              </w:rPr>
            </w:pPr>
            <w:r>
              <w:rPr>
                <w:noProof/>
              </w:rPr>
              <w:t>EI OLE</w:t>
            </w:r>
          </w:p>
        </w:tc>
        <w:tc>
          <w:tcPr>
            <w:tcW w:w="1306" w:type="dxa"/>
            <w:shd w:val="clear" w:color="auto" w:fill="C6EFCE"/>
            <w:noWrap/>
            <w:vAlign w:val="center"/>
            <w:hideMark/>
          </w:tcPr>
          <w:p w14:paraId="57933A69" w14:textId="77777777" w:rsidR="00E42B18" w:rsidRDefault="009629C4">
            <w:pPr>
              <w:pStyle w:val="P68B1DB1-Normal11"/>
              <w:jc w:val="center"/>
              <w:rPr>
                <w:rFonts w:eastAsia="Calibri"/>
                <w:noProof/>
                <w:szCs w:val="20"/>
              </w:rPr>
            </w:pPr>
            <w:r>
              <w:rPr>
                <w:noProof/>
              </w:rPr>
              <w:t>EI OLE</w:t>
            </w:r>
          </w:p>
        </w:tc>
        <w:tc>
          <w:tcPr>
            <w:tcW w:w="1313" w:type="dxa"/>
            <w:shd w:val="clear" w:color="auto" w:fill="C6EFCE"/>
            <w:noWrap/>
            <w:vAlign w:val="center"/>
            <w:hideMark/>
          </w:tcPr>
          <w:p w14:paraId="4634BBD7" w14:textId="77777777" w:rsidR="00E42B18" w:rsidRDefault="009629C4">
            <w:pPr>
              <w:pStyle w:val="P68B1DB1-Normal11"/>
              <w:jc w:val="center"/>
              <w:rPr>
                <w:rFonts w:eastAsia="Calibri"/>
                <w:noProof/>
                <w:szCs w:val="20"/>
              </w:rPr>
            </w:pPr>
            <w:r>
              <w:rPr>
                <w:noProof/>
              </w:rPr>
              <w:t>EI OLE</w:t>
            </w:r>
          </w:p>
        </w:tc>
        <w:tc>
          <w:tcPr>
            <w:tcW w:w="1014" w:type="dxa"/>
            <w:shd w:val="clear" w:color="auto" w:fill="C6EFCE"/>
            <w:noWrap/>
            <w:vAlign w:val="center"/>
            <w:hideMark/>
          </w:tcPr>
          <w:p w14:paraId="7016FDF2" w14:textId="77777777" w:rsidR="00E42B18" w:rsidRDefault="009629C4">
            <w:pPr>
              <w:pStyle w:val="P68B1DB1-Normal11"/>
              <w:jc w:val="center"/>
              <w:rPr>
                <w:noProof/>
                <w:szCs w:val="20"/>
              </w:rPr>
            </w:pPr>
            <w:r>
              <w:rPr>
                <w:noProof/>
              </w:rPr>
              <w:t>Q1</w:t>
            </w:r>
          </w:p>
        </w:tc>
        <w:tc>
          <w:tcPr>
            <w:tcW w:w="714" w:type="dxa"/>
            <w:shd w:val="clear" w:color="auto" w:fill="C6EFCE"/>
            <w:noWrap/>
            <w:vAlign w:val="center"/>
            <w:hideMark/>
          </w:tcPr>
          <w:p w14:paraId="3D191AC2" w14:textId="77777777" w:rsidR="00E42B18" w:rsidRDefault="009629C4">
            <w:pPr>
              <w:pStyle w:val="P68B1DB1-Normal11"/>
              <w:jc w:val="center"/>
              <w:rPr>
                <w:noProof/>
                <w:szCs w:val="20"/>
              </w:rPr>
            </w:pPr>
            <w:r>
              <w:rPr>
                <w:noProof/>
              </w:rPr>
              <w:t>2024</w:t>
            </w:r>
          </w:p>
        </w:tc>
        <w:tc>
          <w:tcPr>
            <w:tcW w:w="4184" w:type="dxa"/>
            <w:shd w:val="clear" w:color="auto" w:fill="C6EFCE"/>
            <w:noWrap/>
            <w:vAlign w:val="center"/>
            <w:hideMark/>
          </w:tcPr>
          <w:p w14:paraId="07246969" w14:textId="77777777" w:rsidR="00E42B18" w:rsidRDefault="009629C4">
            <w:pPr>
              <w:pStyle w:val="P68B1DB1-Normal11"/>
              <w:rPr>
                <w:noProof/>
                <w:szCs w:val="20"/>
              </w:rPr>
            </w:pPr>
            <w:r>
              <w:rPr>
                <w:noProof/>
              </w:rPr>
              <w:t>Asetuksella konkretisoidaan puitelain säännökset, joilla vahvistetaan toimia sellaisten ikääntyneiden hyväksi, jotka eivät ole omavaraisia, ja pannaan täytäntöön eri toimenpiteet.</w:t>
            </w:r>
          </w:p>
        </w:tc>
      </w:tr>
      <w:tr w:rsidR="00E42B18" w14:paraId="64EBB713" w14:textId="77777777" w:rsidTr="0097361F">
        <w:trPr>
          <w:trHeight w:val="307"/>
          <w:jc w:val="center"/>
        </w:trPr>
        <w:tc>
          <w:tcPr>
            <w:tcW w:w="1338" w:type="dxa"/>
            <w:shd w:val="clear" w:color="auto" w:fill="C6EFCE"/>
            <w:noWrap/>
            <w:vAlign w:val="center"/>
            <w:hideMark/>
          </w:tcPr>
          <w:p w14:paraId="7F289F49" w14:textId="77777777" w:rsidR="00E42B18" w:rsidRDefault="009629C4">
            <w:pPr>
              <w:pStyle w:val="P68B1DB1-Normal11"/>
              <w:jc w:val="center"/>
              <w:rPr>
                <w:noProof/>
                <w:szCs w:val="20"/>
              </w:rPr>
            </w:pPr>
            <w:r>
              <w:rPr>
                <w:noProof/>
              </w:rPr>
              <w:t>M5C2–5</w:t>
            </w:r>
          </w:p>
        </w:tc>
        <w:tc>
          <w:tcPr>
            <w:tcW w:w="1497" w:type="dxa"/>
            <w:shd w:val="clear" w:color="auto" w:fill="C6EFCE"/>
            <w:noWrap/>
            <w:vAlign w:val="center"/>
            <w:hideMark/>
          </w:tcPr>
          <w:p w14:paraId="5473B931" w14:textId="77777777" w:rsidR="00E42B18" w:rsidRDefault="009629C4">
            <w:pPr>
              <w:pStyle w:val="P68B1DB1-Normal11"/>
              <w:jc w:val="center"/>
              <w:rPr>
                <w:noProof/>
                <w:szCs w:val="20"/>
              </w:rPr>
            </w:pPr>
            <w:r>
              <w:rPr>
                <w:noProof/>
              </w:rPr>
              <w:t>Investointi 1 – Tuetaan haavoittuvassa asemassa olevia ihmisiä ja ehkäistään laitoshoitoa</w:t>
            </w:r>
          </w:p>
        </w:tc>
        <w:tc>
          <w:tcPr>
            <w:tcW w:w="1193" w:type="dxa"/>
            <w:shd w:val="clear" w:color="auto" w:fill="C6EFCE"/>
            <w:noWrap/>
            <w:vAlign w:val="center"/>
            <w:hideMark/>
          </w:tcPr>
          <w:p w14:paraId="7694686F" w14:textId="77777777" w:rsidR="00E42B18" w:rsidRDefault="009629C4">
            <w:pPr>
              <w:pStyle w:val="P68B1DB1-Normal11"/>
              <w:jc w:val="center"/>
              <w:rPr>
                <w:noProof/>
                <w:szCs w:val="20"/>
              </w:rPr>
            </w:pPr>
            <w:r>
              <w:rPr>
                <w:noProof/>
              </w:rPr>
              <w:t>Virstanpylväs</w:t>
            </w:r>
          </w:p>
        </w:tc>
        <w:tc>
          <w:tcPr>
            <w:tcW w:w="2059" w:type="dxa"/>
            <w:shd w:val="clear" w:color="auto" w:fill="C6EFCE"/>
            <w:noWrap/>
            <w:vAlign w:val="center"/>
            <w:hideMark/>
          </w:tcPr>
          <w:p w14:paraId="36777026" w14:textId="77777777" w:rsidR="00E42B18" w:rsidRDefault="009629C4">
            <w:pPr>
              <w:pStyle w:val="P68B1DB1-Normal12"/>
              <w:jc w:val="center"/>
              <w:rPr>
                <w:noProof/>
              </w:rPr>
            </w:pPr>
            <w:r>
              <w:rPr>
                <w:noProof/>
              </w:rPr>
              <w:t>Toimintasuunnitelman voimaantulo</w:t>
            </w:r>
          </w:p>
        </w:tc>
        <w:tc>
          <w:tcPr>
            <w:tcW w:w="1717" w:type="dxa"/>
            <w:shd w:val="clear" w:color="auto" w:fill="C6EFCE"/>
            <w:noWrap/>
            <w:vAlign w:val="center"/>
            <w:hideMark/>
          </w:tcPr>
          <w:p w14:paraId="1F16252B" w14:textId="77777777" w:rsidR="00E42B18" w:rsidRDefault="009629C4">
            <w:pPr>
              <w:pStyle w:val="P68B1DB1-Normal11"/>
              <w:jc w:val="center"/>
              <w:rPr>
                <w:noProof/>
                <w:szCs w:val="20"/>
              </w:rPr>
            </w:pPr>
            <w:r>
              <w:rPr>
                <w:noProof/>
              </w:rPr>
              <w:t>Toimintasuunnitelman voimaantuloa koskevat lain säännökset</w:t>
            </w:r>
          </w:p>
        </w:tc>
        <w:tc>
          <w:tcPr>
            <w:tcW w:w="1277" w:type="dxa"/>
            <w:shd w:val="clear" w:color="auto" w:fill="C6EFCE"/>
            <w:noWrap/>
            <w:vAlign w:val="center"/>
            <w:hideMark/>
          </w:tcPr>
          <w:p w14:paraId="2F9CA16A" w14:textId="77777777" w:rsidR="00E42B18" w:rsidRDefault="009629C4">
            <w:pPr>
              <w:pStyle w:val="P68B1DB1-Normal11"/>
              <w:jc w:val="center"/>
              <w:rPr>
                <w:rFonts w:eastAsia="Calibri"/>
                <w:noProof/>
                <w:szCs w:val="20"/>
              </w:rPr>
            </w:pPr>
            <w:r>
              <w:rPr>
                <w:noProof/>
              </w:rPr>
              <w:t>EI OLE</w:t>
            </w:r>
          </w:p>
        </w:tc>
        <w:tc>
          <w:tcPr>
            <w:tcW w:w="1306" w:type="dxa"/>
            <w:shd w:val="clear" w:color="auto" w:fill="C6EFCE"/>
            <w:noWrap/>
            <w:vAlign w:val="center"/>
            <w:hideMark/>
          </w:tcPr>
          <w:p w14:paraId="26E91B3A" w14:textId="77777777" w:rsidR="00E42B18" w:rsidRDefault="009629C4">
            <w:pPr>
              <w:pStyle w:val="P68B1DB1-Normal11"/>
              <w:jc w:val="center"/>
              <w:rPr>
                <w:rFonts w:eastAsia="Calibri"/>
                <w:noProof/>
                <w:szCs w:val="20"/>
              </w:rPr>
            </w:pPr>
            <w:r>
              <w:rPr>
                <w:noProof/>
              </w:rPr>
              <w:t>EI OLE</w:t>
            </w:r>
          </w:p>
        </w:tc>
        <w:tc>
          <w:tcPr>
            <w:tcW w:w="1313" w:type="dxa"/>
            <w:shd w:val="clear" w:color="auto" w:fill="C6EFCE"/>
            <w:noWrap/>
            <w:vAlign w:val="center"/>
            <w:hideMark/>
          </w:tcPr>
          <w:p w14:paraId="57C650FE" w14:textId="77777777" w:rsidR="00E42B18" w:rsidRDefault="009629C4">
            <w:pPr>
              <w:pStyle w:val="P68B1DB1-Normal11"/>
              <w:jc w:val="center"/>
              <w:rPr>
                <w:rFonts w:eastAsia="Calibri"/>
                <w:noProof/>
                <w:szCs w:val="20"/>
              </w:rPr>
            </w:pPr>
            <w:r>
              <w:rPr>
                <w:noProof/>
              </w:rPr>
              <w:t>EI OLE</w:t>
            </w:r>
          </w:p>
        </w:tc>
        <w:tc>
          <w:tcPr>
            <w:tcW w:w="1014" w:type="dxa"/>
            <w:shd w:val="clear" w:color="auto" w:fill="C6EFCE"/>
            <w:noWrap/>
            <w:vAlign w:val="center"/>
            <w:hideMark/>
          </w:tcPr>
          <w:p w14:paraId="6E1E00B4" w14:textId="77777777" w:rsidR="00E42B18" w:rsidRDefault="009629C4">
            <w:pPr>
              <w:pStyle w:val="P68B1DB1-Normal11"/>
              <w:jc w:val="center"/>
              <w:rPr>
                <w:rFonts w:eastAsia="Calibri"/>
                <w:noProof/>
                <w:szCs w:val="20"/>
              </w:rPr>
            </w:pPr>
            <w:r>
              <w:rPr>
                <w:noProof/>
              </w:rPr>
              <w:t>Q4</w:t>
            </w:r>
          </w:p>
        </w:tc>
        <w:tc>
          <w:tcPr>
            <w:tcW w:w="714" w:type="dxa"/>
            <w:shd w:val="clear" w:color="auto" w:fill="C6EFCE"/>
            <w:noWrap/>
            <w:vAlign w:val="center"/>
            <w:hideMark/>
          </w:tcPr>
          <w:p w14:paraId="100DF0D4" w14:textId="77777777" w:rsidR="00E42B18" w:rsidRDefault="009629C4">
            <w:pPr>
              <w:pStyle w:val="P68B1DB1-Normal11"/>
              <w:jc w:val="center"/>
              <w:rPr>
                <w:rFonts w:eastAsia="Calibri"/>
                <w:noProof/>
                <w:szCs w:val="20"/>
              </w:rPr>
            </w:pPr>
            <w:r>
              <w:rPr>
                <w:noProof/>
              </w:rPr>
              <w:t>2021</w:t>
            </w:r>
          </w:p>
        </w:tc>
        <w:tc>
          <w:tcPr>
            <w:tcW w:w="4184" w:type="dxa"/>
            <w:shd w:val="clear" w:color="auto" w:fill="C6EFCE"/>
            <w:noWrap/>
            <w:vAlign w:val="center"/>
            <w:hideMark/>
          </w:tcPr>
          <w:p w14:paraId="01DCBD2D" w14:textId="77777777" w:rsidR="00E42B18" w:rsidRDefault="009629C4">
            <w:pPr>
              <w:pStyle w:val="P68B1DB1-Normal11"/>
              <w:rPr>
                <w:noProof/>
                <w:szCs w:val="20"/>
              </w:rPr>
            </w:pPr>
            <w:r>
              <w:rPr>
                <w:noProof/>
              </w:rPr>
              <w:t>Toimintasuunnitelmassa on määriteltävä vaatimukset hankkeille, joita paikalliset yhteisöt voivat esittää ja jotka liittyvät neljään ulottuvuuteen: I) 0–17-vuotiaiden lasten vanhempien tukeminen, ii) vanhusten itsemääräämisoikeuden tukeminen, iii) vanhusten kotipalvelut ja iv) sosiaalityöntekijöiden tukeminen.</w:t>
            </w:r>
          </w:p>
          <w:p w14:paraId="0C5217C1" w14:textId="77777777" w:rsidR="00E42B18" w:rsidRDefault="009629C4">
            <w:pPr>
              <w:pStyle w:val="P68B1DB1-Normal11"/>
              <w:rPr>
                <w:noProof/>
                <w:szCs w:val="20"/>
              </w:rPr>
            </w:pPr>
            <w:r>
              <w:rPr>
                <w:noProof/>
              </w:rPr>
              <w:t>Vanhemmille annettava tuki koostuu vähintään 18 kuukauden ajan annettavasta tuesta vastaanottaville perheille i) perheympäristön ja lasten tilanteen ennakkoarviointi, ii) tilanteen arviointi pätevistä ammattilaisista koostuvan monialaisen ryhmän avulla ja iii) vähintään yhden seuraavista palveluista tarjoaminen: kotipalvelut, osallistuminen vanhempien ja lasten tukiryhmiin; koulujen, perheiden ja sosiaalipalvelujen ja/tai yhteisten perhehoitopalvelujen välinen yhteistyö.</w:t>
            </w:r>
          </w:p>
          <w:p w14:paraId="446607A1" w14:textId="77777777" w:rsidR="00E42B18" w:rsidRDefault="009629C4">
            <w:pPr>
              <w:pStyle w:val="P68B1DB1-Normal11"/>
              <w:rPr>
                <w:rFonts w:eastAsia="Calibri"/>
                <w:noProof/>
                <w:szCs w:val="20"/>
              </w:rPr>
            </w:pPr>
            <w:r>
              <w:rPr>
                <w:noProof/>
              </w:rPr>
              <w:t>”Vanhemman autonomian” toimessa on vähintään muutettava vanhusten vanhainkoteja autonomisissa asuntoryhmissä, joissa on kaikki tarvittavat tilat ja palvelut, mukaan lukien kotiautomaatio, etälääketiede ja etävalvonta.</w:t>
            </w:r>
          </w:p>
          <w:p w14:paraId="193F8505" w14:textId="77777777" w:rsidR="00E42B18" w:rsidRDefault="009629C4">
            <w:pPr>
              <w:pStyle w:val="P68B1DB1-Normal11"/>
              <w:rPr>
                <w:rFonts w:eastAsia="Calibri"/>
                <w:noProof/>
                <w:szCs w:val="20"/>
              </w:rPr>
            </w:pPr>
            <w:r>
              <w:rPr>
                <w:noProof/>
              </w:rPr>
              <w:t>”Vanhuksille tarjottavat kotipalvelut” -toimen tarkoituksena on tarjota erityiskoulutusta ikääntyneille tarkoitettujen kotipalvelujen ammattilaisille.</w:t>
            </w:r>
          </w:p>
          <w:p w14:paraId="34DEDDB2" w14:textId="10483202" w:rsidR="00E42B18" w:rsidRDefault="009629C4">
            <w:pPr>
              <w:pStyle w:val="P68B1DB1-Normal11"/>
              <w:rPr>
                <w:rFonts w:eastAsia="Calibri"/>
                <w:noProof/>
                <w:szCs w:val="20"/>
              </w:rPr>
            </w:pPr>
            <w:r>
              <w:rPr>
                <w:noProof/>
              </w:rPr>
              <w:t>Sosiaalityöntekijöille annettavaa tukea koskevassa toimessa tuetaan sosiaalialan toimijoita ja vahvistetaan niiden ammattimaisuutta ja osaamisen jakamista pääasiassa ottamalla käyttöön välineitä osaamisen jakamiseksi ja tarjoamalla toimijoille valvontapalveluja, joilla tuetaan toimijoiden työtä.</w:t>
            </w:r>
          </w:p>
        </w:tc>
      </w:tr>
      <w:tr w:rsidR="00E42B18" w14:paraId="06E340D1" w14:textId="77777777" w:rsidTr="0097361F">
        <w:trPr>
          <w:trHeight w:val="307"/>
          <w:jc w:val="center"/>
        </w:trPr>
        <w:tc>
          <w:tcPr>
            <w:tcW w:w="1338" w:type="dxa"/>
            <w:shd w:val="clear" w:color="auto" w:fill="C6EFCE"/>
            <w:noWrap/>
            <w:vAlign w:val="center"/>
            <w:hideMark/>
          </w:tcPr>
          <w:p w14:paraId="41DB43B2" w14:textId="77777777" w:rsidR="00E42B18" w:rsidRDefault="009629C4">
            <w:pPr>
              <w:pStyle w:val="P68B1DB1-Normal11"/>
              <w:spacing w:before="120"/>
              <w:jc w:val="center"/>
              <w:rPr>
                <w:rFonts w:eastAsia="Calibri"/>
                <w:noProof/>
                <w:szCs w:val="20"/>
              </w:rPr>
            </w:pPr>
            <w:r>
              <w:rPr>
                <w:noProof/>
              </w:rPr>
              <w:t>M5C2–7</w:t>
            </w:r>
          </w:p>
        </w:tc>
        <w:tc>
          <w:tcPr>
            <w:tcW w:w="1497" w:type="dxa"/>
            <w:shd w:val="clear" w:color="auto" w:fill="C6EFCE"/>
            <w:noWrap/>
            <w:vAlign w:val="center"/>
            <w:hideMark/>
          </w:tcPr>
          <w:p w14:paraId="13C0DDCE" w14:textId="77777777" w:rsidR="00E42B18" w:rsidRDefault="009629C4">
            <w:pPr>
              <w:pStyle w:val="P68B1DB1-Normal11"/>
              <w:spacing w:before="120"/>
              <w:jc w:val="center"/>
              <w:rPr>
                <w:rFonts w:eastAsia="Calibri"/>
                <w:noProof/>
                <w:szCs w:val="20"/>
              </w:rPr>
            </w:pPr>
            <w:r>
              <w:rPr>
                <w:noProof/>
              </w:rPr>
              <w:t>Investointi 2 – Vammaisten itsehallintomallit</w:t>
            </w:r>
          </w:p>
        </w:tc>
        <w:tc>
          <w:tcPr>
            <w:tcW w:w="1193" w:type="dxa"/>
            <w:shd w:val="clear" w:color="auto" w:fill="C6EFCE"/>
            <w:noWrap/>
            <w:vAlign w:val="center"/>
            <w:hideMark/>
          </w:tcPr>
          <w:p w14:paraId="6909EF04" w14:textId="77777777" w:rsidR="00E42B18" w:rsidRDefault="009629C4">
            <w:pPr>
              <w:pStyle w:val="P68B1DB1-Normal11"/>
              <w:spacing w:before="120" w:after="120"/>
              <w:jc w:val="center"/>
              <w:rPr>
                <w:rFonts w:eastAsia="Calibri"/>
                <w:noProof/>
                <w:szCs w:val="20"/>
              </w:rPr>
            </w:pPr>
            <w:r>
              <w:rPr>
                <w:noProof/>
              </w:rPr>
              <w:t>Kohde</w:t>
            </w:r>
          </w:p>
        </w:tc>
        <w:tc>
          <w:tcPr>
            <w:tcW w:w="2059" w:type="dxa"/>
            <w:shd w:val="clear" w:color="auto" w:fill="C6EFCE"/>
            <w:noWrap/>
            <w:vAlign w:val="center"/>
            <w:hideMark/>
          </w:tcPr>
          <w:p w14:paraId="3D235BB9" w14:textId="77777777" w:rsidR="00E42B18" w:rsidRDefault="009629C4">
            <w:pPr>
              <w:pStyle w:val="P68B1DB1-Normal11"/>
              <w:spacing w:before="120" w:after="120"/>
              <w:jc w:val="center"/>
              <w:rPr>
                <w:rFonts w:eastAsia="Calibri"/>
                <w:noProof/>
                <w:szCs w:val="20"/>
              </w:rPr>
            </w:pPr>
            <w:r>
              <w:rPr>
                <w:noProof/>
              </w:rPr>
              <w:t>Sosiaalipiirit ovat toteuttaneet vähintään yhden hankkeen, joka liittyy kotitilojen kunnostamiseen ja/tai tieto- ja viestintäteknisten laitteiden tarjoamiseen vammaisille, sekä digitaalisia taitoja koskevan koulutuksen.</w:t>
            </w:r>
          </w:p>
        </w:tc>
        <w:tc>
          <w:tcPr>
            <w:tcW w:w="1717" w:type="dxa"/>
            <w:shd w:val="clear" w:color="auto" w:fill="C6EFCE"/>
            <w:noWrap/>
            <w:vAlign w:val="center"/>
            <w:hideMark/>
          </w:tcPr>
          <w:p w14:paraId="108297EF" w14:textId="77777777" w:rsidR="00E42B18" w:rsidRDefault="009629C4">
            <w:pPr>
              <w:pStyle w:val="P68B1DB1-Normal11"/>
              <w:spacing w:before="120" w:after="120"/>
              <w:jc w:val="center"/>
              <w:rPr>
                <w:rFonts w:eastAsia="Calibri"/>
                <w:noProof/>
                <w:szCs w:val="20"/>
              </w:rPr>
            </w:pPr>
            <w:r>
              <w:rPr>
                <w:noProof/>
              </w:rPr>
              <w:t>EI OLE</w:t>
            </w:r>
          </w:p>
        </w:tc>
        <w:tc>
          <w:tcPr>
            <w:tcW w:w="1277" w:type="dxa"/>
            <w:shd w:val="clear" w:color="auto" w:fill="C6EFCE"/>
            <w:noWrap/>
            <w:vAlign w:val="center"/>
            <w:hideMark/>
          </w:tcPr>
          <w:p w14:paraId="7D0B697D" w14:textId="77777777" w:rsidR="00E42B18" w:rsidRDefault="009629C4">
            <w:pPr>
              <w:pStyle w:val="P68B1DB1-Normal11"/>
              <w:spacing w:before="120" w:after="120"/>
              <w:jc w:val="center"/>
              <w:rPr>
                <w:rFonts w:eastAsia="Calibri"/>
                <w:noProof/>
                <w:szCs w:val="20"/>
              </w:rPr>
            </w:pPr>
            <w:r>
              <w:rPr>
                <w:noProof/>
              </w:rPr>
              <w:t>Numero</w:t>
            </w:r>
          </w:p>
        </w:tc>
        <w:tc>
          <w:tcPr>
            <w:tcW w:w="1306" w:type="dxa"/>
            <w:shd w:val="clear" w:color="auto" w:fill="C6EFCE"/>
            <w:noWrap/>
            <w:vAlign w:val="center"/>
            <w:hideMark/>
          </w:tcPr>
          <w:p w14:paraId="39DACD0F" w14:textId="77777777" w:rsidR="00E42B18" w:rsidRDefault="009629C4">
            <w:pPr>
              <w:pStyle w:val="P68B1DB1-Normal11"/>
              <w:spacing w:before="120" w:after="120"/>
              <w:jc w:val="center"/>
              <w:rPr>
                <w:rFonts w:eastAsia="Calibri"/>
                <w:noProof/>
                <w:szCs w:val="20"/>
              </w:rPr>
            </w:pPr>
            <w:r>
              <w:rPr>
                <w:noProof/>
              </w:rPr>
              <w:t>0</w:t>
            </w:r>
          </w:p>
        </w:tc>
        <w:tc>
          <w:tcPr>
            <w:tcW w:w="1313" w:type="dxa"/>
            <w:shd w:val="clear" w:color="auto" w:fill="C6EFCE"/>
            <w:noWrap/>
            <w:vAlign w:val="center"/>
            <w:hideMark/>
          </w:tcPr>
          <w:p w14:paraId="19F97A9D" w14:textId="77777777" w:rsidR="00E42B18" w:rsidRDefault="009629C4">
            <w:pPr>
              <w:pStyle w:val="P68B1DB1-Normal11"/>
              <w:spacing w:before="120" w:after="120"/>
              <w:jc w:val="center"/>
              <w:rPr>
                <w:rFonts w:eastAsia="Calibri"/>
                <w:noProof/>
                <w:szCs w:val="20"/>
              </w:rPr>
            </w:pPr>
            <w:r>
              <w:rPr>
                <w:noProof/>
              </w:rPr>
              <w:t>500</w:t>
            </w:r>
          </w:p>
        </w:tc>
        <w:tc>
          <w:tcPr>
            <w:tcW w:w="1014" w:type="dxa"/>
            <w:shd w:val="clear" w:color="auto" w:fill="C6EFCE"/>
            <w:noWrap/>
            <w:vAlign w:val="center"/>
            <w:hideMark/>
          </w:tcPr>
          <w:p w14:paraId="12E19B6D" w14:textId="77777777" w:rsidR="00E42B18" w:rsidRDefault="009629C4">
            <w:pPr>
              <w:pStyle w:val="P68B1DB1-Normal11"/>
              <w:spacing w:before="120" w:after="120"/>
              <w:jc w:val="center"/>
              <w:rPr>
                <w:rFonts w:eastAsia="Calibri"/>
                <w:noProof/>
                <w:szCs w:val="20"/>
              </w:rPr>
            </w:pPr>
            <w:r>
              <w:rPr>
                <w:noProof/>
              </w:rPr>
              <w:t>Q4</w:t>
            </w:r>
          </w:p>
        </w:tc>
        <w:tc>
          <w:tcPr>
            <w:tcW w:w="714" w:type="dxa"/>
            <w:shd w:val="clear" w:color="auto" w:fill="C6EFCE"/>
            <w:noWrap/>
            <w:vAlign w:val="center"/>
            <w:hideMark/>
          </w:tcPr>
          <w:p w14:paraId="74145586" w14:textId="77777777" w:rsidR="00E42B18" w:rsidRDefault="009629C4">
            <w:pPr>
              <w:pStyle w:val="P68B1DB1-Normal11"/>
              <w:spacing w:before="120" w:after="120"/>
              <w:jc w:val="center"/>
              <w:rPr>
                <w:rFonts w:eastAsia="Calibri"/>
                <w:noProof/>
                <w:szCs w:val="20"/>
              </w:rPr>
            </w:pPr>
            <w:r>
              <w:rPr>
                <w:noProof/>
              </w:rPr>
              <w:t>2022</w:t>
            </w:r>
          </w:p>
        </w:tc>
        <w:tc>
          <w:tcPr>
            <w:tcW w:w="4184" w:type="dxa"/>
            <w:shd w:val="clear" w:color="auto" w:fill="C6EFCE"/>
            <w:noWrap/>
            <w:vAlign w:val="center"/>
            <w:hideMark/>
          </w:tcPr>
          <w:p w14:paraId="4B21E6F9" w14:textId="77777777" w:rsidR="00E42B18" w:rsidRDefault="009629C4">
            <w:pPr>
              <w:pStyle w:val="P68B1DB1-Normal11"/>
              <w:spacing w:before="120" w:after="120"/>
              <w:rPr>
                <w:rFonts w:eastAsia="Calibri"/>
                <w:noProof/>
                <w:szCs w:val="20"/>
              </w:rPr>
            </w:pPr>
            <w:r>
              <w:rPr>
                <w:noProof/>
              </w:rPr>
              <w:t xml:space="preserve">Sosiaalipiirit toteuttavat vähintään 500 hanketta, jotka liittyvät kotitilojen kunnostamiseen ja/tai tieto- ja viestintäteknisten laitteiden tarjoamiseen vammaisille ja joihin liittyy digitaalisia taitoja koskevaa koulutusta. </w:t>
            </w:r>
          </w:p>
          <w:p w14:paraId="6EA6AA82" w14:textId="77777777" w:rsidR="00E42B18" w:rsidRDefault="009629C4">
            <w:pPr>
              <w:pStyle w:val="P68B1DB1-Normal11"/>
              <w:spacing w:before="120" w:after="120"/>
              <w:rPr>
                <w:rFonts w:eastAsia="Calibri"/>
                <w:noProof/>
                <w:szCs w:val="20"/>
              </w:rPr>
            </w:pPr>
            <w:r>
              <w:rPr>
                <w:noProof/>
              </w:rPr>
              <w:t>Tavoitteen tyydyttävä saavuttaminen riippuu myös toissijaisen tavoitteen tyydyttävästä saavuttamisesta: vähintään 500 sosiaalialuetta on toteuttanut vähintään yhden hankkeen, joka liittyy kotitilojen kunnostamiseen ja/tai tieto- ja viestintäteknisten laitteiden tarjoamiseen vammaisille, sekä digitaalisia taitoja koskevan koulutuksen.</w:t>
            </w:r>
          </w:p>
          <w:p w14:paraId="0AE82515" w14:textId="77777777" w:rsidR="00E42B18" w:rsidRDefault="009629C4">
            <w:pPr>
              <w:pStyle w:val="P68B1DB1-Normal11"/>
              <w:spacing w:before="120" w:after="120"/>
              <w:rPr>
                <w:rFonts w:eastAsia="Calibri"/>
                <w:noProof/>
                <w:szCs w:val="20"/>
              </w:rPr>
            </w:pPr>
            <w:r>
              <w:rPr>
                <w:noProof/>
              </w:rPr>
              <w:t>Vähintään yhden hankkeen toteuttaminen vähintään 500 sosiaalipiiristä, jotka ovat osallistuneet kilpailuun perustumattomaan menettelyyn.</w:t>
            </w:r>
          </w:p>
        </w:tc>
      </w:tr>
      <w:tr w:rsidR="00E42B18" w14:paraId="2A92955D" w14:textId="77777777" w:rsidTr="0097361F">
        <w:trPr>
          <w:trHeight w:val="307"/>
          <w:jc w:val="center"/>
        </w:trPr>
        <w:tc>
          <w:tcPr>
            <w:tcW w:w="1338" w:type="dxa"/>
            <w:shd w:val="clear" w:color="auto" w:fill="C6EFCE"/>
            <w:noWrap/>
            <w:vAlign w:val="center"/>
            <w:hideMark/>
          </w:tcPr>
          <w:p w14:paraId="573A4F84" w14:textId="77777777" w:rsidR="00E42B18" w:rsidRDefault="009629C4">
            <w:pPr>
              <w:pStyle w:val="P68B1DB1-Normal11"/>
              <w:spacing w:before="120"/>
              <w:jc w:val="center"/>
              <w:rPr>
                <w:rFonts w:eastAsia="Calibri"/>
                <w:noProof/>
                <w:szCs w:val="20"/>
              </w:rPr>
            </w:pPr>
            <w:r>
              <w:rPr>
                <w:noProof/>
              </w:rPr>
              <w:t>M5C2–9</w:t>
            </w:r>
          </w:p>
        </w:tc>
        <w:tc>
          <w:tcPr>
            <w:tcW w:w="1497" w:type="dxa"/>
            <w:shd w:val="clear" w:color="auto" w:fill="C6EFCE"/>
            <w:noWrap/>
            <w:vAlign w:val="center"/>
            <w:hideMark/>
          </w:tcPr>
          <w:p w14:paraId="730960A1" w14:textId="77777777" w:rsidR="00E42B18" w:rsidRDefault="009629C4">
            <w:pPr>
              <w:pStyle w:val="P68B1DB1-Normal11"/>
              <w:spacing w:before="120" w:after="120"/>
              <w:jc w:val="center"/>
              <w:rPr>
                <w:rFonts w:eastAsia="Calibri"/>
                <w:noProof/>
                <w:szCs w:val="20"/>
              </w:rPr>
            </w:pPr>
            <w:r>
              <w:rPr>
                <w:noProof/>
              </w:rPr>
              <w:t>Investointi 3 – Asuminen ensimmäisessä asunnossa ja sen jälkeen</w:t>
            </w:r>
          </w:p>
        </w:tc>
        <w:tc>
          <w:tcPr>
            <w:tcW w:w="1193" w:type="dxa"/>
            <w:shd w:val="clear" w:color="auto" w:fill="C6EFCE"/>
            <w:noWrap/>
            <w:vAlign w:val="center"/>
            <w:hideMark/>
          </w:tcPr>
          <w:p w14:paraId="49CCECFC" w14:textId="77777777" w:rsidR="00E42B18" w:rsidRDefault="009629C4">
            <w:pPr>
              <w:pStyle w:val="P68B1DB1-Normal11"/>
              <w:spacing w:before="120" w:after="120"/>
              <w:jc w:val="center"/>
              <w:rPr>
                <w:rFonts w:eastAsia="Calibri"/>
                <w:noProof/>
                <w:szCs w:val="20"/>
              </w:rPr>
            </w:pPr>
            <w:r>
              <w:rPr>
                <w:noProof/>
              </w:rPr>
              <w:t>Virstanpylväs</w:t>
            </w:r>
          </w:p>
        </w:tc>
        <w:tc>
          <w:tcPr>
            <w:tcW w:w="2059" w:type="dxa"/>
            <w:shd w:val="clear" w:color="auto" w:fill="C6EFCE"/>
            <w:noWrap/>
            <w:vAlign w:val="center"/>
            <w:hideMark/>
          </w:tcPr>
          <w:p w14:paraId="55AC59FC" w14:textId="77777777" w:rsidR="00E42B18" w:rsidRDefault="009629C4">
            <w:pPr>
              <w:pStyle w:val="P68B1DB1-Normal12"/>
              <w:spacing w:before="120" w:after="120"/>
              <w:jc w:val="center"/>
              <w:rPr>
                <w:rFonts w:eastAsia="Calibri"/>
                <w:noProof/>
              </w:rPr>
            </w:pPr>
            <w:r>
              <w:rPr>
                <w:noProof/>
              </w:rPr>
              <w:t>Asunto ensin- ja jälkiasemia koskevia hankkeita koskevan toimintasuunnitelman voimaantulo, paikallisten yksiköiden esittämien hankkeiden vaatimusten määrittely ja ehdotuspyynnön käynnistäminen</w:t>
            </w:r>
          </w:p>
        </w:tc>
        <w:tc>
          <w:tcPr>
            <w:tcW w:w="1717" w:type="dxa"/>
            <w:shd w:val="clear" w:color="auto" w:fill="C6EFCE"/>
            <w:noWrap/>
            <w:vAlign w:val="center"/>
            <w:hideMark/>
          </w:tcPr>
          <w:p w14:paraId="5004FB9A" w14:textId="77777777" w:rsidR="00E42B18" w:rsidRDefault="009629C4">
            <w:pPr>
              <w:pStyle w:val="P68B1DB1-Normal11"/>
              <w:spacing w:before="120" w:after="120"/>
              <w:jc w:val="center"/>
              <w:rPr>
                <w:rFonts w:eastAsia="Calibri"/>
                <w:noProof/>
                <w:szCs w:val="20"/>
              </w:rPr>
            </w:pPr>
            <w:r>
              <w:rPr>
                <w:noProof/>
              </w:rPr>
              <w:t>Toimintasuunnitelman voimaantuloa koskevat lain säännökset</w:t>
            </w:r>
          </w:p>
        </w:tc>
        <w:tc>
          <w:tcPr>
            <w:tcW w:w="1277" w:type="dxa"/>
            <w:shd w:val="clear" w:color="auto" w:fill="C6EFCE"/>
            <w:noWrap/>
            <w:vAlign w:val="center"/>
            <w:hideMark/>
          </w:tcPr>
          <w:p w14:paraId="6A3521BA" w14:textId="77777777" w:rsidR="00E42B18" w:rsidRDefault="009629C4">
            <w:pPr>
              <w:pStyle w:val="P68B1DB1-Normal11"/>
              <w:spacing w:before="120" w:after="120"/>
              <w:jc w:val="center"/>
              <w:rPr>
                <w:rFonts w:eastAsia="Calibri"/>
                <w:noProof/>
                <w:szCs w:val="20"/>
              </w:rPr>
            </w:pPr>
            <w:r>
              <w:rPr>
                <w:noProof/>
              </w:rPr>
              <w:t>EI OLE</w:t>
            </w:r>
          </w:p>
        </w:tc>
        <w:tc>
          <w:tcPr>
            <w:tcW w:w="1306" w:type="dxa"/>
            <w:shd w:val="clear" w:color="auto" w:fill="C6EFCE"/>
            <w:noWrap/>
            <w:vAlign w:val="center"/>
            <w:hideMark/>
          </w:tcPr>
          <w:p w14:paraId="135BD429" w14:textId="77777777" w:rsidR="00E42B18" w:rsidRDefault="009629C4">
            <w:pPr>
              <w:pStyle w:val="P68B1DB1-Normal11"/>
              <w:spacing w:before="120" w:after="120"/>
              <w:jc w:val="center"/>
              <w:rPr>
                <w:rFonts w:eastAsia="Calibri"/>
                <w:noProof/>
                <w:szCs w:val="20"/>
              </w:rPr>
            </w:pPr>
            <w:r>
              <w:rPr>
                <w:noProof/>
              </w:rPr>
              <w:t>EI OLE</w:t>
            </w:r>
          </w:p>
        </w:tc>
        <w:tc>
          <w:tcPr>
            <w:tcW w:w="1313" w:type="dxa"/>
            <w:shd w:val="clear" w:color="auto" w:fill="C6EFCE"/>
            <w:noWrap/>
            <w:vAlign w:val="center"/>
            <w:hideMark/>
          </w:tcPr>
          <w:p w14:paraId="44E6D879" w14:textId="77777777" w:rsidR="00E42B18" w:rsidRDefault="009629C4">
            <w:pPr>
              <w:pStyle w:val="P68B1DB1-Normal11"/>
              <w:spacing w:before="120" w:after="120"/>
              <w:jc w:val="center"/>
              <w:rPr>
                <w:rFonts w:eastAsia="Calibri"/>
                <w:noProof/>
                <w:szCs w:val="20"/>
              </w:rPr>
            </w:pPr>
            <w:r>
              <w:rPr>
                <w:noProof/>
              </w:rPr>
              <w:t>EI OLE</w:t>
            </w:r>
          </w:p>
        </w:tc>
        <w:tc>
          <w:tcPr>
            <w:tcW w:w="1014" w:type="dxa"/>
            <w:shd w:val="clear" w:color="auto" w:fill="C6EFCE"/>
            <w:noWrap/>
            <w:vAlign w:val="center"/>
            <w:hideMark/>
          </w:tcPr>
          <w:p w14:paraId="670B80E8" w14:textId="77777777" w:rsidR="00E42B18" w:rsidRDefault="009629C4">
            <w:pPr>
              <w:pStyle w:val="P68B1DB1-Normal11"/>
              <w:spacing w:before="120" w:after="120"/>
              <w:jc w:val="center"/>
              <w:rPr>
                <w:rFonts w:eastAsia="Calibri"/>
                <w:noProof/>
                <w:szCs w:val="20"/>
              </w:rPr>
            </w:pPr>
            <w:r>
              <w:rPr>
                <w:noProof/>
              </w:rPr>
              <w:t>Q1</w:t>
            </w:r>
          </w:p>
        </w:tc>
        <w:tc>
          <w:tcPr>
            <w:tcW w:w="714" w:type="dxa"/>
            <w:shd w:val="clear" w:color="auto" w:fill="C6EFCE"/>
            <w:noWrap/>
            <w:vAlign w:val="center"/>
            <w:hideMark/>
          </w:tcPr>
          <w:p w14:paraId="3F5D3426" w14:textId="77777777" w:rsidR="00E42B18" w:rsidRDefault="009629C4">
            <w:pPr>
              <w:pStyle w:val="P68B1DB1-Normal11"/>
              <w:spacing w:before="120" w:after="120"/>
              <w:jc w:val="center"/>
              <w:rPr>
                <w:rFonts w:eastAsia="Calibri"/>
                <w:noProof/>
                <w:szCs w:val="20"/>
              </w:rPr>
            </w:pPr>
            <w:r>
              <w:rPr>
                <w:noProof/>
              </w:rPr>
              <w:t>2022</w:t>
            </w:r>
          </w:p>
        </w:tc>
        <w:tc>
          <w:tcPr>
            <w:tcW w:w="4184" w:type="dxa"/>
            <w:shd w:val="clear" w:color="auto" w:fill="C6EFCE"/>
            <w:noWrap/>
            <w:vAlign w:val="center"/>
            <w:hideMark/>
          </w:tcPr>
          <w:p w14:paraId="75A676E9" w14:textId="77777777" w:rsidR="00E42B18" w:rsidRDefault="009629C4">
            <w:pPr>
              <w:pStyle w:val="P68B1DB1-Normal11"/>
              <w:spacing w:before="120" w:after="120"/>
              <w:rPr>
                <w:rFonts w:eastAsia="Calibri"/>
                <w:noProof/>
                <w:szCs w:val="20"/>
              </w:rPr>
            </w:pPr>
            <w:r>
              <w:rPr>
                <w:noProof/>
              </w:rPr>
              <w:t>Toimintasuunnitelmassa, joka koskee asuntoja ensimmäisiä ja jälkiasemia koskevia hankkeita, määritellään vaatimukset hankkeille, joita paikalliset yhteisöt voivat esittää, ja käynnistetään ehdotuspyyntö.</w:t>
            </w:r>
          </w:p>
          <w:p w14:paraId="0E2CB212" w14:textId="77777777" w:rsidR="00E42B18" w:rsidRDefault="009629C4">
            <w:pPr>
              <w:pStyle w:val="P68B1DB1-Normal11"/>
              <w:spacing w:before="120" w:after="120"/>
              <w:rPr>
                <w:rFonts w:eastAsia="Calibri"/>
                <w:noProof/>
                <w:szCs w:val="20"/>
              </w:rPr>
            </w:pPr>
            <w:r>
              <w:rPr>
                <w:noProof/>
              </w:rPr>
              <w:t>Asunto ensin -hankkeiden mukaan paikalliset yksiköt tarjoavat asuntoja yksittäisille henkilöille, pienryhmille tai perheille enintään 24 kuukauden ajan mieluiten rakennusten kunnostamisen ja valtion omaisuuden kunnostamisen kautta. Tätä täydennetään kehittämis- ja autonomiaohjelmilla.</w:t>
            </w:r>
          </w:p>
          <w:p w14:paraId="63B825E4" w14:textId="77777777" w:rsidR="00E42B18" w:rsidRDefault="009629C4">
            <w:pPr>
              <w:pStyle w:val="P68B1DB1-Normal11"/>
              <w:spacing w:before="120" w:after="120"/>
              <w:rPr>
                <w:rFonts w:eastAsia="Calibri"/>
                <w:noProof/>
                <w:szCs w:val="20"/>
              </w:rPr>
            </w:pPr>
            <w:r>
              <w:rPr>
                <w:noProof/>
              </w:rPr>
              <w:t>Post-asemia koskevissa hankkeissa on tarkoitus kehittää asunnottomien palvelu- ja osallisuuskeskuksia. Tätä täydennetään työnvälitysohjelmilla yhteistyössä työvoimakeskusten kanssa.</w:t>
            </w:r>
          </w:p>
        </w:tc>
      </w:tr>
    </w:tbl>
    <w:p w14:paraId="5478DC16" w14:textId="77777777" w:rsidR="00E42B18" w:rsidRDefault="00E42B18">
      <w:pPr>
        <w:spacing w:before="120" w:after="120"/>
        <w:ind w:left="709"/>
        <w:jc w:val="both"/>
        <w:rPr>
          <w:noProof/>
        </w:rPr>
      </w:pPr>
    </w:p>
    <w:p w14:paraId="3BA026E3" w14:textId="77777777" w:rsidR="00E42B18" w:rsidRDefault="00E42B18">
      <w:pPr>
        <w:spacing w:before="120" w:after="120"/>
        <w:ind w:left="709"/>
        <w:jc w:val="both"/>
        <w:rPr>
          <w:noProof/>
        </w:rPr>
      </w:pPr>
    </w:p>
    <w:p w14:paraId="55E20963" w14:textId="77777777" w:rsidR="00E42B18" w:rsidRDefault="00E42B18">
      <w:pPr>
        <w:framePr w:w="19845" w:wrap="auto" w:hAnchor="text"/>
        <w:spacing w:before="120" w:after="120"/>
        <w:ind w:left="709"/>
        <w:jc w:val="both"/>
        <w:rPr>
          <w:noProof/>
        </w:rPr>
        <w:sectPr w:rsidR="00E42B18" w:rsidSect="005F11B9">
          <w:headerReference w:type="even" r:id="rId242"/>
          <w:headerReference w:type="default" r:id="rId243"/>
          <w:footerReference w:type="even" r:id="rId244"/>
          <w:footerReference w:type="default" r:id="rId245"/>
          <w:headerReference w:type="first" r:id="rId246"/>
          <w:footerReference w:type="first" r:id="rId247"/>
          <w:pgSz w:w="19051" w:h="11907" w:orient="landscape" w:code="9"/>
          <w:pgMar w:top="720" w:right="720" w:bottom="426" w:left="720" w:header="709" w:footer="709" w:gutter="0"/>
          <w:cols w:space="720"/>
          <w:docGrid w:linePitch="360"/>
        </w:sectPr>
      </w:pPr>
    </w:p>
    <w:p w14:paraId="5B8F05BC" w14:textId="77777777" w:rsidR="00E42B18" w:rsidRDefault="009629C4">
      <w:pPr>
        <w:pStyle w:val="P68B1DB1-Heading39"/>
        <w:numPr>
          <w:ilvl w:val="2"/>
          <w:numId w:val="0"/>
        </w:numPr>
        <w:ind w:left="850" w:hanging="850"/>
        <w:rPr>
          <w:b/>
          <w:i/>
          <w:noProof/>
          <w:color w:val="156082" w:themeColor="accent1"/>
          <w:u w:val="single"/>
        </w:rPr>
      </w:pPr>
      <w:r>
        <w:rPr>
          <w:b/>
          <w:noProof/>
          <w:u w:val="single"/>
        </w:rPr>
        <w:t xml:space="preserve">M.3 </w:t>
      </w:r>
      <w:r>
        <w:rPr>
          <w:noProof/>
        </w:rPr>
        <w:t xml:space="preserve"> </w:t>
      </w:r>
      <w:r>
        <w:rPr>
          <w:b/>
          <w:noProof/>
          <w:u w:val="single"/>
        </w:rPr>
        <w:t>Kuvaus lainamuotoisella tuella rahoitettavista uudistuksista ja investoinneista</w:t>
      </w:r>
    </w:p>
    <w:p w14:paraId="18DBF748" w14:textId="77777777" w:rsidR="00E42B18" w:rsidRDefault="009629C4">
      <w:pPr>
        <w:pStyle w:val="P68B1DB1-Normal5"/>
        <w:spacing w:before="120" w:after="120"/>
        <w:jc w:val="both"/>
        <w:rPr>
          <w:rFonts w:eastAsia="Calibri"/>
          <w:noProof/>
        </w:rPr>
      </w:pPr>
      <w:r>
        <w:rPr>
          <w:noProof/>
        </w:rPr>
        <w:t>Investointi 1 – Tuetaan haavoittuvassa asemassa olevia ihmisiä ja ehkäistään laitoshoitoa</w:t>
      </w:r>
    </w:p>
    <w:p w14:paraId="49AA53E8" w14:textId="0555E164" w:rsidR="00E42B18" w:rsidRDefault="009629C4">
      <w:pPr>
        <w:pStyle w:val="P68B1DB1-Normal7"/>
        <w:spacing w:before="120" w:after="120"/>
        <w:jc w:val="both"/>
        <w:rPr>
          <w:rFonts w:ascii="Arial Narrow" w:hAnsi="Arial Narrow"/>
          <w:noProof/>
          <w:color w:val="006100"/>
          <w:sz w:val="20"/>
          <w:szCs w:val="20"/>
        </w:rPr>
      </w:pPr>
      <w:r>
        <w:rPr>
          <w:noProof/>
        </w:rPr>
        <w:t xml:space="preserve">Tämän toimenpiteen tavoitteena on tukea haavoittuvassa asemassa olevia ihmisiä ja estää laitoshoidon syntyminen. Toimenpide koostuu haavoittuvassa asemassa olevia perheitä, lapsia, vanhuksia ja sosiaalityöntekijöitä koskevista toimenpiteistä vähintään 498:ssa Italian sosiaalipiirissä. </w:t>
      </w:r>
    </w:p>
    <w:p w14:paraId="2661C173" w14:textId="77777777" w:rsidR="00E42B18" w:rsidRDefault="009629C4">
      <w:pPr>
        <w:pStyle w:val="P68B1DB1-Normal5"/>
        <w:spacing w:before="120" w:after="120"/>
        <w:jc w:val="both"/>
        <w:rPr>
          <w:rFonts w:eastAsia="Calibri"/>
          <w:noProof/>
        </w:rPr>
      </w:pPr>
      <w:r>
        <w:rPr>
          <w:noProof/>
        </w:rPr>
        <w:t>Investointi 2 – Vammaisten itsehallintomallit</w:t>
      </w:r>
    </w:p>
    <w:p w14:paraId="0F472E46" w14:textId="77777777" w:rsidR="00E42B18" w:rsidRDefault="009629C4">
      <w:pPr>
        <w:pStyle w:val="P68B1DB1-Normal7"/>
        <w:spacing w:before="120" w:after="120"/>
        <w:jc w:val="both"/>
        <w:rPr>
          <w:noProof/>
        </w:rPr>
      </w:pPr>
      <w:r>
        <w:rPr>
          <w:noProof/>
        </w:rPr>
        <w:t>Tämän toimenpiteen tavoitteena on lisätä vammaisten itsenäisyyttä ja nopeuttaa laitoshoidosta luopumista. Toimenpide koostuu asuntojen tai kotiratkaisujen saatavuudesta sekä digitaaliteknologiasta ja koulutuksesta.</w:t>
      </w:r>
    </w:p>
    <w:p w14:paraId="38C6F092" w14:textId="77777777" w:rsidR="00E42B18" w:rsidRDefault="009629C4">
      <w:pPr>
        <w:pStyle w:val="P68B1DB1-Normal5"/>
        <w:spacing w:before="120" w:after="120"/>
        <w:jc w:val="both"/>
        <w:rPr>
          <w:bCs/>
          <w:noProof/>
        </w:rPr>
      </w:pPr>
      <w:r>
        <w:rPr>
          <w:noProof/>
        </w:rPr>
        <w:t>Investointi 3 – Asuminen ensimmäisessä asunnossa ja sen jälkeen</w:t>
      </w:r>
    </w:p>
    <w:p w14:paraId="4307F345" w14:textId="4AB4751F" w:rsidR="00E42B18" w:rsidRDefault="009629C4">
      <w:pPr>
        <w:pStyle w:val="P68B1DB1-Normal7"/>
        <w:spacing w:before="120" w:after="120"/>
        <w:jc w:val="both"/>
        <w:rPr>
          <w:noProof/>
        </w:rPr>
      </w:pPr>
      <w:r>
        <w:rPr>
          <w:noProof/>
        </w:rPr>
        <w:t xml:space="preserve">Tämän toimenpiteen tavoitteena on suojella ja tukea syrjäytyneiden osallisuutta. Toimenpide koostuu kahdentyyppisistä järjestelyistä: ”asunto ensin” -ratkaisut, joissa kunnat tarjoavat räätälöityjä hankkeita ja majoitusta yksityishenkilöille, pienille ryhmille tai perheille enintään 24 kuukauden ajan; sekä postiasemaratkaisut, jotka koostuvat asunnottomien palvelu- ja osallisuuskeskuksista, jotka tarjoavat keskeisiä palveluja, kuten perushyödykkeitä ja postinjakelua, aterioita ja terveydenhuoltoa. </w:t>
      </w:r>
    </w:p>
    <w:p w14:paraId="230C7CED" w14:textId="77777777" w:rsidR="00E42B18" w:rsidRDefault="009629C4">
      <w:pPr>
        <w:pStyle w:val="P68B1DB1-Normal5"/>
        <w:spacing w:before="120" w:after="120"/>
        <w:jc w:val="both"/>
        <w:rPr>
          <w:bCs/>
          <w:noProof/>
          <w:u w:val="single"/>
        </w:rPr>
      </w:pPr>
      <w:r>
        <w:rPr>
          <w:noProof/>
        </w:rPr>
        <w:t>Investointi 4 – Investoinnit kaupunkien elvyttämishankkeisiin, joilla pyritään vähentämään syrjäytymistilanteita ja sosiaalista huonontumista</w:t>
      </w:r>
    </w:p>
    <w:p w14:paraId="3121684A" w14:textId="77777777" w:rsidR="00E42B18" w:rsidRDefault="009629C4">
      <w:pPr>
        <w:pStyle w:val="P68B1DB1-Normal7"/>
        <w:spacing w:before="120" w:after="120"/>
        <w:jc w:val="both"/>
        <w:rPr>
          <w:rFonts w:eastAsia="Calibri"/>
          <w:noProof/>
        </w:rPr>
      </w:pPr>
      <w:r>
        <w:rPr>
          <w:noProof/>
        </w:rPr>
        <w:t>Toimenpiteen tavoitteena on vähentää syrjäytymistä ja sosiaalista huonontumista parantamalla kuntien sosiaalista ja ympäristöön liittyvää laatua sekä sosiaali- ja kulttuuripalvelujen saatavuutta. Toimenpide koostuu julkisten tilojen ja rakennusten kunnostamisesta, uudelleenkäytöstä ja käyttötarkoituksen muuttamisesta.</w:t>
      </w:r>
    </w:p>
    <w:p w14:paraId="69AAB0B4" w14:textId="77777777" w:rsidR="00E42B18" w:rsidRDefault="009629C4">
      <w:pPr>
        <w:pStyle w:val="P68B1DB1-Normal5"/>
        <w:spacing w:before="120" w:after="120"/>
        <w:jc w:val="both"/>
        <w:rPr>
          <w:rFonts w:eastAsia="Calibri"/>
          <w:noProof/>
        </w:rPr>
      </w:pPr>
      <w:r>
        <w:rPr>
          <w:noProof/>
        </w:rPr>
        <w:t>Investointi 5 – Kaupunkien integraatiosuunnitelmat (yleiset hankkeet ja laittomien asuinalueiden torjunta työvoiman hyväksikäytön torjumiseksi maataloudessa)</w:t>
      </w:r>
    </w:p>
    <w:p w14:paraId="5449D0B7" w14:textId="77777777" w:rsidR="00E42B18" w:rsidRDefault="009629C4">
      <w:pPr>
        <w:pStyle w:val="P68B1DB1-Normal7"/>
        <w:spacing w:before="120" w:after="120"/>
        <w:jc w:val="both"/>
        <w:rPr>
          <w:noProof/>
        </w:rPr>
      </w:pPr>
      <w:r>
        <w:rPr>
          <w:noProof/>
        </w:rPr>
        <w:t>Tämän toimenpiteen tavoitteena on elvyttää suuria rappeutuneita kaupunkialueita. Investointiin sisältyy kolmentyyppisiä toimia: Yhdennettyihin kaupunkisuunnitelmiin sisältyvät yleiset hankkeet, joissa keskitytään julkisten alueiden ja rakennusten kunnossapitoon ja uudelleenkäyttöön sekä vajaakäytössä olevien tai käyttämättömien kaupunkialueiden elvyttämiseen; II) maataloustyöntekijöiden asumisratkaisut laittomien asutusalueiden voittamiseksi; III) temaattinen rahasto (rahastojen rahasto), jolla kannustetaan yhteistyössä EIP:n kanssa yksityisiä investointeja kaupunkialueiden elvyttämisaloitteisiin, joilla tuetaan ilmastosiirtymää ja digitaalista muutosta.</w:t>
      </w:r>
    </w:p>
    <w:p w14:paraId="2ED8E8D4" w14:textId="77777777" w:rsidR="00E42B18" w:rsidRDefault="009629C4">
      <w:pPr>
        <w:pStyle w:val="P68B1DB1-Normal5"/>
        <w:spacing w:before="120" w:after="120"/>
        <w:jc w:val="both"/>
        <w:rPr>
          <w:rFonts w:eastAsia="Calibri"/>
          <w:noProof/>
        </w:rPr>
      </w:pPr>
      <w:r>
        <w:rPr>
          <w:noProof/>
        </w:rPr>
        <w:t>Investointi 6 – Asumisen laatua koskeva innovatiivinen suunnitelma</w:t>
      </w:r>
    </w:p>
    <w:p w14:paraId="5268D984" w14:textId="0BEE28B7" w:rsidR="00E42B18" w:rsidRDefault="009629C4">
      <w:pPr>
        <w:pStyle w:val="P68B1DB1-Normal7"/>
        <w:spacing w:before="120" w:after="120"/>
        <w:jc w:val="both"/>
        <w:rPr>
          <w:noProof/>
        </w:rPr>
      </w:pPr>
      <w:r>
        <w:rPr>
          <w:noProof/>
        </w:rPr>
        <w:t xml:space="preserve">Tämän toimenpiteen tavoitteena on parantaa julkisten asuntojen laatua tai määrää ja kunnostaa huonontuneita alueita. Investointi koostuu seuraavista: I) julkisten asuntojen perusparantaminen (mukaan lukien energiatehokkuustoimet) ja laajentaminen; II) kaupunkialueiden sekä julkisten ja yksityisten kiinteistöjen elvyttäminen; III) kaupunkialueiden saavutettavuuden ja turvallisuuden sekä palvelujen tarjoamisen edistäminen. </w:t>
      </w:r>
    </w:p>
    <w:p w14:paraId="1B6D8841" w14:textId="77777777" w:rsidR="00E42B18" w:rsidRDefault="009629C4">
      <w:pPr>
        <w:pStyle w:val="P68B1DB1-Normal5"/>
        <w:spacing w:before="120" w:after="120"/>
        <w:jc w:val="both"/>
        <w:rPr>
          <w:rFonts w:eastAsia="Calibri"/>
          <w:noProof/>
        </w:rPr>
      </w:pPr>
      <w:r>
        <w:rPr>
          <w:noProof/>
        </w:rPr>
        <w:t>Investointi 7 – Urheilu ja sosiaalinen osallisuus</w:t>
      </w:r>
    </w:p>
    <w:p w14:paraId="5410DD49" w14:textId="7EB5E912" w:rsidR="00E42B18" w:rsidRDefault="009629C4">
      <w:pPr>
        <w:pStyle w:val="P68B1DB1-Normal7"/>
        <w:spacing w:before="120" w:after="120"/>
        <w:jc w:val="both"/>
        <w:rPr>
          <w:noProof/>
        </w:rPr>
        <w:sectPr w:rsidR="00E42B18" w:rsidSect="005F11B9">
          <w:headerReference w:type="even" r:id="rId248"/>
          <w:headerReference w:type="default" r:id="rId249"/>
          <w:footerReference w:type="even" r:id="rId250"/>
          <w:footerReference w:type="default" r:id="rId251"/>
          <w:headerReference w:type="first" r:id="rId252"/>
          <w:footerReference w:type="first" r:id="rId253"/>
          <w:pgSz w:w="11907" w:h="16839"/>
          <w:pgMar w:top="1134" w:right="1417" w:bottom="1134" w:left="1417" w:header="709" w:footer="709" w:gutter="0"/>
          <w:cols w:space="720"/>
          <w:docGrid w:linePitch="360"/>
        </w:sectPr>
      </w:pPr>
      <w:r>
        <w:rPr>
          <w:noProof/>
        </w:rPr>
        <w:t xml:space="preserve">Tämän toimenpiteen tavoitteena on elvyttää kaupunkialueilla sijaitsevia urheilutiloja ja niiden hirviöitä. Investoinnilla tuetaan urheilutilojen rakentamista, elvyttämistä ja kunnostamista. </w:t>
      </w:r>
    </w:p>
    <w:p w14:paraId="260611C9" w14:textId="77777777" w:rsidR="00E42B18" w:rsidRDefault="009629C4">
      <w:pPr>
        <w:pStyle w:val="P68B1DB1-Heading39"/>
        <w:numPr>
          <w:ilvl w:val="2"/>
          <w:numId w:val="0"/>
        </w:numPr>
        <w:ind w:left="850" w:hanging="850"/>
        <w:rPr>
          <w:b/>
          <w:i/>
          <w:noProof/>
          <w:u w:val="single"/>
        </w:rPr>
      </w:pPr>
      <w:r>
        <w:rPr>
          <w:b/>
          <w:noProof/>
          <w:u w:val="single"/>
        </w:rPr>
        <w:t xml:space="preserve">M.4 </w:t>
      </w:r>
      <w:r>
        <w:rPr>
          <w:noProof/>
        </w:rPr>
        <w:t xml:space="preserve"> </w:t>
      </w:r>
      <w:r>
        <w:rPr>
          <w:b/>
          <w:noProof/>
          <w:u w:val="single"/>
        </w:rPr>
        <w:t>Lainamuotoisen tuen seurantaa ja täytäntöönpanoa koskevat välitavoitteet, tavoitteet, indikaattorit ja aikataulu</w:t>
      </w:r>
    </w:p>
    <w:tbl>
      <w:tblPr>
        <w:tblW w:w="17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1803"/>
        <w:gridCol w:w="1611"/>
        <w:gridCol w:w="2231"/>
        <w:gridCol w:w="1876"/>
        <w:gridCol w:w="1700"/>
        <w:gridCol w:w="1191"/>
        <w:gridCol w:w="1204"/>
        <w:gridCol w:w="991"/>
        <w:gridCol w:w="797"/>
        <w:gridCol w:w="3163"/>
      </w:tblGrid>
      <w:tr w:rsidR="00E42B18" w14:paraId="3F80A29D" w14:textId="77777777">
        <w:trPr>
          <w:trHeight w:val="300"/>
          <w:tblHeader/>
          <w:jc w:val="center"/>
        </w:trPr>
        <w:tc>
          <w:tcPr>
            <w:tcW w:w="1315" w:type="dxa"/>
            <w:vMerge w:val="restart"/>
            <w:shd w:val="clear" w:color="auto" w:fill="BDD7EE"/>
            <w:vAlign w:val="center"/>
            <w:hideMark/>
          </w:tcPr>
          <w:p w14:paraId="51E524CF" w14:textId="77777777" w:rsidR="00E42B18" w:rsidRDefault="009629C4">
            <w:pPr>
              <w:pStyle w:val="P68B1DB1-Normal102"/>
              <w:jc w:val="center"/>
              <w:rPr>
                <w:noProof/>
                <w:szCs w:val="20"/>
              </w:rPr>
            </w:pPr>
            <w:r>
              <w:rPr>
                <w:noProof/>
              </w:rPr>
              <w:t>Juokseva numero</w:t>
            </w:r>
          </w:p>
        </w:tc>
        <w:tc>
          <w:tcPr>
            <w:tcW w:w="1759" w:type="dxa"/>
            <w:vMerge w:val="restart"/>
            <w:shd w:val="clear" w:color="auto" w:fill="BDD7EE"/>
            <w:vAlign w:val="center"/>
            <w:hideMark/>
          </w:tcPr>
          <w:p w14:paraId="5EC1FC67" w14:textId="77777777" w:rsidR="00E42B18" w:rsidRDefault="009629C4">
            <w:pPr>
              <w:pStyle w:val="P68B1DB1-Normal102"/>
              <w:jc w:val="center"/>
              <w:rPr>
                <w:noProof/>
                <w:szCs w:val="20"/>
              </w:rPr>
            </w:pPr>
            <w:r>
              <w:rPr>
                <w:noProof/>
              </w:rPr>
              <w:t>Toimenpide (uudistus tai investointi)</w:t>
            </w:r>
          </w:p>
        </w:tc>
        <w:tc>
          <w:tcPr>
            <w:tcW w:w="1388" w:type="dxa"/>
            <w:vMerge w:val="restart"/>
            <w:shd w:val="clear" w:color="auto" w:fill="BDD7EE"/>
            <w:vAlign w:val="center"/>
            <w:hideMark/>
          </w:tcPr>
          <w:p w14:paraId="52FCE823" w14:textId="5D0B59D9" w:rsidR="00E42B18" w:rsidRDefault="009629C4">
            <w:pPr>
              <w:pStyle w:val="P68B1DB1-Normal102"/>
              <w:jc w:val="center"/>
              <w:rPr>
                <w:noProof/>
                <w:szCs w:val="20"/>
              </w:rPr>
            </w:pPr>
            <w:r>
              <w:rPr>
                <w:noProof/>
              </w:rPr>
              <w:t>Välitavoite/tavoite</w:t>
            </w:r>
          </w:p>
        </w:tc>
        <w:tc>
          <w:tcPr>
            <w:tcW w:w="1731" w:type="dxa"/>
            <w:vMerge w:val="restart"/>
            <w:shd w:val="clear" w:color="auto" w:fill="BDD7EE"/>
            <w:vAlign w:val="center"/>
            <w:hideMark/>
          </w:tcPr>
          <w:p w14:paraId="4B62760F" w14:textId="77777777" w:rsidR="00E42B18" w:rsidRDefault="009629C4">
            <w:pPr>
              <w:pStyle w:val="P68B1DB1-Normal102"/>
              <w:jc w:val="center"/>
              <w:rPr>
                <w:noProof/>
                <w:szCs w:val="20"/>
              </w:rPr>
            </w:pPr>
            <w:r>
              <w:rPr>
                <w:noProof/>
              </w:rPr>
              <w:t>Nimi</w:t>
            </w:r>
          </w:p>
        </w:tc>
        <w:tc>
          <w:tcPr>
            <w:tcW w:w="1559" w:type="dxa"/>
            <w:vMerge w:val="restart"/>
            <w:shd w:val="clear" w:color="auto" w:fill="BDD7EE"/>
            <w:vAlign w:val="center"/>
            <w:hideMark/>
          </w:tcPr>
          <w:p w14:paraId="1B57F425" w14:textId="77777777" w:rsidR="00E42B18" w:rsidRDefault="009629C4">
            <w:pPr>
              <w:pStyle w:val="P68B1DB1-Normal102"/>
              <w:jc w:val="center"/>
              <w:rPr>
                <w:noProof/>
                <w:szCs w:val="20"/>
              </w:rPr>
            </w:pPr>
            <w:r>
              <w:rPr>
                <w:noProof/>
              </w:rPr>
              <w:t>Laadulliset indikaattorit (välitavoitteiden osalta)</w:t>
            </w:r>
          </w:p>
        </w:tc>
        <w:tc>
          <w:tcPr>
            <w:tcW w:w="4548" w:type="dxa"/>
            <w:gridSpan w:val="3"/>
            <w:shd w:val="clear" w:color="auto" w:fill="BDD7EE"/>
            <w:vAlign w:val="center"/>
            <w:hideMark/>
          </w:tcPr>
          <w:p w14:paraId="183DE8FD" w14:textId="77777777" w:rsidR="00E42B18" w:rsidRDefault="009629C4">
            <w:pPr>
              <w:pStyle w:val="P68B1DB1-Normal102"/>
              <w:jc w:val="center"/>
              <w:rPr>
                <w:noProof/>
                <w:szCs w:val="20"/>
              </w:rPr>
            </w:pPr>
            <w:r>
              <w:rPr>
                <w:noProof/>
              </w:rPr>
              <w:t>Määrälliset indikaattorit (tavoitteiden osalta)</w:t>
            </w:r>
          </w:p>
        </w:tc>
        <w:tc>
          <w:tcPr>
            <w:tcW w:w="1855" w:type="dxa"/>
            <w:gridSpan w:val="2"/>
            <w:shd w:val="clear" w:color="auto" w:fill="BDD7EE"/>
            <w:vAlign w:val="center"/>
            <w:hideMark/>
          </w:tcPr>
          <w:p w14:paraId="1A1FF892" w14:textId="77777777" w:rsidR="00E42B18" w:rsidRDefault="009629C4">
            <w:pPr>
              <w:pStyle w:val="P68B1DB1-Normal102"/>
              <w:jc w:val="center"/>
              <w:rPr>
                <w:noProof/>
                <w:szCs w:val="20"/>
              </w:rPr>
            </w:pPr>
            <w:r>
              <w:rPr>
                <w:noProof/>
              </w:rPr>
              <w:t>Alustava toteutusaikataulu</w:t>
            </w:r>
          </w:p>
        </w:tc>
        <w:tc>
          <w:tcPr>
            <w:tcW w:w="3603" w:type="dxa"/>
            <w:vMerge w:val="restart"/>
            <w:shd w:val="clear" w:color="auto" w:fill="BDD7EE"/>
            <w:vAlign w:val="center"/>
            <w:hideMark/>
          </w:tcPr>
          <w:p w14:paraId="578FB787" w14:textId="77777777" w:rsidR="00E42B18" w:rsidRDefault="009629C4">
            <w:pPr>
              <w:pStyle w:val="P68B1DB1-Normal102"/>
              <w:jc w:val="center"/>
              <w:rPr>
                <w:noProof/>
                <w:szCs w:val="20"/>
              </w:rPr>
            </w:pPr>
            <w:r>
              <w:rPr>
                <w:noProof/>
              </w:rPr>
              <w:t>Kunkin välitavoitteen ja tavoitteen kuvaus</w:t>
            </w:r>
          </w:p>
        </w:tc>
      </w:tr>
      <w:tr w:rsidR="00E42B18" w14:paraId="5564F7C4" w14:textId="77777777">
        <w:trPr>
          <w:trHeight w:val="300"/>
          <w:tblHeader/>
          <w:jc w:val="center"/>
        </w:trPr>
        <w:tc>
          <w:tcPr>
            <w:tcW w:w="1315" w:type="dxa"/>
            <w:vMerge/>
            <w:vAlign w:val="center"/>
            <w:hideMark/>
          </w:tcPr>
          <w:p w14:paraId="44EB4271" w14:textId="77777777" w:rsidR="00E42B18" w:rsidRDefault="00E42B18">
            <w:pPr>
              <w:jc w:val="center"/>
              <w:rPr>
                <w:rFonts w:ascii="Arial Narrow" w:hAnsi="Arial Narrow"/>
                <w:b/>
                <w:noProof/>
                <w:color w:val="000000"/>
                <w:sz w:val="20"/>
                <w:szCs w:val="20"/>
              </w:rPr>
            </w:pPr>
          </w:p>
        </w:tc>
        <w:tc>
          <w:tcPr>
            <w:tcW w:w="1759" w:type="dxa"/>
            <w:vMerge/>
            <w:vAlign w:val="center"/>
            <w:hideMark/>
          </w:tcPr>
          <w:p w14:paraId="1060C7FD" w14:textId="77777777" w:rsidR="00E42B18" w:rsidRDefault="00E42B18">
            <w:pPr>
              <w:jc w:val="center"/>
              <w:rPr>
                <w:rFonts w:ascii="Arial Narrow" w:hAnsi="Arial Narrow"/>
                <w:b/>
                <w:noProof/>
                <w:color w:val="000000"/>
                <w:sz w:val="20"/>
                <w:szCs w:val="20"/>
              </w:rPr>
            </w:pPr>
          </w:p>
        </w:tc>
        <w:tc>
          <w:tcPr>
            <w:tcW w:w="1388" w:type="dxa"/>
            <w:vMerge/>
            <w:vAlign w:val="center"/>
            <w:hideMark/>
          </w:tcPr>
          <w:p w14:paraId="6BE4EDB4" w14:textId="77777777" w:rsidR="00E42B18" w:rsidRDefault="00E42B18">
            <w:pPr>
              <w:jc w:val="center"/>
              <w:rPr>
                <w:rFonts w:ascii="Arial Narrow" w:hAnsi="Arial Narrow"/>
                <w:b/>
                <w:noProof/>
                <w:color w:val="000000"/>
                <w:sz w:val="20"/>
                <w:szCs w:val="20"/>
              </w:rPr>
            </w:pPr>
          </w:p>
        </w:tc>
        <w:tc>
          <w:tcPr>
            <w:tcW w:w="1731" w:type="dxa"/>
            <w:vMerge/>
            <w:vAlign w:val="center"/>
            <w:hideMark/>
          </w:tcPr>
          <w:p w14:paraId="48800674" w14:textId="77777777" w:rsidR="00E42B18" w:rsidRDefault="00E42B18">
            <w:pPr>
              <w:jc w:val="center"/>
              <w:rPr>
                <w:rFonts w:ascii="Arial Narrow" w:hAnsi="Arial Narrow"/>
                <w:b/>
                <w:noProof/>
                <w:color w:val="000000"/>
                <w:sz w:val="20"/>
                <w:szCs w:val="20"/>
              </w:rPr>
            </w:pPr>
          </w:p>
        </w:tc>
        <w:tc>
          <w:tcPr>
            <w:tcW w:w="1559" w:type="dxa"/>
            <w:vMerge/>
            <w:vAlign w:val="center"/>
            <w:hideMark/>
          </w:tcPr>
          <w:p w14:paraId="728477EA" w14:textId="77777777" w:rsidR="00E42B18" w:rsidRDefault="00E42B18">
            <w:pPr>
              <w:jc w:val="center"/>
              <w:rPr>
                <w:rFonts w:ascii="Arial Narrow" w:hAnsi="Arial Narrow"/>
                <w:b/>
                <w:noProof/>
                <w:color w:val="000000"/>
                <w:sz w:val="20"/>
                <w:szCs w:val="20"/>
              </w:rPr>
            </w:pPr>
          </w:p>
        </w:tc>
        <w:tc>
          <w:tcPr>
            <w:tcW w:w="2187" w:type="dxa"/>
            <w:shd w:val="clear" w:color="auto" w:fill="BDD7EE"/>
            <w:vAlign w:val="center"/>
            <w:hideMark/>
          </w:tcPr>
          <w:p w14:paraId="5EF93BCD" w14:textId="77777777" w:rsidR="00E42B18" w:rsidRDefault="009629C4">
            <w:pPr>
              <w:pStyle w:val="P68B1DB1-Normal102"/>
              <w:jc w:val="center"/>
              <w:rPr>
                <w:noProof/>
                <w:szCs w:val="20"/>
              </w:rPr>
            </w:pPr>
            <w:r>
              <w:rPr>
                <w:noProof/>
              </w:rPr>
              <w:t>Mitta-yksikkö</w:t>
            </w:r>
          </w:p>
        </w:tc>
        <w:tc>
          <w:tcPr>
            <w:tcW w:w="1039" w:type="dxa"/>
            <w:shd w:val="clear" w:color="auto" w:fill="BDD7EE"/>
            <w:vAlign w:val="center"/>
            <w:hideMark/>
          </w:tcPr>
          <w:p w14:paraId="1A78019D" w14:textId="77777777" w:rsidR="00E42B18" w:rsidRDefault="009629C4">
            <w:pPr>
              <w:pStyle w:val="P68B1DB1-Normal102"/>
              <w:jc w:val="center"/>
              <w:rPr>
                <w:noProof/>
                <w:szCs w:val="20"/>
              </w:rPr>
            </w:pPr>
            <w:r>
              <w:rPr>
                <w:noProof/>
              </w:rPr>
              <w:t>Lähtötilanne</w:t>
            </w:r>
          </w:p>
        </w:tc>
        <w:tc>
          <w:tcPr>
            <w:tcW w:w="1322" w:type="dxa"/>
            <w:shd w:val="clear" w:color="auto" w:fill="BDD7EE"/>
            <w:vAlign w:val="center"/>
            <w:hideMark/>
          </w:tcPr>
          <w:p w14:paraId="08E2AB39" w14:textId="77777777" w:rsidR="00E42B18" w:rsidRDefault="009629C4">
            <w:pPr>
              <w:pStyle w:val="P68B1DB1-Normal102"/>
              <w:jc w:val="center"/>
              <w:rPr>
                <w:noProof/>
                <w:szCs w:val="20"/>
              </w:rPr>
            </w:pPr>
            <w:r>
              <w:rPr>
                <w:noProof/>
              </w:rPr>
              <w:t>Päämäärä</w:t>
            </w:r>
          </w:p>
        </w:tc>
        <w:tc>
          <w:tcPr>
            <w:tcW w:w="980" w:type="dxa"/>
            <w:shd w:val="clear" w:color="auto" w:fill="BDD7EE"/>
            <w:vAlign w:val="center"/>
            <w:hideMark/>
          </w:tcPr>
          <w:p w14:paraId="7ACF4C3F" w14:textId="77777777" w:rsidR="00E42B18" w:rsidRDefault="009629C4">
            <w:pPr>
              <w:pStyle w:val="P68B1DB1-Normal102"/>
              <w:jc w:val="center"/>
              <w:rPr>
                <w:noProof/>
                <w:szCs w:val="20"/>
              </w:rPr>
            </w:pPr>
            <w:r>
              <w:rPr>
                <w:noProof/>
              </w:rPr>
              <w:t>Neljännes</w:t>
            </w:r>
          </w:p>
        </w:tc>
        <w:tc>
          <w:tcPr>
            <w:tcW w:w="875" w:type="dxa"/>
            <w:shd w:val="clear" w:color="auto" w:fill="BDD7EE"/>
            <w:vAlign w:val="center"/>
            <w:hideMark/>
          </w:tcPr>
          <w:p w14:paraId="7DAD02F8" w14:textId="77777777" w:rsidR="00E42B18" w:rsidRDefault="009629C4">
            <w:pPr>
              <w:pStyle w:val="P68B1DB1-Normal102"/>
              <w:jc w:val="center"/>
              <w:rPr>
                <w:noProof/>
                <w:szCs w:val="20"/>
              </w:rPr>
            </w:pPr>
            <w:r>
              <w:rPr>
                <w:noProof/>
              </w:rPr>
              <w:t>Vuosi</w:t>
            </w:r>
          </w:p>
        </w:tc>
        <w:tc>
          <w:tcPr>
            <w:tcW w:w="3603" w:type="dxa"/>
            <w:vMerge/>
            <w:vAlign w:val="center"/>
            <w:hideMark/>
          </w:tcPr>
          <w:p w14:paraId="7157EE7C" w14:textId="77777777" w:rsidR="00E42B18" w:rsidRDefault="00E42B18">
            <w:pPr>
              <w:rPr>
                <w:rFonts w:ascii="Arial Narrow" w:hAnsi="Arial Narrow"/>
                <w:b/>
                <w:noProof/>
                <w:color w:val="000000"/>
                <w:sz w:val="20"/>
                <w:szCs w:val="20"/>
              </w:rPr>
            </w:pPr>
          </w:p>
        </w:tc>
      </w:tr>
      <w:tr w:rsidR="00E42B18" w14:paraId="5408B55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1D8209A0" w14:textId="77777777" w:rsidR="00E42B18" w:rsidRDefault="009629C4">
            <w:pPr>
              <w:pStyle w:val="P68B1DB1-Normal12"/>
              <w:spacing w:before="120" w:after="120"/>
              <w:jc w:val="center"/>
              <w:rPr>
                <w:noProof/>
              </w:rPr>
            </w:pPr>
            <w:r>
              <w:rPr>
                <w:noProof/>
              </w:rPr>
              <w:t>M5C2–6</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20B7F66D" w14:textId="77777777" w:rsidR="00E42B18" w:rsidRDefault="009629C4">
            <w:pPr>
              <w:pStyle w:val="P68B1DB1-Normal11"/>
              <w:spacing w:before="120" w:after="120"/>
              <w:jc w:val="center"/>
              <w:rPr>
                <w:noProof/>
              </w:rPr>
            </w:pPr>
            <w:r>
              <w:rPr>
                <w:noProof/>
              </w:rPr>
              <w:t>Investointi 1 – Tuetaan haavoittuvassa asemassa olevia ihmisiä ja ehkäistään laitoshoitoa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4C756905" w14:textId="77777777" w:rsidR="00E42B18" w:rsidRDefault="009629C4">
            <w:pPr>
              <w:pStyle w:val="P68B1DB1-Normal12"/>
              <w:spacing w:before="120" w:after="120"/>
              <w:jc w:val="center"/>
              <w:rPr>
                <w:noProof/>
              </w:rPr>
            </w:pPr>
            <w:r>
              <w:rPr>
                <w:noProof/>
              </w:rPr>
              <w:t>Kohde</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4F4AD236" w14:textId="23BB56C5" w:rsidR="00E42B18" w:rsidRDefault="009629C4">
            <w:pPr>
              <w:pStyle w:val="P68B1DB1-Normal11"/>
              <w:spacing w:before="120" w:after="120"/>
              <w:jc w:val="center"/>
              <w:rPr>
                <w:noProof/>
              </w:rPr>
            </w:pPr>
            <w:r>
              <w:rPr>
                <w:noProof/>
              </w:rPr>
              <w:t xml:space="preserve">Toimet heikossa asemassa olevien ihmisten tukemiseksi sosiaalialueilla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46F42F4" w14:textId="77777777" w:rsidR="00E42B18" w:rsidRDefault="009629C4">
            <w:pPr>
              <w:pStyle w:val="P68B1DB1-Normal11"/>
              <w:spacing w:before="120" w:after="120"/>
              <w:jc w:val="center"/>
              <w:rPr>
                <w:noProof/>
              </w:rPr>
            </w:pPr>
            <w:r>
              <w:rPr>
                <w:noProof/>
              </w:rPr>
              <w:t>EI OLE</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3B683C3E" w14:textId="77777777" w:rsidR="00E42B18" w:rsidRDefault="009629C4">
            <w:pPr>
              <w:pStyle w:val="P68B1DB1-Normal12"/>
              <w:spacing w:before="120" w:after="120"/>
              <w:jc w:val="center"/>
              <w:rPr>
                <w:noProof/>
              </w:rPr>
            </w:pPr>
            <w:r>
              <w:rPr>
                <w:noProof/>
              </w:rPr>
              <w:t>Numero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28DBF9CE" w14:textId="77777777" w:rsidR="00E42B18" w:rsidRDefault="009629C4">
            <w:pPr>
              <w:pStyle w:val="P68B1DB1-Normal11"/>
              <w:spacing w:before="120" w:after="120"/>
              <w:jc w:val="center"/>
              <w:rPr>
                <w:noProof/>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A0B212A" w14:textId="77777777" w:rsidR="00E42B18" w:rsidRDefault="009629C4">
            <w:pPr>
              <w:pStyle w:val="P68B1DB1-Normal12"/>
              <w:spacing w:before="120" w:after="120"/>
              <w:jc w:val="center"/>
              <w:rPr>
                <w:noProof/>
              </w:rPr>
            </w:pPr>
            <w:r>
              <w:rPr>
                <w:noProof/>
              </w:rPr>
              <w:t>498</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38040D1E" w14:textId="77777777" w:rsidR="00E42B18" w:rsidRDefault="009629C4">
            <w:pPr>
              <w:pStyle w:val="P68B1DB1-Normal11"/>
              <w:spacing w:before="120" w:after="120"/>
              <w:jc w:val="center"/>
              <w:rPr>
                <w:noProof/>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0E780EF8" w14:textId="77777777" w:rsidR="00E42B18" w:rsidRDefault="009629C4">
            <w:pPr>
              <w:pStyle w:val="P68B1DB1-Normal11"/>
              <w:spacing w:before="120" w:after="120"/>
              <w:jc w:val="center"/>
              <w:rPr>
                <w:noProof/>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2EE2F61E" w14:textId="50A92375" w:rsidR="00E42B18" w:rsidRDefault="009629C4">
            <w:pPr>
              <w:pStyle w:val="P68B1DB1-Normal12"/>
              <w:spacing w:before="120" w:after="120"/>
              <w:rPr>
                <w:noProof/>
              </w:rPr>
            </w:pPr>
            <w:r>
              <w:rPr>
                <w:noProof/>
              </w:rPr>
              <w:t>Vähintään 498 sosiaalipiirin on saatettava päätökseen vähintään yksi seuraavista toimista: I) haavoittuvassa asemassa olevien perheiden ja lasten tukeminen; II) ikääntyneiden itsenäisen elämän tukeminen; III) kotiin liittyvien sosiaalipalvelujen tarjoaminen varhaisen tuetun päästön takaamiseksi ja sairaalahoidon estämiseksi; IV) sosiaalityöntekijöiden tukeminen.</w:t>
            </w:r>
          </w:p>
        </w:tc>
      </w:tr>
      <w:tr w:rsidR="00E42B18" w14:paraId="7C2BB841"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6D20A4C9" w14:textId="77777777" w:rsidR="00E42B18" w:rsidRDefault="009629C4">
            <w:pPr>
              <w:pStyle w:val="P68B1DB1-Normal12"/>
              <w:spacing w:before="120" w:after="120"/>
              <w:jc w:val="center"/>
              <w:rPr>
                <w:noProof/>
              </w:rPr>
            </w:pPr>
            <w:r>
              <w:rPr>
                <w:noProof/>
              </w:rPr>
              <w:t>M5C2–8</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185EB459" w14:textId="77777777" w:rsidR="00E42B18" w:rsidRDefault="009629C4">
            <w:pPr>
              <w:pStyle w:val="P68B1DB1-Normal11"/>
              <w:spacing w:before="120" w:after="120"/>
              <w:jc w:val="center"/>
              <w:rPr>
                <w:noProof/>
              </w:rPr>
            </w:pPr>
            <w:r>
              <w:rPr>
                <w:noProof/>
              </w:rPr>
              <w:t>Investointi 2 – Vammaisten itsehallintomallit</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04398198" w14:textId="77777777" w:rsidR="00E42B18" w:rsidRDefault="009629C4">
            <w:pPr>
              <w:pStyle w:val="P68B1DB1-Normal11"/>
              <w:spacing w:before="120" w:after="120"/>
              <w:jc w:val="center"/>
              <w:rPr>
                <w:noProof/>
              </w:rPr>
            </w:pPr>
            <w:r>
              <w:rPr>
                <w:noProof/>
              </w:rPr>
              <w:t>Kohde</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2D2D4DBB" w14:textId="77777777" w:rsidR="00E42B18" w:rsidRDefault="009629C4">
            <w:pPr>
              <w:pStyle w:val="P68B1DB1-Normal11"/>
              <w:spacing w:before="120" w:after="120"/>
              <w:jc w:val="center"/>
              <w:rPr>
                <w:noProof/>
              </w:rPr>
            </w:pPr>
            <w:r>
              <w:rPr>
                <w:noProof/>
              </w:rPr>
              <w:t>Tuensaajat ovat saaneet kotitilan ja/tai tieto- ja viestintäteknisten laitteiden kunnostuksen ja siihen liittyvän digitaalisia taitoja koskevan koulutuksen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E0BCA89" w14:textId="77777777" w:rsidR="00E42B18" w:rsidRDefault="009629C4">
            <w:pPr>
              <w:pStyle w:val="P68B1DB1-Normal11"/>
              <w:spacing w:before="120" w:after="120"/>
              <w:jc w:val="center"/>
              <w:rPr>
                <w:noProof/>
              </w:rPr>
            </w:pPr>
            <w:r>
              <w:rPr>
                <w:noProof/>
              </w:rPr>
              <w:t>EI OLE</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6565CE2C" w14:textId="77777777" w:rsidR="00E42B18" w:rsidRDefault="009629C4">
            <w:pPr>
              <w:pStyle w:val="P68B1DB1-Normal11"/>
              <w:spacing w:before="120" w:after="120"/>
              <w:jc w:val="center"/>
              <w:rPr>
                <w:noProof/>
              </w:rPr>
            </w:pPr>
            <w:r>
              <w:rPr>
                <w:noProof/>
              </w:rPr>
              <w:t>Numero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0DA3571D" w14:textId="77777777" w:rsidR="00E42B18" w:rsidRDefault="009629C4">
            <w:pPr>
              <w:pStyle w:val="P68B1DB1-Normal11"/>
              <w:spacing w:before="120" w:after="120"/>
              <w:jc w:val="center"/>
              <w:rPr>
                <w:noProof/>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4E51A0F1" w14:textId="1FE5D36E" w:rsidR="00E42B18" w:rsidRDefault="009629C4">
            <w:pPr>
              <w:pStyle w:val="P68B1DB1-Normal12"/>
              <w:spacing w:before="120" w:after="120"/>
              <w:jc w:val="center"/>
              <w:rPr>
                <w:noProof/>
              </w:rPr>
            </w:pPr>
            <w:r>
              <w:rPr>
                <w:noProof/>
              </w:rPr>
              <w:t>3 120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2C981A3D" w14:textId="77777777" w:rsidR="00E42B18" w:rsidRDefault="009629C4">
            <w:pPr>
              <w:pStyle w:val="P68B1DB1-Normal11"/>
              <w:spacing w:before="120" w:after="120"/>
              <w:jc w:val="center"/>
              <w:rPr>
                <w:noProof/>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62336415" w14:textId="77777777" w:rsidR="00E42B18" w:rsidRDefault="009629C4">
            <w:pPr>
              <w:pStyle w:val="P68B1DB1-Normal11"/>
              <w:spacing w:before="120" w:after="120"/>
              <w:jc w:val="center"/>
              <w:rPr>
                <w:noProof/>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6893763C" w14:textId="4EECD9BC" w:rsidR="00E42B18" w:rsidRDefault="009629C4">
            <w:pPr>
              <w:pStyle w:val="P68B1DB1-Normal12"/>
              <w:spacing w:before="120" w:after="120"/>
              <w:rPr>
                <w:noProof/>
              </w:rPr>
            </w:pPr>
            <w:r>
              <w:rPr>
                <w:noProof/>
              </w:rPr>
              <w:t>Kotitilaa on kunnostettu ja/tai tieto- ja viestintäteknisiä laitteita on toimitettu vähintään 3120 edunsaajalle. Tieto- ja viestintäteknisiä laitteita vastaanottavien edunsaajien on myös osallistuttava digitaalisia taitoja koskevaan koulutukseen.</w:t>
            </w:r>
          </w:p>
        </w:tc>
      </w:tr>
      <w:tr w:rsidR="00E42B18" w14:paraId="61B872D7"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34489B5C" w14:textId="77777777" w:rsidR="00E42B18" w:rsidRDefault="009629C4">
            <w:pPr>
              <w:pStyle w:val="P68B1DB1-Normal12"/>
              <w:spacing w:before="120" w:after="120"/>
              <w:jc w:val="center"/>
              <w:rPr>
                <w:noProof/>
              </w:rPr>
            </w:pPr>
            <w:r>
              <w:rPr>
                <w:noProof/>
              </w:rPr>
              <w:t>M5C2–10</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607CFB1A" w14:textId="77777777" w:rsidR="00E42B18" w:rsidRDefault="009629C4">
            <w:pPr>
              <w:pStyle w:val="P68B1DB1-Normal11"/>
              <w:spacing w:before="120" w:after="120"/>
              <w:jc w:val="center"/>
              <w:rPr>
                <w:noProof/>
              </w:rPr>
            </w:pPr>
            <w:r>
              <w:rPr>
                <w:noProof/>
              </w:rPr>
              <w:t>Investointi 3 – Asuminen ensimmäisessä asunnossa ja sen jälkeen</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35B9F6C1" w14:textId="77777777" w:rsidR="00E42B18" w:rsidRDefault="009629C4">
            <w:pPr>
              <w:pStyle w:val="P68B1DB1-Normal11"/>
              <w:spacing w:before="120" w:after="120"/>
              <w:jc w:val="center"/>
              <w:rPr>
                <w:noProof/>
              </w:rPr>
            </w:pPr>
            <w:r>
              <w:rPr>
                <w:noProof/>
              </w:rPr>
              <w:t>Kohde</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3A3C0994" w14:textId="555AF164" w:rsidR="00E42B18" w:rsidRDefault="009629C4">
            <w:pPr>
              <w:pStyle w:val="P68B1DB1-Normal12"/>
              <w:spacing w:before="120" w:after="120"/>
              <w:jc w:val="center"/>
              <w:rPr>
                <w:noProof/>
              </w:rPr>
            </w:pPr>
            <w:r>
              <w:rPr>
                <w:noProof/>
              </w:rPr>
              <w:t>Ensimmäis- ja post-asemia koskevat hankkeet</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2C4846D6" w14:textId="77777777" w:rsidR="00E42B18" w:rsidRDefault="009629C4">
            <w:pPr>
              <w:pStyle w:val="P68B1DB1-Normal11"/>
              <w:spacing w:before="120" w:after="120"/>
              <w:jc w:val="center"/>
              <w:rPr>
                <w:noProof/>
              </w:rPr>
            </w:pPr>
            <w:r>
              <w:rPr>
                <w:noProof/>
              </w:rPr>
              <w:t>EI OLE</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6BD251F0" w14:textId="77777777" w:rsidR="00E42B18" w:rsidRDefault="009629C4">
            <w:pPr>
              <w:pStyle w:val="P68B1DB1-Normal11"/>
              <w:spacing w:before="120" w:after="120"/>
              <w:jc w:val="center"/>
              <w:rPr>
                <w:noProof/>
              </w:rPr>
            </w:pPr>
            <w:r>
              <w:rPr>
                <w:noProof/>
              </w:rPr>
              <w:t>Numero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7E9E47FD" w14:textId="77777777" w:rsidR="00E42B18" w:rsidRDefault="009629C4">
            <w:pPr>
              <w:pStyle w:val="P68B1DB1-Normal11"/>
              <w:spacing w:before="120" w:after="120"/>
              <w:jc w:val="center"/>
              <w:rPr>
                <w:noProof/>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93CB304" w14:textId="77777777" w:rsidR="00E42B18" w:rsidRDefault="009629C4">
            <w:pPr>
              <w:pStyle w:val="P68B1DB1-Normal12"/>
              <w:spacing w:before="120" w:after="120"/>
              <w:jc w:val="center"/>
              <w:rPr>
                <w:noProof/>
              </w:rPr>
            </w:pPr>
            <w:r>
              <w:rPr>
                <w:noProof/>
              </w:rPr>
              <w:t>12 364</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48AC6EE7" w14:textId="77777777" w:rsidR="00E42B18" w:rsidRDefault="009629C4">
            <w:pPr>
              <w:pStyle w:val="P68B1DB1-Normal11"/>
              <w:spacing w:before="120" w:after="120"/>
              <w:jc w:val="center"/>
              <w:rPr>
                <w:noProof/>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1A277494" w14:textId="77777777" w:rsidR="00E42B18" w:rsidRDefault="009629C4">
            <w:pPr>
              <w:pStyle w:val="P68B1DB1-Normal11"/>
              <w:spacing w:before="120" w:after="120"/>
              <w:jc w:val="center"/>
              <w:rPr>
                <w:noProof/>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76B01160" w14:textId="77777777" w:rsidR="00E42B18" w:rsidRDefault="009629C4">
            <w:pPr>
              <w:pStyle w:val="P68B1DB1-Normal12"/>
              <w:spacing w:before="120" w:after="120"/>
              <w:rPr>
                <w:noProof/>
              </w:rPr>
            </w:pPr>
            <w:r>
              <w:rPr>
                <w:noProof/>
              </w:rPr>
              <w:t xml:space="preserve">Asumisen osalta allekirjoitettiin 1318 yksilöllistä hanketta ( </w:t>
            </w:r>
            <w:r>
              <w:rPr>
                <w:i/>
                <w:noProof/>
              </w:rPr>
              <w:t>”progetto personalizzato”), joissa</w:t>
            </w:r>
            <w:r>
              <w:rPr>
                <w:noProof/>
              </w:rPr>
              <w:t xml:space="preserve"> vahvistettiin, että tilapäismajoituksen kesto oli vähintään kuusi ja enintään 24 kuukautta. Lisäksi kustakin tuensaajasta on toimitettava todistus asianomaisen hankkeen infrastruktuuriin liittyvien töiden valmistumisesta.</w:t>
            </w:r>
          </w:p>
          <w:p w14:paraId="5B97983E" w14:textId="77777777" w:rsidR="00E42B18" w:rsidRDefault="009629C4">
            <w:pPr>
              <w:pStyle w:val="P68B1DB1-Normal12"/>
              <w:spacing w:before="120" w:after="120"/>
              <w:rPr>
                <w:noProof/>
              </w:rPr>
            </w:pPr>
            <w:r>
              <w:rPr>
                <w:noProof/>
              </w:rPr>
              <w:t xml:space="preserve">Postiasemien osalta allekirjoittivat 11046 yksittäistä hanketta ( </w:t>
            </w:r>
            <w:r>
              <w:rPr>
                <w:i/>
                <w:noProof/>
              </w:rPr>
              <w:t>”progetto personalizzato”), joilla todistetaan</w:t>
            </w:r>
            <w:r>
              <w:rPr>
                <w:noProof/>
              </w:rPr>
              <w:t>, että palvelu on tarjottu. Kustakin tuensaajasta on toimitettava myös todistus asianomaisen hankkeen infrastruktuuriin liittyvien töiden valmistumisesta.</w:t>
            </w:r>
          </w:p>
        </w:tc>
      </w:tr>
      <w:tr w:rsidR="00E42B18" w14:paraId="4497645A"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C1A86A8" w14:textId="77777777" w:rsidR="00E42B18" w:rsidRDefault="009629C4">
            <w:pPr>
              <w:pStyle w:val="P68B1DB1-Normal11"/>
              <w:spacing w:before="120" w:after="120"/>
              <w:jc w:val="center"/>
              <w:rPr>
                <w:rFonts w:eastAsia="Calibri"/>
                <w:noProof/>
                <w:szCs w:val="20"/>
              </w:rPr>
            </w:pPr>
            <w:r>
              <w:rPr>
                <w:noProof/>
              </w:rPr>
              <w:t>M5C2–11</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0ACD218" w14:textId="77777777" w:rsidR="00E42B18" w:rsidRDefault="009629C4">
            <w:pPr>
              <w:pStyle w:val="P68B1DB1-Normal11"/>
              <w:spacing w:before="120" w:after="120"/>
              <w:jc w:val="center"/>
              <w:rPr>
                <w:rFonts w:eastAsia="Calibri"/>
                <w:noProof/>
                <w:szCs w:val="20"/>
              </w:rPr>
            </w:pPr>
            <w:r>
              <w:rPr>
                <w:noProof/>
              </w:rPr>
              <w:t>Investointi 4 – Investoinnit kaupunkien elvyttämishankkeisiin, joilla pyritään vähentämään syrjäytymistilanteita ja sosiaalista huonontumista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104AE53" w14:textId="77777777" w:rsidR="00E42B18" w:rsidRDefault="009629C4">
            <w:pPr>
              <w:pStyle w:val="P68B1DB1-Normal11"/>
              <w:spacing w:before="120" w:after="120"/>
              <w:jc w:val="center"/>
              <w:rPr>
                <w:rFonts w:eastAsia="Calibri"/>
                <w:noProof/>
                <w:szCs w:val="20"/>
              </w:rPr>
            </w:pPr>
            <w:r>
              <w:rPr>
                <w:noProof/>
              </w:rPr>
              <w:t>Virstanpylväs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A06431" w14:textId="77777777" w:rsidR="00E42B18" w:rsidRDefault="009629C4">
            <w:pPr>
              <w:pStyle w:val="P68B1DB1-Normal11"/>
              <w:spacing w:before="120" w:after="120"/>
              <w:jc w:val="center"/>
              <w:rPr>
                <w:rFonts w:eastAsia="Calibri"/>
                <w:noProof/>
                <w:szCs w:val="20"/>
              </w:rPr>
            </w:pPr>
            <w:r>
              <w:rPr>
                <w:noProof/>
              </w:rPr>
              <w:t>Kaikkien julkisten hankintasopimusten tekeminen kaupunkien elvyttämiseen tehtävistä investoinneista marginalisoitumistilanteiden ja sosiaalisen tilan heikkenemisen vähentämiseksi, elpymis- ja palautumistukivälineen tavoitteiden, mukaan lukien ”ei merkittävää haittaa” -periaate, mukaisten hankkeiden kanssa</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33094EC" w14:textId="77777777" w:rsidR="00E42B18" w:rsidRDefault="009629C4">
            <w:pPr>
              <w:pStyle w:val="P68B1DB1-Normal11"/>
              <w:spacing w:before="120" w:after="120"/>
              <w:jc w:val="center"/>
              <w:rPr>
                <w:rFonts w:eastAsia="Calibri"/>
                <w:noProof/>
                <w:szCs w:val="20"/>
              </w:rPr>
            </w:pPr>
            <w:r>
              <w:rPr>
                <w:noProof/>
              </w:rPr>
              <w:t>Ilmoitus kaikista julkisista sopimuksista, jotka koskevat investointeja kaupunkialueiden elvyttämiseen syrjäytymisen ja sosiaalisen tilan heikkenemisen vähentämiseksi, elpymis- ja palautumistukivälineen tavoitteiden, mukaan lukien ”ei merkittävää haittaa” -periaate, mukaisten hankkeiden yhteydessä</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9CE1BDE" w14:textId="77777777" w:rsidR="00E42B18" w:rsidRDefault="009629C4">
            <w:pPr>
              <w:pStyle w:val="P68B1DB1-Normal11"/>
              <w:spacing w:before="120" w:after="120"/>
              <w:jc w:val="center"/>
              <w:rPr>
                <w:rFonts w:eastAsia="Calibri"/>
                <w:noProof/>
                <w:szCs w:val="20"/>
              </w:rPr>
            </w:pPr>
            <w:r>
              <w:rPr>
                <w:noProof/>
              </w:rPr>
              <w:t>EI OLE</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0FF055" w14:textId="77777777" w:rsidR="00E42B18" w:rsidRDefault="009629C4">
            <w:pPr>
              <w:pStyle w:val="P68B1DB1-Normal11"/>
              <w:spacing w:before="120" w:after="120"/>
              <w:jc w:val="center"/>
              <w:rPr>
                <w:rFonts w:eastAsia="Calibri"/>
                <w:noProof/>
                <w:szCs w:val="20"/>
              </w:rPr>
            </w:pPr>
            <w:r>
              <w:rPr>
                <w:noProof/>
              </w:rPr>
              <w:t>EI OLE</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583E12B" w14:textId="77777777" w:rsidR="00E42B18" w:rsidRDefault="009629C4">
            <w:pPr>
              <w:pStyle w:val="P68B1DB1-Normal11"/>
              <w:spacing w:before="120" w:after="120"/>
              <w:jc w:val="center"/>
              <w:rPr>
                <w:rFonts w:eastAsia="Calibri"/>
                <w:noProof/>
                <w:szCs w:val="20"/>
              </w:rPr>
            </w:pPr>
            <w:r>
              <w:rPr>
                <w:noProof/>
              </w:rPr>
              <w:t>EI OLE</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F6204DD" w14:textId="77777777" w:rsidR="00E42B18" w:rsidRDefault="009629C4">
            <w:pPr>
              <w:pStyle w:val="P68B1DB1-Normal11"/>
              <w:spacing w:before="120" w:after="120"/>
              <w:jc w:val="center"/>
              <w:rPr>
                <w:rFonts w:eastAsia="Calibri"/>
                <w:noProof/>
                <w:szCs w:val="20"/>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616EBE" w14:textId="77777777" w:rsidR="00E42B18" w:rsidRDefault="009629C4">
            <w:pPr>
              <w:pStyle w:val="P68B1DB1-Normal11"/>
              <w:spacing w:before="120" w:after="120"/>
              <w:jc w:val="center"/>
              <w:rPr>
                <w:rFonts w:eastAsia="Calibri"/>
                <w:noProof/>
                <w:szCs w:val="20"/>
              </w:rPr>
            </w:pPr>
            <w:r>
              <w:rPr>
                <w:noProof/>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AE274C4" w14:textId="77777777" w:rsidR="00E42B18" w:rsidRDefault="009629C4">
            <w:pPr>
              <w:spacing w:before="120" w:after="120"/>
              <w:rPr>
                <w:rFonts w:ascii="Arial Narrow" w:eastAsia="Calibri" w:hAnsi="Arial Narrow"/>
                <w:noProof/>
                <w:color w:val="006100"/>
                <w:sz w:val="20"/>
                <w:szCs w:val="20"/>
              </w:rPr>
            </w:pPr>
            <w:r>
              <w:rPr>
                <w:rFonts w:ascii="Arial Narrow" w:hAnsi="Arial Narrow"/>
                <w:noProof/>
                <w:color w:val="006100"/>
                <w:sz w:val="20"/>
              </w:rPr>
              <w:t>Ilmoitus kaikista julkisista hankintasopimuksista, jotka on tehty vähintään 300 kunnalle, joiden asukas on yli 15000</w:t>
            </w:r>
            <w:r>
              <w:rPr>
                <w:noProof/>
                <w:sz w:val="23"/>
                <w:szCs w:val="23"/>
              </w:rPr>
              <w:t xml:space="preserve"> </w:t>
            </w:r>
            <w:r>
              <w:rPr>
                <w:rFonts w:ascii="Arial Narrow" w:hAnsi="Arial Narrow"/>
                <w:noProof/>
                <w:color w:val="006100"/>
                <w:sz w:val="20"/>
              </w:rPr>
              <w:t>asukasta ja jotka koskevat investointeja kaupunkialueiden elvyttämiseen syrjäytymisen ja sosiaalisen tilan heikkenemisen vähentämiseksi. Hankkeet ovat elpymis- ja palautumistukivälineen tavoitteiden mukaisia, mukaan lukien ”ei merkittävää haittaa” -periaate.</w:t>
            </w:r>
          </w:p>
          <w:p w14:paraId="5CA68C3F" w14:textId="77777777" w:rsidR="00E42B18" w:rsidRDefault="009629C4">
            <w:pPr>
              <w:spacing w:before="120" w:after="120"/>
              <w:rPr>
                <w:rFonts w:ascii="Arial Narrow" w:eastAsia="Calibri" w:hAnsi="Arial Narrow"/>
                <w:noProof/>
                <w:color w:val="006100"/>
                <w:sz w:val="20"/>
                <w:szCs w:val="20"/>
              </w:rPr>
            </w:pPr>
            <w:r>
              <w:rPr>
                <w:rFonts w:ascii="Arial Narrow" w:hAnsi="Arial Narrow"/>
                <w:noProof/>
                <w:color w:val="006100"/>
                <w:sz w:val="20"/>
              </w:rPr>
              <w:t>Avustukset myönnetään yli 15000 asukkaan kunnille, jotka eivät ole maakuntien pääkaupunkeja, maakunnallisia pääkaupunkeja tai suurkaupunkien pääkaupunkeja.</w:t>
            </w:r>
          </w:p>
          <w:p w14:paraId="7C5F2F44" w14:textId="77777777" w:rsidR="00E42B18" w:rsidRDefault="009629C4">
            <w:pPr>
              <w:pStyle w:val="P68B1DB1-Normal11"/>
              <w:spacing w:before="120" w:after="120"/>
              <w:rPr>
                <w:rFonts w:eastAsia="Calibri"/>
                <w:noProof/>
                <w:szCs w:val="20"/>
              </w:rPr>
            </w:pPr>
            <w:r>
              <w:rPr>
                <w:noProof/>
              </w:rPr>
              <w:t>Kaupunkisukupolven hankkeiden on koostuttava vähintään yhdestä seuraavista toimista:</w:t>
            </w:r>
          </w:p>
          <w:p w14:paraId="6AA5307F" w14:textId="77777777" w:rsidR="00E42B18" w:rsidRDefault="009629C4">
            <w:pPr>
              <w:pStyle w:val="P68B1DB1-ListParagraph15"/>
              <w:numPr>
                <w:ilvl w:val="0"/>
                <w:numId w:val="95"/>
              </w:numPr>
              <w:spacing w:before="120" w:after="120" w:line="278" w:lineRule="auto"/>
              <w:ind w:left="357" w:hanging="357"/>
              <w:contextualSpacing w:val="0"/>
              <w:jc w:val="both"/>
              <w:rPr>
                <w:rFonts w:eastAsia="Calibri"/>
                <w:noProof/>
                <w:szCs w:val="20"/>
              </w:rPr>
            </w:pPr>
            <w:r>
              <w:rPr>
                <w:noProof/>
              </w:rPr>
              <w:t>Julkisten tilojen ja olemassa olevien julkisten rakennusrakenteiden uudelleenkäyttö ja uudelleenaktivointi yleisen edun mukaisiin tarkoituksiin, mukaan lukien yksityishenkilöiden tekemien loukkaavien töiden purkaminen rakennusluvasta ja asiaankuuluvien alueiden järjestelystä poikkeaessa kokonaan tai kokonaan;</w:t>
            </w:r>
          </w:p>
          <w:p w14:paraId="5E426E72" w14:textId="77777777" w:rsidR="00E42B18" w:rsidRDefault="009629C4">
            <w:pPr>
              <w:pStyle w:val="P68B1DB1-ListParagraph15"/>
              <w:numPr>
                <w:ilvl w:val="0"/>
                <w:numId w:val="95"/>
              </w:numPr>
              <w:spacing w:before="120" w:after="120" w:line="278" w:lineRule="auto"/>
              <w:ind w:left="357" w:hanging="357"/>
              <w:contextualSpacing w:val="0"/>
              <w:jc w:val="both"/>
              <w:rPr>
                <w:rFonts w:eastAsia="Calibri"/>
                <w:noProof/>
                <w:szCs w:val="20"/>
              </w:rPr>
            </w:pPr>
            <w:r>
              <w:rPr>
                <w:noProof/>
              </w:rPr>
              <w:t>Kaupunkimaiseman sekä yhteiskunta- ja ympäristörakenteen laadun parantaminen, mukaan lukien julkisten rakennusten kunnostaminen, kiinnittäen erityistä huomiota sosiaali-, kulttuuri-, koulutus- ja opetuspalvelujen kehittämiseen;</w:t>
            </w:r>
          </w:p>
          <w:p w14:paraId="35940459" w14:textId="77777777" w:rsidR="00E42B18" w:rsidRDefault="009629C4">
            <w:pPr>
              <w:pStyle w:val="P68B1DB1-ListParagraph15"/>
              <w:numPr>
                <w:ilvl w:val="0"/>
                <w:numId w:val="95"/>
              </w:numPr>
              <w:spacing w:before="120" w:after="120" w:line="278" w:lineRule="auto"/>
              <w:ind w:left="357" w:hanging="357"/>
              <w:contextualSpacing w:val="0"/>
              <w:jc w:val="both"/>
              <w:rPr>
                <w:rFonts w:eastAsia="Calibri"/>
                <w:noProof/>
                <w:szCs w:val="20"/>
              </w:rPr>
            </w:pPr>
            <w:r>
              <w:rPr>
                <w:noProof/>
              </w:rPr>
              <w:t>Vihreät, kestävät ja älykkäät liikennehankkeet.</w:t>
            </w:r>
          </w:p>
          <w:p w14:paraId="0A77AA9E" w14:textId="77777777" w:rsidR="00E42B18" w:rsidRDefault="009629C4">
            <w:pPr>
              <w:pStyle w:val="P68B1DB1-Normal11"/>
              <w:spacing w:before="120" w:after="120"/>
              <w:rPr>
                <w:rFonts w:eastAsia="Calibri"/>
                <w:noProof/>
                <w:szCs w:val="20"/>
              </w:rPr>
            </w:pPr>
            <w:r>
              <w:rPr>
                <w:noProof/>
              </w:rPr>
              <w:t>Kuntakohtaiset enimmäismäärät ovat seuraavat:</w:t>
            </w:r>
          </w:p>
          <w:p w14:paraId="2BD93289" w14:textId="77777777" w:rsidR="00E42B18" w:rsidRDefault="009629C4">
            <w:pPr>
              <w:spacing w:before="120" w:after="120"/>
              <w:rPr>
                <w:rFonts w:ascii="Arial Narrow" w:eastAsia="Calibri" w:hAnsi="Arial Narrow"/>
                <w:noProof/>
                <w:color w:val="006100"/>
                <w:sz w:val="20"/>
                <w:szCs w:val="20"/>
              </w:rPr>
            </w:pPr>
            <w:r>
              <w:rPr>
                <w:rFonts w:ascii="Arial Narrow" w:hAnsi="Arial Narrow"/>
                <w:noProof/>
                <w:color w:val="006100"/>
                <w:sz w:val="20"/>
              </w:rPr>
              <w:t>5000000 euroa</w:t>
            </w:r>
            <w:r>
              <w:rPr>
                <w:noProof/>
                <w:sz w:val="23"/>
                <w:szCs w:val="23"/>
              </w:rPr>
              <w:t xml:space="preserve"> </w:t>
            </w:r>
            <w:r>
              <w:rPr>
                <w:rFonts w:ascii="Arial Narrow" w:hAnsi="Arial Narrow"/>
                <w:noProof/>
                <w:color w:val="006100"/>
                <w:sz w:val="20"/>
              </w:rPr>
              <w:t xml:space="preserve"> kunnille, joiden asukasluku on 15000</w:t>
            </w:r>
            <w:r>
              <w:rPr>
                <w:noProof/>
                <w:sz w:val="23"/>
                <w:szCs w:val="23"/>
              </w:rPr>
              <w:t xml:space="preserve"> </w:t>
            </w:r>
            <w:r>
              <w:rPr>
                <w:rFonts w:ascii="Arial Narrow" w:hAnsi="Arial Narrow"/>
                <w:noProof/>
                <w:color w:val="006100"/>
                <w:sz w:val="20"/>
              </w:rPr>
              <w:t>–49999</w:t>
            </w:r>
            <w:r>
              <w:rPr>
                <w:noProof/>
                <w:sz w:val="23"/>
                <w:szCs w:val="23"/>
              </w:rPr>
              <w:t xml:space="preserve"> </w:t>
            </w:r>
            <w:r>
              <w:rPr>
                <w:rFonts w:ascii="Arial Narrow" w:hAnsi="Arial Narrow"/>
                <w:noProof/>
                <w:color w:val="006100"/>
                <w:sz w:val="20"/>
              </w:rPr>
              <w:t>asukasta;</w:t>
            </w:r>
          </w:p>
          <w:p w14:paraId="46748205" w14:textId="77777777" w:rsidR="00E42B18" w:rsidRDefault="009629C4">
            <w:pPr>
              <w:spacing w:before="120" w:after="120"/>
              <w:rPr>
                <w:rFonts w:ascii="Arial Narrow" w:eastAsia="Calibri" w:hAnsi="Arial Narrow"/>
                <w:noProof/>
                <w:color w:val="006100"/>
                <w:sz w:val="20"/>
                <w:szCs w:val="20"/>
              </w:rPr>
            </w:pPr>
            <w:r>
              <w:rPr>
                <w:rFonts w:ascii="Arial Narrow" w:hAnsi="Arial Narrow"/>
                <w:noProof/>
                <w:color w:val="006100"/>
                <w:sz w:val="20"/>
              </w:rPr>
              <w:t xml:space="preserve"> 10000000 euroa kunnille, joiden asukasluku on 50000– 100000</w:t>
            </w:r>
            <w:r>
              <w:rPr>
                <w:noProof/>
                <w:sz w:val="23"/>
                <w:szCs w:val="23"/>
              </w:rPr>
              <w:t xml:space="preserve"> </w:t>
            </w:r>
            <w:r>
              <w:rPr>
                <w:rFonts w:ascii="Arial Narrow" w:hAnsi="Arial Narrow"/>
                <w:noProof/>
                <w:color w:val="006100"/>
                <w:sz w:val="20"/>
              </w:rPr>
              <w:t>asukasta;</w:t>
            </w:r>
          </w:p>
          <w:p w14:paraId="7EACC1E5" w14:textId="77777777" w:rsidR="00E42B18" w:rsidRDefault="009629C4">
            <w:pPr>
              <w:spacing w:before="120" w:after="120"/>
              <w:rPr>
                <w:rFonts w:ascii="Arial Narrow" w:eastAsia="Calibri" w:hAnsi="Arial Narrow"/>
                <w:noProof/>
                <w:color w:val="006100"/>
                <w:sz w:val="20"/>
                <w:szCs w:val="20"/>
              </w:rPr>
            </w:pPr>
            <w:r>
              <w:rPr>
                <w:rFonts w:ascii="Arial Narrow" w:hAnsi="Arial Narrow"/>
                <w:noProof/>
                <w:color w:val="006100"/>
                <w:sz w:val="20"/>
              </w:rPr>
              <w:t>20000000 euroa</w:t>
            </w:r>
            <w:r>
              <w:rPr>
                <w:noProof/>
                <w:sz w:val="23"/>
                <w:szCs w:val="23"/>
              </w:rPr>
              <w:t xml:space="preserve"> </w:t>
            </w:r>
            <w:r>
              <w:rPr>
                <w:rFonts w:ascii="Arial Narrow" w:hAnsi="Arial Narrow"/>
                <w:noProof/>
                <w:color w:val="006100"/>
                <w:sz w:val="20"/>
              </w:rPr>
              <w:t>kunnille, joiden asukasluku on yli 100000</w:t>
            </w:r>
            <w:r>
              <w:rPr>
                <w:noProof/>
                <w:sz w:val="23"/>
                <w:szCs w:val="23"/>
              </w:rPr>
              <w:t xml:space="preserve"> </w:t>
            </w:r>
            <w:r>
              <w:rPr>
                <w:rFonts w:ascii="Arial Narrow" w:hAnsi="Arial Narrow"/>
                <w:noProof/>
                <w:color w:val="006100"/>
                <w:sz w:val="20"/>
              </w:rPr>
              <w:t>asukasta, sekä kunnille, jotka ovat maakunnallisia pääkaupunkeja tai suurkaupunkialueita.</w:t>
            </w:r>
          </w:p>
        </w:tc>
      </w:tr>
      <w:tr w:rsidR="00E42B18" w14:paraId="3403ECE3"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F1BBC4" w14:textId="77777777" w:rsidR="00E42B18" w:rsidRDefault="009629C4">
            <w:pPr>
              <w:pStyle w:val="P68B1DB1-Normal12"/>
              <w:jc w:val="center"/>
              <w:rPr>
                <w:noProof/>
                <w:highlight w:val="yellow"/>
              </w:rPr>
            </w:pPr>
            <w:r>
              <w:rPr>
                <w:noProof/>
              </w:rPr>
              <w:t>M5C2–12</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BD3DB3" w14:textId="77777777" w:rsidR="00E42B18" w:rsidRDefault="009629C4">
            <w:pPr>
              <w:pStyle w:val="P68B1DB1-Normal11"/>
              <w:jc w:val="center"/>
              <w:rPr>
                <w:noProof/>
                <w:szCs w:val="20"/>
              </w:rPr>
            </w:pPr>
            <w:r>
              <w:rPr>
                <w:noProof/>
              </w:rPr>
              <w:t>Investointi 4 – Investoinnit kaupunkien elvyttämishankkeisiin, joilla pyritään vähentämään syrjäytymistilanteita ja sosiaalista huonontumista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8F4BA4A" w14:textId="77777777" w:rsidR="00E42B18" w:rsidRDefault="009629C4">
            <w:pPr>
              <w:pStyle w:val="P68B1DB1-Normal11"/>
              <w:jc w:val="center"/>
              <w:rPr>
                <w:noProof/>
                <w:szCs w:val="20"/>
              </w:rPr>
            </w:pPr>
            <w:r>
              <w:rPr>
                <w:noProof/>
              </w:rPr>
              <w:t>Kohde</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F9BA6EA" w14:textId="77777777" w:rsidR="00E42B18" w:rsidRDefault="009629C4">
            <w:pPr>
              <w:pStyle w:val="P68B1DB1-Normal12"/>
              <w:jc w:val="center"/>
              <w:rPr>
                <w:noProof/>
              </w:rPr>
            </w:pPr>
            <w:r>
              <w:rPr>
                <w:noProof/>
              </w:rPr>
              <w:t xml:space="preserve">Kaupunkialueiden elvyttämistoimia koskevien hankkeiden loppuun saattaminen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15F266A" w14:textId="77777777" w:rsidR="00E42B18" w:rsidRDefault="009629C4">
            <w:pPr>
              <w:pStyle w:val="P68B1DB1-Normal11"/>
              <w:jc w:val="center"/>
              <w:rPr>
                <w:noProof/>
                <w:szCs w:val="20"/>
              </w:rPr>
            </w:pPr>
            <w:r>
              <w:rPr>
                <w:noProof/>
              </w:rPr>
              <w:t>EI OLE</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518E52" w14:textId="77777777" w:rsidR="00E42B18" w:rsidRDefault="009629C4">
            <w:pPr>
              <w:pStyle w:val="P68B1DB1-Normal11"/>
              <w:jc w:val="center"/>
              <w:rPr>
                <w:noProof/>
                <w:szCs w:val="20"/>
              </w:rPr>
            </w:pPr>
            <w:r>
              <w:rPr>
                <w:noProof/>
              </w:rPr>
              <w:t>Numero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5CDA326" w14:textId="77777777" w:rsidR="00E42B18" w:rsidRDefault="009629C4">
            <w:pPr>
              <w:pStyle w:val="P68B1DB1-Normal11"/>
              <w:jc w:val="center"/>
              <w:rPr>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CF8CDF4"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1</w:t>
            </w:r>
            <w:r>
              <w:rPr>
                <w:noProof/>
                <w:sz w:val="23"/>
                <w:szCs w:val="23"/>
              </w:rPr>
              <w:t xml:space="preserve"> </w:t>
            </w:r>
            <w:r>
              <w:rPr>
                <w:rFonts w:ascii="Arial Narrow" w:hAnsi="Arial Narrow"/>
                <w:noProof/>
                <w:color w:val="006100"/>
                <w:sz w:val="20"/>
              </w:rPr>
              <w:t>080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0021215" w14:textId="77777777" w:rsidR="00E42B18" w:rsidRDefault="009629C4">
            <w:pPr>
              <w:pStyle w:val="P68B1DB1-Normal11"/>
              <w:jc w:val="center"/>
              <w:rPr>
                <w:noProof/>
                <w:szCs w:val="20"/>
              </w:rPr>
            </w:pPr>
            <w:r>
              <w:rPr>
                <w:noProof/>
              </w:rPr>
              <w:t>Q2</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7CA6FE" w14:textId="77777777" w:rsidR="00E42B18" w:rsidRDefault="009629C4">
            <w:pPr>
              <w:pStyle w:val="P68B1DB1-Normal11"/>
              <w:jc w:val="center"/>
              <w:rPr>
                <w:noProof/>
                <w:szCs w:val="20"/>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B1F1F63" w14:textId="77777777" w:rsidR="00E42B18" w:rsidRDefault="009629C4">
            <w:pPr>
              <w:rPr>
                <w:rFonts w:ascii="Arial Narrow" w:hAnsi="Arial Narrow"/>
                <w:noProof/>
                <w:color w:val="006100"/>
                <w:sz w:val="20"/>
                <w:szCs w:val="20"/>
              </w:rPr>
            </w:pPr>
            <w:r>
              <w:rPr>
                <w:rFonts w:ascii="Arial Narrow" w:hAnsi="Arial Narrow"/>
                <w:noProof/>
                <w:color w:val="006100"/>
                <w:sz w:val="20"/>
                <w:szCs w:val="20"/>
              </w:rPr>
              <w:t>Todistus töiden valmistumisesta vähintään 1080 hankkeessa, joiden pinta-ala on vähintään 1000000</w:t>
            </w:r>
            <w:r>
              <w:rPr>
                <w:noProof/>
                <w:sz w:val="23"/>
                <w:szCs w:val="23"/>
              </w:rPr>
              <w:t xml:space="preserve"> neliömetriä. </w:t>
            </w:r>
          </w:p>
        </w:tc>
      </w:tr>
      <w:tr w:rsidR="00E42B18" w14:paraId="790FA9FE"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5A384BA" w14:textId="77777777" w:rsidR="00E42B18" w:rsidRDefault="009629C4">
            <w:pPr>
              <w:pStyle w:val="P68B1DB1-Normal11"/>
              <w:jc w:val="center"/>
              <w:rPr>
                <w:noProof/>
                <w:szCs w:val="20"/>
              </w:rPr>
            </w:pPr>
            <w:r>
              <w:rPr>
                <w:noProof/>
              </w:rPr>
              <w:t>M5C2–13</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D279941" w14:textId="77777777" w:rsidR="00E42B18" w:rsidRDefault="009629C4">
            <w:pPr>
              <w:pStyle w:val="P68B1DB1-Normal11"/>
              <w:jc w:val="center"/>
              <w:rPr>
                <w:noProof/>
                <w:szCs w:val="20"/>
              </w:rPr>
            </w:pPr>
            <w:r>
              <w:rPr>
                <w:noProof/>
              </w:rPr>
              <w:t>Investointi 5 – Yhdennetyt kaupunkisuunnitelmat – yleiset hankkeet</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32F299B" w14:textId="77777777" w:rsidR="00E42B18" w:rsidRDefault="009629C4">
            <w:pPr>
              <w:pStyle w:val="P68B1DB1-Normal11"/>
              <w:jc w:val="center"/>
              <w:rPr>
                <w:noProof/>
                <w:szCs w:val="20"/>
              </w:rPr>
            </w:pPr>
            <w:r>
              <w:rPr>
                <w:noProof/>
              </w:rPr>
              <w:t>Virstanpylväs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35BF4BA" w14:textId="77777777" w:rsidR="00E42B18" w:rsidRDefault="009629C4">
            <w:pPr>
              <w:pStyle w:val="P68B1DB1-Normal11"/>
              <w:jc w:val="center"/>
              <w:rPr>
                <w:noProof/>
                <w:szCs w:val="20"/>
              </w:rPr>
            </w:pPr>
            <w:r>
              <w:rPr>
                <w:noProof/>
              </w:rPr>
              <w:t>Suurkaupunkialueiden kaupunkialueiden elvyttämishankkeita koskevan investointisuunnitelman voimaantulo</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9C8601B" w14:textId="77777777" w:rsidR="00E42B18" w:rsidRDefault="009629C4">
            <w:pPr>
              <w:pStyle w:val="P68B1DB1-Normal11"/>
              <w:jc w:val="center"/>
              <w:rPr>
                <w:noProof/>
                <w:szCs w:val="20"/>
              </w:rPr>
            </w:pPr>
            <w:r>
              <w:rPr>
                <w:noProof/>
              </w:rPr>
              <w:t>Suurkaupunkialueilla toteutettavia kaupunkialueiden elvyttämishankkeita koskevan suunnitelman voimaantuloa koskeva lain säännös</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71BD229" w14:textId="77777777" w:rsidR="00E42B18" w:rsidRDefault="009629C4">
            <w:pPr>
              <w:pStyle w:val="P68B1DB1-Normal11"/>
              <w:jc w:val="center"/>
              <w:rPr>
                <w:noProof/>
                <w:szCs w:val="20"/>
              </w:rPr>
            </w:pPr>
            <w:r>
              <w:rPr>
                <w:noProof/>
              </w:rPr>
              <w:t>EI OLE</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5A4D62" w14:textId="77777777" w:rsidR="00E42B18" w:rsidRDefault="009629C4">
            <w:pPr>
              <w:pStyle w:val="P68B1DB1-Normal11"/>
              <w:jc w:val="center"/>
              <w:rPr>
                <w:noProof/>
                <w:szCs w:val="20"/>
              </w:rPr>
            </w:pPr>
            <w:r>
              <w:rPr>
                <w:noProof/>
              </w:rPr>
              <w:t>EI OLE</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0575DF3" w14:textId="77777777" w:rsidR="00E42B18" w:rsidRDefault="009629C4">
            <w:pPr>
              <w:pStyle w:val="P68B1DB1-Normal11"/>
              <w:jc w:val="center"/>
              <w:rPr>
                <w:noProof/>
                <w:szCs w:val="20"/>
              </w:rPr>
            </w:pPr>
            <w:r>
              <w:rPr>
                <w:noProof/>
              </w:rPr>
              <w:t>EI OLE</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2BC19B4" w14:textId="77777777" w:rsidR="00E42B18" w:rsidRDefault="009629C4">
            <w:pPr>
              <w:pStyle w:val="P68B1DB1-Normal11"/>
              <w:jc w:val="center"/>
              <w:rPr>
                <w:noProof/>
                <w:szCs w:val="20"/>
              </w:rPr>
            </w:pPr>
            <w:r>
              <w:rPr>
                <w:noProof/>
              </w:rPr>
              <w:t>Q4</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532F3D8" w14:textId="77777777" w:rsidR="00E42B18" w:rsidRDefault="009629C4">
            <w:pPr>
              <w:pStyle w:val="P68B1DB1-Normal11"/>
              <w:jc w:val="center"/>
              <w:rPr>
                <w:noProof/>
                <w:szCs w:val="20"/>
              </w:rPr>
            </w:pPr>
            <w:r>
              <w:rPr>
                <w:noProof/>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4EC17D0F" w14:textId="77777777" w:rsidR="00E42B18" w:rsidRDefault="009629C4">
            <w:pPr>
              <w:pStyle w:val="P68B1DB1-Normal11"/>
              <w:rPr>
                <w:noProof/>
                <w:szCs w:val="20"/>
              </w:rPr>
            </w:pPr>
            <w:r>
              <w:rPr>
                <w:noProof/>
              </w:rPr>
              <w:t>Investointisuunnitelmassa on vahvistettava elpymis- ja palautumistukivälineen tavoitteiden mukaiset kriteerit, mukaan lukien ”ei merkittävää haittaa” -periaate. Hankkeissa on viitattava seuraavaan tukitoimityyppiin:</w:t>
            </w:r>
          </w:p>
          <w:p w14:paraId="6FE78F40" w14:textId="77777777" w:rsidR="00E42B18" w:rsidRDefault="009629C4">
            <w:pPr>
              <w:pStyle w:val="P68B1DB1-Normal11"/>
              <w:rPr>
                <w:noProof/>
                <w:szCs w:val="20"/>
              </w:rPr>
            </w:pPr>
            <w:r>
              <w:rPr>
                <w:noProof/>
              </w:rPr>
              <w:t>julkisten tilojen uudelleenkäytön ja uudelleenkäytön ylläpito.</w:t>
            </w:r>
          </w:p>
          <w:p w14:paraId="216F6C2F" w14:textId="77777777" w:rsidR="00E42B18" w:rsidRDefault="009629C4">
            <w:pPr>
              <w:pStyle w:val="P68B1DB1-Normal11"/>
              <w:rPr>
                <w:noProof/>
                <w:szCs w:val="20"/>
              </w:rPr>
            </w:pPr>
            <w:r>
              <w:rPr>
                <w:noProof/>
              </w:rPr>
              <w:t>b) Kaupunkien laadun sekä sosiaali- ja ympäristörakenteen parantaminen.</w:t>
            </w:r>
          </w:p>
          <w:p w14:paraId="4A960A22" w14:textId="77777777" w:rsidR="00E42B18" w:rsidRDefault="009629C4">
            <w:pPr>
              <w:pStyle w:val="P68B1DB1-Normal11"/>
              <w:rPr>
                <w:noProof/>
                <w:szCs w:val="20"/>
              </w:rPr>
            </w:pPr>
            <w:r>
              <w:rPr>
                <w:noProof/>
              </w:rPr>
              <w:t>kaupunkialueiden ympäristön laadun ja digitaalisen profiilin parantaminen.</w:t>
            </w:r>
          </w:p>
        </w:tc>
      </w:tr>
      <w:tr w:rsidR="00E42B18" w14:paraId="046B454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68F967D6" w14:textId="77777777" w:rsidR="00E42B18" w:rsidRDefault="009629C4">
            <w:pPr>
              <w:pStyle w:val="P68B1DB1-Normal12"/>
              <w:jc w:val="center"/>
              <w:rPr>
                <w:noProof/>
                <w:highlight w:val="yellow"/>
              </w:rPr>
            </w:pPr>
            <w:r>
              <w:rPr>
                <w:noProof/>
              </w:rPr>
              <w:t>M5C2–14</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4311729B" w14:textId="77777777" w:rsidR="00E42B18" w:rsidRDefault="009629C4">
            <w:pPr>
              <w:pStyle w:val="P68B1DB1-Normal11"/>
              <w:jc w:val="center"/>
              <w:rPr>
                <w:noProof/>
                <w:szCs w:val="20"/>
              </w:rPr>
            </w:pPr>
            <w:r>
              <w:rPr>
                <w:noProof/>
              </w:rPr>
              <w:t>Investointi 5 – Yhdennetyt kaupunkisuunnitelmat – yleiset hankkeet</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0F667370" w14:textId="77777777" w:rsidR="00E42B18" w:rsidRDefault="009629C4">
            <w:pPr>
              <w:pStyle w:val="P68B1DB1-Normal11"/>
              <w:jc w:val="center"/>
              <w:rPr>
                <w:noProof/>
                <w:szCs w:val="20"/>
              </w:rPr>
            </w:pPr>
            <w:r>
              <w:rPr>
                <w:noProof/>
              </w:rPr>
              <w:t>Kohde</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68673BF8" w14:textId="77777777" w:rsidR="00E42B18" w:rsidRDefault="009629C4">
            <w:pPr>
              <w:pStyle w:val="P68B1DB1-Normal12"/>
              <w:jc w:val="center"/>
              <w:rPr>
                <w:noProof/>
              </w:rPr>
            </w:pPr>
            <w:r>
              <w:rPr>
                <w:noProof/>
              </w:rPr>
              <w:t>Yhdennettyjen suunnitteluhankkeiden loppuun saattaminen suurkaupunkialueilla</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B748058" w14:textId="77777777" w:rsidR="00E42B18" w:rsidRDefault="009629C4">
            <w:pPr>
              <w:pStyle w:val="P68B1DB1-Normal11"/>
              <w:jc w:val="center"/>
              <w:rPr>
                <w:noProof/>
                <w:szCs w:val="20"/>
              </w:rPr>
            </w:pPr>
            <w:r>
              <w:rPr>
                <w:noProof/>
              </w:rPr>
              <w:t>EI OLE</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1F6C9559" w14:textId="77777777" w:rsidR="00E42B18" w:rsidRDefault="009629C4">
            <w:pPr>
              <w:pStyle w:val="P68B1DB1-Normal11"/>
              <w:jc w:val="center"/>
              <w:rPr>
                <w:noProof/>
                <w:szCs w:val="20"/>
              </w:rPr>
            </w:pPr>
            <w:r>
              <w:rPr>
                <w:noProof/>
              </w:rPr>
              <w:t xml:space="preserve">Numero </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23AA47F5" w14:textId="77777777" w:rsidR="00E42B18" w:rsidRDefault="009629C4">
            <w:pPr>
              <w:pStyle w:val="P68B1DB1-Normal11"/>
              <w:jc w:val="center"/>
              <w:rPr>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56974690" w14:textId="77777777" w:rsidR="00E42B18" w:rsidRDefault="009629C4">
            <w:pPr>
              <w:pStyle w:val="P68B1DB1-Normal11"/>
              <w:jc w:val="center"/>
              <w:rPr>
                <w:noProof/>
                <w:szCs w:val="20"/>
              </w:rPr>
            </w:pPr>
            <w:r>
              <w:rPr>
                <w:noProof/>
              </w:rPr>
              <w:t>300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047AE3E0" w14:textId="77777777" w:rsidR="00E42B18" w:rsidRDefault="009629C4">
            <w:pPr>
              <w:pStyle w:val="P68B1DB1-Normal11"/>
              <w:jc w:val="center"/>
              <w:rPr>
                <w:noProof/>
                <w:szCs w:val="20"/>
              </w:rPr>
            </w:pPr>
            <w:r>
              <w:rPr>
                <w:noProof/>
              </w:rPr>
              <w:t>Q2</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7984A884" w14:textId="77777777" w:rsidR="00E42B18" w:rsidRDefault="009629C4">
            <w:pPr>
              <w:pStyle w:val="P68B1DB1-Normal11"/>
              <w:jc w:val="center"/>
              <w:rPr>
                <w:noProof/>
                <w:szCs w:val="20"/>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7141CD3B" w14:textId="367A6167" w:rsidR="00E42B18" w:rsidRDefault="009629C4">
            <w:pPr>
              <w:pStyle w:val="P68B1DB1-Normal12"/>
              <w:rPr>
                <w:noProof/>
              </w:rPr>
            </w:pPr>
            <w:r>
              <w:rPr>
                <w:noProof/>
              </w:rPr>
              <w:t>Rakennusurakoiden valmistumistodistukset, jotka koskevat vähintään 300:aa integroitua suunnitteluhanketta kaikissa 14 suurkaupunkikaupungissa ja joiden kokonaispinta-ala on vähintään 3000000 neliömetriä.</w:t>
            </w:r>
          </w:p>
        </w:tc>
      </w:tr>
      <w:tr w:rsidR="00E42B18" w14:paraId="2D58023D"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4C629F" w14:textId="77777777" w:rsidR="00E42B18" w:rsidRDefault="009629C4">
            <w:pPr>
              <w:pStyle w:val="P68B1DB1-Normal11"/>
              <w:jc w:val="center"/>
              <w:rPr>
                <w:noProof/>
                <w:szCs w:val="20"/>
              </w:rPr>
            </w:pPr>
            <w:r>
              <w:rPr>
                <w:noProof/>
              </w:rPr>
              <w:t>M5C2–15</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7703458" w14:textId="77777777" w:rsidR="00E42B18" w:rsidRDefault="009629C4">
            <w:pPr>
              <w:pStyle w:val="P68B1DB1-Normal11"/>
              <w:jc w:val="center"/>
              <w:rPr>
                <w:noProof/>
                <w:szCs w:val="20"/>
              </w:rPr>
            </w:pPr>
            <w:r>
              <w:rPr>
                <w:noProof/>
              </w:rPr>
              <w:t>Investointi 5 – Yhdennetyt kaupunkisuunnitelmat – Tulevat laittomat asutusalueet työvoiman hyväksikäytön torjumiseksi maataloudessa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694F1DA" w14:textId="77777777" w:rsidR="00E42B18" w:rsidRDefault="009629C4">
            <w:pPr>
              <w:pStyle w:val="P68B1DB1-Normal11"/>
              <w:jc w:val="center"/>
              <w:rPr>
                <w:noProof/>
                <w:szCs w:val="20"/>
              </w:rPr>
            </w:pPr>
            <w:r>
              <w:rPr>
                <w:noProof/>
              </w:rPr>
              <w:t>Virstanpylväs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B0F28E4" w14:textId="77777777" w:rsidR="00E42B18" w:rsidRDefault="009629C4">
            <w:pPr>
              <w:pStyle w:val="P68B1DB1-Normal11"/>
              <w:jc w:val="center"/>
              <w:rPr>
                <w:noProof/>
                <w:szCs w:val="20"/>
              </w:rPr>
            </w:pPr>
            <w:r>
              <w:rPr>
                <w:noProof/>
              </w:rPr>
              <w:t>”Tavolo di contrasto allo sfruttamento lavorativo in agricoltura” antaa ministeriön asetuksen laittomien siirtokuntien kartoittamisesta ja ministeriön asetus varojen jakamisesta.</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FA06D7E" w14:textId="77777777" w:rsidR="00E42B18" w:rsidRDefault="009629C4">
            <w:pPr>
              <w:pStyle w:val="P68B1DB1-Normal11"/>
              <w:jc w:val="center"/>
              <w:rPr>
                <w:noProof/>
                <w:szCs w:val="20"/>
              </w:rPr>
            </w:pPr>
            <w:r>
              <w:rPr>
                <w:noProof/>
              </w:rPr>
              <w:t>Ministeriön asetuksen voimaantuloa koskeva lain säännös</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8958398" w14:textId="77777777" w:rsidR="00E42B18" w:rsidRDefault="009629C4">
            <w:pPr>
              <w:pStyle w:val="P68B1DB1-Normal11"/>
              <w:jc w:val="center"/>
              <w:rPr>
                <w:noProof/>
                <w:szCs w:val="20"/>
              </w:rPr>
            </w:pPr>
            <w:r>
              <w:rPr>
                <w:noProof/>
              </w:rPr>
              <w:t>EI OLE</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E62BC5" w14:textId="77777777" w:rsidR="00E42B18" w:rsidRDefault="009629C4">
            <w:pPr>
              <w:pStyle w:val="P68B1DB1-Normal11"/>
              <w:jc w:val="center"/>
              <w:rPr>
                <w:noProof/>
                <w:szCs w:val="20"/>
              </w:rPr>
            </w:pPr>
            <w:r>
              <w:rPr>
                <w:noProof/>
              </w:rPr>
              <w:t>EI OLE</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B29FE54" w14:textId="77777777" w:rsidR="00E42B18" w:rsidRDefault="009629C4">
            <w:pPr>
              <w:pStyle w:val="P68B1DB1-Normal11"/>
              <w:jc w:val="center"/>
              <w:rPr>
                <w:noProof/>
                <w:szCs w:val="20"/>
              </w:rPr>
            </w:pPr>
            <w:r>
              <w:rPr>
                <w:noProof/>
              </w:rPr>
              <w:t>EI OLE</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50ECD94" w14:textId="77777777" w:rsidR="00E42B18" w:rsidRDefault="009629C4">
            <w:pPr>
              <w:pStyle w:val="P68B1DB1-Normal11"/>
              <w:jc w:val="center"/>
              <w:rPr>
                <w:noProof/>
                <w:szCs w:val="20"/>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F1AAA3" w14:textId="77777777" w:rsidR="00E42B18" w:rsidRDefault="009629C4">
            <w:pPr>
              <w:pStyle w:val="P68B1DB1-Normal11"/>
              <w:jc w:val="center"/>
              <w:rPr>
                <w:noProof/>
                <w:szCs w:val="20"/>
              </w:rPr>
            </w:pPr>
            <w:r>
              <w:rPr>
                <w:noProof/>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2C236D" w14:textId="77777777" w:rsidR="00E42B18" w:rsidRDefault="009629C4">
            <w:pPr>
              <w:pStyle w:val="P68B1DB1-Normal11"/>
              <w:rPr>
                <w:noProof/>
                <w:szCs w:val="20"/>
              </w:rPr>
            </w:pPr>
            <w:r>
              <w:rPr>
                <w:noProof/>
              </w:rPr>
              <w:t>Ministeriön asetuksella jaetaan varoja ”Tavolo di contrasto allo sfruttamento lavorativo in agricoltura” -järjestön toteuttaman laittomien siirtokuntien kartoituksen perusteella. On määriteltävä tilapäisten ja pitkäaikaisten asumisratkaisujen taso.</w:t>
            </w:r>
          </w:p>
        </w:tc>
      </w:tr>
      <w:tr w:rsidR="00E42B18" w14:paraId="2F161923"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45A9888" w14:textId="77777777" w:rsidR="00E42B18" w:rsidRDefault="009629C4">
            <w:pPr>
              <w:pStyle w:val="P68B1DB1-Normal12"/>
              <w:jc w:val="center"/>
              <w:rPr>
                <w:noProof/>
                <w:highlight w:val="yellow"/>
              </w:rPr>
            </w:pPr>
            <w:r>
              <w:rPr>
                <w:noProof/>
              </w:rPr>
              <w:t>M5C2–16</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29A5FFD" w14:textId="77777777" w:rsidR="00E42B18" w:rsidRDefault="009629C4">
            <w:pPr>
              <w:pStyle w:val="P68B1DB1-Normal11"/>
              <w:jc w:val="center"/>
              <w:rPr>
                <w:noProof/>
                <w:szCs w:val="20"/>
              </w:rPr>
            </w:pPr>
            <w:r>
              <w:rPr>
                <w:noProof/>
              </w:rPr>
              <w:t>Investointi 5 – Yhdennetyt kaupunkisuunnitelmat – laittomien asuinalueiden poistaminen työvoiman hyväksikäytön torjumiseksi maataloudessa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7614ACC" w14:textId="77777777" w:rsidR="00E42B18" w:rsidRDefault="009629C4">
            <w:pPr>
              <w:pStyle w:val="P68B1DB1-Normal11"/>
              <w:jc w:val="center"/>
              <w:rPr>
                <w:noProof/>
                <w:szCs w:val="20"/>
              </w:rPr>
            </w:pPr>
            <w:r>
              <w:rPr>
                <w:noProof/>
              </w:rPr>
              <w:t>Kohde</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7F3E71" w14:textId="77777777" w:rsidR="00E42B18" w:rsidRDefault="009629C4">
            <w:pPr>
              <w:pStyle w:val="P68B1DB1-Normal12"/>
              <w:jc w:val="center"/>
              <w:rPr>
                <w:noProof/>
              </w:rPr>
            </w:pPr>
            <w:r>
              <w:rPr>
                <w:noProof/>
              </w:rPr>
              <w:t>Maatalousalan työntekijöiden asumista koskevat hankkeet ja foorumin perustaminen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E8B2FB8" w14:textId="77777777" w:rsidR="00E42B18" w:rsidRDefault="009629C4">
            <w:pPr>
              <w:pStyle w:val="P68B1DB1-Normal11"/>
              <w:jc w:val="center"/>
              <w:rPr>
                <w:noProof/>
                <w:szCs w:val="20"/>
              </w:rPr>
            </w:pPr>
            <w:r>
              <w:rPr>
                <w:noProof/>
              </w:rPr>
              <w:t>EI OLE</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CB2884C" w14:textId="77777777" w:rsidR="00E42B18" w:rsidRDefault="00E42B18">
            <w:pPr>
              <w:jc w:val="center"/>
              <w:rPr>
                <w:rFonts w:ascii="Arial Narrow" w:hAnsi="Arial Narrow"/>
                <w:noProof/>
                <w:color w:val="006100"/>
                <w:sz w:val="20"/>
                <w:szCs w:val="20"/>
              </w:rPr>
            </w:pP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823BF87" w14:textId="77777777" w:rsidR="00E42B18" w:rsidRDefault="009629C4">
            <w:pPr>
              <w:pStyle w:val="P68B1DB1-Normal11"/>
              <w:jc w:val="center"/>
              <w:rPr>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E775185" w14:textId="77777777" w:rsidR="00E42B18" w:rsidRDefault="009629C4">
            <w:pPr>
              <w:pStyle w:val="P68B1DB1-Normal12"/>
              <w:jc w:val="center"/>
              <w:rPr>
                <w:noProof/>
              </w:rPr>
            </w:pPr>
            <w:r>
              <w:rPr>
                <w:noProof/>
              </w:rPr>
              <w:t>11</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27F2CFD" w14:textId="77777777" w:rsidR="00E42B18" w:rsidRDefault="009629C4">
            <w:pPr>
              <w:pStyle w:val="P68B1DB1-Normal12"/>
              <w:jc w:val="center"/>
              <w:rPr>
                <w:noProof/>
              </w:rPr>
            </w:pPr>
            <w:r>
              <w:rPr>
                <w:noProof/>
              </w:rPr>
              <w:t>Q2</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EDBF4C" w14:textId="77777777" w:rsidR="00E42B18" w:rsidRDefault="009629C4">
            <w:pPr>
              <w:pStyle w:val="P68B1DB1-Normal12"/>
              <w:jc w:val="center"/>
              <w:rPr>
                <w:noProof/>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2D0BB32" w14:textId="3A0292BE" w:rsidR="00E42B18" w:rsidRDefault="009629C4">
            <w:pPr>
              <w:pStyle w:val="P68B1DB1-Normal12"/>
              <w:rPr>
                <w:noProof/>
              </w:rPr>
            </w:pPr>
            <w:r>
              <w:rPr>
                <w:noProof/>
              </w:rPr>
              <w:t>Urakoiden valmistumistodistukset, jotka on annettu 11 hankkeen osalta ja jotka kattavat täytäntöönpanoviranomaisten allekirjoittamissa sopimuksissa vaaditun paikkamäärän. Näissä todistuksissa on myös todistettava, että hankkeet täyttävät sopimuksissa määritellyt asumista koskevat vaatimukset. </w:t>
            </w:r>
          </w:p>
          <w:p w14:paraId="7CAA5F47" w14:textId="77777777" w:rsidR="00E42B18" w:rsidRDefault="009629C4">
            <w:pPr>
              <w:pStyle w:val="P68B1DB1-Normal12"/>
              <w:rPr>
                <w:noProof/>
              </w:rPr>
            </w:pPr>
            <w:r>
              <w:rPr>
                <w:noProof/>
              </w:rPr>
              <w:t>On perustettava työvoiman hyväksikäyttöä maataloudessa käsittelevä digitaalinen alusta (”Sistema informativo per il contrasto al caporalato”), joka mahdollistaa vuorovaikutteisen koontinäytön käytön.</w:t>
            </w:r>
          </w:p>
        </w:tc>
      </w:tr>
      <w:tr w:rsidR="00E42B18" w14:paraId="0FE3D82F"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DCF0E61" w14:textId="77777777" w:rsidR="00E42B18" w:rsidRDefault="009629C4">
            <w:pPr>
              <w:pStyle w:val="P68B1DB1-Normal11"/>
              <w:jc w:val="center"/>
              <w:rPr>
                <w:noProof/>
                <w:szCs w:val="20"/>
              </w:rPr>
            </w:pPr>
            <w:r>
              <w:rPr>
                <w:noProof/>
              </w:rPr>
              <w:t>M5C2–17</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B67A810" w14:textId="77777777" w:rsidR="00E42B18" w:rsidRDefault="009629C4">
            <w:pPr>
              <w:pStyle w:val="P68B1DB1-Normal11"/>
              <w:jc w:val="center"/>
              <w:rPr>
                <w:noProof/>
                <w:szCs w:val="20"/>
              </w:rPr>
            </w:pPr>
            <w:r>
              <w:rPr>
                <w:noProof/>
              </w:rPr>
              <w:t>Investointi 5 – Yhdennetyt kaupunkisuunnitelmat – EIP:n rahasto – rahasto</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A71501" w14:textId="77777777" w:rsidR="00E42B18" w:rsidRDefault="009629C4">
            <w:pPr>
              <w:pStyle w:val="P68B1DB1-Normal11"/>
              <w:jc w:val="center"/>
              <w:rPr>
                <w:noProof/>
                <w:szCs w:val="20"/>
              </w:rPr>
            </w:pPr>
            <w:r>
              <w:rPr>
                <w:noProof/>
              </w:rPr>
              <w:t>Virstanpylväs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DD7AC3" w14:textId="77777777" w:rsidR="00E42B18" w:rsidRDefault="009629C4">
            <w:pPr>
              <w:pStyle w:val="P68B1DB1-Normal11"/>
              <w:jc w:val="center"/>
              <w:rPr>
                <w:noProof/>
                <w:szCs w:val="20"/>
              </w:rPr>
            </w:pPr>
            <w:r>
              <w:rPr>
                <w:noProof/>
              </w:rPr>
              <w:t>Rahaston sijoitusstrategian hyväksyy valtiovarainministeriö.</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BB7BE9" w14:textId="77777777" w:rsidR="00E42B18" w:rsidRDefault="009629C4">
            <w:pPr>
              <w:pStyle w:val="P68B1DB1-Normal11"/>
              <w:jc w:val="center"/>
              <w:rPr>
                <w:noProof/>
                <w:szCs w:val="20"/>
              </w:rPr>
            </w:pPr>
            <w:r>
              <w:rPr>
                <w:noProof/>
              </w:rPr>
              <w:t>Rahaston investointistrategian hyväksyy valtiovarainministeriö.</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08D50DD" w14:textId="77777777" w:rsidR="00E42B18" w:rsidRDefault="009629C4">
            <w:pPr>
              <w:pStyle w:val="P68B1DB1-Normal11"/>
              <w:jc w:val="center"/>
              <w:rPr>
                <w:noProof/>
                <w:szCs w:val="20"/>
              </w:rPr>
            </w:pPr>
            <w:r>
              <w:rPr>
                <w:noProof/>
              </w:rPr>
              <w:t>EI OLE</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8642978" w14:textId="77777777" w:rsidR="00E42B18" w:rsidRDefault="009629C4">
            <w:pPr>
              <w:pStyle w:val="P68B1DB1-Normal11"/>
              <w:jc w:val="center"/>
              <w:rPr>
                <w:noProof/>
                <w:szCs w:val="20"/>
              </w:rPr>
            </w:pPr>
            <w:r>
              <w:rPr>
                <w:noProof/>
              </w:rPr>
              <w:t>EI OLE</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597ABC0" w14:textId="77777777" w:rsidR="00E42B18" w:rsidRDefault="009629C4">
            <w:pPr>
              <w:pStyle w:val="P68B1DB1-Normal11"/>
              <w:jc w:val="center"/>
              <w:rPr>
                <w:noProof/>
                <w:szCs w:val="20"/>
              </w:rPr>
            </w:pPr>
            <w:r>
              <w:rPr>
                <w:noProof/>
              </w:rPr>
              <w:t>EI OLE</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6A49F58" w14:textId="77777777" w:rsidR="00E42B18" w:rsidRDefault="009629C4">
            <w:pPr>
              <w:pStyle w:val="P68B1DB1-Normal11"/>
              <w:jc w:val="center"/>
              <w:rPr>
                <w:noProof/>
                <w:szCs w:val="20"/>
              </w:rPr>
            </w:pPr>
            <w:r>
              <w:rPr>
                <w:noProof/>
              </w:rPr>
              <w:t>Q3</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481CE75" w14:textId="77777777" w:rsidR="00E42B18" w:rsidRDefault="009629C4">
            <w:pPr>
              <w:pStyle w:val="P68B1DB1-Normal11"/>
              <w:jc w:val="center"/>
              <w:rPr>
                <w:noProof/>
                <w:szCs w:val="20"/>
              </w:rPr>
            </w:pPr>
            <w:r>
              <w:rPr>
                <w:noProof/>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2DA3006" w14:textId="77777777" w:rsidR="00E42B18" w:rsidRDefault="009629C4">
            <w:pPr>
              <w:pStyle w:val="P68B1DB1-Normal11"/>
              <w:rPr>
                <w:rFonts w:eastAsia="Calibri"/>
                <w:noProof/>
                <w:szCs w:val="20"/>
              </w:rPr>
            </w:pPr>
            <w:r>
              <w:rPr>
                <w:noProof/>
              </w:rPr>
              <w:t>Rahaston sijoitusstrategiassa on määriteltävä vähintään: I) tuettujen investointien luonne ja laajuus, joilla edistetään kestäviä kaupunkialueiden elvyttämis- ja kehittämishankkeita ja jotka ovat elpymis- ja palautumistukivälineen tavoitteiden mukaisia, myös suhteessa ”ei merkittävää haittaa” -periaatteen noudattamiseen, kuten 12 päivänä helmikuuta 2021 annetussa komission ohjeasiakirjassa täsmennetään, ii) tuetut toimet, iii) kohteena olevat tuensaajat, joiden on oltava sellaisten taloudellisesti omavaraisten hankkeiden yksityisiä toteuttajia, joiden julkinen tuki on perusteltua markkinoiden toimintapuutteen tai riskiprofiilin vuoksi, ja niiden tukikelpoisuuskriteerit, iv) rahoituksen saajien tukikelpoisuusperusteet ja niiden valinta avoimen ehdotuspyynnön perusteella; v) maatalouden ja teollisuuden työntekijöille tarkoitettuja kunnollisia asumisratkaisuja koskevan erityisen budjettikohdan sisällyttäminen ja vi) säännökset, joiden mukaan mahdolliset takaisin saadut varat investoidaan uudelleen samoihin toimintapoliittisiin tavoitteisiin, myös vuoden 2026 jälkeen.</w:t>
            </w:r>
          </w:p>
          <w:p w14:paraId="377147FF" w14:textId="77777777" w:rsidR="00E42B18" w:rsidRDefault="009629C4">
            <w:pPr>
              <w:pStyle w:val="P68B1DB1-Normal11"/>
              <w:rPr>
                <w:noProof/>
                <w:szCs w:val="20"/>
              </w:rPr>
            </w:pPr>
            <w:r>
              <w:rPr>
                <w:noProof/>
              </w:rPr>
              <w:t>Valtuutetun yhteisön kanssa tehdyssä sopimuksessa, jossa edellytetään ”ei merkittävää haittaa” -ohjeiden käyttöä, on edellytettävä ”ei merkittävää haittaa” -ohjeiden käyttöä.</w:t>
            </w:r>
          </w:p>
        </w:tc>
      </w:tr>
      <w:tr w:rsidR="00E42B18" w14:paraId="4ABB4D59"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32E92EAF" w14:textId="77777777" w:rsidR="00E42B18" w:rsidRDefault="009629C4">
            <w:pPr>
              <w:pStyle w:val="P68B1DB1-Normal12"/>
              <w:jc w:val="center"/>
              <w:rPr>
                <w:noProof/>
                <w:highlight w:val="yellow"/>
              </w:rPr>
            </w:pPr>
            <w:r>
              <w:rPr>
                <w:noProof/>
              </w:rPr>
              <w:t>M5C2–18</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36B0BE79" w14:textId="77777777" w:rsidR="00E42B18" w:rsidRDefault="009629C4">
            <w:pPr>
              <w:pStyle w:val="P68B1DB1-Normal11"/>
              <w:jc w:val="center"/>
              <w:rPr>
                <w:rFonts w:eastAsia="Calibri"/>
                <w:noProof/>
                <w:szCs w:val="20"/>
              </w:rPr>
            </w:pPr>
            <w:r>
              <w:rPr>
                <w:noProof/>
              </w:rPr>
              <w:t>Investointi 5 – Yhdennetyt kaupunkisuunnitelmat – EIP:n rahasto – rahasto</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35880C10" w14:textId="77777777" w:rsidR="00E42B18" w:rsidRDefault="009629C4">
            <w:pPr>
              <w:pStyle w:val="P68B1DB1-Normal11"/>
              <w:jc w:val="center"/>
              <w:rPr>
                <w:rFonts w:eastAsia="Calibri"/>
                <w:noProof/>
                <w:szCs w:val="20"/>
              </w:rPr>
            </w:pPr>
            <w:r>
              <w:rPr>
                <w:noProof/>
              </w:rPr>
              <w:t>Kohde</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3F438F10" w14:textId="77777777" w:rsidR="00E42B18" w:rsidRDefault="009629C4">
            <w:pPr>
              <w:pStyle w:val="P68B1DB1-Normal12"/>
              <w:rPr>
                <w:rFonts w:ascii="Calibri" w:eastAsia="Calibri" w:hAnsi="Calibri" w:cs="Calibri"/>
                <w:noProof/>
                <w:color w:val="000000" w:themeColor="text1"/>
              </w:rPr>
            </w:pPr>
            <w:r>
              <w:rPr>
                <w:noProof/>
              </w:rPr>
              <w:t>Lopullisten edunsaajien kanssa allekirjoitetut oikeudelliset sopimukset, joiden kohteena olevien hankkeiden investointiarvo on vähintään 545000000 euroa</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DD43D12" w14:textId="77777777" w:rsidR="00E42B18" w:rsidRDefault="009629C4">
            <w:pPr>
              <w:pStyle w:val="P68B1DB1-Normal11"/>
              <w:jc w:val="center"/>
              <w:rPr>
                <w:noProof/>
                <w:szCs w:val="20"/>
              </w:rPr>
            </w:pPr>
            <w:r>
              <w:rPr>
                <w:noProof/>
              </w:rPr>
              <w:t>EI OLE</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7237905C" w14:textId="77777777" w:rsidR="00E42B18" w:rsidRDefault="009629C4">
            <w:pPr>
              <w:pStyle w:val="P68B1DB1-Normal11"/>
              <w:jc w:val="center"/>
              <w:rPr>
                <w:noProof/>
                <w:szCs w:val="20"/>
              </w:rPr>
            </w:pPr>
            <w:r>
              <w:rPr>
                <w:noProof/>
              </w:rPr>
              <w:t>EUR</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58AA1BCC" w14:textId="77777777" w:rsidR="00E42B18" w:rsidRDefault="009629C4">
            <w:pPr>
              <w:pStyle w:val="P68B1DB1-Normal11"/>
              <w:jc w:val="center"/>
              <w:rPr>
                <w:rFonts w:eastAsia="Calibri"/>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0F93D0D"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545</w:t>
            </w:r>
            <w:r>
              <w:rPr>
                <w:noProof/>
                <w:sz w:val="23"/>
                <w:szCs w:val="23"/>
              </w:rPr>
              <w:t xml:space="preserve"> </w:t>
            </w:r>
            <w:r>
              <w:rPr>
                <w:rFonts w:ascii="Arial Narrow" w:hAnsi="Arial Narrow"/>
                <w:noProof/>
                <w:color w:val="006100"/>
                <w:sz w:val="20"/>
              </w:rPr>
              <w:t>000</w:t>
            </w:r>
            <w:r>
              <w:rPr>
                <w:noProof/>
                <w:sz w:val="23"/>
                <w:szCs w:val="23"/>
              </w:rPr>
              <w:t xml:space="preserve"> </w:t>
            </w:r>
            <w:r>
              <w:rPr>
                <w:rFonts w:ascii="Arial Narrow" w:hAnsi="Arial Narrow"/>
                <w:noProof/>
                <w:color w:val="006100"/>
                <w:sz w:val="20"/>
              </w:rPr>
              <w:t>000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44A7CA54" w14:textId="77777777" w:rsidR="00E42B18" w:rsidRDefault="009629C4">
            <w:pPr>
              <w:pStyle w:val="P68B1DB1-Normal11"/>
              <w:jc w:val="center"/>
              <w:rPr>
                <w:rFonts w:eastAsia="Calibri"/>
                <w:noProof/>
                <w:szCs w:val="20"/>
              </w:rPr>
            </w:pPr>
            <w:r>
              <w:rPr>
                <w:noProof/>
              </w:rPr>
              <w:t>Q4</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7409D19A" w14:textId="77777777" w:rsidR="00E42B18" w:rsidRDefault="009629C4">
            <w:pPr>
              <w:pStyle w:val="P68B1DB1-Normal11"/>
              <w:jc w:val="center"/>
              <w:rPr>
                <w:rFonts w:eastAsia="Calibri"/>
                <w:noProof/>
                <w:szCs w:val="20"/>
              </w:rPr>
            </w:pPr>
            <w:r>
              <w:rPr>
                <w:noProof/>
              </w:rPr>
              <w:t>2025</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37BB0006" w14:textId="77777777" w:rsidR="00E42B18" w:rsidRDefault="009629C4">
            <w:pPr>
              <w:pStyle w:val="P68B1DB1-Normal11"/>
              <w:rPr>
                <w:noProof/>
              </w:rPr>
            </w:pPr>
            <w:r>
              <w:rPr>
                <w:noProof/>
              </w:rPr>
              <w:t>Valittujen rahoituksen välittäjien on tehtävä lopullisten tuensaajien kanssa oikeudellisia rahoitussopimuksia, joiden kohteena olevien hankkeiden investointiarvo on vähintään 545000000 euroa (mukaan lukien elpymis- ja palautumistukiväline ja yksityinen rahoitus).</w:t>
            </w:r>
          </w:p>
          <w:p w14:paraId="1BFCC26B" w14:textId="77777777" w:rsidR="00E42B18" w:rsidRDefault="009629C4">
            <w:pPr>
              <w:pStyle w:val="P68B1DB1-Normal11"/>
              <w:rPr>
                <w:noProof/>
                <w:szCs w:val="20"/>
              </w:rPr>
            </w:pPr>
            <w:r>
              <w:rPr>
                <w:noProof/>
              </w:rPr>
              <w:t>Talous- ja valtiovarainministeriö on saattanut päätökseen 272000000 euron siirron Euroopan investointipankille.</w:t>
            </w:r>
          </w:p>
        </w:tc>
      </w:tr>
      <w:tr w:rsidR="00E42B18" w14:paraId="011FBF99"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E933E4E" w14:textId="77777777" w:rsidR="00E42B18" w:rsidRDefault="009629C4">
            <w:pPr>
              <w:pStyle w:val="P68B1DB1-Normal11"/>
              <w:jc w:val="center"/>
              <w:rPr>
                <w:noProof/>
                <w:szCs w:val="20"/>
              </w:rPr>
            </w:pPr>
            <w:r>
              <w:rPr>
                <w:noProof/>
              </w:rPr>
              <w:t>M5C2–19</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1C9EA30" w14:textId="77777777" w:rsidR="00E42B18" w:rsidRDefault="009629C4">
            <w:pPr>
              <w:pStyle w:val="P68B1DB1-Normal11"/>
              <w:jc w:val="center"/>
              <w:rPr>
                <w:noProof/>
                <w:szCs w:val="20"/>
              </w:rPr>
            </w:pPr>
            <w:r>
              <w:rPr>
                <w:noProof/>
              </w:rPr>
              <w:t>Investointi 6 – Asumisen laatua koskeva innovaatio-ohjelma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A2A0196" w14:textId="77777777" w:rsidR="00E42B18" w:rsidRDefault="009629C4">
            <w:pPr>
              <w:pStyle w:val="P68B1DB1-Normal11"/>
              <w:jc w:val="center"/>
              <w:rPr>
                <w:noProof/>
                <w:szCs w:val="20"/>
              </w:rPr>
            </w:pPr>
            <w:r>
              <w:rPr>
                <w:noProof/>
              </w:rPr>
              <w:t>Virstanpylväs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88BC2A4" w14:textId="77777777" w:rsidR="00E42B18" w:rsidRDefault="009629C4">
            <w:pPr>
              <w:pStyle w:val="P68B1DB1-Normal11"/>
              <w:jc w:val="center"/>
              <w:rPr>
                <w:noProof/>
                <w:szCs w:val="20"/>
              </w:rPr>
            </w:pPr>
            <w:r>
              <w:rPr>
                <w:noProof/>
              </w:rPr>
              <w:t>Alueet ja autonomiset maakunnat (mukaan lukien kyseisillä alueilla sijaitsevat kunnat ja/tai suurkaupunkialueet) allekirjoittivat sosiaalisen asuntotuotannon uudistamista ja lisäämistä koskevat sopimukset</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4B6DDD3" w14:textId="77777777" w:rsidR="00E42B18" w:rsidRDefault="009629C4">
            <w:pPr>
              <w:pStyle w:val="P68B1DB1-Normal11"/>
              <w:jc w:val="center"/>
              <w:rPr>
                <w:noProof/>
                <w:szCs w:val="20"/>
              </w:rPr>
            </w:pPr>
            <w:r>
              <w:rPr>
                <w:noProof/>
              </w:rPr>
              <w:t>Sopimukset paikallisviranomaisten kanssa allekirjoitetaan</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668D618" w14:textId="77777777" w:rsidR="00E42B18" w:rsidRDefault="009629C4">
            <w:pPr>
              <w:pStyle w:val="P68B1DB1-Normal11"/>
              <w:jc w:val="center"/>
              <w:rPr>
                <w:noProof/>
                <w:szCs w:val="20"/>
              </w:rPr>
            </w:pPr>
            <w:r>
              <w:rPr>
                <w:noProof/>
              </w:rPr>
              <w:t>EI OLE</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EEA4CE2" w14:textId="77777777" w:rsidR="00E42B18" w:rsidRDefault="009629C4">
            <w:pPr>
              <w:pStyle w:val="P68B1DB1-Normal11"/>
              <w:jc w:val="center"/>
              <w:rPr>
                <w:noProof/>
                <w:szCs w:val="20"/>
              </w:rPr>
            </w:pPr>
            <w:r>
              <w:rPr>
                <w:noProof/>
              </w:rPr>
              <w:t>EI OLE</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D943EBC" w14:textId="77777777" w:rsidR="00E42B18" w:rsidRDefault="009629C4">
            <w:pPr>
              <w:pStyle w:val="P68B1DB1-Normal11"/>
              <w:jc w:val="center"/>
              <w:rPr>
                <w:noProof/>
                <w:szCs w:val="20"/>
              </w:rPr>
            </w:pPr>
            <w:r>
              <w:rPr>
                <w:noProof/>
              </w:rPr>
              <w:t>EI OLE</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379AD2" w14:textId="77777777" w:rsidR="00E42B18" w:rsidRDefault="009629C4">
            <w:pPr>
              <w:pStyle w:val="P68B1DB1-Normal11"/>
              <w:jc w:val="center"/>
              <w:rPr>
                <w:noProof/>
                <w:szCs w:val="20"/>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F3B530A" w14:textId="77777777" w:rsidR="00E42B18" w:rsidRDefault="009629C4">
            <w:pPr>
              <w:pStyle w:val="P68B1DB1-Normal11"/>
              <w:jc w:val="center"/>
              <w:rPr>
                <w:noProof/>
                <w:szCs w:val="20"/>
              </w:rPr>
            </w:pPr>
            <w:r>
              <w:rPr>
                <w:noProof/>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ED7DED" w14:textId="77777777" w:rsidR="00E42B18" w:rsidRDefault="009629C4">
            <w:pPr>
              <w:pStyle w:val="P68B1DB1-Normal11"/>
              <w:rPr>
                <w:noProof/>
                <w:szCs w:val="20"/>
              </w:rPr>
            </w:pPr>
            <w:r>
              <w:rPr>
                <w:noProof/>
              </w:rPr>
              <w:t>Vähintään 15 aluetta ja autonomista maakuntaa (mukaan lukien kyseisillä alueilla sijaitsevat kunnat ja/tai suurkaupunkialueet) allekirjoitti sopimukset sosiaalisen asuntotuotannon uudistamisesta ja lisäämisestä.</w:t>
            </w:r>
          </w:p>
          <w:p w14:paraId="5F04B806" w14:textId="77777777" w:rsidR="00E42B18" w:rsidRDefault="009629C4">
            <w:pPr>
              <w:pStyle w:val="P68B1DB1-Normal11"/>
              <w:rPr>
                <w:rFonts w:eastAsia="Calibri"/>
                <w:noProof/>
                <w:szCs w:val="20"/>
              </w:rPr>
            </w:pPr>
            <w:r>
              <w:rPr>
                <w:noProof/>
              </w:rPr>
              <w:t>Vähintään 15 hankkeeseen osallistuvan alueen ja autonomisen maakunnan kanssa allekirjoitetut sopimukset. </w:t>
            </w:r>
          </w:p>
          <w:p w14:paraId="5314B098" w14:textId="77777777" w:rsidR="00E42B18" w:rsidRDefault="009629C4">
            <w:pPr>
              <w:pStyle w:val="P68B1DB1-Normal11"/>
              <w:rPr>
                <w:rFonts w:eastAsia="Calibri"/>
                <w:noProof/>
                <w:szCs w:val="20"/>
              </w:rPr>
            </w:pPr>
            <w:r>
              <w:rPr>
                <w:noProof/>
              </w:rPr>
              <w:t>Rakennus: uudet julkiset majoitusliikkeet, joilla</w:t>
            </w:r>
          </w:p>
          <w:p w14:paraId="5BC79F11" w14:textId="77777777" w:rsidR="00E42B18" w:rsidRDefault="009629C4">
            <w:pPr>
              <w:pStyle w:val="P68B1DB1-Normal11"/>
              <w:rPr>
                <w:noProof/>
                <w:szCs w:val="20"/>
              </w:rPr>
            </w:pPr>
            <w:r>
              <w:rPr>
                <w:noProof/>
              </w:rPr>
              <w:t>— rakennetaan uudelleen, organisoidaan uudelleen ja lisätään julkiseen asuntotuotantoon tarkoitettuja varoja;</w:t>
            </w:r>
          </w:p>
          <w:p w14:paraId="142E45F1" w14:textId="77777777" w:rsidR="00E42B18" w:rsidRDefault="009629C4">
            <w:pPr>
              <w:pStyle w:val="P68B1DB1-Normal11"/>
              <w:rPr>
                <w:noProof/>
                <w:szCs w:val="20"/>
              </w:rPr>
            </w:pPr>
            <w:r>
              <w:rPr>
                <w:noProof/>
              </w:rPr>
              <w:t>— muutetaan alueiden, tilojen sekä julkisten ja yksityisten kiinteistöjen toimintaa myös uudistamalla kaupunkirakennetta ja sosioekonomista rakennetta;</w:t>
            </w:r>
          </w:p>
          <w:p w14:paraId="4E3DDE34" w14:textId="77777777" w:rsidR="00E42B18" w:rsidRDefault="009629C4">
            <w:pPr>
              <w:pStyle w:val="P68B1DB1-Normal11"/>
              <w:rPr>
                <w:noProof/>
                <w:szCs w:val="20"/>
              </w:rPr>
            </w:pPr>
            <w:r>
              <w:rPr>
                <w:noProof/>
              </w:rPr>
              <w:t>— parantaa kaupunkialueiden saavutettavuutta ja turvallisuutta sekä palvelujen ja paikallisten infrastruktuurien tarjontaa;</w:t>
            </w:r>
          </w:p>
          <w:p w14:paraId="36825ED0" w14:textId="77777777" w:rsidR="00E42B18" w:rsidRDefault="009629C4">
            <w:pPr>
              <w:pStyle w:val="P68B1DB1-Normal11"/>
              <w:rPr>
                <w:noProof/>
                <w:szCs w:val="20"/>
              </w:rPr>
            </w:pPr>
            <w:r>
              <w:rPr>
                <w:noProof/>
              </w:rPr>
              <w:t>— uudistetaan jo rakennettuja alueita, parannetaan ympäristön laatua ja parannetaan kykyä sietää ilmastonmuutosta myös toimilla, joilla on vaikutusta kaupunkien tiivistymiseen;</w:t>
            </w:r>
          </w:p>
          <w:p w14:paraId="427C16F2" w14:textId="77777777" w:rsidR="00E42B18" w:rsidRDefault="009629C4">
            <w:pPr>
              <w:pStyle w:val="P68B1DB1-Normal11"/>
              <w:rPr>
                <w:rFonts w:eastAsia="Calibri"/>
                <w:noProof/>
                <w:szCs w:val="20"/>
              </w:rPr>
            </w:pPr>
            <w:r>
              <w:rPr>
                <w:noProof/>
              </w:rPr>
              <w:t>— tunnistetaan ja käytetään innovatiivisia hallinto- ja osallisuusmalleja ja -välineitä, sosiaalista hyvinvointia ja kaupunkien hyvinvointia sekä osallistavia prosesseja.</w:t>
            </w:r>
          </w:p>
          <w:p w14:paraId="2D892366" w14:textId="77777777" w:rsidR="00E42B18" w:rsidRDefault="009629C4">
            <w:pPr>
              <w:pStyle w:val="P68B1DB1-Normal11"/>
              <w:rPr>
                <w:noProof/>
                <w:szCs w:val="20"/>
              </w:rPr>
            </w:pPr>
            <w:r>
              <w:rPr>
                <w:noProof/>
              </w:rPr>
              <w:t>Tuetut asuinyksiköt ja julkiset tilat on tarkoitettu hyötymään asiaan liittyvässä välitavoitteessa kuvatuista toimista.</w:t>
            </w:r>
          </w:p>
        </w:tc>
      </w:tr>
      <w:tr w:rsidR="00E42B18" w14:paraId="0590D536"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A060542" w14:textId="3DF6C4A1" w:rsidR="00E42B18" w:rsidRDefault="009629C4">
            <w:pPr>
              <w:pStyle w:val="P68B1DB1-Normal12"/>
              <w:jc w:val="center"/>
              <w:rPr>
                <w:noProof/>
              </w:rPr>
            </w:pPr>
            <w:r>
              <w:rPr>
                <w:noProof/>
              </w:rPr>
              <w:t>M5C2–20</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404830E" w14:textId="77777777" w:rsidR="00E42B18" w:rsidRDefault="009629C4">
            <w:pPr>
              <w:pStyle w:val="P68B1DB1-Normal12"/>
              <w:jc w:val="center"/>
              <w:rPr>
                <w:noProof/>
              </w:rPr>
            </w:pPr>
            <w:r>
              <w:rPr>
                <w:noProof/>
              </w:rPr>
              <w:t xml:space="preserve">Investointi 6 – Asumisen laatua koskeva innovaatio-ohjelma </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C24795F" w14:textId="77777777" w:rsidR="00E42B18" w:rsidRDefault="009629C4">
            <w:pPr>
              <w:pStyle w:val="P68B1DB1-Normal11"/>
              <w:jc w:val="center"/>
              <w:rPr>
                <w:noProof/>
                <w:szCs w:val="20"/>
              </w:rPr>
            </w:pPr>
            <w:r>
              <w:rPr>
                <w:noProof/>
              </w:rPr>
              <w:t>Kohde</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E50D759" w14:textId="77777777" w:rsidR="00E42B18" w:rsidRDefault="009629C4">
            <w:pPr>
              <w:pStyle w:val="P68B1DB1-Normal12"/>
              <w:jc w:val="center"/>
              <w:rPr>
                <w:noProof/>
              </w:rPr>
            </w:pPr>
            <w:r>
              <w:rPr>
                <w:noProof/>
              </w:rPr>
              <w:t xml:space="preserve">Rakennettujen, ostettujen tai kunnostettujen asuntojen lukumäärä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E62671F" w14:textId="77777777" w:rsidR="00E42B18" w:rsidRDefault="009629C4">
            <w:pPr>
              <w:pStyle w:val="P68B1DB1-Normal11"/>
              <w:jc w:val="center"/>
              <w:rPr>
                <w:noProof/>
                <w:szCs w:val="20"/>
              </w:rPr>
            </w:pPr>
            <w:r>
              <w:rPr>
                <w:noProof/>
              </w:rPr>
              <w:t>EI OLE</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01AD86C" w14:textId="77777777" w:rsidR="00E42B18" w:rsidRDefault="009629C4">
            <w:pPr>
              <w:pStyle w:val="P68B1DB1-Normal11"/>
              <w:jc w:val="center"/>
              <w:rPr>
                <w:noProof/>
                <w:szCs w:val="20"/>
              </w:rPr>
            </w:pPr>
            <w:r>
              <w:rPr>
                <w:noProof/>
              </w:rPr>
              <w:t>Numero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0ED57A3" w14:textId="77777777" w:rsidR="00E42B18" w:rsidRDefault="009629C4">
            <w:pPr>
              <w:pStyle w:val="P68B1DB1-Normal11"/>
              <w:jc w:val="center"/>
              <w:rPr>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C47EF17"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szCs w:val="20"/>
              </w:rPr>
              <w:t>10</w:t>
            </w:r>
            <w:r>
              <w:rPr>
                <w:noProof/>
                <w:sz w:val="23"/>
                <w:szCs w:val="23"/>
              </w:rPr>
              <w:t xml:space="preserve"> </w:t>
            </w:r>
            <w:r>
              <w:rPr>
                <w:rFonts w:ascii="Arial Narrow" w:hAnsi="Arial Narrow"/>
                <w:noProof/>
                <w:color w:val="006100"/>
                <w:sz w:val="20"/>
                <w:szCs w:val="20"/>
              </w:rPr>
              <w:t>000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EAC2E54" w14:textId="77777777" w:rsidR="00E42B18" w:rsidRDefault="009629C4">
            <w:pPr>
              <w:pStyle w:val="P68B1DB1-Normal11"/>
              <w:jc w:val="center"/>
              <w:rPr>
                <w:noProof/>
                <w:szCs w:val="20"/>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E7A38B6" w14:textId="77777777" w:rsidR="00E42B18" w:rsidRDefault="009629C4">
            <w:pPr>
              <w:pStyle w:val="P68B1DB1-Normal11"/>
              <w:jc w:val="center"/>
              <w:rPr>
                <w:noProof/>
                <w:szCs w:val="20"/>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B29D6AA" w14:textId="28D80CB3" w:rsidR="00E42B18" w:rsidRDefault="009629C4">
            <w:pPr>
              <w:pStyle w:val="P68B1DB1-Normal12"/>
              <w:spacing w:line="278" w:lineRule="auto"/>
              <w:rPr>
                <w:noProof/>
              </w:rPr>
            </w:pPr>
            <w:r>
              <w:rPr>
                <w:noProof/>
              </w:rPr>
              <w:t>Vähintään 10000 asuntoa on rakennettava, ostettava tai kunnostettava ja peruskorjattava vähintään 1800000 neliömetriä yleistä nopeutta.</w:t>
            </w:r>
          </w:p>
          <w:p w14:paraId="4A751E07" w14:textId="531D0462" w:rsidR="00E42B18" w:rsidRDefault="009629C4">
            <w:pPr>
              <w:pStyle w:val="P68B1DB1-Normal12"/>
              <w:spacing w:line="278" w:lineRule="auto"/>
              <w:rPr>
                <w:noProof/>
              </w:rPr>
            </w:pPr>
            <w:r>
              <w:rPr>
                <w:noProof/>
              </w:rPr>
              <w:t>Vähintään 497 miljoonaa euroa elpymis- ja palautumistukivälineen tukea investointikustannuksiin on osoitettava olemassa olevan asuntokannan tai julkisen infrastruktuurin energiatehokkuutta edistävään peruskorjaukseen, josta vähintään 300 miljoonaa euroa on osoitettava olemassa olevan asuntokannan energiatehokkuutta edistävään peruskorjaukseen, jolloin saavutetaan vähintään 30 prosentin primäärienergiasäästöt.</w:t>
            </w:r>
          </w:p>
          <w:p w14:paraId="0056308A" w14:textId="10C80A4D" w:rsidR="00E42B18" w:rsidRDefault="009629C4">
            <w:pPr>
              <w:pStyle w:val="P68B1DB1-Normal12"/>
              <w:spacing w:line="278" w:lineRule="auto"/>
              <w:rPr>
                <w:noProof/>
              </w:rPr>
            </w:pPr>
            <w:r>
              <w:rPr>
                <w:noProof/>
              </w:rPr>
              <w:t>Vähintään 84 miljoonaa euroa elpymis- ja palautumistukivälineen tukea investointikustannuksiin on osoitettava pyöräilyinfrastruktuuriin.</w:t>
            </w:r>
          </w:p>
        </w:tc>
      </w:tr>
      <w:tr w:rsidR="00E42B18" w14:paraId="55039567"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0501924" w14:textId="77777777" w:rsidR="00E42B18" w:rsidRDefault="009629C4">
            <w:pPr>
              <w:pStyle w:val="P68B1DB1-Normal11"/>
              <w:jc w:val="center"/>
              <w:rPr>
                <w:noProof/>
                <w:szCs w:val="20"/>
              </w:rPr>
            </w:pPr>
            <w:r>
              <w:rPr>
                <w:noProof/>
              </w:rPr>
              <w:t>M5C2–21</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BE1357C" w14:textId="77777777" w:rsidR="00E42B18" w:rsidRDefault="009629C4">
            <w:pPr>
              <w:pStyle w:val="P68B1DB1-Normal12"/>
              <w:jc w:val="center"/>
              <w:rPr>
                <w:noProof/>
              </w:rPr>
            </w:pPr>
            <w:r>
              <w:rPr>
                <w:noProof/>
              </w:rPr>
              <w:t>Investointi 7 – Urheilua ja sosiaalista osallisuutta koskeva hanke</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9CD9A92" w14:textId="77777777" w:rsidR="00E42B18" w:rsidRDefault="009629C4">
            <w:pPr>
              <w:pStyle w:val="P68B1DB1-Normal11"/>
              <w:jc w:val="center"/>
              <w:rPr>
                <w:noProof/>
                <w:szCs w:val="20"/>
              </w:rPr>
            </w:pPr>
            <w:r>
              <w:rPr>
                <w:noProof/>
              </w:rPr>
              <w:t>Virstanpylväs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FAF9DF7" w14:textId="77777777" w:rsidR="00E42B18" w:rsidRDefault="009629C4">
            <w:pPr>
              <w:pStyle w:val="P68B1DB1-Normal11"/>
              <w:jc w:val="center"/>
              <w:rPr>
                <w:noProof/>
                <w:szCs w:val="20"/>
              </w:rPr>
            </w:pPr>
            <w:r>
              <w:rPr>
                <w:noProof/>
              </w:rPr>
              <w:t>Kaikkien urheilua ja sosiaalista osallisuutta koskevien hankkeiden julkisten hankintasopimusten tekeminen julkisen ehdotuspyynnön perusteella</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F4BFF25" w14:textId="77777777" w:rsidR="00E42B18" w:rsidRDefault="009629C4">
            <w:pPr>
              <w:pStyle w:val="P68B1DB1-Normal11"/>
              <w:jc w:val="center"/>
              <w:rPr>
                <w:noProof/>
                <w:szCs w:val="20"/>
              </w:rPr>
            </w:pPr>
            <w:r>
              <w:rPr>
                <w:noProof/>
              </w:rPr>
              <w:t>Ilmoitus kaikkien urheilua ja sosiaalista osallisuutta koskeviin hankkeisiin liittyvien julkisten hankintasopimusten tekemisestä</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188165D" w14:textId="77777777" w:rsidR="00E42B18" w:rsidRDefault="009629C4">
            <w:pPr>
              <w:pStyle w:val="P68B1DB1-Normal11"/>
              <w:jc w:val="center"/>
              <w:rPr>
                <w:noProof/>
                <w:szCs w:val="20"/>
              </w:rPr>
            </w:pPr>
            <w:r>
              <w:rPr>
                <w:noProof/>
              </w:rPr>
              <w:t>EI OLE</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CCEEB84" w14:textId="77777777" w:rsidR="00E42B18" w:rsidRDefault="009629C4">
            <w:pPr>
              <w:pStyle w:val="P68B1DB1-Normal11"/>
              <w:jc w:val="center"/>
              <w:rPr>
                <w:noProof/>
                <w:szCs w:val="20"/>
              </w:rPr>
            </w:pPr>
            <w:r>
              <w:rPr>
                <w:noProof/>
              </w:rPr>
              <w:t>EI OLE</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92DF8D9" w14:textId="77777777" w:rsidR="00E42B18" w:rsidRDefault="009629C4">
            <w:pPr>
              <w:pStyle w:val="P68B1DB1-Normal11"/>
              <w:jc w:val="center"/>
              <w:rPr>
                <w:noProof/>
                <w:szCs w:val="20"/>
              </w:rPr>
            </w:pPr>
            <w:r>
              <w:rPr>
                <w:noProof/>
              </w:rPr>
              <w:t>EI OLE</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3B08B21" w14:textId="77777777" w:rsidR="00E42B18" w:rsidRDefault="009629C4">
            <w:pPr>
              <w:pStyle w:val="P68B1DB1-Normal11"/>
              <w:jc w:val="center"/>
              <w:rPr>
                <w:noProof/>
                <w:szCs w:val="20"/>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6D632DA" w14:textId="77777777" w:rsidR="00E42B18" w:rsidRDefault="009629C4">
            <w:pPr>
              <w:pStyle w:val="P68B1DB1-Normal11"/>
              <w:jc w:val="center"/>
              <w:rPr>
                <w:noProof/>
                <w:szCs w:val="20"/>
              </w:rPr>
            </w:pPr>
            <w:r>
              <w:rPr>
                <w:noProof/>
              </w:rPr>
              <w:t>2023</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69A213" w14:textId="77777777" w:rsidR="00E42B18" w:rsidRDefault="009629C4">
            <w:pPr>
              <w:pStyle w:val="P68B1DB1-Normal11"/>
              <w:rPr>
                <w:rFonts w:eastAsia="Calibri"/>
                <w:noProof/>
                <w:szCs w:val="20"/>
              </w:rPr>
            </w:pPr>
            <w:r>
              <w:rPr>
                <w:noProof/>
              </w:rPr>
              <w:t>Julkisia hankintoja koskevien sopimusten tekemisestä ilmoittaminen, jossa on oltava vähintään yksi seuraavista osista:</w:t>
            </w:r>
          </w:p>
          <w:p w14:paraId="497B7451" w14:textId="77777777" w:rsidR="00E42B18" w:rsidRDefault="009629C4">
            <w:pPr>
              <w:pStyle w:val="P68B1DB1-Normal11"/>
              <w:rPr>
                <w:noProof/>
                <w:szCs w:val="20"/>
              </w:rPr>
            </w:pPr>
            <w:r>
              <w:rPr>
                <w:noProof/>
              </w:rPr>
              <w:t>1. uusien urheilutilojen rakentaminen maan epäsuotuisilla alueilla;</w:t>
            </w:r>
          </w:p>
          <w:p w14:paraId="202A10DC" w14:textId="77777777" w:rsidR="00E42B18" w:rsidRDefault="009629C4">
            <w:pPr>
              <w:pStyle w:val="P68B1DB1-Normal11"/>
              <w:rPr>
                <w:noProof/>
                <w:szCs w:val="20"/>
              </w:rPr>
            </w:pPr>
            <w:r>
              <w:rPr>
                <w:noProof/>
              </w:rPr>
              <w:t>2. urheiluvälineiden tarjoaminen, mukaan lukien teknologian soveltaminen urheiluun);</w:t>
            </w:r>
          </w:p>
          <w:p w14:paraId="08D57BB3" w14:textId="77777777" w:rsidR="00E42B18" w:rsidRDefault="009629C4">
            <w:pPr>
              <w:pStyle w:val="P68B1DB1-Normal11"/>
              <w:rPr>
                <w:rFonts w:eastAsia="Calibri"/>
                <w:noProof/>
                <w:szCs w:val="20"/>
              </w:rPr>
            </w:pPr>
            <w:r>
              <w:rPr>
                <w:noProof/>
              </w:rPr>
              <w:t>3. olemassa olevien urheilutilojen uudelleenkoulutus ja mukauttaminen (esimerkiksi: arkkitehtonisten esteiden poistaminen, energiatehokkuus jne.).</w:t>
            </w:r>
          </w:p>
          <w:p w14:paraId="00F74937" w14:textId="77777777" w:rsidR="00E42B18" w:rsidRDefault="009629C4">
            <w:pPr>
              <w:pStyle w:val="P68B1DB1-Normal11"/>
              <w:rPr>
                <w:noProof/>
                <w:szCs w:val="20"/>
              </w:rPr>
            </w:pPr>
            <w:r>
              <w:rPr>
                <w:noProof/>
              </w:rPr>
              <w:t>Hankkeen tavoitteena on varmistaa kaupunkialueiden elvyttäminen keskittymällä urheilulaitoksiin, jotta voidaan edistää sosiaalista osallisuutta ja integroitumista erityisesti Italian heikoimmassa asemassa olevilla alueilla.</w:t>
            </w:r>
          </w:p>
          <w:p w14:paraId="29C06586" w14:textId="77777777" w:rsidR="00E42B18" w:rsidRDefault="009629C4">
            <w:pPr>
              <w:pStyle w:val="P68B1DB1-Normal11"/>
              <w:rPr>
                <w:noProof/>
                <w:szCs w:val="20"/>
              </w:rPr>
            </w:pPr>
            <w:r>
              <w:rPr>
                <w:noProof/>
              </w:rPr>
              <w:t>Valintaperusteilla taataan, että vähintään 50 prosenttia investoinnista kohdennetaan uusiin rakennustöihin asetuksen (EU) 2021/241 liitteessä VI olevan alaviitteen 5 asiaankuuluvien vaatimusten mukaisesti.</w:t>
            </w:r>
          </w:p>
        </w:tc>
      </w:tr>
      <w:tr w:rsidR="00E42B18" w14:paraId="4156AF6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5877FF4" w14:textId="77777777" w:rsidR="00E42B18" w:rsidRDefault="009629C4">
            <w:pPr>
              <w:pStyle w:val="P68B1DB1-Normal11"/>
              <w:jc w:val="center"/>
              <w:rPr>
                <w:noProof/>
                <w:szCs w:val="20"/>
                <w:highlight w:val="yellow"/>
              </w:rPr>
            </w:pPr>
            <w:r>
              <w:rPr>
                <w:noProof/>
              </w:rPr>
              <w:t>M5C2–22</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A44623F" w14:textId="77777777" w:rsidR="00E42B18" w:rsidRDefault="009629C4">
            <w:pPr>
              <w:pStyle w:val="P68B1DB1-Normal12"/>
              <w:jc w:val="center"/>
              <w:rPr>
                <w:noProof/>
              </w:rPr>
            </w:pPr>
            <w:r>
              <w:rPr>
                <w:noProof/>
              </w:rPr>
              <w:t xml:space="preserve">Investointi 7 – Urheilu ja sosiaalinen osallisuus </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C79E3F9" w14:textId="77777777" w:rsidR="00E42B18" w:rsidRDefault="009629C4">
            <w:pPr>
              <w:pStyle w:val="P68B1DB1-Normal11"/>
              <w:jc w:val="center"/>
              <w:rPr>
                <w:noProof/>
                <w:szCs w:val="20"/>
              </w:rPr>
            </w:pPr>
            <w:r>
              <w:rPr>
                <w:noProof/>
              </w:rPr>
              <w:t>Kohde</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B2BC68A" w14:textId="77777777" w:rsidR="00E42B18" w:rsidRDefault="009629C4">
            <w:pPr>
              <w:pStyle w:val="P68B1DB1-Normal12"/>
              <w:jc w:val="center"/>
              <w:rPr>
                <w:noProof/>
              </w:rPr>
            </w:pPr>
            <w:r>
              <w:rPr>
                <w:noProof/>
              </w:rPr>
              <w:t xml:space="preserve"> Töiden valmistumisesta annetut todistukset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6C5201" w14:textId="77777777" w:rsidR="00E42B18" w:rsidRDefault="009629C4">
            <w:pPr>
              <w:pStyle w:val="P68B1DB1-Normal11"/>
              <w:jc w:val="center"/>
              <w:rPr>
                <w:noProof/>
                <w:szCs w:val="20"/>
              </w:rPr>
            </w:pPr>
            <w:r>
              <w:rPr>
                <w:noProof/>
              </w:rPr>
              <w:t>EI OLE</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92E134" w14:textId="77777777" w:rsidR="00E42B18" w:rsidRDefault="009629C4">
            <w:pPr>
              <w:pStyle w:val="P68B1DB1-Normal11"/>
              <w:jc w:val="center"/>
              <w:rPr>
                <w:noProof/>
                <w:szCs w:val="20"/>
              </w:rPr>
            </w:pPr>
            <w:r>
              <w:rPr>
                <w:noProof/>
              </w:rPr>
              <w:t>Numero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CD67702" w14:textId="77777777" w:rsidR="00E42B18" w:rsidRDefault="009629C4">
            <w:pPr>
              <w:pStyle w:val="P68B1DB1-Normal11"/>
              <w:jc w:val="center"/>
              <w:rPr>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A06FE1" w14:textId="77777777" w:rsidR="00E42B18" w:rsidRDefault="009629C4">
            <w:pPr>
              <w:pStyle w:val="P68B1DB1-Normal11"/>
              <w:jc w:val="center"/>
              <w:rPr>
                <w:noProof/>
                <w:szCs w:val="20"/>
              </w:rPr>
            </w:pPr>
            <w:r>
              <w:rPr>
                <w:noProof/>
              </w:rPr>
              <w:t>100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7F0D0A5" w14:textId="77777777" w:rsidR="00E42B18" w:rsidRDefault="009629C4">
            <w:pPr>
              <w:pStyle w:val="P68B1DB1-Normal11"/>
              <w:jc w:val="center"/>
              <w:rPr>
                <w:noProof/>
                <w:szCs w:val="20"/>
              </w:rPr>
            </w:pPr>
            <w:r>
              <w:rPr>
                <w:noProof/>
              </w:rPr>
              <w:t>Q2</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C8135D7" w14:textId="77777777" w:rsidR="00E42B18" w:rsidRDefault="009629C4">
            <w:pPr>
              <w:pStyle w:val="P68B1DB1-Normal11"/>
              <w:jc w:val="center"/>
              <w:rPr>
                <w:noProof/>
                <w:szCs w:val="20"/>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25FC8D" w14:textId="65179BBA" w:rsidR="00E42B18" w:rsidRDefault="009629C4">
            <w:pPr>
              <w:pStyle w:val="P68B1DB1-Normal12"/>
              <w:rPr>
                <w:noProof/>
              </w:rPr>
            </w:pPr>
            <w:r>
              <w:rPr>
                <w:noProof/>
              </w:rPr>
              <w:t>Todistukset sellaisten töiden loppuun saattamisesta, jotka on myönnetty vähintään 100:aa urheilutilojen rakentamiseen tai kunnostamiseen liittyvää toimenpidettä varten ja joiden kokonaispinta-ala on vähintään 200000 neliömetriä.</w:t>
            </w:r>
          </w:p>
        </w:tc>
      </w:tr>
    </w:tbl>
    <w:p w14:paraId="3592BCFC" w14:textId="77777777" w:rsidR="00E42B18" w:rsidRDefault="00E42B18">
      <w:pPr>
        <w:keepNext/>
        <w:tabs>
          <w:tab w:val="left" w:pos="4252"/>
        </w:tabs>
        <w:spacing w:before="720"/>
        <w:jc w:val="both"/>
        <w:rPr>
          <w:i/>
          <w:noProof/>
        </w:rPr>
        <w:sectPr w:rsidR="00E42B18" w:rsidSect="005F11B9">
          <w:headerReference w:type="even" r:id="rId254"/>
          <w:headerReference w:type="default" r:id="rId255"/>
          <w:footerReference w:type="even" r:id="rId256"/>
          <w:footerReference w:type="default" r:id="rId257"/>
          <w:headerReference w:type="first" r:id="rId258"/>
          <w:footerReference w:type="first" r:id="rId259"/>
          <w:pgSz w:w="20160" w:h="12240" w:orient="landscape"/>
          <w:pgMar w:top="1440" w:right="1440" w:bottom="1440" w:left="1440" w:header="709" w:footer="709" w:gutter="0"/>
          <w:cols w:space="720"/>
          <w:docGrid w:linePitch="360"/>
        </w:sectPr>
      </w:pPr>
    </w:p>
    <w:p w14:paraId="5968D17C" w14:textId="77777777" w:rsidR="00E42B18" w:rsidRDefault="009629C4">
      <w:pPr>
        <w:pStyle w:val="P68B1DB1-Heading23"/>
        <w:ind w:left="1080"/>
        <w:rPr>
          <w:noProof/>
        </w:rPr>
      </w:pPr>
      <w:r>
        <w:rPr>
          <w:noProof/>
        </w:rPr>
        <w:t>N. MISSION 5 KOMPONENTTI 3: Alueellista yhteenkuuluvuutta koskevat erityistoimet</w:t>
      </w:r>
    </w:p>
    <w:p w14:paraId="253955E5" w14:textId="77777777" w:rsidR="00E42B18" w:rsidRDefault="009629C4">
      <w:pPr>
        <w:pStyle w:val="P68B1DB1-Normal7"/>
        <w:tabs>
          <w:tab w:val="left" w:pos="1134"/>
        </w:tabs>
        <w:spacing w:before="120" w:after="120"/>
        <w:jc w:val="both"/>
        <w:rPr>
          <w:rFonts w:eastAsia="Calibri"/>
          <w:noProof/>
        </w:rPr>
      </w:pPr>
      <w:r>
        <w:rPr>
          <w:noProof/>
        </w:rPr>
        <w:t xml:space="preserve">Tämä elpymis- ja palautumissuunnitelman osa-alue sisältää kaksi toiminta-alaa: sisä-, syrjä- ja vuoristoalueiden selviytymiskykyä koskeva suunnitelma; hankkeet etelän kehittämiseksi, mukaan lukien investoinnit koulutusköyhyyden torjumiseen, maaseudun apteekkien vakiinnuttamiseen paikallisina terveyspalveluina, järjestäytyneen rikollisuuden takavarikoimien varojen lisäämiseen ja infrastruktuuri-investointeihin erityistalousalueilla. Näillä toimenpiteillä pyritään kaventamaan alueellista kuilua kolmella alalla: väestörakenne ja palvelut; taitojen kehittäminen; sijoittaminen. </w:t>
      </w:r>
    </w:p>
    <w:p w14:paraId="23A0EF7C" w14:textId="77777777" w:rsidR="00E42B18" w:rsidRDefault="009629C4">
      <w:pPr>
        <w:tabs>
          <w:tab w:val="left" w:pos="1134"/>
        </w:tabs>
        <w:spacing w:before="120" w:after="120"/>
        <w:jc w:val="both"/>
        <w:rPr>
          <w:rFonts w:ascii="Times New Roman" w:eastAsia="Calibri" w:hAnsi="Times New Roman" w:cs="Times New Roman"/>
          <w:noProof/>
        </w:rPr>
      </w:pPr>
      <w:r>
        <w:rPr>
          <w:rFonts w:ascii="Times New Roman" w:hAnsi="Times New Roman" w:cs="Times New Roman"/>
          <w:noProof/>
        </w:rPr>
        <w:t xml:space="preserve">Tähän osa-alueeseen kuuluvilla investoinneilla ja uudistuksilla edistetään Italialle vuosina 2019 ja 2020 osoitettujen maakohtaisten suositusten noudattamista tarpeesta edistää tutkimukseen ja innovointiin sekä infrastruktuurin laatuun liittyvää talouspolitiikkaa, jossa otetaan huomioon alueelliset erot (maakohtainen suositus 2019.3); </w:t>
      </w:r>
      <w:r>
        <w:rPr>
          <w:rStyle w:val="normaltextrun"/>
          <w:rFonts w:ascii="Times New Roman" w:hAnsi="Times New Roman" w:cs="Times New Roman"/>
          <w:noProof/>
          <w:shd w:val="clear" w:color="auto" w:fill="FFFFFF"/>
        </w:rPr>
        <w:t xml:space="preserve">”koulutustulosten parantaminen” (maakohtainen suositus 2019.2); Terveydenhuoltojärjestelmän häiriönsietokyvyn ja valmiuksien vahvistaminen [...] (maakohtainen suositus 2020.1); ”riittävän [...] ja sosiaalisen suojelun saatavuuden varmistaminen” (maakohtainen suositus 2020.2). </w:t>
      </w:r>
    </w:p>
    <w:p w14:paraId="701031D9" w14:textId="77777777" w:rsidR="00E42B18" w:rsidRDefault="00E42B18">
      <w:pPr>
        <w:spacing w:before="120" w:after="120"/>
        <w:jc w:val="both"/>
        <w:rPr>
          <w:rFonts w:ascii="Times New Roman" w:hAnsi="Times New Roman" w:cs="Times New Roman"/>
          <w:noProof/>
        </w:rPr>
      </w:pPr>
    </w:p>
    <w:p w14:paraId="38554ED0" w14:textId="77777777" w:rsidR="00E42B18" w:rsidRDefault="009629C4">
      <w:pPr>
        <w:pStyle w:val="P68B1DB1-Heading39"/>
        <w:ind w:left="850" w:hanging="850"/>
        <w:rPr>
          <w:b/>
          <w:bCs/>
          <w:i/>
          <w:iCs/>
          <w:noProof/>
          <w:color w:val="156082" w:themeColor="accent1"/>
          <w:u w:val="single"/>
        </w:rPr>
      </w:pPr>
      <w:r>
        <w:rPr>
          <w:b/>
          <w:noProof/>
          <w:u w:val="single"/>
        </w:rPr>
        <w:t xml:space="preserve">N.1 </w:t>
      </w:r>
      <w:r>
        <w:rPr>
          <w:noProof/>
        </w:rPr>
        <w:t xml:space="preserve"> </w:t>
      </w:r>
      <w:r>
        <w:rPr>
          <w:b/>
          <w:noProof/>
          <w:u w:val="single"/>
        </w:rPr>
        <w:t>Kuvaus uudistuksista ja investoinneista, joita rahoitetaan rahoitustuella, jota ei makseta takaisin</w:t>
      </w:r>
    </w:p>
    <w:p w14:paraId="3BBD5A81" w14:textId="77777777" w:rsidR="00E42B18" w:rsidRDefault="009629C4">
      <w:pPr>
        <w:pStyle w:val="P68B1DB1-Normal5"/>
        <w:spacing w:before="120" w:after="120"/>
        <w:jc w:val="both"/>
        <w:rPr>
          <w:bCs/>
          <w:noProof/>
        </w:rPr>
      </w:pPr>
      <w:r>
        <w:rPr>
          <w:noProof/>
        </w:rPr>
        <w:t>Investointi 1.1. Sisäalueet – 1: Yhteisöllisten sosiaalipalvelujen ja -infrastruktuurien parantaminen</w:t>
      </w:r>
    </w:p>
    <w:p w14:paraId="1388650F" w14:textId="4AB17F5B" w:rsidR="00E42B18" w:rsidRDefault="009629C4">
      <w:pPr>
        <w:pStyle w:val="P68B1DB1-Normal7"/>
        <w:spacing w:before="120" w:after="120"/>
        <w:jc w:val="both"/>
        <w:rPr>
          <w:noProof/>
        </w:rPr>
      </w:pPr>
      <w:r>
        <w:rPr>
          <w:noProof/>
        </w:rPr>
        <w:t xml:space="preserve">Toimenpiteellä pyritään puuttumaan sosiaaliseen syrjäytymiseen ja syrjäytymiseen liittyviin ongelmiin tehostamalla palvelujen tarjontaa lisäämällä varoja paikallisviranomaisten tarjoamiin julkisiin palveluihin (toteutusmekanismi koostuu avustusten myöntämisestä kunnille). Rahoitetut hankkeet voivat koskea vanhusten kotihoitopalvelut; yhteisön sairaanhoitajat ja kätilöt; pienten sairaaloiden (ilman ensiapua) tai joidenkin peruspalvelujen (esim. radiologia, kardiologia, gynekologia) ja avohoitokeskusten vahvistaminen; helikopterien pelastusinfrastruktuurit; vammaisten tukikeskusten vahvistaminen; neuvontakeskukset, kulttuuripalvelut, urheilupalvelut ja maahanmuuttajien vastaanotto. Interventiossa on joko luotava uusia palveluja ja infrastruktuureja tai parannettava olemassa olevia palveluja ja infrastruktuureja lisäämällä vastaanottajien määrää tai tarjonnan laatua. </w:t>
      </w:r>
    </w:p>
    <w:p w14:paraId="7299BA2D" w14:textId="77777777" w:rsidR="00E42B18" w:rsidRDefault="009629C4">
      <w:pPr>
        <w:spacing w:before="120" w:after="120"/>
        <w:jc w:val="both"/>
        <w:rPr>
          <w:rFonts w:ascii="Times New Roman" w:hAnsi="Times New Roman" w:cs="Times New Roman"/>
          <w:b/>
          <w:bCs/>
          <w:noProof/>
        </w:rPr>
      </w:pPr>
      <w:r>
        <w:rPr>
          <w:rFonts w:ascii="Times New Roman" w:hAnsi="Times New Roman" w:cs="Times New Roman"/>
          <w:noProof/>
        </w:rPr>
        <w:t>Sen varmistamiseksi, että toimenpide noudattaa teknistä ohjetta ”ei merkittävää haittaa” (2021/C58/01), tulevien hankepyyntöjen tehtävänmääritykseen sisältyviin tukikelpoisuusperusteisiin ei lueta seuraavia toimintoja:</w:t>
      </w:r>
      <w:r>
        <w:rPr>
          <w:rFonts w:ascii="Times New Roman" w:hAnsi="Times New Roman" w:cs="Times New Roman"/>
          <w:noProof/>
          <w:color w:val="FF0000"/>
        </w:rPr>
        <w:t xml:space="preserve"> </w:t>
      </w:r>
      <w:r>
        <w:rPr>
          <w:rFonts w:ascii="Times New Roman" w:hAnsi="Times New Roman" w:cs="Times New Roman"/>
          <w:noProof/>
        </w:rPr>
        <w:t>I) fossiilisiin polttoaineisiin liittyvä toiminta, mukaan lukien käyttö tuotantoketjun loppupäässä</w:t>
      </w:r>
      <w:r>
        <w:rPr>
          <w:rStyle w:val="FootnoteReference"/>
          <w:rFonts w:ascii="Times New Roman" w:hAnsi="Times New Roman" w:cs="Times New Roman"/>
          <w:noProof/>
        </w:rPr>
        <w:footnoteReference w:id="93"/>
      </w:r>
      <w:r>
        <w:rPr>
          <w:rFonts w:ascii="Times New Roman" w:hAnsi="Times New Roman" w:cs="Times New Roman"/>
          <w:noProof/>
        </w:rPr>
        <w:t>; II) EU:n päästökauppajärjestelmään kuuluvat toimet, joilla saavutetaan ennustetut kasvihuonekaasupäästöt, jotka eivät alita asiaankuuluvia vertailuarvoja</w:t>
      </w:r>
      <w:r>
        <w:rPr>
          <w:rStyle w:val="FootnoteReference"/>
          <w:rFonts w:ascii="Times New Roman" w:hAnsi="Times New Roman" w:cs="Times New Roman"/>
          <w:noProof/>
        </w:rPr>
        <w:footnoteReference w:id="94"/>
      </w:r>
      <w:r>
        <w:rPr>
          <w:rFonts w:ascii="Times New Roman" w:hAnsi="Times New Roman" w:cs="Times New Roman"/>
          <w:noProof/>
        </w:rPr>
        <w:t>; III) jätteen kaatopaikkoihin, polttolaitoksiin</w:t>
      </w:r>
      <w:r>
        <w:rPr>
          <w:rStyle w:val="FootnoteReference"/>
          <w:rFonts w:ascii="Times New Roman" w:hAnsi="Times New Roman" w:cs="Times New Roman"/>
          <w:noProof/>
        </w:rPr>
        <w:footnoteReference w:id="95"/>
      </w:r>
      <w:r>
        <w:rPr>
          <w:rFonts w:ascii="Times New Roman" w:hAnsi="Times New Roman" w:cs="Times New Roman"/>
          <w:noProof/>
        </w:rPr>
        <w:t xml:space="preserve"> ja mekaanisiin biologisiin käsittelylaitoksiin liittyvät toiminnot</w:t>
      </w:r>
      <w:r>
        <w:rPr>
          <w:rStyle w:val="FootnoteReference"/>
          <w:rFonts w:ascii="Times New Roman" w:hAnsi="Times New Roman" w:cs="Times New Roman"/>
          <w:noProof/>
        </w:rPr>
        <w:footnoteReference w:id="96"/>
      </w:r>
      <w:r>
        <w:rPr>
          <w:rFonts w:ascii="Times New Roman" w:hAnsi="Times New Roman" w:cs="Times New Roman"/>
          <w:noProof/>
        </w:rPr>
        <w:t>; ja iv) toiminnot, joissa jätteiden pitkän aikavälin loppukäsittely voi aiheuttaa haittaa ympäristölle. Tehtävänkuvauksessa edellytetään lisäksi, että voidaan valita ainoastaan toimintoja, jotka ovat asiaa koskevan EU:n ja kansallisen ympäristölainsäädännön mukaisia.</w:t>
      </w:r>
    </w:p>
    <w:p w14:paraId="0E88465D" w14:textId="77777777" w:rsidR="00E42B18" w:rsidRDefault="009629C4">
      <w:pPr>
        <w:pStyle w:val="P68B1DB1-Normal5"/>
        <w:spacing w:before="120" w:after="120"/>
        <w:jc w:val="both"/>
        <w:rPr>
          <w:bCs/>
          <w:noProof/>
        </w:rPr>
      </w:pPr>
      <w:r>
        <w:rPr>
          <w:noProof/>
        </w:rPr>
        <w:t xml:space="preserve">Investointi 1.1.2: Lähiterveydenhuoltopalvelut </w:t>
      </w:r>
    </w:p>
    <w:p w14:paraId="1D00148F" w14:textId="77777777" w:rsidR="00E42B18" w:rsidRDefault="009629C4">
      <w:pPr>
        <w:pStyle w:val="P68B1DB1-Normal7"/>
        <w:spacing w:before="120" w:after="120"/>
        <w:jc w:val="both"/>
        <w:rPr>
          <w:b/>
          <w:noProof/>
        </w:rPr>
      </w:pPr>
      <w:r>
        <w:rPr>
          <w:noProof/>
        </w:rPr>
        <w:t>Toimenpiteen tavoitteena on vahvistaa maaseudun apteekkien roolia paikalliselle väestölle tarjottavien terveyspalvelujen, kuten integroidun kotihoidon ja potilaiden seurannan, tarjoamisessa, mikä puolestaan helpottaa potilaan ja kansallisen terveydenhuoltojärjestelmän vuorovaikutusta. Investointi koostuu taloudellisen tuen myöntämisestä maaseutuapteekeille.</w:t>
      </w:r>
    </w:p>
    <w:p w14:paraId="27218353" w14:textId="77777777" w:rsidR="00E42B18" w:rsidRDefault="009629C4">
      <w:pPr>
        <w:pStyle w:val="P68B1DB1-Normal5"/>
        <w:jc w:val="both"/>
        <w:rPr>
          <w:bCs/>
          <w:noProof/>
        </w:rPr>
      </w:pPr>
      <w:r>
        <w:rPr>
          <w:noProof/>
        </w:rPr>
        <w:t>Investointi 1.3: Rakenteelliset sosiaalipedagogiset toimet koulutusköyhyyden torjumiseksi etelässä kolmannen sektorin tukemiseksi</w:t>
      </w:r>
    </w:p>
    <w:p w14:paraId="700F0740" w14:textId="57A4AD01" w:rsidR="00E42B18" w:rsidRDefault="009629C4">
      <w:pPr>
        <w:pStyle w:val="P68B1DB1-Normal7"/>
        <w:spacing w:before="120" w:after="120"/>
        <w:jc w:val="both"/>
        <w:rPr>
          <w:noProof/>
        </w:rPr>
      </w:pPr>
      <w:r>
        <w:rPr>
          <w:noProof/>
        </w:rPr>
        <w:t>Toimenpiteen tavoitteena on tarjota alaikäisille sosiaali- ja koulutuspalveluja, parantaa lastenhoidon saatavuutta ja koulutusmahdollisuuksia sekä ehkäistä koulunkäynnin keskeyttämistä ja koulunkäynnin keskeyttämistä. Investointi koostuu kolmannen sektorin organisaatioiden johtamista koulutustukitoimista.</w:t>
      </w:r>
    </w:p>
    <w:p w14:paraId="4BB7C4AB" w14:textId="77777777" w:rsidR="00E42B18" w:rsidRDefault="00E42B18">
      <w:pPr>
        <w:spacing w:before="120" w:after="120"/>
        <w:jc w:val="both"/>
        <w:rPr>
          <w:rFonts w:ascii="Times New Roman" w:hAnsi="Times New Roman" w:cs="Times New Roman"/>
          <w:noProof/>
        </w:rPr>
        <w:sectPr w:rsidR="00E42B18" w:rsidSect="005F11B9">
          <w:headerReference w:type="even" r:id="rId260"/>
          <w:headerReference w:type="default" r:id="rId261"/>
          <w:footerReference w:type="even" r:id="rId262"/>
          <w:footerReference w:type="default" r:id="rId263"/>
          <w:headerReference w:type="first" r:id="rId264"/>
          <w:footerReference w:type="first" r:id="rId265"/>
          <w:pgSz w:w="11907" w:h="16839"/>
          <w:pgMar w:top="720" w:right="720" w:bottom="720" w:left="720" w:header="709" w:footer="709" w:gutter="0"/>
          <w:cols w:space="720"/>
          <w:docGrid w:linePitch="360"/>
        </w:sectPr>
      </w:pPr>
    </w:p>
    <w:p w14:paraId="7336A3EA" w14:textId="77777777" w:rsidR="00E42B18" w:rsidRDefault="009629C4">
      <w:pPr>
        <w:pStyle w:val="P68B1DB1-Heading39"/>
        <w:ind w:left="850" w:hanging="850"/>
        <w:rPr>
          <w:b/>
          <w:bCs/>
          <w:i/>
          <w:iCs/>
          <w:noProof/>
        </w:rPr>
      </w:pPr>
      <w:r>
        <w:rPr>
          <w:b/>
          <w:noProof/>
        </w:rPr>
        <w:t xml:space="preserve">N.2 </w:t>
      </w:r>
      <w:r>
        <w:rPr>
          <w:noProof/>
        </w:rPr>
        <w:t xml:space="preserve"> </w:t>
      </w:r>
      <w:r>
        <w:rPr>
          <w:b/>
          <w:noProof/>
        </w:rPr>
        <w:t>Seurantaa ja täytäntöönpanoa koskevat välitavoitteet, tavoitteet, indikaattorit ja aikataulu – rahoitustuki, jota ei makseta takaisin</w:t>
      </w:r>
    </w:p>
    <w:tbl>
      <w:tblPr>
        <w:tblW w:w="1576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7"/>
        <w:gridCol w:w="1772"/>
        <w:gridCol w:w="1412"/>
        <w:gridCol w:w="1559"/>
        <w:gridCol w:w="1560"/>
        <w:gridCol w:w="1134"/>
        <w:gridCol w:w="1134"/>
        <w:gridCol w:w="992"/>
        <w:gridCol w:w="916"/>
        <w:gridCol w:w="812"/>
        <w:gridCol w:w="3271"/>
      </w:tblGrid>
      <w:tr w:rsidR="00E42B18" w14:paraId="4DFB6C73" w14:textId="77777777" w:rsidTr="0097361F">
        <w:trPr>
          <w:trHeight w:val="927"/>
          <w:tblHeader/>
        </w:trPr>
        <w:tc>
          <w:tcPr>
            <w:tcW w:w="1207" w:type="dxa"/>
            <w:vMerge w:val="restart"/>
            <w:shd w:val="clear" w:color="auto" w:fill="BDD7EE"/>
            <w:vAlign w:val="center"/>
            <w:hideMark/>
          </w:tcPr>
          <w:p w14:paraId="123B2E96" w14:textId="77777777" w:rsidR="00E42B18" w:rsidRDefault="009629C4">
            <w:pPr>
              <w:pStyle w:val="P68B1DB1-Normal10"/>
              <w:jc w:val="center"/>
              <w:rPr>
                <w:noProof/>
                <w:szCs w:val="20"/>
              </w:rPr>
            </w:pPr>
            <w:r>
              <w:rPr>
                <w:noProof/>
              </w:rPr>
              <w:t>Juokseva numero</w:t>
            </w:r>
          </w:p>
        </w:tc>
        <w:tc>
          <w:tcPr>
            <w:tcW w:w="1772" w:type="dxa"/>
            <w:vMerge w:val="restart"/>
            <w:shd w:val="clear" w:color="auto" w:fill="BDD7EE"/>
            <w:vAlign w:val="center"/>
            <w:hideMark/>
          </w:tcPr>
          <w:p w14:paraId="0376FD99" w14:textId="77777777" w:rsidR="00E42B18" w:rsidRDefault="009629C4">
            <w:pPr>
              <w:pStyle w:val="P68B1DB1-Normal10"/>
              <w:jc w:val="center"/>
              <w:rPr>
                <w:noProof/>
                <w:szCs w:val="20"/>
              </w:rPr>
            </w:pPr>
            <w:r>
              <w:rPr>
                <w:noProof/>
              </w:rPr>
              <w:t>Toimenpide (uudistus tai investointi)</w:t>
            </w:r>
          </w:p>
        </w:tc>
        <w:tc>
          <w:tcPr>
            <w:tcW w:w="1412" w:type="dxa"/>
            <w:vMerge w:val="restart"/>
            <w:shd w:val="clear" w:color="auto" w:fill="BDD7EE"/>
            <w:vAlign w:val="center"/>
            <w:hideMark/>
          </w:tcPr>
          <w:p w14:paraId="06EB868A" w14:textId="77777777" w:rsidR="00E42B18" w:rsidRDefault="009629C4">
            <w:pPr>
              <w:pStyle w:val="P68B1DB1-Normal10"/>
              <w:jc w:val="center"/>
              <w:rPr>
                <w:noProof/>
                <w:szCs w:val="20"/>
              </w:rPr>
            </w:pPr>
            <w:r>
              <w:rPr>
                <w:noProof/>
              </w:rPr>
              <w:t>Välitavoite/tavoite</w:t>
            </w:r>
          </w:p>
        </w:tc>
        <w:tc>
          <w:tcPr>
            <w:tcW w:w="1559" w:type="dxa"/>
            <w:vMerge w:val="restart"/>
            <w:shd w:val="clear" w:color="auto" w:fill="BDD7EE"/>
            <w:vAlign w:val="center"/>
            <w:hideMark/>
          </w:tcPr>
          <w:p w14:paraId="14951934" w14:textId="77777777" w:rsidR="00E42B18" w:rsidRDefault="009629C4">
            <w:pPr>
              <w:pStyle w:val="P68B1DB1-Normal10"/>
              <w:jc w:val="center"/>
              <w:rPr>
                <w:noProof/>
                <w:szCs w:val="20"/>
              </w:rPr>
            </w:pPr>
            <w:r>
              <w:rPr>
                <w:noProof/>
              </w:rPr>
              <w:t>Nimi</w:t>
            </w:r>
          </w:p>
        </w:tc>
        <w:tc>
          <w:tcPr>
            <w:tcW w:w="1560" w:type="dxa"/>
            <w:vMerge w:val="restart"/>
            <w:shd w:val="clear" w:color="auto" w:fill="BDD7EE"/>
            <w:vAlign w:val="center"/>
            <w:hideMark/>
          </w:tcPr>
          <w:p w14:paraId="36F494CA" w14:textId="7777777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260" w:type="dxa"/>
            <w:gridSpan w:val="3"/>
            <w:shd w:val="clear" w:color="auto" w:fill="BDD7EE"/>
            <w:vAlign w:val="center"/>
            <w:hideMark/>
          </w:tcPr>
          <w:p w14:paraId="5FFCEC5D"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728" w:type="dxa"/>
            <w:gridSpan w:val="2"/>
            <w:shd w:val="clear" w:color="auto" w:fill="BDD7EE"/>
            <w:vAlign w:val="center"/>
            <w:hideMark/>
          </w:tcPr>
          <w:p w14:paraId="0504839B" w14:textId="77777777" w:rsidR="00E42B18" w:rsidRDefault="009629C4">
            <w:pPr>
              <w:pStyle w:val="P68B1DB1-Normal10"/>
              <w:jc w:val="center"/>
              <w:rPr>
                <w:noProof/>
                <w:szCs w:val="20"/>
              </w:rPr>
            </w:pPr>
            <w:r>
              <w:rPr>
                <w:noProof/>
              </w:rPr>
              <w:t>Alustava toteutusaikataulu</w:t>
            </w:r>
          </w:p>
        </w:tc>
        <w:tc>
          <w:tcPr>
            <w:tcW w:w="3271" w:type="dxa"/>
            <w:vMerge w:val="restart"/>
            <w:shd w:val="clear" w:color="auto" w:fill="BDD7EE"/>
            <w:vAlign w:val="center"/>
            <w:hideMark/>
          </w:tcPr>
          <w:p w14:paraId="1939804B" w14:textId="77777777" w:rsidR="00E42B18" w:rsidRDefault="009629C4">
            <w:pPr>
              <w:pStyle w:val="P68B1DB1-Normal10"/>
              <w:jc w:val="center"/>
              <w:rPr>
                <w:noProof/>
                <w:szCs w:val="20"/>
              </w:rPr>
            </w:pPr>
            <w:r>
              <w:rPr>
                <w:noProof/>
              </w:rPr>
              <w:t>Kunkin välitavoitteen ja tavoitteen kuvaus</w:t>
            </w:r>
          </w:p>
        </w:tc>
      </w:tr>
      <w:tr w:rsidR="00E42B18" w14:paraId="27677DB2" w14:textId="77777777" w:rsidTr="0097361F">
        <w:trPr>
          <w:trHeight w:val="1013"/>
          <w:tblHeader/>
        </w:trPr>
        <w:tc>
          <w:tcPr>
            <w:tcW w:w="1207" w:type="dxa"/>
            <w:vMerge/>
            <w:vAlign w:val="center"/>
            <w:hideMark/>
          </w:tcPr>
          <w:p w14:paraId="417C6240" w14:textId="77777777" w:rsidR="00E42B18" w:rsidRDefault="00E42B18">
            <w:pPr>
              <w:jc w:val="center"/>
              <w:rPr>
                <w:rFonts w:ascii="Arial Narrow" w:hAnsi="Arial Narrow"/>
                <w:b/>
                <w:noProof/>
                <w:sz w:val="20"/>
                <w:szCs w:val="20"/>
              </w:rPr>
            </w:pPr>
          </w:p>
        </w:tc>
        <w:tc>
          <w:tcPr>
            <w:tcW w:w="1772" w:type="dxa"/>
            <w:vMerge/>
            <w:vAlign w:val="center"/>
            <w:hideMark/>
          </w:tcPr>
          <w:p w14:paraId="5BD20F5C" w14:textId="77777777" w:rsidR="00E42B18" w:rsidRDefault="00E42B18">
            <w:pPr>
              <w:jc w:val="center"/>
              <w:rPr>
                <w:rFonts w:ascii="Arial Narrow" w:hAnsi="Arial Narrow"/>
                <w:b/>
                <w:noProof/>
                <w:sz w:val="20"/>
                <w:szCs w:val="20"/>
              </w:rPr>
            </w:pPr>
          </w:p>
        </w:tc>
        <w:tc>
          <w:tcPr>
            <w:tcW w:w="1412" w:type="dxa"/>
            <w:vMerge/>
            <w:vAlign w:val="center"/>
            <w:hideMark/>
          </w:tcPr>
          <w:p w14:paraId="24A41BA8" w14:textId="77777777" w:rsidR="00E42B18" w:rsidRDefault="00E42B18">
            <w:pPr>
              <w:jc w:val="center"/>
              <w:rPr>
                <w:rFonts w:ascii="Arial Narrow" w:hAnsi="Arial Narrow"/>
                <w:b/>
                <w:noProof/>
                <w:sz w:val="20"/>
                <w:szCs w:val="20"/>
              </w:rPr>
            </w:pPr>
          </w:p>
        </w:tc>
        <w:tc>
          <w:tcPr>
            <w:tcW w:w="1559" w:type="dxa"/>
            <w:vMerge/>
            <w:vAlign w:val="center"/>
            <w:hideMark/>
          </w:tcPr>
          <w:p w14:paraId="46C5D0B3" w14:textId="77777777" w:rsidR="00E42B18" w:rsidRDefault="00E42B18">
            <w:pPr>
              <w:jc w:val="center"/>
              <w:rPr>
                <w:rFonts w:ascii="Arial Narrow" w:hAnsi="Arial Narrow"/>
                <w:b/>
                <w:noProof/>
                <w:sz w:val="20"/>
                <w:szCs w:val="20"/>
              </w:rPr>
            </w:pPr>
          </w:p>
        </w:tc>
        <w:tc>
          <w:tcPr>
            <w:tcW w:w="1560" w:type="dxa"/>
            <w:vMerge/>
            <w:vAlign w:val="center"/>
            <w:hideMark/>
          </w:tcPr>
          <w:p w14:paraId="2DE4469C" w14:textId="77777777" w:rsidR="00E42B18" w:rsidRDefault="00E42B18">
            <w:pPr>
              <w:jc w:val="center"/>
              <w:rPr>
                <w:rFonts w:ascii="Arial Narrow" w:hAnsi="Arial Narrow"/>
                <w:b/>
                <w:noProof/>
                <w:sz w:val="20"/>
                <w:szCs w:val="20"/>
              </w:rPr>
            </w:pPr>
          </w:p>
        </w:tc>
        <w:tc>
          <w:tcPr>
            <w:tcW w:w="1134" w:type="dxa"/>
            <w:shd w:val="clear" w:color="auto" w:fill="BDD7EE"/>
            <w:vAlign w:val="center"/>
            <w:hideMark/>
          </w:tcPr>
          <w:p w14:paraId="29759182" w14:textId="77777777" w:rsidR="00E42B18" w:rsidRDefault="009629C4">
            <w:pPr>
              <w:pStyle w:val="P68B1DB1-Normal10"/>
              <w:jc w:val="center"/>
              <w:rPr>
                <w:noProof/>
                <w:szCs w:val="20"/>
              </w:rPr>
            </w:pPr>
            <w:r>
              <w:rPr>
                <w:noProof/>
              </w:rPr>
              <w:t>Mitta-yksikkö</w:t>
            </w:r>
          </w:p>
        </w:tc>
        <w:tc>
          <w:tcPr>
            <w:tcW w:w="1134" w:type="dxa"/>
            <w:shd w:val="clear" w:color="auto" w:fill="BDD7EE"/>
            <w:vAlign w:val="center"/>
            <w:hideMark/>
          </w:tcPr>
          <w:p w14:paraId="1E5C02F8" w14:textId="77777777" w:rsidR="00E42B18" w:rsidRDefault="009629C4">
            <w:pPr>
              <w:pStyle w:val="P68B1DB1-Normal10"/>
              <w:jc w:val="center"/>
              <w:rPr>
                <w:noProof/>
                <w:szCs w:val="20"/>
              </w:rPr>
            </w:pPr>
            <w:r>
              <w:rPr>
                <w:noProof/>
              </w:rPr>
              <w:t>Lähtötilanne</w:t>
            </w:r>
          </w:p>
        </w:tc>
        <w:tc>
          <w:tcPr>
            <w:tcW w:w="992" w:type="dxa"/>
            <w:shd w:val="clear" w:color="auto" w:fill="BDD7EE"/>
            <w:vAlign w:val="center"/>
            <w:hideMark/>
          </w:tcPr>
          <w:p w14:paraId="4AEA964C" w14:textId="77777777" w:rsidR="00E42B18" w:rsidRDefault="009629C4">
            <w:pPr>
              <w:pStyle w:val="P68B1DB1-Normal10"/>
              <w:jc w:val="center"/>
              <w:rPr>
                <w:noProof/>
                <w:szCs w:val="20"/>
              </w:rPr>
            </w:pPr>
            <w:r>
              <w:rPr>
                <w:noProof/>
              </w:rPr>
              <w:t>Päämäärä</w:t>
            </w:r>
          </w:p>
        </w:tc>
        <w:tc>
          <w:tcPr>
            <w:tcW w:w="916" w:type="dxa"/>
            <w:shd w:val="clear" w:color="auto" w:fill="BDD7EE"/>
            <w:vAlign w:val="center"/>
            <w:hideMark/>
          </w:tcPr>
          <w:p w14:paraId="2494AFE9" w14:textId="77777777" w:rsidR="00E42B18" w:rsidRDefault="009629C4">
            <w:pPr>
              <w:pStyle w:val="P68B1DB1-Normal10"/>
              <w:jc w:val="center"/>
              <w:rPr>
                <w:noProof/>
                <w:szCs w:val="20"/>
              </w:rPr>
            </w:pPr>
            <w:r>
              <w:rPr>
                <w:noProof/>
              </w:rPr>
              <w:t>Neljännes</w:t>
            </w:r>
          </w:p>
        </w:tc>
        <w:tc>
          <w:tcPr>
            <w:tcW w:w="812" w:type="dxa"/>
            <w:shd w:val="clear" w:color="auto" w:fill="BDD7EE"/>
            <w:vAlign w:val="center"/>
            <w:hideMark/>
          </w:tcPr>
          <w:p w14:paraId="772D505D" w14:textId="77777777" w:rsidR="00E42B18" w:rsidRDefault="009629C4">
            <w:pPr>
              <w:pStyle w:val="P68B1DB1-Normal10"/>
              <w:jc w:val="center"/>
              <w:rPr>
                <w:noProof/>
                <w:szCs w:val="20"/>
              </w:rPr>
            </w:pPr>
            <w:r>
              <w:rPr>
                <w:noProof/>
              </w:rPr>
              <w:t>Vuosi</w:t>
            </w:r>
          </w:p>
        </w:tc>
        <w:tc>
          <w:tcPr>
            <w:tcW w:w="3271" w:type="dxa"/>
            <w:vMerge/>
            <w:vAlign w:val="center"/>
            <w:hideMark/>
          </w:tcPr>
          <w:p w14:paraId="2070EE02" w14:textId="77777777" w:rsidR="00E42B18" w:rsidRDefault="00E42B18">
            <w:pPr>
              <w:jc w:val="center"/>
              <w:rPr>
                <w:rFonts w:ascii="Arial Narrow" w:hAnsi="Arial Narrow"/>
                <w:b/>
                <w:noProof/>
                <w:sz w:val="20"/>
                <w:szCs w:val="20"/>
              </w:rPr>
            </w:pPr>
          </w:p>
        </w:tc>
      </w:tr>
      <w:tr w:rsidR="00E42B18" w14:paraId="7567A1AC" w14:textId="77777777" w:rsidTr="0097361F">
        <w:trPr>
          <w:trHeight w:val="309"/>
        </w:trPr>
        <w:tc>
          <w:tcPr>
            <w:tcW w:w="1207" w:type="dxa"/>
            <w:shd w:val="clear" w:color="auto" w:fill="C6EFCE"/>
            <w:noWrap/>
            <w:vAlign w:val="center"/>
            <w:hideMark/>
          </w:tcPr>
          <w:p w14:paraId="484DEDA1" w14:textId="77777777" w:rsidR="00E42B18" w:rsidRDefault="009629C4">
            <w:pPr>
              <w:pStyle w:val="P68B1DB1-Normal11"/>
              <w:jc w:val="center"/>
              <w:rPr>
                <w:noProof/>
                <w:szCs w:val="20"/>
              </w:rPr>
            </w:pPr>
            <w:r>
              <w:rPr>
                <w:noProof/>
              </w:rPr>
              <w:t>M5C3–1</w:t>
            </w:r>
          </w:p>
        </w:tc>
        <w:tc>
          <w:tcPr>
            <w:tcW w:w="1772" w:type="dxa"/>
            <w:shd w:val="clear" w:color="auto" w:fill="C6EFCE"/>
            <w:noWrap/>
            <w:vAlign w:val="center"/>
            <w:hideMark/>
          </w:tcPr>
          <w:p w14:paraId="70A21CC4" w14:textId="77777777" w:rsidR="00E42B18" w:rsidRDefault="009629C4">
            <w:pPr>
              <w:pStyle w:val="P68B1DB1-Normal11"/>
              <w:jc w:val="center"/>
              <w:rPr>
                <w:noProof/>
                <w:szCs w:val="20"/>
              </w:rPr>
            </w:pPr>
            <w:r>
              <w:rPr>
                <w:noProof/>
              </w:rPr>
              <w:t>Investointi 1.1.1: Sisäalueet – Yhteisöllisten sosiaalipalvelujen ja -infrastruktuurien parantaminen</w:t>
            </w:r>
          </w:p>
        </w:tc>
        <w:tc>
          <w:tcPr>
            <w:tcW w:w="1412" w:type="dxa"/>
            <w:shd w:val="clear" w:color="auto" w:fill="C6EFCE"/>
            <w:noWrap/>
            <w:vAlign w:val="center"/>
            <w:hideMark/>
          </w:tcPr>
          <w:p w14:paraId="16367EE5" w14:textId="77777777" w:rsidR="00E42B18" w:rsidRDefault="009629C4">
            <w:pPr>
              <w:pStyle w:val="P68B1DB1-Normal11"/>
              <w:jc w:val="center"/>
              <w:rPr>
                <w:noProof/>
                <w:szCs w:val="20"/>
              </w:rPr>
            </w:pPr>
            <w:r>
              <w:rPr>
                <w:noProof/>
              </w:rPr>
              <w:t>Virstanpylväs</w:t>
            </w:r>
          </w:p>
        </w:tc>
        <w:tc>
          <w:tcPr>
            <w:tcW w:w="1559" w:type="dxa"/>
            <w:shd w:val="clear" w:color="auto" w:fill="C6EFCE"/>
            <w:noWrap/>
            <w:vAlign w:val="center"/>
            <w:hideMark/>
          </w:tcPr>
          <w:p w14:paraId="43AEDC0D" w14:textId="77777777" w:rsidR="00E42B18" w:rsidRDefault="009629C4">
            <w:pPr>
              <w:pStyle w:val="P68B1DB1-Normal11"/>
              <w:jc w:val="center"/>
              <w:rPr>
                <w:noProof/>
                <w:szCs w:val="20"/>
              </w:rPr>
            </w:pPr>
            <w:r>
              <w:rPr>
                <w:noProof/>
              </w:rPr>
              <w:t>Tarjouskilpailun myöntäminen toimenpiteistä sosiaalipalvelujen ja -infrastruktuurien parantamiseksi sisäalueilla sekä apteekkien tukemisesta alle 3000 asukkaan kunnissa</w:t>
            </w:r>
          </w:p>
        </w:tc>
        <w:tc>
          <w:tcPr>
            <w:tcW w:w="1560" w:type="dxa"/>
            <w:shd w:val="clear" w:color="auto" w:fill="C6EFCE"/>
            <w:noWrap/>
            <w:vAlign w:val="center"/>
            <w:hideMark/>
          </w:tcPr>
          <w:p w14:paraId="263CB5CB" w14:textId="77777777" w:rsidR="00E42B18" w:rsidRDefault="009629C4">
            <w:pPr>
              <w:pStyle w:val="P68B1DB1-Normal11"/>
              <w:jc w:val="center"/>
              <w:rPr>
                <w:noProof/>
                <w:szCs w:val="20"/>
              </w:rPr>
            </w:pPr>
            <w:r>
              <w:rPr>
                <w:noProof/>
              </w:rPr>
              <w:t>Ilmoitus kaikkien tukitoimia koskevien julkisten hankintasopimusten tekemisestä</w:t>
            </w:r>
          </w:p>
        </w:tc>
        <w:tc>
          <w:tcPr>
            <w:tcW w:w="1134" w:type="dxa"/>
            <w:shd w:val="clear" w:color="auto" w:fill="C6EFCE"/>
            <w:noWrap/>
            <w:vAlign w:val="center"/>
            <w:hideMark/>
          </w:tcPr>
          <w:p w14:paraId="0216E2C6"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hideMark/>
          </w:tcPr>
          <w:p w14:paraId="430677FB" w14:textId="77777777" w:rsidR="00E42B18" w:rsidRDefault="009629C4">
            <w:pPr>
              <w:pStyle w:val="P68B1DB1-Normal11"/>
              <w:jc w:val="center"/>
              <w:rPr>
                <w:noProof/>
                <w:szCs w:val="20"/>
              </w:rPr>
            </w:pPr>
            <w:r>
              <w:rPr>
                <w:noProof/>
              </w:rPr>
              <w:t>EI OLE</w:t>
            </w:r>
          </w:p>
        </w:tc>
        <w:tc>
          <w:tcPr>
            <w:tcW w:w="992" w:type="dxa"/>
            <w:shd w:val="clear" w:color="auto" w:fill="C6EFCE"/>
            <w:noWrap/>
            <w:vAlign w:val="center"/>
            <w:hideMark/>
          </w:tcPr>
          <w:p w14:paraId="6A35BEE9" w14:textId="77777777" w:rsidR="00E42B18" w:rsidRDefault="009629C4">
            <w:pPr>
              <w:pStyle w:val="P68B1DB1-Normal11"/>
              <w:jc w:val="center"/>
              <w:rPr>
                <w:noProof/>
                <w:szCs w:val="20"/>
              </w:rPr>
            </w:pPr>
            <w:r>
              <w:rPr>
                <w:noProof/>
              </w:rPr>
              <w:t>EI OLE</w:t>
            </w:r>
          </w:p>
        </w:tc>
        <w:tc>
          <w:tcPr>
            <w:tcW w:w="916" w:type="dxa"/>
            <w:shd w:val="clear" w:color="auto" w:fill="C6EFCE"/>
            <w:noWrap/>
            <w:vAlign w:val="center"/>
            <w:hideMark/>
          </w:tcPr>
          <w:p w14:paraId="2AE9E29D" w14:textId="77777777" w:rsidR="00E42B18" w:rsidRDefault="009629C4">
            <w:pPr>
              <w:pStyle w:val="P68B1DB1-Normal11"/>
              <w:jc w:val="center"/>
              <w:rPr>
                <w:noProof/>
                <w:szCs w:val="20"/>
              </w:rPr>
            </w:pPr>
            <w:r>
              <w:rPr>
                <w:noProof/>
              </w:rPr>
              <w:t>Q4</w:t>
            </w:r>
          </w:p>
        </w:tc>
        <w:tc>
          <w:tcPr>
            <w:tcW w:w="812" w:type="dxa"/>
            <w:shd w:val="clear" w:color="auto" w:fill="C6EFCE"/>
            <w:noWrap/>
            <w:vAlign w:val="center"/>
            <w:hideMark/>
          </w:tcPr>
          <w:p w14:paraId="69A75F13" w14:textId="77777777" w:rsidR="00E42B18" w:rsidRDefault="009629C4">
            <w:pPr>
              <w:pStyle w:val="P68B1DB1-Normal11"/>
              <w:jc w:val="center"/>
              <w:rPr>
                <w:noProof/>
                <w:szCs w:val="20"/>
              </w:rPr>
            </w:pPr>
            <w:r>
              <w:rPr>
                <w:noProof/>
              </w:rPr>
              <w:t>2022</w:t>
            </w:r>
          </w:p>
        </w:tc>
        <w:tc>
          <w:tcPr>
            <w:tcW w:w="3271" w:type="dxa"/>
            <w:shd w:val="clear" w:color="auto" w:fill="C6EFCE"/>
            <w:noWrap/>
            <w:vAlign w:val="center"/>
            <w:hideMark/>
          </w:tcPr>
          <w:p w14:paraId="54F74507" w14:textId="77777777" w:rsidR="00E42B18" w:rsidRDefault="009629C4">
            <w:pPr>
              <w:pStyle w:val="P68B1DB1-Normal11"/>
              <w:rPr>
                <w:noProof/>
                <w:szCs w:val="20"/>
              </w:rPr>
            </w:pPr>
            <w:r>
              <w:rPr>
                <w:noProof/>
              </w:rPr>
              <w:t>Interventiolla luodaan uusia palveluja ja infrastruktuureja tai parannetaan olemassa olevia palveluja ja infrastruktuureja lisäämällä vastaanottajien määrää tai tarjonnan laatua.</w:t>
            </w:r>
          </w:p>
          <w:p w14:paraId="2D1FF150" w14:textId="77777777" w:rsidR="00E42B18" w:rsidRDefault="009629C4">
            <w:pPr>
              <w:pStyle w:val="P68B1DB1-Normal11"/>
              <w:rPr>
                <w:noProof/>
                <w:szCs w:val="20"/>
              </w:rPr>
            </w:pPr>
            <w:r>
              <w:rPr>
                <w:noProof/>
              </w:rPr>
              <w:t>Kaikkien kilpailuun perustuvien ehdotuspyyntöjen käynnistämisessä on noudatettava tehtävänmäärittelyä, mukaan lukien tukikelpoisuusperusteet, joilla varmistetaan, että valitut hankkeet ovat ”ei merkittävää haittaa” -periaatetta koskevien teknisten ohjeiden (2021/C58/01) mukaisia, käyttämällä poissulkemisluetteloa ja noudattamalla asiaa koskevaa EU:n ja kansallista ympäristölainsäädäntöä.</w:t>
            </w:r>
          </w:p>
          <w:p w14:paraId="3D7966C0" w14:textId="77777777" w:rsidR="00E42B18" w:rsidRDefault="009629C4">
            <w:pPr>
              <w:pStyle w:val="P68B1DB1-Normal11"/>
              <w:rPr>
                <w:noProof/>
                <w:szCs w:val="20"/>
              </w:rPr>
            </w:pPr>
            <w:r>
              <w:rPr>
                <w:noProof/>
              </w:rPr>
              <w:t>Sisemmät alueet ovat Strategia Nazionale Aree Internessä määriteltyjä alueita; Maaseutuapteekit määritellään lain perusteella. 27.3.1968, nro 221.</w:t>
            </w:r>
          </w:p>
        </w:tc>
      </w:tr>
      <w:tr w:rsidR="00E42B18" w14:paraId="3A53744E" w14:textId="77777777" w:rsidTr="0097361F">
        <w:trPr>
          <w:trHeight w:val="309"/>
        </w:trPr>
        <w:tc>
          <w:tcPr>
            <w:tcW w:w="1207" w:type="dxa"/>
            <w:shd w:val="clear" w:color="auto" w:fill="C6EFCE"/>
            <w:noWrap/>
            <w:vAlign w:val="center"/>
            <w:hideMark/>
          </w:tcPr>
          <w:p w14:paraId="23B24018" w14:textId="77777777" w:rsidR="00E42B18" w:rsidRDefault="009629C4">
            <w:pPr>
              <w:pStyle w:val="P68B1DB1-Normal11"/>
              <w:jc w:val="center"/>
              <w:rPr>
                <w:noProof/>
                <w:szCs w:val="20"/>
              </w:rPr>
            </w:pPr>
            <w:r>
              <w:rPr>
                <w:noProof/>
              </w:rPr>
              <w:t>M5C3–3</w:t>
            </w:r>
          </w:p>
        </w:tc>
        <w:tc>
          <w:tcPr>
            <w:tcW w:w="1772" w:type="dxa"/>
            <w:shd w:val="clear" w:color="auto" w:fill="C6EFCE"/>
            <w:noWrap/>
            <w:vAlign w:val="center"/>
            <w:hideMark/>
          </w:tcPr>
          <w:p w14:paraId="08518EE5" w14:textId="77777777" w:rsidR="00E42B18" w:rsidRDefault="009629C4">
            <w:pPr>
              <w:pStyle w:val="P68B1DB1-Normal11"/>
              <w:jc w:val="center"/>
              <w:rPr>
                <w:noProof/>
                <w:szCs w:val="20"/>
              </w:rPr>
            </w:pPr>
            <w:r>
              <w:rPr>
                <w:noProof/>
              </w:rPr>
              <w:t>Investointi 1.1.2: Terveydenhuollon alueellinen läheisyys</w:t>
            </w:r>
          </w:p>
        </w:tc>
        <w:tc>
          <w:tcPr>
            <w:tcW w:w="1412" w:type="dxa"/>
            <w:shd w:val="clear" w:color="auto" w:fill="C6EFCE"/>
            <w:noWrap/>
            <w:vAlign w:val="center"/>
            <w:hideMark/>
          </w:tcPr>
          <w:p w14:paraId="3BE3A72E" w14:textId="77777777" w:rsidR="00E42B18" w:rsidRDefault="009629C4">
            <w:pPr>
              <w:pStyle w:val="P68B1DB1-Normal11"/>
              <w:jc w:val="center"/>
              <w:rPr>
                <w:noProof/>
                <w:szCs w:val="20"/>
              </w:rPr>
            </w:pPr>
            <w:r>
              <w:rPr>
                <w:noProof/>
              </w:rPr>
              <w:t>Kohde</w:t>
            </w:r>
          </w:p>
        </w:tc>
        <w:tc>
          <w:tcPr>
            <w:tcW w:w="1559" w:type="dxa"/>
            <w:shd w:val="clear" w:color="auto" w:fill="C6EFCE"/>
            <w:noWrap/>
            <w:vAlign w:val="center"/>
            <w:hideMark/>
          </w:tcPr>
          <w:p w14:paraId="27916E33" w14:textId="77777777" w:rsidR="00E42B18" w:rsidRDefault="009629C4">
            <w:pPr>
              <w:pStyle w:val="P68B1DB1-Normal11"/>
              <w:jc w:val="center"/>
              <w:rPr>
                <w:noProof/>
                <w:szCs w:val="20"/>
              </w:rPr>
            </w:pPr>
            <w:r>
              <w:rPr>
                <w:noProof/>
              </w:rPr>
              <w:t>Tuki alle 5000 asukkaan kuntien, hamletien tai asutusalueiden maaseutuapteekeille (ensimmäinen erä)</w:t>
            </w:r>
          </w:p>
        </w:tc>
        <w:tc>
          <w:tcPr>
            <w:tcW w:w="1560" w:type="dxa"/>
            <w:shd w:val="clear" w:color="auto" w:fill="C6EFCE"/>
            <w:noWrap/>
            <w:vAlign w:val="center"/>
            <w:hideMark/>
          </w:tcPr>
          <w:p w14:paraId="113D4FE1"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hideMark/>
          </w:tcPr>
          <w:p w14:paraId="782E2ACD" w14:textId="77777777" w:rsidR="00E42B18" w:rsidRDefault="009629C4">
            <w:pPr>
              <w:pStyle w:val="P68B1DB1-Normal11"/>
              <w:jc w:val="center"/>
              <w:rPr>
                <w:noProof/>
                <w:szCs w:val="20"/>
              </w:rPr>
            </w:pPr>
            <w:r>
              <w:rPr>
                <w:noProof/>
              </w:rPr>
              <w:t>Numero</w:t>
            </w:r>
          </w:p>
        </w:tc>
        <w:tc>
          <w:tcPr>
            <w:tcW w:w="1134" w:type="dxa"/>
            <w:shd w:val="clear" w:color="auto" w:fill="C6EFCE"/>
            <w:noWrap/>
            <w:vAlign w:val="center"/>
            <w:hideMark/>
          </w:tcPr>
          <w:p w14:paraId="1E2CDFEE" w14:textId="77777777" w:rsidR="00E42B18" w:rsidRDefault="009629C4">
            <w:pPr>
              <w:pStyle w:val="P68B1DB1-Normal11"/>
              <w:jc w:val="center"/>
              <w:rPr>
                <w:noProof/>
                <w:szCs w:val="20"/>
              </w:rPr>
            </w:pPr>
            <w:r>
              <w:rPr>
                <w:noProof/>
              </w:rPr>
              <w:t>0</w:t>
            </w:r>
          </w:p>
        </w:tc>
        <w:tc>
          <w:tcPr>
            <w:tcW w:w="992" w:type="dxa"/>
            <w:shd w:val="clear" w:color="auto" w:fill="C6EFCE"/>
            <w:noWrap/>
            <w:vAlign w:val="center"/>
            <w:hideMark/>
          </w:tcPr>
          <w:p w14:paraId="3A975ED7" w14:textId="77777777" w:rsidR="00E42B18" w:rsidRDefault="009629C4">
            <w:pPr>
              <w:pStyle w:val="P68B1DB1-Normal11"/>
              <w:jc w:val="center"/>
              <w:rPr>
                <w:noProof/>
                <w:szCs w:val="20"/>
              </w:rPr>
            </w:pPr>
            <w:r>
              <w:rPr>
                <w:noProof/>
              </w:rPr>
              <w:t>500</w:t>
            </w:r>
          </w:p>
        </w:tc>
        <w:tc>
          <w:tcPr>
            <w:tcW w:w="916" w:type="dxa"/>
            <w:shd w:val="clear" w:color="auto" w:fill="C6EFCE"/>
            <w:noWrap/>
            <w:vAlign w:val="center"/>
            <w:hideMark/>
          </w:tcPr>
          <w:p w14:paraId="5C1E2C7B" w14:textId="77777777" w:rsidR="00E42B18" w:rsidRDefault="009629C4">
            <w:pPr>
              <w:pStyle w:val="P68B1DB1-Normal11"/>
              <w:jc w:val="center"/>
              <w:rPr>
                <w:noProof/>
                <w:szCs w:val="20"/>
              </w:rPr>
            </w:pPr>
            <w:r>
              <w:rPr>
                <w:noProof/>
              </w:rPr>
              <w:t>Q4</w:t>
            </w:r>
          </w:p>
        </w:tc>
        <w:tc>
          <w:tcPr>
            <w:tcW w:w="812" w:type="dxa"/>
            <w:shd w:val="clear" w:color="auto" w:fill="C6EFCE"/>
            <w:noWrap/>
            <w:vAlign w:val="center"/>
            <w:hideMark/>
          </w:tcPr>
          <w:p w14:paraId="0C9D4460" w14:textId="77777777" w:rsidR="00E42B18" w:rsidRDefault="009629C4">
            <w:pPr>
              <w:pStyle w:val="P68B1DB1-Normal11"/>
              <w:jc w:val="center"/>
              <w:rPr>
                <w:noProof/>
                <w:szCs w:val="20"/>
              </w:rPr>
            </w:pPr>
            <w:r>
              <w:rPr>
                <w:noProof/>
              </w:rPr>
              <w:t>2023</w:t>
            </w:r>
          </w:p>
        </w:tc>
        <w:tc>
          <w:tcPr>
            <w:tcW w:w="3271" w:type="dxa"/>
            <w:shd w:val="clear" w:color="auto" w:fill="C6EFCE"/>
            <w:noWrap/>
            <w:vAlign w:val="center"/>
            <w:hideMark/>
          </w:tcPr>
          <w:p w14:paraId="0854DA9D" w14:textId="77777777" w:rsidR="00E42B18" w:rsidRDefault="009629C4">
            <w:pPr>
              <w:rPr>
                <w:rFonts w:ascii="Arial Narrow" w:hAnsi="Arial Narrow"/>
                <w:noProof/>
                <w:color w:val="006100"/>
                <w:sz w:val="20"/>
                <w:szCs w:val="20"/>
              </w:rPr>
            </w:pPr>
            <w:r>
              <w:rPr>
                <w:rFonts w:ascii="Arial Narrow" w:hAnsi="Arial Narrow"/>
                <w:noProof/>
                <w:color w:val="006100"/>
                <w:sz w:val="20"/>
              </w:rPr>
              <w:t>Interventiosta hyötyvät vähintään 500 maaseutuapteekkia alle 5000 asukkaan kunnissa, hameleissa tai asutuskeskuksissa.</w:t>
            </w:r>
          </w:p>
        </w:tc>
      </w:tr>
      <w:tr w:rsidR="00E42B18" w14:paraId="2CEE913C" w14:textId="77777777" w:rsidTr="0097361F">
        <w:trPr>
          <w:trHeight w:val="309"/>
        </w:trPr>
        <w:tc>
          <w:tcPr>
            <w:tcW w:w="1207" w:type="dxa"/>
            <w:shd w:val="clear" w:color="auto" w:fill="C6EFCE"/>
            <w:noWrap/>
            <w:vAlign w:val="center"/>
            <w:hideMark/>
          </w:tcPr>
          <w:p w14:paraId="2EA1A1D0" w14:textId="77777777" w:rsidR="00E42B18" w:rsidRDefault="009629C4">
            <w:pPr>
              <w:pStyle w:val="P68B1DB1-Normal11"/>
              <w:jc w:val="center"/>
              <w:rPr>
                <w:noProof/>
                <w:szCs w:val="20"/>
              </w:rPr>
            </w:pPr>
            <w:r>
              <w:rPr>
                <w:noProof/>
              </w:rPr>
              <w:t>M5C3–4</w:t>
            </w:r>
          </w:p>
        </w:tc>
        <w:tc>
          <w:tcPr>
            <w:tcW w:w="1772" w:type="dxa"/>
            <w:shd w:val="clear" w:color="auto" w:fill="C6EFCE"/>
            <w:noWrap/>
            <w:vAlign w:val="center"/>
            <w:hideMark/>
          </w:tcPr>
          <w:p w14:paraId="09C97B5D" w14:textId="77777777" w:rsidR="00E42B18" w:rsidRDefault="009629C4">
            <w:pPr>
              <w:pStyle w:val="P68B1DB1-Normal11"/>
              <w:jc w:val="center"/>
              <w:rPr>
                <w:noProof/>
                <w:szCs w:val="20"/>
              </w:rPr>
            </w:pPr>
            <w:r>
              <w:rPr>
                <w:noProof/>
              </w:rPr>
              <w:t>Investointi 1.1.2: Terveydenhuollon alueellinen läheisyys</w:t>
            </w:r>
          </w:p>
        </w:tc>
        <w:tc>
          <w:tcPr>
            <w:tcW w:w="1412" w:type="dxa"/>
            <w:shd w:val="clear" w:color="auto" w:fill="C6EFCE"/>
            <w:noWrap/>
            <w:vAlign w:val="center"/>
            <w:hideMark/>
          </w:tcPr>
          <w:p w14:paraId="118E4740" w14:textId="77777777" w:rsidR="00E42B18" w:rsidRDefault="009629C4">
            <w:pPr>
              <w:pStyle w:val="P68B1DB1-Normal12"/>
              <w:jc w:val="center"/>
              <w:rPr>
                <w:noProof/>
              </w:rPr>
            </w:pPr>
            <w:r>
              <w:rPr>
                <w:noProof/>
              </w:rPr>
              <w:t>Virstanpylväs</w:t>
            </w:r>
          </w:p>
        </w:tc>
        <w:tc>
          <w:tcPr>
            <w:tcW w:w="1559" w:type="dxa"/>
            <w:shd w:val="clear" w:color="auto" w:fill="C6EFCE"/>
            <w:noWrap/>
            <w:vAlign w:val="center"/>
            <w:hideMark/>
          </w:tcPr>
          <w:p w14:paraId="1A501906" w14:textId="77777777" w:rsidR="00E42B18" w:rsidRDefault="009629C4">
            <w:pPr>
              <w:pStyle w:val="P68B1DB1-Normal12"/>
              <w:jc w:val="center"/>
              <w:rPr>
                <w:noProof/>
              </w:rPr>
            </w:pPr>
            <w:r>
              <w:rPr>
                <w:noProof/>
              </w:rPr>
              <w:t>Tuki alle 5000 asukkaan kuntien, hamletien tai asutusalueiden maaseutuapteekeille (toinen erä)</w:t>
            </w:r>
          </w:p>
        </w:tc>
        <w:tc>
          <w:tcPr>
            <w:tcW w:w="1560" w:type="dxa"/>
            <w:shd w:val="clear" w:color="auto" w:fill="C6EFCE"/>
            <w:noWrap/>
            <w:vAlign w:val="center"/>
            <w:hideMark/>
          </w:tcPr>
          <w:p w14:paraId="0DDCCC8E" w14:textId="4BEB445E" w:rsidR="00E42B18" w:rsidRDefault="009629C4">
            <w:pPr>
              <w:pStyle w:val="P68B1DB1-Normal11"/>
              <w:jc w:val="center"/>
              <w:rPr>
                <w:noProof/>
                <w:szCs w:val="20"/>
              </w:rPr>
            </w:pPr>
            <w:r>
              <w:rPr>
                <w:noProof/>
              </w:rPr>
              <w:t>Lopullisen maksun sallivien asetusten antaminen</w:t>
            </w:r>
          </w:p>
        </w:tc>
        <w:tc>
          <w:tcPr>
            <w:tcW w:w="1134" w:type="dxa"/>
            <w:shd w:val="clear" w:color="auto" w:fill="C6EFCE"/>
            <w:noWrap/>
            <w:vAlign w:val="center"/>
            <w:hideMark/>
          </w:tcPr>
          <w:p w14:paraId="6AA0211A" w14:textId="77777777" w:rsidR="00E42B18" w:rsidRDefault="009629C4">
            <w:pPr>
              <w:pStyle w:val="P68B1DB1-Normal12"/>
              <w:jc w:val="center"/>
              <w:rPr>
                <w:noProof/>
              </w:rPr>
            </w:pPr>
            <w:r>
              <w:rPr>
                <w:noProof/>
              </w:rPr>
              <w:t>EI OLE</w:t>
            </w:r>
          </w:p>
        </w:tc>
        <w:tc>
          <w:tcPr>
            <w:tcW w:w="1134" w:type="dxa"/>
            <w:shd w:val="clear" w:color="auto" w:fill="C6EFCE"/>
            <w:noWrap/>
            <w:vAlign w:val="center"/>
            <w:hideMark/>
          </w:tcPr>
          <w:p w14:paraId="1C22C128" w14:textId="77777777" w:rsidR="00E42B18" w:rsidRDefault="009629C4">
            <w:pPr>
              <w:pStyle w:val="P68B1DB1-Normal12"/>
              <w:jc w:val="center"/>
              <w:rPr>
                <w:noProof/>
              </w:rPr>
            </w:pPr>
            <w:r>
              <w:rPr>
                <w:noProof/>
              </w:rPr>
              <w:t>EI OLE</w:t>
            </w:r>
          </w:p>
        </w:tc>
        <w:tc>
          <w:tcPr>
            <w:tcW w:w="992" w:type="dxa"/>
            <w:shd w:val="clear" w:color="auto" w:fill="C6EFCE"/>
            <w:noWrap/>
            <w:vAlign w:val="center"/>
            <w:hideMark/>
          </w:tcPr>
          <w:p w14:paraId="7C58E5C8" w14:textId="77777777" w:rsidR="00E42B18" w:rsidRDefault="009629C4">
            <w:pPr>
              <w:pStyle w:val="P68B1DB1-Normal12"/>
              <w:jc w:val="center"/>
              <w:rPr>
                <w:noProof/>
              </w:rPr>
            </w:pPr>
            <w:r>
              <w:rPr>
                <w:noProof/>
              </w:rPr>
              <w:t>EI OLE</w:t>
            </w:r>
          </w:p>
        </w:tc>
        <w:tc>
          <w:tcPr>
            <w:tcW w:w="916" w:type="dxa"/>
            <w:shd w:val="clear" w:color="auto" w:fill="C6EFCE"/>
            <w:noWrap/>
            <w:vAlign w:val="center"/>
            <w:hideMark/>
          </w:tcPr>
          <w:p w14:paraId="79742A15" w14:textId="77777777" w:rsidR="00E42B18" w:rsidRDefault="009629C4">
            <w:pPr>
              <w:pStyle w:val="P68B1DB1-Normal11"/>
              <w:jc w:val="center"/>
              <w:rPr>
                <w:noProof/>
                <w:szCs w:val="20"/>
              </w:rPr>
            </w:pPr>
            <w:r>
              <w:rPr>
                <w:noProof/>
              </w:rPr>
              <w:t>Q2</w:t>
            </w:r>
          </w:p>
        </w:tc>
        <w:tc>
          <w:tcPr>
            <w:tcW w:w="812" w:type="dxa"/>
            <w:shd w:val="clear" w:color="auto" w:fill="C6EFCE"/>
            <w:noWrap/>
            <w:vAlign w:val="center"/>
            <w:hideMark/>
          </w:tcPr>
          <w:p w14:paraId="787F4E5A" w14:textId="77777777" w:rsidR="00E42B18" w:rsidRDefault="009629C4">
            <w:pPr>
              <w:pStyle w:val="P68B1DB1-Normal11"/>
              <w:jc w:val="center"/>
              <w:rPr>
                <w:noProof/>
                <w:szCs w:val="20"/>
              </w:rPr>
            </w:pPr>
            <w:r>
              <w:rPr>
                <w:noProof/>
              </w:rPr>
              <w:t>2026</w:t>
            </w:r>
          </w:p>
        </w:tc>
        <w:tc>
          <w:tcPr>
            <w:tcW w:w="3271" w:type="dxa"/>
            <w:shd w:val="clear" w:color="auto" w:fill="C6EFCE"/>
            <w:noWrap/>
            <w:vAlign w:val="center"/>
            <w:hideMark/>
          </w:tcPr>
          <w:p w14:paraId="46EDD419" w14:textId="21C88792" w:rsidR="00E42B18" w:rsidRDefault="009629C4">
            <w:pPr>
              <w:rPr>
                <w:rFonts w:ascii="Arial Narrow" w:hAnsi="Arial Narrow"/>
                <w:noProof/>
                <w:color w:val="006100"/>
                <w:sz w:val="20"/>
                <w:szCs w:val="20"/>
              </w:rPr>
            </w:pPr>
            <w:r>
              <w:rPr>
                <w:rFonts w:ascii="Arial Narrow" w:hAnsi="Arial Narrow"/>
                <w:noProof/>
                <w:color w:val="006100"/>
                <w:sz w:val="20"/>
                <w:szCs w:val="20"/>
              </w:rPr>
              <w:t>Asetukset, joilla sallitaan loppuerän maksaminen vähintään 1500:lle alle 5000 asukkaan kunnissa, kylpylässä tai asutusalueella sijaitsevalle</w:t>
            </w:r>
            <w:r>
              <w:rPr>
                <w:noProof/>
                <w:sz w:val="23"/>
                <w:szCs w:val="23"/>
              </w:rPr>
              <w:t xml:space="preserve"> maaseutuapteekille. </w:t>
            </w:r>
          </w:p>
        </w:tc>
      </w:tr>
      <w:tr w:rsidR="00E42B18" w14:paraId="3E088823" w14:textId="77777777" w:rsidTr="0097361F">
        <w:trPr>
          <w:trHeight w:val="309"/>
        </w:trPr>
        <w:tc>
          <w:tcPr>
            <w:tcW w:w="1207" w:type="dxa"/>
            <w:shd w:val="clear" w:color="auto" w:fill="C6EFCE"/>
            <w:noWrap/>
            <w:vAlign w:val="center"/>
          </w:tcPr>
          <w:p w14:paraId="57466F94" w14:textId="77777777" w:rsidR="00E42B18" w:rsidRDefault="009629C4">
            <w:pPr>
              <w:pStyle w:val="P68B1DB1-Normal11"/>
              <w:jc w:val="center"/>
              <w:rPr>
                <w:noProof/>
                <w:szCs w:val="20"/>
              </w:rPr>
            </w:pPr>
            <w:r>
              <w:rPr>
                <w:noProof/>
              </w:rPr>
              <w:t>M5C3–8</w:t>
            </w:r>
          </w:p>
        </w:tc>
        <w:tc>
          <w:tcPr>
            <w:tcW w:w="1772" w:type="dxa"/>
            <w:shd w:val="clear" w:color="auto" w:fill="C6EFCE"/>
            <w:noWrap/>
            <w:vAlign w:val="center"/>
          </w:tcPr>
          <w:p w14:paraId="4433773A" w14:textId="77777777" w:rsidR="00E42B18" w:rsidRDefault="009629C4">
            <w:pPr>
              <w:pStyle w:val="P68B1DB1-Normal11"/>
              <w:jc w:val="center"/>
              <w:rPr>
                <w:noProof/>
                <w:szCs w:val="20"/>
              </w:rPr>
            </w:pPr>
            <w:r>
              <w:rPr>
                <w:noProof/>
              </w:rPr>
              <w:t>Investointi 1.3: Rakenteelliset sosiaalipedagogiset toimet koulutusköyhyyden torjumiseksi etelässä kolmannen sektorin tukemiseksi</w:t>
            </w:r>
          </w:p>
        </w:tc>
        <w:tc>
          <w:tcPr>
            <w:tcW w:w="1412" w:type="dxa"/>
            <w:shd w:val="clear" w:color="auto" w:fill="C6EFCE"/>
            <w:noWrap/>
            <w:vAlign w:val="center"/>
          </w:tcPr>
          <w:p w14:paraId="0571CC95" w14:textId="77777777" w:rsidR="00E42B18" w:rsidRDefault="009629C4">
            <w:pPr>
              <w:pStyle w:val="P68B1DB1-Normal11"/>
              <w:jc w:val="center"/>
              <w:rPr>
                <w:noProof/>
                <w:szCs w:val="20"/>
              </w:rPr>
            </w:pPr>
            <w:r>
              <w:rPr>
                <w:noProof/>
              </w:rPr>
              <w:t>Kohde</w:t>
            </w:r>
          </w:p>
        </w:tc>
        <w:tc>
          <w:tcPr>
            <w:tcW w:w="1559" w:type="dxa"/>
            <w:shd w:val="clear" w:color="auto" w:fill="C6EFCE"/>
            <w:noWrap/>
            <w:vAlign w:val="center"/>
          </w:tcPr>
          <w:p w14:paraId="79C221CE" w14:textId="77777777" w:rsidR="00E42B18" w:rsidRDefault="009629C4">
            <w:pPr>
              <w:pStyle w:val="P68B1DB1-Normal11"/>
              <w:jc w:val="center"/>
              <w:rPr>
                <w:noProof/>
                <w:szCs w:val="20"/>
              </w:rPr>
            </w:pPr>
            <w:r>
              <w:rPr>
                <w:noProof/>
              </w:rPr>
              <w:t>Koulutustuki alaikäisille (ensimmäinen erä)</w:t>
            </w:r>
          </w:p>
        </w:tc>
        <w:tc>
          <w:tcPr>
            <w:tcW w:w="1560" w:type="dxa"/>
            <w:shd w:val="clear" w:color="auto" w:fill="C6EFCE"/>
            <w:noWrap/>
            <w:vAlign w:val="center"/>
          </w:tcPr>
          <w:p w14:paraId="2797C616"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0497035A" w14:textId="77777777" w:rsidR="00E42B18" w:rsidRDefault="009629C4">
            <w:pPr>
              <w:pStyle w:val="P68B1DB1-Normal11"/>
              <w:jc w:val="center"/>
              <w:rPr>
                <w:noProof/>
                <w:szCs w:val="20"/>
              </w:rPr>
            </w:pPr>
            <w:r>
              <w:rPr>
                <w:noProof/>
              </w:rPr>
              <w:t>Numero</w:t>
            </w:r>
          </w:p>
        </w:tc>
        <w:tc>
          <w:tcPr>
            <w:tcW w:w="1134" w:type="dxa"/>
            <w:shd w:val="clear" w:color="auto" w:fill="C6EFCE"/>
            <w:noWrap/>
            <w:vAlign w:val="center"/>
          </w:tcPr>
          <w:p w14:paraId="30684081" w14:textId="77777777" w:rsidR="00E42B18" w:rsidRDefault="009629C4">
            <w:pPr>
              <w:pStyle w:val="P68B1DB1-Normal11"/>
              <w:jc w:val="center"/>
              <w:rPr>
                <w:noProof/>
                <w:szCs w:val="20"/>
              </w:rPr>
            </w:pPr>
            <w:r>
              <w:rPr>
                <w:noProof/>
              </w:rPr>
              <w:t>0</w:t>
            </w:r>
          </w:p>
        </w:tc>
        <w:tc>
          <w:tcPr>
            <w:tcW w:w="992" w:type="dxa"/>
            <w:shd w:val="clear" w:color="auto" w:fill="C6EFCE"/>
            <w:noWrap/>
            <w:vAlign w:val="center"/>
          </w:tcPr>
          <w:p w14:paraId="2A7F602B"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20</w:t>
            </w:r>
            <w:r>
              <w:rPr>
                <w:noProof/>
                <w:sz w:val="23"/>
                <w:szCs w:val="23"/>
              </w:rPr>
              <w:t xml:space="preserve"> </w:t>
            </w:r>
            <w:r>
              <w:rPr>
                <w:rFonts w:ascii="Arial Narrow" w:hAnsi="Arial Narrow"/>
                <w:noProof/>
                <w:color w:val="006100"/>
                <w:sz w:val="20"/>
              </w:rPr>
              <w:t>000</w:t>
            </w:r>
          </w:p>
        </w:tc>
        <w:tc>
          <w:tcPr>
            <w:tcW w:w="916" w:type="dxa"/>
            <w:shd w:val="clear" w:color="auto" w:fill="C6EFCE"/>
            <w:noWrap/>
            <w:vAlign w:val="center"/>
          </w:tcPr>
          <w:p w14:paraId="73991A26" w14:textId="77777777" w:rsidR="00E42B18" w:rsidRDefault="009629C4">
            <w:pPr>
              <w:pStyle w:val="P68B1DB1-Normal11"/>
              <w:jc w:val="center"/>
              <w:rPr>
                <w:noProof/>
                <w:szCs w:val="20"/>
              </w:rPr>
            </w:pPr>
            <w:r>
              <w:rPr>
                <w:noProof/>
              </w:rPr>
              <w:t>Q2</w:t>
            </w:r>
          </w:p>
        </w:tc>
        <w:tc>
          <w:tcPr>
            <w:tcW w:w="812" w:type="dxa"/>
            <w:shd w:val="clear" w:color="auto" w:fill="C6EFCE"/>
            <w:noWrap/>
            <w:vAlign w:val="center"/>
          </w:tcPr>
          <w:p w14:paraId="538D1D6A" w14:textId="77777777" w:rsidR="00E42B18" w:rsidRDefault="009629C4">
            <w:pPr>
              <w:pStyle w:val="P68B1DB1-Normal11"/>
              <w:jc w:val="center"/>
              <w:rPr>
                <w:noProof/>
                <w:szCs w:val="20"/>
              </w:rPr>
            </w:pPr>
            <w:r>
              <w:rPr>
                <w:noProof/>
              </w:rPr>
              <w:t>2023</w:t>
            </w:r>
          </w:p>
        </w:tc>
        <w:tc>
          <w:tcPr>
            <w:tcW w:w="3271" w:type="dxa"/>
            <w:shd w:val="clear" w:color="auto" w:fill="C6EFCE"/>
            <w:noWrap/>
            <w:vAlign w:val="center"/>
          </w:tcPr>
          <w:p w14:paraId="67AE3DDA" w14:textId="77777777" w:rsidR="00E42B18" w:rsidRDefault="009629C4">
            <w:pPr>
              <w:rPr>
                <w:rFonts w:ascii="Arial Narrow" w:hAnsi="Arial Narrow"/>
                <w:noProof/>
                <w:color w:val="006100"/>
                <w:sz w:val="20"/>
                <w:szCs w:val="20"/>
              </w:rPr>
            </w:pPr>
            <w:r>
              <w:rPr>
                <w:rFonts w:ascii="Arial Narrow" w:hAnsi="Arial Narrow"/>
                <w:noProof/>
                <w:color w:val="006100"/>
                <w:sz w:val="20"/>
              </w:rPr>
              <w:t>Vähintään 20000</w:t>
            </w:r>
            <w:r>
              <w:rPr>
                <w:noProof/>
                <w:sz w:val="23"/>
                <w:szCs w:val="23"/>
              </w:rPr>
              <w:t xml:space="preserve"> </w:t>
            </w:r>
            <w:r>
              <w:rPr>
                <w:rFonts w:ascii="Arial Narrow" w:hAnsi="Arial Narrow"/>
                <w:noProof/>
                <w:color w:val="006100"/>
                <w:sz w:val="20"/>
              </w:rPr>
              <w:t xml:space="preserve">enintään 17-vuotiasta alaikäistä saa koulutustukea. Koulutustukihankkeissa on keskityttävä johonkin seuraavista aloista: </w:t>
            </w:r>
          </w:p>
          <w:p w14:paraId="2287C5F0" w14:textId="77777777" w:rsidR="00E42B18" w:rsidRDefault="009629C4">
            <w:pPr>
              <w:pStyle w:val="P68B1DB1-Normal11"/>
              <w:rPr>
                <w:noProof/>
                <w:szCs w:val="20"/>
              </w:rPr>
            </w:pPr>
            <w:r>
              <w:rPr>
                <w:noProof/>
              </w:rPr>
              <w:t xml:space="preserve">• 0–6-vuotiaille lapsille suunnatut toimet, joilla pyritään parantamaan päiväkoti- ja päiväkotipalvelujen saatavuuden edellytyksiä ja tukemaan vanhemmuutta; </w:t>
            </w:r>
          </w:p>
          <w:p w14:paraId="4DC157B0" w14:textId="77777777" w:rsidR="00E42B18" w:rsidRDefault="009629C4">
            <w:pPr>
              <w:pStyle w:val="P68B1DB1-Normal11"/>
              <w:rPr>
                <w:noProof/>
                <w:szCs w:val="20"/>
              </w:rPr>
            </w:pPr>
            <w:r>
              <w:rPr>
                <w:noProof/>
              </w:rPr>
              <w:t xml:space="preserve">• 5–10-vuotiaille lapsille suunnatut toimet, joilla pyritään takaamaan tehokkaat koulutusmahdollisuudet ja ehkäisemään koulunkäynnin keskeyttämistä, kiusaamista ja muita ahdistusilmiöitä; </w:t>
            </w:r>
          </w:p>
          <w:p w14:paraId="0D4DCA11" w14:textId="77777777" w:rsidR="00E42B18" w:rsidRDefault="009629C4">
            <w:pPr>
              <w:pStyle w:val="P68B1DB1-Normal11"/>
              <w:rPr>
                <w:noProof/>
                <w:szCs w:val="20"/>
              </w:rPr>
            </w:pPr>
            <w:r>
              <w:rPr>
                <w:noProof/>
              </w:rPr>
              <w:t>• 11–17-vuotiaille lapsille suunnatut toimet, joilla pyritään parantamaan koulutustarjontaa ja ehkäisemään koulunkäynnin keskeyttämistä.</w:t>
            </w:r>
          </w:p>
          <w:p w14:paraId="7C4D9A74" w14:textId="77777777" w:rsidR="00E42B18" w:rsidRDefault="009629C4">
            <w:pPr>
              <w:pStyle w:val="P68B1DB1-Normal11"/>
              <w:rPr>
                <w:noProof/>
              </w:rPr>
            </w:pPr>
            <w:r>
              <w:rPr>
                <w:noProof/>
              </w:rPr>
              <w:t>Tarjouskilpailun pääkohdat:</w:t>
            </w:r>
          </w:p>
          <w:p w14:paraId="482B61C1" w14:textId="52A8D600" w:rsidR="00E42B18" w:rsidRDefault="009629C4">
            <w:pPr>
              <w:rPr>
                <w:rFonts w:ascii="Arial Narrow" w:hAnsi="Arial Narrow"/>
                <w:noProof/>
                <w:color w:val="006100"/>
                <w:sz w:val="20"/>
              </w:rPr>
            </w:pPr>
            <w:r>
              <w:rPr>
                <w:rFonts w:ascii="Arial Narrow" w:hAnsi="Arial Narrow"/>
                <w:noProof/>
                <w:color w:val="006100"/>
                <w:sz w:val="20"/>
              </w:rPr>
              <w:t xml:space="preserve"> — Julkisten ilmoitusten osuus on vähintään 50000000 euroa</w:t>
            </w:r>
            <w:r>
              <w:rPr>
                <w:noProof/>
                <w:sz w:val="23"/>
                <w:szCs w:val="23"/>
              </w:rPr>
              <w:t xml:space="preserve">  </w:t>
            </w:r>
            <w:r>
              <w:rPr>
                <w:rFonts w:ascii="Arial Narrow" w:hAnsi="Arial Narrow"/>
                <w:noProof/>
                <w:color w:val="006100"/>
                <w:sz w:val="20"/>
              </w:rPr>
              <w:t xml:space="preserve">kultakin </w:t>
            </w:r>
            <w:r>
              <w:rPr>
                <w:noProof/>
              </w:rPr>
              <w:t xml:space="preserve"> </w:t>
            </w:r>
            <w:r>
              <w:rPr>
                <w:noProof/>
              </w:rPr>
              <w:br/>
            </w:r>
            <w:r>
              <w:rPr>
                <w:rFonts w:ascii="Arial Narrow" w:hAnsi="Arial Narrow"/>
                <w:noProof/>
                <w:color w:val="006100"/>
                <w:sz w:val="20"/>
              </w:rPr>
              <w:t>— Kolmannen sektorin yhteisöjen hankkeiden on kestettävä vähintään yksi vuosi ja enintään kaksi vuotta.</w:t>
            </w:r>
          </w:p>
          <w:p w14:paraId="43520EA4" w14:textId="77777777" w:rsidR="00E42B18" w:rsidRDefault="009629C4">
            <w:pPr>
              <w:pStyle w:val="P68B1DB1-Normal11"/>
              <w:rPr>
                <w:noProof/>
                <w:szCs w:val="20"/>
              </w:rPr>
            </w:pPr>
            <w:r>
              <w:rPr>
                <w:noProof/>
              </w:rPr>
              <w:t>Toimet toteutetaan Abruzzon, Basilicatan, Campanian, Calabrian, Molisen, Puglian, Sardegnan ja Sisilian alueilla.</w:t>
            </w:r>
          </w:p>
        </w:tc>
      </w:tr>
      <w:tr w:rsidR="00E42B18" w14:paraId="6727CD77" w14:textId="77777777" w:rsidTr="0097361F">
        <w:trPr>
          <w:trHeight w:val="309"/>
        </w:trPr>
        <w:tc>
          <w:tcPr>
            <w:tcW w:w="1207" w:type="dxa"/>
            <w:shd w:val="clear" w:color="auto" w:fill="C6EFCE"/>
            <w:noWrap/>
            <w:vAlign w:val="center"/>
          </w:tcPr>
          <w:p w14:paraId="685B8965" w14:textId="77777777" w:rsidR="00E42B18" w:rsidRDefault="009629C4">
            <w:pPr>
              <w:pStyle w:val="P68B1DB1-Normal11"/>
              <w:jc w:val="center"/>
              <w:rPr>
                <w:noProof/>
                <w:szCs w:val="20"/>
              </w:rPr>
            </w:pPr>
            <w:r>
              <w:rPr>
                <w:noProof/>
              </w:rPr>
              <w:t>M5C3–9</w:t>
            </w:r>
          </w:p>
        </w:tc>
        <w:tc>
          <w:tcPr>
            <w:tcW w:w="1772" w:type="dxa"/>
            <w:shd w:val="clear" w:color="auto" w:fill="C6EFCE"/>
            <w:noWrap/>
            <w:vAlign w:val="center"/>
          </w:tcPr>
          <w:p w14:paraId="1AB2CA00" w14:textId="77777777" w:rsidR="00E42B18" w:rsidRDefault="009629C4">
            <w:pPr>
              <w:pStyle w:val="P68B1DB1-Normal11"/>
              <w:jc w:val="center"/>
              <w:rPr>
                <w:noProof/>
                <w:szCs w:val="20"/>
              </w:rPr>
            </w:pPr>
            <w:r>
              <w:rPr>
                <w:noProof/>
              </w:rPr>
              <w:t>Investointi1.3: Rakenteelliset sosiaalipedagogiset toimet koulutusköyhyyden torjumiseksi etelässä kolmannen sektorin tukemiseksi</w:t>
            </w:r>
          </w:p>
        </w:tc>
        <w:tc>
          <w:tcPr>
            <w:tcW w:w="1412" w:type="dxa"/>
            <w:shd w:val="clear" w:color="auto" w:fill="C6EFCE"/>
            <w:noWrap/>
            <w:vAlign w:val="center"/>
          </w:tcPr>
          <w:p w14:paraId="57FC2177" w14:textId="77777777" w:rsidR="00E42B18" w:rsidRDefault="009629C4">
            <w:pPr>
              <w:pStyle w:val="P68B1DB1-Normal11"/>
              <w:jc w:val="center"/>
              <w:rPr>
                <w:noProof/>
                <w:szCs w:val="20"/>
              </w:rPr>
            </w:pPr>
            <w:r>
              <w:rPr>
                <w:noProof/>
              </w:rPr>
              <w:t>Kohde</w:t>
            </w:r>
          </w:p>
        </w:tc>
        <w:tc>
          <w:tcPr>
            <w:tcW w:w="1559" w:type="dxa"/>
            <w:shd w:val="clear" w:color="auto" w:fill="C6EFCE"/>
            <w:noWrap/>
            <w:vAlign w:val="center"/>
          </w:tcPr>
          <w:p w14:paraId="7E9CA64C" w14:textId="77777777" w:rsidR="00E42B18" w:rsidRDefault="009629C4">
            <w:pPr>
              <w:pStyle w:val="P68B1DB1-Normal11"/>
              <w:jc w:val="center"/>
              <w:rPr>
                <w:noProof/>
                <w:szCs w:val="20"/>
              </w:rPr>
            </w:pPr>
            <w:r>
              <w:rPr>
                <w:noProof/>
              </w:rPr>
              <w:t>Koulutustuki alaikäisille (toinen erä)</w:t>
            </w:r>
          </w:p>
        </w:tc>
        <w:tc>
          <w:tcPr>
            <w:tcW w:w="1560" w:type="dxa"/>
            <w:shd w:val="clear" w:color="auto" w:fill="C6EFCE"/>
            <w:noWrap/>
            <w:vAlign w:val="center"/>
          </w:tcPr>
          <w:p w14:paraId="5AA4AA2B" w14:textId="77777777" w:rsidR="00E42B18" w:rsidRDefault="009629C4">
            <w:pPr>
              <w:pStyle w:val="P68B1DB1-Normal11"/>
              <w:jc w:val="center"/>
              <w:rPr>
                <w:noProof/>
                <w:szCs w:val="20"/>
              </w:rPr>
            </w:pPr>
            <w:r>
              <w:rPr>
                <w:noProof/>
              </w:rPr>
              <w:t>EI OLE</w:t>
            </w:r>
          </w:p>
        </w:tc>
        <w:tc>
          <w:tcPr>
            <w:tcW w:w="1134" w:type="dxa"/>
            <w:shd w:val="clear" w:color="auto" w:fill="C6EFCE"/>
            <w:noWrap/>
            <w:vAlign w:val="center"/>
          </w:tcPr>
          <w:p w14:paraId="7A21177F" w14:textId="77777777" w:rsidR="00E42B18" w:rsidRDefault="009629C4">
            <w:pPr>
              <w:pStyle w:val="P68B1DB1-Normal11"/>
              <w:jc w:val="center"/>
              <w:rPr>
                <w:noProof/>
                <w:szCs w:val="20"/>
              </w:rPr>
            </w:pPr>
            <w:r>
              <w:rPr>
                <w:noProof/>
              </w:rPr>
              <w:t>Numero</w:t>
            </w:r>
          </w:p>
        </w:tc>
        <w:tc>
          <w:tcPr>
            <w:tcW w:w="1134" w:type="dxa"/>
            <w:shd w:val="clear" w:color="auto" w:fill="C6EFCE"/>
            <w:noWrap/>
            <w:vAlign w:val="center"/>
          </w:tcPr>
          <w:p w14:paraId="628F6835"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20</w:t>
            </w:r>
            <w:r>
              <w:rPr>
                <w:noProof/>
                <w:sz w:val="23"/>
                <w:szCs w:val="23"/>
              </w:rPr>
              <w:t xml:space="preserve"> </w:t>
            </w:r>
            <w:r>
              <w:rPr>
                <w:rFonts w:ascii="Arial Narrow" w:hAnsi="Arial Narrow"/>
                <w:noProof/>
                <w:color w:val="006100"/>
                <w:sz w:val="20"/>
              </w:rPr>
              <w:t>000</w:t>
            </w:r>
          </w:p>
        </w:tc>
        <w:tc>
          <w:tcPr>
            <w:tcW w:w="992" w:type="dxa"/>
            <w:shd w:val="clear" w:color="auto" w:fill="C6EFCE"/>
            <w:noWrap/>
            <w:vAlign w:val="center"/>
          </w:tcPr>
          <w:p w14:paraId="329DA9DF" w14:textId="77777777" w:rsidR="00E42B18" w:rsidRDefault="009629C4">
            <w:pPr>
              <w:jc w:val="center"/>
              <w:rPr>
                <w:rFonts w:ascii="Arial Narrow" w:hAnsi="Arial Narrow"/>
                <w:noProof/>
                <w:color w:val="006100"/>
                <w:sz w:val="20"/>
                <w:szCs w:val="20"/>
              </w:rPr>
            </w:pPr>
            <w:r>
              <w:rPr>
                <w:rFonts w:ascii="Arial Narrow" w:hAnsi="Arial Narrow"/>
                <w:noProof/>
                <w:color w:val="006100"/>
                <w:sz w:val="20"/>
              </w:rPr>
              <w:t>44</w:t>
            </w:r>
            <w:r>
              <w:rPr>
                <w:noProof/>
                <w:sz w:val="23"/>
                <w:szCs w:val="23"/>
              </w:rPr>
              <w:t xml:space="preserve"> </w:t>
            </w:r>
            <w:r>
              <w:rPr>
                <w:rFonts w:ascii="Arial Narrow" w:hAnsi="Arial Narrow"/>
                <w:noProof/>
                <w:color w:val="006100"/>
                <w:sz w:val="20"/>
              </w:rPr>
              <w:t>000</w:t>
            </w:r>
          </w:p>
        </w:tc>
        <w:tc>
          <w:tcPr>
            <w:tcW w:w="916" w:type="dxa"/>
            <w:shd w:val="clear" w:color="auto" w:fill="C6EFCE"/>
            <w:noWrap/>
            <w:vAlign w:val="center"/>
          </w:tcPr>
          <w:p w14:paraId="658AAA13" w14:textId="77777777" w:rsidR="00E42B18" w:rsidRDefault="009629C4">
            <w:pPr>
              <w:pStyle w:val="P68B1DB1-Normal11"/>
              <w:jc w:val="center"/>
              <w:rPr>
                <w:noProof/>
                <w:szCs w:val="20"/>
              </w:rPr>
            </w:pPr>
            <w:r>
              <w:rPr>
                <w:noProof/>
              </w:rPr>
              <w:t>Q4</w:t>
            </w:r>
          </w:p>
        </w:tc>
        <w:tc>
          <w:tcPr>
            <w:tcW w:w="812" w:type="dxa"/>
            <w:shd w:val="clear" w:color="auto" w:fill="C6EFCE"/>
            <w:noWrap/>
            <w:vAlign w:val="center"/>
          </w:tcPr>
          <w:p w14:paraId="13AB817B" w14:textId="77777777" w:rsidR="00E42B18" w:rsidRDefault="009629C4">
            <w:pPr>
              <w:pStyle w:val="P68B1DB1-Normal11"/>
              <w:jc w:val="center"/>
              <w:rPr>
                <w:noProof/>
                <w:szCs w:val="20"/>
              </w:rPr>
            </w:pPr>
            <w:r>
              <w:rPr>
                <w:noProof/>
              </w:rPr>
              <w:t>2025</w:t>
            </w:r>
          </w:p>
        </w:tc>
        <w:tc>
          <w:tcPr>
            <w:tcW w:w="3271" w:type="dxa"/>
            <w:shd w:val="clear" w:color="auto" w:fill="C6EFCE"/>
            <w:noWrap/>
            <w:vAlign w:val="center"/>
          </w:tcPr>
          <w:p w14:paraId="359318B6" w14:textId="77777777" w:rsidR="00E42B18" w:rsidRDefault="009629C4">
            <w:pPr>
              <w:rPr>
                <w:rFonts w:ascii="Arial Narrow" w:hAnsi="Arial Narrow"/>
                <w:noProof/>
                <w:color w:val="006100"/>
                <w:sz w:val="20"/>
                <w:szCs w:val="20"/>
              </w:rPr>
            </w:pPr>
            <w:r>
              <w:rPr>
                <w:rFonts w:ascii="Arial Narrow" w:hAnsi="Arial Narrow"/>
                <w:noProof/>
                <w:color w:val="006100"/>
                <w:sz w:val="20"/>
                <w:szCs w:val="20"/>
              </w:rPr>
              <w:t>Ilmoittautumislomakkeet ja ilmoittautumisvahvistukset vähintään 44000:lle 0–17-vuotiaalle alaikäiselle, joille annetaan koulutustukea.</w:t>
            </w:r>
          </w:p>
        </w:tc>
      </w:tr>
    </w:tbl>
    <w:p w14:paraId="7D0235C7" w14:textId="77777777" w:rsidR="00E42B18" w:rsidRDefault="00E42B18">
      <w:pPr>
        <w:spacing w:before="120" w:after="120"/>
        <w:ind w:left="709"/>
        <w:jc w:val="both"/>
        <w:rPr>
          <w:noProof/>
        </w:rPr>
        <w:sectPr w:rsidR="00E42B18" w:rsidSect="005F11B9">
          <w:headerReference w:type="even" r:id="rId266"/>
          <w:headerReference w:type="default" r:id="rId267"/>
          <w:footerReference w:type="even" r:id="rId268"/>
          <w:footerReference w:type="default" r:id="rId269"/>
          <w:headerReference w:type="first" r:id="rId270"/>
          <w:footerReference w:type="first" r:id="rId271"/>
          <w:pgSz w:w="16839" w:h="11907" w:orient="landscape"/>
          <w:pgMar w:top="720" w:right="720" w:bottom="720" w:left="720" w:header="709" w:footer="709" w:gutter="0"/>
          <w:cols w:space="720"/>
          <w:docGrid w:linePitch="360"/>
        </w:sectPr>
      </w:pPr>
    </w:p>
    <w:p w14:paraId="58D6148B" w14:textId="77777777" w:rsidR="00E42B18" w:rsidRDefault="009629C4">
      <w:pPr>
        <w:pStyle w:val="P68B1DB1-Heading39"/>
        <w:ind w:left="850" w:hanging="850"/>
        <w:rPr>
          <w:b/>
          <w:bCs/>
          <w:i/>
          <w:iCs/>
          <w:noProof/>
          <w:u w:val="single"/>
        </w:rPr>
      </w:pPr>
      <w:r>
        <w:rPr>
          <w:b/>
          <w:noProof/>
          <w:u w:val="single"/>
        </w:rPr>
        <w:t xml:space="preserve">N.3 </w:t>
      </w:r>
      <w:r>
        <w:rPr>
          <w:noProof/>
        </w:rPr>
        <w:t xml:space="preserve"> </w:t>
      </w:r>
      <w:r>
        <w:rPr>
          <w:b/>
          <w:noProof/>
          <w:u w:val="single"/>
        </w:rPr>
        <w:t xml:space="preserve">Kuvaus lainamuotoisella tuella rahoitettavista uudistuksista ja investoinneista </w:t>
      </w:r>
    </w:p>
    <w:p w14:paraId="27DEFF13" w14:textId="77777777" w:rsidR="00E42B18" w:rsidRDefault="009629C4">
      <w:pPr>
        <w:pStyle w:val="P68B1DB1-Normal5"/>
        <w:spacing w:before="120" w:after="120"/>
        <w:jc w:val="both"/>
        <w:rPr>
          <w:noProof/>
        </w:rPr>
      </w:pPr>
      <w:r>
        <w:rPr>
          <w:noProof/>
        </w:rPr>
        <w:t>Uudistus 1: Menettelyjen yksinkertaistaminen ja komission jäsenen aseman vahvistaminen erityistalousalueilla</w:t>
      </w:r>
    </w:p>
    <w:p w14:paraId="30EC48EE" w14:textId="77777777" w:rsidR="00E42B18" w:rsidRDefault="009629C4">
      <w:pPr>
        <w:pStyle w:val="P68B1DB1-Normal7"/>
        <w:spacing w:before="120" w:after="120"/>
        <w:jc w:val="both"/>
        <w:rPr>
          <w:noProof/>
        </w:rPr>
      </w:pPr>
      <w:r>
        <w:rPr>
          <w:noProof/>
        </w:rPr>
        <w:t xml:space="preserve">Uudistuksella yksinkertaistetaan hallintojärjestelmää ja yksinkertaistetaan erityistalousalueilla toteutettavien toimien täytäntöönpanoaikaa. Uudistuksella perustetaan erityistalousalueiden digitaalinen keskitetty asiointipiste ja vahvistetaan kommunistista roolia. </w:t>
      </w:r>
    </w:p>
    <w:p w14:paraId="73B6A1CF" w14:textId="77777777" w:rsidR="00E42B18" w:rsidRDefault="009629C4">
      <w:pPr>
        <w:pStyle w:val="P68B1DB1-Normal5"/>
        <w:spacing w:before="120" w:after="120"/>
        <w:jc w:val="both"/>
        <w:rPr>
          <w:bCs/>
          <w:noProof/>
        </w:rPr>
      </w:pPr>
      <w:r>
        <w:rPr>
          <w:noProof/>
        </w:rPr>
        <w:t>Investointi 1.4: Erityistalousalueiden (SEZ) infrastruktuuri-investoinnit</w:t>
      </w:r>
    </w:p>
    <w:p w14:paraId="406A69C0" w14:textId="77777777" w:rsidR="00E42B18" w:rsidRDefault="009629C4">
      <w:pPr>
        <w:pStyle w:val="P68B1DB1-Normal7"/>
        <w:spacing w:before="120" w:after="120"/>
        <w:jc w:val="both"/>
        <w:rPr>
          <w:noProof/>
        </w:rPr>
      </w:pPr>
      <w:r>
        <w:rPr>
          <w:noProof/>
        </w:rPr>
        <w:t>Investoinnin tarkoituksena on varmistaa erityistalousalueiden käyttöönottoa koskevan uudistuksen vaikutus. Investointi koostuu satama-alueiden ympärillä toteutettavien infrastruktuuritoimien tukemisesta (”Viimeisen kilometrin yhteydet”; digitaalinen logistiikka, kaupungistuminen tai energia- ja ympäristötehokkuus; satamien infrastruktuurit).</w:t>
      </w:r>
    </w:p>
    <w:p w14:paraId="4D67C5CA" w14:textId="77777777" w:rsidR="00E42B18" w:rsidRDefault="00E42B18">
      <w:pPr>
        <w:spacing w:before="120" w:after="120"/>
        <w:jc w:val="both"/>
        <w:rPr>
          <w:rFonts w:ascii="Times New Roman" w:hAnsi="Times New Roman" w:cs="Times New Roman"/>
          <w:noProof/>
        </w:rPr>
      </w:pPr>
    </w:p>
    <w:p w14:paraId="211BA476" w14:textId="77777777" w:rsidR="00E42B18" w:rsidRDefault="009629C4">
      <w:pPr>
        <w:pStyle w:val="P68B1DB1-Normal5"/>
        <w:spacing w:before="120" w:after="120"/>
        <w:jc w:val="both"/>
        <w:rPr>
          <w:noProof/>
        </w:rPr>
      </w:pPr>
      <w:r>
        <w:rPr>
          <w:noProof/>
        </w:rPr>
        <w:t>Investointi 1.5: Investointien verohyvitysjärjestelmä Etelä-Italiassa ja erityistalousalueella (SEZ)</w:t>
      </w:r>
    </w:p>
    <w:p w14:paraId="75EF864B" w14:textId="322695F8" w:rsidR="00E42B18" w:rsidRDefault="009629C4">
      <w:pPr>
        <w:pStyle w:val="P68B1DB1-Normal7"/>
        <w:spacing w:before="120" w:after="120"/>
        <w:jc w:val="both"/>
        <w:rPr>
          <w:noProof/>
        </w:rPr>
      </w:pPr>
      <w:r>
        <w:rPr>
          <w:noProof/>
        </w:rPr>
        <w:t xml:space="preserve">Toimenpiteen tavoitteena on tukea eteläisten alueiden ja/tai eteläisten erityistalousalueiden yritysten kilpailukykyä ja kestävää kasvua kannustaen samalla yksityisiin investointeihin. </w:t>
      </w:r>
    </w:p>
    <w:p w14:paraId="00FFE9F4" w14:textId="78040004" w:rsidR="00E42B18" w:rsidRDefault="009629C4">
      <w:pPr>
        <w:pStyle w:val="P68B1DB1-Normal7"/>
        <w:spacing w:before="120" w:after="120"/>
        <w:jc w:val="both"/>
        <w:rPr>
          <w:noProof/>
        </w:rPr>
      </w:pPr>
      <w:r>
        <w:rPr>
          <w:noProof/>
        </w:rPr>
        <w:t xml:space="preserve">Toimenpide koostuu verohyvitysjärjestelmästä ja siihen liittyvistä seuranta- ja valvontatoimista. </w:t>
      </w:r>
    </w:p>
    <w:p w14:paraId="029204E2" w14:textId="77777777" w:rsidR="00E42B18" w:rsidRDefault="00E42B18">
      <w:pPr>
        <w:spacing w:before="120" w:after="120"/>
        <w:jc w:val="both"/>
        <w:rPr>
          <w:rFonts w:ascii="Times New Roman" w:hAnsi="Times New Roman" w:cs="Times New Roman"/>
          <w:i/>
          <w:noProof/>
          <w:color w:val="156082" w:themeColor="accent1"/>
        </w:rPr>
        <w:sectPr w:rsidR="00E42B18" w:rsidSect="005F11B9">
          <w:headerReference w:type="even" r:id="rId272"/>
          <w:headerReference w:type="default" r:id="rId273"/>
          <w:footerReference w:type="even" r:id="rId274"/>
          <w:footerReference w:type="default" r:id="rId275"/>
          <w:headerReference w:type="first" r:id="rId276"/>
          <w:footerReference w:type="first" r:id="rId277"/>
          <w:pgSz w:w="11907" w:h="16839"/>
          <w:pgMar w:top="1440" w:right="1440" w:bottom="1440" w:left="1440" w:header="567" w:footer="567" w:gutter="0"/>
          <w:cols w:space="720"/>
          <w:docGrid w:linePitch="360"/>
        </w:sectPr>
      </w:pPr>
    </w:p>
    <w:p w14:paraId="36D2074D" w14:textId="77777777" w:rsidR="00E42B18" w:rsidRDefault="009629C4">
      <w:pPr>
        <w:pStyle w:val="P68B1DB1-Heading39"/>
        <w:ind w:left="850" w:hanging="850"/>
        <w:rPr>
          <w:b/>
          <w:bCs/>
          <w:i/>
          <w:iCs/>
          <w:noProof/>
          <w:u w:val="single"/>
        </w:rPr>
      </w:pPr>
      <w:r>
        <w:rPr>
          <w:b/>
          <w:noProof/>
          <w:u w:val="single"/>
        </w:rPr>
        <w:t xml:space="preserve">N.4 </w:t>
      </w:r>
      <w:r>
        <w:rPr>
          <w:noProof/>
        </w:rPr>
        <w:t xml:space="preserve"> </w:t>
      </w:r>
      <w:r>
        <w:rPr>
          <w:b/>
          <w:noProof/>
          <w:u w:val="single"/>
        </w:rPr>
        <w:t xml:space="preserve">Lainamuotoisen tuen seurantaa ja täytäntöönpanoa koskevat välitavoitteet, tavoitteet, indikaattorit ja aikataulu </w:t>
      </w:r>
    </w:p>
    <w:tbl>
      <w:tblPr>
        <w:tblW w:w="1566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701"/>
        <w:gridCol w:w="1276"/>
        <w:gridCol w:w="1559"/>
        <w:gridCol w:w="1701"/>
        <w:gridCol w:w="1276"/>
        <w:gridCol w:w="1276"/>
        <w:gridCol w:w="709"/>
        <w:gridCol w:w="992"/>
        <w:gridCol w:w="709"/>
        <w:gridCol w:w="3049"/>
      </w:tblGrid>
      <w:tr w:rsidR="00E42B18" w14:paraId="42E2C346" w14:textId="77777777">
        <w:trPr>
          <w:trHeight w:val="939"/>
          <w:tblHeader/>
        </w:trPr>
        <w:tc>
          <w:tcPr>
            <w:tcW w:w="1418" w:type="dxa"/>
            <w:vMerge w:val="restart"/>
            <w:shd w:val="clear" w:color="auto" w:fill="BDD7EE"/>
            <w:vAlign w:val="center"/>
            <w:hideMark/>
          </w:tcPr>
          <w:p w14:paraId="326EED77" w14:textId="77777777" w:rsidR="00E42B18" w:rsidRDefault="009629C4">
            <w:pPr>
              <w:pStyle w:val="P68B1DB1-Normal10"/>
              <w:jc w:val="center"/>
              <w:rPr>
                <w:noProof/>
                <w:szCs w:val="20"/>
              </w:rPr>
            </w:pPr>
            <w:r>
              <w:rPr>
                <w:noProof/>
              </w:rPr>
              <w:t>Juokseva numero</w:t>
            </w:r>
          </w:p>
        </w:tc>
        <w:tc>
          <w:tcPr>
            <w:tcW w:w="1701" w:type="dxa"/>
            <w:vMerge w:val="restart"/>
            <w:shd w:val="clear" w:color="auto" w:fill="BDD7EE"/>
            <w:vAlign w:val="center"/>
            <w:hideMark/>
          </w:tcPr>
          <w:p w14:paraId="6498CC90" w14:textId="77777777" w:rsidR="00E42B18" w:rsidRDefault="009629C4">
            <w:pPr>
              <w:pStyle w:val="P68B1DB1-Normal10"/>
              <w:jc w:val="center"/>
              <w:rPr>
                <w:noProof/>
                <w:szCs w:val="20"/>
              </w:rPr>
            </w:pPr>
            <w:r>
              <w:rPr>
                <w:noProof/>
              </w:rPr>
              <w:t>Toimenpide (uudistus tai investointi)</w:t>
            </w:r>
          </w:p>
        </w:tc>
        <w:tc>
          <w:tcPr>
            <w:tcW w:w="1276" w:type="dxa"/>
            <w:vMerge w:val="restart"/>
            <w:shd w:val="clear" w:color="auto" w:fill="BDD7EE"/>
            <w:vAlign w:val="center"/>
            <w:hideMark/>
          </w:tcPr>
          <w:p w14:paraId="54ECA473" w14:textId="4356814A" w:rsidR="00E42B18" w:rsidRDefault="009629C4">
            <w:pPr>
              <w:pStyle w:val="P68B1DB1-Normal10"/>
              <w:jc w:val="center"/>
              <w:rPr>
                <w:noProof/>
                <w:szCs w:val="20"/>
              </w:rPr>
            </w:pPr>
            <w:r>
              <w:rPr>
                <w:noProof/>
              </w:rPr>
              <w:t>Välitavoite/tavoite</w:t>
            </w:r>
          </w:p>
        </w:tc>
        <w:tc>
          <w:tcPr>
            <w:tcW w:w="1559" w:type="dxa"/>
            <w:vMerge w:val="restart"/>
            <w:shd w:val="clear" w:color="auto" w:fill="BDD7EE"/>
            <w:vAlign w:val="center"/>
            <w:hideMark/>
          </w:tcPr>
          <w:p w14:paraId="156DBE73" w14:textId="77777777" w:rsidR="00E42B18" w:rsidRDefault="009629C4">
            <w:pPr>
              <w:pStyle w:val="P68B1DB1-Normal10"/>
              <w:jc w:val="center"/>
              <w:rPr>
                <w:noProof/>
                <w:szCs w:val="20"/>
              </w:rPr>
            </w:pPr>
            <w:r>
              <w:rPr>
                <w:noProof/>
              </w:rPr>
              <w:t>Nimi</w:t>
            </w:r>
          </w:p>
        </w:tc>
        <w:tc>
          <w:tcPr>
            <w:tcW w:w="1701" w:type="dxa"/>
            <w:vMerge w:val="restart"/>
            <w:shd w:val="clear" w:color="auto" w:fill="BDD7EE"/>
            <w:vAlign w:val="center"/>
            <w:hideMark/>
          </w:tcPr>
          <w:p w14:paraId="2E30001E" w14:textId="77777777"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261" w:type="dxa"/>
            <w:gridSpan w:val="3"/>
            <w:shd w:val="clear" w:color="auto" w:fill="BDD7EE"/>
            <w:vAlign w:val="center"/>
            <w:hideMark/>
          </w:tcPr>
          <w:p w14:paraId="02815D89"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701" w:type="dxa"/>
            <w:gridSpan w:val="2"/>
            <w:shd w:val="clear" w:color="auto" w:fill="BDD7EE"/>
            <w:vAlign w:val="center"/>
            <w:hideMark/>
          </w:tcPr>
          <w:p w14:paraId="37EE140E" w14:textId="77777777" w:rsidR="00E42B18" w:rsidRDefault="009629C4">
            <w:pPr>
              <w:pStyle w:val="P68B1DB1-Normal10"/>
              <w:jc w:val="center"/>
              <w:rPr>
                <w:noProof/>
                <w:szCs w:val="20"/>
              </w:rPr>
            </w:pPr>
            <w:r>
              <w:rPr>
                <w:noProof/>
              </w:rPr>
              <w:t>Alustava toteutusaikataulu</w:t>
            </w:r>
          </w:p>
        </w:tc>
        <w:tc>
          <w:tcPr>
            <w:tcW w:w="3049" w:type="dxa"/>
            <w:vMerge w:val="restart"/>
            <w:shd w:val="clear" w:color="auto" w:fill="BDD7EE"/>
            <w:vAlign w:val="center"/>
            <w:hideMark/>
          </w:tcPr>
          <w:p w14:paraId="43843B46" w14:textId="77777777" w:rsidR="00E42B18" w:rsidRDefault="009629C4">
            <w:pPr>
              <w:pStyle w:val="P68B1DB1-Normal10"/>
              <w:jc w:val="center"/>
              <w:rPr>
                <w:noProof/>
                <w:szCs w:val="20"/>
              </w:rPr>
            </w:pPr>
            <w:r>
              <w:rPr>
                <w:noProof/>
              </w:rPr>
              <w:t>Kunkin välitavoitteen ja tavoitteen kuvaus</w:t>
            </w:r>
          </w:p>
        </w:tc>
      </w:tr>
      <w:tr w:rsidR="00E42B18" w14:paraId="3261AC42" w14:textId="77777777">
        <w:trPr>
          <w:trHeight w:val="741"/>
          <w:tblHeader/>
        </w:trPr>
        <w:tc>
          <w:tcPr>
            <w:tcW w:w="1418" w:type="dxa"/>
            <w:vMerge/>
            <w:vAlign w:val="center"/>
            <w:hideMark/>
          </w:tcPr>
          <w:p w14:paraId="106A1BEA" w14:textId="77777777" w:rsidR="00E42B18" w:rsidRDefault="00E42B18">
            <w:pPr>
              <w:jc w:val="center"/>
              <w:rPr>
                <w:rFonts w:ascii="Arial Narrow" w:hAnsi="Arial Narrow"/>
                <w:b/>
                <w:noProof/>
                <w:sz w:val="20"/>
                <w:szCs w:val="20"/>
              </w:rPr>
            </w:pPr>
          </w:p>
        </w:tc>
        <w:tc>
          <w:tcPr>
            <w:tcW w:w="1701" w:type="dxa"/>
            <w:vMerge/>
            <w:vAlign w:val="center"/>
            <w:hideMark/>
          </w:tcPr>
          <w:p w14:paraId="51BD9E6C" w14:textId="77777777" w:rsidR="00E42B18" w:rsidRDefault="00E42B18">
            <w:pPr>
              <w:jc w:val="center"/>
              <w:rPr>
                <w:rFonts w:ascii="Arial Narrow" w:hAnsi="Arial Narrow"/>
                <w:b/>
                <w:noProof/>
                <w:sz w:val="20"/>
                <w:szCs w:val="20"/>
              </w:rPr>
            </w:pPr>
          </w:p>
        </w:tc>
        <w:tc>
          <w:tcPr>
            <w:tcW w:w="1276" w:type="dxa"/>
            <w:vMerge/>
            <w:vAlign w:val="center"/>
            <w:hideMark/>
          </w:tcPr>
          <w:p w14:paraId="72737AD6" w14:textId="77777777" w:rsidR="00E42B18" w:rsidRDefault="00E42B18">
            <w:pPr>
              <w:jc w:val="center"/>
              <w:rPr>
                <w:rFonts w:ascii="Arial Narrow" w:hAnsi="Arial Narrow"/>
                <w:b/>
                <w:noProof/>
                <w:sz w:val="20"/>
                <w:szCs w:val="20"/>
              </w:rPr>
            </w:pPr>
          </w:p>
        </w:tc>
        <w:tc>
          <w:tcPr>
            <w:tcW w:w="1559" w:type="dxa"/>
            <w:vMerge/>
            <w:vAlign w:val="center"/>
            <w:hideMark/>
          </w:tcPr>
          <w:p w14:paraId="533C4945" w14:textId="77777777" w:rsidR="00E42B18" w:rsidRDefault="00E42B18">
            <w:pPr>
              <w:jc w:val="center"/>
              <w:rPr>
                <w:rFonts w:ascii="Arial Narrow" w:hAnsi="Arial Narrow"/>
                <w:b/>
                <w:noProof/>
                <w:sz w:val="20"/>
                <w:szCs w:val="20"/>
              </w:rPr>
            </w:pPr>
          </w:p>
        </w:tc>
        <w:tc>
          <w:tcPr>
            <w:tcW w:w="1701" w:type="dxa"/>
            <w:vMerge/>
            <w:vAlign w:val="center"/>
            <w:hideMark/>
          </w:tcPr>
          <w:p w14:paraId="4AD3BAB3" w14:textId="77777777" w:rsidR="00E42B18" w:rsidRDefault="00E42B18">
            <w:pPr>
              <w:jc w:val="center"/>
              <w:rPr>
                <w:rFonts w:ascii="Arial Narrow" w:hAnsi="Arial Narrow"/>
                <w:b/>
                <w:noProof/>
                <w:sz w:val="20"/>
                <w:szCs w:val="20"/>
              </w:rPr>
            </w:pPr>
          </w:p>
        </w:tc>
        <w:tc>
          <w:tcPr>
            <w:tcW w:w="1276" w:type="dxa"/>
            <w:shd w:val="clear" w:color="auto" w:fill="BDD7EE"/>
            <w:vAlign w:val="center"/>
            <w:hideMark/>
          </w:tcPr>
          <w:p w14:paraId="37AE4EAD" w14:textId="77777777" w:rsidR="00E42B18" w:rsidRDefault="009629C4">
            <w:pPr>
              <w:pStyle w:val="P68B1DB1-Normal10"/>
              <w:jc w:val="center"/>
              <w:rPr>
                <w:noProof/>
                <w:szCs w:val="20"/>
              </w:rPr>
            </w:pPr>
            <w:r>
              <w:rPr>
                <w:noProof/>
              </w:rPr>
              <w:t>Mitta-yksikkö</w:t>
            </w:r>
          </w:p>
        </w:tc>
        <w:tc>
          <w:tcPr>
            <w:tcW w:w="1276" w:type="dxa"/>
            <w:shd w:val="clear" w:color="auto" w:fill="BDD7EE"/>
            <w:vAlign w:val="center"/>
            <w:hideMark/>
          </w:tcPr>
          <w:p w14:paraId="350D2109" w14:textId="77777777" w:rsidR="00E42B18" w:rsidRDefault="009629C4">
            <w:pPr>
              <w:pStyle w:val="P68B1DB1-Normal10"/>
              <w:jc w:val="center"/>
              <w:rPr>
                <w:noProof/>
                <w:szCs w:val="20"/>
              </w:rPr>
            </w:pPr>
            <w:r>
              <w:rPr>
                <w:noProof/>
              </w:rPr>
              <w:t>Lähtötilanne</w:t>
            </w:r>
          </w:p>
        </w:tc>
        <w:tc>
          <w:tcPr>
            <w:tcW w:w="709" w:type="dxa"/>
            <w:shd w:val="clear" w:color="auto" w:fill="BDD7EE"/>
            <w:vAlign w:val="center"/>
            <w:hideMark/>
          </w:tcPr>
          <w:p w14:paraId="53B9161C" w14:textId="77777777" w:rsidR="00E42B18" w:rsidRDefault="009629C4">
            <w:pPr>
              <w:pStyle w:val="P68B1DB1-Normal10"/>
              <w:jc w:val="center"/>
              <w:rPr>
                <w:noProof/>
                <w:szCs w:val="20"/>
              </w:rPr>
            </w:pPr>
            <w:r>
              <w:rPr>
                <w:noProof/>
              </w:rPr>
              <w:t>Päämäärä</w:t>
            </w:r>
          </w:p>
        </w:tc>
        <w:tc>
          <w:tcPr>
            <w:tcW w:w="992" w:type="dxa"/>
            <w:shd w:val="clear" w:color="auto" w:fill="BDD7EE"/>
            <w:vAlign w:val="center"/>
            <w:hideMark/>
          </w:tcPr>
          <w:p w14:paraId="7E9200B7" w14:textId="77777777" w:rsidR="00E42B18" w:rsidRDefault="009629C4">
            <w:pPr>
              <w:pStyle w:val="P68B1DB1-Normal10"/>
              <w:jc w:val="center"/>
              <w:rPr>
                <w:noProof/>
                <w:szCs w:val="20"/>
              </w:rPr>
            </w:pPr>
            <w:r>
              <w:rPr>
                <w:noProof/>
              </w:rPr>
              <w:t>Neljännes</w:t>
            </w:r>
          </w:p>
        </w:tc>
        <w:tc>
          <w:tcPr>
            <w:tcW w:w="709" w:type="dxa"/>
            <w:shd w:val="clear" w:color="auto" w:fill="BDD7EE"/>
            <w:vAlign w:val="center"/>
            <w:hideMark/>
          </w:tcPr>
          <w:p w14:paraId="423276CC" w14:textId="77777777" w:rsidR="00E42B18" w:rsidRDefault="009629C4">
            <w:pPr>
              <w:pStyle w:val="P68B1DB1-Normal10"/>
              <w:jc w:val="center"/>
              <w:rPr>
                <w:noProof/>
                <w:szCs w:val="20"/>
              </w:rPr>
            </w:pPr>
            <w:r>
              <w:rPr>
                <w:noProof/>
              </w:rPr>
              <w:t>Vuosi</w:t>
            </w:r>
          </w:p>
        </w:tc>
        <w:tc>
          <w:tcPr>
            <w:tcW w:w="3049" w:type="dxa"/>
            <w:vMerge/>
            <w:vAlign w:val="center"/>
            <w:hideMark/>
          </w:tcPr>
          <w:p w14:paraId="250455F0" w14:textId="77777777" w:rsidR="00E42B18" w:rsidRDefault="00E42B18">
            <w:pPr>
              <w:jc w:val="center"/>
              <w:rPr>
                <w:rFonts w:ascii="Arial Narrow" w:hAnsi="Arial Narrow"/>
                <w:b/>
                <w:noProof/>
                <w:sz w:val="20"/>
                <w:szCs w:val="20"/>
              </w:rPr>
            </w:pPr>
          </w:p>
        </w:tc>
      </w:tr>
      <w:tr w:rsidR="00E42B18" w14:paraId="53DCD781" w14:textId="77777777">
        <w:trPr>
          <w:trHeight w:val="313"/>
        </w:trPr>
        <w:tc>
          <w:tcPr>
            <w:tcW w:w="1418" w:type="dxa"/>
            <w:shd w:val="clear" w:color="auto" w:fill="C6EFCE"/>
            <w:noWrap/>
            <w:vAlign w:val="center"/>
          </w:tcPr>
          <w:p w14:paraId="681A322C" w14:textId="77777777" w:rsidR="00E42B18" w:rsidRDefault="009629C4">
            <w:pPr>
              <w:pStyle w:val="P68B1DB1-Normal11"/>
              <w:jc w:val="center"/>
              <w:rPr>
                <w:noProof/>
                <w:szCs w:val="20"/>
              </w:rPr>
            </w:pPr>
            <w:r>
              <w:rPr>
                <w:noProof/>
              </w:rPr>
              <w:t>M5C3–10</w:t>
            </w:r>
          </w:p>
        </w:tc>
        <w:tc>
          <w:tcPr>
            <w:tcW w:w="1701" w:type="dxa"/>
            <w:shd w:val="clear" w:color="auto" w:fill="C6EFCE"/>
            <w:noWrap/>
            <w:vAlign w:val="center"/>
            <w:hideMark/>
          </w:tcPr>
          <w:p w14:paraId="5003A5CA" w14:textId="77777777" w:rsidR="00E42B18" w:rsidRDefault="009629C4">
            <w:pPr>
              <w:pStyle w:val="P68B1DB1-Normal11"/>
              <w:jc w:val="center"/>
              <w:rPr>
                <w:noProof/>
                <w:szCs w:val="20"/>
              </w:rPr>
            </w:pPr>
            <w:r>
              <w:rPr>
                <w:noProof/>
              </w:rPr>
              <w:t>Uudistus1: Menettelyjen yksinkertaistaminen ja komission jäsenen aseman vahvistaminen erityistalousalueilla</w:t>
            </w:r>
          </w:p>
        </w:tc>
        <w:tc>
          <w:tcPr>
            <w:tcW w:w="1276" w:type="dxa"/>
            <w:shd w:val="clear" w:color="auto" w:fill="C6EFCE"/>
            <w:noWrap/>
            <w:vAlign w:val="center"/>
            <w:hideMark/>
          </w:tcPr>
          <w:p w14:paraId="36FC0E20" w14:textId="77777777" w:rsidR="00E42B18" w:rsidRDefault="009629C4">
            <w:pPr>
              <w:pStyle w:val="P68B1DB1-Normal11"/>
              <w:jc w:val="center"/>
              <w:rPr>
                <w:noProof/>
                <w:szCs w:val="20"/>
              </w:rPr>
            </w:pPr>
            <w:r>
              <w:rPr>
                <w:noProof/>
              </w:rPr>
              <w:t>Virstanpylväs</w:t>
            </w:r>
          </w:p>
        </w:tc>
        <w:tc>
          <w:tcPr>
            <w:tcW w:w="1559" w:type="dxa"/>
            <w:shd w:val="clear" w:color="auto" w:fill="C6EFCE"/>
            <w:noWrap/>
            <w:vAlign w:val="center"/>
            <w:hideMark/>
          </w:tcPr>
          <w:p w14:paraId="7EB6AFFF" w14:textId="77777777" w:rsidR="00E42B18" w:rsidRDefault="009629C4">
            <w:pPr>
              <w:pStyle w:val="P68B1DB1-Normal11"/>
              <w:jc w:val="center"/>
              <w:rPr>
                <w:noProof/>
                <w:szCs w:val="20"/>
              </w:rPr>
            </w:pPr>
            <w:r>
              <w:rPr>
                <w:noProof/>
              </w:rPr>
              <w:t>Asetuksen voimaantulo, jolla yksinkertaistetaan menettelyjä ja vahvistetaan komission jäsenen roolia erityistalousalueilla</w:t>
            </w:r>
          </w:p>
        </w:tc>
        <w:tc>
          <w:tcPr>
            <w:tcW w:w="1701" w:type="dxa"/>
            <w:shd w:val="clear" w:color="auto" w:fill="C6EFCE"/>
            <w:noWrap/>
            <w:vAlign w:val="center"/>
            <w:hideMark/>
          </w:tcPr>
          <w:p w14:paraId="418AC9B0" w14:textId="77777777" w:rsidR="00E42B18" w:rsidRDefault="009629C4">
            <w:pPr>
              <w:pStyle w:val="P68B1DB1-Normal11"/>
              <w:jc w:val="center"/>
              <w:rPr>
                <w:noProof/>
                <w:szCs w:val="20"/>
              </w:rPr>
            </w:pPr>
            <w:r>
              <w:rPr>
                <w:noProof/>
              </w:rPr>
              <w:t>Asetuksen voimaantulosäännös, jolla yksinkertaistetaan menettelyjä ja vahvistetaan komission jäsenen roolia erityistalousalueilla</w:t>
            </w:r>
          </w:p>
        </w:tc>
        <w:tc>
          <w:tcPr>
            <w:tcW w:w="1276" w:type="dxa"/>
            <w:shd w:val="clear" w:color="auto" w:fill="C6EFCE"/>
            <w:noWrap/>
            <w:vAlign w:val="center"/>
          </w:tcPr>
          <w:p w14:paraId="04684F1D" w14:textId="77777777" w:rsidR="00E42B18" w:rsidRDefault="009629C4">
            <w:pPr>
              <w:pStyle w:val="P68B1DB1-Normal11"/>
              <w:jc w:val="center"/>
              <w:rPr>
                <w:noProof/>
                <w:szCs w:val="20"/>
              </w:rPr>
            </w:pPr>
            <w:r>
              <w:rPr>
                <w:noProof/>
              </w:rPr>
              <w:t>EI OLE</w:t>
            </w:r>
          </w:p>
        </w:tc>
        <w:tc>
          <w:tcPr>
            <w:tcW w:w="1276" w:type="dxa"/>
            <w:shd w:val="clear" w:color="auto" w:fill="C6EFCE"/>
            <w:noWrap/>
            <w:vAlign w:val="center"/>
          </w:tcPr>
          <w:p w14:paraId="30AFCDC6" w14:textId="77777777" w:rsidR="00E42B18" w:rsidRDefault="009629C4">
            <w:pPr>
              <w:pStyle w:val="P68B1DB1-Normal11"/>
              <w:jc w:val="center"/>
              <w:rPr>
                <w:noProof/>
                <w:szCs w:val="20"/>
              </w:rPr>
            </w:pPr>
            <w:r>
              <w:rPr>
                <w:noProof/>
              </w:rPr>
              <w:t>EI OLE</w:t>
            </w:r>
          </w:p>
        </w:tc>
        <w:tc>
          <w:tcPr>
            <w:tcW w:w="709" w:type="dxa"/>
            <w:shd w:val="clear" w:color="auto" w:fill="C6EFCE"/>
            <w:noWrap/>
            <w:vAlign w:val="center"/>
          </w:tcPr>
          <w:p w14:paraId="6375EE48" w14:textId="77777777" w:rsidR="00E42B18" w:rsidRDefault="009629C4">
            <w:pPr>
              <w:pStyle w:val="P68B1DB1-Normal11"/>
              <w:jc w:val="center"/>
              <w:rPr>
                <w:noProof/>
                <w:szCs w:val="20"/>
              </w:rPr>
            </w:pPr>
            <w:r>
              <w:rPr>
                <w:noProof/>
              </w:rPr>
              <w:t>EI OLE</w:t>
            </w:r>
          </w:p>
        </w:tc>
        <w:tc>
          <w:tcPr>
            <w:tcW w:w="992" w:type="dxa"/>
            <w:shd w:val="clear" w:color="auto" w:fill="C6EFCE"/>
            <w:noWrap/>
            <w:vAlign w:val="center"/>
            <w:hideMark/>
          </w:tcPr>
          <w:p w14:paraId="3E4339B1" w14:textId="77777777" w:rsidR="00E42B18" w:rsidRDefault="009629C4">
            <w:pPr>
              <w:pStyle w:val="P68B1DB1-Normal11"/>
              <w:jc w:val="center"/>
              <w:rPr>
                <w:noProof/>
                <w:szCs w:val="20"/>
              </w:rPr>
            </w:pPr>
            <w:r>
              <w:rPr>
                <w:noProof/>
              </w:rPr>
              <w:t>Q4</w:t>
            </w:r>
          </w:p>
        </w:tc>
        <w:tc>
          <w:tcPr>
            <w:tcW w:w="709" w:type="dxa"/>
            <w:shd w:val="clear" w:color="auto" w:fill="C6EFCE"/>
            <w:noWrap/>
            <w:vAlign w:val="center"/>
            <w:hideMark/>
          </w:tcPr>
          <w:p w14:paraId="3409069B" w14:textId="77777777" w:rsidR="00E42B18" w:rsidRDefault="009629C4">
            <w:pPr>
              <w:pStyle w:val="P68B1DB1-Normal11"/>
              <w:rPr>
                <w:noProof/>
                <w:szCs w:val="20"/>
              </w:rPr>
            </w:pPr>
            <w:r>
              <w:rPr>
                <w:noProof/>
              </w:rPr>
              <w:t>2021</w:t>
            </w:r>
          </w:p>
        </w:tc>
        <w:tc>
          <w:tcPr>
            <w:tcW w:w="3049" w:type="dxa"/>
            <w:shd w:val="clear" w:color="auto" w:fill="C6EFCE"/>
            <w:noWrap/>
            <w:vAlign w:val="center"/>
            <w:hideMark/>
          </w:tcPr>
          <w:p w14:paraId="594F30D7" w14:textId="77777777" w:rsidR="00E42B18" w:rsidRDefault="009629C4">
            <w:pPr>
              <w:pStyle w:val="P68B1DB1-Normal11"/>
              <w:rPr>
                <w:noProof/>
                <w:szCs w:val="20"/>
              </w:rPr>
            </w:pPr>
            <w:r>
              <w:rPr>
                <w:noProof/>
              </w:rPr>
              <w:t>Asetukseen on sisällyttävä: koskevan</w:t>
            </w:r>
          </w:p>
          <w:p w14:paraId="4E117B5A" w14:textId="77777777" w:rsidR="00E42B18" w:rsidRDefault="009629C4">
            <w:pPr>
              <w:pStyle w:val="P68B1DB1-Normal11"/>
              <w:rPr>
                <w:noProof/>
                <w:szCs w:val="20"/>
              </w:rPr>
            </w:pPr>
            <w:r>
              <w:rPr>
                <w:noProof/>
              </w:rPr>
              <w:t xml:space="preserve">erityistalousalueita koskevan digitaalisen keskitetyn asiointipisteen perustaminen menettelyjen yksinkertaistamiseksi; säännökset, joilla vahvistetaan komission jäsenen roolia ZES:ssä. </w:t>
            </w:r>
          </w:p>
          <w:p w14:paraId="0FB5FDF8" w14:textId="77777777" w:rsidR="00E42B18" w:rsidRDefault="009629C4">
            <w:pPr>
              <w:pStyle w:val="P68B1DB1-Normal11"/>
              <w:rPr>
                <w:noProof/>
                <w:szCs w:val="20"/>
              </w:rPr>
            </w:pPr>
            <w:r>
              <w:rPr>
                <w:noProof/>
              </w:rPr>
              <w:t>Erityistalousalueet määritellään laissa 91/2017 (julkaistu virallisessa lehdessä 141/2017), joka on muunnettu laiksi L. 123/2017 (julkaistu virallisessa lehdessä Mezzogiorno 188/2017).</w:t>
            </w:r>
          </w:p>
        </w:tc>
      </w:tr>
      <w:tr w:rsidR="00E42B18" w14:paraId="15981348" w14:textId="77777777">
        <w:trPr>
          <w:trHeight w:val="313"/>
        </w:trPr>
        <w:tc>
          <w:tcPr>
            <w:tcW w:w="1418" w:type="dxa"/>
            <w:shd w:val="clear" w:color="auto" w:fill="C6EFCE"/>
            <w:noWrap/>
            <w:vAlign w:val="center"/>
            <w:hideMark/>
          </w:tcPr>
          <w:p w14:paraId="5A44437B" w14:textId="77777777" w:rsidR="00E42B18" w:rsidRDefault="009629C4">
            <w:pPr>
              <w:pStyle w:val="P68B1DB1-Normal11"/>
              <w:jc w:val="center"/>
              <w:rPr>
                <w:noProof/>
                <w:szCs w:val="20"/>
              </w:rPr>
            </w:pPr>
            <w:r>
              <w:rPr>
                <w:noProof/>
              </w:rPr>
              <w:t>M5C3–11</w:t>
            </w:r>
          </w:p>
        </w:tc>
        <w:tc>
          <w:tcPr>
            <w:tcW w:w="1701" w:type="dxa"/>
            <w:shd w:val="clear" w:color="auto" w:fill="C6EFCE"/>
            <w:noWrap/>
            <w:vAlign w:val="center"/>
            <w:hideMark/>
          </w:tcPr>
          <w:p w14:paraId="07DDBACD" w14:textId="77777777" w:rsidR="00E42B18" w:rsidRDefault="009629C4">
            <w:pPr>
              <w:pStyle w:val="P68B1DB1-Normal11"/>
              <w:jc w:val="center"/>
              <w:rPr>
                <w:noProof/>
                <w:szCs w:val="20"/>
              </w:rPr>
            </w:pPr>
            <w:r>
              <w:rPr>
                <w:noProof/>
              </w:rPr>
              <w:t>Investointi 1.4: Erityistalousalueen infrastruktuuri-investoinnit</w:t>
            </w:r>
            <w:r>
              <w:rPr>
                <w:noProof/>
                <w:shd w:val="clear" w:color="auto" w:fill="E6E6E6"/>
              </w:rPr>
              <w:t xml:space="preserve"> </w:t>
            </w:r>
          </w:p>
        </w:tc>
        <w:tc>
          <w:tcPr>
            <w:tcW w:w="1276" w:type="dxa"/>
            <w:shd w:val="clear" w:color="auto" w:fill="C6EFCE"/>
            <w:noWrap/>
            <w:vAlign w:val="center"/>
            <w:hideMark/>
          </w:tcPr>
          <w:p w14:paraId="6053FA46" w14:textId="77777777" w:rsidR="00E42B18" w:rsidRDefault="009629C4">
            <w:pPr>
              <w:pStyle w:val="P68B1DB1-Normal11"/>
              <w:jc w:val="center"/>
              <w:rPr>
                <w:noProof/>
                <w:szCs w:val="20"/>
              </w:rPr>
            </w:pPr>
            <w:r>
              <w:rPr>
                <w:noProof/>
              </w:rPr>
              <w:t>Virstanpylväs</w:t>
            </w:r>
          </w:p>
        </w:tc>
        <w:tc>
          <w:tcPr>
            <w:tcW w:w="1559" w:type="dxa"/>
            <w:shd w:val="clear" w:color="auto" w:fill="C6EFCE"/>
            <w:noWrap/>
            <w:vAlign w:val="center"/>
            <w:hideMark/>
          </w:tcPr>
          <w:p w14:paraId="10B54B4A" w14:textId="77777777" w:rsidR="00E42B18" w:rsidRDefault="009629C4">
            <w:pPr>
              <w:pStyle w:val="P68B1DB1-Normal11"/>
              <w:jc w:val="center"/>
              <w:rPr>
                <w:noProof/>
                <w:szCs w:val="20"/>
              </w:rPr>
            </w:pPr>
            <w:r>
              <w:rPr>
                <w:noProof/>
              </w:rPr>
              <w:t>Kaikkien kahdeksan erityistalousalueen toimintasuunnitelmien hyväksymisestä annettujen ministeriön asetusten voimaantulo</w:t>
            </w:r>
          </w:p>
        </w:tc>
        <w:tc>
          <w:tcPr>
            <w:tcW w:w="1701" w:type="dxa"/>
            <w:shd w:val="clear" w:color="auto" w:fill="C6EFCE"/>
            <w:noWrap/>
            <w:vAlign w:val="center"/>
            <w:hideMark/>
          </w:tcPr>
          <w:p w14:paraId="16161307" w14:textId="77777777" w:rsidR="00E42B18" w:rsidRDefault="009629C4">
            <w:pPr>
              <w:pStyle w:val="P68B1DB1-Normal11"/>
              <w:jc w:val="center"/>
              <w:rPr>
                <w:noProof/>
                <w:szCs w:val="20"/>
              </w:rPr>
            </w:pPr>
            <w:r>
              <w:rPr>
                <w:noProof/>
              </w:rPr>
              <w:t>Lakiin sisältyvä säännös, jossa ilmoitetaan ministeriön asetusten voimaantulo.</w:t>
            </w:r>
          </w:p>
        </w:tc>
        <w:tc>
          <w:tcPr>
            <w:tcW w:w="1276" w:type="dxa"/>
            <w:shd w:val="clear" w:color="auto" w:fill="C6EFCE"/>
            <w:noWrap/>
            <w:vAlign w:val="center"/>
            <w:hideMark/>
          </w:tcPr>
          <w:p w14:paraId="67E4AF69" w14:textId="77777777" w:rsidR="00E42B18" w:rsidRDefault="009629C4">
            <w:pPr>
              <w:pStyle w:val="P68B1DB1-Normal11"/>
              <w:jc w:val="center"/>
              <w:rPr>
                <w:noProof/>
                <w:szCs w:val="20"/>
              </w:rPr>
            </w:pPr>
            <w:r>
              <w:rPr>
                <w:noProof/>
              </w:rPr>
              <w:t>EI OLE</w:t>
            </w:r>
          </w:p>
        </w:tc>
        <w:tc>
          <w:tcPr>
            <w:tcW w:w="1276" w:type="dxa"/>
            <w:shd w:val="clear" w:color="auto" w:fill="C6EFCE"/>
            <w:noWrap/>
            <w:vAlign w:val="center"/>
          </w:tcPr>
          <w:p w14:paraId="4B2A2E01" w14:textId="77777777" w:rsidR="00E42B18" w:rsidRDefault="009629C4">
            <w:pPr>
              <w:pStyle w:val="P68B1DB1-Normal11"/>
              <w:jc w:val="center"/>
              <w:rPr>
                <w:noProof/>
                <w:szCs w:val="20"/>
              </w:rPr>
            </w:pPr>
            <w:r>
              <w:rPr>
                <w:noProof/>
              </w:rPr>
              <w:t>EI OLE</w:t>
            </w:r>
          </w:p>
        </w:tc>
        <w:tc>
          <w:tcPr>
            <w:tcW w:w="709" w:type="dxa"/>
            <w:shd w:val="clear" w:color="auto" w:fill="C6EFCE"/>
            <w:noWrap/>
            <w:vAlign w:val="center"/>
          </w:tcPr>
          <w:p w14:paraId="2C33B48E" w14:textId="77777777" w:rsidR="00E42B18" w:rsidRDefault="009629C4">
            <w:pPr>
              <w:pStyle w:val="P68B1DB1-Normal11"/>
              <w:jc w:val="center"/>
              <w:rPr>
                <w:noProof/>
                <w:szCs w:val="20"/>
              </w:rPr>
            </w:pPr>
            <w:r>
              <w:rPr>
                <w:noProof/>
              </w:rPr>
              <w:t>EI OLE</w:t>
            </w:r>
          </w:p>
        </w:tc>
        <w:tc>
          <w:tcPr>
            <w:tcW w:w="992" w:type="dxa"/>
            <w:shd w:val="clear" w:color="auto" w:fill="C6EFCE"/>
            <w:noWrap/>
            <w:vAlign w:val="center"/>
            <w:hideMark/>
          </w:tcPr>
          <w:p w14:paraId="56A27D68" w14:textId="77777777" w:rsidR="00E42B18" w:rsidRDefault="009629C4">
            <w:pPr>
              <w:pStyle w:val="P68B1DB1-Normal11"/>
              <w:jc w:val="center"/>
              <w:rPr>
                <w:noProof/>
                <w:szCs w:val="20"/>
              </w:rPr>
            </w:pPr>
            <w:r>
              <w:rPr>
                <w:noProof/>
              </w:rPr>
              <w:t>Q4</w:t>
            </w:r>
          </w:p>
        </w:tc>
        <w:tc>
          <w:tcPr>
            <w:tcW w:w="709" w:type="dxa"/>
            <w:shd w:val="clear" w:color="auto" w:fill="C6EFCE"/>
            <w:noWrap/>
            <w:vAlign w:val="center"/>
            <w:hideMark/>
          </w:tcPr>
          <w:p w14:paraId="32B1E61C" w14:textId="77777777" w:rsidR="00E42B18" w:rsidRDefault="009629C4">
            <w:pPr>
              <w:pStyle w:val="P68B1DB1-Normal11"/>
              <w:jc w:val="center"/>
              <w:rPr>
                <w:noProof/>
                <w:szCs w:val="20"/>
              </w:rPr>
            </w:pPr>
            <w:r>
              <w:rPr>
                <w:noProof/>
              </w:rPr>
              <w:t>2021</w:t>
            </w:r>
          </w:p>
        </w:tc>
        <w:tc>
          <w:tcPr>
            <w:tcW w:w="3049" w:type="dxa"/>
            <w:shd w:val="clear" w:color="auto" w:fill="C6EFCE"/>
            <w:noWrap/>
            <w:vAlign w:val="center"/>
            <w:hideMark/>
          </w:tcPr>
          <w:p w14:paraId="6DD58627" w14:textId="77777777" w:rsidR="00E42B18" w:rsidRDefault="009629C4">
            <w:pPr>
              <w:pStyle w:val="P68B1DB1-Normal11"/>
              <w:rPr>
                <w:noProof/>
              </w:rPr>
            </w:pPr>
            <w:r>
              <w:rPr>
                <w:noProof/>
              </w:rPr>
              <w:t>Asetuksessa osoitetaan resurssit täytäntöönpanosta vastaaville tahoille ja määritellään erityiset edellytykset toimenpiteiden ympäristövaikutusten välttämiseksi.</w:t>
            </w:r>
          </w:p>
          <w:p w14:paraId="33887909" w14:textId="77777777" w:rsidR="00E42B18" w:rsidRDefault="009629C4">
            <w:pPr>
              <w:pStyle w:val="P68B1DB1-Normal11"/>
              <w:rPr>
                <w:noProof/>
                <w:szCs w:val="20"/>
              </w:rPr>
            </w:pPr>
            <w:r>
              <w:rPr>
                <w:noProof/>
              </w:rPr>
              <w:t>Kaikkien kilpailuun perustuvien ehdotuspyyntöjen käynnistämisessä on noudatettava tehtävänmäärittelyä, mukaan lukien tukikelpoisuusperusteet, joilla varmistetaan, että valitut hankkeet ovat ”ei merkittävää haittaa” -periaatetta koskevien teknisten ohjeiden (2021/C58/01) mukaisia, käyttämällä poissulkemisluetteloa ja noudattamalla asiaa koskevaa EU:n ja kansallista ympäristölainsäädäntöä.</w:t>
            </w:r>
          </w:p>
        </w:tc>
      </w:tr>
      <w:tr w:rsidR="00E42B18" w14:paraId="2DB7B415" w14:textId="77777777">
        <w:trPr>
          <w:trHeight w:val="313"/>
        </w:trPr>
        <w:tc>
          <w:tcPr>
            <w:tcW w:w="1418" w:type="dxa"/>
            <w:shd w:val="clear" w:color="auto" w:fill="C6EFCE"/>
            <w:noWrap/>
            <w:vAlign w:val="center"/>
          </w:tcPr>
          <w:p w14:paraId="06286FCD" w14:textId="77777777" w:rsidR="00E42B18" w:rsidRDefault="009629C4">
            <w:pPr>
              <w:pStyle w:val="P68B1DB1-Normal12"/>
              <w:jc w:val="center"/>
              <w:rPr>
                <w:noProof/>
              </w:rPr>
            </w:pPr>
            <w:r>
              <w:rPr>
                <w:noProof/>
              </w:rPr>
              <w:t>M5C3–12</w:t>
            </w:r>
          </w:p>
        </w:tc>
        <w:tc>
          <w:tcPr>
            <w:tcW w:w="1701" w:type="dxa"/>
            <w:shd w:val="clear" w:color="auto" w:fill="C6EFCE"/>
            <w:noWrap/>
            <w:vAlign w:val="center"/>
          </w:tcPr>
          <w:p w14:paraId="5855B941" w14:textId="77777777" w:rsidR="00E42B18" w:rsidRDefault="009629C4">
            <w:pPr>
              <w:pStyle w:val="P68B1DB1-Normal11"/>
              <w:jc w:val="center"/>
              <w:rPr>
                <w:noProof/>
                <w:szCs w:val="20"/>
              </w:rPr>
            </w:pPr>
            <w:r>
              <w:rPr>
                <w:noProof/>
              </w:rPr>
              <w:t>Investointi 1.4: Erityistalousalueen infrastruktuuri-investoinnit</w:t>
            </w:r>
          </w:p>
        </w:tc>
        <w:tc>
          <w:tcPr>
            <w:tcW w:w="1276" w:type="dxa"/>
            <w:shd w:val="clear" w:color="auto" w:fill="C6EFCE"/>
            <w:noWrap/>
            <w:vAlign w:val="center"/>
          </w:tcPr>
          <w:p w14:paraId="6BB0CBC7" w14:textId="77777777" w:rsidR="00E42B18" w:rsidRDefault="009629C4">
            <w:pPr>
              <w:pStyle w:val="P68B1DB1-Normal11"/>
              <w:jc w:val="center"/>
              <w:rPr>
                <w:noProof/>
                <w:szCs w:val="20"/>
              </w:rPr>
            </w:pPr>
            <w:r>
              <w:rPr>
                <w:noProof/>
              </w:rPr>
              <w:t>Kohde</w:t>
            </w:r>
          </w:p>
        </w:tc>
        <w:tc>
          <w:tcPr>
            <w:tcW w:w="1559" w:type="dxa"/>
            <w:shd w:val="clear" w:color="auto" w:fill="C6EFCE"/>
            <w:noWrap/>
            <w:vAlign w:val="center"/>
          </w:tcPr>
          <w:p w14:paraId="788670F9" w14:textId="77777777" w:rsidR="00E42B18" w:rsidRDefault="009629C4">
            <w:pPr>
              <w:pStyle w:val="P68B1DB1-Normal12"/>
              <w:jc w:val="center"/>
              <w:rPr>
                <w:noProof/>
              </w:rPr>
            </w:pPr>
            <w:r>
              <w:rPr>
                <w:noProof/>
              </w:rPr>
              <w:t>Infrastruktuurihankkeiden töiden aloittaminen erityistalousalueella</w:t>
            </w:r>
          </w:p>
        </w:tc>
        <w:tc>
          <w:tcPr>
            <w:tcW w:w="1701" w:type="dxa"/>
            <w:shd w:val="clear" w:color="auto" w:fill="C6EFCE"/>
            <w:noWrap/>
            <w:vAlign w:val="center"/>
          </w:tcPr>
          <w:p w14:paraId="58A8FF02" w14:textId="77777777" w:rsidR="00E42B18" w:rsidRDefault="009629C4">
            <w:pPr>
              <w:pStyle w:val="P68B1DB1-Normal11"/>
              <w:jc w:val="center"/>
              <w:rPr>
                <w:noProof/>
                <w:szCs w:val="20"/>
              </w:rPr>
            </w:pPr>
            <w:r>
              <w:rPr>
                <w:noProof/>
              </w:rPr>
              <w:t>EI OLE</w:t>
            </w:r>
          </w:p>
        </w:tc>
        <w:tc>
          <w:tcPr>
            <w:tcW w:w="1276" w:type="dxa"/>
            <w:shd w:val="clear" w:color="auto" w:fill="C6EFCE"/>
            <w:noWrap/>
            <w:vAlign w:val="center"/>
          </w:tcPr>
          <w:p w14:paraId="664BE7FC"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090F9CD8" w14:textId="77777777" w:rsidR="00E42B18" w:rsidRDefault="009629C4">
            <w:pPr>
              <w:pStyle w:val="P68B1DB1-Normal11"/>
              <w:jc w:val="center"/>
              <w:rPr>
                <w:noProof/>
                <w:szCs w:val="20"/>
              </w:rPr>
            </w:pPr>
            <w:r>
              <w:rPr>
                <w:noProof/>
              </w:rPr>
              <w:t>0</w:t>
            </w:r>
          </w:p>
        </w:tc>
        <w:tc>
          <w:tcPr>
            <w:tcW w:w="709" w:type="dxa"/>
            <w:shd w:val="clear" w:color="auto" w:fill="C6EFCE"/>
            <w:noWrap/>
            <w:vAlign w:val="center"/>
          </w:tcPr>
          <w:p w14:paraId="3700CC55" w14:textId="77777777" w:rsidR="00E42B18" w:rsidRDefault="009629C4">
            <w:pPr>
              <w:pStyle w:val="P68B1DB1-Normal11"/>
              <w:jc w:val="center"/>
              <w:rPr>
                <w:noProof/>
                <w:szCs w:val="20"/>
              </w:rPr>
            </w:pPr>
            <w:r>
              <w:rPr>
                <w:noProof/>
              </w:rPr>
              <w:t>53</w:t>
            </w:r>
          </w:p>
        </w:tc>
        <w:tc>
          <w:tcPr>
            <w:tcW w:w="992" w:type="dxa"/>
            <w:shd w:val="clear" w:color="auto" w:fill="C6EFCE"/>
            <w:noWrap/>
            <w:vAlign w:val="center"/>
          </w:tcPr>
          <w:p w14:paraId="34ABA5C2" w14:textId="77777777" w:rsidR="00E42B18" w:rsidRDefault="009629C4">
            <w:pPr>
              <w:pStyle w:val="P68B1DB1-Normal11"/>
              <w:jc w:val="center"/>
              <w:rPr>
                <w:noProof/>
                <w:szCs w:val="20"/>
              </w:rPr>
            </w:pPr>
            <w:r>
              <w:rPr>
                <w:noProof/>
              </w:rPr>
              <w:t>Q4</w:t>
            </w:r>
          </w:p>
        </w:tc>
        <w:tc>
          <w:tcPr>
            <w:tcW w:w="709" w:type="dxa"/>
            <w:shd w:val="clear" w:color="auto" w:fill="C6EFCE"/>
            <w:noWrap/>
            <w:vAlign w:val="center"/>
          </w:tcPr>
          <w:p w14:paraId="3802C4E4" w14:textId="77777777" w:rsidR="00E42B18" w:rsidRDefault="009629C4">
            <w:pPr>
              <w:pStyle w:val="P68B1DB1-Normal11"/>
              <w:jc w:val="center"/>
              <w:rPr>
                <w:noProof/>
                <w:szCs w:val="20"/>
              </w:rPr>
            </w:pPr>
            <w:r>
              <w:rPr>
                <w:noProof/>
              </w:rPr>
              <w:t>2024</w:t>
            </w:r>
          </w:p>
        </w:tc>
        <w:tc>
          <w:tcPr>
            <w:tcW w:w="3049" w:type="dxa"/>
            <w:shd w:val="clear" w:color="auto" w:fill="C6EFCE"/>
            <w:noWrap/>
            <w:vAlign w:val="center"/>
          </w:tcPr>
          <w:p w14:paraId="5D482842" w14:textId="77777777" w:rsidR="00E42B18" w:rsidRDefault="009629C4">
            <w:pPr>
              <w:pStyle w:val="P68B1DB1-Normal12"/>
              <w:rPr>
                <w:noProof/>
              </w:rPr>
            </w:pPr>
            <w:r>
              <w:rPr>
                <w:noProof/>
              </w:rPr>
              <w:t>Infrastruktuurihankkeet on yksilöitävä yksilöllisesti niiden Codice Locale di Progetto (CLP-asetus) perusteella.</w:t>
            </w:r>
          </w:p>
          <w:p w14:paraId="343D461E" w14:textId="77777777" w:rsidR="00E42B18" w:rsidRDefault="009629C4">
            <w:pPr>
              <w:pStyle w:val="P68B1DB1-Normal12"/>
              <w:rPr>
                <w:noProof/>
              </w:rPr>
            </w:pPr>
            <w:r>
              <w:rPr>
                <w:noProof/>
              </w:rPr>
              <w:t>Varojen jakamisesta annetulla asetuksella perustetun vähintään 53 hankkeen rakennustyöt on aloitettava.</w:t>
            </w:r>
          </w:p>
        </w:tc>
      </w:tr>
      <w:tr w:rsidR="00E42B18" w:rsidRPr="009629C4" w14:paraId="48DFB072" w14:textId="77777777">
        <w:trPr>
          <w:trHeight w:val="313"/>
        </w:trPr>
        <w:tc>
          <w:tcPr>
            <w:tcW w:w="1418" w:type="dxa"/>
            <w:shd w:val="clear" w:color="auto" w:fill="C6EFCE"/>
            <w:noWrap/>
            <w:vAlign w:val="center"/>
          </w:tcPr>
          <w:p w14:paraId="7B845288" w14:textId="77777777" w:rsidR="00E42B18" w:rsidRDefault="009629C4">
            <w:pPr>
              <w:pStyle w:val="P68B1DB1-Normal11"/>
              <w:jc w:val="center"/>
              <w:rPr>
                <w:noProof/>
                <w:szCs w:val="20"/>
              </w:rPr>
            </w:pPr>
            <w:r>
              <w:rPr>
                <w:noProof/>
              </w:rPr>
              <w:t>M5C3–13</w:t>
            </w:r>
          </w:p>
        </w:tc>
        <w:tc>
          <w:tcPr>
            <w:tcW w:w="1701" w:type="dxa"/>
            <w:shd w:val="clear" w:color="auto" w:fill="C6EFCE"/>
            <w:noWrap/>
            <w:vAlign w:val="center"/>
          </w:tcPr>
          <w:p w14:paraId="1E5F217F" w14:textId="77777777" w:rsidR="00E42B18" w:rsidRDefault="009629C4">
            <w:pPr>
              <w:pStyle w:val="P68B1DB1-Normal11"/>
              <w:jc w:val="center"/>
              <w:rPr>
                <w:noProof/>
                <w:szCs w:val="20"/>
              </w:rPr>
            </w:pPr>
            <w:r>
              <w:rPr>
                <w:noProof/>
              </w:rPr>
              <w:t>Investointi 1.4: Erityistalousalueen infrastruktuuri-investoinnit</w:t>
            </w:r>
          </w:p>
        </w:tc>
        <w:tc>
          <w:tcPr>
            <w:tcW w:w="1276" w:type="dxa"/>
            <w:shd w:val="clear" w:color="auto" w:fill="C6EFCE"/>
            <w:noWrap/>
            <w:vAlign w:val="center"/>
          </w:tcPr>
          <w:p w14:paraId="4294C2CE" w14:textId="77777777" w:rsidR="00E42B18" w:rsidRDefault="009629C4">
            <w:pPr>
              <w:pStyle w:val="P68B1DB1-Normal11"/>
              <w:jc w:val="center"/>
              <w:rPr>
                <w:noProof/>
                <w:szCs w:val="20"/>
              </w:rPr>
            </w:pPr>
            <w:r>
              <w:rPr>
                <w:noProof/>
              </w:rPr>
              <w:t>Kohde</w:t>
            </w:r>
          </w:p>
        </w:tc>
        <w:tc>
          <w:tcPr>
            <w:tcW w:w="1559" w:type="dxa"/>
            <w:shd w:val="clear" w:color="auto" w:fill="C6EFCE"/>
            <w:noWrap/>
            <w:vAlign w:val="center"/>
          </w:tcPr>
          <w:p w14:paraId="60021F1E" w14:textId="77777777" w:rsidR="00E42B18" w:rsidRDefault="009629C4">
            <w:pPr>
              <w:pStyle w:val="P68B1DB1-Normal12"/>
              <w:jc w:val="center"/>
              <w:rPr>
                <w:rFonts w:eastAsia="Calibri"/>
                <w:noProof/>
              </w:rPr>
            </w:pPr>
            <w:r>
              <w:rPr>
                <w:noProof/>
              </w:rPr>
              <w:t>Erityistalousalueen infrastruktuurihankkeiden loppuun saattaminen</w:t>
            </w:r>
          </w:p>
        </w:tc>
        <w:tc>
          <w:tcPr>
            <w:tcW w:w="1701" w:type="dxa"/>
            <w:shd w:val="clear" w:color="auto" w:fill="C6EFCE"/>
            <w:noWrap/>
            <w:vAlign w:val="center"/>
          </w:tcPr>
          <w:p w14:paraId="4C70AA46" w14:textId="77777777" w:rsidR="00E42B18" w:rsidRDefault="009629C4">
            <w:pPr>
              <w:pStyle w:val="P68B1DB1-Normal11"/>
              <w:jc w:val="center"/>
              <w:rPr>
                <w:noProof/>
                <w:szCs w:val="20"/>
              </w:rPr>
            </w:pPr>
            <w:r>
              <w:rPr>
                <w:noProof/>
              </w:rPr>
              <w:t>EI OLE</w:t>
            </w:r>
          </w:p>
        </w:tc>
        <w:tc>
          <w:tcPr>
            <w:tcW w:w="1276" w:type="dxa"/>
            <w:shd w:val="clear" w:color="auto" w:fill="C6EFCE"/>
            <w:noWrap/>
            <w:vAlign w:val="center"/>
          </w:tcPr>
          <w:p w14:paraId="19411A3F" w14:textId="77777777" w:rsidR="00E42B18" w:rsidRDefault="009629C4">
            <w:pPr>
              <w:pStyle w:val="P68B1DB1-Normal11"/>
              <w:jc w:val="center"/>
              <w:rPr>
                <w:noProof/>
                <w:szCs w:val="20"/>
              </w:rPr>
            </w:pPr>
            <w:r>
              <w:rPr>
                <w:noProof/>
              </w:rPr>
              <w:t>Numero</w:t>
            </w:r>
          </w:p>
        </w:tc>
        <w:tc>
          <w:tcPr>
            <w:tcW w:w="1276" w:type="dxa"/>
            <w:shd w:val="clear" w:color="auto" w:fill="C6EFCE"/>
            <w:noWrap/>
            <w:vAlign w:val="center"/>
          </w:tcPr>
          <w:p w14:paraId="71989C0E" w14:textId="77777777" w:rsidR="00E42B18" w:rsidRDefault="009629C4">
            <w:pPr>
              <w:pStyle w:val="P68B1DB1-Normal11"/>
              <w:jc w:val="center"/>
              <w:rPr>
                <w:noProof/>
                <w:szCs w:val="20"/>
              </w:rPr>
            </w:pPr>
            <w:r>
              <w:rPr>
                <w:noProof/>
              </w:rPr>
              <w:t>0</w:t>
            </w:r>
          </w:p>
        </w:tc>
        <w:tc>
          <w:tcPr>
            <w:tcW w:w="709" w:type="dxa"/>
            <w:shd w:val="clear" w:color="auto" w:fill="C6EFCE"/>
            <w:noWrap/>
            <w:vAlign w:val="center"/>
          </w:tcPr>
          <w:p w14:paraId="06A7B5A2" w14:textId="77777777" w:rsidR="00E42B18" w:rsidRDefault="009629C4">
            <w:pPr>
              <w:pStyle w:val="P68B1DB1-Normal11"/>
              <w:jc w:val="center"/>
              <w:rPr>
                <w:noProof/>
                <w:szCs w:val="20"/>
              </w:rPr>
            </w:pPr>
            <w:r>
              <w:rPr>
                <w:noProof/>
              </w:rPr>
              <w:t>46</w:t>
            </w:r>
          </w:p>
        </w:tc>
        <w:tc>
          <w:tcPr>
            <w:tcW w:w="992" w:type="dxa"/>
            <w:shd w:val="clear" w:color="auto" w:fill="C6EFCE"/>
            <w:noWrap/>
            <w:vAlign w:val="center"/>
          </w:tcPr>
          <w:p w14:paraId="6AEFB4BB" w14:textId="77777777" w:rsidR="00E42B18" w:rsidRDefault="009629C4">
            <w:pPr>
              <w:pStyle w:val="P68B1DB1-Normal11"/>
              <w:jc w:val="center"/>
              <w:rPr>
                <w:noProof/>
                <w:szCs w:val="20"/>
              </w:rPr>
            </w:pPr>
            <w:r>
              <w:rPr>
                <w:noProof/>
              </w:rPr>
              <w:t>Q2</w:t>
            </w:r>
          </w:p>
        </w:tc>
        <w:tc>
          <w:tcPr>
            <w:tcW w:w="709" w:type="dxa"/>
            <w:shd w:val="clear" w:color="auto" w:fill="C6EFCE"/>
            <w:noWrap/>
            <w:vAlign w:val="center"/>
          </w:tcPr>
          <w:p w14:paraId="08F56292" w14:textId="77777777" w:rsidR="00E42B18" w:rsidRDefault="009629C4">
            <w:pPr>
              <w:pStyle w:val="P68B1DB1-Normal11"/>
              <w:jc w:val="center"/>
              <w:rPr>
                <w:noProof/>
                <w:szCs w:val="20"/>
              </w:rPr>
            </w:pPr>
            <w:r>
              <w:rPr>
                <w:noProof/>
              </w:rPr>
              <w:t>2026</w:t>
            </w:r>
          </w:p>
        </w:tc>
        <w:tc>
          <w:tcPr>
            <w:tcW w:w="3049" w:type="dxa"/>
            <w:shd w:val="clear" w:color="auto" w:fill="C6EFCE"/>
            <w:noWrap/>
            <w:vAlign w:val="center"/>
          </w:tcPr>
          <w:p w14:paraId="48D33F99" w14:textId="77777777" w:rsidR="00E42B18" w:rsidRDefault="009629C4">
            <w:pPr>
              <w:pStyle w:val="P68B1DB1-Normal12"/>
              <w:rPr>
                <w:noProof/>
              </w:rPr>
            </w:pPr>
            <w:r>
              <w:rPr>
                <w:noProof/>
              </w:rPr>
              <w:t>Rakennustöiden päätökseen saattamisesta on annettava todistus vähintään 46 hankkeelle, jotka on perustettu varojen jakamisesta annetulla asetuksella ja jotka on yksilöinyt niiden Codice Locale di Progetto (CLP). Luettelossa toteutetuista hankkeista on oltava seuraavat tiedot:</w:t>
            </w:r>
          </w:p>
          <w:p w14:paraId="6B3BB223" w14:textId="77777777" w:rsidR="00E42B18" w:rsidRPr="007F4B94" w:rsidRDefault="009629C4">
            <w:pPr>
              <w:pStyle w:val="P68B1DB1-ListParagraph15"/>
              <w:numPr>
                <w:ilvl w:val="0"/>
                <w:numId w:val="36"/>
              </w:numPr>
              <w:spacing w:before="120" w:after="120" w:line="240" w:lineRule="auto"/>
              <w:jc w:val="both"/>
              <w:rPr>
                <w:noProof/>
                <w:lang w:val="en-IE"/>
              </w:rPr>
            </w:pPr>
            <w:r w:rsidRPr="007F4B94">
              <w:rPr>
                <w:noProof/>
                <w:lang w:val="en-IE"/>
              </w:rPr>
              <w:t>Porto di Salerno. Alueportuali. Consolidamento ed adeguamento funzionale di alcuni moli e banchine (CLP: G51B21003170006)</w:t>
            </w:r>
          </w:p>
          <w:p w14:paraId="6C2DD595" w14:textId="77777777" w:rsidR="00E42B18" w:rsidRPr="007F4B94" w:rsidRDefault="009629C4">
            <w:pPr>
              <w:pStyle w:val="P68B1DB1-ListParagraph15"/>
              <w:numPr>
                <w:ilvl w:val="0"/>
                <w:numId w:val="36"/>
              </w:numPr>
              <w:spacing w:before="120" w:after="120" w:line="240" w:lineRule="auto"/>
              <w:jc w:val="both"/>
              <w:rPr>
                <w:noProof/>
                <w:lang w:val="en-IE"/>
              </w:rPr>
            </w:pPr>
            <w:r w:rsidRPr="007F4B94">
              <w:rPr>
                <w:noProof/>
                <w:lang w:val="en-IE"/>
              </w:rPr>
              <w:t>Porto di Napoli. Alueportuali. Prolungamento e rafforzamento della diga Duca D’Aosta (CLP: G65F20001560006)</w:t>
            </w:r>
          </w:p>
          <w:p w14:paraId="3567B27C" w14:textId="0D540804" w:rsidR="00E42B18" w:rsidRPr="007F4B94" w:rsidRDefault="009629C4">
            <w:pPr>
              <w:pStyle w:val="P68B1DB1-ListParagraph15"/>
              <w:numPr>
                <w:ilvl w:val="0"/>
                <w:numId w:val="36"/>
              </w:numPr>
              <w:spacing w:before="120" w:after="120" w:line="240" w:lineRule="auto"/>
              <w:jc w:val="both"/>
              <w:rPr>
                <w:noProof/>
                <w:lang w:val="en-IE"/>
              </w:rPr>
            </w:pPr>
            <w:r w:rsidRPr="007F4B94">
              <w:rPr>
                <w:noProof/>
                <w:lang w:val="en-IE"/>
              </w:rPr>
              <w:t>Porto di Salerno. Dragaggio del porto commerciale di Salerno e del canale di ingresso – fase 2 – Molo di ponente (CLP: G51B21003160006)</w:t>
            </w:r>
          </w:p>
          <w:p w14:paraId="6A1BD5A3" w14:textId="2505C3A2" w:rsidR="00E42B18" w:rsidRPr="007F4B94" w:rsidRDefault="009629C4">
            <w:pPr>
              <w:pStyle w:val="P68B1DB1-ListParagraph15"/>
              <w:numPr>
                <w:ilvl w:val="0"/>
                <w:numId w:val="36"/>
              </w:numPr>
              <w:spacing w:before="120" w:after="120" w:line="240" w:lineRule="auto"/>
              <w:jc w:val="both"/>
              <w:rPr>
                <w:noProof/>
                <w:szCs w:val="20"/>
                <w:lang w:val="en-IE"/>
              </w:rPr>
            </w:pPr>
            <w:r w:rsidRPr="007F4B94">
              <w:rPr>
                <w:noProof/>
                <w:lang w:val="en-IE"/>
              </w:rPr>
              <w:t>Porto Canale Di Cagliari. Alueportuali. Avamporti: realizzazione di nuovi banchinamenti per l’ormeggio di navi Traghetto ro-off, ro-ro (CLP: D21G06000020003)</w:t>
            </w:r>
          </w:p>
        </w:tc>
      </w:tr>
      <w:tr w:rsidR="00E42B18" w14:paraId="6EE55BF5" w14:textId="77777777">
        <w:trPr>
          <w:trHeight w:val="313"/>
        </w:trPr>
        <w:tc>
          <w:tcPr>
            <w:tcW w:w="1418" w:type="dxa"/>
            <w:shd w:val="clear" w:color="auto" w:fill="C6EFCE"/>
            <w:noWrap/>
            <w:vAlign w:val="center"/>
          </w:tcPr>
          <w:p w14:paraId="4880E446" w14:textId="014CB753" w:rsidR="00E42B18" w:rsidRDefault="009629C4">
            <w:pPr>
              <w:pStyle w:val="P68B1DB1-Normal11"/>
              <w:jc w:val="center"/>
              <w:rPr>
                <w:noProof/>
                <w:highlight w:val="yellow"/>
              </w:rPr>
            </w:pPr>
            <w:r>
              <w:rPr>
                <w:noProof/>
              </w:rPr>
              <w:t>M5C3–14</w:t>
            </w:r>
          </w:p>
        </w:tc>
        <w:tc>
          <w:tcPr>
            <w:tcW w:w="1701" w:type="dxa"/>
            <w:shd w:val="clear" w:color="auto" w:fill="C6EFCE"/>
            <w:noWrap/>
            <w:vAlign w:val="center"/>
          </w:tcPr>
          <w:p w14:paraId="13C229A0" w14:textId="5CD59A6E" w:rsidR="00E42B18" w:rsidRDefault="009629C4">
            <w:pPr>
              <w:pStyle w:val="P68B1DB1-Normal11"/>
              <w:jc w:val="center"/>
              <w:rPr>
                <w:noProof/>
                <w:highlight w:val="yellow"/>
              </w:rPr>
            </w:pPr>
            <w:r>
              <w:rPr>
                <w:noProof/>
              </w:rPr>
              <w:t>Investointi 1.5: Investointien verohyvitysjärjestelmä Etelä-Italiassa ja erityistalousalueella (SEZ)</w:t>
            </w:r>
          </w:p>
        </w:tc>
        <w:tc>
          <w:tcPr>
            <w:tcW w:w="1276" w:type="dxa"/>
            <w:shd w:val="clear" w:color="auto" w:fill="C6EFCE"/>
            <w:noWrap/>
            <w:vAlign w:val="center"/>
          </w:tcPr>
          <w:p w14:paraId="1AC38A96" w14:textId="5034A2F7" w:rsidR="00E42B18" w:rsidRDefault="009629C4">
            <w:pPr>
              <w:pStyle w:val="P68B1DB1-Normal11"/>
              <w:jc w:val="center"/>
              <w:rPr>
                <w:noProof/>
                <w:highlight w:val="yellow"/>
              </w:rPr>
            </w:pPr>
            <w:r>
              <w:rPr>
                <w:noProof/>
              </w:rPr>
              <w:t>Kohde</w:t>
            </w:r>
          </w:p>
        </w:tc>
        <w:tc>
          <w:tcPr>
            <w:tcW w:w="1559" w:type="dxa"/>
            <w:shd w:val="clear" w:color="auto" w:fill="C6EFCE"/>
            <w:noWrap/>
            <w:vAlign w:val="center"/>
          </w:tcPr>
          <w:p w14:paraId="5AA85D74" w14:textId="5F4F55BB" w:rsidR="00E42B18" w:rsidRDefault="009629C4">
            <w:pPr>
              <w:pStyle w:val="P68B1DB1-Normal12"/>
              <w:jc w:val="center"/>
              <w:rPr>
                <w:noProof/>
                <w:highlight w:val="yellow"/>
              </w:rPr>
            </w:pPr>
            <w:r>
              <w:rPr>
                <w:noProof/>
              </w:rPr>
              <w:t xml:space="preserve">Verohyvitykset Etelä-Italialle ja erityistalousalueelle (SEZ) </w:t>
            </w:r>
          </w:p>
        </w:tc>
        <w:tc>
          <w:tcPr>
            <w:tcW w:w="1701" w:type="dxa"/>
            <w:shd w:val="clear" w:color="auto" w:fill="C6EFCE"/>
            <w:noWrap/>
            <w:vAlign w:val="center"/>
          </w:tcPr>
          <w:p w14:paraId="0816177E" w14:textId="3BD6617D" w:rsidR="00E42B18" w:rsidRDefault="009629C4">
            <w:pPr>
              <w:pStyle w:val="P68B1DB1-Normal11"/>
              <w:jc w:val="center"/>
              <w:rPr>
                <w:noProof/>
                <w:highlight w:val="yellow"/>
              </w:rPr>
            </w:pPr>
            <w:r>
              <w:rPr>
                <w:noProof/>
              </w:rPr>
              <w:t>EI OLE</w:t>
            </w:r>
          </w:p>
        </w:tc>
        <w:tc>
          <w:tcPr>
            <w:tcW w:w="1276" w:type="dxa"/>
            <w:shd w:val="clear" w:color="auto" w:fill="C6EFCE"/>
            <w:noWrap/>
            <w:vAlign w:val="center"/>
          </w:tcPr>
          <w:p w14:paraId="528FE2E9" w14:textId="0198BE14" w:rsidR="00E42B18" w:rsidRDefault="009629C4">
            <w:pPr>
              <w:pStyle w:val="P68B1DB1-Normal11"/>
              <w:jc w:val="center"/>
              <w:rPr>
                <w:noProof/>
                <w:highlight w:val="yellow"/>
              </w:rPr>
            </w:pPr>
            <w:r>
              <w:rPr>
                <w:noProof/>
              </w:rPr>
              <w:t>Myönnettyjen varojen määrä (euroa)</w:t>
            </w:r>
          </w:p>
        </w:tc>
        <w:tc>
          <w:tcPr>
            <w:tcW w:w="1276" w:type="dxa"/>
            <w:shd w:val="clear" w:color="auto" w:fill="C6EFCE"/>
            <w:noWrap/>
            <w:vAlign w:val="center"/>
          </w:tcPr>
          <w:p w14:paraId="7500EFF0" w14:textId="2976A4A4" w:rsidR="00E42B18" w:rsidRDefault="009629C4">
            <w:pPr>
              <w:pStyle w:val="P68B1DB1-Normal11"/>
              <w:jc w:val="center"/>
              <w:rPr>
                <w:noProof/>
                <w:highlight w:val="yellow"/>
              </w:rPr>
            </w:pPr>
            <w:r>
              <w:rPr>
                <w:noProof/>
              </w:rPr>
              <w:t>0</w:t>
            </w:r>
          </w:p>
        </w:tc>
        <w:tc>
          <w:tcPr>
            <w:tcW w:w="709" w:type="dxa"/>
            <w:shd w:val="clear" w:color="auto" w:fill="C6EFCE"/>
            <w:noWrap/>
            <w:vAlign w:val="center"/>
          </w:tcPr>
          <w:p w14:paraId="4001CE96" w14:textId="039D5FE6" w:rsidR="00E42B18" w:rsidRDefault="009629C4">
            <w:pPr>
              <w:pStyle w:val="P68B1DB1-Normal12"/>
              <w:jc w:val="center"/>
              <w:rPr>
                <w:noProof/>
                <w:highlight w:val="yellow"/>
              </w:rPr>
            </w:pPr>
            <w:r>
              <w:rPr>
                <w:noProof/>
              </w:rPr>
              <w:t>500 000 000</w:t>
            </w:r>
          </w:p>
        </w:tc>
        <w:tc>
          <w:tcPr>
            <w:tcW w:w="992" w:type="dxa"/>
            <w:shd w:val="clear" w:color="auto" w:fill="C6EFCE"/>
            <w:noWrap/>
            <w:vAlign w:val="center"/>
          </w:tcPr>
          <w:p w14:paraId="205F28D6" w14:textId="5F6B1B6D" w:rsidR="00E42B18" w:rsidRDefault="009629C4">
            <w:pPr>
              <w:pStyle w:val="P68B1DB1-Normal11"/>
              <w:jc w:val="center"/>
              <w:rPr>
                <w:noProof/>
                <w:highlight w:val="yellow"/>
              </w:rPr>
            </w:pPr>
            <w:r>
              <w:rPr>
                <w:noProof/>
              </w:rPr>
              <w:t>Q2</w:t>
            </w:r>
          </w:p>
        </w:tc>
        <w:tc>
          <w:tcPr>
            <w:tcW w:w="709" w:type="dxa"/>
            <w:shd w:val="clear" w:color="auto" w:fill="C6EFCE"/>
            <w:noWrap/>
            <w:vAlign w:val="center"/>
          </w:tcPr>
          <w:p w14:paraId="7DAE5322" w14:textId="6E4B4E40" w:rsidR="00E42B18" w:rsidRDefault="009629C4">
            <w:pPr>
              <w:pStyle w:val="P68B1DB1-Normal11"/>
              <w:jc w:val="center"/>
              <w:rPr>
                <w:noProof/>
                <w:highlight w:val="yellow"/>
              </w:rPr>
            </w:pPr>
            <w:r>
              <w:rPr>
                <w:noProof/>
              </w:rPr>
              <w:t>2026</w:t>
            </w:r>
          </w:p>
        </w:tc>
        <w:tc>
          <w:tcPr>
            <w:tcW w:w="3049" w:type="dxa"/>
            <w:shd w:val="clear" w:color="auto" w:fill="C6EFCE"/>
            <w:noWrap/>
            <w:vAlign w:val="center"/>
          </w:tcPr>
          <w:p w14:paraId="30289040" w14:textId="2A6F2552" w:rsidR="00E42B18" w:rsidRDefault="009629C4">
            <w:pPr>
              <w:pStyle w:val="P68B1DB1-Normal11"/>
              <w:rPr>
                <w:noProof/>
                <w:szCs w:val="20"/>
              </w:rPr>
            </w:pPr>
            <w:r>
              <w:rPr>
                <w:noProof/>
              </w:rPr>
              <w:t xml:space="preserve">Vähintään 500000000 euron verohyvitysten myöntäminen yrityksille vähintään 150000 </w:t>
            </w:r>
            <w:r>
              <w:rPr>
                <w:noProof/>
                <w:szCs w:val="20"/>
              </w:rPr>
              <w:t>euron investointeihin, jotka on tehty vuosina</w:t>
            </w:r>
            <w:r>
              <w:rPr>
                <w:noProof/>
              </w:rPr>
              <w:t xml:space="preserve"> 2022–2025 eteläisillä alueilla ja etelän erityistalousalueella.</w:t>
            </w:r>
          </w:p>
          <w:p w14:paraId="78EFC37B" w14:textId="77777777" w:rsidR="00E42B18" w:rsidRDefault="009629C4">
            <w:pPr>
              <w:pStyle w:val="P68B1DB1-Normal12"/>
              <w:rPr>
                <w:noProof/>
              </w:rPr>
            </w:pPr>
            <w:r>
              <w:rPr>
                <w:noProof/>
              </w:rPr>
              <w:t>Toimenpide on kohdennettava seuraaviin investointilinjoihin:</w:t>
            </w:r>
          </w:p>
          <w:p w14:paraId="212B4703" w14:textId="77777777" w:rsidR="00E42B18" w:rsidRDefault="009629C4">
            <w:pPr>
              <w:pStyle w:val="P68B1DB1-Normal12"/>
              <w:numPr>
                <w:ilvl w:val="0"/>
                <w:numId w:val="94"/>
              </w:numPr>
              <w:spacing w:line="279" w:lineRule="auto"/>
              <w:rPr>
                <w:noProof/>
              </w:rPr>
            </w:pPr>
            <w:r>
              <w:rPr>
                <w:noProof/>
              </w:rPr>
              <w:t>Tuotantojärjestelmät (mukaan lukien laitteet, jotka on tiukasti liitetty järjestelmän muodostaviin laitoksiin/koneisiin), joita hallinnoidaan sellaisten digitaalisten laitteiden avulla, joilla voidaan suorittaa yksi tai useampi tuotesyklin vaihe.</w:t>
            </w:r>
          </w:p>
          <w:p w14:paraId="1450055A" w14:textId="77777777" w:rsidR="00E42B18" w:rsidRDefault="009629C4">
            <w:pPr>
              <w:pStyle w:val="P68B1DB1-Normal12"/>
              <w:numPr>
                <w:ilvl w:val="0"/>
                <w:numId w:val="94"/>
              </w:numPr>
              <w:spacing w:line="279" w:lineRule="auto"/>
              <w:rPr>
                <w:noProof/>
              </w:rPr>
            </w:pPr>
            <w:r>
              <w:rPr>
                <w:noProof/>
              </w:rPr>
              <w:t>Tuotantoautomaatiojärjestelmät, joissa käytetään robotteja, antureita ja komponentteja tuotantolinjojen joustavuuden ja tehokkuuden lisäämiseksi.</w:t>
            </w:r>
          </w:p>
          <w:p w14:paraId="5CE9F734" w14:textId="77777777" w:rsidR="00E42B18" w:rsidRDefault="009629C4">
            <w:pPr>
              <w:pStyle w:val="P68B1DB1-Normal12"/>
              <w:numPr>
                <w:ilvl w:val="0"/>
                <w:numId w:val="94"/>
              </w:numPr>
              <w:spacing w:line="279" w:lineRule="auto"/>
              <w:rPr>
                <w:noProof/>
              </w:rPr>
            </w:pPr>
            <w:r>
              <w:rPr>
                <w:noProof/>
              </w:rPr>
              <w:t>Laitteistot ja ohjelmistot, mukaan lukien pilvipalvelualustoihin perustuvat laitteistot ja ohjelmistot, joiden tarkoituksena on suurten tietomäärien järjestäminen ja käsittely; käyttöliittymien, myös multimedialiittymien, hallinta; käyttämällä kehittyneitä antureita monimutkaisten tietojen käsittelyyn; tietojenkäsittelyn optimointi energian ja yksityisyyden näkökulmasta; erityislaitteiden etäavustaminen.</w:t>
            </w:r>
          </w:p>
          <w:p w14:paraId="16BD77DC" w14:textId="0CE93247" w:rsidR="00E42B18" w:rsidRDefault="009629C4">
            <w:pPr>
              <w:pStyle w:val="P68B1DB1-Normal12"/>
              <w:numPr>
                <w:ilvl w:val="0"/>
                <w:numId w:val="94"/>
              </w:numPr>
              <w:spacing w:line="279" w:lineRule="auto"/>
              <w:rPr>
                <w:noProof/>
              </w:rPr>
            </w:pPr>
            <w:r>
              <w:rPr>
                <w:noProof/>
              </w:rPr>
              <w:t>Sähköiset prototyyppityökalut ja/tai kehittynyt tuotanto, jonka tarkoituksena on toteuttaa digitaalisia prosesseja, esimerkiksi: 3D-tulostus, laserleikkaus ja CNC-jyrsintä.</w:t>
            </w:r>
          </w:p>
          <w:p w14:paraId="7DABF0F6" w14:textId="77777777" w:rsidR="00E42B18" w:rsidRDefault="009629C4">
            <w:pPr>
              <w:pStyle w:val="P68B1DB1-Normal12"/>
              <w:numPr>
                <w:ilvl w:val="0"/>
                <w:numId w:val="94"/>
              </w:numPr>
              <w:spacing w:line="279" w:lineRule="auto"/>
              <w:rPr>
                <w:noProof/>
              </w:rPr>
            </w:pPr>
            <w:r>
              <w:rPr>
                <w:noProof/>
              </w:rPr>
              <w:t>Erikoistavarat ja -laitteet kehittyneiden palvelujen tarjoamista tai tutkimus- ja kehitystoimintaa varten.</w:t>
            </w:r>
          </w:p>
          <w:p w14:paraId="195F0F94" w14:textId="21FDA360" w:rsidR="00E42B18" w:rsidRDefault="009629C4">
            <w:pPr>
              <w:pStyle w:val="P68B1DB1-Normal12"/>
              <w:rPr>
                <w:noProof/>
                <w:highlight w:val="yellow"/>
              </w:rPr>
            </w:pPr>
            <w:r>
              <w:rPr>
                <w:noProof/>
              </w:rPr>
              <w:t xml:space="preserve">Tavoitetta varten ei oteta huomioon yrityksiä, jotka toimivat NACE-koodeilla 01, 08, 17, 19, 20, 22, 23, 24, 29, 30, 35, 38, 41, 42, 43, 49, 50 ja 51 määritellyillä toimialoilla. </w:t>
            </w:r>
          </w:p>
        </w:tc>
      </w:tr>
    </w:tbl>
    <w:p w14:paraId="7005B2DF" w14:textId="77777777" w:rsidR="00E42B18" w:rsidRDefault="00E42B18">
      <w:pPr>
        <w:spacing w:before="120" w:after="120"/>
        <w:rPr>
          <w:noProof/>
        </w:rPr>
        <w:sectPr w:rsidR="00E42B18" w:rsidSect="005F11B9">
          <w:headerReference w:type="default" r:id="rId278"/>
          <w:footerReference w:type="default" r:id="rId279"/>
          <w:pgSz w:w="16839" w:h="11907" w:orient="landscape"/>
          <w:pgMar w:top="1440" w:right="1440" w:bottom="1440" w:left="1440" w:header="567" w:footer="567" w:gutter="0"/>
          <w:cols w:space="720"/>
          <w:docGrid w:linePitch="360"/>
        </w:sectPr>
      </w:pPr>
    </w:p>
    <w:p w14:paraId="5478DC90" w14:textId="77777777" w:rsidR="00E42B18" w:rsidRDefault="009629C4">
      <w:pPr>
        <w:pStyle w:val="P68B1DB1-Heading23"/>
        <w:ind w:left="1080"/>
        <w:rPr>
          <w:noProof/>
        </w:rPr>
      </w:pPr>
      <w:r>
        <w:rPr>
          <w:noProof/>
        </w:rPr>
        <w:t>O. MISSION 6 KOMPONENTTI 1: Lähiverkot, -palvelut ja etälääketiede alueellisessa terveydenhuollossa</w:t>
      </w:r>
    </w:p>
    <w:p w14:paraId="3BB2507D" w14:textId="77777777" w:rsidR="00E42B18" w:rsidRDefault="009629C4">
      <w:pPr>
        <w:pStyle w:val="P68B1DB1-Normal7"/>
        <w:spacing w:before="120"/>
        <w:jc w:val="both"/>
        <w:rPr>
          <w:iCs/>
          <w:noProof/>
        </w:rPr>
      </w:pPr>
      <w:r>
        <w:rPr>
          <w:noProof/>
        </w:rPr>
        <w:t xml:space="preserve">Tämän komponentin tavoitteena on vahvistaa Italian kansallista terveydenhuoltojärjestelmää muun muassa parantamalla suojelua ympäristöön ja ilmastonmuutokseen liittyviltä terveysriskeiltä ja vastaamalla paremmin paikalliseen hoitoon ja apuun liittyviin yhteisöjen tarpeisiin. Paikallinen terveydenhuoltotuki on hajanaista, ja siihen liittyy alueellisia eroja, jotka johtavat terveydenhuoltopalvelujen eri tasoihin ja terveystuloksiin eri alueilla. Integroitujen kotihoitopalvelujen tarjonnan katsotaan olevan vähäistä, ja eri terveydenhuolto- ja sosiaalipalvelujen tarjoajien katsotaan olevan vain heikosti integroituneita. Lisäksi Italian kansallisen terveydenhuoltojärjestelmän (NHS) valmiuksia puuttua ympäristöaltistukseen ja ilmastonmuutokseen liittyviin terveysriskeihin on testattu useissa ympäristökriiseissä ja -hätätilanteissa, jotka ovat korostaneet riittävien ehkäisevien toimien puutteesta johtuvia haasteita. Italian elpymis- ja palautumissuunnitelman tämän osan tavoitteena on vahvistaa Italian kansallista terveydenhuoltojärjestelmää muun muassa parantamalla suojelua ympäristöön ja ilmastonmuutokseen liittyviltä terveysriskeiltä ja vastaamalla paremmin paikalliseen hoitoon ja apuun liittyviin yhteisöjen tarpeisiin. </w:t>
      </w:r>
    </w:p>
    <w:p w14:paraId="42C68C86" w14:textId="77777777" w:rsidR="00E42B18" w:rsidRDefault="009629C4">
      <w:pPr>
        <w:pStyle w:val="P68B1DB1-Normal7"/>
        <w:spacing w:before="120"/>
        <w:jc w:val="both"/>
        <w:rPr>
          <w:noProof/>
        </w:rPr>
      </w:pPr>
      <w:r>
        <w:rPr>
          <w:noProof/>
        </w:rPr>
        <w:t>Tämän komponentin investoinneilla ja uudistuksilla edistetään Italialle vuosina 2019 ja 2020 annettujen maakohtaisten suositusten noudattamista. Suositukset koskevat tarvetta</w:t>
      </w:r>
      <w:r>
        <w:rPr>
          <w:noProof/>
          <w:color w:val="333333"/>
        </w:rPr>
        <w:t xml:space="preserve"> keskittää investointeihin liittyvä talouspolitiikka tutkimukseen ja innovointiin sekä infrastruktuurin laatuun ottaen huomioon alueelliset erot</w:t>
      </w:r>
      <w:r>
        <w:rPr>
          <w:noProof/>
        </w:rPr>
        <w:t xml:space="preserve"> (maakohtainen suositus 3, 2019), ”vahvistaa terveydenhuoltojärjestelmän häiriönsietokykyä ja kapasiteettia terveydenhuollon työntekijöiden, kriittisten lääkinnällisten tuotteiden ja infrastruktuurin aloilla” (maakohtainen suositus 1, 2020) ja ”keskittää investoinnit vihreään siirtymään ja digitaaliseen muutokseen, erityisesti vahvistettuun digitaaliseen infrastruktuuriin keskeisten palvelujen tarjoamisen varmistamiseksi” (maakohtainen suositus 3, 2020).</w:t>
      </w:r>
    </w:p>
    <w:p w14:paraId="5609C499" w14:textId="77777777" w:rsidR="00E42B18" w:rsidRDefault="00E42B18">
      <w:pPr>
        <w:spacing w:before="120"/>
        <w:jc w:val="both"/>
        <w:rPr>
          <w:rFonts w:ascii="Times New Roman" w:hAnsi="Times New Roman" w:cs="Times New Roman"/>
          <w:noProof/>
        </w:rPr>
      </w:pPr>
    </w:p>
    <w:p w14:paraId="4FC80C34" w14:textId="77777777" w:rsidR="00E42B18" w:rsidRDefault="009629C4">
      <w:pPr>
        <w:pStyle w:val="P68B1DB1-Heading39"/>
        <w:ind w:left="850" w:hanging="850"/>
        <w:rPr>
          <w:b/>
          <w:bCs/>
          <w:i/>
          <w:iCs/>
          <w:noProof/>
          <w:color w:val="156082" w:themeColor="accent1"/>
          <w:u w:val="single"/>
        </w:rPr>
      </w:pPr>
      <w:r>
        <w:rPr>
          <w:b/>
          <w:noProof/>
          <w:u w:val="single"/>
        </w:rPr>
        <w:t xml:space="preserve">O.1 </w:t>
      </w:r>
      <w:r>
        <w:rPr>
          <w:noProof/>
        </w:rPr>
        <w:t xml:space="preserve"> </w:t>
      </w:r>
      <w:r>
        <w:rPr>
          <w:b/>
          <w:noProof/>
          <w:u w:val="single"/>
        </w:rPr>
        <w:t>Kuvaus uudistuksista ja investoinneista, joita rahoitetaan rahoitustuella, jota ei makseta takaisin</w:t>
      </w:r>
    </w:p>
    <w:p w14:paraId="488912F0" w14:textId="77777777" w:rsidR="00E42B18" w:rsidRDefault="009629C4">
      <w:pPr>
        <w:pStyle w:val="P68B1DB1-Normal26"/>
        <w:spacing w:before="120" w:after="120"/>
        <w:jc w:val="both"/>
        <w:rPr>
          <w:noProof/>
        </w:rPr>
      </w:pPr>
      <w:r>
        <w:rPr>
          <w:noProof/>
        </w:rPr>
        <w:t>EI OLE</w:t>
      </w:r>
    </w:p>
    <w:p w14:paraId="4DA8582E" w14:textId="77777777" w:rsidR="00E42B18" w:rsidRDefault="009629C4">
      <w:pPr>
        <w:pStyle w:val="P68B1DB1-Heading39"/>
        <w:ind w:left="850" w:hanging="850"/>
        <w:rPr>
          <w:b/>
          <w:bCs/>
          <w:i/>
          <w:iCs/>
          <w:noProof/>
          <w:u w:val="single"/>
        </w:rPr>
      </w:pPr>
      <w:r>
        <w:rPr>
          <w:b/>
          <w:noProof/>
          <w:u w:val="single"/>
        </w:rPr>
        <w:t xml:space="preserve">O.2 </w:t>
      </w:r>
      <w:r>
        <w:rPr>
          <w:noProof/>
        </w:rPr>
        <w:t xml:space="preserve"> </w:t>
      </w:r>
      <w:r>
        <w:rPr>
          <w:b/>
          <w:noProof/>
          <w:u w:val="single"/>
        </w:rPr>
        <w:t>Seurantaa ja täytäntöönpanoa koskevat välitavoitteet, tavoitteet, indikaattorit ja aikataulu – rahoitustuki, jota ei makseta takaisin</w:t>
      </w:r>
    </w:p>
    <w:p w14:paraId="4E4BB221" w14:textId="77777777" w:rsidR="00E42B18" w:rsidRDefault="009629C4">
      <w:pPr>
        <w:pStyle w:val="P68B1DB1-Normal26"/>
        <w:spacing w:before="120" w:after="120"/>
        <w:jc w:val="both"/>
        <w:rPr>
          <w:noProof/>
        </w:rPr>
      </w:pPr>
      <w:r>
        <w:rPr>
          <w:noProof/>
        </w:rPr>
        <w:t>EI OLE</w:t>
      </w:r>
    </w:p>
    <w:p w14:paraId="48FD7886" w14:textId="77777777" w:rsidR="00E42B18" w:rsidRDefault="009629C4">
      <w:pPr>
        <w:pStyle w:val="P68B1DB1-Normal7"/>
        <w:spacing w:after="200" w:line="276" w:lineRule="auto"/>
        <w:rPr>
          <w:noProof/>
        </w:rPr>
      </w:pPr>
      <w:r>
        <w:rPr>
          <w:noProof/>
        </w:rPr>
        <w:br w:type="page"/>
      </w:r>
    </w:p>
    <w:p w14:paraId="3F059308" w14:textId="77777777" w:rsidR="00E42B18" w:rsidRDefault="009629C4">
      <w:pPr>
        <w:pStyle w:val="P68B1DB1-Heading39"/>
        <w:numPr>
          <w:ilvl w:val="2"/>
          <w:numId w:val="0"/>
        </w:numPr>
        <w:ind w:left="850" w:hanging="850"/>
        <w:rPr>
          <w:b/>
          <w:i/>
          <w:noProof/>
          <w:color w:val="156082" w:themeColor="accent1"/>
          <w:u w:val="single"/>
        </w:rPr>
      </w:pPr>
      <w:r>
        <w:rPr>
          <w:b/>
          <w:noProof/>
          <w:u w:val="single"/>
        </w:rPr>
        <w:t xml:space="preserve">O.3 </w:t>
      </w:r>
      <w:r>
        <w:rPr>
          <w:noProof/>
        </w:rPr>
        <w:t xml:space="preserve"> </w:t>
      </w:r>
      <w:r>
        <w:rPr>
          <w:b/>
          <w:noProof/>
          <w:u w:val="single"/>
        </w:rPr>
        <w:t xml:space="preserve">Kuvaus lainamuotoisella tuella rahoitettavista uudistuksista ja investoinneista </w:t>
      </w:r>
    </w:p>
    <w:p w14:paraId="53E67864" w14:textId="693A73A1" w:rsidR="00E42B18" w:rsidRDefault="009629C4">
      <w:pPr>
        <w:pStyle w:val="P68B1DB1-Normal5"/>
        <w:spacing w:before="120" w:after="120"/>
        <w:jc w:val="both"/>
        <w:rPr>
          <w:rFonts w:eastAsia="Calibri"/>
          <w:noProof/>
        </w:rPr>
      </w:pPr>
      <w:r>
        <w:rPr>
          <w:noProof/>
        </w:rPr>
        <w:t>Uudistus 1: Alueellisen terveydenhuollon tukiverkoston uuden organisaatiomallin määrittely.</w:t>
      </w:r>
    </w:p>
    <w:p w14:paraId="4BA5700A" w14:textId="77777777" w:rsidR="00E42B18" w:rsidRDefault="009629C4">
      <w:pPr>
        <w:pStyle w:val="P68B1DB1-Normal7"/>
        <w:spacing w:before="120" w:after="120"/>
        <w:jc w:val="both"/>
        <w:rPr>
          <w:rFonts w:eastAsia="Calibri"/>
          <w:noProof/>
        </w:rPr>
      </w:pPr>
      <w:r>
        <w:rPr>
          <w:noProof/>
        </w:rPr>
        <w:t>Uudistus on osa komponentin investointien valmistelua. Sillä luodaan uusi alueellisen terveydenhuollon tukimalli ja luodaan uusi institutionaalinen rakenne terveyden, ympäristön ja ilmastonmuutoksen ehkäisyä varten. Tämä saavutetaan seuraavin keinoin:</w:t>
      </w:r>
    </w:p>
    <w:p w14:paraId="24C81610" w14:textId="77777777" w:rsidR="00E42B18" w:rsidRDefault="009629C4">
      <w:pPr>
        <w:pStyle w:val="P68B1DB1-Normal7"/>
        <w:numPr>
          <w:ilvl w:val="0"/>
          <w:numId w:val="48"/>
        </w:numPr>
        <w:spacing w:before="120" w:after="120" w:line="240" w:lineRule="auto"/>
        <w:ind w:left="360"/>
        <w:jc w:val="both"/>
        <w:rPr>
          <w:noProof/>
        </w:rPr>
      </w:pPr>
      <w:r>
        <w:rPr>
          <w:noProof/>
        </w:rPr>
        <w:t>Luodaan uusi organisaatiomalli alueelliselle terveydenhuollon tukiverkostolle määrittelemällä sääntelykehys, jossa määritellään rakenteelliset, teknologiset ja organisatoriset standardit.</w:t>
      </w:r>
    </w:p>
    <w:p w14:paraId="2B0322E7" w14:textId="77777777" w:rsidR="00E42B18" w:rsidRDefault="009629C4">
      <w:pPr>
        <w:pStyle w:val="P68B1DB1-Normal7"/>
        <w:numPr>
          <w:ilvl w:val="0"/>
          <w:numId w:val="48"/>
        </w:numPr>
        <w:spacing w:before="120" w:after="120" w:line="240" w:lineRule="auto"/>
        <w:ind w:left="360"/>
        <w:jc w:val="both"/>
        <w:rPr>
          <w:noProof/>
        </w:rPr>
      </w:pPr>
      <w:r>
        <w:rPr>
          <w:noProof/>
        </w:rPr>
        <w:t>Terveyden, ympäristön ja ilmastonmuutoksen ehkäisemisen uuden institutionaalisen rakenteen määrittely yhdennetyn lähestymistavan (”yhteinen terveys”) ja kokonaisvaltaisen vision (”Kasviterveys”) mukaisesti.</w:t>
      </w:r>
    </w:p>
    <w:p w14:paraId="325ECF83" w14:textId="77777777" w:rsidR="00E42B18" w:rsidRDefault="009629C4">
      <w:pPr>
        <w:pStyle w:val="P68B1DB1-Normal5"/>
        <w:spacing w:before="120" w:after="120"/>
        <w:jc w:val="both"/>
        <w:rPr>
          <w:rFonts w:eastAsia="Calibri"/>
          <w:noProof/>
        </w:rPr>
      </w:pPr>
      <w:r>
        <w:rPr>
          <w:noProof/>
        </w:rPr>
        <w:t>Investointi 1.1: Yhteisön terveyskeskukset alueellisen terveysavun parantamiseksi.</w:t>
      </w:r>
    </w:p>
    <w:p w14:paraId="7A4B9506" w14:textId="77777777" w:rsidR="00E42B18" w:rsidRDefault="009629C4">
      <w:pPr>
        <w:pStyle w:val="P68B1DB1-Normal7"/>
        <w:spacing w:before="120" w:after="120"/>
        <w:jc w:val="both"/>
        <w:rPr>
          <w:noProof/>
        </w:rPr>
      </w:pPr>
      <w:r>
        <w:rPr>
          <w:noProof/>
        </w:rPr>
        <w:t xml:space="preserve">Toimenpiteen tavoitteena on perustaa yhteisön terveyskeskuksia. </w:t>
      </w:r>
    </w:p>
    <w:p w14:paraId="40A10F79" w14:textId="0B9FB4F4" w:rsidR="00E42B18" w:rsidRDefault="009629C4">
      <w:pPr>
        <w:pStyle w:val="P68B1DB1-Normal7"/>
        <w:spacing w:before="120" w:after="120"/>
        <w:jc w:val="both"/>
        <w:rPr>
          <w:rFonts w:eastAsia="Calibri"/>
          <w:noProof/>
        </w:rPr>
      </w:pPr>
      <w:r>
        <w:rPr>
          <w:noProof/>
        </w:rPr>
        <w:t>Investointi koostuu perusterveydenhuollon palvelujen aktivoinnista ja yhdistämisestä sekä (energiatehokkaiden) tukikeskusten perustamisesta hoitotarpeisiin vastaamiseksi.</w:t>
      </w:r>
    </w:p>
    <w:p w14:paraId="7DDB7E61" w14:textId="77777777" w:rsidR="00E42B18" w:rsidRDefault="009629C4">
      <w:pPr>
        <w:pStyle w:val="P68B1DB1-Normal5"/>
        <w:spacing w:before="120" w:after="120"/>
        <w:jc w:val="both"/>
        <w:rPr>
          <w:rFonts w:eastAsia="Calibri"/>
          <w:bCs/>
          <w:noProof/>
        </w:rPr>
      </w:pPr>
      <w:r>
        <w:rPr>
          <w:noProof/>
        </w:rPr>
        <w:t>Investointi 1.2: Koti ensimmäisenä hoitopaikkana ja etälääketiede</w:t>
      </w:r>
    </w:p>
    <w:p w14:paraId="688C3EE1" w14:textId="77777777" w:rsidR="00E42B18" w:rsidRDefault="009629C4">
      <w:pPr>
        <w:pStyle w:val="P68B1DB1-Normal7"/>
        <w:spacing w:before="120" w:after="120"/>
        <w:jc w:val="both"/>
        <w:rPr>
          <w:noProof/>
        </w:rPr>
      </w:pPr>
      <w:r>
        <w:rPr>
          <w:noProof/>
        </w:rPr>
        <w:t xml:space="preserve">Toimenpiteen tavoitteena on edistää kotihoitoa ja etälääketieteen ratkaisujen laajamittaista käyttöönottoa sekä tukea terveydenhuollon innovointia. </w:t>
      </w:r>
    </w:p>
    <w:p w14:paraId="67553074" w14:textId="77777777" w:rsidR="00E42B18" w:rsidRDefault="009629C4">
      <w:pPr>
        <w:pStyle w:val="P68B1DB1-Normal7"/>
        <w:spacing w:before="120" w:after="120"/>
        <w:jc w:val="both"/>
        <w:rPr>
          <w:noProof/>
        </w:rPr>
      </w:pPr>
      <w:r>
        <w:rPr>
          <w:noProof/>
        </w:rPr>
        <w:t>Investointi koostuu laitteistoista ja palveluntarjonnan lisäämisestä, alueellisten koordinointikeskusten (Centrali Operative Territoriali) perustamisesta, diagnostiikka- ja seurantahankkeiden rahoittamisesta, etälääketieteen hankkeiden kansallisen seurantafoorumin perustamisesta sekä digitaalisia terveys- ja hoitoteknologioita koskevista tapauskohtaisista tutkimusaloitteista.</w:t>
      </w:r>
    </w:p>
    <w:p w14:paraId="4A30AF80" w14:textId="77777777" w:rsidR="00E42B18" w:rsidRDefault="009629C4">
      <w:pPr>
        <w:pStyle w:val="P68B1DB1-Normal5"/>
        <w:spacing w:before="120" w:after="120"/>
        <w:jc w:val="both"/>
        <w:rPr>
          <w:rFonts w:eastAsia="Calibri"/>
          <w:noProof/>
        </w:rPr>
      </w:pPr>
      <w:r>
        <w:rPr>
          <w:noProof/>
        </w:rPr>
        <w:t>Investointi 1.3: Keskitason terveydenhuollon ja siihen liittyvien palvelujen (yhteisösairaalat) vahvistaminen</w:t>
      </w:r>
    </w:p>
    <w:p w14:paraId="48C9A7C7" w14:textId="77777777" w:rsidR="00E42B18" w:rsidRDefault="009629C4">
      <w:pPr>
        <w:pStyle w:val="P68B1DB1-Normal7"/>
        <w:spacing w:before="120" w:after="120"/>
        <w:jc w:val="both"/>
        <w:rPr>
          <w:noProof/>
        </w:rPr>
      </w:pPr>
      <w:r>
        <w:rPr>
          <w:noProof/>
        </w:rPr>
        <w:t>Toimenpiteen tavoitteena on lisätä välitason terveydenhuoltopalvelujen määrää.</w:t>
      </w:r>
    </w:p>
    <w:p w14:paraId="7B3654CE" w14:textId="08EDA50D" w:rsidR="00E42B18" w:rsidRDefault="009629C4">
      <w:pPr>
        <w:pStyle w:val="P68B1DB1-Normal7"/>
        <w:spacing w:before="120" w:after="120"/>
        <w:jc w:val="both"/>
        <w:rPr>
          <w:noProof/>
        </w:rPr>
        <w:sectPr w:rsidR="00E42B18" w:rsidSect="00726CF9">
          <w:headerReference w:type="even" r:id="rId280"/>
          <w:headerReference w:type="default" r:id="rId281"/>
          <w:footerReference w:type="even" r:id="rId282"/>
          <w:footerReference w:type="default" r:id="rId283"/>
          <w:headerReference w:type="first" r:id="rId284"/>
          <w:footerReference w:type="first" r:id="rId285"/>
          <w:pgSz w:w="11906" w:h="16838"/>
          <w:pgMar w:top="1440" w:right="1440" w:bottom="1440" w:left="1440" w:header="708" w:footer="708" w:gutter="0"/>
          <w:cols w:space="708"/>
          <w:docGrid w:linePitch="360"/>
        </w:sectPr>
      </w:pPr>
      <w:r>
        <w:rPr>
          <w:noProof/>
        </w:rPr>
        <w:t>Investointi koostuu yhteisösairaaloiden ja terveydenhuoltopalvelujen luomisesta potilaille, jotka vähäisen tarkkuuden tai kroonisten sairauksien uusiutumisen jälkeen tarvitsevat pienitehoisia ja lyhytaikaisia kliinisiä interventioita.</w:t>
      </w:r>
    </w:p>
    <w:p w14:paraId="6E606908" w14:textId="77777777" w:rsidR="00E42B18" w:rsidRDefault="009629C4">
      <w:pPr>
        <w:pStyle w:val="P68B1DB1-Heading39"/>
        <w:ind w:left="850" w:hanging="850"/>
        <w:rPr>
          <w:b/>
          <w:bCs/>
          <w:i/>
          <w:iCs/>
          <w:noProof/>
          <w:u w:val="single"/>
        </w:rPr>
      </w:pPr>
      <w:r>
        <w:rPr>
          <w:b/>
          <w:noProof/>
          <w:u w:val="single"/>
        </w:rPr>
        <w:t xml:space="preserve">O.4 </w:t>
      </w:r>
      <w:r>
        <w:rPr>
          <w:noProof/>
        </w:rPr>
        <w:t xml:space="preserve"> </w:t>
      </w:r>
      <w:r>
        <w:rPr>
          <w:b/>
          <w:noProof/>
          <w:u w:val="single"/>
        </w:rPr>
        <w:t xml:space="preserve">Lainamuotoisen tuen seurantaa ja täytäntöönpanoa koskevat välitavoitteet, tavoitteet, indikaattorit ja aikataulu </w:t>
      </w:r>
    </w:p>
    <w:tbl>
      <w:tblPr>
        <w:tblW w:w="1511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701"/>
        <w:gridCol w:w="1134"/>
        <w:gridCol w:w="1417"/>
        <w:gridCol w:w="1363"/>
        <w:gridCol w:w="948"/>
        <w:gridCol w:w="950"/>
        <w:gridCol w:w="992"/>
        <w:gridCol w:w="992"/>
        <w:gridCol w:w="709"/>
        <w:gridCol w:w="3634"/>
      </w:tblGrid>
      <w:tr w:rsidR="00E42B18" w14:paraId="290CD921" w14:textId="77777777">
        <w:trPr>
          <w:trHeight w:val="945"/>
          <w:tblHeader/>
        </w:trPr>
        <w:tc>
          <w:tcPr>
            <w:tcW w:w="1277" w:type="dxa"/>
            <w:vMerge w:val="restart"/>
            <w:shd w:val="clear" w:color="auto" w:fill="BDD7EE"/>
            <w:vAlign w:val="center"/>
          </w:tcPr>
          <w:p w14:paraId="03AA3E0A" w14:textId="77777777" w:rsidR="00E42B18" w:rsidRDefault="009629C4">
            <w:pPr>
              <w:pStyle w:val="P68B1DB1-Normal10"/>
              <w:jc w:val="center"/>
              <w:rPr>
                <w:noProof/>
                <w:szCs w:val="20"/>
              </w:rPr>
            </w:pPr>
            <w:r>
              <w:rPr>
                <w:noProof/>
              </w:rPr>
              <w:t>Juokseva numero</w:t>
            </w:r>
          </w:p>
        </w:tc>
        <w:tc>
          <w:tcPr>
            <w:tcW w:w="1701" w:type="dxa"/>
            <w:vMerge w:val="restart"/>
            <w:shd w:val="clear" w:color="auto" w:fill="BDD7EE"/>
            <w:vAlign w:val="center"/>
          </w:tcPr>
          <w:p w14:paraId="351AA8ED" w14:textId="77777777" w:rsidR="00E42B18" w:rsidRDefault="009629C4">
            <w:pPr>
              <w:pStyle w:val="P68B1DB1-Normal10"/>
              <w:jc w:val="center"/>
              <w:rPr>
                <w:noProof/>
                <w:szCs w:val="20"/>
              </w:rPr>
            </w:pPr>
            <w:r>
              <w:rPr>
                <w:noProof/>
              </w:rPr>
              <w:t>Toimenpide (uudistus tai investointi)</w:t>
            </w:r>
          </w:p>
        </w:tc>
        <w:tc>
          <w:tcPr>
            <w:tcW w:w="1134" w:type="dxa"/>
            <w:vMerge w:val="restart"/>
            <w:shd w:val="clear" w:color="auto" w:fill="BDD7EE"/>
            <w:vAlign w:val="center"/>
          </w:tcPr>
          <w:p w14:paraId="5ACF54C7" w14:textId="77777777" w:rsidR="00E42B18" w:rsidRDefault="009629C4">
            <w:pPr>
              <w:pStyle w:val="P68B1DB1-Normal10"/>
              <w:jc w:val="center"/>
              <w:rPr>
                <w:noProof/>
                <w:szCs w:val="20"/>
              </w:rPr>
            </w:pPr>
            <w:r>
              <w:rPr>
                <w:noProof/>
              </w:rPr>
              <w:t>Välitavoite/tavoite</w:t>
            </w:r>
          </w:p>
        </w:tc>
        <w:tc>
          <w:tcPr>
            <w:tcW w:w="1417" w:type="dxa"/>
            <w:vMerge w:val="restart"/>
            <w:shd w:val="clear" w:color="auto" w:fill="BDD7EE"/>
            <w:vAlign w:val="center"/>
          </w:tcPr>
          <w:p w14:paraId="5EF43779" w14:textId="77777777" w:rsidR="00E42B18" w:rsidRDefault="009629C4">
            <w:pPr>
              <w:pStyle w:val="P68B1DB1-Normal10"/>
              <w:jc w:val="center"/>
              <w:rPr>
                <w:noProof/>
                <w:szCs w:val="20"/>
              </w:rPr>
            </w:pPr>
            <w:r>
              <w:rPr>
                <w:noProof/>
              </w:rPr>
              <w:t>Nimi</w:t>
            </w:r>
          </w:p>
        </w:tc>
        <w:tc>
          <w:tcPr>
            <w:tcW w:w="1363" w:type="dxa"/>
            <w:vMerge w:val="restart"/>
            <w:shd w:val="clear" w:color="auto" w:fill="BDD7EE"/>
            <w:vAlign w:val="center"/>
          </w:tcPr>
          <w:p w14:paraId="5A010D59" w14:textId="2C18D93A" w:rsidR="00E42B18" w:rsidRDefault="009629C4">
            <w:pPr>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2890" w:type="dxa"/>
            <w:gridSpan w:val="3"/>
            <w:shd w:val="clear" w:color="auto" w:fill="BDD7EE"/>
            <w:vAlign w:val="center"/>
          </w:tcPr>
          <w:p w14:paraId="7569FADA" w14:textId="77777777" w:rsidR="00E42B18" w:rsidRDefault="009629C4">
            <w:pPr>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701" w:type="dxa"/>
            <w:gridSpan w:val="2"/>
            <w:shd w:val="clear" w:color="auto" w:fill="BDD7EE"/>
            <w:vAlign w:val="center"/>
          </w:tcPr>
          <w:p w14:paraId="7DC97022" w14:textId="77777777" w:rsidR="00E42B18" w:rsidRDefault="009629C4">
            <w:pPr>
              <w:pStyle w:val="P68B1DB1-Normal10"/>
              <w:jc w:val="center"/>
              <w:rPr>
                <w:noProof/>
                <w:szCs w:val="20"/>
              </w:rPr>
            </w:pPr>
            <w:r>
              <w:rPr>
                <w:noProof/>
              </w:rPr>
              <w:t>Alustava toteutusaikataulu</w:t>
            </w:r>
          </w:p>
        </w:tc>
        <w:tc>
          <w:tcPr>
            <w:tcW w:w="3634" w:type="dxa"/>
            <w:vMerge w:val="restart"/>
            <w:shd w:val="clear" w:color="auto" w:fill="BDD7EE"/>
            <w:vAlign w:val="center"/>
          </w:tcPr>
          <w:p w14:paraId="33DFBAC5" w14:textId="77777777" w:rsidR="00E42B18" w:rsidRDefault="009629C4">
            <w:pPr>
              <w:pStyle w:val="P68B1DB1-Normal10"/>
              <w:jc w:val="center"/>
              <w:rPr>
                <w:noProof/>
                <w:szCs w:val="20"/>
              </w:rPr>
            </w:pPr>
            <w:r>
              <w:rPr>
                <w:noProof/>
              </w:rPr>
              <w:t>Kunkin välitavoitteen ja tavoitteen kuvaus</w:t>
            </w:r>
          </w:p>
        </w:tc>
      </w:tr>
      <w:tr w:rsidR="00E42B18" w14:paraId="0D229F00" w14:textId="77777777">
        <w:trPr>
          <w:trHeight w:val="737"/>
          <w:tblHeader/>
        </w:trPr>
        <w:tc>
          <w:tcPr>
            <w:tcW w:w="1277" w:type="dxa"/>
            <w:vMerge/>
            <w:vAlign w:val="center"/>
          </w:tcPr>
          <w:p w14:paraId="6CF29E5A" w14:textId="77777777" w:rsidR="00E42B18" w:rsidRDefault="00E42B18">
            <w:pPr>
              <w:jc w:val="center"/>
              <w:rPr>
                <w:rFonts w:ascii="Arial Narrow" w:hAnsi="Arial Narrow"/>
                <w:noProof/>
                <w:sz w:val="20"/>
                <w:szCs w:val="20"/>
              </w:rPr>
            </w:pPr>
          </w:p>
        </w:tc>
        <w:tc>
          <w:tcPr>
            <w:tcW w:w="1701" w:type="dxa"/>
            <w:vMerge/>
            <w:vAlign w:val="center"/>
          </w:tcPr>
          <w:p w14:paraId="32B1DAF5" w14:textId="77777777" w:rsidR="00E42B18" w:rsidRDefault="00E42B18">
            <w:pPr>
              <w:jc w:val="center"/>
              <w:rPr>
                <w:rFonts w:ascii="Arial Narrow" w:hAnsi="Arial Narrow"/>
                <w:noProof/>
                <w:sz w:val="20"/>
                <w:szCs w:val="20"/>
              </w:rPr>
            </w:pPr>
          </w:p>
        </w:tc>
        <w:tc>
          <w:tcPr>
            <w:tcW w:w="1134" w:type="dxa"/>
            <w:vMerge/>
            <w:vAlign w:val="center"/>
          </w:tcPr>
          <w:p w14:paraId="6C29B102" w14:textId="77777777" w:rsidR="00E42B18" w:rsidRDefault="00E42B18">
            <w:pPr>
              <w:jc w:val="center"/>
              <w:rPr>
                <w:rFonts w:ascii="Arial Narrow" w:hAnsi="Arial Narrow"/>
                <w:noProof/>
                <w:sz w:val="20"/>
                <w:szCs w:val="20"/>
              </w:rPr>
            </w:pPr>
          </w:p>
        </w:tc>
        <w:tc>
          <w:tcPr>
            <w:tcW w:w="1417" w:type="dxa"/>
            <w:vMerge/>
            <w:vAlign w:val="center"/>
          </w:tcPr>
          <w:p w14:paraId="167888EC" w14:textId="77777777" w:rsidR="00E42B18" w:rsidRDefault="00E42B18">
            <w:pPr>
              <w:jc w:val="center"/>
              <w:rPr>
                <w:rFonts w:ascii="Arial Narrow" w:hAnsi="Arial Narrow"/>
                <w:noProof/>
                <w:sz w:val="20"/>
                <w:szCs w:val="20"/>
              </w:rPr>
            </w:pPr>
          </w:p>
        </w:tc>
        <w:tc>
          <w:tcPr>
            <w:tcW w:w="1363" w:type="dxa"/>
            <w:vMerge/>
            <w:vAlign w:val="center"/>
          </w:tcPr>
          <w:p w14:paraId="29298E7E" w14:textId="77777777" w:rsidR="00E42B18" w:rsidRDefault="00E42B18">
            <w:pPr>
              <w:jc w:val="center"/>
              <w:rPr>
                <w:rFonts w:ascii="Arial Narrow" w:hAnsi="Arial Narrow"/>
                <w:noProof/>
                <w:sz w:val="20"/>
                <w:szCs w:val="20"/>
              </w:rPr>
            </w:pPr>
          </w:p>
        </w:tc>
        <w:tc>
          <w:tcPr>
            <w:tcW w:w="948" w:type="dxa"/>
            <w:shd w:val="clear" w:color="auto" w:fill="BDD7EE"/>
            <w:vAlign w:val="center"/>
          </w:tcPr>
          <w:p w14:paraId="3A4C3990" w14:textId="77777777" w:rsidR="00E42B18" w:rsidRDefault="009629C4">
            <w:pPr>
              <w:pStyle w:val="P68B1DB1-Normal10"/>
              <w:jc w:val="center"/>
              <w:rPr>
                <w:bCs/>
                <w:noProof/>
                <w:szCs w:val="20"/>
              </w:rPr>
            </w:pPr>
            <w:r>
              <w:rPr>
                <w:noProof/>
              </w:rPr>
              <w:t>Mitta-yksikkö</w:t>
            </w:r>
          </w:p>
        </w:tc>
        <w:tc>
          <w:tcPr>
            <w:tcW w:w="950" w:type="dxa"/>
            <w:shd w:val="clear" w:color="auto" w:fill="BDD7EE"/>
            <w:vAlign w:val="center"/>
          </w:tcPr>
          <w:p w14:paraId="19490F39" w14:textId="77777777" w:rsidR="00E42B18" w:rsidRDefault="009629C4">
            <w:pPr>
              <w:pStyle w:val="P68B1DB1-Normal10"/>
              <w:jc w:val="center"/>
              <w:rPr>
                <w:bCs/>
                <w:noProof/>
                <w:szCs w:val="20"/>
              </w:rPr>
            </w:pPr>
            <w:r>
              <w:rPr>
                <w:noProof/>
              </w:rPr>
              <w:t>Lähtötilanne</w:t>
            </w:r>
          </w:p>
        </w:tc>
        <w:tc>
          <w:tcPr>
            <w:tcW w:w="992" w:type="dxa"/>
            <w:shd w:val="clear" w:color="auto" w:fill="BDD7EE"/>
            <w:vAlign w:val="center"/>
          </w:tcPr>
          <w:p w14:paraId="22D9C33E" w14:textId="77777777" w:rsidR="00E42B18" w:rsidRDefault="009629C4">
            <w:pPr>
              <w:pStyle w:val="P68B1DB1-Normal10"/>
              <w:jc w:val="center"/>
              <w:rPr>
                <w:bCs/>
                <w:noProof/>
                <w:szCs w:val="20"/>
              </w:rPr>
            </w:pPr>
            <w:r>
              <w:rPr>
                <w:noProof/>
              </w:rPr>
              <w:t>Päämäärä</w:t>
            </w:r>
          </w:p>
        </w:tc>
        <w:tc>
          <w:tcPr>
            <w:tcW w:w="992" w:type="dxa"/>
            <w:shd w:val="clear" w:color="auto" w:fill="BDD7EE"/>
            <w:vAlign w:val="center"/>
          </w:tcPr>
          <w:p w14:paraId="1723EA95" w14:textId="77777777" w:rsidR="00E42B18" w:rsidRDefault="009629C4">
            <w:pPr>
              <w:pStyle w:val="P68B1DB1-Normal10"/>
              <w:jc w:val="center"/>
              <w:rPr>
                <w:bCs/>
                <w:noProof/>
                <w:szCs w:val="20"/>
              </w:rPr>
            </w:pPr>
            <w:r>
              <w:rPr>
                <w:noProof/>
              </w:rPr>
              <w:t>Neljännes</w:t>
            </w:r>
          </w:p>
        </w:tc>
        <w:tc>
          <w:tcPr>
            <w:tcW w:w="709" w:type="dxa"/>
            <w:shd w:val="clear" w:color="auto" w:fill="BDD7EE"/>
            <w:vAlign w:val="center"/>
          </w:tcPr>
          <w:p w14:paraId="57EB0D6D" w14:textId="77777777" w:rsidR="00E42B18" w:rsidRDefault="009629C4">
            <w:pPr>
              <w:pStyle w:val="P68B1DB1-Normal10"/>
              <w:jc w:val="center"/>
              <w:rPr>
                <w:bCs/>
                <w:noProof/>
                <w:szCs w:val="20"/>
              </w:rPr>
            </w:pPr>
            <w:r>
              <w:rPr>
                <w:noProof/>
              </w:rPr>
              <w:t>Vuosi</w:t>
            </w:r>
          </w:p>
        </w:tc>
        <w:tc>
          <w:tcPr>
            <w:tcW w:w="3634" w:type="dxa"/>
            <w:vMerge/>
            <w:vAlign w:val="center"/>
          </w:tcPr>
          <w:p w14:paraId="6F6EEA62" w14:textId="77777777" w:rsidR="00E42B18" w:rsidRDefault="00E42B18">
            <w:pPr>
              <w:rPr>
                <w:rFonts w:ascii="Arial Narrow" w:hAnsi="Arial Narrow"/>
                <w:noProof/>
                <w:sz w:val="20"/>
                <w:szCs w:val="20"/>
              </w:rPr>
            </w:pPr>
          </w:p>
        </w:tc>
      </w:tr>
      <w:tr w:rsidR="00E42B18" w14:paraId="323E5F3E" w14:textId="77777777">
        <w:trPr>
          <w:trHeight w:val="315"/>
        </w:trPr>
        <w:tc>
          <w:tcPr>
            <w:tcW w:w="1277" w:type="dxa"/>
            <w:shd w:val="clear" w:color="auto" w:fill="C6EFCE"/>
            <w:vAlign w:val="center"/>
          </w:tcPr>
          <w:p w14:paraId="043A7DF9" w14:textId="77777777" w:rsidR="00E42B18" w:rsidRDefault="009629C4">
            <w:pPr>
              <w:pStyle w:val="P68B1DB1-Normal12"/>
              <w:jc w:val="center"/>
              <w:rPr>
                <w:noProof/>
              </w:rPr>
            </w:pPr>
            <w:r>
              <w:rPr>
                <w:noProof/>
              </w:rPr>
              <w:t>M6C1–1</w:t>
            </w:r>
          </w:p>
        </w:tc>
        <w:tc>
          <w:tcPr>
            <w:tcW w:w="1701" w:type="dxa"/>
            <w:shd w:val="clear" w:color="auto" w:fill="C6EFCE"/>
            <w:vAlign w:val="center"/>
          </w:tcPr>
          <w:p w14:paraId="52FF6B0F" w14:textId="50524B14" w:rsidR="00E42B18" w:rsidRDefault="009629C4">
            <w:pPr>
              <w:pStyle w:val="P68B1DB1-Normal11"/>
              <w:jc w:val="center"/>
              <w:rPr>
                <w:noProof/>
                <w:szCs w:val="20"/>
              </w:rPr>
            </w:pPr>
            <w:r>
              <w:rPr>
                <w:noProof/>
              </w:rPr>
              <w:t>Uudistus 1: Alueellisen terveydenhuollon tukiverkoston uuden organisaatiomallin määrittely</w:t>
            </w:r>
          </w:p>
        </w:tc>
        <w:tc>
          <w:tcPr>
            <w:tcW w:w="1134" w:type="dxa"/>
            <w:shd w:val="clear" w:color="auto" w:fill="C6EFCE"/>
            <w:vAlign w:val="center"/>
          </w:tcPr>
          <w:p w14:paraId="2BBB01BB" w14:textId="77777777" w:rsidR="00E42B18" w:rsidRDefault="009629C4">
            <w:pPr>
              <w:pStyle w:val="P68B1DB1-Normal11"/>
              <w:jc w:val="center"/>
              <w:rPr>
                <w:noProof/>
                <w:szCs w:val="20"/>
              </w:rPr>
            </w:pPr>
            <w:r>
              <w:rPr>
                <w:noProof/>
              </w:rPr>
              <w:t>Virstanpylväs</w:t>
            </w:r>
          </w:p>
        </w:tc>
        <w:tc>
          <w:tcPr>
            <w:tcW w:w="1417" w:type="dxa"/>
            <w:shd w:val="clear" w:color="auto" w:fill="C6EFCE"/>
            <w:vAlign w:val="center"/>
          </w:tcPr>
          <w:p w14:paraId="403E3043" w14:textId="77777777" w:rsidR="00E42B18" w:rsidRDefault="009629C4">
            <w:pPr>
              <w:pStyle w:val="P68B1DB1-Normal11"/>
              <w:jc w:val="center"/>
              <w:rPr>
                <w:noProof/>
                <w:szCs w:val="20"/>
              </w:rPr>
            </w:pPr>
            <w:r>
              <w:rPr>
                <w:noProof/>
              </w:rPr>
              <w:t>Terveydenhuollon organisaatiouudistusta koskevan johdetun oikeuden (ministeriön asetus) voimaantulo.</w:t>
            </w:r>
          </w:p>
        </w:tc>
        <w:tc>
          <w:tcPr>
            <w:tcW w:w="1363" w:type="dxa"/>
            <w:shd w:val="clear" w:color="auto" w:fill="C6EFCE"/>
            <w:vAlign w:val="center"/>
          </w:tcPr>
          <w:p w14:paraId="2CCE3F33" w14:textId="77777777" w:rsidR="00E42B18" w:rsidRDefault="009629C4">
            <w:pPr>
              <w:pStyle w:val="P68B1DB1-Normal11"/>
              <w:jc w:val="center"/>
              <w:rPr>
                <w:noProof/>
                <w:szCs w:val="20"/>
              </w:rPr>
            </w:pPr>
            <w:r>
              <w:rPr>
                <w:noProof/>
              </w:rPr>
              <w:t xml:space="preserve">Lain säännös, josta käy ilmi lain voimaantulo </w:t>
            </w:r>
          </w:p>
        </w:tc>
        <w:tc>
          <w:tcPr>
            <w:tcW w:w="948" w:type="dxa"/>
            <w:shd w:val="clear" w:color="auto" w:fill="C6EFCE"/>
            <w:vAlign w:val="center"/>
          </w:tcPr>
          <w:p w14:paraId="7F5B5E97" w14:textId="77777777" w:rsidR="00E42B18" w:rsidRDefault="009629C4">
            <w:pPr>
              <w:pStyle w:val="P68B1DB1-Normal11"/>
              <w:jc w:val="center"/>
              <w:rPr>
                <w:noProof/>
                <w:szCs w:val="20"/>
              </w:rPr>
            </w:pPr>
            <w:r>
              <w:rPr>
                <w:noProof/>
              </w:rPr>
              <w:t>EI OLE</w:t>
            </w:r>
          </w:p>
        </w:tc>
        <w:tc>
          <w:tcPr>
            <w:tcW w:w="950" w:type="dxa"/>
            <w:shd w:val="clear" w:color="auto" w:fill="C6EFCE"/>
            <w:vAlign w:val="center"/>
          </w:tcPr>
          <w:p w14:paraId="6F48C99A" w14:textId="77777777" w:rsidR="00E42B18" w:rsidRDefault="009629C4">
            <w:pPr>
              <w:pStyle w:val="P68B1DB1-Normal11"/>
              <w:jc w:val="center"/>
              <w:rPr>
                <w:noProof/>
                <w:szCs w:val="20"/>
              </w:rPr>
            </w:pPr>
            <w:r>
              <w:rPr>
                <w:noProof/>
              </w:rPr>
              <w:t>EI OLE</w:t>
            </w:r>
          </w:p>
        </w:tc>
        <w:tc>
          <w:tcPr>
            <w:tcW w:w="992" w:type="dxa"/>
            <w:shd w:val="clear" w:color="auto" w:fill="C6EFCE"/>
            <w:vAlign w:val="center"/>
          </w:tcPr>
          <w:p w14:paraId="566B17CC" w14:textId="77777777" w:rsidR="00E42B18" w:rsidRDefault="009629C4">
            <w:pPr>
              <w:pStyle w:val="P68B1DB1-Normal11"/>
              <w:jc w:val="center"/>
              <w:rPr>
                <w:noProof/>
                <w:szCs w:val="20"/>
              </w:rPr>
            </w:pPr>
            <w:r>
              <w:rPr>
                <w:noProof/>
              </w:rPr>
              <w:t>EI OLE</w:t>
            </w:r>
          </w:p>
        </w:tc>
        <w:tc>
          <w:tcPr>
            <w:tcW w:w="992" w:type="dxa"/>
            <w:shd w:val="clear" w:color="auto" w:fill="C6EFCE"/>
            <w:vAlign w:val="center"/>
          </w:tcPr>
          <w:p w14:paraId="657CDAE1" w14:textId="77777777" w:rsidR="00E42B18" w:rsidRDefault="009629C4">
            <w:pPr>
              <w:pStyle w:val="P68B1DB1-Normal11"/>
              <w:jc w:val="center"/>
              <w:rPr>
                <w:noProof/>
                <w:szCs w:val="20"/>
              </w:rPr>
            </w:pPr>
            <w:r>
              <w:rPr>
                <w:noProof/>
              </w:rPr>
              <w:t>Q2</w:t>
            </w:r>
          </w:p>
        </w:tc>
        <w:tc>
          <w:tcPr>
            <w:tcW w:w="709" w:type="dxa"/>
            <w:shd w:val="clear" w:color="auto" w:fill="C6EFCE"/>
            <w:vAlign w:val="center"/>
          </w:tcPr>
          <w:p w14:paraId="01E5C78D" w14:textId="77777777" w:rsidR="00E42B18" w:rsidRDefault="009629C4">
            <w:pPr>
              <w:pStyle w:val="P68B1DB1-Normal11"/>
              <w:jc w:val="center"/>
              <w:rPr>
                <w:noProof/>
                <w:szCs w:val="20"/>
              </w:rPr>
            </w:pPr>
            <w:r>
              <w:rPr>
                <w:noProof/>
              </w:rPr>
              <w:t>2022</w:t>
            </w:r>
          </w:p>
        </w:tc>
        <w:tc>
          <w:tcPr>
            <w:tcW w:w="3634" w:type="dxa"/>
            <w:shd w:val="clear" w:color="auto" w:fill="C6EFCE"/>
            <w:vAlign w:val="center"/>
          </w:tcPr>
          <w:p w14:paraId="67252F95" w14:textId="77777777" w:rsidR="00E42B18" w:rsidRDefault="009629C4">
            <w:pPr>
              <w:pStyle w:val="P68B1DB1-Normal11"/>
              <w:rPr>
                <w:noProof/>
                <w:szCs w:val="20"/>
              </w:rPr>
            </w:pPr>
            <w:r>
              <w:rPr>
                <w:noProof/>
              </w:rPr>
              <w:t>Sekundaarilainsäädännön (ministeriön asetus) voimaantulo:</w:t>
            </w:r>
          </w:p>
          <w:p w14:paraId="189F4C4A" w14:textId="77777777" w:rsidR="00E42B18" w:rsidRDefault="009629C4">
            <w:pPr>
              <w:pStyle w:val="P68B1DB1-Normal11"/>
              <w:rPr>
                <w:noProof/>
                <w:szCs w:val="20"/>
              </w:rPr>
            </w:pPr>
            <w:r>
              <w:rPr>
                <w:noProof/>
              </w:rPr>
              <w:t>— Alueellisen terveydenhuollon tukiverkoston uuden organisaatiomallin määrittely määrittelemällä sääntelykehys, jossa yksilöidään alueiden väliset rakenteelliset, teknologiset ja organisatoriset normit; terveyden, ympäristön ja ilmastonmuutoksen ehkäisemisen uuden institutionaalisen rakenteen määrittely yhteinen terveys -lähestymistavan mukaisesti.</w:t>
            </w:r>
          </w:p>
        </w:tc>
      </w:tr>
      <w:tr w:rsidR="00E42B18" w14:paraId="3299CA0C" w14:textId="77777777">
        <w:trPr>
          <w:trHeight w:val="315"/>
        </w:trPr>
        <w:tc>
          <w:tcPr>
            <w:tcW w:w="1277" w:type="dxa"/>
            <w:shd w:val="clear" w:color="auto" w:fill="C6EFCE"/>
            <w:vAlign w:val="center"/>
          </w:tcPr>
          <w:p w14:paraId="1DD89562" w14:textId="77777777" w:rsidR="00E42B18" w:rsidRDefault="009629C4">
            <w:pPr>
              <w:pStyle w:val="P68B1DB1-Normal11"/>
              <w:jc w:val="center"/>
              <w:rPr>
                <w:noProof/>
                <w:szCs w:val="20"/>
              </w:rPr>
            </w:pPr>
            <w:r>
              <w:rPr>
                <w:noProof/>
              </w:rPr>
              <w:t>M6C1–2</w:t>
            </w:r>
          </w:p>
        </w:tc>
        <w:tc>
          <w:tcPr>
            <w:tcW w:w="1701" w:type="dxa"/>
            <w:shd w:val="clear" w:color="auto" w:fill="C6EFCE"/>
            <w:vAlign w:val="center"/>
          </w:tcPr>
          <w:p w14:paraId="18E78B7F" w14:textId="77777777" w:rsidR="00E42B18" w:rsidRDefault="009629C4">
            <w:pPr>
              <w:pStyle w:val="P68B1DB1-Normal11"/>
              <w:jc w:val="center"/>
              <w:rPr>
                <w:noProof/>
                <w:szCs w:val="20"/>
              </w:rPr>
            </w:pPr>
            <w:r>
              <w:rPr>
                <w:noProof/>
              </w:rPr>
              <w:t>Investointi 1.1: Yhteisön terveyskeskukset alueellisen terveysavun parantamiseksi</w:t>
            </w:r>
          </w:p>
        </w:tc>
        <w:tc>
          <w:tcPr>
            <w:tcW w:w="1134" w:type="dxa"/>
            <w:shd w:val="clear" w:color="auto" w:fill="C6EFCE"/>
            <w:vAlign w:val="center"/>
          </w:tcPr>
          <w:p w14:paraId="05DF5823" w14:textId="77777777" w:rsidR="00E42B18" w:rsidRDefault="009629C4">
            <w:pPr>
              <w:pStyle w:val="P68B1DB1-Normal11"/>
              <w:jc w:val="center"/>
              <w:rPr>
                <w:noProof/>
                <w:szCs w:val="20"/>
              </w:rPr>
            </w:pPr>
            <w:r>
              <w:rPr>
                <w:noProof/>
              </w:rPr>
              <w:t>Virstanpylväs</w:t>
            </w:r>
          </w:p>
        </w:tc>
        <w:tc>
          <w:tcPr>
            <w:tcW w:w="1417" w:type="dxa"/>
            <w:shd w:val="clear" w:color="auto" w:fill="C6EFCE"/>
            <w:vAlign w:val="center"/>
          </w:tcPr>
          <w:p w14:paraId="6444F7C0" w14:textId="77777777" w:rsidR="00E42B18" w:rsidRDefault="009629C4">
            <w:pPr>
              <w:pStyle w:val="P68B1DB1-Normal11"/>
              <w:jc w:val="center"/>
              <w:rPr>
                <w:noProof/>
                <w:szCs w:val="20"/>
              </w:rPr>
            </w:pPr>
            <w:r>
              <w:rPr>
                <w:noProof/>
              </w:rPr>
              <w:t xml:space="preserve">Instituutioiden kehittämissopimuksen hyväksyminen </w:t>
            </w:r>
          </w:p>
        </w:tc>
        <w:tc>
          <w:tcPr>
            <w:tcW w:w="1363" w:type="dxa"/>
            <w:shd w:val="clear" w:color="auto" w:fill="C6EFCE"/>
            <w:vAlign w:val="center"/>
          </w:tcPr>
          <w:p w14:paraId="44E17411" w14:textId="77777777" w:rsidR="00E42B18" w:rsidRDefault="009629C4">
            <w:pPr>
              <w:pStyle w:val="P68B1DB1-Normal11"/>
              <w:jc w:val="center"/>
              <w:rPr>
                <w:noProof/>
                <w:szCs w:val="20"/>
              </w:rPr>
            </w:pPr>
            <w:r>
              <w:rPr>
                <w:noProof/>
              </w:rPr>
              <w:t>Terveys- ja alueministeriön antama ilmoitus hyväksynnästä</w:t>
            </w:r>
          </w:p>
        </w:tc>
        <w:tc>
          <w:tcPr>
            <w:tcW w:w="948" w:type="dxa"/>
            <w:shd w:val="clear" w:color="auto" w:fill="C6EFCE"/>
            <w:vAlign w:val="center"/>
          </w:tcPr>
          <w:p w14:paraId="182E788F" w14:textId="77777777" w:rsidR="00E42B18" w:rsidRDefault="009629C4">
            <w:pPr>
              <w:pStyle w:val="P68B1DB1-Normal11"/>
              <w:jc w:val="center"/>
              <w:rPr>
                <w:noProof/>
                <w:szCs w:val="20"/>
              </w:rPr>
            </w:pPr>
            <w:r>
              <w:rPr>
                <w:noProof/>
              </w:rPr>
              <w:t>EI OLE</w:t>
            </w:r>
          </w:p>
        </w:tc>
        <w:tc>
          <w:tcPr>
            <w:tcW w:w="950" w:type="dxa"/>
            <w:shd w:val="clear" w:color="auto" w:fill="C6EFCE"/>
            <w:vAlign w:val="center"/>
          </w:tcPr>
          <w:p w14:paraId="49D3CB42" w14:textId="77777777" w:rsidR="00E42B18" w:rsidRDefault="009629C4">
            <w:pPr>
              <w:pStyle w:val="P68B1DB1-Normal11"/>
              <w:jc w:val="center"/>
              <w:rPr>
                <w:noProof/>
                <w:szCs w:val="20"/>
              </w:rPr>
            </w:pPr>
            <w:r>
              <w:rPr>
                <w:noProof/>
              </w:rPr>
              <w:t>EI OLE</w:t>
            </w:r>
          </w:p>
        </w:tc>
        <w:tc>
          <w:tcPr>
            <w:tcW w:w="992" w:type="dxa"/>
            <w:shd w:val="clear" w:color="auto" w:fill="C6EFCE"/>
            <w:vAlign w:val="center"/>
          </w:tcPr>
          <w:p w14:paraId="5D297D7D" w14:textId="77777777" w:rsidR="00E42B18" w:rsidRDefault="009629C4">
            <w:pPr>
              <w:pStyle w:val="P68B1DB1-Normal11"/>
              <w:jc w:val="center"/>
              <w:rPr>
                <w:noProof/>
                <w:szCs w:val="20"/>
              </w:rPr>
            </w:pPr>
            <w:r>
              <w:rPr>
                <w:noProof/>
              </w:rPr>
              <w:t>EI OLE</w:t>
            </w:r>
          </w:p>
        </w:tc>
        <w:tc>
          <w:tcPr>
            <w:tcW w:w="992" w:type="dxa"/>
            <w:shd w:val="clear" w:color="auto" w:fill="C6EFCE"/>
            <w:vAlign w:val="center"/>
          </w:tcPr>
          <w:p w14:paraId="1BC00E70" w14:textId="77777777" w:rsidR="00E42B18" w:rsidRDefault="009629C4">
            <w:pPr>
              <w:pStyle w:val="P68B1DB1-Normal11"/>
              <w:jc w:val="center"/>
              <w:rPr>
                <w:noProof/>
                <w:szCs w:val="20"/>
              </w:rPr>
            </w:pPr>
            <w:r>
              <w:rPr>
                <w:noProof/>
              </w:rPr>
              <w:t>Q2</w:t>
            </w:r>
          </w:p>
        </w:tc>
        <w:tc>
          <w:tcPr>
            <w:tcW w:w="709" w:type="dxa"/>
            <w:shd w:val="clear" w:color="auto" w:fill="C6EFCE"/>
            <w:vAlign w:val="center"/>
          </w:tcPr>
          <w:p w14:paraId="31F692FD" w14:textId="77777777" w:rsidR="00E42B18" w:rsidRDefault="009629C4">
            <w:pPr>
              <w:pStyle w:val="P68B1DB1-Normal11"/>
              <w:jc w:val="center"/>
              <w:rPr>
                <w:noProof/>
                <w:szCs w:val="20"/>
              </w:rPr>
            </w:pPr>
            <w:r>
              <w:rPr>
                <w:noProof/>
              </w:rPr>
              <w:t>2022</w:t>
            </w:r>
          </w:p>
        </w:tc>
        <w:tc>
          <w:tcPr>
            <w:tcW w:w="3634" w:type="dxa"/>
            <w:shd w:val="clear" w:color="auto" w:fill="C6EFCE"/>
            <w:vAlign w:val="center"/>
          </w:tcPr>
          <w:p w14:paraId="5B71C581" w14:textId="77777777" w:rsidR="00E42B18" w:rsidRDefault="009629C4">
            <w:pPr>
              <w:pStyle w:val="P68B1DB1-Normal11"/>
              <w:rPr>
                <w:noProof/>
                <w:szCs w:val="20"/>
              </w:rPr>
            </w:pPr>
            <w:r>
              <w:rPr>
                <w:noProof/>
              </w:rPr>
              <w:t>Laitosten kehittämistä koskevan sopimuksen (Contratto Istituzionale di Sviluppo) hyväksyminen, jossa Italian terveysministeriö on vastuussa ja täytäntöönpanosta vastaavana viranomaisena, ja aluehallintojen osallistuminen yhdessä muiden yhteisön terveystaloista vastaavien yksiköiden kanssa:</w:t>
            </w:r>
          </w:p>
          <w:p w14:paraId="36B2DEA6" w14:textId="77777777" w:rsidR="00E42B18" w:rsidRDefault="009629C4">
            <w:pPr>
              <w:pStyle w:val="P68B1DB1-Normal11"/>
              <w:rPr>
                <w:noProof/>
                <w:szCs w:val="20"/>
              </w:rPr>
            </w:pPr>
            <w:r>
              <w:rPr>
                <w:noProof/>
              </w:rPr>
              <w:t xml:space="preserve">Institutionaalista kehittämistä koskeva sopimus on hallintoväline, jossa luetellaan kaikki yhteisön terveyskeskuksen toteuttamiseen soveltuvat osapuolet alueellisen terveysavun parantamiseksi. Sopimuksessa on myös yksilöitävä velvoitteet, jotka kukin Italian alue sitoutuu takaamaan yhteisön terveyskeskusta koskevien odotettujen tulosten saavuttamisen. </w:t>
            </w:r>
          </w:p>
          <w:p w14:paraId="071458A8" w14:textId="77777777" w:rsidR="00E42B18" w:rsidRDefault="009629C4">
            <w:pPr>
              <w:pStyle w:val="P68B1DB1-Normal11"/>
              <w:rPr>
                <w:noProof/>
                <w:szCs w:val="20"/>
              </w:rPr>
            </w:pPr>
            <w:r>
              <w:rPr>
                <w:noProof/>
              </w:rPr>
              <w:t xml:space="preserve"> Sopimuksella pyrittiin tukemaan alueellista yhteenkuuluvuutta, kehitystä ja talouskasvua sekä nopeuttamaan monimutkaisten toimien toteuttamista. Instituutioiden kehittämistä koskeva sopimus on erityisen hyödyllinen suurhankkeissa tai investoinneissa, jotka perustuvat toiminnallisesti toisiinsa liittyviin yksittäisiin tukitoimiin, jotka edellyttävät yhdennettyä lähestymistapaa ja Euroopan investointirahastojen ja kansallisten rahastojen käyttöä, jotka sisältyvät myös kansallisista ja EU:n varoista rahoitettaviin suunnitelmiin ja toimenpideohjelmiin.</w:t>
            </w:r>
          </w:p>
        </w:tc>
      </w:tr>
      <w:tr w:rsidR="00E42B18" w14:paraId="70949CE6" w14:textId="77777777">
        <w:trPr>
          <w:trHeight w:val="315"/>
        </w:trPr>
        <w:tc>
          <w:tcPr>
            <w:tcW w:w="1277" w:type="dxa"/>
            <w:shd w:val="clear" w:color="auto" w:fill="C6EFCE"/>
            <w:vAlign w:val="center"/>
          </w:tcPr>
          <w:p w14:paraId="50E8FDDC" w14:textId="77777777" w:rsidR="00E42B18" w:rsidRDefault="009629C4">
            <w:pPr>
              <w:pStyle w:val="P68B1DB1-Normal12"/>
              <w:jc w:val="center"/>
              <w:rPr>
                <w:noProof/>
              </w:rPr>
            </w:pPr>
            <w:r>
              <w:rPr>
                <w:noProof/>
              </w:rPr>
              <w:t>M6C1–3</w:t>
            </w:r>
          </w:p>
        </w:tc>
        <w:tc>
          <w:tcPr>
            <w:tcW w:w="1701" w:type="dxa"/>
            <w:shd w:val="clear" w:color="auto" w:fill="C6EFCE"/>
            <w:vAlign w:val="center"/>
          </w:tcPr>
          <w:p w14:paraId="155FB00D" w14:textId="77777777" w:rsidR="00E42B18" w:rsidRDefault="009629C4">
            <w:pPr>
              <w:pStyle w:val="P68B1DB1-Normal11"/>
              <w:jc w:val="center"/>
              <w:rPr>
                <w:noProof/>
                <w:szCs w:val="20"/>
              </w:rPr>
            </w:pPr>
            <w:bookmarkStart w:id="21" w:name="_Hlk160472482"/>
            <w:r>
              <w:rPr>
                <w:noProof/>
              </w:rPr>
              <w:t>Investointi 1.1: Yhteisön terveyskeskukset alueellisen terveysavun parantamiseksi</w:t>
            </w:r>
            <w:bookmarkEnd w:id="21"/>
          </w:p>
        </w:tc>
        <w:tc>
          <w:tcPr>
            <w:tcW w:w="1134" w:type="dxa"/>
            <w:shd w:val="clear" w:color="auto" w:fill="C6EFCE"/>
            <w:vAlign w:val="center"/>
          </w:tcPr>
          <w:p w14:paraId="12F18F02" w14:textId="77777777" w:rsidR="00E42B18" w:rsidRDefault="009629C4">
            <w:pPr>
              <w:pStyle w:val="P68B1DB1-Normal11"/>
              <w:jc w:val="center"/>
              <w:rPr>
                <w:noProof/>
                <w:szCs w:val="20"/>
              </w:rPr>
            </w:pPr>
            <w:r>
              <w:rPr>
                <w:noProof/>
              </w:rPr>
              <w:t>Kohde</w:t>
            </w:r>
          </w:p>
        </w:tc>
        <w:tc>
          <w:tcPr>
            <w:tcW w:w="1417" w:type="dxa"/>
            <w:shd w:val="clear" w:color="auto" w:fill="C6EFCE"/>
            <w:vAlign w:val="center"/>
          </w:tcPr>
          <w:p w14:paraId="5808009D" w14:textId="77777777" w:rsidR="00E42B18" w:rsidRDefault="009629C4">
            <w:pPr>
              <w:pStyle w:val="P68B1DB1-Normal12"/>
              <w:jc w:val="center"/>
              <w:rPr>
                <w:noProof/>
              </w:rPr>
            </w:pPr>
            <w:r>
              <w:rPr>
                <w:noProof/>
              </w:rPr>
              <w:t xml:space="preserve">Yhteisön terveyskeskusten palvelut aktivoidaan </w:t>
            </w:r>
          </w:p>
        </w:tc>
        <w:tc>
          <w:tcPr>
            <w:tcW w:w="1363" w:type="dxa"/>
            <w:shd w:val="clear" w:color="auto" w:fill="C6EFCE"/>
            <w:vAlign w:val="center"/>
          </w:tcPr>
          <w:p w14:paraId="460C6C6A" w14:textId="77777777" w:rsidR="00E42B18" w:rsidRDefault="009629C4">
            <w:pPr>
              <w:pStyle w:val="P68B1DB1-Normal11"/>
              <w:jc w:val="center"/>
              <w:rPr>
                <w:noProof/>
                <w:szCs w:val="20"/>
              </w:rPr>
            </w:pPr>
            <w:r>
              <w:rPr>
                <w:noProof/>
              </w:rPr>
              <w:t>EI OLE</w:t>
            </w:r>
          </w:p>
        </w:tc>
        <w:tc>
          <w:tcPr>
            <w:tcW w:w="948" w:type="dxa"/>
            <w:shd w:val="clear" w:color="auto" w:fill="C6EFCE"/>
            <w:vAlign w:val="center"/>
          </w:tcPr>
          <w:p w14:paraId="65A7EF21" w14:textId="77777777" w:rsidR="00E42B18" w:rsidRDefault="009629C4">
            <w:pPr>
              <w:pStyle w:val="P68B1DB1-Normal11"/>
              <w:jc w:val="center"/>
              <w:rPr>
                <w:noProof/>
                <w:szCs w:val="20"/>
              </w:rPr>
            </w:pPr>
            <w:r>
              <w:rPr>
                <w:noProof/>
              </w:rPr>
              <w:t>Numero</w:t>
            </w:r>
          </w:p>
        </w:tc>
        <w:tc>
          <w:tcPr>
            <w:tcW w:w="950" w:type="dxa"/>
            <w:shd w:val="clear" w:color="auto" w:fill="C6EFCE"/>
            <w:vAlign w:val="center"/>
          </w:tcPr>
          <w:p w14:paraId="768DAFE8" w14:textId="77777777" w:rsidR="00E42B18" w:rsidRDefault="009629C4">
            <w:pPr>
              <w:pStyle w:val="P68B1DB1-Normal11"/>
              <w:jc w:val="center"/>
              <w:rPr>
                <w:noProof/>
                <w:szCs w:val="20"/>
              </w:rPr>
            </w:pPr>
            <w:r>
              <w:rPr>
                <w:noProof/>
              </w:rPr>
              <w:t>0</w:t>
            </w:r>
          </w:p>
        </w:tc>
        <w:tc>
          <w:tcPr>
            <w:tcW w:w="992" w:type="dxa"/>
            <w:shd w:val="clear" w:color="auto" w:fill="C6EFCE"/>
            <w:vAlign w:val="center"/>
          </w:tcPr>
          <w:p w14:paraId="34A25F34" w14:textId="77777777" w:rsidR="00E42B18" w:rsidRDefault="009629C4">
            <w:pPr>
              <w:pStyle w:val="P68B1DB1-Normal11"/>
              <w:jc w:val="center"/>
              <w:rPr>
                <w:noProof/>
                <w:szCs w:val="20"/>
              </w:rPr>
            </w:pPr>
            <w:r>
              <w:rPr>
                <w:noProof/>
              </w:rPr>
              <w:t>1 038</w:t>
            </w:r>
          </w:p>
        </w:tc>
        <w:tc>
          <w:tcPr>
            <w:tcW w:w="992" w:type="dxa"/>
            <w:shd w:val="clear" w:color="auto" w:fill="C6EFCE"/>
            <w:vAlign w:val="center"/>
          </w:tcPr>
          <w:p w14:paraId="542B148C" w14:textId="77777777" w:rsidR="00E42B18" w:rsidRDefault="009629C4">
            <w:pPr>
              <w:pStyle w:val="P68B1DB1-Normal11"/>
              <w:jc w:val="center"/>
              <w:rPr>
                <w:noProof/>
                <w:szCs w:val="20"/>
              </w:rPr>
            </w:pPr>
            <w:r>
              <w:rPr>
                <w:noProof/>
              </w:rPr>
              <w:t>Q2</w:t>
            </w:r>
          </w:p>
        </w:tc>
        <w:tc>
          <w:tcPr>
            <w:tcW w:w="709" w:type="dxa"/>
            <w:shd w:val="clear" w:color="auto" w:fill="C6EFCE"/>
            <w:vAlign w:val="center"/>
          </w:tcPr>
          <w:p w14:paraId="13C023B7" w14:textId="77777777" w:rsidR="00E42B18" w:rsidRDefault="009629C4">
            <w:pPr>
              <w:pStyle w:val="P68B1DB1-Normal11"/>
              <w:jc w:val="center"/>
              <w:rPr>
                <w:noProof/>
                <w:szCs w:val="20"/>
              </w:rPr>
            </w:pPr>
            <w:r>
              <w:rPr>
                <w:noProof/>
              </w:rPr>
              <w:t>2026</w:t>
            </w:r>
          </w:p>
        </w:tc>
        <w:tc>
          <w:tcPr>
            <w:tcW w:w="3634" w:type="dxa"/>
            <w:shd w:val="clear" w:color="auto" w:fill="C6EFCE"/>
            <w:vAlign w:val="center"/>
          </w:tcPr>
          <w:p w14:paraId="4D26E9B0" w14:textId="77777777" w:rsidR="00E42B18" w:rsidRDefault="009629C4">
            <w:pPr>
              <w:pStyle w:val="P68B1DB1-Normal12"/>
              <w:rPr>
                <w:noProof/>
              </w:rPr>
            </w:pPr>
            <w:r>
              <w:rPr>
                <w:noProof/>
              </w:rPr>
              <w:t>Riippumattomien asiantuntijoiden raportit, joissa vahvistetaan palvelujen aktivointi 23 päivänä toukokuuta 2022 annetun DM:n nro 77 liitteessä 1 olevan 5 jakson taulukon 4 pakollisissa kohdissa määriteltyjen standardien mukaisesti vähintään 1038:ssa yhteisön terveyskeskuksessa.</w:t>
            </w:r>
          </w:p>
          <w:p w14:paraId="68DFE658" w14:textId="77777777" w:rsidR="00E42B18" w:rsidRDefault="009629C4">
            <w:pPr>
              <w:pStyle w:val="P68B1DB1-Normal12"/>
              <w:rPr>
                <w:noProof/>
              </w:rPr>
            </w:pPr>
            <w:r>
              <w:rPr>
                <w:noProof/>
              </w:rPr>
              <w:t>Vähintään 50 prosenttia elpymis- ja palautumistukivälineen tuesta investointikustannuksiin on osoitettava uusien rakennusten rakentamiseen (interventioala 025 ter) asetuksen (EU) 2021/241 liitteessä VI olevan alaviitteen 5 vaatimusten mukaisesti tai rakennusten energiatehokkuutta parantaviin peruskorjauksiin (interventioala 026) riippumattoman asiantuntijan sertifioimana.</w:t>
            </w:r>
          </w:p>
        </w:tc>
      </w:tr>
      <w:tr w:rsidR="00E42B18" w14:paraId="0629FBAF" w14:textId="77777777">
        <w:trPr>
          <w:trHeight w:val="315"/>
        </w:trPr>
        <w:tc>
          <w:tcPr>
            <w:tcW w:w="1277" w:type="dxa"/>
            <w:shd w:val="clear" w:color="auto" w:fill="C6EFCE"/>
            <w:vAlign w:val="center"/>
          </w:tcPr>
          <w:p w14:paraId="10542915" w14:textId="77777777" w:rsidR="00E42B18" w:rsidRDefault="009629C4">
            <w:pPr>
              <w:pStyle w:val="P68B1DB1-Normal11"/>
              <w:jc w:val="center"/>
              <w:rPr>
                <w:noProof/>
                <w:szCs w:val="20"/>
              </w:rPr>
            </w:pPr>
            <w:r>
              <w:rPr>
                <w:noProof/>
              </w:rPr>
              <w:t>M6C1–4</w:t>
            </w:r>
          </w:p>
        </w:tc>
        <w:tc>
          <w:tcPr>
            <w:tcW w:w="1701" w:type="dxa"/>
            <w:shd w:val="clear" w:color="auto" w:fill="C6EFCE"/>
            <w:vAlign w:val="center"/>
          </w:tcPr>
          <w:p w14:paraId="07B8B21F" w14:textId="77777777" w:rsidR="00E42B18" w:rsidRDefault="009629C4">
            <w:pPr>
              <w:pStyle w:val="P68B1DB1-Normal11"/>
              <w:jc w:val="center"/>
              <w:rPr>
                <w:noProof/>
                <w:szCs w:val="20"/>
              </w:rPr>
            </w:pPr>
            <w:r>
              <w:rPr>
                <w:noProof/>
              </w:rPr>
              <w:t>Investointi 1.2: Koti ensimmäisenä hoitopaikkana ja etälääketiede</w:t>
            </w:r>
          </w:p>
        </w:tc>
        <w:tc>
          <w:tcPr>
            <w:tcW w:w="1134" w:type="dxa"/>
            <w:shd w:val="clear" w:color="auto" w:fill="C6EFCE"/>
            <w:vAlign w:val="center"/>
          </w:tcPr>
          <w:p w14:paraId="5395F82C" w14:textId="77777777" w:rsidR="00E42B18" w:rsidRDefault="009629C4">
            <w:pPr>
              <w:pStyle w:val="P68B1DB1-Normal11"/>
              <w:jc w:val="center"/>
              <w:rPr>
                <w:noProof/>
                <w:szCs w:val="20"/>
              </w:rPr>
            </w:pPr>
            <w:r>
              <w:rPr>
                <w:noProof/>
              </w:rPr>
              <w:t>Virstanpylväs</w:t>
            </w:r>
          </w:p>
        </w:tc>
        <w:tc>
          <w:tcPr>
            <w:tcW w:w="1417" w:type="dxa"/>
            <w:shd w:val="clear" w:color="auto" w:fill="C6EFCE"/>
            <w:vAlign w:val="center"/>
          </w:tcPr>
          <w:p w14:paraId="3B5E9091" w14:textId="77777777" w:rsidR="00E42B18" w:rsidRDefault="009629C4">
            <w:pPr>
              <w:pStyle w:val="P68B1DB1-Normal11"/>
              <w:jc w:val="center"/>
              <w:rPr>
                <w:noProof/>
                <w:szCs w:val="20"/>
              </w:rPr>
            </w:pPr>
            <w:r>
              <w:rPr>
                <w:noProof/>
              </w:rPr>
              <w:t>Kotihoidon digitaalisen mallin sisältävien ohjeiden hyväksyminen</w:t>
            </w:r>
          </w:p>
        </w:tc>
        <w:tc>
          <w:tcPr>
            <w:tcW w:w="1363" w:type="dxa"/>
            <w:shd w:val="clear" w:color="auto" w:fill="C6EFCE"/>
            <w:vAlign w:val="center"/>
          </w:tcPr>
          <w:p w14:paraId="35DCE9B0" w14:textId="77777777" w:rsidR="00E42B18" w:rsidRDefault="009629C4">
            <w:pPr>
              <w:pStyle w:val="P68B1DB1-Normal11"/>
              <w:jc w:val="center"/>
              <w:rPr>
                <w:noProof/>
                <w:szCs w:val="20"/>
              </w:rPr>
            </w:pPr>
            <w:r>
              <w:rPr>
                <w:noProof/>
              </w:rPr>
              <w:t>Terveysministeriön hyväksymät ohjeet</w:t>
            </w:r>
          </w:p>
        </w:tc>
        <w:tc>
          <w:tcPr>
            <w:tcW w:w="948" w:type="dxa"/>
            <w:shd w:val="clear" w:color="auto" w:fill="C6EFCE"/>
            <w:vAlign w:val="center"/>
          </w:tcPr>
          <w:p w14:paraId="76FDC4B3" w14:textId="77777777" w:rsidR="00E42B18" w:rsidRDefault="009629C4">
            <w:pPr>
              <w:pStyle w:val="P68B1DB1-Normal11"/>
              <w:jc w:val="center"/>
              <w:rPr>
                <w:noProof/>
                <w:szCs w:val="20"/>
              </w:rPr>
            </w:pPr>
            <w:r>
              <w:rPr>
                <w:noProof/>
              </w:rPr>
              <w:t>EI OLE</w:t>
            </w:r>
          </w:p>
        </w:tc>
        <w:tc>
          <w:tcPr>
            <w:tcW w:w="950" w:type="dxa"/>
            <w:shd w:val="clear" w:color="auto" w:fill="C6EFCE"/>
            <w:vAlign w:val="center"/>
          </w:tcPr>
          <w:p w14:paraId="006FF6F9" w14:textId="77777777" w:rsidR="00E42B18" w:rsidRDefault="009629C4">
            <w:pPr>
              <w:pStyle w:val="P68B1DB1-Normal11"/>
              <w:jc w:val="center"/>
              <w:rPr>
                <w:noProof/>
                <w:szCs w:val="20"/>
              </w:rPr>
            </w:pPr>
            <w:r>
              <w:rPr>
                <w:noProof/>
              </w:rPr>
              <w:t>EI OLE</w:t>
            </w:r>
          </w:p>
        </w:tc>
        <w:tc>
          <w:tcPr>
            <w:tcW w:w="992" w:type="dxa"/>
            <w:shd w:val="clear" w:color="auto" w:fill="C6EFCE"/>
            <w:vAlign w:val="center"/>
          </w:tcPr>
          <w:p w14:paraId="62627051" w14:textId="77777777" w:rsidR="00E42B18" w:rsidRDefault="009629C4">
            <w:pPr>
              <w:pStyle w:val="P68B1DB1-Normal11"/>
              <w:jc w:val="center"/>
              <w:rPr>
                <w:noProof/>
                <w:szCs w:val="20"/>
              </w:rPr>
            </w:pPr>
            <w:r>
              <w:rPr>
                <w:noProof/>
              </w:rPr>
              <w:t>EI OLE</w:t>
            </w:r>
          </w:p>
        </w:tc>
        <w:tc>
          <w:tcPr>
            <w:tcW w:w="992" w:type="dxa"/>
            <w:shd w:val="clear" w:color="auto" w:fill="C6EFCE"/>
            <w:vAlign w:val="center"/>
          </w:tcPr>
          <w:p w14:paraId="757BC6AA" w14:textId="77777777" w:rsidR="00E42B18" w:rsidRDefault="009629C4">
            <w:pPr>
              <w:pStyle w:val="P68B1DB1-Normal11"/>
              <w:jc w:val="center"/>
              <w:rPr>
                <w:noProof/>
                <w:szCs w:val="20"/>
              </w:rPr>
            </w:pPr>
            <w:r>
              <w:rPr>
                <w:noProof/>
              </w:rPr>
              <w:t>Q2</w:t>
            </w:r>
          </w:p>
        </w:tc>
        <w:tc>
          <w:tcPr>
            <w:tcW w:w="709" w:type="dxa"/>
            <w:shd w:val="clear" w:color="auto" w:fill="C6EFCE"/>
            <w:vAlign w:val="center"/>
          </w:tcPr>
          <w:p w14:paraId="28815B00" w14:textId="77777777" w:rsidR="00E42B18" w:rsidRDefault="009629C4">
            <w:pPr>
              <w:pStyle w:val="P68B1DB1-Normal11"/>
              <w:jc w:val="center"/>
              <w:rPr>
                <w:noProof/>
                <w:szCs w:val="20"/>
              </w:rPr>
            </w:pPr>
            <w:r>
              <w:rPr>
                <w:noProof/>
              </w:rPr>
              <w:t>2022</w:t>
            </w:r>
          </w:p>
        </w:tc>
        <w:tc>
          <w:tcPr>
            <w:tcW w:w="3634" w:type="dxa"/>
            <w:shd w:val="clear" w:color="auto" w:fill="C6EFCE"/>
            <w:vAlign w:val="center"/>
          </w:tcPr>
          <w:p w14:paraId="058CD091" w14:textId="77777777" w:rsidR="00E42B18" w:rsidRDefault="009629C4">
            <w:pPr>
              <w:pStyle w:val="P68B1DB1-Normal11"/>
              <w:rPr>
                <w:noProof/>
                <w:szCs w:val="20"/>
              </w:rPr>
            </w:pPr>
            <w:r>
              <w:rPr>
                <w:noProof/>
              </w:rPr>
              <w:t>Ohjeissa on virtaviivaistettava prosessit, joita tarvitaan kotihoidon tehostamiseksi kehittämällä etävalvontatekniikoita ja kotiautomaatiota.</w:t>
            </w:r>
          </w:p>
        </w:tc>
      </w:tr>
      <w:tr w:rsidR="00E42B18" w14:paraId="56DF5091" w14:textId="77777777">
        <w:trPr>
          <w:trHeight w:val="315"/>
        </w:trPr>
        <w:tc>
          <w:tcPr>
            <w:tcW w:w="1277" w:type="dxa"/>
            <w:shd w:val="clear" w:color="auto" w:fill="C6EFCE"/>
            <w:vAlign w:val="center"/>
          </w:tcPr>
          <w:p w14:paraId="13A9141C" w14:textId="77777777" w:rsidR="00E42B18" w:rsidRDefault="009629C4">
            <w:pPr>
              <w:pStyle w:val="P68B1DB1-Normal11"/>
              <w:jc w:val="center"/>
              <w:rPr>
                <w:noProof/>
                <w:szCs w:val="20"/>
              </w:rPr>
            </w:pPr>
            <w:r>
              <w:rPr>
                <w:noProof/>
              </w:rPr>
              <w:t>M6C1–5</w:t>
            </w:r>
          </w:p>
        </w:tc>
        <w:tc>
          <w:tcPr>
            <w:tcW w:w="1701" w:type="dxa"/>
            <w:shd w:val="clear" w:color="auto" w:fill="C6EFCE"/>
            <w:vAlign w:val="center"/>
          </w:tcPr>
          <w:p w14:paraId="58753E1A" w14:textId="77777777" w:rsidR="00E42B18" w:rsidRDefault="009629C4">
            <w:pPr>
              <w:pStyle w:val="P68B1DB1-Normal11"/>
              <w:jc w:val="center"/>
              <w:rPr>
                <w:noProof/>
                <w:szCs w:val="20"/>
              </w:rPr>
            </w:pPr>
            <w:r>
              <w:rPr>
                <w:noProof/>
              </w:rPr>
              <w:t>Investointi 1.2: Koti ensimmäisenä hoitopaikkana ja etälääketiede</w:t>
            </w:r>
          </w:p>
        </w:tc>
        <w:tc>
          <w:tcPr>
            <w:tcW w:w="1134" w:type="dxa"/>
            <w:shd w:val="clear" w:color="auto" w:fill="C6EFCE"/>
            <w:vAlign w:val="center"/>
          </w:tcPr>
          <w:p w14:paraId="24DC53AC" w14:textId="77777777" w:rsidR="00E42B18" w:rsidRDefault="009629C4">
            <w:pPr>
              <w:pStyle w:val="P68B1DB1-Normal11"/>
              <w:jc w:val="center"/>
              <w:rPr>
                <w:noProof/>
                <w:szCs w:val="20"/>
              </w:rPr>
            </w:pPr>
            <w:r>
              <w:rPr>
                <w:noProof/>
              </w:rPr>
              <w:t>Virstanpylväs</w:t>
            </w:r>
          </w:p>
        </w:tc>
        <w:tc>
          <w:tcPr>
            <w:tcW w:w="1417" w:type="dxa"/>
            <w:shd w:val="clear" w:color="auto" w:fill="C6EFCE"/>
            <w:vAlign w:val="center"/>
          </w:tcPr>
          <w:p w14:paraId="3382BA5D" w14:textId="77777777" w:rsidR="00E42B18" w:rsidRDefault="009629C4">
            <w:pPr>
              <w:pStyle w:val="P68B1DB1-Normal11"/>
              <w:jc w:val="center"/>
              <w:rPr>
                <w:noProof/>
                <w:szCs w:val="20"/>
              </w:rPr>
            </w:pPr>
            <w:r>
              <w:rPr>
                <w:noProof/>
              </w:rPr>
              <w:t xml:space="preserve">Terveys- ja alueministeriön hyväksymä instituutioiden kehittämistä koskeva sopimus </w:t>
            </w:r>
          </w:p>
        </w:tc>
        <w:tc>
          <w:tcPr>
            <w:tcW w:w="1363" w:type="dxa"/>
            <w:shd w:val="clear" w:color="auto" w:fill="C6EFCE"/>
            <w:vAlign w:val="center"/>
          </w:tcPr>
          <w:p w14:paraId="39344333" w14:textId="77777777" w:rsidR="00E42B18" w:rsidRDefault="009629C4">
            <w:pPr>
              <w:pStyle w:val="P68B1DB1-Normal11"/>
              <w:jc w:val="center"/>
              <w:rPr>
                <w:noProof/>
                <w:szCs w:val="20"/>
              </w:rPr>
            </w:pPr>
            <w:r>
              <w:rPr>
                <w:noProof/>
              </w:rPr>
              <w:t>Ilmoitus hyväksytystä sopimuksesta</w:t>
            </w:r>
          </w:p>
        </w:tc>
        <w:tc>
          <w:tcPr>
            <w:tcW w:w="948" w:type="dxa"/>
            <w:shd w:val="clear" w:color="auto" w:fill="C6EFCE"/>
            <w:vAlign w:val="center"/>
          </w:tcPr>
          <w:p w14:paraId="2502C4F6" w14:textId="77777777" w:rsidR="00E42B18" w:rsidRDefault="009629C4">
            <w:pPr>
              <w:pStyle w:val="P68B1DB1-Normal11"/>
              <w:jc w:val="center"/>
              <w:rPr>
                <w:noProof/>
                <w:szCs w:val="20"/>
              </w:rPr>
            </w:pPr>
            <w:r>
              <w:rPr>
                <w:noProof/>
              </w:rPr>
              <w:t>EI OLE</w:t>
            </w:r>
          </w:p>
        </w:tc>
        <w:tc>
          <w:tcPr>
            <w:tcW w:w="950" w:type="dxa"/>
            <w:shd w:val="clear" w:color="auto" w:fill="C6EFCE"/>
            <w:vAlign w:val="center"/>
          </w:tcPr>
          <w:p w14:paraId="764AC524" w14:textId="77777777" w:rsidR="00E42B18" w:rsidRDefault="009629C4">
            <w:pPr>
              <w:pStyle w:val="P68B1DB1-Normal11"/>
              <w:jc w:val="center"/>
              <w:rPr>
                <w:noProof/>
                <w:szCs w:val="20"/>
              </w:rPr>
            </w:pPr>
            <w:r>
              <w:rPr>
                <w:noProof/>
              </w:rPr>
              <w:t>EI OLE</w:t>
            </w:r>
          </w:p>
        </w:tc>
        <w:tc>
          <w:tcPr>
            <w:tcW w:w="992" w:type="dxa"/>
            <w:shd w:val="clear" w:color="auto" w:fill="C6EFCE"/>
            <w:vAlign w:val="center"/>
          </w:tcPr>
          <w:p w14:paraId="2D79E3A0" w14:textId="77777777" w:rsidR="00E42B18" w:rsidRDefault="009629C4">
            <w:pPr>
              <w:pStyle w:val="P68B1DB1-Normal11"/>
              <w:jc w:val="center"/>
              <w:rPr>
                <w:noProof/>
                <w:szCs w:val="20"/>
              </w:rPr>
            </w:pPr>
            <w:r>
              <w:rPr>
                <w:noProof/>
              </w:rPr>
              <w:t>EI OLE</w:t>
            </w:r>
          </w:p>
        </w:tc>
        <w:tc>
          <w:tcPr>
            <w:tcW w:w="992" w:type="dxa"/>
            <w:shd w:val="clear" w:color="auto" w:fill="C6EFCE"/>
            <w:vAlign w:val="center"/>
          </w:tcPr>
          <w:p w14:paraId="381E3A2E" w14:textId="77777777" w:rsidR="00E42B18" w:rsidRDefault="009629C4">
            <w:pPr>
              <w:pStyle w:val="P68B1DB1-Normal11"/>
              <w:jc w:val="center"/>
              <w:rPr>
                <w:noProof/>
                <w:szCs w:val="20"/>
              </w:rPr>
            </w:pPr>
            <w:r>
              <w:rPr>
                <w:noProof/>
              </w:rPr>
              <w:t>Q2</w:t>
            </w:r>
          </w:p>
        </w:tc>
        <w:tc>
          <w:tcPr>
            <w:tcW w:w="709" w:type="dxa"/>
            <w:shd w:val="clear" w:color="auto" w:fill="C6EFCE"/>
            <w:vAlign w:val="center"/>
          </w:tcPr>
          <w:p w14:paraId="7AAAD45E" w14:textId="77777777" w:rsidR="00E42B18" w:rsidRDefault="009629C4">
            <w:pPr>
              <w:pStyle w:val="P68B1DB1-Normal11"/>
              <w:jc w:val="center"/>
              <w:rPr>
                <w:noProof/>
                <w:szCs w:val="20"/>
              </w:rPr>
            </w:pPr>
            <w:r>
              <w:rPr>
                <w:noProof/>
              </w:rPr>
              <w:t>2022</w:t>
            </w:r>
          </w:p>
        </w:tc>
        <w:tc>
          <w:tcPr>
            <w:tcW w:w="3634" w:type="dxa"/>
            <w:shd w:val="clear" w:color="auto" w:fill="C6EFCE"/>
            <w:vAlign w:val="center"/>
          </w:tcPr>
          <w:p w14:paraId="06A21C4D" w14:textId="77777777" w:rsidR="00E42B18" w:rsidRDefault="009629C4">
            <w:pPr>
              <w:pStyle w:val="P68B1DB1-Normal11"/>
              <w:rPr>
                <w:noProof/>
                <w:szCs w:val="20"/>
              </w:rPr>
            </w:pPr>
            <w:r>
              <w:rPr>
                <w:noProof/>
              </w:rPr>
              <w:t>Laitosten kehittämistä koskevan sopimuksen (Contratto Istituzionale di Sviluppo) hyväksyminen, jossa Italian terveysministeriö on asiasta vastaava viranomainen ja täytäntöönpanoviranomainen, sekä aluehallintojen osallistuminen yhdessä muiden kotihoitoon liittyvien yksiköiden kanssa.</w:t>
            </w:r>
          </w:p>
          <w:p w14:paraId="14247D15" w14:textId="77777777" w:rsidR="00E42B18" w:rsidRDefault="009629C4">
            <w:pPr>
              <w:pStyle w:val="P68B1DB1-Normal11"/>
              <w:rPr>
                <w:noProof/>
                <w:szCs w:val="20"/>
              </w:rPr>
            </w:pPr>
            <w:r>
              <w:rPr>
                <w:noProof/>
              </w:rPr>
              <w:t>Institutionaalista kehittämistä koskevassa sopimuksessa vahvistetaan kullekin tukitoimelle tai tukitoimiluokalle aikataulu, sopimuspuolten vastuualueet, arviointi- ja seurantaperusteet sekä noudattamatta jättämisestä määrättävät seuraamukset. Siinä määritellään myös ehdot, jotka koskevat toimien mahdollista osittaista purkamista tai asiaankuuluvien varojen osoittamista toiselle hallintotasolle toissijaisuusperiaatteen mukaisesti.</w:t>
            </w:r>
          </w:p>
        </w:tc>
      </w:tr>
      <w:tr w:rsidR="00E42B18" w14:paraId="72F4BD0B" w14:textId="77777777">
        <w:trPr>
          <w:trHeight w:val="315"/>
        </w:trPr>
        <w:tc>
          <w:tcPr>
            <w:tcW w:w="1277" w:type="dxa"/>
            <w:shd w:val="clear" w:color="auto" w:fill="C6EFCE"/>
            <w:vAlign w:val="center"/>
          </w:tcPr>
          <w:p w14:paraId="50229E85" w14:textId="77777777" w:rsidR="00E42B18" w:rsidRDefault="009629C4">
            <w:pPr>
              <w:pStyle w:val="P68B1DB1-Normal12"/>
              <w:jc w:val="center"/>
              <w:rPr>
                <w:noProof/>
              </w:rPr>
            </w:pPr>
            <w:r>
              <w:rPr>
                <w:noProof/>
              </w:rPr>
              <w:t>M6C1–6</w:t>
            </w:r>
          </w:p>
        </w:tc>
        <w:tc>
          <w:tcPr>
            <w:tcW w:w="1701" w:type="dxa"/>
            <w:shd w:val="clear" w:color="auto" w:fill="C6EFCE"/>
            <w:vAlign w:val="center"/>
          </w:tcPr>
          <w:p w14:paraId="5B2837F8" w14:textId="77777777" w:rsidR="00E42B18" w:rsidRDefault="009629C4">
            <w:pPr>
              <w:pStyle w:val="P68B1DB1-Normal11"/>
              <w:jc w:val="center"/>
              <w:rPr>
                <w:noProof/>
                <w:szCs w:val="20"/>
              </w:rPr>
            </w:pPr>
            <w:r>
              <w:rPr>
                <w:noProof/>
              </w:rPr>
              <w:t>Investointi 1.2: Koti ensimmäisenä hoitopaikkana ja etälääketiede</w:t>
            </w:r>
          </w:p>
        </w:tc>
        <w:tc>
          <w:tcPr>
            <w:tcW w:w="1134" w:type="dxa"/>
            <w:shd w:val="clear" w:color="auto" w:fill="C6EFCE"/>
            <w:vAlign w:val="center"/>
          </w:tcPr>
          <w:p w14:paraId="30F81543" w14:textId="77777777" w:rsidR="00E42B18" w:rsidRDefault="009629C4">
            <w:pPr>
              <w:pStyle w:val="P68B1DB1-Normal12"/>
              <w:jc w:val="center"/>
              <w:rPr>
                <w:noProof/>
              </w:rPr>
            </w:pPr>
            <w:r>
              <w:rPr>
                <w:noProof/>
              </w:rPr>
              <w:t>Kohde</w:t>
            </w:r>
          </w:p>
        </w:tc>
        <w:tc>
          <w:tcPr>
            <w:tcW w:w="1417" w:type="dxa"/>
            <w:shd w:val="clear" w:color="auto" w:fill="C6EFCE"/>
            <w:vAlign w:val="center"/>
          </w:tcPr>
          <w:p w14:paraId="385481F5" w14:textId="77777777" w:rsidR="00E42B18" w:rsidRDefault="009629C4">
            <w:pPr>
              <w:pStyle w:val="P68B1DB1-Normal12"/>
              <w:jc w:val="center"/>
              <w:rPr>
                <w:noProof/>
              </w:rPr>
            </w:pPr>
            <w:r>
              <w:rPr>
                <w:noProof/>
              </w:rPr>
              <w:t xml:space="preserve">Kotihoito </w:t>
            </w:r>
          </w:p>
        </w:tc>
        <w:tc>
          <w:tcPr>
            <w:tcW w:w="1363" w:type="dxa"/>
            <w:shd w:val="clear" w:color="auto" w:fill="C6EFCE"/>
            <w:vAlign w:val="center"/>
          </w:tcPr>
          <w:p w14:paraId="1D0A6CF2" w14:textId="77777777" w:rsidR="00E42B18" w:rsidRDefault="009629C4">
            <w:pPr>
              <w:pStyle w:val="P68B1DB1-Normal11"/>
              <w:jc w:val="center"/>
              <w:rPr>
                <w:noProof/>
                <w:szCs w:val="20"/>
              </w:rPr>
            </w:pPr>
            <w:r>
              <w:rPr>
                <w:noProof/>
              </w:rPr>
              <w:t>EI OLE</w:t>
            </w:r>
          </w:p>
        </w:tc>
        <w:tc>
          <w:tcPr>
            <w:tcW w:w="948" w:type="dxa"/>
            <w:shd w:val="clear" w:color="auto" w:fill="C6EFCE"/>
            <w:vAlign w:val="center"/>
          </w:tcPr>
          <w:p w14:paraId="34024AB2" w14:textId="77777777" w:rsidR="00E42B18" w:rsidRDefault="009629C4">
            <w:pPr>
              <w:pStyle w:val="P68B1DB1-Normal11"/>
              <w:jc w:val="center"/>
              <w:rPr>
                <w:noProof/>
                <w:szCs w:val="20"/>
              </w:rPr>
            </w:pPr>
            <w:r>
              <w:rPr>
                <w:noProof/>
              </w:rPr>
              <w:t>Numero</w:t>
            </w:r>
          </w:p>
        </w:tc>
        <w:tc>
          <w:tcPr>
            <w:tcW w:w="950" w:type="dxa"/>
            <w:shd w:val="clear" w:color="auto" w:fill="C6EFCE"/>
            <w:vAlign w:val="center"/>
          </w:tcPr>
          <w:p w14:paraId="56F84CC7" w14:textId="0B2D2554" w:rsidR="00E42B18" w:rsidRDefault="009629C4">
            <w:pPr>
              <w:pStyle w:val="P68B1DB1-Normal11"/>
              <w:jc w:val="center"/>
              <w:rPr>
                <w:noProof/>
                <w:szCs w:val="20"/>
              </w:rPr>
            </w:pPr>
            <w:r>
              <w:rPr>
                <w:noProof/>
              </w:rPr>
              <w:t>645</w:t>
            </w:r>
            <w:r>
              <w:rPr>
                <w:noProof/>
                <w:szCs w:val="20"/>
              </w:rPr>
              <w:t xml:space="preserve"> </w:t>
            </w:r>
            <w:r>
              <w:rPr>
                <w:noProof/>
              </w:rPr>
              <w:t>590</w:t>
            </w:r>
          </w:p>
        </w:tc>
        <w:tc>
          <w:tcPr>
            <w:tcW w:w="992" w:type="dxa"/>
            <w:shd w:val="clear" w:color="auto" w:fill="C6EFCE"/>
            <w:vAlign w:val="center"/>
          </w:tcPr>
          <w:p w14:paraId="0EA65E64" w14:textId="5A3D7096" w:rsidR="00E42B18" w:rsidRDefault="009629C4">
            <w:pPr>
              <w:pStyle w:val="P68B1DB1-Normal11"/>
              <w:jc w:val="center"/>
              <w:rPr>
                <w:noProof/>
                <w:szCs w:val="20"/>
              </w:rPr>
            </w:pPr>
            <w:r>
              <w:rPr>
                <w:noProof/>
              </w:rPr>
              <w:t>1</w:t>
            </w:r>
            <w:r>
              <w:rPr>
                <w:noProof/>
                <w:szCs w:val="20"/>
              </w:rPr>
              <w:t xml:space="preserve"> </w:t>
            </w:r>
            <w:r>
              <w:rPr>
                <w:noProof/>
              </w:rPr>
              <w:t>487</w:t>
            </w:r>
            <w:r>
              <w:rPr>
                <w:noProof/>
                <w:szCs w:val="20"/>
              </w:rPr>
              <w:t xml:space="preserve"> </w:t>
            </w:r>
            <w:r>
              <w:rPr>
                <w:noProof/>
              </w:rPr>
              <w:t>590</w:t>
            </w:r>
          </w:p>
        </w:tc>
        <w:tc>
          <w:tcPr>
            <w:tcW w:w="992" w:type="dxa"/>
            <w:shd w:val="clear" w:color="auto" w:fill="C6EFCE"/>
            <w:vAlign w:val="center"/>
          </w:tcPr>
          <w:p w14:paraId="1F7FCB9E" w14:textId="77777777" w:rsidR="00E42B18" w:rsidRDefault="009629C4">
            <w:pPr>
              <w:pStyle w:val="P68B1DB1-Normal11"/>
              <w:jc w:val="center"/>
              <w:rPr>
                <w:noProof/>
                <w:szCs w:val="20"/>
              </w:rPr>
            </w:pPr>
            <w:r>
              <w:rPr>
                <w:noProof/>
              </w:rPr>
              <w:t>Q2</w:t>
            </w:r>
          </w:p>
        </w:tc>
        <w:tc>
          <w:tcPr>
            <w:tcW w:w="709" w:type="dxa"/>
            <w:shd w:val="clear" w:color="auto" w:fill="C6EFCE"/>
            <w:vAlign w:val="center"/>
          </w:tcPr>
          <w:p w14:paraId="04B3231A" w14:textId="77777777" w:rsidR="00E42B18" w:rsidRDefault="009629C4">
            <w:pPr>
              <w:pStyle w:val="P68B1DB1-Normal12"/>
              <w:jc w:val="center"/>
              <w:rPr>
                <w:noProof/>
              </w:rPr>
            </w:pPr>
            <w:r>
              <w:rPr>
                <w:noProof/>
              </w:rPr>
              <w:t>2025</w:t>
            </w:r>
          </w:p>
        </w:tc>
        <w:tc>
          <w:tcPr>
            <w:tcW w:w="3634" w:type="dxa"/>
            <w:shd w:val="clear" w:color="auto" w:fill="C6EFCE"/>
            <w:vAlign w:val="center"/>
          </w:tcPr>
          <w:p w14:paraId="6756407C" w14:textId="00A064E7" w:rsidR="00E42B18" w:rsidRDefault="009629C4">
            <w:pPr>
              <w:pStyle w:val="P68B1DB1-Normal12"/>
              <w:rPr>
                <w:noProof/>
              </w:rPr>
            </w:pPr>
            <w:r>
              <w:rPr>
                <w:noProof/>
              </w:rPr>
              <w:t>Yli 65-vuotiaille annettavan kotihoidon vuosiarvon on oltava vähintään 1487590 mitattuna SIAD05bis-indikaattorilla ”Sistema informativo Assistenza domiciliare (Sistema informativo Assistenza domiciliare) in Relation to the Elderly Vopulation” Agenasin yleisnäkymässä.</w:t>
            </w:r>
          </w:p>
        </w:tc>
      </w:tr>
      <w:tr w:rsidR="00E42B18" w14:paraId="521A5D94" w14:textId="77777777">
        <w:trPr>
          <w:trHeight w:val="315"/>
        </w:trPr>
        <w:tc>
          <w:tcPr>
            <w:tcW w:w="1277" w:type="dxa"/>
            <w:shd w:val="clear" w:color="auto" w:fill="C6EFCE"/>
            <w:vAlign w:val="center"/>
          </w:tcPr>
          <w:p w14:paraId="320553B2" w14:textId="77777777" w:rsidR="00E42B18" w:rsidRDefault="009629C4">
            <w:pPr>
              <w:pStyle w:val="P68B1DB1-Normal11"/>
              <w:jc w:val="center"/>
              <w:rPr>
                <w:noProof/>
                <w:szCs w:val="20"/>
              </w:rPr>
            </w:pPr>
            <w:r>
              <w:rPr>
                <w:noProof/>
              </w:rPr>
              <w:t>M6C1–7</w:t>
            </w:r>
          </w:p>
        </w:tc>
        <w:tc>
          <w:tcPr>
            <w:tcW w:w="1701" w:type="dxa"/>
            <w:shd w:val="clear" w:color="auto" w:fill="C6EFCE"/>
            <w:vAlign w:val="center"/>
          </w:tcPr>
          <w:p w14:paraId="1168A185" w14:textId="77777777" w:rsidR="00E42B18" w:rsidRDefault="009629C4">
            <w:pPr>
              <w:pStyle w:val="P68B1DB1-Normal11"/>
              <w:jc w:val="center"/>
              <w:rPr>
                <w:noProof/>
                <w:szCs w:val="20"/>
              </w:rPr>
            </w:pPr>
            <w:r>
              <w:rPr>
                <w:noProof/>
              </w:rPr>
              <w:t>Investointi 1.2: Koti ensimmäisenä hoitopaikkana ja etälääketiede</w:t>
            </w:r>
          </w:p>
        </w:tc>
        <w:tc>
          <w:tcPr>
            <w:tcW w:w="1134" w:type="dxa"/>
            <w:shd w:val="clear" w:color="auto" w:fill="C6EFCE"/>
            <w:vAlign w:val="center"/>
          </w:tcPr>
          <w:p w14:paraId="76091439" w14:textId="77777777" w:rsidR="00E42B18" w:rsidRDefault="009629C4">
            <w:pPr>
              <w:pStyle w:val="P68B1DB1-Normal11"/>
              <w:jc w:val="center"/>
              <w:rPr>
                <w:noProof/>
                <w:szCs w:val="20"/>
              </w:rPr>
            </w:pPr>
            <w:r>
              <w:rPr>
                <w:noProof/>
              </w:rPr>
              <w:t>Kohde</w:t>
            </w:r>
          </w:p>
        </w:tc>
        <w:tc>
          <w:tcPr>
            <w:tcW w:w="1417" w:type="dxa"/>
            <w:shd w:val="clear" w:color="auto" w:fill="C6EFCE"/>
            <w:vAlign w:val="center"/>
          </w:tcPr>
          <w:p w14:paraId="5559D5A7" w14:textId="77777777" w:rsidR="00E42B18" w:rsidRDefault="009629C4">
            <w:pPr>
              <w:pStyle w:val="P68B1DB1-Normal11"/>
              <w:jc w:val="center"/>
              <w:rPr>
                <w:noProof/>
                <w:szCs w:val="20"/>
              </w:rPr>
            </w:pPr>
            <w:r>
              <w:rPr>
                <w:noProof/>
              </w:rPr>
              <w:t>Täysin toimintakykyiset koordinointikeskukset (toinen erä)</w:t>
            </w:r>
          </w:p>
        </w:tc>
        <w:tc>
          <w:tcPr>
            <w:tcW w:w="1363" w:type="dxa"/>
            <w:shd w:val="clear" w:color="auto" w:fill="C6EFCE"/>
            <w:vAlign w:val="center"/>
          </w:tcPr>
          <w:p w14:paraId="726646C0" w14:textId="77777777" w:rsidR="00E42B18" w:rsidRDefault="009629C4">
            <w:pPr>
              <w:pStyle w:val="P68B1DB1-Normal11"/>
              <w:jc w:val="center"/>
              <w:rPr>
                <w:noProof/>
                <w:szCs w:val="20"/>
              </w:rPr>
            </w:pPr>
            <w:r>
              <w:rPr>
                <w:noProof/>
              </w:rPr>
              <w:t>EI OLE</w:t>
            </w:r>
          </w:p>
        </w:tc>
        <w:tc>
          <w:tcPr>
            <w:tcW w:w="948" w:type="dxa"/>
            <w:shd w:val="clear" w:color="auto" w:fill="C6EFCE"/>
            <w:vAlign w:val="center"/>
          </w:tcPr>
          <w:p w14:paraId="58B520D8" w14:textId="77777777" w:rsidR="00E42B18" w:rsidRDefault="009629C4">
            <w:pPr>
              <w:pStyle w:val="P68B1DB1-Normal11"/>
              <w:jc w:val="center"/>
              <w:rPr>
                <w:noProof/>
                <w:szCs w:val="20"/>
              </w:rPr>
            </w:pPr>
            <w:r>
              <w:rPr>
                <w:noProof/>
              </w:rPr>
              <w:t>Numero</w:t>
            </w:r>
          </w:p>
        </w:tc>
        <w:tc>
          <w:tcPr>
            <w:tcW w:w="950" w:type="dxa"/>
            <w:shd w:val="clear" w:color="auto" w:fill="C6EFCE"/>
            <w:vAlign w:val="center"/>
          </w:tcPr>
          <w:p w14:paraId="37B9EA4B" w14:textId="77777777" w:rsidR="00E42B18" w:rsidRDefault="009629C4">
            <w:pPr>
              <w:pStyle w:val="P68B1DB1-Normal11"/>
              <w:jc w:val="center"/>
              <w:rPr>
                <w:noProof/>
                <w:szCs w:val="20"/>
              </w:rPr>
            </w:pPr>
            <w:r>
              <w:rPr>
                <w:noProof/>
              </w:rPr>
              <w:t>0</w:t>
            </w:r>
          </w:p>
        </w:tc>
        <w:tc>
          <w:tcPr>
            <w:tcW w:w="992" w:type="dxa"/>
            <w:shd w:val="clear" w:color="auto" w:fill="C6EFCE"/>
            <w:vAlign w:val="center"/>
          </w:tcPr>
          <w:p w14:paraId="725E0155" w14:textId="77777777" w:rsidR="00E42B18" w:rsidRDefault="009629C4">
            <w:pPr>
              <w:pStyle w:val="P68B1DB1-Normal11"/>
              <w:jc w:val="center"/>
              <w:rPr>
                <w:noProof/>
                <w:szCs w:val="20"/>
              </w:rPr>
            </w:pPr>
            <w:r>
              <w:rPr>
                <w:noProof/>
              </w:rPr>
              <w:t>480</w:t>
            </w:r>
          </w:p>
        </w:tc>
        <w:tc>
          <w:tcPr>
            <w:tcW w:w="992" w:type="dxa"/>
            <w:shd w:val="clear" w:color="auto" w:fill="C6EFCE"/>
            <w:vAlign w:val="center"/>
          </w:tcPr>
          <w:p w14:paraId="1B65FBAA" w14:textId="77777777" w:rsidR="00E42B18" w:rsidRDefault="009629C4">
            <w:pPr>
              <w:pStyle w:val="P68B1DB1-Normal11"/>
              <w:jc w:val="center"/>
              <w:rPr>
                <w:noProof/>
                <w:szCs w:val="20"/>
              </w:rPr>
            </w:pPr>
            <w:r>
              <w:rPr>
                <w:noProof/>
              </w:rPr>
              <w:t>Q4</w:t>
            </w:r>
          </w:p>
        </w:tc>
        <w:tc>
          <w:tcPr>
            <w:tcW w:w="709" w:type="dxa"/>
            <w:shd w:val="clear" w:color="auto" w:fill="C6EFCE"/>
            <w:vAlign w:val="center"/>
          </w:tcPr>
          <w:p w14:paraId="32745DE2" w14:textId="77777777" w:rsidR="00E42B18" w:rsidRDefault="009629C4">
            <w:pPr>
              <w:pStyle w:val="P68B1DB1-Normal11"/>
              <w:jc w:val="center"/>
              <w:rPr>
                <w:noProof/>
                <w:szCs w:val="20"/>
              </w:rPr>
            </w:pPr>
            <w:r>
              <w:rPr>
                <w:noProof/>
              </w:rPr>
              <w:t>2024</w:t>
            </w:r>
          </w:p>
        </w:tc>
        <w:tc>
          <w:tcPr>
            <w:tcW w:w="3634" w:type="dxa"/>
            <w:shd w:val="clear" w:color="auto" w:fill="C6EFCE"/>
            <w:vAlign w:val="center"/>
          </w:tcPr>
          <w:p w14:paraId="354278A0" w14:textId="77777777" w:rsidR="00E42B18" w:rsidRDefault="009629C4">
            <w:pPr>
              <w:pStyle w:val="P68B1DB1-Normal11"/>
              <w:rPr>
                <w:noProof/>
                <w:szCs w:val="20"/>
              </w:rPr>
            </w:pPr>
            <w:r>
              <w:rPr>
                <w:noProof/>
              </w:rPr>
              <w:t>Tämän toimenpiteen keskeisenä tavoitteena on ottaa käyttöön vähintään 480 alueellista koordinointikeskusta (”Centrali Operative Territoriali”), joiden tehtävänä on koordinoida ja yhdistää erilaisia alueellisia, sosiaali- ja terveydenhuoltopalveluja ja sairaaloiden terveydenhuoltopalveluja sekä hätätilanteiden verkostoa hoidon jatkuvuuden, saatavuuden ja integroinnin varmistamiseksi.</w:t>
            </w:r>
          </w:p>
        </w:tc>
      </w:tr>
      <w:tr w:rsidR="00E42B18" w14:paraId="4D681010" w14:textId="77777777">
        <w:trPr>
          <w:trHeight w:val="315"/>
        </w:trPr>
        <w:tc>
          <w:tcPr>
            <w:tcW w:w="1277" w:type="dxa"/>
            <w:shd w:val="clear" w:color="auto" w:fill="C6EFCE"/>
            <w:vAlign w:val="center"/>
          </w:tcPr>
          <w:p w14:paraId="5884CD3B" w14:textId="77777777" w:rsidR="00E42B18" w:rsidRDefault="009629C4">
            <w:pPr>
              <w:pStyle w:val="P68B1DB1-Normal11"/>
              <w:jc w:val="center"/>
              <w:rPr>
                <w:noProof/>
                <w:szCs w:val="20"/>
              </w:rPr>
            </w:pPr>
            <w:r>
              <w:rPr>
                <w:noProof/>
              </w:rPr>
              <w:t>M6C1–8</w:t>
            </w:r>
          </w:p>
        </w:tc>
        <w:tc>
          <w:tcPr>
            <w:tcW w:w="1701" w:type="dxa"/>
            <w:shd w:val="clear" w:color="auto" w:fill="C6EFCE"/>
            <w:vAlign w:val="center"/>
          </w:tcPr>
          <w:p w14:paraId="79C241CC" w14:textId="77777777" w:rsidR="00E42B18" w:rsidRDefault="009629C4">
            <w:pPr>
              <w:pStyle w:val="P68B1DB1-Normal11"/>
              <w:jc w:val="center"/>
              <w:rPr>
                <w:noProof/>
                <w:szCs w:val="20"/>
              </w:rPr>
            </w:pPr>
            <w:r>
              <w:rPr>
                <w:noProof/>
              </w:rPr>
              <w:t>Investointi 1.2: Koti ensimmäisenä hoitopaikkana ja etälääketiede</w:t>
            </w:r>
          </w:p>
        </w:tc>
        <w:tc>
          <w:tcPr>
            <w:tcW w:w="1134" w:type="dxa"/>
            <w:shd w:val="clear" w:color="auto" w:fill="C6EFCE"/>
            <w:vAlign w:val="center"/>
          </w:tcPr>
          <w:p w14:paraId="2C63287F" w14:textId="77777777" w:rsidR="00E42B18" w:rsidRDefault="009629C4">
            <w:pPr>
              <w:pStyle w:val="P68B1DB1-Normal11"/>
              <w:jc w:val="center"/>
              <w:rPr>
                <w:noProof/>
                <w:szCs w:val="20"/>
              </w:rPr>
            </w:pPr>
            <w:r>
              <w:rPr>
                <w:noProof/>
              </w:rPr>
              <w:t>Kohde</w:t>
            </w:r>
          </w:p>
        </w:tc>
        <w:tc>
          <w:tcPr>
            <w:tcW w:w="1417" w:type="dxa"/>
            <w:shd w:val="clear" w:color="auto" w:fill="C6EFCE"/>
            <w:vAlign w:val="center"/>
          </w:tcPr>
          <w:p w14:paraId="73154D80" w14:textId="77777777" w:rsidR="00E42B18" w:rsidRDefault="009629C4">
            <w:pPr>
              <w:pStyle w:val="P68B1DB1-Normal11"/>
              <w:jc w:val="center"/>
              <w:rPr>
                <w:noProof/>
                <w:szCs w:val="20"/>
              </w:rPr>
            </w:pPr>
            <w:r>
              <w:rPr>
                <w:noProof/>
              </w:rPr>
              <w:t>Vähintään yksi kullekin alueelle osoitettu telelääketiedehanke (ottaen huomioon sekä yksittäisellä alueella toteutettavat hankkeet että hankkeet, joita voidaan kehittää osana alueiden välisiä yhteenliittymiä)</w:t>
            </w:r>
          </w:p>
        </w:tc>
        <w:tc>
          <w:tcPr>
            <w:tcW w:w="1363" w:type="dxa"/>
            <w:shd w:val="clear" w:color="auto" w:fill="C6EFCE"/>
            <w:vAlign w:val="center"/>
          </w:tcPr>
          <w:p w14:paraId="134B1EA4" w14:textId="77777777" w:rsidR="00E42B18" w:rsidRDefault="009629C4">
            <w:pPr>
              <w:pStyle w:val="P68B1DB1-Normal11"/>
              <w:jc w:val="center"/>
              <w:rPr>
                <w:noProof/>
                <w:szCs w:val="20"/>
              </w:rPr>
            </w:pPr>
            <w:r>
              <w:rPr>
                <w:noProof/>
              </w:rPr>
              <w:t>EI OLE</w:t>
            </w:r>
          </w:p>
        </w:tc>
        <w:tc>
          <w:tcPr>
            <w:tcW w:w="948" w:type="dxa"/>
            <w:shd w:val="clear" w:color="auto" w:fill="C6EFCE"/>
            <w:vAlign w:val="center"/>
          </w:tcPr>
          <w:p w14:paraId="43E325DC" w14:textId="77777777" w:rsidR="00E42B18" w:rsidRDefault="009629C4">
            <w:pPr>
              <w:pStyle w:val="P68B1DB1-Normal11"/>
              <w:jc w:val="center"/>
              <w:rPr>
                <w:noProof/>
                <w:szCs w:val="20"/>
              </w:rPr>
            </w:pPr>
            <w:r>
              <w:rPr>
                <w:noProof/>
              </w:rPr>
              <w:t>Numero</w:t>
            </w:r>
          </w:p>
        </w:tc>
        <w:tc>
          <w:tcPr>
            <w:tcW w:w="950" w:type="dxa"/>
            <w:shd w:val="clear" w:color="auto" w:fill="C6EFCE"/>
            <w:vAlign w:val="center"/>
          </w:tcPr>
          <w:p w14:paraId="7C30502B" w14:textId="77777777" w:rsidR="00E42B18" w:rsidRDefault="009629C4">
            <w:pPr>
              <w:pStyle w:val="P68B1DB1-Normal11"/>
              <w:jc w:val="center"/>
              <w:rPr>
                <w:noProof/>
                <w:szCs w:val="20"/>
              </w:rPr>
            </w:pPr>
            <w:r>
              <w:rPr>
                <w:noProof/>
              </w:rPr>
              <w:t>0</w:t>
            </w:r>
          </w:p>
        </w:tc>
        <w:tc>
          <w:tcPr>
            <w:tcW w:w="992" w:type="dxa"/>
            <w:shd w:val="clear" w:color="auto" w:fill="C6EFCE"/>
            <w:vAlign w:val="center"/>
          </w:tcPr>
          <w:p w14:paraId="64808D5C" w14:textId="77777777" w:rsidR="00E42B18" w:rsidRDefault="009629C4">
            <w:pPr>
              <w:pStyle w:val="P68B1DB1-Normal11"/>
              <w:jc w:val="center"/>
              <w:rPr>
                <w:noProof/>
                <w:szCs w:val="20"/>
              </w:rPr>
            </w:pPr>
            <w:r>
              <w:rPr>
                <w:noProof/>
              </w:rPr>
              <w:t>20</w:t>
            </w:r>
          </w:p>
        </w:tc>
        <w:tc>
          <w:tcPr>
            <w:tcW w:w="992" w:type="dxa"/>
            <w:shd w:val="clear" w:color="auto" w:fill="C6EFCE"/>
            <w:vAlign w:val="center"/>
          </w:tcPr>
          <w:p w14:paraId="32BBF97C" w14:textId="77777777" w:rsidR="00E42B18" w:rsidRDefault="009629C4">
            <w:pPr>
              <w:pStyle w:val="P68B1DB1-Normal11"/>
              <w:jc w:val="center"/>
              <w:rPr>
                <w:noProof/>
                <w:szCs w:val="20"/>
              </w:rPr>
            </w:pPr>
            <w:r>
              <w:rPr>
                <w:noProof/>
              </w:rPr>
              <w:t>Q4</w:t>
            </w:r>
          </w:p>
        </w:tc>
        <w:tc>
          <w:tcPr>
            <w:tcW w:w="709" w:type="dxa"/>
            <w:shd w:val="clear" w:color="auto" w:fill="C6EFCE"/>
            <w:vAlign w:val="center"/>
          </w:tcPr>
          <w:p w14:paraId="705ED592" w14:textId="77777777" w:rsidR="00E42B18" w:rsidRDefault="009629C4">
            <w:pPr>
              <w:pStyle w:val="P68B1DB1-Normal11"/>
              <w:jc w:val="center"/>
              <w:rPr>
                <w:noProof/>
                <w:szCs w:val="20"/>
              </w:rPr>
            </w:pPr>
            <w:r>
              <w:rPr>
                <w:noProof/>
              </w:rPr>
              <w:t>2023</w:t>
            </w:r>
          </w:p>
        </w:tc>
        <w:tc>
          <w:tcPr>
            <w:tcW w:w="3634" w:type="dxa"/>
            <w:shd w:val="clear" w:color="auto" w:fill="C6EFCE"/>
            <w:vAlign w:val="center"/>
          </w:tcPr>
          <w:p w14:paraId="013445D8" w14:textId="77777777" w:rsidR="00E42B18" w:rsidRDefault="009629C4">
            <w:pPr>
              <w:pStyle w:val="P68B1DB1-Normal11"/>
              <w:rPr>
                <w:noProof/>
                <w:szCs w:val="20"/>
              </w:rPr>
            </w:pPr>
            <w:r>
              <w:rPr>
                <w:noProof/>
              </w:rPr>
              <w:t>Kansallisella telelääketieteen strategialla on edistettävä ja rahoitettava uusien etälääketieteen hankkeiden ja ratkaisujen kehittämistä ja laajentamista alueellisissa terveydenhuoltojärjestelmissä, ja se on näin ollen keskeinen (teknologinen) tekijä, joka mahdollistaa tehostetun etähoitoon perustuvan lähestymistavan toteuttamisen terveydenhuollossa keskittyen erityisesti kroonisiin potilaisiin.</w:t>
            </w:r>
          </w:p>
        </w:tc>
      </w:tr>
      <w:tr w:rsidR="00E42B18" w14:paraId="02CF8ED2" w14:textId="77777777">
        <w:trPr>
          <w:trHeight w:val="315"/>
        </w:trPr>
        <w:tc>
          <w:tcPr>
            <w:tcW w:w="1277" w:type="dxa"/>
            <w:shd w:val="clear" w:color="auto" w:fill="C6EFCE"/>
            <w:vAlign w:val="center"/>
          </w:tcPr>
          <w:p w14:paraId="2C3D102E" w14:textId="77777777" w:rsidR="00E42B18" w:rsidRDefault="009629C4">
            <w:pPr>
              <w:pStyle w:val="P68B1DB1-Normal12"/>
              <w:jc w:val="center"/>
              <w:rPr>
                <w:noProof/>
              </w:rPr>
            </w:pPr>
            <w:r>
              <w:rPr>
                <w:noProof/>
              </w:rPr>
              <w:t>M6C1–9</w:t>
            </w:r>
          </w:p>
        </w:tc>
        <w:tc>
          <w:tcPr>
            <w:tcW w:w="1701" w:type="dxa"/>
            <w:shd w:val="clear" w:color="auto" w:fill="C6EFCE"/>
            <w:vAlign w:val="center"/>
          </w:tcPr>
          <w:p w14:paraId="3DA275E6" w14:textId="77777777" w:rsidR="00E42B18" w:rsidRDefault="009629C4">
            <w:pPr>
              <w:pStyle w:val="P68B1DB1-Normal11"/>
              <w:jc w:val="center"/>
              <w:rPr>
                <w:noProof/>
                <w:szCs w:val="20"/>
              </w:rPr>
            </w:pPr>
            <w:r>
              <w:rPr>
                <w:noProof/>
              </w:rPr>
              <w:t>Investointi 1.2: Koti ensimmäisenä hoitopaikkana ja etälääketiede</w:t>
            </w:r>
          </w:p>
        </w:tc>
        <w:tc>
          <w:tcPr>
            <w:tcW w:w="1134" w:type="dxa"/>
            <w:shd w:val="clear" w:color="auto" w:fill="C6EFCE"/>
            <w:vAlign w:val="center"/>
          </w:tcPr>
          <w:p w14:paraId="1C91D372" w14:textId="77777777" w:rsidR="00E42B18" w:rsidRDefault="009629C4">
            <w:pPr>
              <w:pStyle w:val="P68B1DB1-Normal12"/>
              <w:jc w:val="center"/>
              <w:rPr>
                <w:noProof/>
              </w:rPr>
            </w:pPr>
            <w:r>
              <w:rPr>
                <w:noProof/>
              </w:rPr>
              <w:t xml:space="preserve">Kohde </w:t>
            </w:r>
          </w:p>
        </w:tc>
        <w:tc>
          <w:tcPr>
            <w:tcW w:w="1417" w:type="dxa"/>
            <w:shd w:val="clear" w:color="auto" w:fill="C6EFCE"/>
            <w:vAlign w:val="center"/>
          </w:tcPr>
          <w:p w14:paraId="21697C8E" w14:textId="00172346" w:rsidR="00E42B18" w:rsidRDefault="009629C4">
            <w:pPr>
              <w:pStyle w:val="P68B1DB1-Normal12"/>
              <w:jc w:val="center"/>
              <w:rPr>
                <w:noProof/>
              </w:rPr>
            </w:pPr>
            <w:r>
              <w:rPr>
                <w:noProof/>
              </w:rPr>
              <w:t>Etälääketieteen apu t</w:t>
            </w:r>
          </w:p>
        </w:tc>
        <w:tc>
          <w:tcPr>
            <w:tcW w:w="1363" w:type="dxa"/>
            <w:shd w:val="clear" w:color="auto" w:fill="C6EFCE"/>
            <w:vAlign w:val="center"/>
          </w:tcPr>
          <w:p w14:paraId="66DC19A4" w14:textId="77777777" w:rsidR="00E42B18" w:rsidRDefault="009629C4">
            <w:pPr>
              <w:pStyle w:val="P68B1DB1-Normal11"/>
              <w:jc w:val="center"/>
              <w:rPr>
                <w:noProof/>
                <w:szCs w:val="20"/>
              </w:rPr>
            </w:pPr>
            <w:r>
              <w:rPr>
                <w:noProof/>
              </w:rPr>
              <w:t>EI OLE</w:t>
            </w:r>
          </w:p>
        </w:tc>
        <w:tc>
          <w:tcPr>
            <w:tcW w:w="948" w:type="dxa"/>
            <w:shd w:val="clear" w:color="auto" w:fill="C6EFCE"/>
            <w:vAlign w:val="center"/>
          </w:tcPr>
          <w:p w14:paraId="24D0A26A" w14:textId="77777777" w:rsidR="00E42B18" w:rsidRDefault="009629C4">
            <w:pPr>
              <w:pStyle w:val="P68B1DB1-Normal11"/>
              <w:jc w:val="center"/>
              <w:rPr>
                <w:noProof/>
                <w:szCs w:val="20"/>
              </w:rPr>
            </w:pPr>
            <w:r>
              <w:rPr>
                <w:noProof/>
              </w:rPr>
              <w:t>Numero</w:t>
            </w:r>
          </w:p>
        </w:tc>
        <w:tc>
          <w:tcPr>
            <w:tcW w:w="950" w:type="dxa"/>
            <w:shd w:val="clear" w:color="auto" w:fill="C6EFCE"/>
            <w:vAlign w:val="center"/>
          </w:tcPr>
          <w:p w14:paraId="72F37D51" w14:textId="77777777" w:rsidR="00E42B18" w:rsidRDefault="009629C4">
            <w:pPr>
              <w:pStyle w:val="P68B1DB1-Normal11"/>
              <w:jc w:val="center"/>
              <w:rPr>
                <w:noProof/>
                <w:szCs w:val="20"/>
              </w:rPr>
            </w:pPr>
            <w:r>
              <w:rPr>
                <w:noProof/>
              </w:rPr>
              <w:t>0</w:t>
            </w:r>
          </w:p>
        </w:tc>
        <w:tc>
          <w:tcPr>
            <w:tcW w:w="992" w:type="dxa"/>
            <w:shd w:val="clear" w:color="auto" w:fill="C6EFCE"/>
            <w:vAlign w:val="center"/>
          </w:tcPr>
          <w:p w14:paraId="021B9134" w14:textId="77777777" w:rsidR="00E42B18" w:rsidRDefault="009629C4">
            <w:pPr>
              <w:pStyle w:val="P68B1DB1-Normal11"/>
              <w:jc w:val="center"/>
              <w:rPr>
                <w:noProof/>
                <w:szCs w:val="20"/>
              </w:rPr>
            </w:pPr>
            <w:r>
              <w:rPr>
                <w:noProof/>
              </w:rPr>
              <w:t>300 000</w:t>
            </w:r>
          </w:p>
        </w:tc>
        <w:tc>
          <w:tcPr>
            <w:tcW w:w="992" w:type="dxa"/>
            <w:shd w:val="clear" w:color="auto" w:fill="C6EFCE"/>
            <w:vAlign w:val="center"/>
          </w:tcPr>
          <w:p w14:paraId="769E2645" w14:textId="77777777" w:rsidR="00E42B18" w:rsidRDefault="009629C4">
            <w:pPr>
              <w:pStyle w:val="P68B1DB1-Normal11"/>
              <w:jc w:val="center"/>
              <w:rPr>
                <w:noProof/>
                <w:szCs w:val="20"/>
              </w:rPr>
            </w:pPr>
            <w:r>
              <w:rPr>
                <w:noProof/>
              </w:rPr>
              <w:t>Q4</w:t>
            </w:r>
          </w:p>
        </w:tc>
        <w:tc>
          <w:tcPr>
            <w:tcW w:w="709" w:type="dxa"/>
            <w:shd w:val="clear" w:color="auto" w:fill="C6EFCE"/>
            <w:vAlign w:val="center"/>
          </w:tcPr>
          <w:p w14:paraId="2C2F0F9E" w14:textId="77777777" w:rsidR="00E42B18" w:rsidRDefault="009629C4">
            <w:pPr>
              <w:pStyle w:val="P68B1DB1-Normal12"/>
              <w:jc w:val="center"/>
              <w:rPr>
                <w:noProof/>
              </w:rPr>
            </w:pPr>
            <w:r>
              <w:rPr>
                <w:noProof/>
              </w:rPr>
              <w:t>2025</w:t>
            </w:r>
          </w:p>
        </w:tc>
        <w:tc>
          <w:tcPr>
            <w:tcW w:w="3634" w:type="dxa"/>
            <w:shd w:val="clear" w:color="auto" w:fill="C6EFCE"/>
            <w:vAlign w:val="center"/>
          </w:tcPr>
          <w:p w14:paraId="2476F631" w14:textId="77777777" w:rsidR="00E42B18" w:rsidRDefault="009629C4">
            <w:pPr>
              <w:pStyle w:val="P68B1DB1-Normal12"/>
              <w:rPr>
                <w:noProof/>
              </w:rPr>
            </w:pPr>
            <w:r>
              <w:rPr>
                <w:noProof/>
              </w:rPr>
              <w:t>Etälääketieteen välineiden avulla annettavaa apua koskevan indikaattorin, joka perustuu kansallisen telelääketieteen foorumin (PNT) indikaattoreihin ja jota seurataan Agenas-tulostaulun kautta, on saavutettava vähintään 300000 ihmisen arvo.</w:t>
            </w:r>
          </w:p>
        </w:tc>
      </w:tr>
      <w:tr w:rsidR="00E42B18" w14:paraId="006419D8" w14:textId="77777777">
        <w:trPr>
          <w:trHeight w:val="315"/>
        </w:trPr>
        <w:tc>
          <w:tcPr>
            <w:tcW w:w="1277" w:type="dxa"/>
            <w:shd w:val="clear" w:color="auto" w:fill="C6EFCE"/>
            <w:vAlign w:val="center"/>
          </w:tcPr>
          <w:p w14:paraId="6FA6B9AC" w14:textId="77777777" w:rsidR="00E42B18" w:rsidRDefault="009629C4">
            <w:pPr>
              <w:pStyle w:val="P68B1DB1-Normal11"/>
              <w:jc w:val="center"/>
              <w:rPr>
                <w:noProof/>
                <w:szCs w:val="20"/>
              </w:rPr>
            </w:pPr>
            <w:r>
              <w:rPr>
                <w:noProof/>
              </w:rPr>
              <w:t>M6C1–10</w:t>
            </w:r>
          </w:p>
        </w:tc>
        <w:tc>
          <w:tcPr>
            <w:tcW w:w="1701" w:type="dxa"/>
            <w:shd w:val="clear" w:color="auto" w:fill="C6EFCE"/>
            <w:vAlign w:val="center"/>
          </w:tcPr>
          <w:p w14:paraId="6A2DDBD8" w14:textId="77777777" w:rsidR="00E42B18" w:rsidRDefault="009629C4">
            <w:pPr>
              <w:pStyle w:val="P68B1DB1-Normal11"/>
              <w:jc w:val="center"/>
              <w:rPr>
                <w:noProof/>
                <w:szCs w:val="20"/>
              </w:rPr>
            </w:pPr>
            <w:r>
              <w:rPr>
                <w:noProof/>
              </w:rPr>
              <w:t>Investointi 1.3: Keskitason terveydenhuollon ja siihen liittyvien palvelujen (yhteisösairaalat) vahvistaminen</w:t>
            </w:r>
          </w:p>
        </w:tc>
        <w:tc>
          <w:tcPr>
            <w:tcW w:w="1134" w:type="dxa"/>
            <w:shd w:val="clear" w:color="auto" w:fill="C6EFCE"/>
            <w:vAlign w:val="center"/>
          </w:tcPr>
          <w:p w14:paraId="7C57CEA6" w14:textId="77777777" w:rsidR="00E42B18" w:rsidRDefault="009629C4">
            <w:pPr>
              <w:pStyle w:val="P68B1DB1-Normal11"/>
              <w:jc w:val="center"/>
              <w:rPr>
                <w:noProof/>
                <w:szCs w:val="20"/>
              </w:rPr>
            </w:pPr>
            <w:r>
              <w:rPr>
                <w:noProof/>
              </w:rPr>
              <w:t>Virstanpylväs</w:t>
            </w:r>
          </w:p>
        </w:tc>
        <w:tc>
          <w:tcPr>
            <w:tcW w:w="1417" w:type="dxa"/>
            <w:shd w:val="clear" w:color="auto" w:fill="C6EFCE"/>
            <w:vAlign w:val="center"/>
          </w:tcPr>
          <w:p w14:paraId="4F9FA6B2" w14:textId="12B0E237" w:rsidR="00E42B18" w:rsidRDefault="009629C4">
            <w:pPr>
              <w:pStyle w:val="P68B1DB1-Normal11"/>
              <w:jc w:val="center"/>
              <w:rPr>
                <w:noProof/>
                <w:szCs w:val="20"/>
              </w:rPr>
            </w:pPr>
            <w:r>
              <w:rPr>
                <w:noProof/>
              </w:rPr>
              <w:t>Instituutioiden kehittämistä koskevan sopimuksen hyväksyminen (Contratto Istituzionale di Sviluppo)</w:t>
            </w:r>
          </w:p>
        </w:tc>
        <w:tc>
          <w:tcPr>
            <w:tcW w:w="1363" w:type="dxa"/>
            <w:shd w:val="clear" w:color="auto" w:fill="C6EFCE"/>
            <w:vAlign w:val="center"/>
          </w:tcPr>
          <w:p w14:paraId="3ACAE630" w14:textId="77777777" w:rsidR="00E42B18" w:rsidRDefault="009629C4">
            <w:pPr>
              <w:pStyle w:val="P68B1DB1-Normal11"/>
              <w:jc w:val="center"/>
              <w:rPr>
                <w:noProof/>
                <w:szCs w:val="20"/>
              </w:rPr>
            </w:pPr>
            <w:r>
              <w:rPr>
                <w:noProof/>
              </w:rPr>
              <w:t>Ilmoitus institutionaalista kehittämistä koskevan sopimuksen hyväksymisestä</w:t>
            </w:r>
          </w:p>
        </w:tc>
        <w:tc>
          <w:tcPr>
            <w:tcW w:w="948" w:type="dxa"/>
            <w:shd w:val="clear" w:color="auto" w:fill="C6EFCE"/>
            <w:vAlign w:val="center"/>
          </w:tcPr>
          <w:p w14:paraId="14ED8C04" w14:textId="77777777" w:rsidR="00E42B18" w:rsidRDefault="009629C4">
            <w:pPr>
              <w:pStyle w:val="P68B1DB1-Normal11"/>
              <w:jc w:val="center"/>
              <w:rPr>
                <w:noProof/>
                <w:szCs w:val="20"/>
              </w:rPr>
            </w:pPr>
            <w:r>
              <w:rPr>
                <w:noProof/>
              </w:rPr>
              <w:t>EI OLE</w:t>
            </w:r>
          </w:p>
        </w:tc>
        <w:tc>
          <w:tcPr>
            <w:tcW w:w="950" w:type="dxa"/>
            <w:shd w:val="clear" w:color="auto" w:fill="C6EFCE"/>
            <w:vAlign w:val="center"/>
          </w:tcPr>
          <w:p w14:paraId="7821415A" w14:textId="77777777" w:rsidR="00E42B18" w:rsidRDefault="009629C4">
            <w:pPr>
              <w:pStyle w:val="P68B1DB1-Normal11"/>
              <w:jc w:val="center"/>
              <w:rPr>
                <w:noProof/>
                <w:szCs w:val="20"/>
              </w:rPr>
            </w:pPr>
            <w:r>
              <w:rPr>
                <w:noProof/>
              </w:rPr>
              <w:t>EI OLE</w:t>
            </w:r>
          </w:p>
        </w:tc>
        <w:tc>
          <w:tcPr>
            <w:tcW w:w="992" w:type="dxa"/>
            <w:shd w:val="clear" w:color="auto" w:fill="C6EFCE"/>
            <w:vAlign w:val="center"/>
          </w:tcPr>
          <w:p w14:paraId="2ED519F9" w14:textId="77777777" w:rsidR="00E42B18" w:rsidRDefault="009629C4">
            <w:pPr>
              <w:pStyle w:val="P68B1DB1-Normal11"/>
              <w:jc w:val="center"/>
              <w:rPr>
                <w:noProof/>
                <w:szCs w:val="20"/>
              </w:rPr>
            </w:pPr>
            <w:r>
              <w:rPr>
                <w:noProof/>
              </w:rPr>
              <w:t>EI OLE</w:t>
            </w:r>
          </w:p>
        </w:tc>
        <w:tc>
          <w:tcPr>
            <w:tcW w:w="992" w:type="dxa"/>
            <w:shd w:val="clear" w:color="auto" w:fill="C6EFCE"/>
            <w:vAlign w:val="center"/>
          </w:tcPr>
          <w:p w14:paraId="40523E19" w14:textId="77777777" w:rsidR="00E42B18" w:rsidRDefault="009629C4">
            <w:pPr>
              <w:pStyle w:val="P68B1DB1-Normal11"/>
              <w:jc w:val="center"/>
              <w:rPr>
                <w:noProof/>
                <w:szCs w:val="20"/>
              </w:rPr>
            </w:pPr>
            <w:r>
              <w:rPr>
                <w:noProof/>
              </w:rPr>
              <w:t>Q2</w:t>
            </w:r>
          </w:p>
        </w:tc>
        <w:tc>
          <w:tcPr>
            <w:tcW w:w="709" w:type="dxa"/>
            <w:shd w:val="clear" w:color="auto" w:fill="C6EFCE"/>
            <w:vAlign w:val="center"/>
          </w:tcPr>
          <w:p w14:paraId="2E251A5A" w14:textId="77777777" w:rsidR="00E42B18" w:rsidRDefault="009629C4">
            <w:pPr>
              <w:pStyle w:val="P68B1DB1-Normal11"/>
              <w:jc w:val="center"/>
              <w:rPr>
                <w:noProof/>
                <w:szCs w:val="20"/>
              </w:rPr>
            </w:pPr>
            <w:r>
              <w:rPr>
                <w:noProof/>
              </w:rPr>
              <w:t>2022</w:t>
            </w:r>
          </w:p>
        </w:tc>
        <w:tc>
          <w:tcPr>
            <w:tcW w:w="3634" w:type="dxa"/>
            <w:shd w:val="clear" w:color="auto" w:fill="C6EFCE"/>
            <w:vAlign w:val="center"/>
          </w:tcPr>
          <w:p w14:paraId="6070BD4B" w14:textId="26E30AC9" w:rsidR="00E42B18" w:rsidRDefault="009629C4">
            <w:pPr>
              <w:pStyle w:val="P68B1DB1-Normal11"/>
              <w:rPr>
                <w:noProof/>
                <w:szCs w:val="20"/>
              </w:rPr>
            </w:pPr>
            <w:r>
              <w:rPr>
                <w:noProof/>
              </w:rPr>
              <w:t>Laitosten kehittämistä koskevan sopimuksen (Contratto Istituzionale di Sviluppo) hyväksyminen, jossa Italian terveysministeriö on vastuussa ja täytäntöönpanosta vastaavana viranomaisena, sekä aluehallintojen osallistuminen yhteisön sairaaloihin.</w:t>
            </w:r>
          </w:p>
          <w:p w14:paraId="601AD4D7" w14:textId="77777777" w:rsidR="00E42B18" w:rsidRDefault="009629C4">
            <w:pPr>
              <w:pStyle w:val="P68B1DB1-Normal11"/>
              <w:rPr>
                <w:noProof/>
                <w:szCs w:val="20"/>
              </w:rPr>
            </w:pPr>
            <w:r>
              <w:rPr>
                <w:noProof/>
              </w:rPr>
              <w:t>Institutionaalista kehittämistä koskevassa sopimuksessa on lueteltava kaikki investointeihin soveltuvat alueet sekä velvoitteet, jotka kunkin alueen on täytettävä taatakseen suunnitellun tuloksen saavuttamisen. Jos jokin alue rikkoo sääntöjä, terveysministeriö ryhtyy komission jäseneen ”ad acta”. Laitosten teknologiapuiston eli kaikkien välineiden, lisenssien ja yhteenliitäntöjen osalta etusijalle on asetettava yhdistetyt hankintamenetelmät.</w:t>
            </w:r>
          </w:p>
        </w:tc>
      </w:tr>
      <w:tr w:rsidR="00E42B18" w14:paraId="2F1C3985" w14:textId="77777777">
        <w:trPr>
          <w:trHeight w:val="315"/>
        </w:trPr>
        <w:tc>
          <w:tcPr>
            <w:tcW w:w="1277" w:type="dxa"/>
            <w:shd w:val="clear" w:color="auto" w:fill="C6EFCE"/>
            <w:vAlign w:val="center"/>
          </w:tcPr>
          <w:p w14:paraId="1B402FDD" w14:textId="77777777" w:rsidR="00E42B18" w:rsidRDefault="009629C4">
            <w:pPr>
              <w:pStyle w:val="P68B1DB1-Normal12"/>
              <w:jc w:val="center"/>
              <w:rPr>
                <w:noProof/>
              </w:rPr>
            </w:pPr>
            <w:r>
              <w:rPr>
                <w:noProof/>
              </w:rPr>
              <w:t>M6C1–11</w:t>
            </w:r>
          </w:p>
        </w:tc>
        <w:tc>
          <w:tcPr>
            <w:tcW w:w="1701" w:type="dxa"/>
            <w:shd w:val="clear" w:color="auto" w:fill="C6EFCE"/>
            <w:vAlign w:val="center"/>
          </w:tcPr>
          <w:p w14:paraId="0878F434" w14:textId="77777777" w:rsidR="00E42B18" w:rsidRDefault="009629C4">
            <w:pPr>
              <w:pStyle w:val="P68B1DB1-Normal11"/>
              <w:jc w:val="center"/>
              <w:rPr>
                <w:noProof/>
                <w:szCs w:val="20"/>
              </w:rPr>
            </w:pPr>
            <w:r>
              <w:rPr>
                <w:noProof/>
              </w:rPr>
              <w:t>Investointi 1.3: Keskitason terveydenhuollon ja siihen liittyvien palvelujen (yhteisösairaalat) vahvistaminen</w:t>
            </w:r>
          </w:p>
        </w:tc>
        <w:tc>
          <w:tcPr>
            <w:tcW w:w="1134" w:type="dxa"/>
            <w:shd w:val="clear" w:color="auto" w:fill="C6EFCE"/>
            <w:vAlign w:val="center"/>
          </w:tcPr>
          <w:p w14:paraId="233D1242" w14:textId="77777777" w:rsidR="00E42B18" w:rsidRDefault="009629C4">
            <w:pPr>
              <w:pStyle w:val="P68B1DB1-Normal11"/>
              <w:jc w:val="center"/>
              <w:rPr>
                <w:noProof/>
                <w:szCs w:val="20"/>
              </w:rPr>
            </w:pPr>
            <w:r>
              <w:rPr>
                <w:noProof/>
              </w:rPr>
              <w:t>Kohde</w:t>
            </w:r>
          </w:p>
        </w:tc>
        <w:tc>
          <w:tcPr>
            <w:tcW w:w="1417" w:type="dxa"/>
            <w:shd w:val="clear" w:color="auto" w:fill="C6EFCE"/>
            <w:vAlign w:val="center"/>
          </w:tcPr>
          <w:p w14:paraId="78F23D9F" w14:textId="6F2187FE" w:rsidR="00E42B18" w:rsidRDefault="009629C4">
            <w:pPr>
              <w:pStyle w:val="P68B1DB1-Normal12"/>
              <w:jc w:val="center"/>
              <w:rPr>
                <w:noProof/>
              </w:rPr>
            </w:pPr>
            <w:r>
              <w:rPr>
                <w:noProof/>
              </w:rPr>
              <w:t xml:space="preserve">Kunnostetut, yhteenliitetyt ja teknisesti varustetut yhteisösairaalat </w:t>
            </w:r>
          </w:p>
        </w:tc>
        <w:tc>
          <w:tcPr>
            <w:tcW w:w="1363" w:type="dxa"/>
            <w:shd w:val="clear" w:color="auto" w:fill="C6EFCE"/>
            <w:vAlign w:val="center"/>
          </w:tcPr>
          <w:p w14:paraId="00330031" w14:textId="77777777" w:rsidR="00E42B18" w:rsidRDefault="009629C4">
            <w:pPr>
              <w:pStyle w:val="P68B1DB1-Normal11"/>
              <w:jc w:val="center"/>
              <w:rPr>
                <w:noProof/>
                <w:szCs w:val="20"/>
              </w:rPr>
            </w:pPr>
            <w:r>
              <w:rPr>
                <w:noProof/>
              </w:rPr>
              <w:t>EI OLE</w:t>
            </w:r>
          </w:p>
        </w:tc>
        <w:tc>
          <w:tcPr>
            <w:tcW w:w="948" w:type="dxa"/>
            <w:shd w:val="clear" w:color="auto" w:fill="C6EFCE"/>
            <w:vAlign w:val="center"/>
          </w:tcPr>
          <w:p w14:paraId="3F9AFBFE" w14:textId="77777777" w:rsidR="00E42B18" w:rsidRDefault="009629C4">
            <w:pPr>
              <w:pStyle w:val="P68B1DB1-Normal11"/>
              <w:jc w:val="center"/>
              <w:rPr>
                <w:noProof/>
                <w:szCs w:val="20"/>
              </w:rPr>
            </w:pPr>
            <w:r>
              <w:rPr>
                <w:noProof/>
              </w:rPr>
              <w:t>Numero</w:t>
            </w:r>
          </w:p>
        </w:tc>
        <w:tc>
          <w:tcPr>
            <w:tcW w:w="950" w:type="dxa"/>
            <w:shd w:val="clear" w:color="auto" w:fill="C6EFCE"/>
            <w:vAlign w:val="center"/>
          </w:tcPr>
          <w:p w14:paraId="37C20ED9" w14:textId="77777777" w:rsidR="00E42B18" w:rsidRDefault="009629C4">
            <w:pPr>
              <w:pStyle w:val="P68B1DB1-Normal11"/>
              <w:jc w:val="center"/>
              <w:rPr>
                <w:noProof/>
                <w:szCs w:val="20"/>
              </w:rPr>
            </w:pPr>
            <w:r>
              <w:rPr>
                <w:noProof/>
              </w:rPr>
              <w:t>0</w:t>
            </w:r>
          </w:p>
        </w:tc>
        <w:tc>
          <w:tcPr>
            <w:tcW w:w="992" w:type="dxa"/>
            <w:shd w:val="clear" w:color="auto" w:fill="C6EFCE"/>
            <w:vAlign w:val="center"/>
          </w:tcPr>
          <w:p w14:paraId="2AC07F50" w14:textId="77777777" w:rsidR="00E42B18" w:rsidRDefault="009629C4">
            <w:pPr>
              <w:pStyle w:val="P68B1DB1-Normal11"/>
              <w:jc w:val="center"/>
              <w:rPr>
                <w:noProof/>
                <w:szCs w:val="20"/>
              </w:rPr>
            </w:pPr>
            <w:r>
              <w:rPr>
                <w:noProof/>
              </w:rPr>
              <w:t>307</w:t>
            </w:r>
          </w:p>
        </w:tc>
        <w:tc>
          <w:tcPr>
            <w:tcW w:w="992" w:type="dxa"/>
            <w:shd w:val="clear" w:color="auto" w:fill="C6EFCE"/>
            <w:vAlign w:val="center"/>
          </w:tcPr>
          <w:p w14:paraId="35E0E9CB" w14:textId="77777777" w:rsidR="00E42B18" w:rsidRDefault="009629C4">
            <w:pPr>
              <w:pStyle w:val="P68B1DB1-Normal11"/>
              <w:jc w:val="center"/>
              <w:rPr>
                <w:noProof/>
                <w:szCs w:val="20"/>
              </w:rPr>
            </w:pPr>
            <w:r>
              <w:rPr>
                <w:noProof/>
              </w:rPr>
              <w:t>Q2</w:t>
            </w:r>
          </w:p>
        </w:tc>
        <w:tc>
          <w:tcPr>
            <w:tcW w:w="709" w:type="dxa"/>
            <w:shd w:val="clear" w:color="auto" w:fill="C6EFCE"/>
            <w:vAlign w:val="center"/>
          </w:tcPr>
          <w:p w14:paraId="1075E066" w14:textId="77777777" w:rsidR="00E42B18" w:rsidRDefault="009629C4">
            <w:pPr>
              <w:pStyle w:val="P68B1DB1-Normal11"/>
              <w:jc w:val="center"/>
              <w:rPr>
                <w:noProof/>
                <w:szCs w:val="20"/>
              </w:rPr>
            </w:pPr>
            <w:r>
              <w:rPr>
                <w:noProof/>
              </w:rPr>
              <w:t>2026</w:t>
            </w:r>
          </w:p>
        </w:tc>
        <w:tc>
          <w:tcPr>
            <w:tcW w:w="3634" w:type="dxa"/>
            <w:shd w:val="clear" w:color="auto" w:fill="C6EFCE"/>
            <w:vAlign w:val="center"/>
          </w:tcPr>
          <w:p w14:paraId="152E5FC1" w14:textId="77777777" w:rsidR="00E42B18" w:rsidRDefault="009629C4">
            <w:pPr>
              <w:pStyle w:val="P68B1DB1-Normal12"/>
              <w:rPr>
                <w:noProof/>
              </w:rPr>
            </w:pPr>
            <w:r>
              <w:rPr>
                <w:noProof/>
              </w:rPr>
              <w:t>Riippumattomien asiantuntijoiden lausunnot, joissa vahvistetaan palvelujen aktivointi vähintään 307:ssä yhteisön sairaalassa 23 päivänä toukokuuta 2022 annetun DM:n nro 77 liitteessä 1 olevassa 11 jaksossa määriteltyjen standardien mukaisesti.</w:t>
            </w:r>
          </w:p>
        </w:tc>
      </w:tr>
    </w:tbl>
    <w:p w14:paraId="68D764F4" w14:textId="77777777" w:rsidR="00E42B18" w:rsidRDefault="00E42B18">
      <w:pPr>
        <w:keepNext/>
        <w:tabs>
          <w:tab w:val="left" w:pos="4252"/>
        </w:tabs>
        <w:spacing w:before="720"/>
        <w:jc w:val="both"/>
        <w:rPr>
          <w:i/>
          <w:noProof/>
        </w:rPr>
        <w:sectPr w:rsidR="00E42B18" w:rsidSect="005F11B9">
          <w:headerReference w:type="even" r:id="rId286"/>
          <w:headerReference w:type="default" r:id="rId287"/>
          <w:footerReference w:type="even" r:id="rId288"/>
          <w:footerReference w:type="default" r:id="rId289"/>
          <w:headerReference w:type="first" r:id="rId290"/>
          <w:footerReference w:type="first" r:id="rId291"/>
          <w:pgSz w:w="16839" w:h="11907" w:orient="landscape"/>
          <w:pgMar w:top="1417" w:right="1134" w:bottom="1417" w:left="1134" w:header="709" w:footer="709" w:gutter="0"/>
          <w:cols w:space="720"/>
          <w:docGrid w:linePitch="360"/>
        </w:sectPr>
      </w:pPr>
    </w:p>
    <w:p w14:paraId="2A48C2FA" w14:textId="77777777" w:rsidR="00E42B18" w:rsidRDefault="009629C4">
      <w:pPr>
        <w:pStyle w:val="P68B1DB1-Heading23"/>
        <w:ind w:left="1080"/>
        <w:rPr>
          <w:noProof/>
        </w:rPr>
      </w:pPr>
      <w:r>
        <w:rPr>
          <w:noProof/>
        </w:rPr>
        <w:t>P. MISSION 6 KOMPONENTTI 2: Kansallisten terveydenhuoltopalvelujen innovointi, tutkimus ja digitalisointi</w:t>
      </w:r>
    </w:p>
    <w:p w14:paraId="446CBE99" w14:textId="77777777" w:rsidR="00E42B18" w:rsidRDefault="009629C4">
      <w:pPr>
        <w:pStyle w:val="P68B1DB1-Normal7"/>
        <w:spacing w:before="120" w:after="120"/>
        <w:jc w:val="both"/>
        <w:rPr>
          <w:noProof/>
        </w:rPr>
      </w:pPr>
      <w:r>
        <w:rPr>
          <w:noProof/>
        </w:rPr>
        <w:t>Tällä Italian elpymis- ja palautumissuunnitelman osa-alueella pyritään varmistamaan tarvittavat mahdollistavat edellytykset kansallisen terveydenhuoltopalvelun selviytymiskyvyn parantamiseksi seuraavin keinoin: I) vanhentuneiden terveydenhuoltoteknologioiden korvaaminen sairaaloissa; II) sairaalarakennusten turvallisuuden merkittävän rakenteellisen parantamisen kehittäminen; III) terveystietojärjestelmien ja digitaalisten välineiden parantaminen; IV) tieteellisen tutkimuksen edistäminen ja vahvistaminen; v) henkilöresurssien lisääminen.</w:t>
      </w:r>
    </w:p>
    <w:p w14:paraId="1AD8BBE4" w14:textId="77777777" w:rsidR="00E42B18" w:rsidRDefault="009629C4">
      <w:pPr>
        <w:pStyle w:val="P68B1DB1-Normal7"/>
        <w:spacing w:before="120" w:after="120"/>
        <w:jc w:val="both"/>
        <w:rPr>
          <w:noProof/>
        </w:rPr>
      </w:pPr>
      <w:r>
        <w:rPr>
          <w:noProof/>
        </w:rPr>
        <w:t>Tämän osa-alueen investoinneilla ja uudistuksilla edistetään Italialle vuosina 2020 ja 2019 osoitettujen maakohtaisten suositusten noudattamista tarpeesta ”vahvistaa terveydenhuoltojärjestelmän häiriönsietokykyä ja kapasiteettia terveydenhuollon työntekijöiden, kriittisten lääkinnällisten tuotteiden ja infrastruktuurin aloilla” (maakohtainen suositus 1, 2020), ”keskittää investoinnit vihreään siirtymään ja digitaaliseen muutokseen, erityisesti [...] vahvistettuun digitaaliseen infrastruktuuriin keskeisten palvelujen tarjonnan varmistamiseksi” (maakohtainen suositus 3, 2020) ja ”keskittää investointeihin liittyvä talouspolitiikka tutkimukseen ja innovointiin sekä infrastruktuurin laatuun ottaen huomioon myös alueelliset erot” (maakohtainen suositus 3, 2019). </w:t>
      </w:r>
    </w:p>
    <w:p w14:paraId="07ACD82C" w14:textId="77777777" w:rsidR="00E42B18" w:rsidRDefault="00E42B18">
      <w:pPr>
        <w:spacing w:before="120" w:after="120"/>
        <w:jc w:val="both"/>
        <w:rPr>
          <w:rFonts w:ascii="Times New Roman" w:hAnsi="Times New Roman" w:cs="Times New Roman"/>
          <w:noProof/>
        </w:rPr>
      </w:pPr>
    </w:p>
    <w:p w14:paraId="0CEDC842" w14:textId="77777777" w:rsidR="00E42B18" w:rsidRDefault="009629C4">
      <w:pPr>
        <w:pStyle w:val="P68B1DB1-Heading39"/>
        <w:ind w:left="850" w:hanging="850"/>
        <w:rPr>
          <w:b/>
          <w:bCs/>
          <w:i/>
          <w:iCs/>
          <w:noProof/>
          <w:u w:val="single"/>
        </w:rPr>
      </w:pPr>
      <w:r>
        <w:rPr>
          <w:b/>
          <w:noProof/>
          <w:u w:val="single"/>
        </w:rPr>
        <w:t xml:space="preserve">P.1 </w:t>
      </w:r>
      <w:r>
        <w:rPr>
          <w:noProof/>
        </w:rPr>
        <w:t xml:space="preserve"> </w:t>
      </w:r>
      <w:r>
        <w:rPr>
          <w:b/>
          <w:noProof/>
          <w:u w:val="single"/>
        </w:rPr>
        <w:t>Kuvaus uudistuksista ja investoinneista, joita rahoitetaan rahoitustuella, jota ei makseta takaisin</w:t>
      </w:r>
    </w:p>
    <w:p w14:paraId="19284F44" w14:textId="77777777" w:rsidR="00E42B18" w:rsidRDefault="009629C4">
      <w:pPr>
        <w:pStyle w:val="P68B1DB1-Normal5"/>
        <w:spacing w:before="120" w:after="120"/>
        <w:jc w:val="both"/>
        <w:rPr>
          <w:noProof/>
        </w:rPr>
      </w:pPr>
      <w:r>
        <w:rPr>
          <w:noProof/>
        </w:rPr>
        <w:t>Uudistus 1: Tarkistetaan ja päivitetään sairaala- ja hoitoalan tieteellisten tutkimuslaitosten (IRCCS) nykyistä oikeudellista kehystä</w:t>
      </w:r>
    </w:p>
    <w:p w14:paraId="3A759B86" w14:textId="77777777" w:rsidR="00E42B18" w:rsidRDefault="009629C4">
      <w:pPr>
        <w:pStyle w:val="P68B1DB1-Normal7"/>
        <w:spacing w:before="120"/>
        <w:jc w:val="both"/>
        <w:rPr>
          <w:bCs/>
          <w:iCs/>
          <w:noProof/>
        </w:rPr>
      </w:pPr>
      <w:r>
        <w:rPr>
          <w:noProof/>
        </w:rPr>
        <w:t xml:space="preserve">Uudistuksella pyritään järjestämään uudelleen sairaala- ja hoitoalan tiedelaitosten verkosto (IRCCS), jotta voidaan i) parantaa kansallisen terveydenhuoltojärjestelmän (NHS) laatua, ii) parantaa terveyden ja tutkimuksen välistä suhdetta ja iii) tarkastella uudelleen IRCCS:n oikeudellista järjestelmää ja Italian terveysministeriön toimivaltaan kuuluvaa tutkimuspolitiikkaa. </w:t>
      </w:r>
    </w:p>
    <w:p w14:paraId="4CDC49E2" w14:textId="77777777" w:rsidR="00E42B18" w:rsidRDefault="009629C4">
      <w:pPr>
        <w:pStyle w:val="P68B1DB1-Normal7"/>
        <w:spacing w:before="120"/>
        <w:jc w:val="both"/>
        <w:rPr>
          <w:bCs/>
          <w:iCs/>
          <w:noProof/>
        </w:rPr>
      </w:pPr>
      <w:r>
        <w:rPr>
          <w:noProof/>
        </w:rPr>
        <w:t xml:space="preserve">Uudistuksella parannetaan julkisten IRCCS:ien hallintoa i) tehostamalla strategista hallintoa, ii) määrittelemällä paremmin toimivaltuudet ja toimivalta-alat ja iii) määrittelemällä kattavasti säännöt, jotka koskevat IRCCS:n julkisen johtajan ja tutkimushenkilöstön asemaa. </w:t>
      </w:r>
    </w:p>
    <w:p w14:paraId="3A0B33A6" w14:textId="77777777" w:rsidR="00E42B18" w:rsidRDefault="009629C4">
      <w:pPr>
        <w:pStyle w:val="P68B1DB1-Normal7"/>
        <w:spacing w:before="120"/>
        <w:jc w:val="both"/>
        <w:rPr>
          <w:bCs/>
          <w:iCs/>
          <w:noProof/>
        </w:rPr>
      </w:pPr>
      <w:r>
        <w:rPr>
          <w:noProof/>
        </w:rPr>
        <w:t>Lisäksi erityisellä alatoimenpiteellä erotellaan IRCCS:t niiden toiminnan perusteella (yksi asiantuntija tai yleisasiantuntija), luodaan integroitu IRCCS-verkosto ja helpotetaan asiantuntemuksen vaihtoa itse IRCCS:ien ja Italian NHS:n muiden rakenteiden välillä.</w:t>
      </w:r>
    </w:p>
    <w:p w14:paraId="5AC94B42" w14:textId="77777777" w:rsidR="00E42B18" w:rsidRDefault="009629C4">
      <w:pPr>
        <w:pStyle w:val="P68B1DB1-Normal5"/>
        <w:spacing w:before="120" w:after="120"/>
        <w:jc w:val="both"/>
        <w:rPr>
          <w:bCs/>
          <w:iCs/>
          <w:noProof/>
        </w:rPr>
      </w:pPr>
      <w:r>
        <w:rPr>
          <w:noProof/>
        </w:rPr>
        <w:t>Investointi 2.1: NHS:n biolääketieteellisen tutkimuksen vahvistaminen ja tehostaminen</w:t>
      </w:r>
    </w:p>
    <w:p w14:paraId="775908A7" w14:textId="77777777" w:rsidR="00E42B18" w:rsidRDefault="009629C4">
      <w:pPr>
        <w:pStyle w:val="P68B1DB1-Normal7"/>
        <w:spacing w:before="120" w:after="120"/>
        <w:jc w:val="both"/>
        <w:rPr>
          <w:noProof/>
        </w:rPr>
      </w:pPr>
      <w:r>
        <w:rPr>
          <w:noProof/>
        </w:rPr>
        <w:t xml:space="preserve">Toimenpiteen tavoitteena on lisätä biolääketieteellisen tutkimusjärjestelmän rahoitusta. </w:t>
      </w:r>
    </w:p>
    <w:p w14:paraId="2DADDB2A" w14:textId="0FC45632" w:rsidR="00E42B18" w:rsidRDefault="009629C4">
      <w:pPr>
        <w:pStyle w:val="P68B1DB1-Normal7"/>
        <w:spacing w:before="120" w:after="120"/>
        <w:jc w:val="both"/>
        <w:rPr>
          <w:noProof/>
        </w:rPr>
      </w:pPr>
      <w:r>
        <w:rPr>
          <w:noProof/>
        </w:rPr>
        <w:t>Investointi</w:t>
      </w:r>
      <w:r>
        <w:rPr>
          <w:noProof/>
          <w:color w:val="000000" w:themeColor="text1"/>
        </w:rPr>
        <w:t xml:space="preserve">koostuu konseptin toimivuuden osoittamista koskevien hankkeiden tukemisesta sekä harvinaisia sairauksia, harvinaisia syöpiä ja </w:t>
      </w:r>
      <w:r>
        <w:rPr>
          <w:noProof/>
        </w:rPr>
        <w:t>muita terveysvaikutuksiltaan merkittäviä sairauksia koskevien tutkimusaloitteiden rahoittamisesta.</w:t>
      </w:r>
    </w:p>
    <w:p w14:paraId="3E6A265D" w14:textId="77777777" w:rsidR="00E42B18" w:rsidRDefault="00E42B18">
      <w:pPr>
        <w:spacing w:before="120" w:after="120"/>
        <w:ind w:left="709"/>
        <w:jc w:val="both"/>
        <w:rPr>
          <w:noProof/>
        </w:rPr>
      </w:pPr>
    </w:p>
    <w:p w14:paraId="27272648" w14:textId="77777777" w:rsidR="00E42B18" w:rsidRDefault="009629C4">
      <w:pPr>
        <w:pStyle w:val="P68B1DB1-Normal5"/>
        <w:spacing w:before="120" w:after="120"/>
        <w:jc w:val="both"/>
        <w:rPr>
          <w:iCs/>
          <w:noProof/>
        </w:rPr>
      </w:pPr>
      <w:r>
        <w:rPr>
          <w:noProof/>
        </w:rPr>
        <w:t>Investointi 2.2: Terveydenhuoltojärjestelmän ammattilaisten teknisten, ammatillisten, digitaalisten ja johtamistaitojen kehittäminen</w:t>
      </w:r>
    </w:p>
    <w:p w14:paraId="72F8CF1F" w14:textId="77777777" w:rsidR="00E42B18" w:rsidRDefault="009629C4">
      <w:pPr>
        <w:pStyle w:val="P68B1DB1-Normal7"/>
        <w:spacing w:before="120" w:after="120"/>
        <w:jc w:val="both"/>
        <w:rPr>
          <w:noProof/>
        </w:rPr>
      </w:pPr>
      <w:r>
        <w:rPr>
          <w:noProof/>
        </w:rPr>
        <w:t>Investoinnilla lisätään apurahoja yleislääketieteen erityiskurssille. sairaalainfektioiden turvallisuutta koskevan koulutussuunnitelman käynnistäminen koko NHS:n henkilöstölle; aktivoidaan koulutuspolku NHS:n elimissä johtavassa asemassa olevalle henkilöstölle johtamis- ja digitaalitaitojen alalla ja rahoitetaan erikoislääkärin koulutussopimuksia.</w:t>
      </w:r>
    </w:p>
    <w:p w14:paraId="01BDB4B3" w14:textId="47843A78" w:rsidR="00E42B18" w:rsidRDefault="00E42B18">
      <w:pPr>
        <w:spacing w:before="120" w:after="120"/>
        <w:jc w:val="both"/>
        <w:rPr>
          <w:noProof/>
        </w:rPr>
        <w:sectPr w:rsidR="00E42B18" w:rsidSect="005F11B9">
          <w:headerReference w:type="even" r:id="rId292"/>
          <w:headerReference w:type="default" r:id="rId293"/>
          <w:footerReference w:type="even" r:id="rId294"/>
          <w:footerReference w:type="default" r:id="rId295"/>
          <w:headerReference w:type="first" r:id="rId296"/>
          <w:footerReference w:type="first" r:id="rId297"/>
          <w:pgSz w:w="11907" w:h="16839"/>
          <w:pgMar w:top="1134" w:right="1417" w:bottom="1134" w:left="1417" w:header="709" w:footer="709" w:gutter="0"/>
          <w:cols w:space="720"/>
          <w:docGrid w:linePitch="360"/>
        </w:sectPr>
      </w:pPr>
    </w:p>
    <w:p w14:paraId="65C9F3B8" w14:textId="77777777" w:rsidR="00E42B18" w:rsidRDefault="009629C4">
      <w:pPr>
        <w:pStyle w:val="P68B1DB1-Heading368"/>
        <w:ind w:left="850" w:hanging="850"/>
        <w:rPr>
          <w:noProof/>
        </w:rPr>
      </w:pPr>
      <w:r>
        <w:rPr>
          <w:noProof/>
        </w:rPr>
        <w:t xml:space="preserve">P.2 </w:t>
      </w:r>
      <w:r>
        <w:rPr>
          <w:noProof/>
        </w:rPr>
        <w:tab/>
        <w:t>Seurantaa ja täytäntöönpanoa koskevat välitavoitteet, tavoitteet, indikaattorit ja aikataulu – rahoitustuki, jota ei makseta takaisin</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6"/>
        <w:gridCol w:w="2014"/>
        <w:gridCol w:w="1294"/>
        <w:gridCol w:w="1870"/>
        <w:gridCol w:w="1726"/>
        <w:gridCol w:w="1007"/>
        <w:gridCol w:w="1151"/>
        <w:gridCol w:w="863"/>
        <w:gridCol w:w="862"/>
        <w:gridCol w:w="719"/>
        <w:gridCol w:w="2933"/>
      </w:tblGrid>
      <w:tr w:rsidR="00E42B18" w14:paraId="3745E2E7" w14:textId="77777777">
        <w:trPr>
          <w:trHeight w:val="927"/>
          <w:tblHeader/>
        </w:trPr>
        <w:tc>
          <w:tcPr>
            <w:tcW w:w="1176" w:type="dxa"/>
            <w:vMerge w:val="restart"/>
            <w:shd w:val="clear" w:color="auto" w:fill="BDD7EE"/>
            <w:vAlign w:val="center"/>
            <w:hideMark/>
          </w:tcPr>
          <w:p w14:paraId="0F97B8A2" w14:textId="77777777" w:rsidR="00E42B18" w:rsidRDefault="009629C4">
            <w:pPr>
              <w:pStyle w:val="P68B1DB1-Normal10"/>
              <w:spacing w:before="120" w:after="120"/>
              <w:jc w:val="center"/>
              <w:rPr>
                <w:noProof/>
                <w:szCs w:val="20"/>
              </w:rPr>
            </w:pPr>
            <w:r>
              <w:rPr>
                <w:noProof/>
              </w:rPr>
              <w:t>Juokseva numero</w:t>
            </w:r>
          </w:p>
        </w:tc>
        <w:tc>
          <w:tcPr>
            <w:tcW w:w="2014" w:type="dxa"/>
            <w:vMerge w:val="restart"/>
            <w:shd w:val="clear" w:color="auto" w:fill="BDD7EE"/>
            <w:vAlign w:val="center"/>
            <w:hideMark/>
          </w:tcPr>
          <w:p w14:paraId="4A92E0B7" w14:textId="77777777" w:rsidR="00E42B18" w:rsidRDefault="009629C4">
            <w:pPr>
              <w:pStyle w:val="P68B1DB1-Normal10"/>
              <w:spacing w:before="120" w:after="120"/>
              <w:jc w:val="center"/>
              <w:rPr>
                <w:noProof/>
                <w:szCs w:val="20"/>
              </w:rPr>
            </w:pPr>
            <w:r>
              <w:rPr>
                <w:noProof/>
              </w:rPr>
              <w:t>Toimenpide (uudistus tai investointi)</w:t>
            </w:r>
          </w:p>
        </w:tc>
        <w:tc>
          <w:tcPr>
            <w:tcW w:w="1294" w:type="dxa"/>
            <w:vMerge w:val="restart"/>
            <w:shd w:val="clear" w:color="auto" w:fill="BDD7EE"/>
            <w:vAlign w:val="center"/>
            <w:hideMark/>
          </w:tcPr>
          <w:p w14:paraId="7FC3995A" w14:textId="77777777" w:rsidR="00E42B18" w:rsidRDefault="009629C4">
            <w:pPr>
              <w:pStyle w:val="P68B1DB1-Normal10"/>
              <w:spacing w:before="120" w:after="120"/>
              <w:jc w:val="center"/>
              <w:rPr>
                <w:noProof/>
                <w:szCs w:val="20"/>
              </w:rPr>
            </w:pPr>
            <w:r>
              <w:rPr>
                <w:noProof/>
              </w:rPr>
              <w:t>Välitavoite/tavoite</w:t>
            </w:r>
          </w:p>
        </w:tc>
        <w:tc>
          <w:tcPr>
            <w:tcW w:w="1870" w:type="dxa"/>
            <w:vMerge w:val="restart"/>
            <w:shd w:val="clear" w:color="auto" w:fill="BDD7EE"/>
            <w:vAlign w:val="center"/>
            <w:hideMark/>
          </w:tcPr>
          <w:p w14:paraId="0DDF1FD6" w14:textId="77777777" w:rsidR="00E42B18" w:rsidRDefault="009629C4">
            <w:pPr>
              <w:pStyle w:val="P68B1DB1-Normal10"/>
              <w:spacing w:before="120" w:after="120"/>
              <w:jc w:val="center"/>
              <w:rPr>
                <w:noProof/>
                <w:szCs w:val="20"/>
              </w:rPr>
            </w:pPr>
            <w:r>
              <w:rPr>
                <w:noProof/>
              </w:rPr>
              <w:t>Nimi</w:t>
            </w:r>
          </w:p>
        </w:tc>
        <w:tc>
          <w:tcPr>
            <w:tcW w:w="1726" w:type="dxa"/>
            <w:vMerge w:val="restart"/>
            <w:shd w:val="clear" w:color="auto" w:fill="BDD7EE"/>
            <w:vAlign w:val="center"/>
            <w:hideMark/>
          </w:tcPr>
          <w:p w14:paraId="43D51E3F" w14:textId="77777777" w:rsidR="00E42B18" w:rsidRDefault="009629C4">
            <w:pPr>
              <w:spacing w:before="120" w:after="120"/>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021" w:type="dxa"/>
            <w:gridSpan w:val="3"/>
            <w:shd w:val="clear" w:color="auto" w:fill="BDD7EE"/>
            <w:vAlign w:val="center"/>
            <w:hideMark/>
          </w:tcPr>
          <w:p w14:paraId="61F637FE" w14:textId="77777777" w:rsidR="00E42B18" w:rsidRDefault="009629C4">
            <w:pPr>
              <w:spacing w:before="120" w:after="120"/>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581" w:type="dxa"/>
            <w:gridSpan w:val="2"/>
            <w:shd w:val="clear" w:color="auto" w:fill="BDD7EE"/>
            <w:vAlign w:val="center"/>
            <w:hideMark/>
          </w:tcPr>
          <w:p w14:paraId="3DCEF4B3" w14:textId="77777777" w:rsidR="00E42B18" w:rsidRDefault="009629C4">
            <w:pPr>
              <w:pStyle w:val="P68B1DB1-Normal10"/>
              <w:spacing w:before="120" w:after="120"/>
              <w:jc w:val="center"/>
              <w:rPr>
                <w:noProof/>
                <w:szCs w:val="20"/>
              </w:rPr>
            </w:pPr>
            <w:r>
              <w:rPr>
                <w:noProof/>
              </w:rPr>
              <w:t>Alustava toteutusaikataulu</w:t>
            </w:r>
          </w:p>
        </w:tc>
        <w:tc>
          <w:tcPr>
            <w:tcW w:w="2933" w:type="dxa"/>
            <w:vMerge w:val="restart"/>
            <w:shd w:val="clear" w:color="auto" w:fill="BDD7EE"/>
            <w:vAlign w:val="center"/>
            <w:hideMark/>
          </w:tcPr>
          <w:p w14:paraId="478E404F" w14:textId="77777777" w:rsidR="00E42B18" w:rsidRDefault="009629C4">
            <w:pPr>
              <w:pStyle w:val="P68B1DB1-Normal10"/>
              <w:spacing w:before="120" w:after="120"/>
              <w:jc w:val="center"/>
              <w:rPr>
                <w:noProof/>
                <w:szCs w:val="20"/>
              </w:rPr>
            </w:pPr>
            <w:r>
              <w:rPr>
                <w:noProof/>
              </w:rPr>
              <w:t>Kunkin välitavoitteen ja tavoitteen kuvaus</w:t>
            </w:r>
          </w:p>
        </w:tc>
      </w:tr>
      <w:tr w:rsidR="00E42B18" w14:paraId="51BBF346" w14:textId="77777777">
        <w:trPr>
          <w:trHeight w:val="703"/>
          <w:tblHeader/>
        </w:trPr>
        <w:tc>
          <w:tcPr>
            <w:tcW w:w="1176" w:type="dxa"/>
            <w:vMerge/>
            <w:vAlign w:val="center"/>
            <w:hideMark/>
          </w:tcPr>
          <w:p w14:paraId="0F1E8758" w14:textId="77777777" w:rsidR="00E42B18" w:rsidRDefault="00E42B18">
            <w:pPr>
              <w:spacing w:before="120" w:after="120"/>
              <w:jc w:val="center"/>
              <w:rPr>
                <w:rFonts w:ascii="Arial Narrow" w:hAnsi="Arial Narrow"/>
                <w:b/>
                <w:bCs/>
                <w:noProof/>
                <w:sz w:val="20"/>
                <w:szCs w:val="20"/>
              </w:rPr>
            </w:pPr>
          </w:p>
        </w:tc>
        <w:tc>
          <w:tcPr>
            <w:tcW w:w="2014" w:type="dxa"/>
            <w:vMerge/>
            <w:vAlign w:val="center"/>
            <w:hideMark/>
          </w:tcPr>
          <w:p w14:paraId="213B0320" w14:textId="77777777" w:rsidR="00E42B18" w:rsidRDefault="00E42B18">
            <w:pPr>
              <w:spacing w:before="120" w:after="120"/>
              <w:jc w:val="center"/>
              <w:rPr>
                <w:rFonts w:ascii="Arial Narrow" w:hAnsi="Arial Narrow"/>
                <w:b/>
                <w:bCs/>
                <w:noProof/>
                <w:sz w:val="20"/>
                <w:szCs w:val="20"/>
              </w:rPr>
            </w:pPr>
          </w:p>
        </w:tc>
        <w:tc>
          <w:tcPr>
            <w:tcW w:w="1294" w:type="dxa"/>
            <w:vMerge/>
            <w:vAlign w:val="center"/>
            <w:hideMark/>
          </w:tcPr>
          <w:p w14:paraId="6FF3B964" w14:textId="77777777" w:rsidR="00E42B18" w:rsidRDefault="00E42B18">
            <w:pPr>
              <w:spacing w:before="120" w:after="120"/>
              <w:jc w:val="center"/>
              <w:rPr>
                <w:rFonts w:ascii="Arial Narrow" w:hAnsi="Arial Narrow"/>
                <w:b/>
                <w:bCs/>
                <w:noProof/>
                <w:sz w:val="20"/>
                <w:szCs w:val="20"/>
              </w:rPr>
            </w:pPr>
          </w:p>
        </w:tc>
        <w:tc>
          <w:tcPr>
            <w:tcW w:w="1870" w:type="dxa"/>
            <w:vMerge/>
            <w:vAlign w:val="center"/>
            <w:hideMark/>
          </w:tcPr>
          <w:p w14:paraId="741C1834" w14:textId="77777777" w:rsidR="00E42B18" w:rsidRDefault="00E42B18">
            <w:pPr>
              <w:spacing w:before="120" w:after="120"/>
              <w:jc w:val="center"/>
              <w:rPr>
                <w:rFonts w:ascii="Arial Narrow" w:hAnsi="Arial Narrow"/>
                <w:b/>
                <w:bCs/>
                <w:noProof/>
                <w:sz w:val="20"/>
                <w:szCs w:val="20"/>
              </w:rPr>
            </w:pPr>
          </w:p>
        </w:tc>
        <w:tc>
          <w:tcPr>
            <w:tcW w:w="1726" w:type="dxa"/>
            <w:vMerge/>
            <w:vAlign w:val="center"/>
            <w:hideMark/>
          </w:tcPr>
          <w:p w14:paraId="74D96BDD" w14:textId="77777777" w:rsidR="00E42B18" w:rsidRDefault="00E42B18">
            <w:pPr>
              <w:spacing w:before="120" w:after="120"/>
              <w:jc w:val="center"/>
              <w:rPr>
                <w:rFonts w:ascii="Arial Narrow" w:hAnsi="Arial Narrow"/>
                <w:b/>
                <w:bCs/>
                <w:noProof/>
                <w:sz w:val="20"/>
                <w:szCs w:val="20"/>
              </w:rPr>
            </w:pPr>
          </w:p>
        </w:tc>
        <w:tc>
          <w:tcPr>
            <w:tcW w:w="1007" w:type="dxa"/>
            <w:shd w:val="clear" w:color="auto" w:fill="BDD7EE"/>
            <w:vAlign w:val="center"/>
            <w:hideMark/>
          </w:tcPr>
          <w:p w14:paraId="540BE98E" w14:textId="77777777" w:rsidR="00E42B18" w:rsidRDefault="009629C4">
            <w:pPr>
              <w:pStyle w:val="P68B1DB1-Normal10"/>
              <w:spacing w:before="120" w:after="120"/>
              <w:jc w:val="center"/>
              <w:rPr>
                <w:noProof/>
                <w:szCs w:val="20"/>
              </w:rPr>
            </w:pPr>
            <w:r>
              <w:rPr>
                <w:noProof/>
              </w:rPr>
              <w:t>Mitta-yksikkö</w:t>
            </w:r>
          </w:p>
        </w:tc>
        <w:tc>
          <w:tcPr>
            <w:tcW w:w="1151" w:type="dxa"/>
            <w:shd w:val="clear" w:color="auto" w:fill="BDD7EE"/>
            <w:vAlign w:val="center"/>
            <w:hideMark/>
          </w:tcPr>
          <w:p w14:paraId="680BD88E" w14:textId="77777777" w:rsidR="00E42B18" w:rsidRDefault="009629C4">
            <w:pPr>
              <w:pStyle w:val="P68B1DB1-Normal10"/>
              <w:spacing w:before="120" w:after="120"/>
              <w:jc w:val="center"/>
              <w:rPr>
                <w:noProof/>
                <w:szCs w:val="20"/>
              </w:rPr>
            </w:pPr>
            <w:r>
              <w:rPr>
                <w:noProof/>
              </w:rPr>
              <w:t>Lähtötilanne</w:t>
            </w:r>
          </w:p>
        </w:tc>
        <w:tc>
          <w:tcPr>
            <w:tcW w:w="863" w:type="dxa"/>
            <w:shd w:val="clear" w:color="auto" w:fill="BDD7EE"/>
            <w:vAlign w:val="center"/>
            <w:hideMark/>
          </w:tcPr>
          <w:p w14:paraId="297FB5F9" w14:textId="77777777" w:rsidR="00E42B18" w:rsidRDefault="009629C4">
            <w:pPr>
              <w:pStyle w:val="P68B1DB1-Normal10"/>
              <w:spacing w:before="120" w:after="120"/>
              <w:jc w:val="center"/>
              <w:rPr>
                <w:noProof/>
                <w:szCs w:val="20"/>
              </w:rPr>
            </w:pPr>
            <w:r>
              <w:rPr>
                <w:noProof/>
              </w:rPr>
              <w:t>Päämäärä</w:t>
            </w:r>
          </w:p>
        </w:tc>
        <w:tc>
          <w:tcPr>
            <w:tcW w:w="862" w:type="dxa"/>
            <w:shd w:val="clear" w:color="auto" w:fill="BDD7EE"/>
            <w:vAlign w:val="center"/>
            <w:hideMark/>
          </w:tcPr>
          <w:p w14:paraId="2374EB00" w14:textId="77777777" w:rsidR="00E42B18" w:rsidRDefault="009629C4">
            <w:pPr>
              <w:pStyle w:val="P68B1DB1-Normal10"/>
              <w:spacing w:before="120" w:after="120"/>
              <w:jc w:val="center"/>
              <w:rPr>
                <w:noProof/>
                <w:szCs w:val="20"/>
              </w:rPr>
            </w:pPr>
            <w:r>
              <w:rPr>
                <w:noProof/>
              </w:rPr>
              <w:t>Neljännes</w:t>
            </w:r>
          </w:p>
        </w:tc>
        <w:tc>
          <w:tcPr>
            <w:tcW w:w="719" w:type="dxa"/>
            <w:shd w:val="clear" w:color="auto" w:fill="BDD7EE"/>
            <w:vAlign w:val="center"/>
            <w:hideMark/>
          </w:tcPr>
          <w:p w14:paraId="576814CC" w14:textId="77777777" w:rsidR="00E42B18" w:rsidRDefault="009629C4">
            <w:pPr>
              <w:pStyle w:val="P68B1DB1-Normal10"/>
              <w:spacing w:before="120" w:after="120"/>
              <w:jc w:val="center"/>
              <w:rPr>
                <w:noProof/>
                <w:szCs w:val="20"/>
              </w:rPr>
            </w:pPr>
            <w:r>
              <w:rPr>
                <w:noProof/>
              </w:rPr>
              <w:t>Vuosi</w:t>
            </w:r>
          </w:p>
        </w:tc>
        <w:tc>
          <w:tcPr>
            <w:tcW w:w="2933" w:type="dxa"/>
            <w:vMerge/>
            <w:vAlign w:val="center"/>
            <w:hideMark/>
          </w:tcPr>
          <w:p w14:paraId="4EF2BFFC" w14:textId="77777777" w:rsidR="00E42B18" w:rsidRDefault="00E42B18">
            <w:pPr>
              <w:spacing w:before="120" w:after="120"/>
              <w:rPr>
                <w:rFonts w:ascii="Arial Narrow" w:hAnsi="Arial Narrow"/>
                <w:b/>
                <w:bCs/>
                <w:noProof/>
                <w:sz w:val="20"/>
                <w:szCs w:val="20"/>
              </w:rPr>
            </w:pPr>
          </w:p>
        </w:tc>
      </w:tr>
      <w:tr w:rsidR="00E42B18" w14:paraId="2A4304C8" w14:textId="77777777">
        <w:trPr>
          <w:trHeight w:val="309"/>
        </w:trPr>
        <w:tc>
          <w:tcPr>
            <w:tcW w:w="1176" w:type="dxa"/>
            <w:shd w:val="clear" w:color="auto" w:fill="C6EFCE"/>
            <w:noWrap/>
            <w:vAlign w:val="center"/>
          </w:tcPr>
          <w:p w14:paraId="32709E45" w14:textId="77777777" w:rsidR="00E42B18" w:rsidRDefault="009629C4">
            <w:pPr>
              <w:pStyle w:val="P68B1DB1-Normal11"/>
              <w:jc w:val="center"/>
              <w:rPr>
                <w:noProof/>
                <w:szCs w:val="20"/>
              </w:rPr>
            </w:pPr>
            <w:r>
              <w:rPr>
                <w:noProof/>
              </w:rPr>
              <w:t>M6C2–1</w:t>
            </w:r>
          </w:p>
        </w:tc>
        <w:tc>
          <w:tcPr>
            <w:tcW w:w="2014" w:type="dxa"/>
            <w:shd w:val="clear" w:color="auto" w:fill="C6EFCE"/>
            <w:noWrap/>
            <w:vAlign w:val="center"/>
          </w:tcPr>
          <w:p w14:paraId="25748EBD" w14:textId="77777777" w:rsidR="00E42B18" w:rsidRDefault="009629C4">
            <w:pPr>
              <w:pStyle w:val="P68B1DB1-Normal11"/>
              <w:jc w:val="center"/>
              <w:rPr>
                <w:noProof/>
                <w:szCs w:val="20"/>
              </w:rPr>
            </w:pPr>
            <w:r>
              <w:rPr>
                <w:noProof/>
              </w:rPr>
              <w:t>Uudistus 1: Tarkistetaan ja päivitetään sairaala- ja hoitoalan tiedelaitosten (IRCCS) nykyistä oikeudellista kehystä ja terveysministeriön tutkimuspolitiikkaa tutkimuksen, innovoinnin ja terveydenhuollon välisen yhteyden vahvistamiseksi</w:t>
            </w:r>
          </w:p>
        </w:tc>
        <w:tc>
          <w:tcPr>
            <w:tcW w:w="1294" w:type="dxa"/>
            <w:shd w:val="clear" w:color="auto" w:fill="C6EFCE"/>
            <w:noWrap/>
            <w:vAlign w:val="center"/>
          </w:tcPr>
          <w:p w14:paraId="0394C20E" w14:textId="77777777" w:rsidR="00E42B18" w:rsidRDefault="009629C4">
            <w:pPr>
              <w:pStyle w:val="P68B1DB1-Normal11"/>
              <w:jc w:val="center"/>
              <w:rPr>
                <w:noProof/>
                <w:szCs w:val="20"/>
              </w:rPr>
            </w:pPr>
            <w:r>
              <w:rPr>
                <w:noProof/>
              </w:rPr>
              <w:t>Virstanpylväs</w:t>
            </w:r>
          </w:p>
        </w:tc>
        <w:tc>
          <w:tcPr>
            <w:tcW w:w="1870" w:type="dxa"/>
            <w:shd w:val="clear" w:color="auto" w:fill="C6EFCE"/>
            <w:noWrap/>
            <w:vAlign w:val="center"/>
          </w:tcPr>
          <w:p w14:paraId="7CE53AF2" w14:textId="77777777" w:rsidR="00E42B18" w:rsidRDefault="009629C4">
            <w:pPr>
              <w:pStyle w:val="P68B1DB1-Normal11"/>
              <w:jc w:val="center"/>
              <w:rPr>
                <w:noProof/>
                <w:szCs w:val="20"/>
              </w:rPr>
            </w:pPr>
            <w:r>
              <w:rPr>
                <w:noProof/>
              </w:rPr>
              <w:t>Sairaalahoitoa ja hoitoa suorittavia tieteellisiä laitoksia (IRCSS) koskevien asetusten uudelleenjärjestelyä koskevan asetuksen voimaantulo</w:t>
            </w:r>
          </w:p>
        </w:tc>
        <w:tc>
          <w:tcPr>
            <w:tcW w:w="1726" w:type="dxa"/>
            <w:shd w:val="clear" w:color="auto" w:fill="C6EFCE"/>
            <w:noWrap/>
            <w:vAlign w:val="center"/>
          </w:tcPr>
          <w:p w14:paraId="01134809" w14:textId="77777777" w:rsidR="00E42B18" w:rsidRDefault="009629C4">
            <w:pPr>
              <w:pStyle w:val="P68B1DB1-Normal11"/>
              <w:jc w:val="center"/>
              <w:rPr>
                <w:noProof/>
                <w:szCs w:val="20"/>
              </w:rPr>
            </w:pPr>
            <w:r>
              <w:rPr>
                <w:noProof/>
              </w:rPr>
              <w:t>Asetuksen voimaantuloa koskeva säännös</w:t>
            </w:r>
          </w:p>
        </w:tc>
        <w:tc>
          <w:tcPr>
            <w:tcW w:w="1007" w:type="dxa"/>
            <w:shd w:val="clear" w:color="auto" w:fill="C6EFCE"/>
            <w:noWrap/>
            <w:vAlign w:val="center"/>
          </w:tcPr>
          <w:p w14:paraId="5BBF26F5" w14:textId="77777777" w:rsidR="00E42B18" w:rsidRDefault="009629C4">
            <w:pPr>
              <w:pStyle w:val="P68B1DB1-Normal11"/>
              <w:jc w:val="center"/>
              <w:rPr>
                <w:noProof/>
                <w:szCs w:val="20"/>
              </w:rPr>
            </w:pPr>
            <w:r>
              <w:rPr>
                <w:noProof/>
              </w:rPr>
              <w:t>EI OLE</w:t>
            </w:r>
          </w:p>
        </w:tc>
        <w:tc>
          <w:tcPr>
            <w:tcW w:w="1151" w:type="dxa"/>
            <w:shd w:val="clear" w:color="auto" w:fill="C6EFCE"/>
            <w:noWrap/>
            <w:vAlign w:val="center"/>
          </w:tcPr>
          <w:p w14:paraId="4F466CDB" w14:textId="77777777" w:rsidR="00E42B18" w:rsidRDefault="009629C4">
            <w:pPr>
              <w:pStyle w:val="P68B1DB1-Normal11"/>
              <w:jc w:val="center"/>
              <w:rPr>
                <w:noProof/>
                <w:szCs w:val="20"/>
              </w:rPr>
            </w:pPr>
            <w:r>
              <w:rPr>
                <w:noProof/>
              </w:rPr>
              <w:t>EI OLE</w:t>
            </w:r>
          </w:p>
        </w:tc>
        <w:tc>
          <w:tcPr>
            <w:tcW w:w="863" w:type="dxa"/>
            <w:shd w:val="clear" w:color="auto" w:fill="C6EFCE"/>
            <w:noWrap/>
            <w:vAlign w:val="center"/>
          </w:tcPr>
          <w:p w14:paraId="5BCAE96B" w14:textId="77777777" w:rsidR="00E42B18" w:rsidRDefault="009629C4">
            <w:pPr>
              <w:pStyle w:val="P68B1DB1-Normal11"/>
              <w:jc w:val="center"/>
              <w:rPr>
                <w:noProof/>
                <w:szCs w:val="20"/>
              </w:rPr>
            </w:pPr>
            <w:r>
              <w:rPr>
                <w:noProof/>
              </w:rPr>
              <w:t>EI OLE</w:t>
            </w:r>
          </w:p>
        </w:tc>
        <w:tc>
          <w:tcPr>
            <w:tcW w:w="862" w:type="dxa"/>
            <w:shd w:val="clear" w:color="auto" w:fill="C6EFCE"/>
            <w:noWrap/>
            <w:vAlign w:val="center"/>
          </w:tcPr>
          <w:p w14:paraId="1269A23D" w14:textId="77777777" w:rsidR="00E42B18" w:rsidRDefault="009629C4">
            <w:pPr>
              <w:pStyle w:val="P68B1DB1-Normal11"/>
              <w:jc w:val="center"/>
              <w:rPr>
                <w:noProof/>
                <w:szCs w:val="20"/>
              </w:rPr>
            </w:pPr>
            <w:r>
              <w:rPr>
                <w:noProof/>
              </w:rPr>
              <w:t>Q4</w:t>
            </w:r>
          </w:p>
        </w:tc>
        <w:tc>
          <w:tcPr>
            <w:tcW w:w="719" w:type="dxa"/>
            <w:shd w:val="clear" w:color="auto" w:fill="C6EFCE"/>
            <w:noWrap/>
            <w:vAlign w:val="center"/>
          </w:tcPr>
          <w:p w14:paraId="7981B501" w14:textId="77777777" w:rsidR="00E42B18" w:rsidRDefault="009629C4">
            <w:pPr>
              <w:pStyle w:val="P68B1DB1-Normal11"/>
              <w:jc w:val="center"/>
              <w:rPr>
                <w:noProof/>
                <w:szCs w:val="20"/>
              </w:rPr>
            </w:pPr>
            <w:r>
              <w:rPr>
                <w:noProof/>
              </w:rPr>
              <w:t>2022</w:t>
            </w:r>
          </w:p>
        </w:tc>
        <w:tc>
          <w:tcPr>
            <w:tcW w:w="2933" w:type="dxa"/>
            <w:shd w:val="clear" w:color="auto" w:fill="C6EFCE"/>
            <w:noWrap/>
            <w:vAlign w:val="center"/>
          </w:tcPr>
          <w:p w14:paraId="0009E612" w14:textId="77777777" w:rsidR="00E42B18" w:rsidRDefault="009629C4">
            <w:pPr>
              <w:pStyle w:val="P68B1DB1-Normal11"/>
              <w:rPr>
                <w:noProof/>
                <w:szCs w:val="20"/>
              </w:rPr>
            </w:pPr>
            <w:r>
              <w:rPr>
                <w:noProof/>
              </w:rPr>
              <w:t>Uudistuksessa IRCCS:n verkosto organisoidaan uudelleen NHS:n laadun ja huippuosaamisen parantamiseksi, terveyden ja tutkimuksen välisen suhteen parantamiseksi, IRCCS:n oikeudellisen järjestelmän ja Italian terveysministeriön toimivaltaan kuuluvan tutkimuspolitiikan tarkistamiseksi.</w:t>
            </w:r>
          </w:p>
          <w:p w14:paraId="16CBFA03" w14:textId="77777777" w:rsidR="00E42B18" w:rsidRDefault="009629C4">
            <w:pPr>
              <w:pStyle w:val="P68B1DB1-Normal11"/>
              <w:rPr>
                <w:noProof/>
                <w:szCs w:val="20"/>
              </w:rPr>
            </w:pPr>
            <w:r>
              <w:rPr>
                <w:noProof/>
              </w:rPr>
              <w:t>Uudistukseen sisältyy toimenpiteitä, joilla I) vahvistaa tutkimuksen, innovoinnin ja terveydenhuollon välistä yhteyttä; parantaa julkisten IRCCS:ien hallintoa tehostamalla strategista hallinnointia ja määrittelemällä paremmin toimivaltuudet ja toimivalta-alat.</w:t>
            </w:r>
          </w:p>
        </w:tc>
      </w:tr>
      <w:tr w:rsidR="00E42B18" w14:paraId="75B5FA6C" w14:textId="77777777">
        <w:trPr>
          <w:trHeight w:val="309"/>
        </w:trPr>
        <w:tc>
          <w:tcPr>
            <w:tcW w:w="1176" w:type="dxa"/>
            <w:shd w:val="clear" w:color="auto" w:fill="C6EFCE"/>
            <w:noWrap/>
            <w:vAlign w:val="center"/>
            <w:hideMark/>
          </w:tcPr>
          <w:p w14:paraId="681B3CEC" w14:textId="77777777" w:rsidR="00E42B18" w:rsidRDefault="009629C4">
            <w:pPr>
              <w:pStyle w:val="P68B1DB1-Normal12"/>
              <w:jc w:val="center"/>
              <w:rPr>
                <w:noProof/>
              </w:rPr>
            </w:pPr>
            <w:r>
              <w:rPr>
                <w:noProof/>
              </w:rPr>
              <w:t>M6C2–2</w:t>
            </w:r>
          </w:p>
        </w:tc>
        <w:tc>
          <w:tcPr>
            <w:tcW w:w="2014" w:type="dxa"/>
            <w:shd w:val="clear" w:color="auto" w:fill="C6EFCE"/>
            <w:noWrap/>
            <w:vAlign w:val="center"/>
            <w:hideMark/>
          </w:tcPr>
          <w:p w14:paraId="77FD104F" w14:textId="77777777" w:rsidR="00E42B18" w:rsidRDefault="009629C4">
            <w:pPr>
              <w:pStyle w:val="P68B1DB1-Normal11"/>
              <w:jc w:val="center"/>
              <w:rPr>
                <w:noProof/>
                <w:szCs w:val="20"/>
              </w:rPr>
            </w:pPr>
            <w:r>
              <w:rPr>
                <w:noProof/>
              </w:rPr>
              <w:t>Investointi 2.1: NHS:n biolääketieteellisen tutkimuksen vahvistaminen ja tehostaminen</w:t>
            </w:r>
          </w:p>
        </w:tc>
        <w:tc>
          <w:tcPr>
            <w:tcW w:w="1294" w:type="dxa"/>
            <w:shd w:val="clear" w:color="auto" w:fill="C6EFCE"/>
            <w:noWrap/>
            <w:vAlign w:val="center"/>
            <w:hideMark/>
          </w:tcPr>
          <w:p w14:paraId="42679A17" w14:textId="77777777" w:rsidR="00E42B18" w:rsidRDefault="009629C4">
            <w:pPr>
              <w:pStyle w:val="P68B1DB1-Normal11"/>
              <w:jc w:val="center"/>
              <w:rPr>
                <w:noProof/>
                <w:szCs w:val="20"/>
              </w:rPr>
            </w:pPr>
            <w:r>
              <w:rPr>
                <w:noProof/>
              </w:rPr>
              <w:t>Kohde</w:t>
            </w:r>
          </w:p>
        </w:tc>
        <w:tc>
          <w:tcPr>
            <w:tcW w:w="1870" w:type="dxa"/>
            <w:shd w:val="clear" w:color="auto" w:fill="C6EFCE"/>
            <w:noWrap/>
            <w:vAlign w:val="center"/>
            <w:hideMark/>
          </w:tcPr>
          <w:p w14:paraId="1B8F33B5" w14:textId="77777777" w:rsidR="00E42B18" w:rsidRDefault="009629C4">
            <w:pPr>
              <w:pStyle w:val="P68B1DB1-Normal11"/>
              <w:jc w:val="center"/>
              <w:rPr>
                <w:noProof/>
                <w:szCs w:val="20"/>
              </w:rPr>
            </w:pPr>
            <w:r>
              <w:rPr>
                <w:noProof/>
              </w:rPr>
              <w:t>Tutkimushankkeet, jotka on rahoitettu konseptin toimivuuden osoittamisesta ja harvinaisista syövistä ja sairauksista</w:t>
            </w:r>
          </w:p>
        </w:tc>
        <w:tc>
          <w:tcPr>
            <w:tcW w:w="1726" w:type="dxa"/>
            <w:shd w:val="clear" w:color="auto" w:fill="C6EFCE"/>
            <w:noWrap/>
            <w:vAlign w:val="center"/>
          </w:tcPr>
          <w:p w14:paraId="5FBF67F1" w14:textId="77777777" w:rsidR="00E42B18" w:rsidRDefault="009629C4">
            <w:pPr>
              <w:pStyle w:val="P68B1DB1-Normal11"/>
              <w:jc w:val="center"/>
              <w:rPr>
                <w:noProof/>
                <w:szCs w:val="20"/>
              </w:rPr>
            </w:pPr>
            <w:r>
              <w:rPr>
                <w:noProof/>
              </w:rPr>
              <w:t>EI OLE</w:t>
            </w:r>
          </w:p>
        </w:tc>
        <w:tc>
          <w:tcPr>
            <w:tcW w:w="1007" w:type="dxa"/>
            <w:shd w:val="clear" w:color="auto" w:fill="C6EFCE"/>
            <w:noWrap/>
            <w:vAlign w:val="center"/>
            <w:hideMark/>
          </w:tcPr>
          <w:p w14:paraId="4D036370" w14:textId="77777777" w:rsidR="00E42B18" w:rsidRDefault="009629C4">
            <w:pPr>
              <w:pStyle w:val="P68B1DB1-Normal11"/>
              <w:jc w:val="center"/>
              <w:rPr>
                <w:noProof/>
                <w:szCs w:val="20"/>
              </w:rPr>
            </w:pPr>
            <w:r>
              <w:rPr>
                <w:noProof/>
              </w:rPr>
              <w:t>Numero</w:t>
            </w:r>
          </w:p>
        </w:tc>
        <w:tc>
          <w:tcPr>
            <w:tcW w:w="1151" w:type="dxa"/>
            <w:shd w:val="clear" w:color="auto" w:fill="C6EFCE"/>
            <w:noWrap/>
            <w:vAlign w:val="center"/>
            <w:hideMark/>
          </w:tcPr>
          <w:p w14:paraId="160AA631" w14:textId="77777777" w:rsidR="00E42B18" w:rsidRDefault="009629C4">
            <w:pPr>
              <w:pStyle w:val="P68B1DB1-Normal11"/>
              <w:jc w:val="center"/>
              <w:rPr>
                <w:noProof/>
                <w:szCs w:val="20"/>
              </w:rPr>
            </w:pPr>
            <w:r>
              <w:rPr>
                <w:noProof/>
              </w:rPr>
              <w:t>0</w:t>
            </w:r>
          </w:p>
        </w:tc>
        <w:tc>
          <w:tcPr>
            <w:tcW w:w="863" w:type="dxa"/>
            <w:shd w:val="clear" w:color="auto" w:fill="C6EFCE"/>
            <w:noWrap/>
            <w:vAlign w:val="center"/>
            <w:hideMark/>
          </w:tcPr>
          <w:p w14:paraId="31966BDC" w14:textId="77777777" w:rsidR="00E42B18" w:rsidRDefault="009629C4">
            <w:pPr>
              <w:pStyle w:val="P68B1DB1-Normal12"/>
              <w:jc w:val="center"/>
              <w:rPr>
                <w:noProof/>
              </w:rPr>
            </w:pPr>
            <w:r>
              <w:rPr>
                <w:noProof/>
              </w:rPr>
              <w:t>200</w:t>
            </w:r>
          </w:p>
        </w:tc>
        <w:tc>
          <w:tcPr>
            <w:tcW w:w="862" w:type="dxa"/>
            <w:shd w:val="clear" w:color="auto" w:fill="C6EFCE"/>
            <w:noWrap/>
            <w:vAlign w:val="center"/>
            <w:hideMark/>
          </w:tcPr>
          <w:p w14:paraId="72B4AA64" w14:textId="77777777" w:rsidR="00E42B18" w:rsidRDefault="009629C4">
            <w:pPr>
              <w:pStyle w:val="P68B1DB1-Normal12"/>
              <w:jc w:val="center"/>
              <w:rPr>
                <w:noProof/>
              </w:rPr>
            </w:pPr>
            <w:r>
              <w:rPr>
                <w:noProof/>
              </w:rPr>
              <w:t>Q2</w:t>
            </w:r>
          </w:p>
        </w:tc>
        <w:tc>
          <w:tcPr>
            <w:tcW w:w="719" w:type="dxa"/>
            <w:shd w:val="clear" w:color="auto" w:fill="C6EFCE"/>
            <w:noWrap/>
            <w:vAlign w:val="center"/>
            <w:hideMark/>
          </w:tcPr>
          <w:p w14:paraId="17F9A582" w14:textId="77777777" w:rsidR="00E42B18" w:rsidRDefault="009629C4">
            <w:pPr>
              <w:pStyle w:val="P68B1DB1-Normal11"/>
              <w:jc w:val="center"/>
              <w:rPr>
                <w:noProof/>
                <w:szCs w:val="20"/>
              </w:rPr>
            </w:pPr>
            <w:r>
              <w:rPr>
                <w:noProof/>
              </w:rPr>
              <w:t>2025</w:t>
            </w:r>
          </w:p>
        </w:tc>
        <w:tc>
          <w:tcPr>
            <w:tcW w:w="2933" w:type="dxa"/>
            <w:shd w:val="clear" w:color="auto" w:fill="C6EFCE"/>
            <w:noWrap/>
            <w:vAlign w:val="center"/>
            <w:hideMark/>
          </w:tcPr>
          <w:p w14:paraId="5F4F2459" w14:textId="7C4A8852" w:rsidR="00E42B18" w:rsidRDefault="009629C4">
            <w:pPr>
              <w:rPr>
                <w:rFonts w:ascii="Arial Narrow" w:hAnsi="Arial Narrow"/>
                <w:noProof/>
                <w:color w:val="006100"/>
                <w:sz w:val="20"/>
                <w:szCs w:val="20"/>
              </w:rPr>
            </w:pPr>
            <w:r>
              <w:rPr>
                <w:noProof/>
              </w:rPr>
              <w:t xml:space="preserve">Rahoituksen </w:t>
            </w:r>
            <w:r>
              <w:rPr>
                <w:rFonts w:ascii="Arial Narrow" w:hAnsi="Arial Narrow"/>
                <w:noProof/>
                <w:color w:val="006100"/>
                <w:sz w:val="20"/>
                <w:szCs w:val="20"/>
              </w:rPr>
              <w:t xml:space="preserve">myöntäminen harvinaisia sairauksia ja harvinaisia syöpiä sekä konseptin toimivuuden osoittamista koskeville tutkimushankkeille. </w:t>
            </w:r>
            <w:r>
              <w:rPr>
                <w:noProof/>
              </w:rPr>
              <w:t xml:space="preserve"> </w:t>
            </w:r>
            <w:r>
              <w:rPr>
                <w:noProof/>
              </w:rPr>
              <w:br/>
            </w:r>
            <w:r>
              <w:rPr>
                <w:rFonts w:ascii="Arial Narrow" w:hAnsi="Arial Narrow"/>
                <w:noProof/>
                <w:color w:val="006100"/>
                <w:sz w:val="20"/>
                <w:szCs w:val="20"/>
              </w:rPr>
              <w:t>PoC-tutkimushankkeille sekä harvinaisia sairauksia ja harvinaisia syöpiä koskeville tutkimushankkeille myönnetään rahoitusta julkisella tarjouskilpailumenettelyllä.</w:t>
            </w:r>
          </w:p>
          <w:p w14:paraId="7A32460B" w14:textId="77777777" w:rsidR="00E42B18" w:rsidRDefault="009629C4">
            <w:pPr>
              <w:pStyle w:val="P68B1DB1-Normal12"/>
              <w:rPr>
                <w:noProof/>
              </w:rPr>
            </w:pPr>
            <w:r>
              <w:rPr>
                <w:noProof/>
              </w:rPr>
              <w:t>Ensimmäisen rahoituserän on oltava saanut vähintään 200 tutkimushanketta.</w:t>
            </w:r>
          </w:p>
        </w:tc>
      </w:tr>
      <w:tr w:rsidR="00E42B18" w14:paraId="0DAEBDAF" w14:textId="77777777">
        <w:trPr>
          <w:trHeight w:val="309"/>
        </w:trPr>
        <w:tc>
          <w:tcPr>
            <w:tcW w:w="1176" w:type="dxa"/>
            <w:shd w:val="clear" w:color="auto" w:fill="C6EFCE"/>
            <w:noWrap/>
            <w:vAlign w:val="center"/>
          </w:tcPr>
          <w:p w14:paraId="6154E6C3" w14:textId="77777777" w:rsidR="00E42B18" w:rsidRDefault="009629C4">
            <w:pPr>
              <w:pStyle w:val="P68B1DB1-Normal12"/>
              <w:jc w:val="center"/>
              <w:rPr>
                <w:noProof/>
              </w:rPr>
            </w:pPr>
            <w:r>
              <w:rPr>
                <w:noProof/>
              </w:rPr>
              <w:t>M6C2–3</w:t>
            </w:r>
          </w:p>
        </w:tc>
        <w:tc>
          <w:tcPr>
            <w:tcW w:w="2014" w:type="dxa"/>
            <w:shd w:val="clear" w:color="auto" w:fill="C6EFCE"/>
            <w:noWrap/>
            <w:vAlign w:val="center"/>
          </w:tcPr>
          <w:p w14:paraId="1125A57A" w14:textId="77777777" w:rsidR="00E42B18" w:rsidRDefault="009629C4">
            <w:pPr>
              <w:pStyle w:val="P68B1DB1-Normal11"/>
              <w:jc w:val="center"/>
              <w:rPr>
                <w:noProof/>
                <w:szCs w:val="20"/>
              </w:rPr>
            </w:pPr>
            <w:r>
              <w:rPr>
                <w:noProof/>
              </w:rPr>
              <w:t>Investointi 2.1: NHS:n biolääketieteellisen tutkimuksen vahvistaminen ja tehostaminen</w:t>
            </w:r>
          </w:p>
        </w:tc>
        <w:tc>
          <w:tcPr>
            <w:tcW w:w="1294" w:type="dxa"/>
            <w:shd w:val="clear" w:color="auto" w:fill="C6EFCE"/>
            <w:noWrap/>
            <w:vAlign w:val="center"/>
          </w:tcPr>
          <w:p w14:paraId="6C49FC9B" w14:textId="77777777" w:rsidR="00E42B18" w:rsidRDefault="009629C4">
            <w:pPr>
              <w:pStyle w:val="P68B1DB1-Normal11"/>
              <w:jc w:val="center"/>
              <w:rPr>
                <w:noProof/>
                <w:szCs w:val="20"/>
              </w:rPr>
            </w:pPr>
            <w:r>
              <w:rPr>
                <w:noProof/>
              </w:rPr>
              <w:t>Kohde</w:t>
            </w:r>
          </w:p>
        </w:tc>
        <w:tc>
          <w:tcPr>
            <w:tcW w:w="1870" w:type="dxa"/>
            <w:shd w:val="clear" w:color="auto" w:fill="C6EFCE"/>
            <w:noWrap/>
            <w:vAlign w:val="center"/>
          </w:tcPr>
          <w:p w14:paraId="6D6CA47E" w14:textId="77777777" w:rsidR="00E42B18" w:rsidRDefault="009629C4">
            <w:pPr>
              <w:pStyle w:val="P68B1DB1-Normal11"/>
              <w:jc w:val="center"/>
              <w:rPr>
                <w:noProof/>
                <w:szCs w:val="20"/>
              </w:rPr>
            </w:pPr>
            <w:r>
              <w:rPr>
                <w:noProof/>
              </w:rPr>
              <w:t>Terveysvaikutuksiltaan merkittäviä sairauksia koskevat tutkimushankkeet</w:t>
            </w:r>
          </w:p>
        </w:tc>
        <w:tc>
          <w:tcPr>
            <w:tcW w:w="1726" w:type="dxa"/>
            <w:shd w:val="clear" w:color="auto" w:fill="C6EFCE"/>
            <w:noWrap/>
            <w:vAlign w:val="center"/>
          </w:tcPr>
          <w:p w14:paraId="7BEF5C0C" w14:textId="77777777" w:rsidR="00E42B18" w:rsidRDefault="009629C4">
            <w:pPr>
              <w:pStyle w:val="P68B1DB1-Normal11"/>
              <w:jc w:val="center"/>
              <w:rPr>
                <w:noProof/>
                <w:szCs w:val="20"/>
              </w:rPr>
            </w:pPr>
            <w:r>
              <w:rPr>
                <w:noProof/>
              </w:rPr>
              <w:t>EI OLE</w:t>
            </w:r>
          </w:p>
        </w:tc>
        <w:tc>
          <w:tcPr>
            <w:tcW w:w="1007" w:type="dxa"/>
            <w:shd w:val="clear" w:color="auto" w:fill="C6EFCE"/>
            <w:noWrap/>
            <w:vAlign w:val="center"/>
          </w:tcPr>
          <w:p w14:paraId="28AB3651" w14:textId="77777777" w:rsidR="00E42B18" w:rsidRDefault="009629C4">
            <w:pPr>
              <w:pStyle w:val="P68B1DB1-Normal11"/>
              <w:jc w:val="center"/>
              <w:rPr>
                <w:noProof/>
                <w:szCs w:val="20"/>
              </w:rPr>
            </w:pPr>
            <w:r>
              <w:rPr>
                <w:noProof/>
              </w:rPr>
              <w:t>Numero</w:t>
            </w:r>
          </w:p>
        </w:tc>
        <w:tc>
          <w:tcPr>
            <w:tcW w:w="1151" w:type="dxa"/>
            <w:shd w:val="clear" w:color="auto" w:fill="C6EFCE"/>
            <w:noWrap/>
            <w:vAlign w:val="center"/>
          </w:tcPr>
          <w:p w14:paraId="4B4F81F0" w14:textId="77777777" w:rsidR="00E42B18" w:rsidRDefault="009629C4">
            <w:pPr>
              <w:pStyle w:val="P68B1DB1-Normal11"/>
              <w:jc w:val="center"/>
              <w:rPr>
                <w:noProof/>
                <w:szCs w:val="20"/>
              </w:rPr>
            </w:pPr>
            <w:r>
              <w:rPr>
                <w:noProof/>
              </w:rPr>
              <w:t>0</w:t>
            </w:r>
          </w:p>
        </w:tc>
        <w:tc>
          <w:tcPr>
            <w:tcW w:w="863" w:type="dxa"/>
            <w:shd w:val="clear" w:color="auto" w:fill="C6EFCE"/>
            <w:noWrap/>
            <w:vAlign w:val="center"/>
          </w:tcPr>
          <w:p w14:paraId="4438BD16" w14:textId="77777777" w:rsidR="00E42B18" w:rsidRDefault="009629C4">
            <w:pPr>
              <w:pStyle w:val="P68B1DB1-Normal11"/>
              <w:jc w:val="center"/>
              <w:rPr>
                <w:noProof/>
                <w:szCs w:val="20"/>
              </w:rPr>
            </w:pPr>
            <w:r>
              <w:rPr>
                <w:noProof/>
              </w:rPr>
              <w:t>324</w:t>
            </w:r>
          </w:p>
        </w:tc>
        <w:tc>
          <w:tcPr>
            <w:tcW w:w="862" w:type="dxa"/>
            <w:shd w:val="clear" w:color="auto" w:fill="C6EFCE"/>
            <w:noWrap/>
            <w:vAlign w:val="center"/>
          </w:tcPr>
          <w:p w14:paraId="4FBADA38" w14:textId="77777777" w:rsidR="00E42B18" w:rsidRDefault="009629C4">
            <w:pPr>
              <w:pStyle w:val="P68B1DB1-Normal12"/>
              <w:jc w:val="center"/>
              <w:rPr>
                <w:noProof/>
              </w:rPr>
            </w:pPr>
            <w:r>
              <w:rPr>
                <w:noProof/>
              </w:rPr>
              <w:t>Q2</w:t>
            </w:r>
          </w:p>
        </w:tc>
        <w:tc>
          <w:tcPr>
            <w:tcW w:w="719" w:type="dxa"/>
            <w:shd w:val="clear" w:color="auto" w:fill="C6EFCE"/>
            <w:noWrap/>
            <w:vAlign w:val="center"/>
          </w:tcPr>
          <w:p w14:paraId="4E527F65" w14:textId="77777777" w:rsidR="00E42B18" w:rsidRDefault="009629C4">
            <w:pPr>
              <w:pStyle w:val="P68B1DB1-Normal11"/>
              <w:jc w:val="center"/>
              <w:rPr>
                <w:noProof/>
                <w:szCs w:val="20"/>
              </w:rPr>
            </w:pPr>
            <w:r>
              <w:rPr>
                <w:noProof/>
              </w:rPr>
              <w:t>2025</w:t>
            </w:r>
          </w:p>
        </w:tc>
        <w:tc>
          <w:tcPr>
            <w:tcW w:w="2933" w:type="dxa"/>
            <w:shd w:val="clear" w:color="auto" w:fill="C6EFCE"/>
            <w:noWrap/>
            <w:vAlign w:val="center"/>
          </w:tcPr>
          <w:p w14:paraId="4DEE127E" w14:textId="466587B1" w:rsidR="00E42B18" w:rsidRDefault="009629C4">
            <w:pPr>
              <w:rPr>
                <w:rFonts w:ascii="Arial Narrow" w:hAnsi="Arial Narrow"/>
                <w:noProof/>
                <w:color w:val="006100"/>
                <w:sz w:val="20"/>
                <w:szCs w:val="20"/>
              </w:rPr>
            </w:pPr>
            <w:r>
              <w:rPr>
                <w:rFonts w:ascii="Arial Narrow" w:hAnsi="Arial Narrow"/>
                <w:noProof/>
                <w:color w:val="006100"/>
                <w:sz w:val="20"/>
                <w:szCs w:val="20"/>
              </w:rPr>
              <w:t>Rahoituksen myöntäminen terveysvaikutuksiltaan merkittäviä sairauksia koskeville tutkimushankkeille.</w:t>
            </w:r>
            <w:r>
              <w:rPr>
                <w:rFonts w:ascii="Arial Narrow" w:hAnsi="Arial Narrow"/>
                <w:noProof/>
              </w:rPr>
              <w:t xml:space="preserve"> </w:t>
            </w:r>
            <w:r>
              <w:rPr>
                <w:noProof/>
              </w:rPr>
              <w:t xml:space="preserve"> </w:t>
            </w:r>
            <w:r>
              <w:rPr>
                <w:noProof/>
              </w:rPr>
              <w:br/>
            </w:r>
            <w:r>
              <w:rPr>
                <w:rFonts w:ascii="Arial Narrow" w:hAnsi="Arial Narrow"/>
                <w:noProof/>
                <w:color w:val="006100"/>
                <w:sz w:val="20"/>
                <w:szCs w:val="20"/>
              </w:rPr>
              <w:t>Terveysvaikutuksiltaan suuria sairauksia koskeviin tutkimushankkeisiin myönnetään rahoitusta julkisella tarjouskilpailumenettelyllä.</w:t>
            </w:r>
          </w:p>
          <w:p w14:paraId="41484C95" w14:textId="77777777" w:rsidR="00E42B18" w:rsidRDefault="009629C4">
            <w:pPr>
              <w:pStyle w:val="P68B1DB1-Normal12"/>
              <w:rPr>
                <w:noProof/>
              </w:rPr>
            </w:pPr>
            <w:r>
              <w:rPr>
                <w:noProof/>
              </w:rPr>
              <w:t>Ensimmäisen rahoituserän on täytynyt saada vähintään 324 tutkimushanketta.</w:t>
            </w:r>
          </w:p>
        </w:tc>
      </w:tr>
      <w:tr w:rsidR="00E42B18" w14:paraId="1B55A8A7" w14:textId="77777777">
        <w:trPr>
          <w:trHeight w:val="309"/>
        </w:trPr>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A092C1" w14:textId="77777777" w:rsidR="00E42B18" w:rsidRDefault="009629C4">
            <w:pPr>
              <w:pStyle w:val="P68B1DB1-Normal12"/>
              <w:jc w:val="center"/>
              <w:rPr>
                <w:noProof/>
              </w:rPr>
            </w:pPr>
            <w:r>
              <w:rPr>
                <w:noProof/>
              </w:rPr>
              <w:t>M6C2–16</w:t>
            </w:r>
          </w:p>
        </w:tc>
        <w:tc>
          <w:tcPr>
            <w:tcW w:w="20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AD8DF" w14:textId="77777777" w:rsidR="00E42B18" w:rsidRDefault="009629C4">
            <w:pPr>
              <w:pStyle w:val="P68B1DB1-Normal11"/>
              <w:jc w:val="center"/>
              <w:rPr>
                <w:noProof/>
              </w:rPr>
            </w:pPr>
            <w:r>
              <w:rPr>
                <w:noProof/>
              </w:rPr>
              <w:t>Investointi 2.2: Terveydenhuoltojärjestelmän ammattilaisten teknisten, ammatillisten, digitaalisten ja johtamistaitojen kehittäminen</w:t>
            </w:r>
          </w:p>
        </w:tc>
        <w:tc>
          <w:tcPr>
            <w:tcW w:w="129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EA5EC" w14:textId="77777777" w:rsidR="00E42B18" w:rsidRDefault="009629C4">
            <w:pPr>
              <w:pStyle w:val="P68B1DB1-Normal11"/>
              <w:jc w:val="center"/>
              <w:rPr>
                <w:noProof/>
              </w:rPr>
            </w:pPr>
            <w:r>
              <w:rPr>
                <w:noProof/>
              </w:rPr>
              <w:t>Kohde</w:t>
            </w:r>
          </w:p>
        </w:tc>
        <w:tc>
          <w:tcPr>
            <w:tcW w:w="18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03071" w14:textId="77777777" w:rsidR="00E42B18" w:rsidRDefault="009629C4">
            <w:pPr>
              <w:pStyle w:val="P68B1DB1-Normal11"/>
              <w:jc w:val="center"/>
              <w:rPr>
                <w:noProof/>
              </w:rPr>
            </w:pPr>
            <w:r>
              <w:rPr>
                <w:noProof/>
              </w:rPr>
              <w:t xml:space="preserve">Terveydenhuoltohenkilöstön johtamistaitoja ja digitaalisia taitoja koskeva koulutus </w:t>
            </w:r>
          </w:p>
        </w:tc>
        <w:tc>
          <w:tcPr>
            <w:tcW w:w="17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0F337E" w14:textId="77777777" w:rsidR="00E42B18" w:rsidRDefault="009629C4">
            <w:pPr>
              <w:pStyle w:val="P68B1DB1-Normal11"/>
              <w:jc w:val="center"/>
              <w:rPr>
                <w:noProof/>
              </w:rPr>
            </w:pPr>
            <w:r>
              <w:rPr>
                <w:noProof/>
              </w:rPr>
              <w:t>EI OLE</w:t>
            </w:r>
          </w:p>
        </w:tc>
        <w:tc>
          <w:tcPr>
            <w:tcW w:w="100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375DD0" w14:textId="77777777" w:rsidR="00E42B18" w:rsidRDefault="009629C4">
            <w:pPr>
              <w:pStyle w:val="P68B1DB1-Normal11"/>
              <w:jc w:val="center"/>
              <w:rPr>
                <w:noProof/>
              </w:rPr>
            </w:pPr>
            <w:r>
              <w:rPr>
                <w:noProof/>
              </w:rPr>
              <w:t>Numero</w:t>
            </w:r>
          </w:p>
        </w:tc>
        <w:tc>
          <w:tcPr>
            <w:tcW w:w="11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6C3C4" w14:textId="77777777" w:rsidR="00E42B18" w:rsidRDefault="009629C4">
            <w:pPr>
              <w:pStyle w:val="P68B1DB1-Normal11"/>
              <w:jc w:val="center"/>
              <w:rPr>
                <w:noProof/>
              </w:rPr>
            </w:pPr>
            <w:r>
              <w:rPr>
                <w:noProof/>
              </w:rPr>
              <w:t>0</w:t>
            </w:r>
          </w:p>
        </w:tc>
        <w:tc>
          <w:tcPr>
            <w:tcW w:w="8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0E974" w14:textId="77777777" w:rsidR="00E42B18" w:rsidRDefault="009629C4">
            <w:pPr>
              <w:pStyle w:val="P68B1DB1-Normal11"/>
              <w:jc w:val="center"/>
              <w:rPr>
                <w:noProof/>
              </w:rPr>
            </w:pPr>
            <w:r>
              <w:rPr>
                <w:noProof/>
              </w:rPr>
              <w:t>4 500</w:t>
            </w:r>
          </w:p>
        </w:tc>
        <w:tc>
          <w:tcPr>
            <w:tcW w:w="86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8EA46" w14:textId="77777777" w:rsidR="00E42B18" w:rsidRDefault="009629C4">
            <w:pPr>
              <w:pStyle w:val="P68B1DB1-Normal12"/>
              <w:jc w:val="center"/>
              <w:rPr>
                <w:noProof/>
              </w:rPr>
            </w:pPr>
            <w:r>
              <w:rPr>
                <w:noProof/>
              </w:rPr>
              <w:t>Q2</w:t>
            </w:r>
          </w:p>
        </w:tc>
        <w:tc>
          <w:tcPr>
            <w:tcW w:w="71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03ED1" w14:textId="77777777" w:rsidR="00E42B18" w:rsidRDefault="009629C4">
            <w:pPr>
              <w:pStyle w:val="P68B1DB1-Normal11"/>
              <w:jc w:val="center"/>
              <w:rPr>
                <w:noProof/>
              </w:rPr>
            </w:pPr>
            <w:r>
              <w:rPr>
                <w:noProof/>
              </w:rPr>
              <w:t>2026</w:t>
            </w:r>
          </w:p>
        </w:tc>
        <w:tc>
          <w:tcPr>
            <w:tcW w:w="29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6CB64" w14:textId="77777777" w:rsidR="00E42B18" w:rsidRDefault="009629C4">
            <w:pPr>
              <w:pStyle w:val="P68B1DB1-Normal12"/>
              <w:rPr>
                <w:noProof/>
              </w:rPr>
            </w:pPr>
            <w:r>
              <w:rPr>
                <w:noProof/>
              </w:rPr>
              <w:t xml:space="preserve">Todistus osallistumisesta johtamistaitoja tai digitaalisia taitoja koskeviin kursseihin 4500:lle kansallisen terveydenhuoltojärjestelmän työntekijälle. </w:t>
            </w:r>
          </w:p>
        </w:tc>
      </w:tr>
      <w:tr w:rsidR="00E42B18" w14:paraId="0B83B39C" w14:textId="77777777">
        <w:trPr>
          <w:trHeight w:val="309"/>
        </w:trPr>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33C2BE" w14:textId="77777777" w:rsidR="00E42B18" w:rsidRDefault="009629C4">
            <w:pPr>
              <w:pStyle w:val="P68B1DB1-Normal12"/>
              <w:jc w:val="center"/>
              <w:rPr>
                <w:noProof/>
              </w:rPr>
            </w:pPr>
            <w:r>
              <w:rPr>
                <w:noProof/>
              </w:rPr>
              <w:t>M6C2–17</w:t>
            </w:r>
          </w:p>
        </w:tc>
        <w:tc>
          <w:tcPr>
            <w:tcW w:w="20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C2D615" w14:textId="77777777" w:rsidR="00E42B18" w:rsidRDefault="009629C4">
            <w:pPr>
              <w:pStyle w:val="P68B1DB1-Normal11"/>
              <w:jc w:val="center"/>
              <w:rPr>
                <w:noProof/>
              </w:rPr>
            </w:pPr>
            <w:r>
              <w:rPr>
                <w:noProof/>
              </w:rPr>
              <w:t>Investointi 2.2: Terveydenhuoltojärjestelmän ammattilaisten teknisten, ammatillisten, digitaalisten ja johtamistaitojen kehittäminen</w:t>
            </w:r>
          </w:p>
        </w:tc>
        <w:tc>
          <w:tcPr>
            <w:tcW w:w="129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9B9C0C" w14:textId="77777777" w:rsidR="00E42B18" w:rsidRDefault="009629C4">
            <w:pPr>
              <w:pStyle w:val="P68B1DB1-Normal11"/>
              <w:jc w:val="center"/>
              <w:rPr>
                <w:noProof/>
              </w:rPr>
            </w:pPr>
            <w:r>
              <w:rPr>
                <w:noProof/>
              </w:rPr>
              <w:t>Kohde</w:t>
            </w:r>
          </w:p>
        </w:tc>
        <w:tc>
          <w:tcPr>
            <w:tcW w:w="18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BE6FF1" w14:textId="4013624C" w:rsidR="00E42B18" w:rsidRDefault="009629C4">
            <w:pPr>
              <w:pStyle w:val="P68B1DB1-Normal11"/>
              <w:jc w:val="center"/>
              <w:rPr>
                <w:noProof/>
              </w:rPr>
            </w:pPr>
            <w:r>
              <w:rPr>
                <w:noProof/>
              </w:rPr>
              <w:t xml:space="preserve"> Erikoislääkärin koulutussopimusten tekeminen</w:t>
            </w:r>
          </w:p>
        </w:tc>
        <w:tc>
          <w:tcPr>
            <w:tcW w:w="17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96CDB" w14:textId="77777777" w:rsidR="00E42B18" w:rsidRDefault="009629C4">
            <w:pPr>
              <w:pStyle w:val="P68B1DB1-Normal11"/>
              <w:jc w:val="center"/>
              <w:rPr>
                <w:noProof/>
              </w:rPr>
            </w:pPr>
            <w:r>
              <w:rPr>
                <w:noProof/>
              </w:rPr>
              <w:t>EI OLE</w:t>
            </w:r>
          </w:p>
        </w:tc>
        <w:tc>
          <w:tcPr>
            <w:tcW w:w="100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31F482" w14:textId="77777777" w:rsidR="00E42B18" w:rsidRDefault="009629C4">
            <w:pPr>
              <w:pStyle w:val="P68B1DB1-Normal11"/>
              <w:jc w:val="center"/>
              <w:rPr>
                <w:noProof/>
              </w:rPr>
            </w:pPr>
            <w:r>
              <w:rPr>
                <w:noProof/>
              </w:rPr>
              <w:t>Numero</w:t>
            </w:r>
          </w:p>
        </w:tc>
        <w:tc>
          <w:tcPr>
            <w:tcW w:w="11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7E0F19" w14:textId="77777777" w:rsidR="00E42B18" w:rsidRDefault="009629C4">
            <w:pPr>
              <w:pStyle w:val="P68B1DB1-Normal11"/>
              <w:jc w:val="center"/>
              <w:rPr>
                <w:noProof/>
              </w:rPr>
            </w:pPr>
            <w:r>
              <w:rPr>
                <w:noProof/>
              </w:rPr>
              <w:t>0</w:t>
            </w:r>
          </w:p>
        </w:tc>
        <w:tc>
          <w:tcPr>
            <w:tcW w:w="8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15ECE6" w14:textId="77777777" w:rsidR="00E42B18" w:rsidRDefault="009629C4">
            <w:pPr>
              <w:pStyle w:val="P68B1DB1-Normal11"/>
              <w:jc w:val="center"/>
              <w:rPr>
                <w:noProof/>
              </w:rPr>
            </w:pPr>
            <w:r>
              <w:rPr>
                <w:noProof/>
              </w:rPr>
              <w:t>4 200</w:t>
            </w:r>
          </w:p>
        </w:tc>
        <w:tc>
          <w:tcPr>
            <w:tcW w:w="86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E23F3" w14:textId="77777777" w:rsidR="00E42B18" w:rsidRDefault="009629C4">
            <w:pPr>
              <w:pStyle w:val="P68B1DB1-Normal12"/>
              <w:jc w:val="center"/>
              <w:rPr>
                <w:noProof/>
              </w:rPr>
            </w:pPr>
            <w:r>
              <w:rPr>
                <w:noProof/>
              </w:rPr>
              <w:t>Q2</w:t>
            </w:r>
          </w:p>
        </w:tc>
        <w:tc>
          <w:tcPr>
            <w:tcW w:w="71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25E671" w14:textId="77777777" w:rsidR="00E42B18" w:rsidRDefault="009629C4">
            <w:pPr>
              <w:pStyle w:val="P68B1DB1-Normal11"/>
              <w:jc w:val="center"/>
              <w:rPr>
                <w:noProof/>
              </w:rPr>
            </w:pPr>
            <w:r>
              <w:rPr>
                <w:noProof/>
              </w:rPr>
              <w:t>2026</w:t>
            </w:r>
          </w:p>
        </w:tc>
        <w:tc>
          <w:tcPr>
            <w:tcW w:w="29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62344" w14:textId="42AEE503" w:rsidR="00E42B18" w:rsidRDefault="009629C4">
            <w:pPr>
              <w:pStyle w:val="P68B1DB1-Normal12"/>
              <w:rPr>
                <w:noProof/>
              </w:rPr>
            </w:pPr>
            <w:r>
              <w:rPr>
                <w:noProof/>
              </w:rPr>
              <w:t>4200 viisivuotisen erikoislääkärin koulutussopimuksen tekeminen</w:t>
            </w:r>
          </w:p>
        </w:tc>
      </w:tr>
    </w:tbl>
    <w:p w14:paraId="03AF95FB" w14:textId="77777777" w:rsidR="00E42B18" w:rsidRDefault="00E42B18">
      <w:pPr>
        <w:spacing w:before="120" w:after="120"/>
        <w:ind w:left="709"/>
        <w:jc w:val="both"/>
        <w:rPr>
          <w:noProof/>
        </w:rPr>
      </w:pPr>
    </w:p>
    <w:p w14:paraId="02196287" w14:textId="77777777" w:rsidR="00E42B18" w:rsidRDefault="00E42B18">
      <w:pPr>
        <w:spacing w:before="120" w:after="120"/>
        <w:ind w:left="709"/>
        <w:jc w:val="both"/>
        <w:rPr>
          <w:noProof/>
        </w:rPr>
        <w:sectPr w:rsidR="00E42B18" w:rsidSect="005F11B9">
          <w:headerReference w:type="even" r:id="rId298"/>
          <w:headerReference w:type="default" r:id="rId299"/>
          <w:footerReference w:type="even" r:id="rId300"/>
          <w:footerReference w:type="default" r:id="rId301"/>
          <w:headerReference w:type="first" r:id="rId302"/>
          <w:footerReference w:type="first" r:id="rId303"/>
          <w:pgSz w:w="16839" w:h="11907" w:orient="landscape"/>
          <w:pgMar w:top="720" w:right="720" w:bottom="720" w:left="720" w:header="709" w:footer="709" w:gutter="0"/>
          <w:cols w:space="720"/>
          <w:docGrid w:linePitch="360"/>
        </w:sectPr>
      </w:pPr>
    </w:p>
    <w:p w14:paraId="22E58C31" w14:textId="77777777" w:rsidR="00E42B18" w:rsidRDefault="009629C4">
      <w:pPr>
        <w:pStyle w:val="P68B1DB1-Heading39"/>
        <w:ind w:left="850" w:hanging="850"/>
        <w:rPr>
          <w:b/>
          <w:bCs/>
          <w:i/>
          <w:iCs/>
          <w:noProof/>
          <w:color w:val="156082" w:themeColor="accent1"/>
          <w:u w:val="single"/>
        </w:rPr>
      </w:pPr>
      <w:r>
        <w:rPr>
          <w:b/>
          <w:noProof/>
          <w:u w:val="single"/>
        </w:rPr>
        <w:t xml:space="preserve">P.3 </w:t>
      </w:r>
      <w:r>
        <w:rPr>
          <w:noProof/>
        </w:rPr>
        <w:t xml:space="preserve"> </w:t>
      </w:r>
      <w:r>
        <w:rPr>
          <w:b/>
          <w:noProof/>
          <w:u w:val="single"/>
        </w:rPr>
        <w:t xml:space="preserve">Kuvaus lainamuotoisella tuella rahoitettavista uudistuksista ja investoinneista </w:t>
      </w:r>
    </w:p>
    <w:p w14:paraId="5B4001A7" w14:textId="77777777" w:rsidR="00E42B18" w:rsidRDefault="009629C4">
      <w:pPr>
        <w:pStyle w:val="P68B1DB1-Normal5"/>
        <w:spacing w:before="120" w:after="120"/>
        <w:jc w:val="both"/>
        <w:rPr>
          <w:noProof/>
        </w:rPr>
      </w:pPr>
      <w:r>
        <w:rPr>
          <w:noProof/>
        </w:rPr>
        <w:t>Investointi 1.1: Sairaaloiden teknisten laitteiden digitaalinen päivitys</w:t>
      </w:r>
    </w:p>
    <w:p w14:paraId="418C49F2" w14:textId="77777777" w:rsidR="00E42B18" w:rsidRDefault="009629C4">
      <w:pPr>
        <w:pStyle w:val="P68B1DB1-Normal7"/>
        <w:spacing w:before="120" w:after="120"/>
        <w:jc w:val="both"/>
        <w:rPr>
          <w:noProof/>
        </w:rPr>
      </w:pPr>
      <w:r>
        <w:rPr>
          <w:noProof/>
        </w:rPr>
        <w:t xml:space="preserve">Toimenpiteen tavoitteena on parantaa terveydenhuoltohenkilöstön tuottavuutta, parantaa prosessien laatua, varmistaa potilasturvallisuus ja laadukas palvelujen tarjonta. </w:t>
      </w:r>
    </w:p>
    <w:p w14:paraId="3DFDA06E" w14:textId="77777777" w:rsidR="00E42B18" w:rsidRDefault="009629C4">
      <w:pPr>
        <w:pStyle w:val="P68B1DB1-Normal7"/>
        <w:spacing w:before="120" w:after="120"/>
        <w:jc w:val="both"/>
        <w:rPr>
          <w:bCs/>
          <w:iCs/>
          <w:noProof/>
        </w:rPr>
      </w:pPr>
      <w:r>
        <w:rPr>
          <w:noProof/>
        </w:rPr>
        <w:t>Investointi koostuu suurten terveydenhuollon laitteiden nykyaikaistamisesta, sairaaloiden prosessien informoinnista ensimmäisen ja toisen tason hätäosastolla (Dipartimenti Emergenza e Accettazione, DEA) sekä teho- ja puolivaltaisten hoitoyksiköiden vuodepaikkojen määrän lisäämisestä kansallisissa terveydenhuoltopalvelusairaaloissa.</w:t>
      </w:r>
    </w:p>
    <w:p w14:paraId="46007BCB" w14:textId="77777777" w:rsidR="00E42B18" w:rsidRDefault="009629C4">
      <w:pPr>
        <w:pStyle w:val="P68B1DB1-Normal5"/>
        <w:spacing w:before="120" w:after="120"/>
        <w:jc w:val="both"/>
        <w:rPr>
          <w:noProof/>
        </w:rPr>
      </w:pPr>
      <w:r>
        <w:rPr>
          <w:noProof/>
        </w:rPr>
        <w:t>Investointi 1.2: Kohti turvallista ja kestävää sairaalaa</w:t>
      </w:r>
    </w:p>
    <w:p w14:paraId="1B9A00CD" w14:textId="4A94710A" w:rsidR="00E42B18" w:rsidRDefault="009629C4">
      <w:pPr>
        <w:pStyle w:val="P68B1DB1-Normal7"/>
        <w:spacing w:before="120" w:after="120"/>
        <w:jc w:val="both"/>
        <w:rPr>
          <w:noProof/>
        </w:rPr>
      </w:pPr>
      <w:r>
        <w:rPr>
          <w:noProof/>
        </w:rPr>
        <w:t>Tämän toimenpiteen tavoitteena on parantaa sairaaloiden turvallisuutta toteuttamalla sairaaloiden maanjäristystoimia ja toteuttamalla monivuotisia toimia kansanterveyskiinteistöjen fyysisen ja teknologisen kehyksen kunnostamiseksi ja nykyaikaistamiseksi.</w:t>
      </w:r>
    </w:p>
    <w:p w14:paraId="7E1D7B15" w14:textId="77777777" w:rsidR="00E42B18" w:rsidRDefault="009629C4">
      <w:pPr>
        <w:pStyle w:val="P68B1DB1-Normal5"/>
        <w:spacing w:before="120" w:after="120" w:line="278" w:lineRule="auto"/>
        <w:jc w:val="both"/>
        <w:rPr>
          <w:noProof/>
        </w:rPr>
      </w:pPr>
      <w:r>
        <w:rPr>
          <w:noProof/>
        </w:rPr>
        <w:t>Investointi 1.3: Teknisen infrastruktuurin sekä tiedonkeruu-, tietojenkäsittely-, data-analyysi- ja simulointivälineiden vahvistaminen</w:t>
      </w:r>
    </w:p>
    <w:p w14:paraId="4C07C0D3" w14:textId="3BC17B61" w:rsidR="00E42B18" w:rsidRDefault="009629C4">
      <w:pPr>
        <w:pStyle w:val="P68B1DB1-Normal7"/>
        <w:spacing w:before="120" w:after="120"/>
        <w:jc w:val="both"/>
        <w:rPr>
          <w:noProof/>
          <w:u w:val="single"/>
        </w:rPr>
      </w:pPr>
      <w:r>
        <w:rPr>
          <w:noProof/>
        </w:rPr>
        <w:t>Toimenpiteen tavoitteena on parantaa Italian NHS:n hoitotarjontaa, terveydenhuollon analysointia ja ennakointivalmiuksia. Investointi koostuu olemassa olevien sähköisten terveystietojen infrastruktuurin ja käytön voimaannuttamisesta sekä terveysministeriön infrastruktuurin ja teknisten ja analyysivälineiden vahvistamisesta.</w:t>
      </w:r>
    </w:p>
    <w:p w14:paraId="607D4394" w14:textId="77777777" w:rsidR="00E42B18" w:rsidRDefault="009629C4">
      <w:pPr>
        <w:pStyle w:val="P68B1DB1-Normal5"/>
        <w:spacing w:before="120" w:after="120"/>
        <w:jc w:val="both"/>
        <w:rPr>
          <w:iCs/>
          <w:noProof/>
        </w:rPr>
      </w:pPr>
      <w:r>
        <w:rPr>
          <w:noProof/>
        </w:rPr>
        <w:t>Investointi 2.2: Terveydenhuoltojärjestelmän ammattilaisten teknisten, ammatillisten, digitaalisten ja johtamistaitojen kehittäminen</w:t>
      </w:r>
    </w:p>
    <w:p w14:paraId="694154A4" w14:textId="77777777" w:rsidR="00E42B18" w:rsidRDefault="009629C4">
      <w:pPr>
        <w:pStyle w:val="P68B1DB1-Normal7"/>
        <w:spacing w:before="120" w:after="120"/>
        <w:jc w:val="both"/>
        <w:rPr>
          <w:noProof/>
        </w:rPr>
      </w:pPr>
      <w:r>
        <w:rPr>
          <w:noProof/>
        </w:rPr>
        <w:t>Investoinnilla lisätään apurahoja yleislääketieteen erityiskurssille. sairaalainfektioiden turvallisuutta koskevan koulutussuunnitelman käynnistäminen koko NHS:n henkilöstölle; aktivoidaan koulutuspolku NHS:n elimissä johtavassa asemassa olevalle henkilöstölle johtamis- ja digitaalitaitojen alalla ja rahoitetaan erikoislääkärin koulutussopimuksia.</w:t>
      </w:r>
    </w:p>
    <w:p w14:paraId="4096784E" w14:textId="77777777" w:rsidR="00E42B18" w:rsidRDefault="00E42B18">
      <w:pPr>
        <w:spacing w:before="120" w:after="120"/>
        <w:jc w:val="both"/>
        <w:rPr>
          <w:rFonts w:ascii="Times New Roman" w:hAnsi="Times New Roman" w:cs="Times New Roman"/>
          <w:noProof/>
        </w:rPr>
        <w:sectPr w:rsidR="00E42B18" w:rsidSect="005F11B9">
          <w:headerReference w:type="even" r:id="rId304"/>
          <w:headerReference w:type="default" r:id="rId305"/>
          <w:footerReference w:type="even" r:id="rId306"/>
          <w:footerReference w:type="default" r:id="rId307"/>
          <w:headerReference w:type="first" r:id="rId308"/>
          <w:footerReference w:type="first" r:id="rId309"/>
          <w:pgSz w:w="11907" w:h="16839"/>
          <w:pgMar w:top="1134" w:right="1417" w:bottom="1134" w:left="1417" w:header="709" w:footer="709" w:gutter="0"/>
          <w:cols w:space="720"/>
          <w:docGrid w:linePitch="360"/>
        </w:sectPr>
      </w:pPr>
    </w:p>
    <w:p w14:paraId="6792259F" w14:textId="77777777" w:rsidR="00E42B18" w:rsidRDefault="009629C4">
      <w:pPr>
        <w:pStyle w:val="P68B1DB1-Heading39"/>
        <w:ind w:left="850" w:hanging="850"/>
        <w:rPr>
          <w:b/>
          <w:bCs/>
          <w:i/>
          <w:iCs/>
          <w:noProof/>
          <w:u w:val="single"/>
        </w:rPr>
      </w:pPr>
      <w:r>
        <w:rPr>
          <w:b/>
          <w:noProof/>
          <w:u w:val="single"/>
        </w:rPr>
        <w:t xml:space="preserve">P.4 </w:t>
      </w:r>
      <w:r>
        <w:rPr>
          <w:noProof/>
        </w:rPr>
        <w:t xml:space="preserve"> </w:t>
      </w:r>
      <w:r>
        <w:rPr>
          <w:b/>
          <w:noProof/>
          <w:u w:val="single"/>
        </w:rPr>
        <w:t xml:space="preserve">Lainamuotoisen tuen seurantaa ja täytäntöönpanoa koskevat välitavoitteet, tavoitteet, indikaattorit ja aikataulu </w:t>
      </w:r>
    </w:p>
    <w:tbl>
      <w:tblPr>
        <w:tblW w:w="53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1418"/>
        <w:gridCol w:w="1134"/>
        <w:gridCol w:w="1559"/>
        <w:gridCol w:w="1701"/>
        <w:gridCol w:w="1276"/>
        <w:gridCol w:w="1134"/>
        <w:gridCol w:w="1276"/>
        <w:gridCol w:w="865"/>
        <w:gridCol w:w="721"/>
        <w:gridCol w:w="2881"/>
      </w:tblGrid>
      <w:tr w:rsidR="00E42B18" w14:paraId="10063AAD" w14:textId="77777777">
        <w:trPr>
          <w:trHeight w:val="939"/>
          <w:tblHeader/>
          <w:jc w:val="center"/>
        </w:trPr>
        <w:tc>
          <w:tcPr>
            <w:tcW w:w="1140" w:type="dxa"/>
            <w:vMerge w:val="restart"/>
            <w:shd w:val="clear" w:color="auto" w:fill="BDD7EE"/>
            <w:vAlign w:val="center"/>
            <w:hideMark/>
          </w:tcPr>
          <w:p w14:paraId="6CBA2411" w14:textId="77777777" w:rsidR="00E42B18" w:rsidRDefault="009629C4">
            <w:pPr>
              <w:pStyle w:val="P68B1DB1-Normal10"/>
              <w:spacing w:before="120" w:after="120"/>
              <w:jc w:val="center"/>
              <w:rPr>
                <w:noProof/>
                <w:szCs w:val="20"/>
              </w:rPr>
            </w:pPr>
            <w:r>
              <w:rPr>
                <w:noProof/>
              </w:rPr>
              <w:t>Juokseva numero</w:t>
            </w:r>
          </w:p>
        </w:tc>
        <w:tc>
          <w:tcPr>
            <w:tcW w:w="1418" w:type="dxa"/>
            <w:vMerge w:val="restart"/>
            <w:shd w:val="clear" w:color="auto" w:fill="BDD7EE"/>
            <w:vAlign w:val="center"/>
            <w:hideMark/>
          </w:tcPr>
          <w:p w14:paraId="3C06A22D" w14:textId="77777777" w:rsidR="00E42B18" w:rsidRDefault="009629C4">
            <w:pPr>
              <w:pStyle w:val="P68B1DB1-Normal10"/>
              <w:spacing w:before="120" w:after="120"/>
              <w:jc w:val="center"/>
              <w:rPr>
                <w:noProof/>
                <w:szCs w:val="20"/>
              </w:rPr>
            </w:pPr>
            <w:r>
              <w:rPr>
                <w:noProof/>
              </w:rPr>
              <w:t>Toimenpide (uudistus tai investointi)</w:t>
            </w:r>
          </w:p>
        </w:tc>
        <w:tc>
          <w:tcPr>
            <w:tcW w:w="1134" w:type="dxa"/>
            <w:vMerge w:val="restart"/>
            <w:shd w:val="clear" w:color="auto" w:fill="BDD7EE"/>
            <w:vAlign w:val="center"/>
            <w:hideMark/>
          </w:tcPr>
          <w:p w14:paraId="658877E1" w14:textId="77777777" w:rsidR="00E42B18" w:rsidRDefault="009629C4">
            <w:pPr>
              <w:pStyle w:val="P68B1DB1-Normal10"/>
              <w:spacing w:before="120" w:after="120"/>
              <w:jc w:val="center"/>
              <w:rPr>
                <w:noProof/>
                <w:szCs w:val="20"/>
              </w:rPr>
            </w:pPr>
            <w:r>
              <w:rPr>
                <w:noProof/>
              </w:rPr>
              <w:t>Välitavoite/tavoite</w:t>
            </w:r>
          </w:p>
        </w:tc>
        <w:tc>
          <w:tcPr>
            <w:tcW w:w="1559" w:type="dxa"/>
            <w:vMerge w:val="restart"/>
            <w:shd w:val="clear" w:color="auto" w:fill="BDD7EE"/>
            <w:vAlign w:val="center"/>
            <w:hideMark/>
          </w:tcPr>
          <w:p w14:paraId="3F6BE348" w14:textId="77777777" w:rsidR="00E42B18" w:rsidRDefault="009629C4">
            <w:pPr>
              <w:pStyle w:val="P68B1DB1-Normal10"/>
              <w:spacing w:before="120" w:after="120"/>
              <w:jc w:val="center"/>
              <w:rPr>
                <w:noProof/>
                <w:szCs w:val="20"/>
              </w:rPr>
            </w:pPr>
            <w:r>
              <w:rPr>
                <w:noProof/>
              </w:rPr>
              <w:t>Nimi</w:t>
            </w:r>
          </w:p>
        </w:tc>
        <w:tc>
          <w:tcPr>
            <w:tcW w:w="1701" w:type="dxa"/>
            <w:vMerge w:val="restart"/>
            <w:shd w:val="clear" w:color="auto" w:fill="BDD7EE"/>
            <w:vAlign w:val="center"/>
            <w:hideMark/>
          </w:tcPr>
          <w:p w14:paraId="28FB1441" w14:textId="77777777" w:rsidR="00E42B18" w:rsidRDefault="009629C4">
            <w:pPr>
              <w:spacing w:before="120" w:after="120"/>
              <w:jc w:val="center"/>
              <w:rPr>
                <w:rFonts w:ascii="Arial Narrow" w:hAnsi="Arial Narrow"/>
                <w:b/>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686" w:type="dxa"/>
            <w:gridSpan w:val="3"/>
            <w:shd w:val="clear" w:color="auto" w:fill="BDD7EE"/>
            <w:vAlign w:val="center"/>
            <w:hideMark/>
          </w:tcPr>
          <w:p w14:paraId="4344C5F3" w14:textId="77777777" w:rsidR="00E42B18" w:rsidRDefault="009629C4">
            <w:pPr>
              <w:spacing w:before="120" w:after="120"/>
              <w:jc w:val="center"/>
              <w:rPr>
                <w:rFonts w:ascii="Arial Narrow" w:hAnsi="Arial Narrow"/>
                <w:b/>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586" w:type="dxa"/>
            <w:gridSpan w:val="2"/>
            <w:shd w:val="clear" w:color="auto" w:fill="BDD7EE"/>
            <w:vAlign w:val="center"/>
            <w:hideMark/>
          </w:tcPr>
          <w:p w14:paraId="406AC7EE" w14:textId="77777777" w:rsidR="00E42B18" w:rsidRDefault="009629C4">
            <w:pPr>
              <w:pStyle w:val="P68B1DB1-Normal10"/>
              <w:spacing w:before="120" w:after="120"/>
              <w:jc w:val="center"/>
              <w:rPr>
                <w:noProof/>
                <w:szCs w:val="20"/>
              </w:rPr>
            </w:pPr>
            <w:r>
              <w:rPr>
                <w:noProof/>
              </w:rPr>
              <w:t>Alustava toteutusaikataulu</w:t>
            </w:r>
          </w:p>
        </w:tc>
        <w:tc>
          <w:tcPr>
            <w:tcW w:w="2881" w:type="dxa"/>
            <w:vMerge w:val="restart"/>
            <w:shd w:val="clear" w:color="auto" w:fill="BDD7EE"/>
            <w:vAlign w:val="center"/>
            <w:hideMark/>
          </w:tcPr>
          <w:p w14:paraId="5B84C855" w14:textId="77777777" w:rsidR="00E42B18" w:rsidRDefault="009629C4">
            <w:pPr>
              <w:pStyle w:val="P68B1DB1-Normal10"/>
              <w:spacing w:before="120" w:after="120"/>
              <w:jc w:val="center"/>
              <w:rPr>
                <w:noProof/>
                <w:szCs w:val="20"/>
              </w:rPr>
            </w:pPr>
            <w:r>
              <w:rPr>
                <w:noProof/>
              </w:rPr>
              <w:t>Kunkin välitavoitteen ja tavoitteen kuvaus</w:t>
            </w:r>
          </w:p>
        </w:tc>
      </w:tr>
      <w:tr w:rsidR="00E42B18" w14:paraId="259553DC" w14:textId="77777777">
        <w:trPr>
          <w:trHeight w:val="883"/>
          <w:tblHeader/>
          <w:jc w:val="center"/>
        </w:trPr>
        <w:tc>
          <w:tcPr>
            <w:tcW w:w="1140" w:type="dxa"/>
            <w:vMerge/>
            <w:vAlign w:val="center"/>
            <w:hideMark/>
          </w:tcPr>
          <w:p w14:paraId="5A05B17F" w14:textId="77777777" w:rsidR="00E42B18" w:rsidRDefault="00E42B18">
            <w:pPr>
              <w:spacing w:before="120" w:after="120"/>
              <w:jc w:val="center"/>
              <w:rPr>
                <w:rFonts w:ascii="Arial Narrow" w:hAnsi="Arial Narrow"/>
                <w:b/>
                <w:noProof/>
                <w:sz w:val="20"/>
                <w:szCs w:val="20"/>
              </w:rPr>
            </w:pPr>
          </w:p>
        </w:tc>
        <w:tc>
          <w:tcPr>
            <w:tcW w:w="1418" w:type="dxa"/>
            <w:vMerge/>
            <w:vAlign w:val="center"/>
            <w:hideMark/>
          </w:tcPr>
          <w:p w14:paraId="27774D40" w14:textId="77777777" w:rsidR="00E42B18" w:rsidRDefault="00E42B18">
            <w:pPr>
              <w:spacing w:before="120" w:after="120"/>
              <w:jc w:val="center"/>
              <w:rPr>
                <w:rFonts w:ascii="Arial Narrow" w:hAnsi="Arial Narrow"/>
                <w:b/>
                <w:noProof/>
                <w:sz w:val="20"/>
                <w:szCs w:val="20"/>
              </w:rPr>
            </w:pPr>
          </w:p>
        </w:tc>
        <w:tc>
          <w:tcPr>
            <w:tcW w:w="1134" w:type="dxa"/>
            <w:vMerge/>
            <w:vAlign w:val="center"/>
            <w:hideMark/>
          </w:tcPr>
          <w:p w14:paraId="26DB4A3F" w14:textId="77777777" w:rsidR="00E42B18" w:rsidRDefault="00E42B18">
            <w:pPr>
              <w:spacing w:before="120" w:after="120"/>
              <w:jc w:val="center"/>
              <w:rPr>
                <w:rFonts w:ascii="Arial Narrow" w:hAnsi="Arial Narrow"/>
                <w:b/>
                <w:noProof/>
                <w:sz w:val="20"/>
                <w:szCs w:val="20"/>
              </w:rPr>
            </w:pPr>
          </w:p>
        </w:tc>
        <w:tc>
          <w:tcPr>
            <w:tcW w:w="1559" w:type="dxa"/>
            <w:vMerge/>
            <w:vAlign w:val="center"/>
            <w:hideMark/>
          </w:tcPr>
          <w:p w14:paraId="45BC1CFE" w14:textId="77777777" w:rsidR="00E42B18" w:rsidRDefault="00E42B18">
            <w:pPr>
              <w:spacing w:before="120" w:after="120"/>
              <w:jc w:val="center"/>
              <w:rPr>
                <w:rFonts w:ascii="Arial Narrow" w:hAnsi="Arial Narrow"/>
                <w:b/>
                <w:noProof/>
                <w:sz w:val="20"/>
                <w:szCs w:val="20"/>
              </w:rPr>
            </w:pPr>
          </w:p>
        </w:tc>
        <w:tc>
          <w:tcPr>
            <w:tcW w:w="1701" w:type="dxa"/>
            <w:vMerge/>
            <w:vAlign w:val="center"/>
            <w:hideMark/>
          </w:tcPr>
          <w:p w14:paraId="5CB10866" w14:textId="77777777" w:rsidR="00E42B18" w:rsidRDefault="00E42B18">
            <w:pPr>
              <w:spacing w:before="120" w:after="120"/>
              <w:jc w:val="center"/>
              <w:rPr>
                <w:rFonts w:ascii="Arial Narrow" w:hAnsi="Arial Narrow"/>
                <w:b/>
                <w:noProof/>
                <w:sz w:val="20"/>
                <w:szCs w:val="20"/>
              </w:rPr>
            </w:pPr>
          </w:p>
        </w:tc>
        <w:tc>
          <w:tcPr>
            <w:tcW w:w="1276" w:type="dxa"/>
            <w:shd w:val="clear" w:color="auto" w:fill="BDD7EE"/>
            <w:vAlign w:val="center"/>
            <w:hideMark/>
          </w:tcPr>
          <w:p w14:paraId="0E9C1FE1" w14:textId="77777777" w:rsidR="00E42B18" w:rsidRDefault="009629C4">
            <w:pPr>
              <w:pStyle w:val="P68B1DB1-Normal10"/>
              <w:spacing w:before="120" w:after="120"/>
              <w:jc w:val="center"/>
              <w:rPr>
                <w:noProof/>
                <w:szCs w:val="20"/>
              </w:rPr>
            </w:pPr>
            <w:r>
              <w:rPr>
                <w:noProof/>
              </w:rPr>
              <w:t>Mitta-yksikkö</w:t>
            </w:r>
          </w:p>
        </w:tc>
        <w:tc>
          <w:tcPr>
            <w:tcW w:w="1134" w:type="dxa"/>
            <w:shd w:val="clear" w:color="auto" w:fill="BDD7EE"/>
            <w:vAlign w:val="center"/>
            <w:hideMark/>
          </w:tcPr>
          <w:p w14:paraId="167FA0A8" w14:textId="77777777" w:rsidR="00E42B18" w:rsidRDefault="009629C4">
            <w:pPr>
              <w:pStyle w:val="P68B1DB1-Normal10"/>
              <w:spacing w:before="120" w:after="120"/>
              <w:jc w:val="center"/>
              <w:rPr>
                <w:noProof/>
                <w:szCs w:val="20"/>
              </w:rPr>
            </w:pPr>
            <w:r>
              <w:rPr>
                <w:noProof/>
              </w:rPr>
              <w:t>Lähtötilanne</w:t>
            </w:r>
          </w:p>
        </w:tc>
        <w:tc>
          <w:tcPr>
            <w:tcW w:w="1276" w:type="dxa"/>
            <w:shd w:val="clear" w:color="auto" w:fill="BDD7EE"/>
            <w:vAlign w:val="center"/>
            <w:hideMark/>
          </w:tcPr>
          <w:p w14:paraId="3942FD10" w14:textId="77777777" w:rsidR="00E42B18" w:rsidRDefault="009629C4">
            <w:pPr>
              <w:pStyle w:val="P68B1DB1-Normal10"/>
              <w:spacing w:before="120" w:after="120"/>
              <w:jc w:val="center"/>
              <w:rPr>
                <w:noProof/>
                <w:szCs w:val="20"/>
              </w:rPr>
            </w:pPr>
            <w:r>
              <w:rPr>
                <w:noProof/>
              </w:rPr>
              <w:t>Päämäärä</w:t>
            </w:r>
          </w:p>
        </w:tc>
        <w:tc>
          <w:tcPr>
            <w:tcW w:w="865" w:type="dxa"/>
            <w:shd w:val="clear" w:color="auto" w:fill="BDD7EE"/>
            <w:vAlign w:val="center"/>
            <w:hideMark/>
          </w:tcPr>
          <w:p w14:paraId="59F312D9" w14:textId="77777777" w:rsidR="00E42B18" w:rsidRDefault="009629C4">
            <w:pPr>
              <w:pStyle w:val="P68B1DB1-Normal10"/>
              <w:spacing w:before="120" w:after="120"/>
              <w:jc w:val="center"/>
              <w:rPr>
                <w:noProof/>
                <w:szCs w:val="20"/>
              </w:rPr>
            </w:pPr>
            <w:r>
              <w:rPr>
                <w:noProof/>
              </w:rPr>
              <w:t>Neljännes</w:t>
            </w:r>
          </w:p>
        </w:tc>
        <w:tc>
          <w:tcPr>
            <w:tcW w:w="721" w:type="dxa"/>
            <w:shd w:val="clear" w:color="auto" w:fill="BDD7EE"/>
            <w:vAlign w:val="center"/>
            <w:hideMark/>
          </w:tcPr>
          <w:p w14:paraId="5D26E5F9" w14:textId="77777777" w:rsidR="00E42B18" w:rsidRDefault="009629C4">
            <w:pPr>
              <w:pStyle w:val="P68B1DB1-Normal10"/>
              <w:spacing w:before="120" w:after="120"/>
              <w:jc w:val="center"/>
              <w:rPr>
                <w:noProof/>
                <w:szCs w:val="20"/>
              </w:rPr>
            </w:pPr>
            <w:r>
              <w:rPr>
                <w:noProof/>
              </w:rPr>
              <w:t>Vuosi</w:t>
            </w:r>
          </w:p>
        </w:tc>
        <w:tc>
          <w:tcPr>
            <w:tcW w:w="2881" w:type="dxa"/>
            <w:vMerge/>
            <w:vAlign w:val="center"/>
            <w:hideMark/>
          </w:tcPr>
          <w:p w14:paraId="385164D0" w14:textId="77777777" w:rsidR="00E42B18" w:rsidRDefault="00E42B18">
            <w:pPr>
              <w:spacing w:before="120" w:after="120"/>
              <w:rPr>
                <w:rFonts w:ascii="Arial Narrow" w:hAnsi="Arial Narrow"/>
                <w:b/>
                <w:noProof/>
                <w:sz w:val="20"/>
                <w:szCs w:val="20"/>
              </w:rPr>
            </w:pPr>
          </w:p>
        </w:tc>
      </w:tr>
      <w:tr w:rsidR="00E42B18" w14:paraId="3F40E53E" w14:textId="77777777">
        <w:trPr>
          <w:trHeight w:val="313"/>
          <w:jc w:val="center"/>
        </w:trPr>
        <w:tc>
          <w:tcPr>
            <w:tcW w:w="1140" w:type="dxa"/>
            <w:shd w:val="clear" w:color="auto" w:fill="C6EFCE"/>
            <w:noWrap/>
            <w:vAlign w:val="center"/>
          </w:tcPr>
          <w:p w14:paraId="6CBEDFA8" w14:textId="77777777" w:rsidR="00E42B18" w:rsidRDefault="009629C4">
            <w:pPr>
              <w:pStyle w:val="P68B1DB1-Normal11"/>
              <w:spacing w:before="120" w:after="120"/>
              <w:jc w:val="center"/>
              <w:rPr>
                <w:noProof/>
                <w:szCs w:val="20"/>
              </w:rPr>
            </w:pPr>
            <w:r>
              <w:rPr>
                <w:noProof/>
              </w:rPr>
              <w:t>M6C2–4</w:t>
            </w:r>
          </w:p>
        </w:tc>
        <w:tc>
          <w:tcPr>
            <w:tcW w:w="1418" w:type="dxa"/>
            <w:shd w:val="clear" w:color="auto" w:fill="C6EFCE"/>
            <w:noWrap/>
            <w:vAlign w:val="center"/>
          </w:tcPr>
          <w:p w14:paraId="71972DD5" w14:textId="77777777" w:rsidR="00E42B18" w:rsidRDefault="009629C4">
            <w:pPr>
              <w:pStyle w:val="P68B1DB1-Normal103"/>
              <w:spacing w:before="120" w:after="120"/>
              <w:jc w:val="center"/>
              <w:rPr>
                <w:noProof/>
                <w:color w:val="006100"/>
                <w:szCs w:val="20"/>
              </w:rPr>
            </w:pPr>
            <w:r>
              <w:rPr>
                <w:noProof/>
              </w:rPr>
              <w:t>Investointi 1.1: Sairaaloiden teknisten laitteiden digitaalinen päivitys</w:t>
            </w:r>
          </w:p>
        </w:tc>
        <w:tc>
          <w:tcPr>
            <w:tcW w:w="1134" w:type="dxa"/>
            <w:shd w:val="clear" w:color="auto" w:fill="C6EFCE"/>
            <w:noWrap/>
            <w:vAlign w:val="center"/>
          </w:tcPr>
          <w:p w14:paraId="4FC643AE" w14:textId="77777777" w:rsidR="00E42B18" w:rsidRDefault="009629C4">
            <w:pPr>
              <w:pStyle w:val="P68B1DB1-Normal103"/>
              <w:spacing w:before="120" w:after="120"/>
              <w:jc w:val="center"/>
              <w:rPr>
                <w:noProof/>
                <w:color w:val="006100"/>
                <w:szCs w:val="20"/>
              </w:rPr>
            </w:pPr>
            <w:r>
              <w:rPr>
                <w:noProof/>
              </w:rPr>
              <w:t>Virstanpylväs</w:t>
            </w:r>
          </w:p>
        </w:tc>
        <w:tc>
          <w:tcPr>
            <w:tcW w:w="1559" w:type="dxa"/>
            <w:shd w:val="clear" w:color="auto" w:fill="C6EFCE"/>
            <w:noWrap/>
            <w:vAlign w:val="center"/>
          </w:tcPr>
          <w:p w14:paraId="041F5B6E" w14:textId="77777777" w:rsidR="00E42B18" w:rsidRDefault="009629C4">
            <w:pPr>
              <w:pStyle w:val="P68B1DB1-Normal103"/>
              <w:spacing w:before="120" w:after="120"/>
              <w:jc w:val="center"/>
              <w:rPr>
                <w:rFonts w:eastAsia="Calibri"/>
                <w:noProof/>
                <w:szCs w:val="20"/>
              </w:rPr>
            </w:pPr>
            <w:r>
              <w:rPr>
                <w:noProof/>
              </w:rPr>
              <w:t xml:space="preserve">Italian terveysministeriön hyväksymä tervehdyttämissuunnitelma </w:t>
            </w:r>
          </w:p>
        </w:tc>
        <w:tc>
          <w:tcPr>
            <w:tcW w:w="1701" w:type="dxa"/>
            <w:shd w:val="clear" w:color="auto" w:fill="C6EFCE"/>
            <w:noWrap/>
            <w:vAlign w:val="center"/>
          </w:tcPr>
          <w:p w14:paraId="4203500C" w14:textId="77777777" w:rsidR="00E42B18" w:rsidRDefault="009629C4">
            <w:pPr>
              <w:pStyle w:val="P68B1DB1-Normal103"/>
              <w:spacing w:before="120" w:after="120"/>
              <w:jc w:val="center"/>
              <w:rPr>
                <w:rFonts w:eastAsia="Calibri"/>
                <w:noProof/>
                <w:szCs w:val="20"/>
              </w:rPr>
            </w:pPr>
            <w:r>
              <w:rPr>
                <w:noProof/>
              </w:rPr>
              <w:t>Hyväksynnästä ilmoittaminen</w:t>
            </w:r>
          </w:p>
        </w:tc>
        <w:tc>
          <w:tcPr>
            <w:tcW w:w="1276" w:type="dxa"/>
            <w:shd w:val="clear" w:color="auto" w:fill="C6EFCE"/>
            <w:noWrap/>
            <w:vAlign w:val="center"/>
          </w:tcPr>
          <w:p w14:paraId="1422A1F9" w14:textId="77777777" w:rsidR="00E42B18" w:rsidRDefault="009629C4">
            <w:pPr>
              <w:pStyle w:val="P68B1DB1-Normal103"/>
              <w:spacing w:before="120" w:after="120"/>
              <w:jc w:val="center"/>
              <w:rPr>
                <w:noProof/>
                <w:color w:val="006100"/>
                <w:szCs w:val="20"/>
              </w:rPr>
            </w:pPr>
            <w:r>
              <w:rPr>
                <w:noProof/>
              </w:rPr>
              <w:t>EI OLE</w:t>
            </w:r>
          </w:p>
        </w:tc>
        <w:tc>
          <w:tcPr>
            <w:tcW w:w="1134" w:type="dxa"/>
            <w:shd w:val="clear" w:color="auto" w:fill="C6EFCE"/>
            <w:noWrap/>
            <w:vAlign w:val="center"/>
          </w:tcPr>
          <w:p w14:paraId="0FAC771F"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66629370" w14:textId="77777777" w:rsidR="00E42B18" w:rsidRDefault="009629C4">
            <w:pPr>
              <w:pStyle w:val="P68B1DB1-Normal103"/>
              <w:spacing w:before="120" w:after="120"/>
              <w:jc w:val="center"/>
              <w:rPr>
                <w:noProof/>
                <w:color w:val="006100"/>
                <w:szCs w:val="20"/>
              </w:rPr>
            </w:pPr>
            <w:r>
              <w:rPr>
                <w:noProof/>
              </w:rPr>
              <w:t>EI OLE</w:t>
            </w:r>
          </w:p>
        </w:tc>
        <w:tc>
          <w:tcPr>
            <w:tcW w:w="865" w:type="dxa"/>
            <w:shd w:val="clear" w:color="auto" w:fill="C6EFCE"/>
            <w:noWrap/>
            <w:vAlign w:val="center"/>
          </w:tcPr>
          <w:p w14:paraId="6EBF0BD9" w14:textId="77777777" w:rsidR="00E42B18" w:rsidRDefault="009629C4">
            <w:pPr>
              <w:pStyle w:val="P68B1DB1-Normal103"/>
              <w:spacing w:before="120" w:after="120"/>
              <w:jc w:val="center"/>
              <w:rPr>
                <w:noProof/>
                <w:color w:val="006100"/>
                <w:szCs w:val="20"/>
              </w:rPr>
            </w:pPr>
            <w:r>
              <w:rPr>
                <w:noProof/>
              </w:rPr>
              <w:t>Q4</w:t>
            </w:r>
          </w:p>
        </w:tc>
        <w:tc>
          <w:tcPr>
            <w:tcW w:w="721" w:type="dxa"/>
            <w:shd w:val="clear" w:color="auto" w:fill="C6EFCE"/>
            <w:noWrap/>
            <w:vAlign w:val="center"/>
          </w:tcPr>
          <w:p w14:paraId="32366DB5" w14:textId="77777777" w:rsidR="00E42B18" w:rsidRDefault="009629C4">
            <w:pPr>
              <w:pStyle w:val="P68B1DB1-Normal103"/>
              <w:spacing w:before="120" w:after="120"/>
              <w:jc w:val="center"/>
              <w:rPr>
                <w:noProof/>
                <w:color w:val="006100"/>
                <w:szCs w:val="20"/>
              </w:rPr>
            </w:pPr>
            <w:r>
              <w:rPr>
                <w:noProof/>
              </w:rPr>
              <w:t>2021</w:t>
            </w:r>
          </w:p>
        </w:tc>
        <w:tc>
          <w:tcPr>
            <w:tcW w:w="2881" w:type="dxa"/>
            <w:shd w:val="clear" w:color="auto" w:fill="C6EFCE"/>
            <w:noWrap/>
            <w:vAlign w:val="center"/>
          </w:tcPr>
          <w:p w14:paraId="6D1B858E" w14:textId="77777777" w:rsidR="00E42B18" w:rsidRDefault="009629C4">
            <w:pPr>
              <w:pStyle w:val="P68B1DB1-Normal103"/>
              <w:spacing w:before="120" w:after="120"/>
              <w:rPr>
                <w:noProof/>
                <w:szCs w:val="20"/>
              </w:rPr>
            </w:pPr>
            <w:r>
              <w:rPr>
                <w:noProof/>
              </w:rPr>
              <w:t>Hyväksytään uudelleenjärjestelysuunnitelma, jolla vahvistetaan NHS:n sairaaloiden valmiuksia reagoida asianmukaisesti pandemiaan liittyviin hätätilanteisiin lisäämällä vuodepaikkojen määrää tehohoitoyksiköissä ja alivaltaisissa hoitoyksiköissä.</w:t>
            </w:r>
          </w:p>
          <w:p w14:paraId="53DF7964" w14:textId="77777777" w:rsidR="00E42B18" w:rsidRDefault="009629C4">
            <w:pPr>
              <w:pStyle w:val="P68B1DB1-Normal103"/>
              <w:spacing w:before="120" w:after="120"/>
              <w:rPr>
                <w:noProof/>
                <w:szCs w:val="20"/>
              </w:rPr>
            </w:pPr>
            <w:r>
              <w:rPr>
                <w:noProof/>
              </w:rPr>
              <w:t>Sairaalan tervehdyttämissuunnitelmalla lisätään NHS:n sairaaloiden tehohoitoyksiköissä ja puoli-intensiivisissä hoitoyksiköissä saatavilla olevien vuodepaikkojen määrää.</w:t>
            </w:r>
          </w:p>
        </w:tc>
      </w:tr>
      <w:tr w:rsidR="00E42B18" w14:paraId="3B4E4407" w14:textId="77777777">
        <w:trPr>
          <w:trHeight w:val="313"/>
          <w:jc w:val="center"/>
        </w:trPr>
        <w:tc>
          <w:tcPr>
            <w:tcW w:w="1140" w:type="dxa"/>
            <w:shd w:val="clear" w:color="auto" w:fill="C6EFCE"/>
            <w:noWrap/>
            <w:vAlign w:val="center"/>
          </w:tcPr>
          <w:p w14:paraId="37A7554A" w14:textId="77777777" w:rsidR="00E42B18" w:rsidRDefault="009629C4">
            <w:pPr>
              <w:pStyle w:val="P68B1DB1-Normal11"/>
              <w:spacing w:before="120" w:after="120"/>
              <w:jc w:val="center"/>
              <w:rPr>
                <w:noProof/>
                <w:szCs w:val="20"/>
              </w:rPr>
            </w:pPr>
            <w:r>
              <w:rPr>
                <w:noProof/>
              </w:rPr>
              <w:t>M6C2–5</w:t>
            </w:r>
          </w:p>
        </w:tc>
        <w:tc>
          <w:tcPr>
            <w:tcW w:w="1418" w:type="dxa"/>
            <w:shd w:val="clear" w:color="auto" w:fill="C6EFCE"/>
            <w:noWrap/>
            <w:vAlign w:val="center"/>
          </w:tcPr>
          <w:p w14:paraId="297FC297" w14:textId="77777777" w:rsidR="00E42B18" w:rsidRDefault="009629C4">
            <w:pPr>
              <w:pStyle w:val="P68B1DB1-Normal103"/>
              <w:spacing w:before="120" w:after="120"/>
              <w:jc w:val="center"/>
              <w:rPr>
                <w:noProof/>
                <w:color w:val="006100"/>
                <w:szCs w:val="20"/>
              </w:rPr>
            </w:pPr>
            <w:r>
              <w:rPr>
                <w:noProof/>
              </w:rPr>
              <w:t>Investointi 1.1: Sairaaloiden teknisten laitteiden digitaalinen päivitys</w:t>
            </w:r>
          </w:p>
        </w:tc>
        <w:tc>
          <w:tcPr>
            <w:tcW w:w="1134" w:type="dxa"/>
            <w:shd w:val="clear" w:color="auto" w:fill="C6EFCE"/>
            <w:noWrap/>
            <w:vAlign w:val="center"/>
          </w:tcPr>
          <w:p w14:paraId="2558D201" w14:textId="77777777" w:rsidR="00E42B18" w:rsidRDefault="009629C4">
            <w:pPr>
              <w:pStyle w:val="P68B1DB1-Normal103"/>
              <w:spacing w:before="120" w:after="120"/>
              <w:jc w:val="center"/>
              <w:rPr>
                <w:noProof/>
                <w:color w:val="006100"/>
                <w:szCs w:val="20"/>
              </w:rPr>
            </w:pPr>
            <w:r>
              <w:rPr>
                <w:noProof/>
              </w:rPr>
              <w:t>Virstanpylväs</w:t>
            </w:r>
          </w:p>
        </w:tc>
        <w:tc>
          <w:tcPr>
            <w:tcW w:w="1559" w:type="dxa"/>
            <w:shd w:val="clear" w:color="auto" w:fill="C6EFCE"/>
            <w:noWrap/>
            <w:vAlign w:val="center"/>
          </w:tcPr>
          <w:p w14:paraId="5B7D3E36" w14:textId="77777777" w:rsidR="00E42B18" w:rsidRDefault="009629C4">
            <w:pPr>
              <w:pStyle w:val="P68B1DB1-Normal103"/>
              <w:spacing w:before="120" w:after="120"/>
              <w:jc w:val="center"/>
              <w:rPr>
                <w:rFonts w:eastAsia="Calibri"/>
                <w:noProof/>
                <w:szCs w:val="20"/>
              </w:rPr>
            </w:pPr>
            <w:r>
              <w:rPr>
                <w:noProof/>
              </w:rPr>
              <w:t xml:space="preserve"> Instituutioiden kehittämistä koskevan sopimuksen hyväksyminen </w:t>
            </w:r>
          </w:p>
        </w:tc>
        <w:tc>
          <w:tcPr>
            <w:tcW w:w="1701" w:type="dxa"/>
            <w:shd w:val="clear" w:color="auto" w:fill="C6EFCE"/>
            <w:noWrap/>
            <w:vAlign w:val="center"/>
          </w:tcPr>
          <w:p w14:paraId="6EC89341" w14:textId="77777777" w:rsidR="00E42B18" w:rsidRDefault="009629C4">
            <w:pPr>
              <w:pStyle w:val="P68B1DB1-Normal103"/>
              <w:spacing w:before="120" w:after="120"/>
              <w:jc w:val="center"/>
              <w:rPr>
                <w:noProof/>
                <w:szCs w:val="20"/>
              </w:rPr>
            </w:pPr>
            <w:r>
              <w:rPr>
                <w:noProof/>
              </w:rPr>
              <w:t>Italian terveys- ja alueministeriön ilmoitus instituutioiden kehittämistä koskevan sopimuksen allekirjoittamisesta</w:t>
            </w:r>
          </w:p>
        </w:tc>
        <w:tc>
          <w:tcPr>
            <w:tcW w:w="1276" w:type="dxa"/>
            <w:shd w:val="clear" w:color="auto" w:fill="C6EFCE"/>
            <w:noWrap/>
            <w:vAlign w:val="center"/>
          </w:tcPr>
          <w:p w14:paraId="1FC60533" w14:textId="77777777" w:rsidR="00E42B18" w:rsidRDefault="009629C4">
            <w:pPr>
              <w:pStyle w:val="P68B1DB1-Normal103"/>
              <w:spacing w:before="120" w:after="120"/>
              <w:jc w:val="center"/>
              <w:rPr>
                <w:noProof/>
                <w:color w:val="006100"/>
                <w:szCs w:val="20"/>
              </w:rPr>
            </w:pPr>
            <w:r>
              <w:rPr>
                <w:noProof/>
              </w:rPr>
              <w:t>EI OLE</w:t>
            </w:r>
          </w:p>
        </w:tc>
        <w:tc>
          <w:tcPr>
            <w:tcW w:w="1134" w:type="dxa"/>
            <w:shd w:val="clear" w:color="auto" w:fill="C6EFCE"/>
            <w:noWrap/>
            <w:vAlign w:val="center"/>
          </w:tcPr>
          <w:p w14:paraId="0AC22E40"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567513FB" w14:textId="77777777" w:rsidR="00E42B18" w:rsidRDefault="009629C4">
            <w:pPr>
              <w:pStyle w:val="P68B1DB1-Normal103"/>
              <w:spacing w:before="120" w:after="120"/>
              <w:jc w:val="center"/>
              <w:rPr>
                <w:noProof/>
                <w:color w:val="006100"/>
                <w:szCs w:val="20"/>
              </w:rPr>
            </w:pPr>
            <w:r>
              <w:rPr>
                <w:noProof/>
              </w:rPr>
              <w:t>EI OLE</w:t>
            </w:r>
          </w:p>
        </w:tc>
        <w:tc>
          <w:tcPr>
            <w:tcW w:w="865" w:type="dxa"/>
            <w:shd w:val="clear" w:color="auto" w:fill="C6EFCE"/>
            <w:noWrap/>
            <w:vAlign w:val="center"/>
          </w:tcPr>
          <w:p w14:paraId="648C7001" w14:textId="77777777" w:rsidR="00E42B18" w:rsidRDefault="009629C4">
            <w:pPr>
              <w:pStyle w:val="P68B1DB1-Normal103"/>
              <w:spacing w:before="120" w:after="120"/>
              <w:jc w:val="center"/>
              <w:rPr>
                <w:noProof/>
                <w:color w:val="006100"/>
                <w:szCs w:val="20"/>
              </w:rPr>
            </w:pPr>
            <w:r>
              <w:rPr>
                <w:noProof/>
              </w:rPr>
              <w:t>Q2</w:t>
            </w:r>
          </w:p>
        </w:tc>
        <w:tc>
          <w:tcPr>
            <w:tcW w:w="721" w:type="dxa"/>
            <w:shd w:val="clear" w:color="auto" w:fill="C6EFCE"/>
            <w:noWrap/>
            <w:vAlign w:val="center"/>
          </w:tcPr>
          <w:p w14:paraId="7AB1BECF" w14:textId="77777777" w:rsidR="00E42B18" w:rsidRDefault="009629C4">
            <w:pPr>
              <w:pStyle w:val="P68B1DB1-Normal103"/>
              <w:spacing w:before="120" w:after="120"/>
              <w:jc w:val="center"/>
              <w:rPr>
                <w:noProof/>
                <w:color w:val="006100"/>
                <w:szCs w:val="20"/>
              </w:rPr>
            </w:pPr>
            <w:r>
              <w:rPr>
                <w:noProof/>
              </w:rPr>
              <w:t>2022</w:t>
            </w:r>
          </w:p>
        </w:tc>
        <w:tc>
          <w:tcPr>
            <w:tcW w:w="2881" w:type="dxa"/>
            <w:shd w:val="clear" w:color="auto" w:fill="C6EFCE"/>
            <w:noWrap/>
            <w:vAlign w:val="center"/>
          </w:tcPr>
          <w:p w14:paraId="0FF21359" w14:textId="77777777" w:rsidR="00E42B18" w:rsidRDefault="009629C4">
            <w:pPr>
              <w:pStyle w:val="P68B1DB1-Normal103"/>
              <w:spacing w:before="120" w:after="120"/>
              <w:rPr>
                <w:rFonts w:eastAsia="Calibri"/>
                <w:noProof/>
                <w:szCs w:val="20"/>
              </w:rPr>
            </w:pPr>
            <w:r>
              <w:rPr>
                <w:noProof/>
              </w:rPr>
              <w:t>Instituutioiden kehittämistä koskevan sopimuksen (Contratto Istituzionale di Sviluppo) hyväksyminen, jossa Italian terveysministeriö on asiasta vastaava viranomainen ja täytäntöönpanoviranomainen, sekä aluehallintojen ja muiden keskeisten sidosryhmien osallistuminen.</w:t>
            </w:r>
          </w:p>
          <w:p w14:paraId="54DCF275" w14:textId="77777777" w:rsidR="00E42B18" w:rsidRDefault="009629C4">
            <w:pPr>
              <w:pStyle w:val="P68B1DB1-Normal103"/>
              <w:spacing w:before="120" w:after="120"/>
              <w:rPr>
                <w:rFonts w:eastAsia="Calibri"/>
                <w:noProof/>
                <w:szCs w:val="20"/>
              </w:rPr>
            </w:pPr>
            <w:r>
              <w:rPr>
                <w:noProof/>
              </w:rPr>
              <w:t>Instituutioiden kehittämistä koskeva sopimus on nykyisessä kansallisessa lainsäädännössä (31 päivänä toukokuuta 2011 annetun asetuksen nro 88 1 ja 6 §:n ja 20 päivänä kesäkuuta 2017 annetun asetuksen nro 91 7 §:n ja 3 päivänä elokuuta 2017 annetun lain nro 123) mukainen väline, jolla nopeutetaan toisiinsa toiminnallisesti liittyvien strategisten hankkeiden toteuttamista. Institutionaalista kehittämistä koskevassa sopimuksessa on lueteltava kaikki i-investointeihin soveltuvat kohteet sekä velvoitteet, jotka kunkin alueen on täytettävä varmistaakseen odotetun tuloksen saavuttamisen. Jos jokin alue rikkoo sääntöjä, terveysministeriö ryhtyy komission jäseneen ”ad acta”.</w:t>
            </w:r>
          </w:p>
        </w:tc>
      </w:tr>
      <w:tr w:rsidR="00E42B18" w14:paraId="58B5F9F4" w14:textId="77777777">
        <w:trPr>
          <w:trHeight w:val="313"/>
          <w:jc w:val="center"/>
        </w:trPr>
        <w:tc>
          <w:tcPr>
            <w:tcW w:w="1140" w:type="dxa"/>
            <w:shd w:val="clear" w:color="auto" w:fill="C6EFCE"/>
            <w:noWrap/>
            <w:vAlign w:val="center"/>
          </w:tcPr>
          <w:p w14:paraId="44948BFF" w14:textId="77777777" w:rsidR="00E42B18" w:rsidRDefault="009629C4">
            <w:pPr>
              <w:pStyle w:val="P68B1DB1-Normal12"/>
              <w:spacing w:before="120" w:after="120"/>
              <w:jc w:val="center"/>
              <w:rPr>
                <w:noProof/>
              </w:rPr>
            </w:pPr>
            <w:r>
              <w:rPr>
                <w:noProof/>
              </w:rPr>
              <w:t>M6C2–6</w:t>
            </w:r>
          </w:p>
        </w:tc>
        <w:tc>
          <w:tcPr>
            <w:tcW w:w="1418" w:type="dxa"/>
            <w:shd w:val="clear" w:color="auto" w:fill="C6EFCE"/>
            <w:noWrap/>
            <w:vAlign w:val="center"/>
          </w:tcPr>
          <w:p w14:paraId="11CB8C1B" w14:textId="77777777" w:rsidR="00E42B18" w:rsidRDefault="009629C4">
            <w:pPr>
              <w:pStyle w:val="P68B1DB1-Normal103"/>
              <w:spacing w:before="120" w:after="120"/>
              <w:jc w:val="center"/>
              <w:rPr>
                <w:noProof/>
                <w:color w:val="006100"/>
                <w:szCs w:val="20"/>
              </w:rPr>
            </w:pPr>
            <w:r>
              <w:rPr>
                <w:noProof/>
              </w:rPr>
              <w:t>Investointi 1.1: Sairaaloiden teknisten laitteiden digitaalinen päivitys</w:t>
            </w:r>
          </w:p>
        </w:tc>
        <w:tc>
          <w:tcPr>
            <w:tcW w:w="1134" w:type="dxa"/>
            <w:shd w:val="clear" w:color="auto" w:fill="C6EFCE"/>
            <w:noWrap/>
            <w:vAlign w:val="center"/>
          </w:tcPr>
          <w:p w14:paraId="48CAB2D0" w14:textId="77777777" w:rsidR="00E42B18" w:rsidRDefault="009629C4">
            <w:pPr>
              <w:pStyle w:val="P68B1DB1-Normal104"/>
              <w:spacing w:before="120" w:after="120"/>
              <w:jc w:val="center"/>
              <w:rPr>
                <w:noProof/>
                <w:color w:val="006100"/>
              </w:rPr>
            </w:pPr>
            <w:r>
              <w:rPr>
                <w:noProof/>
              </w:rPr>
              <w:t>Kohde</w:t>
            </w:r>
          </w:p>
        </w:tc>
        <w:tc>
          <w:tcPr>
            <w:tcW w:w="1559" w:type="dxa"/>
            <w:shd w:val="clear" w:color="auto" w:fill="C6EFCE"/>
            <w:noWrap/>
            <w:vAlign w:val="center"/>
          </w:tcPr>
          <w:p w14:paraId="233AA896" w14:textId="08A6FD8D" w:rsidR="00E42B18" w:rsidRDefault="009629C4">
            <w:pPr>
              <w:pStyle w:val="P68B1DB1-Normal104"/>
              <w:spacing w:before="120" w:after="120"/>
              <w:jc w:val="center"/>
              <w:rPr>
                <w:noProof/>
                <w:color w:val="006100"/>
              </w:rPr>
            </w:pPr>
            <w:r>
              <w:rPr>
                <w:noProof/>
              </w:rPr>
              <w:t xml:space="preserve">Suurten diagnostisten laitteiden toimittaminen </w:t>
            </w:r>
          </w:p>
        </w:tc>
        <w:tc>
          <w:tcPr>
            <w:tcW w:w="1701" w:type="dxa"/>
            <w:shd w:val="clear" w:color="auto" w:fill="C6EFCE"/>
            <w:noWrap/>
            <w:vAlign w:val="center"/>
          </w:tcPr>
          <w:p w14:paraId="1C623FDC"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0038ABB3" w14:textId="77777777" w:rsidR="00E42B18" w:rsidRDefault="009629C4">
            <w:pPr>
              <w:pStyle w:val="P68B1DB1-Normal104"/>
              <w:spacing w:before="120" w:after="120"/>
              <w:jc w:val="center"/>
              <w:rPr>
                <w:noProof/>
                <w:color w:val="006100"/>
              </w:rPr>
            </w:pPr>
            <w:r>
              <w:rPr>
                <w:noProof/>
              </w:rPr>
              <w:t>Numero</w:t>
            </w:r>
          </w:p>
        </w:tc>
        <w:tc>
          <w:tcPr>
            <w:tcW w:w="1134" w:type="dxa"/>
            <w:shd w:val="clear" w:color="auto" w:fill="C6EFCE"/>
            <w:noWrap/>
            <w:vAlign w:val="center"/>
          </w:tcPr>
          <w:p w14:paraId="191F9E2A" w14:textId="77777777" w:rsidR="00E42B18" w:rsidRDefault="009629C4">
            <w:pPr>
              <w:pStyle w:val="P68B1DB1-Normal104"/>
              <w:spacing w:before="120" w:after="120"/>
              <w:jc w:val="center"/>
              <w:rPr>
                <w:noProof/>
                <w:color w:val="006100"/>
              </w:rPr>
            </w:pPr>
            <w:r>
              <w:rPr>
                <w:noProof/>
              </w:rPr>
              <w:t>0</w:t>
            </w:r>
          </w:p>
        </w:tc>
        <w:tc>
          <w:tcPr>
            <w:tcW w:w="1276" w:type="dxa"/>
            <w:shd w:val="clear" w:color="auto" w:fill="C6EFCE"/>
            <w:noWrap/>
            <w:vAlign w:val="center"/>
          </w:tcPr>
          <w:p w14:paraId="6D036435" w14:textId="211AF9F9" w:rsidR="00E42B18" w:rsidRDefault="009629C4">
            <w:pPr>
              <w:pStyle w:val="P68B1DB1-Normal104"/>
              <w:spacing w:before="120" w:after="120"/>
              <w:jc w:val="center"/>
              <w:rPr>
                <w:noProof/>
                <w:color w:val="006100"/>
              </w:rPr>
            </w:pPr>
            <w:r>
              <w:rPr>
                <w:noProof/>
              </w:rPr>
              <w:t>3 100</w:t>
            </w:r>
          </w:p>
        </w:tc>
        <w:tc>
          <w:tcPr>
            <w:tcW w:w="865" w:type="dxa"/>
            <w:shd w:val="clear" w:color="auto" w:fill="C6EFCE"/>
            <w:noWrap/>
            <w:vAlign w:val="center"/>
          </w:tcPr>
          <w:p w14:paraId="3628413E" w14:textId="77777777" w:rsidR="00E42B18" w:rsidRDefault="009629C4">
            <w:pPr>
              <w:pStyle w:val="P68B1DB1-Normal103"/>
              <w:spacing w:before="120" w:after="120"/>
              <w:jc w:val="center"/>
              <w:rPr>
                <w:noProof/>
                <w:szCs w:val="20"/>
              </w:rPr>
            </w:pPr>
            <w:r>
              <w:rPr>
                <w:noProof/>
              </w:rPr>
              <w:t>Q2</w:t>
            </w:r>
          </w:p>
        </w:tc>
        <w:tc>
          <w:tcPr>
            <w:tcW w:w="721" w:type="dxa"/>
            <w:shd w:val="clear" w:color="auto" w:fill="C6EFCE"/>
            <w:noWrap/>
            <w:vAlign w:val="center"/>
          </w:tcPr>
          <w:p w14:paraId="415BBA78" w14:textId="77777777" w:rsidR="00E42B18" w:rsidRDefault="009629C4">
            <w:pPr>
              <w:pStyle w:val="P68B1DB1-Normal103"/>
              <w:spacing w:before="120" w:after="120"/>
              <w:jc w:val="center"/>
              <w:rPr>
                <w:noProof/>
                <w:szCs w:val="20"/>
              </w:rPr>
            </w:pPr>
            <w:r>
              <w:rPr>
                <w:noProof/>
              </w:rPr>
              <w:t>2026</w:t>
            </w:r>
          </w:p>
        </w:tc>
        <w:tc>
          <w:tcPr>
            <w:tcW w:w="2881" w:type="dxa"/>
            <w:shd w:val="clear" w:color="auto" w:fill="C6EFCE"/>
            <w:noWrap/>
            <w:vAlign w:val="center"/>
          </w:tcPr>
          <w:p w14:paraId="770D6A5A" w14:textId="22F476C3" w:rsidR="00E42B18" w:rsidRDefault="009629C4">
            <w:pPr>
              <w:pStyle w:val="P68B1DB1-Normal104"/>
              <w:spacing w:before="120" w:after="120"/>
              <w:rPr>
                <w:noProof/>
                <w:color w:val="006100"/>
              </w:rPr>
            </w:pPr>
            <w:r>
              <w:rPr>
                <w:noProof/>
              </w:rPr>
              <w:t>Testaustodistukset tai käyttölupatodistukset 3100 suurelle diagnostiselle laitteelle. Toimitettavien laitteiden määrä ja tyypit ovat seuraavat: 290 laitetta (NMR – ydinmagneettinen resonanssi – vähintään 1,5 T; Lineaariset kiihdytyslaitteet; Pet/CT – positronipäästötomografia/tietokonetomografia); 655 laitetta (angigrafia; Gammakamerat, Gamma-kamerat/CT – tietokonetomografia; CT – tietokonetomografia); 2155 laitetta (kiinteät röntgenjärjestelmät; Mammografia; Ultraääni).</w:t>
            </w:r>
          </w:p>
        </w:tc>
      </w:tr>
      <w:tr w:rsidR="00E42B18" w14:paraId="7910B201" w14:textId="77777777">
        <w:trPr>
          <w:trHeight w:val="313"/>
          <w:jc w:val="center"/>
        </w:trPr>
        <w:tc>
          <w:tcPr>
            <w:tcW w:w="1140" w:type="dxa"/>
            <w:shd w:val="clear" w:color="auto" w:fill="C6EFCE"/>
            <w:noWrap/>
            <w:vAlign w:val="center"/>
          </w:tcPr>
          <w:p w14:paraId="5842D7D6" w14:textId="77777777" w:rsidR="00E42B18" w:rsidRDefault="009629C4">
            <w:pPr>
              <w:pStyle w:val="P68B1DB1-Normal11"/>
              <w:spacing w:before="120" w:after="120"/>
              <w:jc w:val="center"/>
              <w:rPr>
                <w:noProof/>
                <w:szCs w:val="20"/>
              </w:rPr>
            </w:pPr>
            <w:r>
              <w:rPr>
                <w:noProof/>
              </w:rPr>
              <w:t>M6C2–7</w:t>
            </w:r>
          </w:p>
        </w:tc>
        <w:tc>
          <w:tcPr>
            <w:tcW w:w="1418" w:type="dxa"/>
            <w:shd w:val="clear" w:color="auto" w:fill="C6EFCE"/>
            <w:noWrap/>
            <w:vAlign w:val="center"/>
          </w:tcPr>
          <w:p w14:paraId="175F108D" w14:textId="77777777" w:rsidR="00E42B18" w:rsidRDefault="009629C4">
            <w:pPr>
              <w:pStyle w:val="P68B1DB1-Normal103"/>
              <w:spacing w:before="120" w:after="120"/>
              <w:jc w:val="center"/>
              <w:rPr>
                <w:noProof/>
                <w:color w:val="006100"/>
                <w:szCs w:val="20"/>
              </w:rPr>
            </w:pPr>
            <w:r>
              <w:rPr>
                <w:noProof/>
              </w:rPr>
              <w:t>Investointi 1.1: Sairaaloiden teknisten laitteiden digitaalinen päivitys</w:t>
            </w:r>
          </w:p>
        </w:tc>
        <w:tc>
          <w:tcPr>
            <w:tcW w:w="1134" w:type="dxa"/>
            <w:shd w:val="clear" w:color="auto" w:fill="C6EFCE"/>
            <w:noWrap/>
            <w:vAlign w:val="center"/>
          </w:tcPr>
          <w:p w14:paraId="350AA29A" w14:textId="77777777" w:rsidR="00E42B18" w:rsidRDefault="009629C4">
            <w:pPr>
              <w:pStyle w:val="P68B1DB1-Normal103"/>
              <w:spacing w:before="120" w:after="120"/>
              <w:jc w:val="center"/>
              <w:rPr>
                <w:noProof/>
                <w:color w:val="006100"/>
                <w:szCs w:val="20"/>
              </w:rPr>
            </w:pPr>
            <w:r>
              <w:rPr>
                <w:noProof/>
              </w:rPr>
              <w:t>Virstanpylväs</w:t>
            </w:r>
          </w:p>
        </w:tc>
        <w:tc>
          <w:tcPr>
            <w:tcW w:w="1559" w:type="dxa"/>
            <w:shd w:val="clear" w:color="auto" w:fill="C6EFCE"/>
            <w:noWrap/>
            <w:vAlign w:val="center"/>
          </w:tcPr>
          <w:p w14:paraId="740CBC51" w14:textId="77777777" w:rsidR="00E42B18" w:rsidRDefault="009629C4">
            <w:pPr>
              <w:pStyle w:val="P68B1DB1-Normal103"/>
              <w:spacing w:before="120" w:after="120"/>
              <w:jc w:val="center"/>
              <w:rPr>
                <w:noProof/>
                <w:color w:val="006100"/>
                <w:szCs w:val="20"/>
              </w:rPr>
            </w:pPr>
            <w:r>
              <w:rPr>
                <w:noProof/>
              </w:rPr>
              <w:t>Kaikkien julkisten hankintasopimusten tekeminen</w:t>
            </w:r>
          </w:p>
        </w:tc>
        <w:tc>
          <w:tcPr>
            <w:tcW w:w="1701" w:type="dxa"/>
            <w:shd w:val="clear" w:color="auto" w:fill="C6EFCE"/>
            <w:noWrap/>
            <w:vAlign w:val="center"/>
          </w:tcPr>
          <w:p w14:paraId="27A16F7B" w14:textId="77777777" w:rsidR="00E42B18" w:rsidRDefault="009629C4">
            <w:pPr>
              <w:pStyle w:val="P68B1DB1-Normal103"/>
              <w:spacing w:before="120" w:after="120"/>
              <w:jc w:val="center"/>
              <w:rPr>
                <w:noProof/>
                <w:color w:val="006100"/>
                <w:szCs w:val="20"/>
              </w:rPr>
            </w:pPr>
            <w:r>
              <w:rPr>
                <w:noProof/>
              </w:rPr>
              <w:t>Ilmoitus kaikista tehdyistä julkisista hankintasopimuksista.</w:t>
            </w:r>
          </w:p>
        </w:tc>
        <w:tc>
          <w:tcPr>
            <w:tcW w:w="1276" w:type="dxa"/>
            <w:shd w:val="clear" w:color="auto" w:fill="C6EFCE"/>
            <w:noWrap/>
            <w:vAlign w:val="center"/>
          </w:tcPr>
          <w:p w14:paraId="773E857E" w14:textId="77777777" w:rsidR="00E42B18" w:rsidRDefault="009629C4">
            <w:pPr>
              <w:pStyle w:val="P68B1DB1-Normal103"/>
              <w:spacing w:before="120" w:after="120"/>
              <w:jc w:val="center"/>
              <w:rPr>
                <w:noProof/>
                <w:color w:val="006100"/>
                <w:szCs w:val="20"/>
              </w:rPr>
            </w:pPr>
            <w:r>
              <w:rPr>
                <w:noProof/>
              </w:rPr>
              <w:t>EI OLE</w:t>
            </w:r>
          </w:p>
        </w:tc>
        <w:tc>
          <w:tcPr>
            <w:tcW w:w="1134" w:type="dxa"/>
            <w:shd w:val="clear" w:color="auto" w:fill="C6EFCE"/>
            <w:noWrap/>
            <w:vAlign w:val="center"/>
          </w:tcPr>
          <w:p w14:paraId="34941B60"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30EAFB3B" w14:textId="77777777" w:rsidR="00E42B18" w:rsidRDefault="009629C4">
            <w:pPr>
              <w:pStyle w:val="P68B1DB1-Normal103"/>
              <w:spacing w:before="120" w:after="120"/>
              <w:jc w:val="center"/>
              <w:rPr>
                <w:noProof/>
                <w:color w:val="006100"/>
                <w:szCs w:val="20"/>
              </w:rPr>
            </w:pPr>
            <w:r>
              <w:rPr>
                <w:noProof/>
              </w:rPr>
              <w:t>EI OLE</w:t>
            </w:r>
          </w:p>
        </w:tc>
        <w:tc>
          <w:tcPr>
            <w:tcW w:w="865" w:type="dxa"/>
            <w:shd w:val="clear" w:color="auto" w:fill="C6EFCE"/>
            <w:noWrap/>
            <w:vAlign w:val="center"/>
          </w:tcPr>
          <w:p w14:paraId="41B4D99B" w14:textId="77777777" w:rsidR="00E42B18" w:rsidRDefault="009629C4">
            <w:pPr>
              <w:pStyle w:val="P68B1DB1-Normal103"/>
              <w:spacing w:before="120" w:after="120"/>
              <w:jc w:val="center"/>
              <w:rPr>
                <w:noProof/>
                <w:color w:val="006100"/>
                <w:szCs w:val="20"/>
              </w:rPr>
            </w:pPr>
            <w:r>
              <w:rPr>
                <w:noProof/>
              </w:rPr>
              <w:t>Q4</w:t>
            </w:r>
          </w:p>
        </w:tc>
        <w:tc>
          <w:tcPr>
            <w:tcW w:w="721" w:type="dxa"/>
            <w:shd w:val="clear" w:color="auto" w:fill="C6EFCE"/>
            <w:noWrap/>
            <w:vAlign w:val="center"/>
          </w:tcPr>
          <w:p w14:paraId="520CDA9C" w14:textId="77777777" w:rsidR="00E42B18" w:rsidRDefault="009629C4">
            <w:pPr>
              <w:pStyle w:val="P68B1DB1-Normal103"/>
              <w:spacing w:before="120" w:after="120"/>
              <w:jc w:val="center"/>
              <w:rPr>
                <w:noProof/>
                <w:color w:val="006100"/>
                <w:szCs w:val="20"/>
              </w:rPr>
            </w:pPr>
            <w:r>
              <w:rPr>
                <w:noProof/>
              </w:rPr>
              <w:t>2022</w:t>
            </w:r>
          </w:p>
        </w:tc>
        <w:tc>
          <w:tcPr>
            <w:tcW w:w="2881" w:type="dxa"/>
            <w:shd w:val="clear" w:color="auto" w:fill="C6EFCE"/>
            <w:noWrap/>
            <w:vAlign w:val="center"/>
          </w:tcPr>
          <w:p w14:paraId="522B8191" w14:textId="77777777" w:rsidR="00E42B18" w:rsidRDefault="009629C4">
            <w:pPr>
              <w:pStyle w:val="P68B1DB1-Normal103"/>
              <w:spacing w:before="120" w:after="120"/>
              <w:rPr>
                <w:noProof/>
                <w:szCs w:val="20"/>
              </w:rPr>
            </w:pPr>
            <w:r>
              <w:rPr>
                <w:noProof/>
              </w:rPr>
              <w:t>Tarjouskilpailumenettelyjen julkaiseminen (Consip-puitesopimus) ja sopimusten tekeminen palveluntarjoajien kanssa sekä DEA I- ja DEA II -tasoihin luokiteltujen sairaaloiden digitalisointi</w:t>
            </w:r>
          </w:p>
          <w:p w14:paraId="6A166AEB" w14:textId="77777777" w:rsidR="00E42B18" w:rsidRDefault="009629C4">
            <w:pPr>
              <w:pStyle w:val="P68B1DB1-Normal103"/>
              <w:spacing w:before="120" w:after="120"/>
              <w:rPr>
                <w:noProof/>
                <w:color w:val="006100"/>
                <w:szCs w:val="20"/>
              </w:rPr>
            </w:pPr>
            <w:r>
              <w:rPr>
                <w:noProof/>
              </w:rPr>
              <w:t>Sopimuksiin on sisällyttävä seuraavien ostot: a) Tietojenkäsittelykeskus (DPC), mukaan lukien tieto- ja viestintätekniikka ja siihen liittyvät työt, jotka ovat tarpeen sairaalan koko rakenteen tietokoneistamiseksi, b) laitteistojen ja/tai ohjelmistojen tietotekniikka, sähkölääketieteellinen teknologia sekä lisäteknologiat ja muut liitännäistyöt, joita tarvitaan sairaalaosastojen tietokoneistamiseen. Kun arvioidaan nykyistä digitointitasoa ennen tukitoimen toteuttamista, tätä arviointia voidaan hienosäätää kunkin alueen/sairaalan todellisten tarpeiden mukaan.</w:t>
            </w:r>
          </w:p>
        </w:tc>
      </w:tr>
      <w:tr w:rsidR="00E42B18" w14:paraId="58E7E03A" w14:textId="77777777">
        <w:trPr>
          <w:trHeight w:val="313"/>
          <w:jc w:val="center"/>
        </w:trPr>
        <w:tc>
          <w:tcPr>
            <w:tcW w:w="1140" w:type="dxa"/>
            <w:shd w:val="clear" w:color="auto" w:fill="C6EFCE"/>
            <w:noWrap/>
            <w:vAlign w:val="center"/>
          </w:tcPr>
          <w:p w14:paraId="1089BB24" w14:textId="77777777" w:rsidR="00E42B18" w:rsidRDefault="009629C4">
            <w:pPr>
              <w:pStyle w:val="P68B1DB1-Normal12"/>
              <w:spacing w:before="120" w:after="120"/>
              <w:jc w:val="center"/>
              <w:rPr>
                <w:noProof/>
              </w:rPr>
            </w:pPr>
            <w:r>
              <w:rPr>
                <w:noProof/>
              </w:rPr>
              <w:t>M6C2–8</w:t>
            </w:r>
          </w:p>
        </w:tc>
        <w:tc>
          <w:tcPr>
            <w:tcW w:w="1418" w:type="dxa"/>
            <w:shd w:val="clear" w:color="auto" w:fill="C6EFCE"/>
            <w:noWrap/>
            <w:vAlign w:val="center"/>
          </w:tcPr>
          <w:p w14:paraId="0EDD016A" w14:textId="77777777" w:rsidR="00E42B18" w:rsidRDefault="009629C4">
            <w:pPr>
              <w:pStyle w:val="P68B1DB1-Normal103"/>
              <w:spacing w:before="120" w:after="120"/>
              <w:jc w:val="center"/>
              <w:rPr>
                <w:noProof/>
                <w:color w:val="006100"/>
                <w:szCs w:val="20"/>
              </w:rPr>
            </w:pPr>
            <w:r>
              <w:rPr>
                <w:noProof/>
              </w:rPr>
              <w:t>Investointi 1.1: Sairaaloiden teknisten laitteiden digitaalinen päivitys</w:t>
            </w:r>
          </w:p>
        </w:tc>
        <w:tc>
          <w:tcPr>
            <w:tcW w:w="1134" w:type="dxa"/>
            <w:shd w:val="clear" w:color="auto" w:fill="C6EFCE"/>
            <w:noWrap/>
            <w:vAlign w:val="center"/>
          </w:tcPr>
          <w:p w14:paraId="4F8BEEDD" w14:textId="77777777" w:rsidR="00E42B18" w:rsidRDefault="009629C4">
            <w:pPr>
              <w:pStyle w:val="P68B1DB1-Normal103"/>
              <w:spacing w:before="120" w:after="120"/>
              <w:jc w:val="center"/>
              <w:rPr>
                <w:noProof/>
                <w:color w:val="006100"/>
                <w:szCs w:val="20"/>
              </w:rPr>
            </w:pPr>
            <w:r>
              <w:rPr>
                <w:noProof/>
              </w:rPr>
              <w:t>Kohde</w:t>
            </w:r>
          </w:p>
        </w:tc>
        <w:tc>
          <w:tcPr>
            <w:tcW w:w="1559" w:type="dxa"/>
            <w:shd w:val="clear" w:color="auto" w:fill="C6EFCE"/>
            <w:noWrap/>
            <w:vAlign w:val="center"/>
          </w:tcPr>
          <w:p w14:paraId="46576655" w14:textId="18169467" w:rsidR="00E42B18" w:rsidRDefault="009629C4">
            <w:pPr>
              <w:pStyle w:val="P68B1DB1-Normal103"/>
              <w:spacing w:before="120" w:after="120"/>
              <w:jc w:val="center"/>
              <w:rPr>
                <w:rFonts w:eastAsia="Calibri"/>
                <w:noProof/>
                <w:szCs w:val="20"/>
              </w:rPr>
            </w:pPr>
            <w:r>
              <w:rPr>
                <w:noProof/>
              </w:rPr>
              <w:t>Sairaalat digitoidaan (DEA – hätätila- ja vastaanottoosastot – taso I ja taso II)</w:t>
            </w:r>
          </w:p>
        </w:tc>
        <w:tc>
          <w:tcPr>
            <w:tcW w:w="1701" w:type="dxa"/>
            <w:shd w:val="clear" w:color="auto" w:fill="C6EFCE"/>
            <w:noWrap/>
            <w:vAlign w:val="center"/>
          </w:tcPr>
          <w:p w14:paraId="21FDA0C0"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1A0C9F5F" w14:textId="77777777" w:rsidR="00E42B18" w:rsidRDefault="009629C4">
            <w:pPr>
              <w:pStyle w:val="P68B1DB1-Normal103"/>
              <w:spacing w:before="120" w:after="120"/>
              <w:jc w:val="center"/>
              <w:rPr>
                <w:rFonts w:eastAsia="Calibri"/>
                <w:noProof/>
                <w:szCs w:val="20"/>
              </w:rPr>
            </w:pPr>
            <w:r>
              <w:rPr>
                <w:noProof/>
              </w:rPr>
              <w:t xml:space="preserve">Numero </w:t>
            </w:r>
          </w:p>
        </w:tc>
        <w:tc>
          <w:tcPr>
            <w:tcW w:w="1134" w:type="dxa"/>
            <w:shd w:val="clear" w:color="auto" w:fill="C6EFCE"/>
            <w:noWrap/>
            <w:vAlign w:val="center"/>
          </w:tcPr>
          <w:p w14:paraId="714ACD22" w14:textId="77777777" w:rsidR="00E42B18" w:rsidRDefault="009629C4">
            <w:pPr>
              <w:pStyle w:val="P68B1DB1-Normal103"/>
              <w:spacing w:before="120" w:after="120"/>
              <w:jc w:val="center"/>
              <w:rPr>
                <w:noProof/>
                <w:color w:val="006100"/>
                <w:szCs w:val="20"/>
              </w:rPr>
            </w:pPr>
            <w:r>
              <w:rPr>
                <w:noProof/>
              </w:rPr>
              <w:t>0</w:t>
            </w:r>
          </w:p>
        </w:tc>
        <w:tc>
          <w:tcPr>
            <w:tcW w:w="1276" w:type="dxa"/>
            <w:shd w:val="clear" w:color="auto" w:fill="C6EFCE"/>
            <w:noWrap/>
            <w:vAlign w:val="center"/>
          </w:tcPr>
          <w:p w14:paraId="5DAC9872" w14:textId="77777777" w:rsidR="00E42B18" w:rsidRDefault="009629C4">
            <w:pPr>
              <w:pStyle w:val="P68B1DB1-Normal103"/>
              <w:spacing w:before="120" w:after="120"/>
              <w:jc w:val="center"/>
              <w:rPr>
                <w:noProof/>
                <w:color w:val="006100"/>
                <w:szCs w:val="20"/>
              </w:rPr>
            </w:pPr>
            <w:r>
              <w:rPr>
                <w:noProof/>
              </w:rPr>
              <w:t>280</w:t>
            </w:r>
          </w:p>
        </w:tc>
        <w:tc>
          <w:tcPr>
            <w:tcW w:w="865" w:type="dxa"/>
            <w:shd w:val="clear" w:color="auto" w:fill="C6EFCE"/>
            <w:noWrap/>
            <w:vAlign w:val="center"/>
          </w:tcPr>
          <w:p w14:paraId="41613A6F" w14:textId="77777777" w:rsidR="00E42B18" w:rsidRDefault="009629C4">
            <w:pPr>
              <w:pStyle w:val="P68B1DB1-Normal103"/>
              <w:spacing w:before="120" w:after="120"/>
              <w:jc w:val="center"/>
              <w:rPr>
                <w:noProof/>
                <w:color w:val="006100"/>
                <w:szCs w:val="20"/>
              </w:rPr>
            </w:pPr>
            <w:r>
              <w:rPr>
                <w:noProof/>
              </w:rPr>
              <w:t>Q4</w:t>
            </w:r>
          </w:p>
        </w:tc>
        <w:tc>
          <w:tcPr>
            <w:tcW w:w="721" w:type="dxa"/>
            <w:shd w:val="clear" w:color="auto" w:fill="C6EFCE"/>
            <w:noWrap/>
            <w:vAlign w:val="center"/>
          </w:tcPr>
          <w:p w14:paraId="4A0B992D" w14:textId="77777777" w:rsidR="00E42B18" w:rsidRDefault="009629C4">
            <w:pPr>
              <w:pStyle w:val="P68B1DB1-Normal103"/>
              <w:spacing w:before="120" w:after="120"/>
              <w:jc w:val="center"/>
              <w:rPr>
                <w:noProof/>
                <w:color w:val="006100"/>
                <w:szCs w:val="20"/>
              </w:rPr>
            </w:pPr>
            <w:r>
              <w:rPr>
                <w:noProof/>
              </w:rPr>
              <w:t>2025</w:t>
            </w:r>
          </w:p>
        </w:tc>
        <w:tc>
          <w:tcPr>
            <w:tcW w:w="2881" w:type="dxa"/>
            <w:shd w:val="clear" w:color="auto" w:fill="C6EFCE"/>
            <w:noWrap/>
            <w:vAlign w:val="center"/>
          </w:tcPr>
          <w:p w14:paraId="3A003FEB" w14:textId="0959BE60" w:rsidR="00E42B18" w:rsidRDefault="009629C4">
            <w:pPr>
              <w:pStyle w:val="P68B1DB1-Normal104"/>
              <w:spacing w:before="120" w:after="120"/>
              <w:rPr>
                <w:noProof/>
              </w:rPr>
            </w:pPr>
            <w:r>
              <w:rPr>
                <w:noProof/>
              </w:rPr>
              <w:t>Tavoite on saavutettava, kun kunkin ensimmäisen ja toisen tason hätätilanne- ja hyväksymisosaston digitalisointia on korotettu vähintään yhdessä vaiheessa sähköisten lääketieteellisten tietojen hyväksymistä koskevan mallin (Emram) mukaisesti, sellaisena kuin se on vahvistettu terveydenhuollon tieto- ja hallintajärjestelmäyhdistyksen (HIMMS) raportissa, ja saavutetaan vähintään 50 DEA:n kypsyysasteikkoa vastaava vaihe.</w:t>
            </w:r>
          </w:p>
          <w:p w14:paraId="36A0FBC7" w14:textId="77777777" w:rsidR="00E42B18" w:rsidRDefault="009629C4">
            <w:pPr>
              <w:pStyle w:val="P68B1DB1-Normal104"/>
              <w:spacing w:before="120" w:after="120"/>
              <w:rPr>
                <w:noProof/>
                <w:color w:val="006100"/>
              </w:rPr>
            </w:pPr>
            <w:bookmarkStart w:id="22" w:name="_Hlk149126432"/>
            <w:r>
              <w:rPr>
                <w:noProof/>
              </w:rPr>
              <w:t>Consipin (Concessionaria Servizi Informativi Pubblici) käyttöön asettamat hankintavälineet – niiden lisäksi, jotka on suljettu 31.12.2022 mennessä – ovat sallittuja sekä julkishallinnon sähköiset markkinat (Mepa) tai julkishallinnon dynaamiset hankintajärjestelmät (SDAPA) liitännäishankinnoissa.</w:t>
            </w:r>
            <w:bookmarkEnd w:id="22"/>
          </w:p>
        </w:tc>
      </w:tr>
      <w:tr w:rsidR="00E42B18" w14:paraId="11C7CF8E" w14:textId="77777777">
        <w:trPr>
          <w:trHeight w:val="313"/>
          <w:jc w:val="center"/>
        </w:trPr>
        <w:tc>
          <w:tcPr>
            <w:tcW w:w="1140" w:type="dxa"/>
            <w:shd w:val="clear" w:color="auto" w:fill="C6EFCE"/>
            <w:noWrap/>
            <w:vAlign w:val="center"/>
          </w:tcPr>
          <w:p w14:paraId="5291F03A" w14:textId="77777777" w:rsidR="00E42B18" w:rsidRDefault="009629C4">
            <w:pPr>
              <w:pStyle w:val="P68B1DB1-Normal12"/>
              <w:spacing w:before="120" w:after="120"/>
              <w:jc w:val="center"/>
              <w:rPr>
                <w:noProof/>
              </w:rPr>
            </w:pPr>
            <w:r>
              <w:rPr>
                <w:noProof/>
              </w:rPr>
              <w:t>M6C2–9</w:t>
            </w:r>
          </w:p>
        </w:tc>
        <w:tc>
          <w:tcPr>
            <w:tcW w:w="1418" w:type="dxa"/>
            <w:shd w:val="clear" w:color="auto" w:fill="C6EFCE"/>
            <w:noWrap/>
            <w:vAlign w:val="center"/>
          </w:tcPr>
          <w:p w14:paraId="43B9D522" w14:textId="77777777" w:rsidR="00E42B18" w:rsidRDefault="009629C4">
            <w:pPr>
              <w:pStyle w:val="P68B1DB1-Normal103"/>
              <w:spacing w:before="120" w:after="120"/>
              <w:jc w:val="center"/>
              <w:rPr>
                <w:noProof/>
                <w:color w:val="006100"/>
                <w:szCs w:val="20"/>
              </w:rPr>
            </w:pPr>
            <w:r>
              <w:rPr>
                <w:noProof/>
              </w:rPr>
              <w:t>Investointi 1.1: Sairaaloiden teknisten laitteiden digitaalinen päivitys</w:t>
            </w:r>
          </w:p>
        </w:tc>
        <w:tc>
          <w:tcPr>
            <w:tcW w:w="1134" w:type="dxa"/>
            <w:shd w:val="clear" w:color="auto" w:fill="C6EFCE"/>
            <w:noWrap/>
            <w:vAlign w:val="center"/>
          </w:tcPr>
          <w:p w14:paraId="4B32610D" w14:textId="77777777" w:rsidR="00E42B18" w:rsidRDefault="009629C4">
            <w:pPr>
              <w:pStyle w:val="P68B1DB1-Normal104"/>
              <w:spacing w:before="120" w:after="120"/>
              <w:jc w:val="center"/>
              <w:rPr>
                <w:noProof/>
                <w:color w:val="006100"/>
              </w:rPr>
            </w:pPr>
            <w:r>
              <w:rPr>
                <w:noProof/>
              </w:rPr>
              <w:t>Kohde</w:t>
            </w:r>
          </w:p>
        </w:tc>
        <w:tc>
          <w:tcPr>
            <w:tcW w:w="1559" w:type="dxa"/>
            <w:shd w:val="clear" w:color="auto" w:fill="C6EFCE"/>
            <w:noWrap/>
            <w:vAlign w:val="center"/>
          </w:tcPr>
          <w:p w14:paraId="66C2188C" w14:textId="77777777" w:rsidR="00E42B18" w:rsidRDefault="009629C4">
            <w:pPr>
              <w:pStyle w:val="P68B1DB1-Normal104"/>
              <w:spacing w:before="120" w:after="120"/>
              <w:jc w:val="center"/>
              <w:rPr>
                <w:noProof/>
              </w:rPr>
            </w:pPr>
            <w:r>
              <w:rPr>
                <w:noProof/>
              </w:rPr>
              <w:t>Lisävuodet, joita tarjotaan tehohoitoyksiköissä ja ali-intensiivisessä hoidossa</w:t>
            </w:r>
          </w:p>
        </w:tc>
        <w:tc>
          <w:tcPr>
            <w:tcW w:w="1701" w:type="dxa"/>
            <w:shd w:val="clear" w:color="auto" w:fill="C6EFCE"/>
            <w:noWrap/>
            <w:vAlign w:val="center"/>
          </w:tcPr>
          <w:p w14:paraId="3F34911F"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5EB01911" w14:textId="77777777" w:rsidR="00E42B18" w:rsidRDefault="009629C4">
            <w:pPr>
              <w:pStyle w:val="P68B1DB1-Normal104"/>
              <w:spacing w:before="120" w:after="120"/>
              <w:jc w:val="center"/>
              <w:rPr>
                <w:rFonts w:eastAsia="Calibri"/>
                <w:noProof/>
              </w:rPr>
            </w:pPr>
            <w:r>
              <w:rPr>
                <w:noProof/>
              </w:rPr>
              <w:t xml:space="preserve">Numero </w:t>
            </w:r>
          </w:p>
        </w:tc>
        <w:tc>
          <w:tcPr>
            <w:tcW w:w="1134" w:type="dxa"/>
            <w:shd w:val="clear" w:color="auto" w:fill="C6EFCE"/>
            <w:noWrap/>
            <w:vAlign w:val="center"/>
          </w:tcPr>
          <w:p w14:paraId="24BE93F8" w14:textId="77777777" w:rsidR="00E42B18" w:rsidRDefault="00E42B18">
            <w:pPr>
              <w:spacing w:before="120" w:after="120"/>
              <w:jc w:val="center"/>
              <w:rPr>
                <w:rFonts w:ascii="Arial Narrow" w:hAnsi="Arial Narrow"/>
                <w:noProof/>
                <w:color w:val="006100"/>
                <w:sz w:val="20"/>
                <w:szCs w:val="20"/>
              </w:rPr>
            </w:pPr>
          </w:p>
        </w:tc>
        <w:tc>
          <w:tcPr>
            <w:tcW w:w="1276" w:type="dxa"/>
            <w:shd w:val="clear" w:color="auto" w:fill="C6EFCE"/>
            <w:noWrap/>
            <w:vAlign w:val="center"/>
          </w:tcPr>
          <w:p w14:paraId="3E3F4F0F" w14:textId="77777777" w:rsidR="00E42B18" w:rsidRDefault="009629C4">
            <w:pPr>
              <w:pStyle w:val="P68B1DB1-Normal104"/>
              <w:spacing w:before="120" w:after="120"/>
              <w:jc w:val="center"/>
              <w:rPr>
                <w:noProof/>
                <w:color w:val="006100"/>
              </w:rPr>
            </w:pPr>
            <w:r>
              <w:rPr>
                <w:noProof/>
              </w:rPr>
              <w:t>5 922</w:t>
            </w:r>
          </w:p>
        </w:tc>
        <w:tc>
          <w:tcPr>
            <w:tcW w:w="865" w:type="dxa"/>
            <w:shd w:val="clear" w:color="auto" w:fill="C6EFCE"/>
            <w:noWrap/>
            <w:vAlign w:val="center"/>
          </w:tcPr>
          <w:p w14:paraId="1DC8D49C" w14:textId="77777777" w:rsidR="00E42B18" w:rsidRDefault="009629C4">
            <w:pPr>
              <w:pStyle w:val="P68B1DB1-Normal104"/>
              <w:spacing w:before="120" w:after="120"/>
              <w:jc w:val="center"/>
              <w:rPr>
                <w:noProof/>
                <w:color w:val="006100"/>
              </w:rPr>
            </w:pPr>
            <w:r>
              <w:rPr>
                <w:noProof/>
              </w:rPr>
              <w:t>Q2</w:t>
            </w:r>
          </w:p>
        </w:tc>
        <w:tc>
          <w:tcPr>
            <w:tcW w:w="721" w:type="dxa"/>
            <w:shd w:val="clear" w:color="auto" w:fill="C6EFCE"/>
            <w:noWrap/>
            <w:vAlign w:val="center"/>
          </w:tcPr>
          <w:p w14:paraId="3C911633" w14:textId="77777777" w:rsidR="00E42B18" w:rsidRDefault="009629C4">
            <w:pPr>
              <w:pStyle w:val="P68B1DB1-Normal104"/>
              <w:spacing w:before="120" w:after="120"/>
              <w:jc w:val="center"/>
              <w:rPr>
                <w:noProof/>
                <w:color w:val="006100"/>
              </w:rPr>
            </w:pPr>
            <w:r>
              <w:rPr>
                <w:noProof/>
              </w:rPr>
              <w:t>2026</w:t>
            </w:r>
          </w:p>
        </w:tc>
        <w:tc>
          <w:tcPr>
            <w:tcW w:w="2881" w:type="dxa"/>
            <w:shd w:val="clear" w:color="auto" w:fill="C6EFCE"/>
            <w:noWrap/>
            <w:vAlign w:val="center"/>
          </w:tcPr>
          <w:p w14:paraId="250D7ED7" w14:textId="5995DBD8" w:rsidR="00E42B18" w:rsidRDefault="009629C4">
            <w:pPr>
              <w:pStyle w:val="P68B1DB1-Normal104"/>
              <w:spacing w:before="120" w:after="120"/>
              <w:rPr>
                <w:rFonts w:eastAsia="Calibri"/>
                <w:noProof/>
              </w:rPr>
            </w:pPr>
            <w:r>
              <w:rPr>
                <w:noProof/>
              </w:rPr>
              <w:t>Todiste vähintään 5922 tehohoitoalustan ja -vuoteiden ja niihin liittyvien ilmanvaihtolaitteiden tarjoamista tai muuntamista koskevien toimenpiteiden loppuun saattamisesta puoli-intensiivisellä alueella asiaa koskevan asetuksen mukaisesti (2 artikla, DL 34/2020). Tehohoitopaikkojen tarjonnan on oltava vähintään 40 prosenttia tämän toimenpiteen piiriin kuuluvista vuodepaikoista.</w:t>
            </w:r>
          </w:p>
        </w:tc>
      </w:tr>
      <w:tr w:rsidR="00E42B18" w14:paraId="3FAD3A56" w14:textId="77777777">
        <w:trPr>
          <w:trHeight w:val="313"/>
          <w:jc w:val="center"/>
        </w:trPr>
        <w:tc>
          <w:tcPr>
            <w:tcW w:w="1140" w:type="dxa"/>
            <w:shd w:val="clear" w:color="auto" w:fill="C6EFCE"/>
            <w:noWrap/>
            <w:vAlign w:val="center"/>
          </w:tcPr>
          <w:p w14:paraId="39723F12" w14:textId="77777777" w:rsidR="00E42B18" w:rsidRDefault="009629C4">
            <w:pPr>
              <w:pStyle w:val="P68B1DB1-Normal12"/>
              <w:spacing w:before="120" w:after="120"/>
              <w:jc w:val="center"/>
              <w:rPr>
                <w:noProof/>
              </w:rPr>
            </w:pPr>
            <w:r>
              <w:rPr>
                <w:noProof/>
              </w:rPr>
              <w:t>M6C2–10</w:t>
            </w:r>
          </w:p>
        </w:tc>
        <w:tc>
          <w:tcPr>
            <w:tcW w:w="1418" w:type="dxa"/>
            <w:shd w:val="clear" w:color="auto" w:fill="C6EFCE"/>
            <w:noWrap/>
            <w:vAlign w:val="center"/>
          </w:tcPr>
          <w:p w14:paraId="6EEA7020" w14:textId="77777777" w:rsidR="00E42B18" w:rsidRDefault="009629C4">
            <w:pPr>
              <w:pStyle w:val="P68B1DB1-Normal103"/>
              <w:spacing w:before="120" w:after="120"/>
              <w:jc w:val="center"/>
              <w:rPr>
                <w:noProof/>
                <w:color w:val="006100"/>
                <w:szCs w:val="20"/>
              </w:rPr>
            </w:pPr>
            <w:r>
              <w:rPr>
                <w:noProof/>
              </w:rPr>
              <w:t>Investointi 1.2: Kohti turvallista ja kestävää sairaalaa</w:t>
            </w:r>
          </w:p>
        </w:tc>
        <w:tc>
          <w:tcPr>
            <w:tcW w:w="1134" w:type="dxa"/>
            <w:shd w:val="clear" w:color="auto" w:fill="C6EFCE"/>
            <w:noWrap/>
            <w:vAlign w:val="center"/>
          </w:tcPr>
          <w:p w14:paraId="32DC6C9E" w14:textId="77777777" w:rsidR="00E42B18" w:rsidRDefault="009629C4">
            <w:pPr>
              <w:pStyle w:val="P68B1DB1-Normal103"/>
              <w:spacing w:before="120" w:after="120"/>
              <w:jc w:val="center"/>
              <w:rPr>
                <w:noProof/>
                <w:color w:val="006100"/>
                <w:szCs w:val="20"/>
              </w:rPr>
            </w:pPr>
            <w:r>
              <w:rPr>
                <w:noProof/>
              </w:rPr>
              <w:t>Kohde</w:t>
            </w:r>
          </w:p>
        </w:tc>
        <w:tc>
          <w:tcPr>
            <w:tcW w:w="1559" w:type="dxa"/>
            <w:shd w:val="clear" w:color="auto" w:fill="C6EFCE"/>
            <w:noWrap/>
            <w:vAlign w:val="center"/>
          </w:tcPr>
          <w:p w14:paraId="4D3FBFF1" w14:textId="77777777" w:rsidR="00E42B18" w:rsidRDefault="009629C4">
            <w:pPr>
              <w:pStyle w:val="P68B1DB1-Normal103"/>
              <w:spacing w:before="120" w:after="120"/>
              <w:jc w:val="center"/>
              <w:rPr>
                <w:rFonts w:eastAsia="Calibri"/>
                <w:noProof/>
                <w:szCs w:val="20"/>
              </w:rPr>
            </w:pPr>
            <w:r>
              <w:rPr>
                <w:noProof/>
              </w:rPr>
              <w:t>Seismisten torjuntatoimien toteuttaminen sairaaloissa</w:t>
            </w:r>
          </w:p>
        </w:tc>
        <w:tc>
          <w:tcPr>
            <w:tcW w:w="1701" w:type="dxa"/>
            <w:shd w:val="clear" w:color="auto" w:fill="C6EFCE"/>
            <w:noWrap/>
            <w:vAlign w:val="center"/>
          </w:tcPr>
          <w:p w14:paraId="21B35286"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7771AD93" w14:textId="77777777" w:rsidR="00E42B18" w:rsidRDefault="009629C4">
            <w:pPr>
              <w:pStyle w:val="P68B1DB1-Normal103"/>
              <w:spacing w:before="120" w:after="120"/>
              <w:jc w:val="center"/>
              <w:rPr>
                <w:rFonts w:eastAsia="Calibri"/>
                <w:noProof/>
                <w:szCs w:val="20"/>
              </w:rPr>
            </w:pPr>
            <w:r>
              <w:rPr>
                <w:noProof/>
              </w:rPr>
              <w:t xml:space="preserve">Numero </w:t>
            </w:r>
          </w:p>
        </w:tc>
        <w:tc>
          <w:tcPr>
            <w:tcW w:w="1134" w:type="dxa"/>
            <w:shd w:val="clear" w:color="auto" w:fill="C6EFCE"/>
            <w:noWrap/>
            <w:vAlign w:val="center"/>
          </w:tcPr>
          <w:p w14:paraId="5F1CEADE" w14:textId="77777777" w:rsidR="00E42B18" w:rsidRDefault="009629C4">
            <w:pPr>
              <w:pStyle w:val="P68B1DB1-Normal103"/>
              <w:spacing w:before="120" w:after="120"/>
              <w:jc w:val="center"/>
              <w:rPr>
                <w:noProof/>
                <w:color w:val="006100"/>
                <w:szCs w:val="20"/>
              </w:rPr>
            </w:pPr>
            <w:r>
              <w:rPr>
                <w:noProof/>
              </w:rPr>
              <w:t>0</w:t>
            </w:r>
          </w:p>
        </w:tc>
        <w:tc>
          <w:tcPr>
            <w:tcW w:w="1276" w:type="dxa"/>
            <w:shd w:val="clear" w:color="auto" w:fill="C6EFCE"/>
            <w:noWrap/>
            <w:vAlign w:val="center"/>
          </w:tcPr>
          <w:p w14:paraId="736B3A43" w14:textId="77777777" w:rsidR="00E42B18" w:rsidRDefault="009629C4">
            <w:pPr>
              <w:pStyle w:val="P68B1DB1-Normal103"/>
              <w:spacing w:before="120" w:after="120"/>
              <w:jc w:val="center"/>
              <w:rPr>
                <w:noProof/>
                <w:szCs w:val="20"/>
              </w:rPr>
            </w:pPr>
            <w:r>
              <w:rPr>
                <w:noProof/>
              </w:rPr>
              <w:t>84</w:t>
            </w:r>
          </w:p>
        </w:tc>
        <w:tc>
          <w:tcPr>
            <w:tcW w:w="865" w:type="dxa"/>
            <w:shd w:val="clear" w:color="auto" w:fill="C6EFCE"/>
            <w:noWrap/>
            <w:vAlign w:val="center"/>
          </w:tcPr>
          <w:p w14:paraId="73A70097" w14:textId="77777777" w:rsidR="00E42B18" w:rsidRDefault="009629C4">
            <w:pPr>
              <w:pStyle w:val="P68B1DB1-Normal103"/>
              <w:spacing w:before="120" w:after="120"/>
              <w:jc w:val="center"/>
              <w:rPr>
                <w:noProof/>
                <w:color w:val="006100"/>
                <w:szCs w:val="20"/>
              </w:rPr>
            </w:pPr>
            <w:r>
              <w:rPr>
                <w:noProof/>
              </w:rPr>
              <w:t>Q2</w:t>
            </w:r>
          </w:p>
        </w:tc>
        <w:tc>
          <w:tcPr>
            <w:tcW w:w="721" w:type="dxa"/>
            <w:shd w:val="clear" w:color="auto" w:fill="C6EFCE"/>
            <w:noWrap/>
            <w:vAlign w:val="center"/>
          </w:tcPr>
          <w:p w14:paraId="68CEA28E" w14:textId="77777777" w:rsidR="00E42B18" w:rsidRDefault="009629C4">
            <w:pPr>
              <w:pStyle w:val="P68B1DB1-Normal103"/>
              <w:spacing w:before="120" w:after="120"/>
              <w:jc w:val="center"/>
              <w:rPr>
                <w:noProof/>
                <w:color w:val="006100"/>
                <w:szCs w:val="20"/>
              </w:rPr>
            </w:pPr>
            <w:r>
              <w:rPr>
                <w:noProof/>
              </w:rPr>
              <w:t>2026</w:t>
            </w:r>
          </w:p>
        </w:tc>
        <w:tc>
          <w:tcPr>
            <w:tcW w:w="2881" w:type="dxa"/>
            <w:shd w:val="clear" w:color="auto" w:fill="C6EFCE"/>
            <w:noWrap/>
            <w:vAlign w:val="center"/>
          </w:tcPr>
          <w:p w14:paraId="5A3F0B9C" w14:textId="77777777" w:rsidR="00E42B18" w:rsidRDefault="009629C4">
            <w:pPr>
              <w:pStyle w:val="P68B1DB1-Normal104"/>
              <w:spacing w:before="120" w:after="120"/>
              <w:rPr>
                <w:noProof/>
              </w:rPr>
            </w:pPr>
            <w:r>
              <w:rPr>
                <w:noProof/>
              </w:rPr>
              <w:t>Raportti valmiista rakenteesta tai staattisesta testitodistuksesta, joka on annettu vähintään 84:lle seismisen torjuntatoimenpiteelle sairaaloissa.</w:t>
            </w:r>
          </w:p>
        </w:tc>
      </w:tr>
      <w:tr w:rsidR="00E42B18" w14:paraId="14F63673" w14:textId="77777777">
        <w:trPr>
          <w:trHeight w:val="313"/>
          <w:jc w:val="center"/>
        </w:trPr>
        <w:tc>
          <w:tcPr>
            <w:tcW w:w="1140" w:type="dxa"/>
            <w:shd w:val="clear" w:color="auto" w:fill="C6EFCE"/>
            <w:noWrap/>
            <w:vAlign w:val="center"/>
          </w:tcPr>
          <w:p w14:paraId="73A3C6D6" w14:textId="77777777" w:rsidR="00E42B18" w:rsidRDefault="009629C4">
            <w:pPr>
              <w:pStyle w:val="P68B1DB1-Normal12"/>
              <w:jc w:val="center"/>
              <w:rPr>
                <w:noProof/>
              </w:rPr>
            </w:pPr>
            <w:r>
              <w:rPr>
                <w:noProof/>
              </w:rPr>
              <w:t>M6C2–10 8</w:t>
            </w:r>
          </w:p>
        </w:tc>
        <w:tc>
          <w:tcPr>
            <w:tcW w:w="1418" w:type="dxa"/>
            <w:shd w:val="clear" w:color="auto" w:fill="C6EFCE"/>
            <w:noWrap/>
            <w:vAlign w:val="center"/>
          </w:tcPr>
          <w:p w14:paraId="6D0FF886" w14:textId="77777777" w:rsidR="00E42B18" w:rsidRDefault="009629C4">
            <w:pPr>
              <w:pStyle w:val="P68B1DB1-Normal103"/>
              <w:spacing w:before="120" w:after="120" w:line="276" w:lineRule="auto"/>
              <w:jc w:val="center"/>
              <w:rPr>
                <w:noProof/>
                <w:szCs w:val="20"/>
              </w:rPr>
            </w:pPr>
            <w:bookmarkStart w:id="23" w:name="_Hlk160472567"/>
            <w:r>
              <w:rPr>
                <w:noProof/>
              </w:rPr>
              <w:t>Investointi 1.2: Kohti turvallista ja kestävää sairaalaa</w:t>
            </w:r>
            <w:bookmarkEnd w:id="23"/>
          </w:p>
        </w:tc>
        <w:tc>
          <w:tcPr>
            <w:tcW w:w="1134" w:type="dxa"/>
            <w:shd w:val="clear" w:color="auto" w:fill="C6EFCE"/>
            <w:noWrap/>
            <w:vAlign w:val="center"/>
          </w:tcPr>
          <w:p w14:paraId="18BE2564" w14:textId="77777777" w:rsidR="00E42B18" w:rsidRDefault="009629C4">
            <w:pPr>
              <w:pStyle w:val="P68B1DB1-Normal104"/>
              <w:jc w:val="center"/>
              <w:rPr>
                <w:noProof/>
              </w:rPr>
            </w:pPr>
            <w:r>
              <w:rPr>
                <w:noProof/>
              </w:rPr>
              <w:t xml:space="preserve">Kohde </w:t>
            </w:r>
          </w:p>
        </w:tc>
        <w:tc>
          <w:tcPr>
            <w:tcW w:w="1559" w:type="dxa"/>
            <w:shd w:val="clear" w:color="auto" w:fill="C6EFCE"/>
            <w:noWrap/>
            <w:vAlign w:val="center"/>
          </w:tcPr>
          <w:p w14:paraId="51AD38C8" w14:textId="7172C527" w:rsidR="00E42B18" w:rsidRDefault="009629C4">
            <w:pPr>
              <w:pStyle w:val="P68B1DB1-Normal104"/>
              <w:spacing w:before="120" w:after="120"/>
              <w:jc w:val="center"/>
              <w:rPr>
                <w:rFonts w:eastAsia="Calibri"/>
                <w:noProof/>
              </w:rPr>
            </w:pPr>
            <w:r>
              <w:rPr>
                <w:noProof/>
              </w:rPr>
              <w:t>Elpymis- ja palautumistukivälineen varojen maksaminen rahoituslain 67/88 20 artiklan mukaisiin hankkeisiin</w:t>
            </w:r>
          </w:p>
        </w:tc>
        <w:tc>
          <w:tcPr>
            <w:tcW w:w="1701" w:type="dxa"/>
            <w:shd w:val="clear" w:color="auto" w:fill="C6EFCE"/>
            <w:noWrap/>
            <w:vAlign w:val="center"/>
          </w:tcPr>
          <w:p w14:paraId="7D68271F" w14:textId="77777777" w:rsidR="00E42B18" w:rsidRDefault="009629C4">
            <w:pPr>
              <w:pStyle w:val="P68B1DB1-Normal104"/>
              <w:jc w:val="center"/>
              <w:rPr>
                <w:noProof/>
              </w:rPr>
            </w:pPr>
            <w:r>
              <w:rPr>
                <w:noProof/>
              </w:rPr>
              <w:t>EI OLE</w:t>
            </w:r>
          </w:p>
        </w:tc>
        <w:tc>
          <w:tcPr>
            <w:tcW w:w="1276" w:type="dxa"/>
            <w:shd w:val="clear" w:color="auto" w:fill="C6EFCE"/>
            <w:noWrap/>
            <w:vAlign w:val="center"/>
          </w:tcPr>
          <w:p w14:paraId="1FB1C1A1" w14:textId="77777777" w:rsidR="00E42B18" w:rsidRDefault="009629C4">
            <w:pPr>
              <w:pStyle w:val="P68B1DB1-Normal104"/>
              <w:jc w:val="center"/>
              <w:rPr>
                <w:rFonts w:eastAsia="Calibri"/>
                <w:noProof/>
              </w:rPr>
            </w:pPr>
            <w:r>
              <w:rPr>
                <w:noProof/>
              </w:rPr>
              <w:t>Numero</w:t>
            </w:r>
          </w:p>
        </w:tc>
        <w:tc>
          <w:tcPr>
            <w:tcW w:w="1134" w:type="dxa"/>
            <w:shd w:val="clear" w:color="auto" w:fill="C6EFCE"/>
            <w:noWrap/>
            <w:vAlign w:val="center"/>
          </w:tcPr>
          <w:p w14:paraId="015E1097" w14:textId="77777777" w:rsidR="00E42B18" w:rsidRDefault="009629C4">
            <w:pPr>
              <w:pStyle w:val="P68B1DB1-Normal104"/>
              <w:jc w:val="center"/>
              <w:rPr>
                <w:noProof/>
              </w:rPr>
            </w:pPr>
            <w:r>
              <w:rPr>
                <w:noProof/>
              </w:rPr>
              <w:t>0</w:t>
            </w:r>
          </w:p>
        </w:tc>
        <w:tc>
          <w:tcPr>
            <w:tcW w:w="1276" w:type="dxa"/>
            <w:shd w:val="clear" w:color="auto" w:fill="C6EFCE"/>
            <w:noWrap/>
            <w:vAlign w:val="center"/>
          </w:tcPr>
          <w:p w14:paraId="10AF0ED4" w14:textId="560E5B77" w:rsidR="00E42B18" w:rsidRDefault="009629C4">
            <w:pPr>
              <w:pStyle w:val="P68B1DB1-Normal16"/>
              <w:jc w:val="center"/>
              <w:rPr>
                <w:noProof/>
                <w:color w:val="006600"/>
              </w:rPr>
            </w:pPr>
            <w:r>
              <w:rPr>
                <w:noProof/>
                <w:color w:val="006600"/>
              </w:rPr>
              <w:t>225</w:t>
            </w:r>
            <w:r>
              <w:rPr>
                <w:noProof/>
                <w:color w:val="006100"/>
              </w:rPr>
              <w:t xml:space="preserve"> </w:t>
            </w:r>
            <w:r>
              <w:rPr>
                <w:noProof/>
                <w:color w:val="006600"/>
              </w:rPr>
              <w:t>000</w:t>
            </w:r>
            <w:r>
              <w:rPr>
                <w:noProof/>
                <w:color w:val="006100"/>
              </w:rPr>
              <w:t xml:space="preserve"> </w:t>
            </w:r>
            <w:r>
              <w:rPr>
                <w:noProof/>
                <w:color w:val="006600"/>
              </w:rPr>
              <w:t>000</w:t>
            </w:r>
          </w:p>
        </w:tc>
        <w:tc>
          <w:tcPr>
            <w:tcW w:w="865" w:type="dxa"/>
            <w:shd w:val="clear" w:color="auto" w:fill="C6EFCE"/>
            <w:noWrap/>
            <w:vAlign w:val="center"/>
          </w:tcPr>
          <w:p w14:paraId="26D8A7AC" w14:textId="77777777" w:rsidR="00E42B18" w:rsidRDefault="009629C4">
            <w:pPr>
              <w:pStyle w:val="P68B1DB1-Normal103"/>
              <w:jc w:val="center"/>
              <w:rPr>
                <w:noProof/>
                <w:szCs w:val="20"/>
              </w:rPr>
            </w:pPr>
            <w:r>
              <w:rPr>
                <w:noProof/>
              </w:rPr>
              <w:t>Q2</w:t>
            </w:r>
          </w:p>
        </w:tc>
        <w:tc>
          <w:tcPr>
            <w:tcW w:w="721" w:type="dxa"/>
            <w:shd w:val="clear" w:color="auto" w:fill="C6EFCE"/>
            <w:noWrap/>
            <w:vAlign w:val="center"/>
          </w:tcPr>
          <w:p w14:paraId="60A5297E" w14:textId="77777777" w:rsidR="00E42B18" w:rsidRDefault="009629C4">
            <w:pPr>
              <w:pStyle w:val="P68B1DB1-Normal103"/>
              <w:jc w:val="center"/>
              <w:rPr>
                <w:noProof/>
                <w:szCs w:val="20"/>
              </w:rPr>
            </w:pPr>
            <w:r>
              <w:rPr>
                <w:noProof/>
              </w:rPr>
              <w:t>2026</w:t>
            </w:r>
          </w:p>
        </w:tc>
        <w:tc>
          <w:tcPr>
            <w:tcW w:w="2881" w:type="dxa"/>
            <w:shd w:val="clear" w:color="auto" w:fill="C6EFCE"/>
            <w:noWrap/>
            <w:vAlign w:val="center"/>
          </w:tcPr>
          <w:p w14:paraId="3B35AB37" w14:textId="77777777" w:rsidR="00E42B18" w:rsidRDefault="009629C4">
            <w:pPr>
              <w:pStyle w:val="P68B1DB1-Normal104"/>
              <w:rPr>
                <w:rFonts w:eastAsia="Calibri"/>
                <w:noProof/>
              </w:rPr>
            </w:pPr>
            <w:r>
              <w:rPr>
                <w:noProof/>
              </w:rPr>
              <w:t>Todiste 225000000 euron maksusta terveysministeriön kyseisen alueen tai autonomisen maakunnan kanssa toteuttamien, terveydenhuoltolaitosten kunnostamiseen ja/tai teknologiseen nykyaikaistamiseen liittyvien toimien toteuttamiseksi L. 67/88 §:n nojalla.</w:t>
            </w:r>
          </w:p>
        </w:tc>
      </w:tr>
      <w:tr w:rsidR="00E42B18" w14:paraId="5B5BB4DF" w14:textId="77777777">
        <w:trPr>
          <w:trHeight w:val="313"/>
          <w:jc w:val="center"/>
        </w:trPr>
        <w:tc>
          <w:tcPr>
            <w:tcW w:w="1140" w:type="dxa"/>
            <w:shd w:val="clear" w:color="auto" w:fill="C6EFCE"/>
            <w:noWrap/>
            <w:vAlign w:val="center"/>
          </w:tcPr>
          <w:p w14:paraId="4493889C" w14:textId="77777777" w:rsidR="00E42B18" w:rsidRDefault="009629C4">
            <w:pPr>
              <w:pStyle w:val="P68B1DB1-Normal12"/>
              <w:spacing w:before="120" w:after="120"/>
              <w:jc w:val="center"/>
              <w:rPr>
                <w:noProof/>
              </w:rPr>
            </w:pPr>
            <w:r>
              <w:rPr>
                <w:noProof/>
              </w:rPr>
              <w:t>M6C2–11</w:t>
            </w:r>
          </w:p>
        </w:tc>
        <w:tc>
          <w:tcPr>
            <w:tcW w:w="1418" w:type="dxa"/>
            <w:shd w:val="clear" w:color="auto" w:fill="C6EFCE"/>
            <w:noWrap/>
            <w:vAlign w:val="center"/>
          </w:tcPr>
          <w:p w14:paraId="6AEC904D" w14:textId="77777777" w:rsidR="00E42B18" w:rsidRDefault="009629C4">
            <w:pPr>
              <w:pStyle w:val="P68B1DB1-Normal103"/>
              <w:spacing w:before="120" w:after="120"/>
              <w:jc w:val="center"/>
              <w:rPr>
                <w:noProof/>
                <w:color w:val="006100"/>
                <w:szCs w:val="20"/>
              </w:rPr>
            </w:pPr>
            <w:r>
              <w:rPr>
                <w:noProof/>
              </w:rPr>
              <w:t>Investointi 1.3: Teknisen infrastruktuurin sekä tiedonkeruu-, tietojenkäsittely-, data-analyysi- ja simulointivälineiden vahvistaminen</w:t>
            </w:r>
          </w:p>
        </w:tc>
        <w:tc>
          <w:tcPr>
            <w:tcW w:w="1134" w:type="dxa"/>
            <w:shd w:val="clear" w:color="auto" w:fill="C6EFCE"/>
            <w:noWrap/>
            <w:vAlign w:val="center"/>
          </w:tcPr>
          <w:p w14:paraId="1068CCB1" w14:textId="77777777" w:rsidR="00E42B18" w:rsidRDefault="009629C4">
            <w:pPr>
              <w:pStyle w:val="P68B1DB1-Normal103"/>
              <w:spacing w:before="120" w:after="120"/>
              <w:jc w:val="center"/>
              <w:rPr>
                <w:noProof/>
                <w:color w:val="006100"/>
                <w:szCs w:val="20"/>
              </w:rPr>
            </w:pPr>
            <w:r>
              <w:rPr>
                <w:noProof/>
              </w:rPr>
              <w:t>Kohde</w:t>
            </w:r>
          </w:p>
        </w:tc>
        <w:tc>
          <w:tcPr>
            <w:tcW w:w="1559" w:type="dxa"/>
            <w:shd w:val="clear" w:color="auto" w:fill="C6EFCE"/>
            <w:noWrap/>
            <w:vAlign w:val="center"/>
          </w:tcPr>
          <w:p w14:paraId="1F815960" w14:textId="77777777" w:rsidR="00E42B18" w:rsidRDefault="009629C4">
            <w:pPr>
              <w:pStyle w:val="P68B1DB1-Normal103"/>
              <w:spacing w:before="120" w:after="120"/>
              <w:jc w:val="center"/>
              <w:rPr>
                <w:noProof/>
                <w:szCs w:val="20"/>
              </w:rPr>
            </w:pPr>
            <w:r>
              <w:rPr>
                <w:noProof/>
              </w:rPr>
              <w:t>Yleislääkärit, jotka käyttävät sähköistä terveysrekisteriä.</w:t>
            </w:r>
          </w:p>
        </w:tc>
        <w:tc>
          <w:tcPr>
            <w:tcW w:w="1701" w:type="dxa"/>
            <w:shd w:val="clear" w:color="auto" w:fill="C6EFCE"/>
            <w:noWrap/>
            <w:vAlign w:val="center"/>
          </w:tcPr>
          <w:p w14:paraId="404E7EC2"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1E61ABE0" w14:textId="77777777" w:rsidR="00E42B18" w:rsidRDefault="009629C4">
            <w:pPr>
              <w:pStyle w:val="P68B1DB1-Normal103"/>
              <w:spacing w:before="120" w:after="120"/>
              <w:jc w:val="center"/>
              <w:rPr>
                <w:rFonts w:eastAsia="Calibri"/>
                <w:noProof/>
                <w:szCs w:val="20"/>
              </w:rPr>
            </w:pPr>
            <w:r>
              <w:rPr>
                <w:noProof/>
              </w:rPr>
              <w:t xml:space="preserve">Prosenttiosuus </w:t>
            </w:r>
          </w:p>
        </w:tc>
        <w:tc>
          <w:tcPr>
            <w:tcW w:w="1134" w:type="dxa"/>
            <w:shd w:val="clear" w:color="auto" w:fill="C6EFCE"/>
            <w:noWrap/>
            <w:vAlign w:val="center"/>
          </w:tcPr>
          <w:p w14:paraId="240B6A39" w14:textId="77777777" w:rsidR="00E42B18" w:rsidRDefault="009629C4">
            <w:pPr>
              <w:pStyle w:val="P68B1DB1-Normal103"/>
              <w:spacing w:before="120" w:after="120"/>
              <w:jc w:val="center"/>
              <w:rPr>
                <w:noProof/>
                <w:color w:val="006100"/>
                <w:szCs w:val="20"/>
              </w:rPr>
            </w:pPr>
            <w:r>
              <w:rPr>
                <w:noProof/>
              </w:rPr>
              <w:t>0</w:t>
            </w:r>
          </w:p>
        </w:tc>
        <w:tc>
          <w:tcPr>
            <w:tcW w:w="1276" w:type="dxa"/>
            <w:shd w:val="clear" w:color="auto" w:fill="C6EFCE"/>
            <w:noWrap/>
            <w:vAlign w:val="center"/>
          </w:tcPr>
          <w:p w14:paraId="64F6C8DF" w14:textId="77777777" w:rsidR="00E42B18" w:rsidRDefault="009629C4">
            <w:pPr>
              <w:pStyle w:val="P68B1DB1-Normal103"/>
              <w:spacing w:before="120" w:after="120"/>
              <w:jc w:val="center"/>
              <w:rPr>
                <w:noProof/>
                <w:color w:val="006100"/>
                <w:szCs w:val="20"/>
              </w:rPr>
            </w:pPr>
            <w:r>
              <w:rPr>
                <w:noProof/>
              </w:rPr>
              <w:t>85</w:t>
            </w:r>
          </w:p>
        </w:tc>
        <w:tc>
          <w:tcPr>
            <w:tcW w:w="865" w:type="dxa"/>
            <w:shd w:val="clear" w:color="auto" w:fill="C6EFCE"/>
            <w:noWrap/>
            <w:vAlign w:val="center"/>
          </w:tcPr>
          <w:p w14:paraId="6A850DBE" w14:textId="77777777" w:rsidR="00E42B18" w:rsidRDefault="009629C4">
            <w:pPr>
              <w:pStyle w:val="P68B1DB1-Normal103"/>
              <w:spacing w:before="120" w:after="120"/>
              <w:jc w:val="center"/>
              <w:rPr>
                <w:noProof/>
                <w:color w:val="006100"/>
                <w:szCs w:val="20"/>
              </w:rPr>
            </w:pPr>
            <w:r>
              <w:rPr>
                <w:noProof/>
              </w:rPr>
              <w:t>Q4</w:t>
            </w:r>
          </w:p>
        </w:tc>
        <w:tc>
          <w:tcPr>
            <w:tcW w:w="721" w:type="dxa"/>
            <w:shd w:val="clear" w:color="auto" w:fill="C6EFCE"/>
            <w:noWrap/>
            <w:vAlign w:val="center"/>
          </w:tcPr>
          <w:p w14:paraId="0D6D2019" w14:textId="77777777" w:rsidR="00E42B18" w:rsidRDefault="009629C4">
            <w:pPr>
              <w:pStyle w:val="P68B1DB1-Normal104"/>
              <w:spacing w:before="120" w:after="120"/>
              <w:jc w:val="center"/>
              <w:rPr>
                <w:noProof/>
                <w:color w:val="006100"/>
              </w:rPr>
            </w:pPr>
            <w:r>
              <w:rPr>
                <w:noProof/>
              </w:rPr>
              <w:t>2025</w:t>
            </w:r>
          </w:p>
        </w:tc>
        <w:tc>
          <w:tcPr>
            <w:tcW w:w="2881" w:type="dxa"/>
            <w:shd w:val="clear" w:color="auto" w:fill="C6EFCE"/>
            <w:noWrap/>
            <w:vAlign w:val="center"/>
          </w:tcPr>
          <w:p w14:paraId="2E750C0A" w14:textId="77777777" w:rsidR="00E42B18" w:rsidRDefault="009629C4">
            <w:pPr>
              <w:pStyle w:val="P68B1DB1-Normal104"/>
              <w:spacing w:before="120" w:after="120"/>
              <w:rPr>
                <w:noProof/>
              </w:rPr>
            </w:pPr>
            <w:r>
              <w:rPr>
                <w:noProof/>
              </w:rPr>
              <w:t xml:space="preserve">Yleislääkärit (MMG/PLS), jotka käyttävät sähköisiä terveystietoja, jotka saavuttavat vähintään 85 prosenttia kokonaismäärästä. Tavoite saavutetaan tarkistamalla kansallisen tason indikaattorin 2 arvo, johon viitataan 8 päivänä elokuuta 2022 annetun asetuksen liitteessä 2, ja siihen tehdyt muutokset. </w:t>
            </w:r>
          </w:p>
        </w:tc>
      </w:tr>
      <w:tr w:rsidR="00E42B18" w14:paraId="7EF2B9FB" w14:textId="77777777">
        <w:trPr>
          <w:trHeight w:val="313"/>
          <w:jc w:val="center"/>
        </w:trPr>
        <w:tc>
          <w:tcPr>
            <w:tcW w:w="1140" w:type="dxa"/>
            <w:shd w:val="clear" w:color="auto" w:fill="C6EFCE"/>
            <w:noWrap/>
            <w:vAlign w:val="center"/>
          </w:tcPr>
          <w:p w14:paraId="6836B5A9" w14:textId="77777777" w:rsidR="00E42B18" w:rsidRDefault="009629C4">
            <w:pPr>
              <w:pStyle w:val="P68B1DB1-Normal12"/>
              <w:spacing w:before="120" w:after="120"/>
              <w:jc w:val="center"/>
              <w:rPr>
                <w:noProof/>
              </w:rPr>
            </w:pPr>
            <w:r>
              <w:rPr>
                <w:noProof/>
              </w:rPr>
              <w:t>M6C2–12</w:t>
            </w:r>
          </w:p>
        </w:tc>
        <w:tc>
          <w:tcPr>
            <w:tcW w:w="1418" w:type="dxa"/>
            <w:shd w:val="clear" w:color="auto" w:fill="C6EFCE"/>
            <w:noWrap/>
            <w:vAlign w:val="center"/>
          </w:tcPr>
          <w:p w14:paraId="15E40EC1" w14:textId="77777777" w:rsidR="00E42B18" w:rsidRDefault="009629C4">
            <w:pPr>
              <w:pStyle w:val="P68B1DB1-Normal103"/>
              <w:spacing w:before="120" w:after="120"/>
              <w:jc w:val="center"/>
              <w:rPr>
                <w:noProof/>
                <w:color w:val="006100"/>
                <w:szCs w:val="20"/>
              </w:rPr>
            </w:pPr>
            <w:r>
              <w:rPr>
                <w:noProof/>
              </w:rPr>
              <w:t>Investointi 1.3: Teknisen infrastruktuurin sekä tiedonkeruu-, tietojenkäsittely-, data-analyysi- ja simulointivälineiden vahvistaminen</w:t>
            </w:r>
          </w:p>
        </w:tc>
        <w:tc>
          <w:tcPr>
            <w:tcW w:w="1134" w:type="dxa"/>
            <w:shd w:val="clear" w:color="auto" w:fill="C6EFCE"/>
            <w:noWrap/>
            <w:vAlign w:val="center"/>
          </w:tcPr>
          <w:p w14:paraId="6916CD57" w14:textId="77777777" w:rsidR="00E42B18" w:rsidRDefault="009629C4">
            <w:pPr>
              <w:pStyle w:val="P68B1DB1-Normal103"/>
              <w:spacing w:before="120" w:after="120"/>
              <w:jc w:val="center"/>
              <w:rPr>
                <w:noProof/>
                <w:color w:val="006100"/>
                <w:szCs w:val="20"/>
              </w:rPr>
            </w:pPr>
            <w:r>
              <w:rPr>
                <w:noProof/>
              </w:rPr>
              <w:t>Virstanpylväs</w:t>
            </w:r>
          </w:p>
        </w:tc>
        <w:tc>
          <w:tcPr>
            <w:tcW w:w="1559" w:type="dxa"/>
            <w:shd w:val="clear" w:color="auto" w:fill="C6EFCE"/>
            <w:noWrap/>
            <w:vAlign w:val="center"/>
          </w:tcPr>
          <w:p w14:paraId="2AD06A88" w14:textId="5B0261E0" w:rsidR="00E42B18" w:rsidRDefault="009629C4">
            <w:pPr>
              <w:pStyle w:val="P68B1DB1-Normal104"/>
              <w:spacing w:before="120" w:after="120"/>
              <w:jc w:val="center"/>
              <w:rPr>
                <w:noProof/>
              </w:rPr>
            </w:pPr>
            <w:r>
              <w:rPr>
                <w:noProof/>
              </w:rPr>
              <w:t>Sairausvakuutuskorttijärjestelmä ja sähköisten terveystietojen yhteentoimivuuden infrastruktuuri ovat toiminnassa.</w:t>
            </w:r>
          </w:p>
        </w:tc>
        <w:tc>
          <w:tcPr>
            <w:tcW w:w="1701" w:type="dxa"/>
            <w:shd w:val="clear" w:color="auto" w:fill="C6EFCE"/>
            <w:noWrap/>
            <w:vAlign w:val="center"/>
          </w:tcPr>
          <w:p w14:paraId="1893BAC6" w14:textId="714F9811" w:rsidR="00E42B18" w:rsidRDefault="009629C4">
            <w:pPr>
              <w:spacing w:before="120" w:after="120"/>
              <w:jc w:val="center"/>
              <w:rPr>
                <w:rFonts w:ascii="Arial Narrow" w:hAnsi="Arial Narrow"/>
                <w:noProof/>
                <w:sz w:val="20"/>
                <w:szCs w:val="20"/>
              </w:rPr>
            </w:pPr>
            <w:r>
              <w:rPr>
                <w:rFonts w:ascii="Arial Narrow" w:hAnsi="Arial Narrow"/>
                <w:noProof/>
                <w:color w:val="006600"/>
                <w:sz w:val="20"/>
                <w:szCs w:val="20"/>
              </w:rPr>
              <w:t>Sairausvakuutuskorttijärjestelmän käyttöönotto</w:t>
            </w:r>
            <w:r>
              <w:rPr>
                <w:rFonts w:ascii="Arial Narrow" w:hAnsi="Arial Narrow"/>
                <w:noProof/>
              </w:rPr>
              <w:t xml:space="preserve"> </w:t>
            </w:r>
            <w:r>
              <w:rPr>
                <w:noProof/>
              </w:rPr>
              <w:t xml:space="preserve"> </w:t>
            </w:r>
            <w:r>
              <w:rPr>
                <w:noProof/>
              </w:rPr>
              <w:br/>
            </w:r>
            <w:r>
              <w:rPr>
                <w:rFonts w:ascii="Arial Narrow" w:hAnsi="Arial Narrow"/>
                <w:noProof/>
                <w:color w:val="006600"/>
                <w:sz w:val="20"/>
                <w:szCs w:val="20"/>
              </w:rPr>
              <w:t>ja sähköisen potilaskertomuksen yhteentoimivuuden edellyttämä infrastruktuuri.</w:t>
            </w:r>
          </w:p>
        </w:tc>
        <w:tc>
          <w:tcPr>
            <w:tcW w:w="1276" w:type="dxa"/>
            <w:shd w:val="clear" w:color="auto" w:fill="C6EFCE"/>
            <w:noWrap/>
            <w:vAlign w:val="center"/>
          </w:tcPr>
          <w:p w14:paraId="76710FD3" w14:textId="77777777" w:rsidR="00E42B18" w:rsidRDefault="009629C4">
            <w:pPr>
              <w:pStyle w:val="P68B1DB1-Normal103"/>
              <w:spacing w:before="120" w:after="120"/>
              <w:jc w:val="center"/>
              <w:rPr>
                <w:noProof/>
                <w:color w:val="006100"/>
                <w:szCs w:val="20"/>
              </w:rPr>
            </w:pPr>
            <w:r>
              <w:rPr>
                <w:noProof/>
              </w:rPr>
              <w:t>EI OLE</w:t>
            </w:r>
          </w:p>
        </w:tc>
        <w:tc>
          <w:tcPr>
            <w:tcW w:w="1134" w:type="dxa"/>
            <w:shd w:val="clear" w:color="auto" w:fill="C6EFCE"/>
            <w:noWrap/>
            <w:vAlign w:val="center"/>
          </w:tcPr>
          <w:p w14:paraId="6A78FFF2"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3EFFCF24" w14:textId="77777777" w:rsidR="00E42B18" w:rsidRDefault="009629C4">
            <w:pPr>
              <w:pStyle w:val="P68B1DB1-Normal103"/>
              <w:spacing w:before="120" w:after="120"/>
              <w:jc w:val="center"/>
              <w:rPr>
                <w:noProof/>
                <w:color w:val="006100"/>
                <w:szCs w:val="20"/>
              </w:rPr>
            </w:pPr>
            <w:r>
              <w:rPr>
                <w:noProof/>
              </w:rPr>
              <w:t>EI OLE</w:t>
            </w:r>
          </w:p>
        </w:tc>
        <w:tc>
          <w:tcPr>
            <w:tcW w:w="865" w:type="dxa"/>
            <w:shd w:val="clear" w:color="auto" w:fill="C6EFCE"/>
            <w:noWrap/>
            <w:vAlign w:val="center"/>
          </w:tcPr>
          <w:p w14:paraId="76BA64F4" w14:textId="77777777" w:rsidR="00E42B18" w:rsidRDefault="009629C4">
            <w:pPr>
              <w:pStyle w:val="P68B1DB1-Normal103"/>
              <w:spacing w:before="120" w:after="120"/>
              <w:jc w:val="center"/>
              <w:rPr>
                <w:noProof/>
                <w:color w:val="006100"/>
                <w:szCs w:val="20"/>
              </w:rPr>
            </w:pPr>
            <w:r>
              <w:rPr>
                <w:noProof/>
              </w:rPr>
              <w:t>Q2</w:t>
            </w:r>
          </w:p>
        </w:tc>
        <w:tc>
          <w:tcPr>
            <w:tcW w:w="721" w:type="dxa"/>
            <w:shd w:val="clear" w:color="auto" w:fill="C6EFCE"/>
            <w:noWrap/>
            <w:vAlign w:val="center"/>
          </w:tcPr>
          <w:p w14:paraId="67BFCC6A" w14:textId="77777777" w:rsidR="00E42B18" w:rsidRDefault="009629C4">
            <w:pPr>
              <w:pStyle w:val="P68B1DB1-Normal103"/>
              <w:spacing w:before="120" w:after="120"/>
              <w:jc w:val="center"/>
              <w:rPr>
                <w:noProof/>
                <w:color w:val="006100"/>
                <w:szCs w:val="20"/>
              </w:rPr>
            </w:pPr>
            <w:r>
              <w:rPr>
                <w:noProof/>
              </w:rPr>
              <w:t>2026</w:t>
            </w:r>
          </w:p>
        </w:tc>
        <w:tc>
          <w:tcPr>
            <w:tcW w:w="2881" w:type="dxa"/>
            <w:shd w:val="clear" w:color="auto" w:fill="C6EFCE"/>
            <w:noWrap/>
            <w:vAlign w:val="center"/>
          </w:tcPr>
          <w:p w14:paraId="4411EE60" w14:textId="77777777" w:rsidR="00E42B18" w:rsidRDefault="009629C4">
            <w:pPr>
              <w:spacing w:before="120" w:after="120"/>
              <w:rPr>
                <w:rFonts w:ascii="Arial Narrow" w:eastAsia="Calibri" w:hAnsi="Arial Narrow"/>
                <w:noProof/>
                <w:color w:val="006600"/>
                <w:sz w:val="20"/>
                <w:szCs w:val="20"/>
              </w:rPr>
            </w:pPr>
            <w:r>
              <w:rPr>
                <w:rFonts w:ascii="Arial Narrow" w:hAnsi="Arial Narrow"/>
                <w:noProof/>
                <w:color w:val="006600"/>
                <w:sz w:val="20"/>
                <w:szCs w:val="20"/>
              </w:rPr>
              <w:t>Testaustodistukset, joilla vahvistetaan sairausvakuutuskorttijärjestelmän ja sähköisten terveystietojen yhteentoimivuuden edellyttämän infrastruktuurin käyttöönotto ja ecosistema Dati Sanitari -järjestelmän (EDS)</w:t>
            </w:r>
            <w:r>
              <w:rPr>
                <w:rStyle w:val="CommentReference"/>
                <w:rFonts w:ascii="Times New Roman" w:eastAsia="Times New Roman" w:hAnsi="Times New Roman" w:cs="Times New Roman"/>
                <w:noProof/>
              </w:rPr>
              <w:t xml:space="preserve"> käyttöönotto</w:t>
            </w:r>
            <w:r>
              <w:rPr>
                <w:rFonts w:ascii="Arial Narrow" w:hAnsi="Arial Narrow"/>
                <w:noProof/>
                <w:color w:val="006600"/>
                <w:sz w:val="20"/>
                <w:szCs w:val="20"/>
              </w:rPr>
              <w:t>.</w:t>
            </w:r>
          </w:p>
        </w:tc>
      </w:tr>
      <w:tr w:rsidR="00E42B18" w14:paraId="091128D8" w14:textId="77777777">
        <w:trPr>
          <w:trHeight w:val="313"/>
          <w:jc w:val="center"/>
        </w:trPr>
        <w:tc>
          <w:tcPr>
            <w:tcW w:w="114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D5BB9C" w14:textId="77777777" w:rsidR="00E42B18" w:rsidRDefault="009629C4">
            <w:pPr>
              <w:pStyle w:val="P68B1DB1-Normal11"/>
              <w:spacing w:before="120" w:after="120"/>
              <w:jc w:val="center"/>
              <w:rPr>
                <w:noProof/>
                <w:szCs w:val="20"/>
              </w:rPr>
            </w:pPr>
            <w:r>
              <w:rPr>
                <w:noProof/>
              </w:rPr>
              <w:t>M6C2–13</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8B1906" w14:textId="77777777" w:rsidR="00E42B18" w:rsidRDefault="009629C4">
            <w:pPr>
              <w:pStyle w:val="P68B1DB1-Normal103"/>
              <w:spacing w:before="120" w:after="120"/>
              <w:jc w:val="center"/>
              <w:rPr>
                <w:noProof/>
                <w:color w:val="006100"/>
                <w:szCs w:val="20"/>
              </w:rPr>
            </w:pPr>
            <w:r>
              <w:rPr>
                <w:noProof/>
              </w:rPr>
              <w:t>Investointi 1.3: Teknisen infrastruktuurin sekä tiedonkeruu-, tietojenkäsittely-, data-analyysi- ja simulointivälineiden vahvistaminen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BF4B7" w14:textId="77777777" w:rsidR="00E42B18" w:rsidRDefault="009629C4">
            <w:pPr>
              <w:pStyle w:val="P68B1DB1-Normal104"/>
              <w:spacing w:before="120" w:after="120"/>
              <w:jc w:val="center"/>
              <w:rPr>
                <w:noProof/>
                <w:color w:val="006100"/>
              </w:rPr>
            </w:pPr>
            <w:r>
              <w:rPr>
                <w:noProof/>
              </w:rPr>
              <w:t>Kohde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F7DBC9" w14:textId="1589BDA3" w:rsidR="00E42B18" w:rsidRDefault="009629C4">
            <w:pPr>
              <w:pStyle w:val="P68B1DB1-Normal104"/>
              <w:spacing w:before="120" w:after="120"/>
              <w:jc w:val="center"/>
              <w:rPr>
                <w:rFonts w:eastAsia="Calibri"/>
                <w:noProof/>
              </w:rPr>
            </w:pPr>
            <w:r>
              <w:rPr>
                <w:noProof/>
              </w:rPr>
              <w:t xml:space="preserve">Sähköistä terveysrekisteriä käytetään useimmissa terveysrekistereissä. </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B7768E" w14:textId="77777777" w:rsidR="00E42B18" w:rsidRDefault="009629C4">
            <w:pPr>
              <w:pStyle w:val="P68B1DB1-Normal103"/>
              <w:spacing w:before="120" w:after="120"/>
              <w:jc w:val="center"/>
              <w:rPr>
                <w:noProof/>
                <w:color w:val="006100"/>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4BD278" w14:textId="77777777" w:rsidR="00E42B18" w:rsidRDefault="009629C4">
            <w:pPr>
              <w:pStyle w:val="P68B1DB1-Normal103"/>
              <w:spacing w:before="120" w:after="120"/>
              <w:jc w:val="center"/>
              <w:rPr>
                <w:rFonts w:eastAsia="Arial"/>
                <w:noProof/>
                <w:szCs w:val="20"/>
              </w:rPr>
            </w:pPr>
            <w:r>
              <w:rPr>
                <w:noProof/>
              </w:rPr>
              <w:t>Prosenttiosuus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617DF" w14:textId="77777777" w:rsidR="00E42B18" w:rsidRDefault="009629C4">
            <w:pPr>
              <w:pStyle w:val="P68B1DB1-Normal103"/>
              <w:spacing w:before="120" w:after="120"/>
              <w:jc w:val="center"/>
              <w:rPr>
                <w:noProof/>
                <w:color w:val="006100"/>
                <w:szCs w:val="20"/>
              </w:rPr>
            </w:pPr>
            <w:r>
              <w:rPr>
                <w:noProof/>
              </w:rPr>
              <w:t>0</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E6F90" w14:textId="77777777" w:rsidR="00E42B18" w:rsidRDefault="009629C4">
            <w:pPr>
              <w:pStyle w:val="P68B1DB1-Normal103"/>
              <w:spacing w:before="120" w:after="120"/>
              <w:jc w:val="center"/>
              <w:rPr>
                <w:noProof/>
                <w:color w:val="006100"/>
                <w:szCs w:val="20"/>
              </w:rPr>
            </w:pPr>
            <w:r>
              <w:rPr>
                <w:noProof/>
              </w:rPr>
              <w:t>90</w:t>
            </w:r>
          </w:p>
        </w:tc>
        <w:tc>
          <w:tcPr>
            <w:tcW w:w="8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EAA338" w14:textId="77777777" w:rsidR="00E42B18" w:rsidRDefault="009629C4">
            <w:pPr>
              <w:pStyle w:val="P68B1DB1-Normal103"/>
              <w:spacing w:before="120" w:after="120"/>
              <w:jc w:val="center"/>
              <w:rPr>
                <w:noProof/>
                <w:color w:val="006100"/>
                <w:szCs w:val="20"/>
              </w:rPr>
            </w:pPr>
            <w:r>
              <w:rPr>
                <w:noProof/>
              </w:rPr>
              <w:t>Q2</w:t>
            </w:r>
          </w:p>
        </w:tc>
        <w:tc>
          <w:tcPr>
            <w:tcW w:w="7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46A81" w14:textId="77777777" w:rsidR="00E42B18" w:rsidRDefault="009629C4">
            <w:pPr>
              <w:pStyle w:val="P68B1DB1-Normal103"/>
              <w:spacing w:before="120" w:after="120"/>
              <w:jc w:val="center"/>
              <w:rPr>
                <w:noProof/>
                <w:color w:val="006100"/>
                <w:szCs w:val="20"/>
              </w:rPr>
            </w:pPr>
            <w:r>
              <w:rPr>
                <w:noProof/>
              </w:rPr>
              <w:t>2026</w:t>
            </w:r>
          </w:p>
        </w:tc>
        <w:tc>
          <w:tcPr>
            <w:tcW w:w="28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375051" w14:textId="7FD7B9DF" w:rsidR="00E42B18" w:rsidRDefault="009629C4">
            <w:pPr>
              <w:pStyle w:val="P68B1DB1-Normal104"/>
              <w:spacing w:before="120" w:after="120"/>
              <w:rPr>
                <w:rFonts w:eastAsia="Calibri"/>
                <w:noProof/>
              </w:rPr>
            </w:pPr>
            <w:r>
              <w:rPr>
                <w:noProof/>
              </w:rPr>
              <w:t>Alkuperäisten sähköisten potilaskertomusten osuus kaikista asiakirjoista on 90 prosenttia. Tavoite saavutetaan tarkistamalla sähköisen potilaskertomuksen seurantataululla 8. elokuuta 2022 annetun asetuksen liitteessä 2 tarkoitetun indikaattorin 1 arvo kansallisella tasolla ja tekemällä siihen muutoksia ainakin seuraavien asiakirjojen osalta: Sairaalan purkamista koskeva kirje; hälytystila; laboratorioraportti; radiologinen raportti; patologinen anatomiaraportti.</w:t>
            </w:r>
          </w:p>
        </w:tc>
      </w:tr>
      <w:tr w:rsidR="00E42B18" w14:paraId="1B5BCAA2" w14:textId="77777777">
        <w:trPr>
          <w:trHeight w:val="313"/>
          <w:jc w:val="center"/>
        </w:trPr>
        <w:tc>
          <w:tcPr>
            <w:tcW w:w="1140" w:type="dxa"/>
            <w:shd w:val="clear" w:color="auto" w:fill="C6EFCE"/>
            <w:noWrap/>
            <w:vAlign w:val="center"/>
          </w:tcPr>
          <w:p w14:paraId="72588BDB" w14:textId="77777777" w:rsidR="00E42B18" w:rsidRDefault="009629C4">
            <w:pPr>
              <w:pStyle w:val="P68B1DB1-Normal11"/>
              <w:spacing w:before="120" w:after="120"/>
              <w:jc w:val="center"/>
              <w:rPr>
                <w:noProof/>
                <w:szCs w:val="20"/>
              </w:rPr>
            </w:pPr>
            <w:r>
              <w:rPr>
                <w:noProof/>
              </w:rPr>
              <w:t>M6C2–14</w:t>
            </w:r>
          </w:p>
        </w:tc>
        <w:tc>
          <w:tcPr>
            <w:tcW w:w="1418" w:type="dxa"/>
            <w:shd w:val="clear" w:color="auto" w:fill="C6EFCE"/>
            <w:noWrap/>
            <w:vAlign w:val="center"/>
          </w:tcPr>
          <w:p w14:paraId="49FA42E6" w14:textId="77777777" w:rsidR="00E42B18" w:rsidRDefault="009629C4">
            <w:pPr>
              <w:pStyle w:val="P68B1DB1-Normal103"/>
              <w:spacing w:before="120" w:after="120"/>
              <w:jc w:val="center"/>
              <w:rPr>
                <w:noProof/>
                <w:color w:val="006100"/>
                <w:szCs w:val="20"/>
              </w:rPr>
            </w:pPr>
            <w:r>
              <w:rPr>
                <w:noProof/>
              </w:rPr>
              <w:t>Investointi 2.2: Terveydenhuoltojärjestelmän ammattilaisten teknisten, ammatillisten, digitaalisten ja johtamistaitojen kehittäminen</w:t>
            </w:r>
          </w:p>
        </w:tc>
        <w:tc>
          <w:tcPr>
            <w:tcW w:w="1134" w:type="dxa"/>
            <w:shd w:val="clear" w:color="auto" w:fill="C6EFCE"/>
            <w:noWrap/>
            <w:vAlign w:val="center"/>
          </w:tcPr>
          <w:p w14:paraId="20E55297" w14:textId="77777777" w:rsidR="00E42B18" w:rsidRDefault="009629C4">
            <w:pPr>
              <w:pStyle w:val="P68B1DB1-Normal103"/>
              <w:spacing w:before="120" w:after="120"/>
              <w:jc w:val="center"/>
              <w:rPr>
                <w:noProof/>
                <w:color w:val="006100"/>
                <w:szCs w:val="20"/>
              </w:rPr>
            </w:pPr>
            <w:r>
              <w:rPr>
                <w:noProof/>
              </w:rPr>
              <w:t>Kohde</w:t>
            </w:r>
          </w:p>
        </w:tc>
        <w:tc>
          <w:tcPr>
            <w:tcW w:w="1559" w:type="dxa"/>
            <w:shd w:val="clear" w:color="auto" w:fill="C6EFCE"/>
            <w:noWrap/>
            <w:vAlign w:val="center"/>
          </w:tcPr>
          <w:p w14:paraId="189E26F3" w14:textId="77777777" w:rsidR="00E42B18" w:rsidRDefault="009629C4">
            <w:pPr>
              <w:pStyle w:val="P68B1DB1-Normal103"/>
              <w:spacing w:before="120" w:after="120"/>
              <w:jc w:val="center"/>
              <w:rPr>
                <w:noProof/>
                <w:szCs w:val="20"/>
              </w:rPr>
            </w:pPr>
            <w:r>
              <w:rPr>
                <w:noProof/>
              </w:rPr>
              <w:t>Yleislääkärin erityiskoulutukseen myönnetään apurahoja.</w:t>
            </w:r>
          </w:p>
        </w:tc>
        <w:tc>
          <w:tcPr>
            <w:tcW w:w="1701" w:type="dxa"/>
            <w:shd w:val="clear" w:color="auto" w:fill="C6EFCE"/>
            <w:noWrap/>
            <w:vAlign w:val="center"/>
          </w:tcPr>
          <w:p w14:paraId="064905AF"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3A6BB00A" w14:textId="77777777" w:rsidR="00E42B18" w:rsidRDefault="009629C4">
            <w:pPr>
              <w:pStyle w:val="P68B1DB1-Normal103"/>
              <w:spacing w:before="120" w:after="120"/>
              <w:jc w:val="center"/>
              <w:rPr>
                <w:rFonts w:eastAsia="Calibri"/>
                <w:noProof/>
                <w:szCs w:val="20"/>
              </w:rPr>
            </w:pPr>
            <w:r>
              <w:rPr>
                <w:noProof/>
              </w:rPr>
              <w:t xml:space="preserve">Numero </w:t>
            </w:r>
          </w:p>
        </w:tc>
        <w:tc>
          <w:tcPr>
            <w:tcW w:w="1134" w:type="dxa"/>
            <w:shd w:val="clear" w:color="auto" w:fill="C6EFCE"/>
            <w:noWrap/>
            <w:vAlign w:val="center"/>
          </w:tcPr>
          <w:p w14:paraId="504D4294" w14:textId="77777777" w:rsidR="00E42B18" w:rsidRDefault="009629C4">
            <w:pPr>
              <w:pStyle w:val="P68B1DB1-Normal103"/>
              <w:spacing w:before="120" w:after="120"/>
              <w:jc w:val="center"/>
              <w:rPr>
                <w:noProof/>
                <w:color w:val="006100"/>
                <w:szCs w:val="20"/>
              </w:rPr>
            </w:pPr>
            <w:r>
              <w:rPr>
                <w:noProof/>
              </w:rPr>
              <w:t>0</w:t>
            </w:r>
          </w:p>
        </w:tc>
        <w:tc>
          <w:tcPr>
            <w:tcW w:w="1276" w:type="dxa"/>
            <w:shd w:val="clear" w:color="auto" w:fill="C6EFCE"/>
            <w:noWrap/>
            <w:vAlign w:val="center"/>
          </w:tcPr>
          <w:p w14:paraId="3F000487" w14:textId="77777777" w:rsidR="00E42B18" w:rsidRDefault="009629C4">
            <w:pPr>
              <w:spacing w:before="120" w:after="120"/>
              <w:jc w:val="center"/>
              <w:rPr>
                <w:rFonts w:ascii="Arial Narrow" w:hAnsi="Arial Narrow"/>
                <w:noProof/>
                <w:color w:val="006100"/>
                <w:sz w:val="20"/>
                <w:szCs w:val="20"/>
              </w:rPr>
            </w:pPr>
            <w:r>
              <w:rPr>
                <w:rFonts w:ascii="Arial Narrow" w:hAnsi="Arial Narrow"/>
                <w:noProof/>
                <w:color w:val="006600"/>
                <w:sz w:val="20"/>
              </w:rPr>
              <w:t>1</w:t>
            </w:r>
            <w:r>
              <w:rPr>
                <w:noProof/>
                <w:sz w:val="23"/>
                <w:szCs w:val="23"/>
              </w:rPr>
              <w:t xml:space="preserve"> </w:t>
            </w:r>
            <w:r>
              <w:rPr>
                <w:rFonts w:ascii="Arial Narrow" w:hAnsi="Arial Narrow"/>
                <w:noProof/>
                <w:color w:val="006600"/>
                <w:sz w:val="20"/>
              </w:rPr>
              <w:t>800</w:t>
            </w:r>
          </w:p>
        </w:tc>
        <w:tc>
          <w:tcPr>
            <w:tcW w:w="865" w:type="dxa"/>
            <w:shd w:val="clear" w:color="auto" w:fill="C6EFCE"/>
            <w:noWrap/>
            <w:vAlign w:val="center"/>
          </w:tcPr>
          <w:p w14:paraId="7EBA83EF" w14:textId="77777777" w:rsidR="00E42B18" w:rsidRDefault="009629C4">
            <w:pPr>
              <w:pStyle w:val="P68B1DB1-Normal103"/>
              <w:spacing w:before="120" w:after="120"/>
              <w:jc w:val="center"/>
              <w:rPr>
                <w:noProof/>
                <w:color w:val="006100"/>
                <w:szCs w:val="20"/>
              </w:rPr>
            </w:pPr>
            <w:r>
              <w:rPr>
                <w:noProof/>
              </w:rPr>
              <w:t>Q2</w:t>
            </w:r>
          </w:p>
        </w:tc>
        <w:tc>
          <w:tcPr>
            <w:tcW w:w="721" w:type="dxa"/>
            <w:shd w:val="clear" w:color="auto" w:fill="C6EFCE"/>
            <w:noWrap/>
            <w:vAlign w:val="center"/>
          </w:tcPr>
          <w:p w14:paraId="5464604F" w14:textId="77777777" w:rsidR="00E42B18" w:rsidRDefault="009629C4">
            <w:pPr>
              <w:pStyle w:val="P68B1DB1-Normal103"/>
              <w:spacing w:before="120" w:after="120"/>
              <w:jc w:val="center"/>
              <w:rPr>
                <w:noProof/>
                <w:color w:val="006100"/>
                <w:szCs w:val="20"/>
              </w:rPr>
            </w:pPr>
            <w:r>
              <w:rPr>
                <w:noProof/>
              </w:rPr>
              <w:t>2023</w:t>
            </w:r>
          </w:p>
        </w:tc>
        <w:tc>
          <w:tcPr>
            <w:tcW w:w="2881" w:type="dxa"/>
            <w:shd w:val="clear" w:color="auto" w:fill="C6EFCE"/>
            <w:noWrap/>
            <w:vAlign w:val="center"/>
          </w:tcPr>
          <w:p w14:paraId="29CF9389" w14:textId="4054461F" w:rsidR="00E42B18" w:rsidRDefault="009629C4">
            <w:pPr>
              <w:pStyle w:val="P68B1DB1-Normal103"/>
              <w:spacing w:before="120" w:after="120"/>
              <w:rPr>
                <w:rFonts w:eastAsia="Calibri"/>
                <w:noProof/>
                <w:szCs w:val="20"/>
              </w:rPr>
            </w:pPr>
            <w:r>
              <w:rPr>
                <w:noProof/>
              </w:rPr>
              <w:t>Investoinnilla lisätään apurahoja yleislääketieteen erityiskurssille ja taataan kolmen kolmivuotisen koulutusjakson suorittaminen.</w:t>
            </w:r>
          </w:p>
        </w:tc>
      </w:tr>
      <w:tr w:rsidR="00E42B18" w14:paraId="6141FF9A" w14:textId="77777777">
        <w:trPr>
          <w:trHeight w:val="313"/>
          <w:jc w:val="center"/>
        </w:trPr>
        <w:tc>
          <w:tcPr>
            <w:tcW w:w="1140" w:type="dxa"/>
            <w:shd w:val="clear" w:color="auto" w:fill="C6EFCE"/>
            <w:noWrap/>
            <w:vAlign w:val="center"/>
          </w:tcPr>
          <w:p w14:paraId="2B7976DA" w14:textId="77777777" w:rsidR="00E42B18" w:rsidRDefault="009629C4">
            <w:pPr>
              <w:pStyle w:val="P68B1DB1-Normal11"/>
              <w:spacing w:before="120" w:after="120"/>
              <w:jc w:val="center"/>
              <w:rPr>
                <w:noProof/>
                <w:szCs w:val="20"/>
              </w:rPr>
            </w:pPr>
            <w:r>
              <w:rPr>
                <w:noProof/>
              </w:rPr>
              <w:t>M6C2–15</w:t>
            </w:r>
          </w:p>
        </w:tc>
        <w:tc>
          <w:tcPr>
            <w:tcW w:w="1418" w:type="dxa"/>
            <w:shd w:val="clear" w:color="auto" w:fill="C6EFCE"/>
            <w:noWrap/>
            <w:vAlign w:val="center"/>
          </w:tcPr>
          <w:p w14:paraId="6DD16667" w14:textId="77777777" w:rsidR="00E42B18" w:rsidRDefault="009629C4">
            <w:pPr>
              <w:pStyle w:val="P68B1DB1-Normal103"/>
              <w:spacing w:before="120" w:after="120"/>
              <w:jc w:val="center"/>
              <w:rPr>
                <w:noProof/>
                <w:color w:val="006100"/>
                <w:szCs w:val="20"/>
              </w:rPr>
            </w:pPr>
            <w:r>
              <w:rPr>
                <w:noProof/>
              </w:rPr>
              <w:t>Investointi 2.2: Terveydenhuoltojärjestelmän ammattilaisten teknisten, ammatillisten, digitaalisten ja johtamistaitojen kehittäminen</w:t>
            </w:r>
          </w:p>
        </w:tc>
        <w:tc>
          <w:tcPr>
            <w:tcW w:w="1134" w:type="dxa"/>
            <w:shd w:val="clear" w:color="auto" w:fill="C6EFCE"/>
            <w:noWrap/>
            <w:vAlign w:val="center"/>
          </w:tcPr>
          <w:p w14:paraId="15527C20" w14:textId="77777777" w:rsidR="00E42B18" w:rsidRDefault="009629C4">
            <w:pPr>
              <w:pStyle w:val="P68B1DB1-Normal103"/>
              <w:spacing w:before="120" w:after="120"/>
              <w:jc w:val="center"/>
              <w:rPr>
                <w:noProof/>
                <w:color w:val="006100"/>
                <w:szCs w:val="20"/>
              </w:rPr>
            </w:pPr>
            <w:r>
              <w:rPr>
                <w:noProof/>
              </w:rPr>
              <w:t>Kohde</w:t>
            </w:r>
          </w:p>
        </w:tc>
        <w:tc>
          <w:tcPr>
            <w:tcW w:w="1559" w:type="dxa"/>
            <w:shd w:val="clear" w:color="auto" w:fill="C6EFCE"/>
            <w:noWrap/>
            <w:vAlign w:val="center"/>
          </w:tcPr>
          <w:p w14:paraId="18709119" w14:textId="77777777" w:rsidR="00E42B18" w:rsidRDefault="009629C4">
            <w:pPr>
              <w:pStyle w:val="P68B1DB1-Normal103"/>
              <w:spacing w:before="120" w:after="120"/>
              <w:jc w:val="center"/>
              <w:rPr>
                <w:noProof/>
                <w:szCs w:val="20"/>
              </w:rPr>
            </w:pPr>
            <w:r>
              <w:rPr>
                <w:noProof/>
              </w:rPr>
              <w:t>Yleislääkärin erityiskoulutukseen myönnetään lisäapurahoja.</w:t>
            </w:r>
          </w:p>
        </w:tc>
        <w:tc>
          <w:tcPr>
            <w:tcW w:w="1701" w:type="dxa"/>
            <w:shd w:val="clear" w:color="auto" w:fill="C6EFCE"/>
            <w:noWrap/>
            <w:vAlign w:val="center"/>
          </w:tcPr>
          <w:p w14:paraId="317B2BC6" w14:textId="77777777" w:rsidR="00E42B18" w:rsidRDefault="009629C4">
            <w:pPr>
              <w:pStyle w:val="P68B1DB1-Normal103"/>
              <w:spacing w:before="120" w:after="120"/>
              <w:jc w:val="center"/>
              <w:rPr>
                <w:noProof/>
                <w:color w:val="006100"/>
                <w:szCs w:val="20"/>
              </w:rPr>
            </w:pPr>
            <w:r>
              <w:rPr>
                <w:noProof/>
              </w:rPr>
              <w:t>EI OLE</w:t>
            </w:r>
          </w:p>
        </w:tc>
        <w:tc>
          <w:tcPr>
            <w:tcW w:w="1276" w:type="dxa"/>
            <w:shd w:val="clear" w:color="auto" w:fill="C6EFCE"/>
            <w:noWrap/>
            <w:vAlign w:val="center"/>
          </w:tcPr>
          <w:p w14:paraId="5D4B0D8A" w14:textId="77777777" w:rsidR="00E42B18" w:rsidRDefault="009629C4">
            <w:pPr>
              <w:pStyle w:val="P68B1DB1-Normal103"/>
              <w:spacing w:before="120" w:after="120"/>
              <w:jc w:val="center"/>
              <w:rPr>
                <w:rFonts w:eastAsia="Calibri"/>
                <w:noProof/>
                <w:szCs w:val="20"/>
              </w:rPr>
            </w:pPr>
            <w:r>
              <w:rPr>
                <w:noProof/>
              </w:rPr>
              <w:t xml:space="preserve">Numero </w:t>
            </w:r>
          </w:p>
        </w:tc>
        <w:tc>
          <w:tcPr>
            <w:tcW w:w="1134" w:type="dxa"/>
            <w:shd w:val="clear" w:color="auto" w:fill="C6EFCE"/>
            <w:noWrap/>
            <w:vAlign w:val="center"/>
          </w:tcPr>
          <w:p w14:paraId="23535355" w14:textId="77777777" w:rsidR="00E42B18" w:rsidRDefault="009629C4">
            <w:pPr>
              <w:spacing w:before="120" w:after="120"/>
              <w:jc w:val="center"/>
              <w:rPr>
                <w:rFonts w:ascii="Arial Narrow" w:hAnsi="Arial Narrow"/>
                <w:noProof/>
                <w:color w:val="006100"/>
                <w:sz w:val="20"/>
                <w:szCs w:val="20"/>
              </w:rPr>
            </w:pPr>
            <w:r>
              <w:rPr>
                <w:rFonts w:ascii="Arial Narrow" w:hAnsi="Arial Narrow"/>
                <w:noProof/>
                <w:color w:val="006600"/>
                <w:sz w:val="20"/>
              </w:rPr>
              <w:t>1</w:t>
            </w:r>
            <w:r>
              <w:rPr>
                <w:noProof/>
                <w:sz w:val="23"/>
                <w:szCs w:val="23"/>
              </w:rPr>
              <w:t xml:space="preserve"> </w:t>
            </w:r>
            <w:r>
              <w:rPr>
                <w:rFonts w:ascii="Arial Narrow" w:hAnsi="Arial Narrow"/>
                <w:noProof/>
                <w:color w:val="006600"/>
                <w:sz w:val="20"/>
              </w:rPr>
              <w:t>800</w:t>
            </w:r>
          </w:p>
        </w:tc>
        <w:tc>
          <w:tcPr>
            <w:tcW w:w="1276" w:type="dxa"/>
            <w:shd w:val="clear" w:color="auto" w:fill="C6EFCE"/>
            <w:noWrap/>
            <w:vAlign w:val="center"/>
          </w:tcPr>
          <w:p w14:paraId="4EB0A272" w14:textId="77777777" w:rsidR="00E42B18" w:rsidRDefault="009629C4">
            <w:pPr>
              <w:spacing w:before="120" w:after="120"/>
              <w:jc w:val="center"/>
              <w:rPr>
                <w:rFonts w:ascii="Arial Narrow" w:hAnsi="Arial Narrow"/>
                <w:noProof/>
                <w:color w:val="006100"/>
                <w:sz w:val="20"/>
                <w:szCs w:val="20"/>
              </w:rPr>
            </w:pPr>
            <w:r>
              <w:rPr>
                <w:rFonts w:ascii="Arial Narrow" w:hAnsi="Arial Narrow"/>
                <w:noProof/>
                <w:color w:val="006600"/>
                <w:sz w:val="20"/>
              </w:rPr>
              <w:t>2</w:t>
            </w:r>
            <w:r>
              <w:rPr>
                <w:noProof/>
                <w:sz w:val="23"/>
                <w:szCs w:val="23"/>
              </w:rPr>
              <w:t xml:space="preserve"> </w:t>
            </w:r>
            <w:r>
              <w:rPr>
                <w:rFonts w:ascii="Arial Narrow" w:hAnsi="Arial Narrow"/>
                <w:noProof/>
                <w:color w:val="006600"/>
                <w:sz w:val="20"/>
              </w:rPr>
              <w:t>700</w:t>
            </w:r>
          </w:p>
        </w:tc>
        <w:tc>
          <w:tcPr>
            <w:tcW w:w="865" w:type="dxa"/>
            <w:shd w:val="clear" w:color="auto" w:fill="C6EFCE"/>
            <w:noWrap/>
            <w:vAlign w:val="center"/>
          </w:tcPr>
          <w:p w14:paraId="6954BC97" w14:textId="77777777" w:rsidR="00E42B18" w:rsidRDefault="009629C4">
            <w:pPr>
              <w:pStyle w:val="P68B1DB1-Normal103"/>
              <w:spacing w:before="120" w:after="120"/>
              <w:jc w:val="center"/>
              <w:rPr>
                <w:noProof/>
                <w:color w:val="006100"/>
                <w:szCs w:val="20"/>
              </w:rPr>
            </w:pPr>
            <w:r>
              <w:rPr>
                <w:noProof/>
              </w:rPr>
              <w:t>Q2</w:t>
            </w:r>
          </w:p>
        </w:tc>
        <w:tc>
          <w:tcPr>
            <w:tcW w:w="721" w:type="dxa"/>
            <w:shd w:val="clear" w:color="auto" w:fill="C6EFCE"/>
            <w:noWrap/>
            <w:vAlign w:val="center"/>
          </w:tcPr>
          <w:p w14:paraId="72D3CA23" w14:textId="77777777" w:rsidR="00E42B18" w:rsidRDefault="009629C4">
            <w:pPr>
              <w:pStyle w:val="P68B1DB1-Normal103"/>
              <w:spacing w:before="120" w:after="120"/>
              <w:jc w:val="center"/>
              <w:rPr>
                <w:noProof/>
                <w:color w:val="006100"/>
                <w:szCs w:val="20"/>
              </w:rPr>
            </w:pPr>
            <w:r>
              <w:rPr>
                <w:noProof/>
              </w:rPr>
              <w:t>2024</w:t>
            </w:r>
          </w:p>
        </w:tc>
        <w:tc>
          <w:tcPr>
            <w:tcW w:w="2881" w:type="dxa"/>
            <w:shd w:val="clear" w:color="auto" w:fill="C6EFCE"/>
            <w:noWrap/>
            <w:vAlign w:val="center"/>
          </w:tcPr>
          <w:p w14:paraId="41FEA663" w14:textId="77777777" w:rsidR="00E42B18" w:rsidRDefault="009629C4">
            <w:pPr>
              <w:pStyle w:val="P68B1DB1-Normal103"/>
              <w:spacing w:before="120" w:after="120"/>
              <w:rPr>
                <w:rFonts w:eastAsia="Calibri"/>
                <w:noProof/>
                <w:szCs w:val="20"/>
              </w:rPr>
            </w:pPr>
            <w:r>
              <w:rPr>
                <w:noProof/>
              </w:rPr>
              <w:t>Investoinnilla lisätään apurahoja yleislääketieteen erityiskurssille ja taataan kolmen kolmivuotisen koulutusjakson suorittaminen.</w:t>
            </w:r>
          </w:p>
        </w:tc>
      </w:tr>
    </w:tbl>
    <w:p w14:paraId="7C05B642" w14:textId="77777777" w:rsidR="00E42B18" w:rsidRDefault="00E42B18">
      <w:pPr>
        <w:pStyle w:val="Text1"/>
        <w:ind w:left="0"/>
        <w:rPr>
          <w:rFonts w:eastAsiaTheme="majorEastAsia"/>
          <w:b/>
          <w:bCs/>
          <w:smallCaps/>
          <w:noProof/>
          <w:szCs w:val="28"/>
        </w:rPr>
        <w:sectPr w:rsidR="00E42B18" w:rsidSect="005F11B9">
          <w:headerReference w:type="even" r:id="rId310"/>
          <w:headerReference w:type="default" r:id="rId311"/>
          <w:footerReference w:type="even" r:id="rId312"/>
          <w:footerReference w:type="default" r:id="rId313"/>
          <w:headerReference w:type="first" r:id="rId314"/>
          <w:footerReference w:type="first" r:id="rId315"/>
          <w:pgSz w:w="16839" w:h="11907" w:orient="landscape"/>
          <w:pgMar w:top="1440" w:right="1440" w:bottom="1440" w:left="1440" w:header="567" w:footer="567" w:gutter="0"/>
          <w:cols w:space="720"/>
          <w:docGrid w:linePitch="360"/>
        </w:sectPr>
      </w:pPr>
    </w:p>
    <w:p w14:paraId="2912CA9F" w14:textId="1E8DDE12" w:rsidR="00E42B18" w:rsidRDefault="009629C4">
      <w:pPr>
        <w:pStyle w:val="P68B1DB1-Heading23"/>
        <w:ind w:left="1080"/>
        <w:rPr>
          <w:bCs/>
          <w:noProof/>
        </w:rPr>
      </w:pPr>
      <w:r>
        <w:rPr>
          <w:noProof/>
        </w:rPr>
        <w:t>Q.MISSION 7: REPowerEU-suunnitelma</w:t>
      </w:r>
    </w:p>
    <w:p w14:paraId="50F407CF" w14:textId="77777777" w:rsidR="00E42B18" w:rsidRDefault="009629C4">
      <w:pPr>
        <w:pStyle w:val="P68B1DB1-paragraph105"/>
        <w:spacing w:before="0" w:beforeAutospacing="0" w:after="120" w:afterAutospacing="0"/>
        <w:jc w:val="both"/>
        <w:textAlignment w:val="baseline"/>
        <w:rPr>
          <w:noProof/>
        </w:rPr>
      </w:pPr>
      <w:r>
        <w:rPr>
          <w:noProof/>
        </w:rPr>
        <w:t>REPowerEU-luvun tavoitteena on vahvistaa jakeluverkkoja, myös kaasuun liittyviä; uusiutuvan energian tuotannon nopeuttaminen, energian kysynnän vähentäminen, energiatehokkuuden lisääminen ja osaamisen luominen julkisella ja yksityisellä sektorilla vihreää siirtymää varten; edistetään uusiutuvan energian ja vedyn arvoketjuja toimenpiteillä, joilla helpotetaan luottojen ja verohyvitysten saatavuutta.</w:t>
      </w:r>
    </w:p>
    <w:p w14:paraId="3CDC6611" w14:textId="77777777" w:rsidR="00E42B18" w:rsidRDefault="009629C4">
      <w:pPr>
        <w:pStyle w:val="P68B1DB1-paragraph105"/>
        <w:spacing w:before="0" w:beforeAutospacing="0" w:after="120" w:afterAutospacing="0"/>
        <w:jc w:val="both"/>
        <w:textAlignment w:val="baseline"/>
        <w:rPr>
          <w:noProof/>
        </w:rPr>
      </w:pPr>
      <w:r>
        <w:rPr>
          <w:noProof/>
        </w:rPr>
        <w:t>Komponentissa käsitellään Italialle vuosina 2022 ja 2023 annettuja maakohtaisia suosituksia. Sillä pyritään erityisesti nopeuttamaan uusiutuvan energian lisäkapasiteetin käyttöönottoa investoimalla merkittäviin sähköverkkojen yhteenliitäntähankkeisiin (eli kahteen Sardinian ja Sisilian yhdysputkeen mantereeseen), parantamalla kansallista siirtoverkkoa ja virtaviivaistamalla lupamenettelyjä. Se lisää osaltaan kaasun sisäisen siirron kapasiteettia pullonkaulojen poistamiseksi, energian tuonnin monipuolistamiseksi ja toimitusvarmuuden vahvistamiseksi. Sillä edistetään kestävää liikkuvuutta vähentämällä ympäristön kannalta haitallisia tukia ja vahvistamalla rautatiekalustoa. Se auttaa vähentämään riippuvuutta fossiilisista polttoaineista sähköistämällä kotitalouksien kulutusta ja parantamalla verkon häiriönsietokykyä. Se edistää energiatehokkuuden parantamista asuin- ja yrityssektorilla muun muassa kohdennettujen kannustinjärjestelmien ja rahoitusvälineiden avulla. Lisäksi siihen sisältyy uudistuksia ja investointeja, joilla parannetaan vihreän siirtymän edellyttämien taitojen tarjontaa ja hankkimista sekä yksityisellä että julkisella sektorilla.</w:t>
      </w:r>
    </w:p>
    <w:p w14:paraId="6E447A28" w14:textId="77777777" w:rsidR="00E42B18" w:rsidRDefault="009629C4">
      <w:pPr>
        <w:pStyle w:val="P68B1DB1-paragraph105"/>
        <w:spacing w:before="0" w:beforeAutospacing="0" w:after="120" w:afterAutospacing="0"/>
        <w:jc w:val="both"/>
        <w:textAlignment w:val="baseline"/>
        <w:rPr>
          <w:rFonts w:eastAsia="Calibri"/>
          <w:noProof/>
        </w:rPr>
      </w:pPr>
      <w:r>
        <w:rPr>
          <w:noProof/>
        </w:rPr>
        <w:t>Yhdeksällä hankkeella on rajatylittävä ulottuvuus. Kolmella niistä on suora rajatylittävä vaikutus: 1) investointi, jolla edistetään Sardinian, Korsikan ja Toscanan välisen sähköyhteyden rakentamista; 3) investointi kompressoriasemalle, joka lisää kaasun vientiä Keski-Eurooppaan. Muut hankkeet hyödyttävät välillisesti rajat ylittäviä jäsenvaltioita puuttumalla sisäisen energian siirron ja jakelun pullonkauloihin ja lisäämällä verkon tehokkuutta ja häiriönsietokykyä.</w:t>
      </w:r>
    </w:p>
    <w:p w14:paraId="540F4485" w14:textId="77777777" w:rsidR="00E42B18" w:rsidRDefault="009629C4">
      <w:pPr>
        <w:pStyle w:val="P68B1DB1-Normal7"/>
        <w:spacing w:after="120"/>
        <w:jc w:val="both"/>
        <w:rPr>
          <w:noProof/>
        </w:rPr>
      </w:pPr>
      <w:r>
        <w:rPr>
          <w:noProof/>
        </w:rPr>
        <w:t xml:space="preserve">Minkään tämän komponentin toimenpiteen ei odoteta aiheuttavan asetuksen (EU) 2020/852 17 artiklassa tarkoitettua merkittävää haittaa ympäristötavoitteille, kun otetaan huomioon ”ei merkittävää haittaa” -periaatetta koskevien teknisten ohjeiden ( </w:t>
      </w:r>
      <w:r>
        <w:rPr>
          <w:noProof/>
          <w:color w:val="000000" w:themeColor="text1"/>
        </w:rPr>
        <w:t>C</w:t>
      </w:r>
      <w:r>
        <w:rPr>
          <w:noProof/>
        </w:rPr>
        <w:t>(2023) 6454 final) mukainen elpymis- ja palautumissuunnitelmassa esitettyjen toimenpiteiden ja lieventävien toimien kuvaus, kun</w:t>
      </w:r>
      <w:r>
        <w:rPr>
          <w:noProof/>
          <w:color w:val="000000" w:themeColor="text1"/>
        </w:rPr>
        <w:t>taas</w:t>
      </w:r>
      <w:r>
        <w:rPr>
          <w:noProof/>
        </w:rPr>
        <w:t xml:space="preserve"> ”ei merkittävää haittaa” -periaatetta ei sovelleta investointeihin 13 – Adrianmeren linjan vaihe 1 (Sulmonan kompressoriasema ja Sestino-Minerbio-kaasuputki) ja 14 – Rajat ylittävä kaasun vientiinfrastruktuuri asetuksen (EU) 2021/241 21 c artiklan 6 kohdan mukaisesti.</w:t>
      </w:r>
    </w:p>
    <w:p w14:paraId="68C4830C" w14:textId="77777777" w:rsidR="00E42B18" w:rsidRDefault="009629C4">
      <w:pPr>
        <w:pStyle w:val="P68B1DB1-Heading368"/>
        <w:ind w:left="850" w:hanging="850"/>
        <w:rPr>
          <w:noProof/>
        </w:rPr>
      </w:pPr>
      <w:r>
        <w:rPr>
          <w:noProof/>
        </w:rPr>
        <w:t xml:space="preserve">Q.1. </w:t>
      </w:r>
      <w:r>
        <w:rPr>
          <w:noProof/>
        </w:rPr>
        <w:tab/>
        <w:t>Kuvaus uudistuksista ja investoinneista, joita rahoitetaan rahoitustuella, jota ei makseta takaisin</w:t>
      </w:r>
    </w:p>
    <w:p w14:paraId="55E4504E" w14:textId="77777777" w:rsidR="00E42B18" w:rsidRDefault="009629C4">
      <w:pPr>
        <w:pStyle w:val="Heading4"/>
        <w:rPr>
          <w:rStyle w:val="normaltextrun"/>
          <w:rFonts w:ascii="Times New Roman" w:hAnsi="Times New Roman" w:cs="Times New Roman"/>
          <w:b/>
          <w:i w:val="0"/>
          <w:noProof/>
          <w:color w:val="000000" w:themeColor="text1"/>
        </w:rPr>
      </w:pPr>
      <w:r>
        <w:rPr>
          <w:rStyle w:val="normaltextrun"/>
          <w:rFonts w:ascii="Times New Roman" w:hAnsi="Times New Roman" w:cs="Times New Roman"/>
          <w:b/>
          <w:i w:val="0"/>
          <w:noProof/>
          <w:color w:val="000000" w:themeColor="text1"/>
        </w:rPr>
        <w:t xml:space="preserve">Uudistus 1. Uusiutuvan energian lupamenettelyjen yksinkertaistaminen keskus- ja paikallistasolla </w:t>
      </w:r>
    </w:p>
    <w:p w14:paraId="32E99E39" w14:textId="10AF1124" w:rsidR="00E42B18" w:rsidRDefault="009629C4">
      <w:pPr>
        <w:pStyle w:val="P68B1DB1-Text143"/>
        <w:spacing w:before="0"/>
        <w:ind w:left="0"/>
        <w:rPr>
          <w:noProof/>
        </w:rPr>
      </w:pPr>
      <w:r>
        <w:rPr>
          <w:rFonts w:eastAsiaTheme="minorHAnsi"/>
          <w:noProof/>
          <w:kern w:val="2"/>
        </w:rPr>
        <w:t>Uudistuksen tavoitteena on vahvistaa ja virtaviivaistaa voimassa olevaa lainsäädäntöä ja säännöksiä, joilla säännellään uusiutuvien energialähteiden käytön sallimista. Uudistuksessa hyväksytään ja saatetaan</w:t>
      </w:r>
      <w:r>
        <w:rPr>
          <w:noProof/>
        </w:rPr>
        <w:t xml:space="preserve"> </w:t>
      </w:r>
      <w:r>
        <w:rPr>
          <w:rFonts w:eastAsiaTheme="minorHAnsi"/>
          <w:noProof/>
          <w:kern w:val="2"/>
        </w:rPr>
        <w:t xml:space="preserve">voimaan säädös (tunnetaan myös nimellä </w:t>
      </w:r>
      <w:r>
        <w:rPr>
          <w:i/>
          <w:noProof/>
        </w:rPr>
        <w:t>Testo Unico</w:t>
      </w:r>
      <w:r>
        <w:rPr>
          <w:rFonts w:eastAsiaTheme="minorHAnsi"/>
          <w:noProof/>
          <w:kern w:val="2"/>
        </w:rPr>
        <w:t>), jolla</w:t>
      </w:r>
      <w:r>
        <w:rPr>
          <w:noProof/>
        </w:rPr>
        <w:t xml:space="preserve"> </w:t>
      </w:r>
      <w:r>
        <w:rPr>
          <w:rFonts w:eastAsiaTheme="minorHAnsi"/>
          <w:noProof/>
          <w:kern w:val="2"/>
        </w:rPr>
        <w:t>kerätään, kootaan ja konsolidoidaan uusiutuvien energialähteiden lupamenettelyjä sääntelevät normit</w:t>
      </w:r>
      <w:r>
        <w:rPr>
          <w:noProof/>
        </w:rPr>
        <w:t xml:space="preserve"> </w:t>
      </w:r>
      <w:r>
        <w:rPr>
          <w:rFonts w:eastAsiaTheme="minorHAnsi"/>
          <w:noProof/>
          <w:kern w:val="2"/>
        </w:rPr>
        <w:t>ja korvataan asiaa koskeva aiempi lainsäädäntö. Uudistuksella pyritään myös vahvistamaan oikeudellinen kehys ”uusiutuvan kehityksen alueiden” määrittämiseksi ja perustamaan keskitetty digitaalinen alusta, jolla haetaan lupia uusiutuvien energialähteiden asentamiseen kansallisella ja alueellisella tasolla.</w:t>
      </w:r>
    </w:p>
    <w:p w14:paraId="4767BB09" w14:textId="77777777" w:rsidR="00E42B18" w:rsidRDefault="009629C4">
      <w:pPr>
        <w:pStyle w:val="Heading4"/>
        <w:numPr>
          <w:ilvl w:val="3"/>
          <w:numId w:val="0"/>
        </w:numPr>
        <w:spacing w:line="240" w:lineRule="auto"/>
        <w:rPr>
          <w:rStyle w:val="normaltextrun"/>
          <w:rFonts w:ascii="Times New Roman" w:eastAsiaTheme="minorEastAsia" w:hAnsi="Times New Roman" w:cs="Times New Roman"/>
          <w:b/>
          <w:i w:val="0"/>
          <w:iCs w:val="0"/>
          <w:noProof/>
          <w:snapToGrid w:val="0"/>
          <w:color w:val="000000" w:themeColor="text1"/>
          <w:sz w:val="0"/>
          <w:szCs w:val="0"/>
          <w:u w:color="000000"/>
          <w:bdr w:val="none" w:sz="0" w:space="0" w:color="000000"/>
          <w:shd w:val="clear" w:color="000000" w:fill="000000"/>
        </w:rPr>
      </w:pPr>
      <w:r>
        <w:rPr>
          <w:noProof/>
        </w:rPr>
        <w:br w:type="page"/>
      </w:r>
      <w:r>
        <w:rPr>
          <w:rStyle w:val="normaltextrun"/>
          <w:rFonts w:ascii="Times New Roman" w:hAnsi="Times New Roman" w:cs="Times New Roman"/>
          <w:b/>
          <w:i w:val="0"/>
          <w:noProof/>
          <w:color w:val="000000" w:themeColor="text1"/>
        </w:rPr>
        <w:t>Uudistus 2. Ympäristölle haitallisten tukien vähentäminen</w:t>
      </w:r>
    </w:p>
    <w:p w14:paraId="717F294D" w14:textId="5C045CB0" w:rsidR="00E42B18" w:rsidRDefault="009629C4">
      <w:pPr>
        <w:pStyle w:val="P68B1DB1-Normal27"/>
        <w:spacing w:after="120" w:line="240" w:lineRule="auto"/>
        <w:jc w:val="both"/>
        <w:rPr>
          <w:noProof/>
        </w:rPr>
      </w:pPr>
      <w:r>
        <w:rPr>
          <w:noProof/>
        </w:rPr>
        <w:t>Uudistuksen tavoitteena on vähentää ympäristön kannalta haitallisia tukia MASE:n vuonna 2022 julkaiseman ympäristön kannalta haitallisten tukien luettelon perusteella. Uudistuksessa hyväksytään sidosryhmien kuulemisraportti ja säädökset.</w:t>
      </w:r>
    </w:p>
    <w:p w14:paraId="3660516E" w14:textId="77777777" w:rsidR="00E42B18" w:rsidRDefault="009629C4">
      <w:pPr>
        <w:pStyle w:val="Heading4"/>
        <w:spacing w:line="240" w:lineRule="auto"/>
        <w:ind w:left="850" w:hanging="850"/>
        <w:rPr>
          <w:rStyle w:val="normaltextrun"/>
          <w:rFonts w:ascii="Times New Roman" w:eastAsiaTheme="minorEastAsia" w:hAnsi="Times New Roman" w:cs="Times New Roman"/>
          <w:b/>
          <w:i w:val="0"/>
          <w:iCs w:val="0"/>
          <w:noProof/>
          <w:color w:val="000000" w:themeColor="text1"/>
        </w:rPr>
      </w:pPr>
      <w:r>
        <w:rPr>
          <w:rStyle w:val="normaltextrun"/>
          <w:rFonts w:ascii="Times New Roman" w:hAnsi="Times New Roman" w:cs="Times New Roman"/>
          <w:b/>
          <w:i w:val="0"/>
          <w:noProof/>
          <w:color w:val="000000" w:themeColor="text1"/>
        </w:rPr>
        <w:t>Uudistus 3. Biometaanin kaasuverkkoon liittämisestä aiheutuvien kustannusten alentaminen</w:t>
      </w:r>
    </w:p>
    <w:p w14:paraId="2820B683" w14:textId="4DFED333" w:rsidR="00E42B18" w:rsidRDefault="009629C4">
      <w:pPr>
        <w:pStyle w:val="P68B1DB1-Text1106"/>
        <w:spacing w:before="0"/>
        <w:ind w:left="0"/>
        <w:rPr>
          <w:noProof/>
        </w:rPr>
      </w:pPr>
      <w:r>
        <w:rPr>
          <w:noProof/>
        </w:rPr>
        <w:t>Uudistuksella pyritään helpottamaan biometaanin sisällyttämistä energiajärjestelmään ja energiamarkkinoille ja luomaan uutta kestävää biometaanin tuotantokapasiteettia direktiivin (EU) 2018/2001 (uusiutuvia energialähteitä koskeva direktiivi) ja sen delegoitujen säädösten mukaisesti ja erityisesti edistämään maakaasuverkon joustavuutta ja tehokkuutta helpottamalla muuntamista biometaaniksi. Uudistus koostuu sellaisten säädösten voimaantulosta, joilla vähennetään kestävien biometaanin tuotantolaitosten liitäntäkustannuksia ja kannustetaan investointeja kestävän biometaanin käyttöönottoon maakaasuverkoissa.</w:t>
      </w:r>
    </w:p>
    <w:p w14:paraId="0A06995C" w14:textId="77777777" w:rsidR="00E42B18" w:rsidRDefault="009629C4">
      <w:pPr>
        <w:pStyle w:val="P68B1DB1-Heading4107"/>
        <w:rPr>
          <w:noProof/>
        </w:rPr>
      </w:pPr>
      <w:r>
        <w:rPr>
          <w:noProof/>
        </w:rPr>
        <w:t>Uudistus 4. Uusiutuvia energialähteitä koskeviin sähkönhankintasopimuksiin liittyvien taloudellisten riskien vähentäminen</w:t>
      </w:r>
    </w:p>
    <w:p w14:paraId="3A3602C3" w14:textId="77777777" w:rsidR="00E42B18" w:rsidRDefault="009629C4">
      <w:pPr>
        <w:pStyle w:val="P68B1DB1-Text143"/>
        <w:spacing w:before="0"/>
        <w:ind w:left="0"/>
        <w:rPr>
          <w:noProof/>
        </w:rPr>
      </w:pPr>
      <w:r>
        <w:rPr>
          <w:noProof/>
        </w:rPr>
        <w:t xml:space="preserve">Uudistuksen tavoitteena on ottaa käyttöön takuujärjestelmä, jolla lievennetään vähintään kolmen vuoden pituisiin uusiutuvan sähkön ostosopimuksiin liittyvää taloudellista riskiä. </w:t>
      </w:r>
    </w:p>
    <w:p w14:paraId="4514D05A" w14:textId="77777777" w:rsidR="00E42B18" w:rsidRDefault="009629C4">
      <w:pPr>
        <w:pStyle w:val="P68B1DB1-Text143"/>
        <w:spacing w:before="0"/>
        <w:ind w:left="0"/>
        <w:rPr>
          <w:noProof/>
        </w:rPr>
      </w:pPr>
      <w:r>
        <w:rPr>
          <w:noProof/>
        </w:rPr>
        <w:t xml:space="preserve">Uudistuksessa </w:t>
      </w:r>
    </w:p>
    <w:p w14:paraId="4A89DA8C" w14:textId="77777777" w:rsidR="00E42B18" w:rsidRDefault="009629C4">
      <w:pPr>
        <w:pStyle w:val="P68B1DB1-Text143"/>
        <w:numPr>
          <w:ilvl w:val="0"/>
          <w:numId w:val="45"/>
        </w:numPr>
        <w:spacing w:before="0"/>
        <w:rPr>
          <w:noProof/>
        </w:rPr>
      </w:pPr>
      <w:r>
        <w:rPr>
          <w:noProof/>
        </w:rPr>
        <w:t xml:space="preserve">vaatia jokaista operaattoria takaamaan sähkönhankintasopimusten vasta-arvon osittainen kattaminen sähkömarkkinoilla tarjottavilla takuuvälineillä; </w:t>
      </w:r>
    </w:p>
    <w:p w14:paraId="2591FC23" w14:textId="77777777" w:rsidR="00E42B18" w:rsidRDefault="009629C4">
      <w:pPr>
        <w:pStyle w:val="P68B1DB1-Text143"/>
        <w:numPr>
          <w:ilvl w:val="0"/>
          <w:numId w:val="45"/>
        </w:numPr>
        <w:spacing w:before="0"/>
        <w:rPr>
          <w:noProof/>
        </w:rPr>
      </w:pPr>
      <w:r>
        <w:rPr>
          <w:noProof/>
        </w:rPr>
        <w:t>otettava käyttöön toimenpiteitä maksukyvyttömyysriskin pienentämiseksi, mukaan lukien tarjoajaa koskevat vaatimukset ja rajoitukset sekä lakisääteiset seuraamukset tuottajan maksukyvyttömyyden varalta;</w:t>
      </w:r>
    </w:p>
    <w:p w14:paraId="6C8284EF" w14:textId="43F92B5C" w:rsidR="00E42B18" w:rsidRDefault="009629C4">
      <w:pPr>
        <w:pStyle w:val="P68B1DB1-Text143"/>
        <w:numPr>
          <w:ilvl w:val="0"/>
          <w:numId w:val="45"/>
        </w:numPr>
        <w:spacing w:before="0"/>
        <w:rPr>
          <w:noProof/>
        </w:rPr>
      </w:pPr>
      <w:r>
        <w:rPr>
          <w:noProof/>
        </w:rPr>
        <w:t xml:space="preserve">yksilöitävä institutionaalinen yksikkö, joka ottaa vastaan myyjän/hankkijan roolin viimeisenä keinona, joka ottaisi hoitaakseen velvoitteensa laiminlyöneeltä vastapuolelta ja varmistaisi, että suorittavaan vastapuoleen nähden annetut velvoitteet täytetään. </w:t>
      </w:r>
    </w:p>
    <w:p w14:paraId="3FC40882" w14:textId="77777777" w:rsidR="00E42B18" w:rsidRDefault="009629C4">
      <w:pPr>
        <w:pStyle w:val="P68B1DB1-Heading4107"/>
        <w:spacing w:line="240" w:lineRule="auto"/>
        <w:ind w:left="850" w:hanging="850"/>
        <w:rPr>
          <w:noProof/>
        </w:rPr>
      </w:pPr>
      <w:bookmarkStart w:id="24" w:name="_Hlk160472416"/>
      <w:r>
        <w:rPr>
          <w:noProof/>
        </w:rPr>
        <w:t>Uudistus 5. Uuden osaamisen suunnitelma – Siirtymät</w:t>
      </w:r>
    </w:p>
    <w:bookmarkEnd w:id="24"/>
    <w:p w14:paraId="5E872CCE" w14:textId="49014E79" w:rsidR="00E42B18" w:rsidRDefault="009629C4">
      <w:pPr>
        <w:pStyle w:val="P68B1DB1-Normal7"/>
        <w:spacing w:after="120" w:line="240" w:lineRule="auto"/>
        <w:jc w:val="both"/>
        <w:rPr>
          <w:rFonts w:eastAsia="Times New Roman"/>
          <w:noProof/>
        </w:rPr>
      </w:pPr>
      <w:r>
        <w:rPr>
          <w:noProof/>
        </w:rPr>
        <w:t>Uudistuksen tavoitteena on mukauttaa koulutusohjelmat paremmin työmarkkinoiden tarpeisiin osaamisen kohtaanto-ongelman torjumiseksi kiinnittäen erityistä huomiota vihreisiin ja digitaalisiin taitoihin. Uudistuksessa hyväksytään ja saatetaan voimaan kansallisen tason säädöksiä, joilla päivitetään uutta osaamissuunnitelmaa (”Piano Nuove Competenze – Transizioni”) ja alueellisia säädöksiä.</w:t>
      </w:r>
    </w:p>
    <w:p w14:paraId="02CEC2EA" w14:textId="77777777" w:rsidR="00E42B18" w:rsidRDefault="009629C4">
      <w:pPr>
        <w:pStyle w:val="Heading4"/>
        <w:spacing w:line="240" w:lineRule="auto"/>
        <w:ind w:left="850" w:hanging="850"/>
        <w:rPr>
          <w:rStyle w:val="normaltextrun"/>
          <w:rFonts w:ascii="Times New Roman" w:eastAsiaTheme="minorEastAsia" w:hAnsi="Times New Roman" w:cs="Times New Roman"/>
          <w:b/>
          <w:i w:val="0"/>
          <w:iCs w:val="0"/>
          <w:noProof/>
          <w:color w:val="000000" w:themeColor="text1"/>
        </w:rPr>
      </w:pPr>
      <w:r>
        <w:rPr>
          <w:rStyle w:val="normaltextrun"/>
          <w:rFonts w:ascii="Times New Roman" w:hAnsi="Times New Roman" w:cs="Times New Roman"/>
          <w:b/>
          <w:i w:val="0"/>
          <w:noProof/>
          <w:color w:val="000000" w:themeColor="text1"/>
        </w:rPr>
        <w:t>Investointi 1. Laajennettu toimenpide: Älykkäät verkot</w:t>
      </w:r>
    </w:p>
    <w:p w14:paraId="511849F2" w14:textId="77777777" w:rsidR="00E42B18" w:rsidRDefault="009629C4">
      <w:pPr>
        <w:pStyle w:val="Text1"/>
        <w:spacing w:before="0"/>
        <w:ind w:left="0"/>
        <w:rPr>
          <w:noProof/>
        </w:rPr>
      </w:pPr>
      <w:r>
        <w:rPr>
          <w:noProof/>
        </w:rPr>
        <w:t>Tämän investoinnin tavoitteena on digitalisoida sähkönjakeluverkko lisäämällä mission 2 komponenttiin 2 investointia 2.1 (Älykkäiden verkkojen vahvistaminen). Investointi koostuu toimenpiteistä, jotka kohdistuvat keski- ja pienjännitteisiin verkon osiin, mikä sähköistää vähintään 230000 asukkaan energiankulutuksen M2C2-toimenpiteessä ennakoitua enemmän.</w:t>
      </w:r>
    </w:p>
    <w:p w14:paraId="2BD9B8F0" w14:textId="77777777" w:rsidR="00E42B18" w:rsidRDefault="009629C4">
      <w:pPr>
        <w:pStyle w:val="Heading4"/>
        <w:spacing w:line="240" w:lineRule="auto"/>
        <w:ind w:left="850" w:hanging="850"/>
        <w:jc w:val="both"/>
        <w:rPr>
          <w:rStyle w:val="normaltextrun"/>
          <w:rFonts w:ascii="Times New Roman" w:hAnsi="Times New Roman" w:cs="Times New Roman"/>
          <w:b/>
          <w:i w:val="0"/>
          <w:iCs w:val="0"/>
          <w:noProof/>
          <w:color w:val="000000" w:themeColor="text1"/>
        </w:rPr>
      </w:pPr>
      <w:r>
        <w:rPr>
          <w:rStyle w:val="normaltextrun"/>
          <w:rFonts w:ascii="Times New Roman" w:hAnsi="Times New Roman" w:cs="Times New Roman"/>
          <w:b/>
          <w:i w:val="0"/>
          <w:noProof/>
          <w:color w:val="000000" w:themeColor="text1"/>
        </w:rPr>
        <w:t>Investointi 2. Laajennettu toimenpide: Toimet sähköverkon häiriönsietokyvyn parantamiseksi</w:t>
      </w:r>
    </w:p>
    <w:p w14:paraId="5A988882" w14:textId="522C60EE" w:rsidR="00E42B18" w:rsidRDefault="009629C4">
      <w:pPr>
        <w:pStyle w:val="P68B1DB1-Text143"/>
        <w:spacing w:before="0"/>
        <w:ind w:left="0"/>
        <w:rPr>
          <w:noProof/>
        </w:rPr>
      </w:pPr>
      <w:r>
        <w:rPr>
          <w:noProof/>
        </w:rPr>
        <w:t>Tämän investoinnin tavoitteena on parantaa sähköverkon kykyä sietää äärimmäisiä sääilmiöitä laajentamalla mission 2 komponenttiin 2 liittyvää investointia 2.2. Investointi koostuu avustusten myöntämisestä siirto- ja jakeluverkonhaltijoille sähköinfrastruktuuriin liittyviä töitä varten, jotka vastaavat vähintään 648 kilometrin sähköverkon parempaa häiriönsietokykyä M2C2-toimenpiteessä jo suunnitellun lisäksi.</w:t>
      </w:r>
    </w:p>
    <w:p w14:paraId="28B9BB58" w14:textId="77777777" w:rsidR="00E42B18" w:rsidRDefault="009629C4">
      <w:pPr>
        <w:pStyle w:val="P68B1DB1-Heading4107"/>
        <w:spacing w:line="240" w:lineRule="auto"/>
        <w:jc w:val="both"/>
        <w:rPr>
          <w:noProof/>
        </w:rPr>
      </w:pPr>
      <w:r>
        <w:rPr>
          <w:noProof/>
        </w:rPr>
        <w:t>Investointi 3. Laajennettu toimenpide: Vedyn tuotanto ympäristövaurioalueilla (vetylaaksot)</w:t>
      </w:r>
    </w:p>
    <w:p w14:paraId="7854E9D2" w14:textId="77777777" w:rsidR="00E42B18" w:rsidRDefault="009629C4">
      <w:pPr>
        <w:pStyle w:val="P68B1DB1-Text143"/>
        <w:spacing w:before="0"/>
        <w:ind w:left="0"/>
        <w:rPr>
          <w:noProof/>
        </w:rPr>
      </w:pPr>
      <w:r>
        <w:rPr>
          <w:noProof/>
        </w:rPr>
        <w:t>Investoinnin tavoitteena on luoda uusia vetylaaksoja eli uusiutuvan vedyn paikallista tuotantoa ja käyttöä teollisuudessa, pk-yrityksissä ja paikallisliikenteessä laajentamalla mission 2 komponentin 2 investointia 3.1. Laajennusinvestoinneissa toteutetaan kaksi lisähanketta vedyn tuottamiseksi hylätyillä teollisuusalueilla verrattuna mission 2 komponentin 2 investointiin 3.1.</w:t>
      </w:r>
    </w:p>
    <w:p w14:paraId="6C9B08BC" w14:textId="77777777" w:rsidR="00E42B18" w:rsidRDefault="009629C4">
      <w:pPr>
        <w:pStyle w:val="P68B1DB1-Heading4107"/>
        <w:ind w:left="850" w:hanging="850"/>
        <w:rPr>
          <w:noProof/>
        </w:rPr>
      </w:pPr>
      <w:r>
        <w:rPr>
          <w:noProof/>
        </w:rPr>
        <w:t>Investointi 4. Tyrrhenian-linkki</w:t>
      </w:r>
    </w:p>
    <w:p w14:paraId="12AB006C" w14:textId="77777777" w:rsidR="00E42B18" w:rsidRDefault="009629C4">
      <w:pPr>
        <w:pStyle w:val="P68B1DB1-Text143"/>
        <w:spacing w:before="0"/>
        <w:ind w:left="0"/>
        <w:rPr>
          <w:noProof/>
        </w:rPr>
      </w:pPr>
      <w:r>
        <w:rPr>
          <w:noProof/>
        </w:rPr>
        <w:t>Investoinnin tavoitteena on lisätä Etelä-Italian liittämistä kansalliseen siirtoverkkoon. Investointi koostuu Sisilian ja Campanian välisen Tyrrhenian yhteyden itäisen yhteenliitäntälinjan rakentamisesta ja erityisesti Ebolin ja Carakolin välisten kahden paikan välisten tasavirtakaapelien (HVDC-kaapelien) asentamisesta.</w:t>
      </w:r>
    </w:p>
    <w:p w14:paraId="453BE6E8" w14:textId="77777777" w:rsidR="00E42B18" w:rsidRDefault="009629C4">
      <w:pPr>
        <w:pStyle w:val="P68B1DB1-Normal5"/>
        <w:rPr>
          <w:noProof/>
        </w:rPr>
      </w:pPr>
      <w:r>
        <w:rPr>
          <w:noProof/>
        </w:rPr>
        <w:t>Investointi 5. SA.CO.I.3</w:t>
      </w:r>
    </w:p>
    <w:p w14:paraId="26162A8C" w14:textId="77777777" w:rsidR="00E42B18" w:rsidRDefault="009629C4">
      <w:pPr>
        <w:pStyle w:val="P68B1DB1-Text143"/>
        <w:spacing w:before="0"/>
        <w:ind w:left="0"/>
        <w:rPr>
          <w:noProof/>
        </w:rPr>
      </w:pPr>
      <w:r>
        <w:rPr>
          <w:noProof/>
        </w:rPr>
        <w:t>Investoinnin tavoitteena on nykyaikaistaa sähkönsiirtoinfrastruktuuria, joka yhdistää Sardinian muuhun Italiaan Korsikan kautta, ja lisätä sen integrointia kansalliseen siirtoverkkoon. Investointi koostuu konversioasemien runkojen (ulkoinen infrastruktuuri) rakentamisesta Codrongianosissa ja Suveretossa ”Sardinian-Korsika-Italia 3” -yhteenliitäntähanketta varten.</w:t>
      </w:r>
    </w:p>
    <w:p w14:paraId="3B6B15A6" w14:textId="77777777" w:rsidR="00E42B18" w:rsidRDefault="009629C4">
      <w:pPr>
        <w:pStyle w:val="P68B1DB1-Heading4108"/>
        <w:rPr>
          <w:noProof/>
        </w:rPr>
      </w:pPr>
      <w:r>
        <w:rPr>
          <w:noProof/>
        </w:rPr>
        <w:t xml:space="preserve">Investointi 7. Älykäs kansallinen siirtoverkko </w:t>
      </w:r>
    </w:p>
    <w:p w14:paraId="162A6483" w14:textId="77777777" w:rsidR="00E42B18" w:rsidRDefault="009629C4">
      <w:pPr>
        <w:pStyle w:val="P68B1DB1-Text143"/>
        <w:spacing w:before="0"/>
        <w:ind w:left="0"/>
        <w:rPr>
          <w:noProof/>
        </w:rPr>
      </w:pPr>
      <w:r>
        <w:rPr>
          <w:noProof/>
        </w:rPr>
        <w:t>Investoinnin tavoitteena on digitalisoida kansallinen siirtoverkko ja parantaa siirtoverkonhaltijan käyttämää hallinto- ja valvontajärjestelmää. Investointi koostuu suojatun protokollan 104 ja 5G-laitteiden tai tieto- ja viestintäteknisen arkkitehtuurin asentamisesta sähköasemille sekä teollisten esineiden internetin seurantajärjestelmien asentamisesta sähköpylväisiin.</w:t>
      </w:r>
    </w:p>
    <w:p w14:paraId="735EBBF2" w14:textId="77777777" w:rsidR="00E42B18" w:rsidRDefault="009629C4">
      <w:pPr>
        <w:pStyle w:val="P68B1DB1-Heading4109"/>
        <w:ind w:left="850" w:hanging="850"/>
        <w:rPr>
          <w:b/>
          <w:bCs/>
          <w:i w:val="0"/>
          <w:iCs w:val="0"/>
          <w:noProof/>
          <w:color w:val="000000" w:themeColor="text1"/>
        </w:rPr>
      </w:pPr>
      <w:r>
        <w:rPr>
          <w:noProof/>
        </w:rPr>
        <w:t xml:space="preserve"> </w:t>
      </w:r>
      <w:r>
        <w:rPr>
          <w:b/>
          <w:i w:val="0"/>
          <w:iCs w:val="0"/>
          <w:noProof/>
          <w:color w:val="000000" w:themeColor="text1"/>
        </w:rPr>
        <w:t>Investointi 8. Kriittisten raaka-aineiden kestävät, kiertotalouteen perustuvat ja turvatut toimitukset</w:t>
      </w:r>
    </w:p>
    <w:p w14:paraId="145D2243" w14:textId="19C7EFF6" w:rsidR="00E42B18" w:rsidRDefault="009629C4">
      <w:pPr>
        <w:pStyle w:val="P68B1DB1-Text143"/>
        <w:spacing w:before="0"/>
        <w:ind w:left="0"/>
        <w:rPr>
          <w:noProof/>
        </w:rPr>
      </w:pPr>
      <w:r>
        <w:rPr>
          <w:noProof/>
        </w:rPr>
        <w:t>Tämän investoinnin tavoitteena on tukea kriittisten raaka-aineiden talteenottoa ja kierrätystä ja siten kriittisten raaka-aineiden ja vihreään siirtymään liittyvien teknologioiden arvoketjuja. Investoinnilla analysoidaan kriittisten raaka-aineiden tulevia tarpeita ja ekologisen suunnittelun mahdollisuuksia vähentää niiden kysyntää sekä tuetaan julkisen tietokannan luomista hylätyissä kaivoksissa sijaitsevien ”kaupunkikaivosten” ja jätteiden sijoittamiseksi. Siihen kuuluu myös sähkö- ja elektroniikkalaiteromun ekologista suunnittelua ja kierrätystä koskevien T &amp; K-hankkeiden rahoittaminen sekä laboratorioiden varustaminen, jotta voidaan luoda yksi keskus kaupunkien kaivostoimintaa ja ekologista suunnittelua varten.</w:t>
      </w:r>
      <w:r>
        <w:rPr>
          <w:rFonts w:eastAsiaTheme="minorEastAsia"/>
          <w:noProof/>
        </w:rPr>
        <w:t xml:space="preserve"> </w:t>
      </w:r>
    </w:p>
    <w:p w14:paraId="53F814D1" w14:textId="77777777" w:rsidR="00E42B18" w:rsidRDefault="009629C4">
      <w:pPr>
        <w:pStyle w:val="P68B1DB1-Normal5"/>
        <w:spacing w:after="120"/>
        <w:ind w:right="-45"/>
        <w:jc w:val="both"/>
        <w:rPr>
          <w:bCs/>
          <w:noProof/>
          <w:color w:val="000000" w:themeColor="text1"/>
        </w:rPr>
      </w:pPr>
      <w:r>
        <w:rPr>
          <w:noProof/>
        </w:rPr>
        <w:t>Investointi 10. Crescere Green -taitoja koskeva pilottihanke</w:t>
      </w:r>
    </w:p>
    <w:p w14:paraId="6F4383C5" w14:textId="11F8EF0B" w:rsidR="00E42B18" w:rsidRDefault="009629C4">
      <w:pPr>
        <w:pStyle w:val="P68B1DB1-Normal7"/>
        <w:spacing w:after="120"/>
        <w:jc w:val="both"/>
        <w:rPr>
          <w:noProof/>
          <w:color w:val="000000" w:themeColor="text1"/>
        </w:rPr>
      </w:pPr>
      <w:r>
        <w:rPr>
          <w:noProof/>
        </w:rPr>
        <w:t xml:space="preserve">Investoinnin tavoitteena on edistää vihreää osaamista yksityisen sektorin myötävaikutuksella. </w:t>
      </w:r>
      <w:r>
        <w:rPr>
          <w:noProof/>
          <w:color w:val="000000" w:themeColor="text1"/>
        </w:rPr>
        <w:t>Toimenpide koostuu vihreisiin taitoihin keskittyvien lyhyiden koulutustoimien toteuttamisesta.</w:t>
      </w:r>
    </w:p>
    <w:p w14:paraId="0C230159" w14:textId="77777777" w:rsidR="00E42B18" w:rsidRDefault="009629C4">
      <w:pPr>
        <w:pStyle w:val="P68B1DB1-Heading4110"/>
        <w:rPr>
          <w:bCs/>
          <w:noProof/>
        </w:rPr>
      </w:pPr>
      <w:r>
        <w:rPr>
          <w:noProof/>
        </w:rPr>
        <w:t>Investointi 11. Alueellisen julkisen liikenteen rautatiekaluston vahvistaminen päästöttömillä junilla ja yleispalvelulla</w:t>
      </w:r>
    </w:p>
    <w:p w14:paraId="35F772A6" w14:textId="77777777" w:rsidR="00E42B18" w:rsidRDefault="009629C4">
      <w:pPr>
        <w:pStyle w:val="P68B1DB1-Normal7"/>
        <w:spacing w:before="120" w:after="120"/>
        <w:jc w:val="both"/>
        <w:rPr>
          <w:noProof/>
        </w:rPr>
      </w:pPr>
      <w:bookmarkStart w:id="25" w:name="_Hlk180665112"/>
      <w:r>
        <w:rPr>
          <w:noProof/>
        </w:rPr>
        <w:t xml:space="preserve">Investoinnin tavoitteena on vähentää rautatieliikenteen kasvihuonekaasupäästöjä ja nykyaikaistaa rautatiekalustoa. Investointi koostuu vähintään 75 päästöttömän matkustajajunan rekisteröinnistä. </w:t>
      </w:r>
    </w:p>
    <w:bookmarkEnd w:id="25"/>
    <w:p w14:paraId="70F6106F" w14:textId="264D7D8C" w:rsidR="00E42B18" w:rsidRDefault="009629C4">
      <w:pPr>
        <w:pStyle w:val="P68B1DB1-Normal5"/>
        <w:rPr>
          <w:bCs/>
          <w:noProof/>
        </w:rPr>
      </w:pPr>
      <w:r>
        <w:rPr>
          <w:noProof/>
        </w:rPr>
        <w:t>Investointi 18 – Laajennustoimenpide: Yksityisten ja kevyiden hyötyajoneuvojen ajoneuvokannan uusimisohjelma sähköajoneuvoilla</w:t>
      </w:r>
    </w:p>
    <w:p w14:paraId="2AE17321" w14:textId="77777777" w:rsidR="00E42B18" w:rsidRDefault="009629C4">
      <w:pPr>
        <w:pStyle w:val="P68B1DB1-Normal7"/>
        <w:jc w:val="both"/>
        <w:rPr>
          <w:noProof/>
        </w:rPr>
      </w:pPr>
      <w:r>
        <w:rPr>
          <w:noProof/>
        </w:rPr>
        <w:t>Investoinnin tavoitteena on vähentää tieliikenteen aiheuttamia kasvihuonekaasuja ja ilmansaasteita kaupunkialueilla. Investointi koostuu autojen romutusjärjestelmästä, jossa lämpöajoneuvo palautetaan ja korvataan vastikään ostetulla päästöttömällä ajoneuvolla.</w:t>
      </w:r>
    </w:p>
    <w:p w14:paraId="260A75C2" w14:textId="77777777" w:rsidR="00E42B18" w:rsidRDefault="00E42B18">
      <w:pPr>
        <w:rPr>
          <w:noProof/>
        </w:rPr>
        <w:sectPr w:rsidR="00E42B18" w:rsidSect="005F11B9">
          <w:headerReference w:type="even" r:id="rId316"/>
          <w:headerReference w:type="default" r:id="rId317"/>
          <w:footerReference w:type="even" r:id="rId318"/>
          <w:footerReference w:type="default" r:id="rId319"/>
          <w:headerReference w:type="first" r:id="rId320"/>
          <w:footerReference w:type="first" r:id="rId321"/>
          <w:pgSz w:w="11906" w:h="16838"/>
          <w:pgMar w:top="1440" w:right="1440" w:bottom="1440" w:left="1440" w:header="708" w:footer="708" w:gutter="0"/>
          <w:cols w:space="708"/>
          <w:docGrid w:linePitch="360"/>
        </w:sectPr>
      </w:pPr>
    </w:p>
    <w:p w14:paraId="7A5452DD" w14:textId="77777777" w:rsidR="00E42B18" w:rsidRDefault="009629C4">
      <w:pPr>
        <w:pStyle w:val="P68B1DB1-Heading368"/>
        <w:ind w:left="850" w:hanging="850"/>
        <w:rPr>
          <w:noProof/>
        </w:rPr>
      </w:pPr>
      <w:r>
        <w:rPr>
          <w:noProof/>
        </w:rPr>
        <w:t xml:space="preserve">KYSYMYS 2 </w:t>
      </w:r>
      <w:r>
        <w:rPr>
          <w:noProof/>
        </w:rPr>
        <w:tab/>
        <w:t>Seurantaa ja täytäntöönpanoa koskevat välitavoitteet, tavoitteet, indikaattorit ja aikataulu – rahoitustuki, jota ei makseta takaisin</w:t>
      </w:r>
    </w:p>
    <w:tbl>
      <w:tblPr>
        <w:tblW w:w="14884"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134"/>
        <w:gridCol w:w="1560"/>
        <w:gridCol w:w="992"/>
        <w:gridCol w:w="1417"/>
        <w:gridCol w:w="1560"/>
        <w:gridCol w:w="1134"/>
        <w:gridCol w:w="992"/>
        <w:gridCol w:w="992"/>
        <w:gridCol w:w="851"/>
        <w:gridCol w:w="708"/>
        <w:gridCol w:w="3544"/>
      </w:tblGrid>
      <w:tr w:rsidR="00E42B18" w14:paraId="06AF2EB1" w14:textId="77777777">
        <w:trPr>
          <w:trHeight w:val="300"/>
          <w:tblHeader/>
        </w:trPr>
        <w:tc>
          <w:tcPr>
            <w:tcW w:w="1134" w:type="dxa"/>
            <w:vMerge w:val="restart"/>
            <w:shd w:val="clear" w:color="auto" w:fill="BDD7EE"/>
            <w:vAlign w:val="center"/>
            <w:hideMark/>
          </w:tcPr>
          <w:p w14:paraId="0FFBDBC1" w14:textId="77777777" w:rsidR="00E42B18" w:rsidRDefault="009629C4">
            <w:pPr>
              <w:pStyle w:val="P68B1DB1-Normal10"/>
              <w:spacing w:after="120"/>
              <w:jc w:val="center"/>
              <w:rPr>
                <w:bCs/>
                <w:noProof/>
                <w:szCs w:val="20"/>
              </w:rPr>
            </w:pPr>
            <w:r>
              <w:rPr>
                <w:noProof/>
              </w:rPr>
              <w:t>Juokseva numero</w:t>
            </w:r>
          </w:p>
        </w:tc>
        <w:tc>
          <w:tcPr>
            <w:tcW w:w="1560" w:type="dxa"/>
            <w:vMerge w:val="restart"/>
            <w:shd w:val="clear" w:color="auto" w:fill="BDD7EE"/>
            <w:vAlign w:val="center"/>
            <w:hideMark/>
          </w:tcPr>
          <w:p w14:paraId="4C2A2B24" w14:textId="77777777" w:rsidR="00E42B18" w:rsidRDefault="009629C4">
            <w:pPr>
              <w:pStyle w:val="P68B1DB1-Normal10"/>
              <w:spacing w:after="120"/>
              <w:jc w:val="center"/>
              <w:rPr>
                <w:bCs/>
                <w:noProof/>
                <w:szCs w:val="20"/>
              </w:rPr>
            </w:pPr>
            <w:r>
              <w:rPr>
                <w:noProof/>
              </w:rPr>
              <w:t>Toimenpide (uudistus tai investointi)</w:t>
            </w:r>
          </w:p>
        </w:tc>
        <w:tc>
          <w:tcPr>
            <w:tcW w:w="992" w:type="dxa"/>
            <w:vMerge w:val="restart"/>
            <w:shd w:val="clear" w:color="auto" w:fill="BDD7EE"/>
            <w:vAlign w:val="center"/>
            <w:hideMark/>
          </w:tcPr>
          <w:p w14:paraId="08C5EE7B" w14:textId="77777777" w:rsidR="00E42B18" w:rsidRDefault="009629C4">
            <w:pPr>
              <w:pStyle w:val="P68B1DB1-Normal10"/>
              <w:spacing w:after="120"/>
              <w:jc w:val="center"/>
              <w:rPr>
                <w:bCs/>
                <w:noProof/>
                <w:szCs w:val="20"/>
              </w:rPr>
            </w:pPr>
            <w:r>
              <w:rPr>
                <w:noProof/>
              </w:rPr>
              <w:t>Virstanpylväs</w:t>
            </w:r>
          </w:p>
          <w:p w14:paraId="2C5A9577" w14:textId="77777777" w:rsidR="00E42B18" w:rsidRDefault="009629C4">
            <w:pPr>
              <w:pStyle w:val="P68B1DB1-Normal10"/>
              <w:spacing w:after="120"/>
              <w:jc w:val="center"/>
              <w:rPr>
                <w:bCs/>
                <w:noProof/>
                <w:szCs w:val="20"/>
              </w:rPr>
            </w:pPr>
            <w:r>
              <w:rPr>
                <w:noProof/>
              </w:rPr>
              <w:t>/Tarkoitus</w:t>
            </w:r>
          </w:p>
        </w:tc>
        <w:tc>
          <w:tcPr>
            <w:tcW w:w="1417" w:type="dxa"/>
            <w:vMerge w:val="restart"/>
            <w:shd w:val="clear" w:color="auto" w:fill="BDD7EE"/>
            <w:vAlign w:val="center"/>
            <w:hideMark/>
          </w:tcPr>
          <w:p w14:paraId="2A24B339" w14:textId="77777777" w:rsidR="00E42B18" w:rsidRDefault="009629C4">
            <w:pPr>
              <w:pStyle w:val="P68B1DB1-Normal10"/>
              <w:spacing w:after="120"/>
              <w:jc w:val="center"/>
              <w:rPr>
                <w:bCs/>
                <w:noProof/>
                <w:szCs w:val="20"/>
              </w:rPr>
            </w:pPr>
            <w:r>
              <w:rPr>
                <w:noProof/>
              </w:rPr>
              <w:t>Nimi</w:t>
            </w:r>
          </w:p>
        </w:tc>
        <w:tc>
          <w:tcPr>
            <w:tcW w:w="1560" w:type="dxa"/>
            <w:vMerge w:val="restart"/>
            <w:shd w:val="clear" w:color="auto" w:fill="BDD7EE"/>
            <w:vAlign w:val="center"/>
            <w:hideMark/>
          </w:tcPr>
          <w:p w14:paraId="5CFC6600" w14:textId="77777777" w:rsidR="00E42B18" w:rsidRDefault="009629C4">
            <w:pPr>
              <w:spacing w:after="120"/>
              <w:jc w:val="center"/>
              <w:rPr>
                <w:rFonts w:ascii="Arial Narrow" w:hAnsi="Arial Narrow"/>
                <w:b/>
                <w:bCs/>
                <w:noProof/>
                <w:sz w:val="20"/>
                <w:szCs w:val="20"/>
              </w:rPr>
            </w:pPr>
            <w:r>
              <w:rPr>
                <w:rFonts w:ascii="Arial Narrow" w:hAnsi="Arial Narrow"/>
                <w:b/>
                <w:noProof/>
                <w:sz w:val="20"/>
              </w:rPr>
              <w:t>Laadulliset indikaattorit</w:t>
            </w:r>
            <w:r>
              <w:rPr>
                <w:noProof/>
              </w:rPr>
              <w:t xml:space="preserve"> </w:t>
            </w:r>
            <w:r>
              <w:rPr>
                <w:noProof/>
              </w:rPr>
              <w:br/>
            </w:r>
            <w:r>
              <w:rPr>
                <w:rFonts w:ascii="Arial Narrow" w:hAnsi="Arial Narrow"/>
                <w:b/>
                <w:noProof/>
                <w:sz w:val="20"/>
              </w:rPr>
              <w:t>(välitavoitteiden osalta)</w:t>
            </w:r>
          </w:p>
        </w:tc>
        <w:tc>
          <w:tcPr>
            <w:tcW w:w="3118" w:type="dxa"/>
            <w:gridSpan w:val="3"/>
            <w:shd w:val="clear" w:color="auto" w:fill="BDD7EE"/>
            <w:vAlign w:val="center"/>
            <w:hideMark/>
          </w:tcPr>
          <w:p w14:paraId="59E1F51A" w14:textId="77777777" w:rsidR="00E42B18" w:rsidRDefault="009629C4">
            <w:pPr>
              <w:spacing w:after="120"/>
              <w:jc w:val="center"/>
              <w:rPr>
                <w:rFonts w:ascii="Arial Narrow" w:hAnsi="Arial Narrow"/>
                <w:b/>
                <w:bCs/>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559" w:type="dxa"/>
            <w:gridSpan w:val="2"/>
            <w:shd w:val="clear" w:color="auto" w:fill="BDD7EE"/>
            <w:vAlign w:val="center"/>
            <w:hideMark/>
          </w:tcPr>
          <w:p w14:paraId="4C84BDE3" w14:textId="77777777" w:rsidR="00E42B18" w:rsidRDefault="009629C4">
            <w:pPr>
              <w:pStyle w:val="P68B1DB1-Normal10"/>
              <w:spacing w:after="120"/>
              <w:jc w:val="center"/>
              <w:rPr>
                <w:bCs/>
                <w:noProof/>
                <w:szCs w:val="20"/>
              </w:rPr>
            </w:pPr>
            <w:r>
              <w:rPr>
                <w:noProof/>
              </w:rPr>
              <w:t>Alustava toteutusaikataulu</w:t>
            </w:r>
          </w:p>
        </w:tc>
        <w:tc>
          <w:tcPr>
            <w:tcW w:w="3544" w:type="dxa"/>
            <w:vMerge w:val="restart"/>
            <w:shd w:val="clear" w:color="auto" w:fill="BDD7EE"/>
            <w:vAlign w:val="center"/>
            <w:hideMark/>
          </w:tcPr>
          <w:p w14:paraId="1B758655" w14:textId="77777777" w:rsidR="00E42B18" w:rsidRDefault="009629C4">
            <w:pPr>
              <w:pStyle w:val="P68B1DB1-Normal10"/>
              <w:spacing w:after="120"/>
              <w:jc w:val="center"/>
              <w:rPr>
                <w:bCs/>
                <w:noProof/>
                <w:szCs w:val="20"/>
              </w:rPr>
            </w:pPr>
            <w:r>
              <w:rPr>
                <w:noProof/>
              </w:rPr>
              <w:t>Kunkin välitavoitteen ja tavoitteen kuvaus</w:t>
            </w:r>
          </w:p>
        </w:tc>
      </w:tr>
      <w:tr w:rsidR="00E42B18" w14:paraId="3921A39D" w14:textId="77777777">
        <w:trPr>
          <w:trHeight w:val="300"/>
          <w:tblHeader/>
        </w:trPr>
        <w:tc>
          <w:tcPr>
            <w:tcW w:w="1134" w:type="dxa"/>
            <w:vMerge/>
            <w:vAlign w:val="center"/>
            <w:hideMark/>
          </w:tcPr>
          <w:p w14:paraId="099EFE8B" w14:textId="77777777" w:rsidR="00E42B18" w:rsidRDefault="00E42B18">
            <w:pPr>
              <w:spacing w:after="120"/>
              <w:jc w:val="center"/>
              <w:rPr>
                <w:rFonts w:ascii="Arial Narrow" w:hAnsi="Arial Narrow"/>
                <w:b/>
                <w:bCs/>
                <w:noProof/>
                <w:sz w:val="20"/>
                <w:szCs w:val="20"/>
              </w:rPr>
            </w:pPr>
          </w:p>
        </w:tc>
        <w:tc>
          <w:tcPr>
            <w:tcW w:w="1560" w:type="dxa"/>
            <w:vMerge/>
            <w:vAlign w:val="center"/>
            <w:hideMark/>
          </w:tcPr>
          <w:p w14:paraId="3397BD7D" w14:textId="77777777" w:rsidR="00E42B18" w:rsidRDefault="00E42B18">
            <w:pPr>
              <w:spacing w:after="120"/>
              <w:jc w:val="center"/>
              <w:rPr>
                <w:rFonts w:ascii="Arial Narrow" w:hAnsi="Arial Narrow"/>
                <w:b/>
                <w:bCs/>
                <w:noProof/>
                <w:sz w:val="20"/>
                <w:szCs w:val="20"/>
              </w:rPr>
            </w:pPr>
          </w:p>
        </w:tc>
        <w:tc>
          <w:tcPr>
            <w:tcW w:w="992" w:type="dxa"/>
            <w:vMerge/>
            <w:vAlign w:val="center"/>
            <w:hideMark/>
          </w:tcPr>
          <w:p w14:paraId="5F4D3794" w14:textId="77777777" w:rsidR="00E42B18" w:rsidRDefault="00E42B18">
            <w:pPr>
              <w:spacing w:after="120"/>
              <w:jc w:val="center"/>
              <w:rPr>
                <w:rFonts w:ascii="Arial Narrow" w:hAnsi="Arial Narrow"/>
                <w:b/>
                <w:bCs/>
                <w:noProof/>
                <w:sz w:val="20"/>
                <w:szCs w:val="20"/>
              </w:rPr>
            </w:pPr>
          </w:p>
        </w:tc>
        <w:tc>
          <w:tcPr>
            <w:tcW w:w="1417" w:type="dxa"/>
            <w:vMerge/>
            <w:vAlign w:val="center"/>
            <w:hideMark/>
          </w:tcPr>
          <w:p w14:paraId="305A1A6F" w14:textId="77777777" w:rsidR="00E42B18" w:rsidRDefault="00E42B18">
            <w:pPr>
              <w:spacing w:after="120"/>
              <w:jc w:val="center"/>
              <w:rPr>
                <w:rFonts w:ascii="Arial Narrow" w:hAnsi="Arial Narrow"/>
                <w:b/>
                <w:bCs/>
                <w:noProof/>
                <w:sz w:val="20"/>
                <w:szCs w:val="20"/>
              </w:rPr>
            </w:pPr>
          </w:p>
        </w:tc>
        <w:tc>
          <w:tcPr>
            <w:tcW w:w="1560" w:type="dxa"/>
            <w:vMerge/>
            <w:vAlign w:val="center"/>
            <w:hideMark/>
          </w:tcPr>
          <w:p w14:paraId="0BB4DCDC" w14:textId="77777777" w:rsidR="00E42B18" w:rsidRDefault="00E42B18">
            <w:pPr>
              <w:spacing w:after="120"/>
              <w:jc w:val="center"/>
              <w:rPr>
                <w:rFonts w:ascii="Arial Narrow" w:hAnsi="Arial Narrow"/>
                <w:b/>
                <w:bCs/>
                <w:noProof/>
                <w:sz w:val="20"/>
                <w:szCs w:val="20"/>
              </w:rPr>
            </w:pPr>
          </w:p>
        </w:tc>
        <w:tc>
          <w:tcPr>
            <w:tcW w:w="1134" w:type="dxa"/>
            <w:shd w:val="clear" w:color="auto" w:fill="BDD7EE"/>
            <w:vAlign w:val="center"/>
            <w:hideMark/>
          </w:tcPr>
          <w:p w14:paraId="348990CE" w14:textId="77777777" w:rsidR="00E42B18" w:rsidRDefault="009629C4">
            <w:pPr>
              <w:pStyle w:val="P68B1DB1-Normal10"/>
              <w:spacing w:after="120"/>
              <w:jc w:val="center"/>
              <w:rPr>
                <w:bCs/>
                <w:noProof/>
                <w:szCs w:val="20"/>
              </w:rPr>
            </w:pPr>
            <w:r>
              <w:rPr>
                <w:noProof/>
              </w:rPr>
              <w:t>Mitta-yksikkö</w:t>
            </w:r>
          </w:p>
        </w:tc>
        <w:tc>
          <w:tcPr>
            <w:tcW w:w="992" w:type="dxa"/>
            <w:shd w:val="clear" w:color="auto" w:fill="BDD7EE"/>
            <w:vAlign w:val="center"/>
            <w:hideMark/>
          </w:tcPr>
          <w:p w14:paraId="1C85011C" w14:textId="77777777" w:rsidR="00E42B18" w:rsidRDefault="009629C4">
            <w:pPr>
              <w:pStyle w:val="P68B1DB1-Normal10"/>
              <w:spacing w:after="120"/>
              <w:jc w:val="center"/>
              <w:rPr>
                <w:bCs/>
                <w:noProof/>
                <w:szCs w:val="20"/>
              </w:rPr>
            </w:pPr>
            <w:r>
              <w:rPr>
                <w:noProof/>
              </w:rPr>
              <w:t>Lähtötilanne</w:t>
            </w:r>
          </w:p>
        </w:tc>
        <w:tc>
          <w:tcPr>
            <w:tcW w:w="992" w:type="dxa"/>
            <w:shd w:val="clear" w:color="auto" w:fill="BDD7EE"/>
            <w:vAlign w:val="center"/>
            <w:hideMark/>
          </w:tcPr>
          <w:p w14:paraId="35885395" w14:textId="77777777" w:rsidR="00E42B18" w:rsidRDefault="009629C4">
            <w:pPr>
              <w:pStyle w:val="P68B1DB1-Normal10"/>
              <w:spacing w:after="120"/>
              <w:jc w:val="center"/>
              <w:rPr>
                <w:bCs/>
                <w:noProof/>
                <w:szCs w:val="20"/>
              </w:rPr>
            </w:pPr>
            <w:r>
              <w:rPr>
                <w:noProof/>
              </w:rPr>
              <w:t>Päämäärä</w:t>
            </w:r>
          </w:p>
        </w:tc>
        <w:tc>
          <w:tcPr>
            <w:tcW w:w="851" w:type="dxa"/>
            <w:shd w:val="clear" w:color="auto" w:fill="BDD7EE"/>
            <w:vAlign w:val="center"/>
            <w:hideMark/>
          </w:tcPr>
          <w:p w14:paraId="49FB4EC0" w14:textId="77777777" w:rsidR="00E42B18" w:rsidRDefault="009629C4">
            <w:pPr>
              <w:pStyle w:val="P68B1DB1-Normal10"/>
              <w:spacing w:after="120"/>
              <w:jc w:val="center"/>
              <w:rPr>
                <w:bCs/>
                <w:noProof/>
                <w:szCs w:val="20"/>
              </w:rPr>
            </w:pPr>
            <w:r>
              <w:rPr>
                <w:noProof/>
              </w:rPr>
              <w:t>Neljännes</w:t>
            </w:r>
          </w:p>
        </w:tc>
        <w:tc>
          <w:tcPr>
            <w:tcW w:w="708" w:type="dxa"/>
            <w:shd w:val="clear" w:color="auto" w:fill="BDD7EE"/>
            <w:vAlign w:val="center"/>
            <w:hideMark/>
          </w:tcPr>
          <w:p w14:paraId="4908EA80" w14:textId="77777777" w:rsidR="00E42B18" w:rsidRDefault="009629C4">
            <w:pPr>
              <w:pStyle w:val="P68B1DB1-Normal10"/>
              <w:spacing w:after="120"/>
              <w:jc w:val="center"/>
              <w:rPr>
                <w:bCs/>
                <w:noProof/>
                <w:szCs w:val="20"/>
              </w:rPr>
            </w:pPr>
            <w:r>
              <w:rPr>
                <w:noProof/>
              </w:rPr>
              <w:t>Vuosi</w:t>
            </w:r>
          </w:p>
        </w:tc>
        <w:tc>
          <w:tcPr>
            <w:tcW w:w="3544" w:type="dxa"/>
            <w:vMerge/>
            <w:vAlign w:val="center"/>
            <w:hideMark/>
          </w:tcPr>
          <w:p w14:paraId="761906AA" w14:textId="77777777" w:rsidR="00E42B18" w:rsidRDefault="00E42B18">
            <w:pPr>
              <w:spacing w:after="120"/>
              <w:jc w:val="center"/>
              <w:rPr>
                <w:rFonts w:ascii="Arial Narrow" w:hAnsi="Arial Narrow"/>
                <w:b/>
                <w:bCs/>
                <w:noProof/>
                <w:sz w:val="20"/>
                <w:szCs w:val="20"/>
              </w:rPr>
            </w:pPr>
          </w:p>
        </w:tc>
      </w:tr>
      <w:tr w:rsidR="00E42B18" w14:paraId="54381A13"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EA19D" w14:textId="77777777" w:rsidR="00E42B18" w:rsidRDefault="009629C4">
            <w:pPr>
              <w:pStyle w:val="P68B1DB1-Normal11"/>
              <w:spacing w:after="120"/>
              <w:jc w:val="center"/>
              <w:rPr>
                <w:noProof/>
                <w:szCs w:val="20"/>
              </w:rPr>
            </w:pPr>
            <w:r>
              <w:rPr>
                <w:noProof/>
              </w:rPr>
              <w:t>M7–1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DAED3C" w14:textId="77777777" w:rsidR="00E42B18" w:rsidRDefault="009629C4">
            <w:pPr>
              <w:pStyle w:val="P68B1DB1-Normal11"/>
              <w:spacing w:after="120"/>
              <w:jc w:val="center"/>
              <w:rPr>
                <w:noProof/>
                <w:szCs w:val="20"/>
              </w:rPr>
            </w:pPr>
            <w:r>
              <w:rPr>
                <w:noProof/>
              </w:rPr>
              <w:t>Uudistus 1: Uusiutuvan energian lupamenettelyjen yksinkertaistaminen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CBF188"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DED55" w14:textId="77777777" w:rsidR="00E42B18" w:rsidRDefault="009629C4">
            <w:pPr>
              <w:pStyle w:val="P68B1DB1-Normal11"/>
              <w:spacing w:after="120"/>
              <w:jc w:val="center"/>
              <w:rPr>
                <w:noProof/>
              </w:rPr>
            </w:pPr>
            <w:r>
              <w:rPr>
                <w:noProof/>
              </w:rPr>
              <w:t>”Uusiutuvan kiihdytyksen alueiden” määrittämistä koskeva oikeudellinen kehys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86CA8B" w14:textId="415029DF" w:rsidR="00E42B18" w:rsidRDefault="009629C4">
            <w:pPr>
              <w:pStyle w:val="P68B1DB1-Normal11"/>
              <w:spacing w:after="120"/>
              <w:jc w:val="center"/>
              <w:rPr>
                <w:noProof/>
              </w:rPr>
            </w:pPr>
            <w:r>
              <w:rPr>
                <w:noProof/>
              </w:rPr>
              <w:t>Lakiin sisältyvä säännös, joka koskee uusiutuvan energian nopean kehittämisen alueiden määrittämistä koskevan oikeudellisen kehyksen voimaantuloa</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150937"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F7133"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692C9"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E9FA03" w14:textId="77777777" w:rsidR="00E42B18" w:rsidRDefault="009629C4">
            <w:pPr>
              <w:pStyle w:val="P68B1DB1-Normal11"/>
              <w:spacing w:after="120"/>
              <w:jc w:val="center"/>
              <w:rPr>
                <w:noProof/>
                <w:szCs w:val="20"/>
              </w:rPr>
            </w:pPr>
            <w:r>
              <w:rPr>
                <w:noProof/>
              </w:rPr>
              <w:t>Q4</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2952DB" w14:textId="77777777" w:rsidR="00E42B18" w:rsidRDefault="009629C4">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105C6883" w14:textId="77777777" w:rsidR="00E42B18" w:rsidRDefault="009629C4">
            <w:pPr>
              <w:pStyle w:val="P68B1DB1-Normal12"/>
              <w:spacing w:after="120"/>
              <w:rPr>
                <w:noProof/>
              </w:rPr>
            </w:pPr>
            <w:r>
              <w:rPr>
                <w:noProof/>
              </w:rPr>
              <w:t>Sellaisen primäärilainsäädännön voimaantulo, jossa vahvistetaan oikeudellinen kehys ”uusiutuvan kehityksen alueiden” määrittämiseksi.</w:t>
            </w:r>
          </w:p>
          <w:p w14:paraId="442231F8" w14:textId="77777777" w:rsidR="00E42B18" w:rsidRDefault="009629C4">
            <w:pPr>
              <w:pStyle w:val="P68B1DB1-Normal12"/>
              <w:spacing w:after="120"/>
              <w:rPr>
                <w:noProof/>
              </w:rPr>
            </w:pPr>
            <w:r>
              <w:rPr>
                <w:noProof/>
              </w:rPr>
              <w:t>Oikeudellisen kehyksen on</w:t>
            </w:r>
          </w:p>
          <w:p w14:paraId="6EE3E2C3" w14:textId="77777777" w:rsidR="00E42B18" w:rsidRDefault="009629C4">
            <w:pPr>
              <w:pStyle w:val="P68B1DB1-Normal12"/>
              <w:spacing w:after="120"/>
              <w:rPr>
                <w:noProof/>
              </w:rPr>
            </w:pPr>
            <w:r>
              <w:rPr>
                <w:noProof/>
              </w:rPr>
              <w:t>1)</w:t>
            </w:r>
            <w:r>
              <w:rPr>
                <w:noProof/>
              </w:rPr>
              <w:tab/>
              <w:t>edellyttää uusiutuvan energian potentiaalin kartoittamista koko maassa;</w:t>
            </w:r>
          </w:p>
          <w:p w14:paraId="377F53B8" w14:textId="77777777" w:rsidR="00E42B18" w:rsidRDefault="009629C4">
            <w:pPr>
              <w:pStyle w:val="P68B1DB1-Normal12"/>
              <w:spacing w:after="120"/>
              <w:rPr>
                <w:noProof/>
              </w:rPr>
            </w:pPr>
            <w:r>
              <w:rPr>
                <w:noProof/>
              </w:rPr>
              <w:t>2)</w:t>
            </w:r>
            <w:r>
              <w:rPr>
                <w:noProof/>
              </w:rPr>
              <w:tab/>
              <w:t>vahvistaa kartoituksen perusteella ensimmäiset alueet ja asettaa vähimmäisvaatimukset uusiutuvan energian nopean kehittämisen alueiden tulevalle määrittämiselle;</w:t>
            </w:r>
          </w:p>
          <w:p w14:paraId="2ABB7D81" w14:textId="77777777" w:rsidR="00E42B18" w:rsidRDefault="009629C4">
            <w:pPr>
              <w:pStyle w:val="P68B1DB1-Normal12"/>
              <w:spacing w:after="120"/>
              <w:rPr>
                <w:noProof/>
              </w:rPr>
            </w:pPr>
            <w:r>
              <w:rPr>
                <w:noProof/>
              </w:rPr>
              <w:t>3)</w:t>
            </w:r>
            <w:r>
              <w:rPr>
                <w:noProof/>
              </w:rPr>
              <w:tab/>
              <w:t>edellyttää vähimmäisalueiden perusteella, että alueet ja autonomiset maakunnat määrittelevät uusiutuvan energian nopean kehittämisen alueet viimeistään 21 päivänä helmikuuta 2026;</w:t>
            </w:r>
          </w:p>
          <w:p w14:paraId="75CA9886" w14:textId="77777777" w:rsidR="00E42B18" w:rsidRDefault="009629C4">
            <w:pPr>
              <w:pStyle w:val="P68B1DB1-Normal12"/>
              <w:spacing w:after="120"/>
              <w:rPr>
                <w:noProof/>
              </w:rPr>
            </w:pPr>
            <w:r>
              <w:rPr>
                <w:noProof/>
              </w:rPr>
              <w:t>4)</w:t>
            </w:r>
            <w:r>
              <w:rPr>
                <w:noProof/>
              </w:rPr>
              <w:tab/>
              <w:t>annetaan keskushallinnolle oikeus käyttää korvaavia valtuuksia, jos alueet tai autonomiset provinssit eivät pysty yksilöimään uusiutuvan energian nopean kehittämisen alueita 21. helmikuuta 2026 mennessä;</w:t>
            </w:r>
          </w:p>
          <w:p w14:paraId="784A44A3" w14:textId="77777777" w:rsidR="00E42B18" w:rsidRDefault="009629C4">
            <w:pPr>
              <w:pStyle w:val="P68B1DB1-Normal12"/>
              <w:spacing w:after="120"/>
              <w:rPr>
                <w:noProof/>
              </w:rPr>
            </w:pPr>
            <w:r>
              <w:rPr>
                <w:noProof/>
              </w:rPr>
              <w:t>5)</w:t>
            </w:r>
            <w:r>
              <w:rPr>
                <w:noProof/>
              </w:rPr>
              <w:tab/>
              <w:t>edellytetään, että uusiutuvan energian käyttöönottoa varten määritellään offshore-alueet merten aluesuunnitelmien mukaisesti.</w:t>
            </w:r>
          </w:p>
        </w:tc>
      </w:tr>
      <w:tr w:rsidR="00E42B18" w14:paraId="1B35535B"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4D244C" w14:textId="77777777" w:rsidR="00E42B18" w:rsidRDefault="009629C4">
            <w:pPr>
              <w:pStyle w:val="P68B1DB1-Normal12"/>
              <w:spacing w:after="120"/>
              <w:jc w:val="center"/>
              <w:rPr>
                <w:noProof/>
              </w:rPr>
            </w:pPr>
            <w:r>
              <w:rPr>
                <w:noProof/>
              </w:rPr>
              <w:t>M7–2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61F79" w14:textId="77777777" w:rsidR="00E42B18" w:rsidRDefault="009629C4">
            <w:pPr>
              <w:pStyle w:val="P68B1DB1-Normal11"/>
              <w:spacing w:after="120"/>
              <w:jc w:val="center"/>
              <w:rPr>
                <w:noProof/>
                <w:szCs w:val="20"/>
              </w:rPr>
            </w:pPr>
            <w:r>
              <w:rPr>
                <w:noProof/>
              </w:rPr>
              <w:t>Uudistus 1: Uusiutuvan energian lupamenettelyjen yksinkertaistaminen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A230B6"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338218" w14:textId="28B3D431" w:rsidR="00E42B18" w:rsidRDefault="009629C4">
            <w:pPr>
              <w:pStyle w:val="P68B1DB1-Normal12"/>
              <w:spacing w:after="120"/>
              <w:jc w:val="center"/>
              <w:rPr>
                <w:noProof/>
              </w:rPr>
            </w:pPr>
            <w:r>
              <w:rPr>
                <w:noProof/>
              </w:rPr>
              <w:t>Säädöksen voimaantulo (Testo Unico)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12B39A" w14:textId="77777777" w:rsidR="00E42B18" w:rsidRDefault="009629C4">
            <w:pPr>
              <w:pStyle w:val="P68B1DB1-Normal12"/>
              <w:spacing w:after="120"/>
              <w:jc w:val="center"/>
              <w:rPr>
                <w:noProof/>
              </w:rPr>
            </w:pPr>
            <w:r>
              <w:rPr>
                <w:noProof/>
              </w:rPr>
              <w:t>Säädöksen voimaantuloa koskeva lain säännös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0EF77"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6F7DE0"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3CC574"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6FCD21" w14:textId="77777777" w:rsidR="00E42B18" w:rsidRDefault="009629C4">
            <w:pPr>
              <w:pStyle w:val="P68B1DB1-Normal11"/>
              <w:spacing w:after="120"/>
              <w:jc w:val="center"/>
              <w:rPr>
                <w:noProof/>
                <w:szCs w:val="20"/>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1D4A99" w14:textId="77777777" w:rsidR="00E42B18" w:rsidRDefault="009629C4">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4CC3A0BB" w14:textId="01CE49F8" w:rsidR="00E42B18" w:rsidRDefault="009629C4">
            <w:pPr>
              <w:pStyle w:val="P68B1DB1-Normal12"/>
              <w:spacing w:after="120"/>
              <w:rPr>
                <w:noProof/>
              </w:rPr>
            </w:pPr>
            <w:r>
              <w:rPr>
                <w:noProof/>
              </w:rPr>
              <w:t>Voimaan tulee säädös (Testo Unico), jolla kerätään, kootaan ja konsolidoidaan uusiutuvien energialähteiden lupamenettelyjä sääntelevät normit ja korvataan asiaa koskeva aiempi lainsäädäntö.</w:t>
            </w:r>
          </w:p>
          <w:p w14:paraId="07F9F4E9" w14:textId="77777777" w:rsidR="00E42B18" w:rsidRDefault="009629C4">
            <w:pPr>
              <w:pStyle w:val="P68B1DB1-Normal12"/>
              <w:spacing w:after="120"/>
              <w:rPr>
                <w:noProof/>
              </w:rPr>
            </w:pPr>
            <w:r>
              <w:rPr>
                <w:noProof/>
              </w:rPr>
              <w:t xml:space="preserve">Testo Unico vahvistaa myös ”enimmäissäännöt”, jotka mahdollistavat sen, että alueet eivät voi panna täytäntöön kansallisessa lainsäädännössä vahvistettuja sääntöjä tiukempia sääntöjä. </w:t>
            </w:r>
          </w:p>
        </w:tc>
      </w:tr>
      <w:tr w:rsidR="00E42B18" w14:paraId="358697A3"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B9330" w14:textId="77777777" w:rsidR="00E42B18" w:rsidRDefault="009629C4">
            <w:pPr>
              <w:pStyle w:val="P68B1DB1-Normal11"/>
              <w:spacing w:after="120"/>
              <w:jc w:val="center"/>
              <w:rPr>
                <w:noProof/>
                <w:szCs w:val="20"/>
              </w:rPr>
            </w:pPr>
            <w:r>
              <w:rPr>
                <w:noProof/>
              </w:rPr>
              <w:t>M7–3</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A7D12" w14:textId="77777777" w:rsidR="00E42B18" w:rsidRDefault="009629C4">
            <w:pPr>
              <w:pStyle w:val="P68B1DB1-Normal11"/>
              <w:spacing w:after="120"/>
              <w:jc w:val="center"/>
              <w:rPr>
                <w:noProof/>
                <w:szCs w:val="20"/>
              </w:rPr>
            </w:pPr>
            <w:r>
              <w:rPr>
                <w:noProof/>
              </w:rPr>
              <w:t>Uudistus 1: Uusiutuvan energian lupamenettelyjen yksinkertaistaminen</w:t>
            </w:r>
          </w:p>
          <w:p w14:paraId="63FCCCD7"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B41DF"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B0C30" w14:textId="77777777" w:rsidR="00E42B18" w:rsidRDefault="009629C4">
            <w:pPr>
              <w:pStyle w:val="P68B1DB1-Normal11"/>
              <w:spacing w:after="120"/>
              <w:jc w:val="center"/>
              <w:rPr>
                <w:noProof/>
                <w:szCs w:val="20"/>
              </w:rPr>
            </w:pPr>
            <w:r>
              <w:rPr>
                <w:noProof/>
              </w:rPr>
              <w:t>Yhden sisäänpääsyn digitaalisen alustan perustaminen uusiutuviin energialähteisiin liittyviä lupia varten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7F50CC" w14:textId="61F8645E" w:rsidR="00E42B18" w:rsidRDefault="009629C4">
            <w:pPr>
              <w:pStyle w:val="P68B1DB1-Normal12"/>
              <w:spacing w:after="120"/>
              <w:jc w:val="center"/>
              <w:rPr>
                <w:noProof/>
              </w:rPr>
            </w:pPr>
            <w:r>
              <w:rPr>
                <w:noProof/>
              </w:rPr>
              <w:t>Yhden sisäänpääsyn digitaalisen alustan perustaminen uusiutuviin energialähteisiin liittyviä lupia varten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B8742"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90F76C"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70BB3C"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CBADD6" w14:textId="77777777" w:rsidR="00E42B18" w:rsidRDefault="009629C4">
            <w:pPr>
              <w:pStyle w:val="P68B1DB1-Normal11"/>
              <w:spacing w:after="120"/>
              <w:jc w:val="center"/>
              <w:rPr>
                <w:noProof/>
                <w:szCs w:val="20"/>
              </w:rPr>
            </w:pPr>
            <w:r>
              <w:rPr>
                <w:noProof/>
              </w:rPr>
              <w:t>Q4</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D8B7B2" w14:textId="77777777" w:rsidR="00E42B18" w:rsidRDefault="009629C4">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1B0BF00C" w14:textId="112F499D" w:rsidR="00E42B18" w:rsidRDefault="009629C4">
            <w:pPr>
              <w:pStyle w:val="P68B1DB1-Normal12"/>
              <w:spacing w:after="120"/>
              <w:rPr>
                <w:noProof/>
              </w:rPr>
            </w:pPr>
            <w:r>
              <w:rPr>
                <w:noProof/>
              </w:rPr>
              <w:t>Keskitetty digitaalinen alusta on verkossa, ja sen avulla toiminnanharjoittajat voivat pyytää lupia (Autorizzazione Unica, Procedura Autorizzativa semplificata) uusiutuvien energialähteiden asentamiseen kansallisella ja sitä alemmalla tasolla ja ladata tietoja Edilizia Liberan puitteissa asennetuista laitoksista.</w:t>
            </w:r>
          </w:p>
          <w:p w14:paraId="3404C1AB" w14:textId="77777777" w:rsidR="00E42B18" w:rsidRDefault="009629C4">
            <w:pPr>
              <w:pStyle w:val="P68B1DB1-Normal12"/>
              <w:spacing w:after="120"/>
              <w:rPr>
                <w:noProof/>
              </w:rPr>
            </w:pPr>
            <w:r>
              <w:rPr>
                <w:noProof/>
              </w:rPr>
              <w:t xml:space="preserve">Alustan on perustuttava yhden kerran periaatteeseen, jonka mukaan hakijoiden on toimitettava samat tiedot tai asiakirjat julkisille laitoksille vain kerran. </w:t>
            </w:r>
          </w:p>
        </w:tc>
      </w:tr>
      <w:tr w:rsidR="00E42B18" w14:paraId="513BA347"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740BE1" w14:textId="77777777" w:rsidR="00E42B18" w:rsidRDefault="009629C4">
            <w:pPr>
              <w:pStyle w:val="P68B1DB1-Normal11"/>
              <w:spacing w:after="120"/>
              <w:jc w:val="center"/>
              <w:rPr>
                <w:noProof/>
                <w:szCs w:val="20"/>
              </w:rPr>
            </w:pPr>
            <w:r>
              <w:rPr>
                <w:noProof/>
              </w:rPr>
              <w:t>M7–4</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F86B0B" w14:textId="77777777" w:rsidR="00E42B18" w:rsidRDefault="009629C4">
            <w:pPr>
              <w:pStyle w:val="P68B1DB1-Normal11"/>
              <w:spacing w:after="120"/>
              <w:jc w:val="center"/>
              <w:rPr>
                <w:noProof/>
                <w:szCs w:val="20"/>
              </w:rPr>
            </w:pPr>
            <w:r>
              <w:rPr>
                <w:noProof/>
              </w:rPr>
              <w:t>Uudistuksen 2: Ympäristölle haitallisten tukien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2F303B"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5A19DB" w14:textId="77777777" w:rsidR="00E42B18" w:rsidRDefault="009629C4">
            <w:pPr>
              <w:pStyle w:val="P68B1DB1-Normal11"/>
              <w:spacing w:after="120"/>
              <w:jc w:val="center"/>
              <w:rPr>
                <w:noProof/>
                <w:szCs w:val="20"/>
              </w:rPr>
            </w:pPr>
            <w:r>
              <w:rPr>
                <w:noProof/>
              </w:rPr>
              <w:t xml:space="preserve">Hallituksen raportti, </w:t>
            </w:r>
            <w:r>
              <w:rPr>
                <w:noProof/>
                <w:szCs w:val="20"/>
              </w:rPr>
              <w:t>jossa esitetään</w:t>
            </w:r>
            <w:r>
              <w:rPr>
                <w:noProof/>
              </w:rPr>
              <w:t xml:space="preserve"> tulokset sidosryhmien </w:t>
            </w:r>
            <w:r>
              <w:rPr>
                <w:noProof/>
                <w:szCs w:val="20"/>
              </w:rPr>
              <w:t xml:space="preserve">kuulemisesta </w:t>
            </w:r>
            <w:r>
              <w:rPr>
                <w:noProof/>
              </w:rPr>
              <w:t>ympäristön kannalta haitallisten tukien vähentämiseksi.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EB8E7" w14:textId="77777777" w:rsidR="00E42B18" w:rsidRDefault="009629C4">
            <w:pPr>
              <w:pStyle w:val="P68B1DB1-Normal11"/>
              <w:spacing w:after="120"/>
              <w:jc w:val="center"/>
              <w:rPr>
                <w:noProof/>
                <w:szCs w:val="20"/>
              </w:rPr>
            </w:pPr>
            <w:r>
              <w:rPr>
                <w:noProof/>
              </w:rPr>
              <w:t>Hallituksen selvityksen hyväksyminen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2867AA"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1D8DE5"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95951"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444B12" w14:textId="77777777" w:rsidR="00E42B18" w:rsidRDefault="009629C4">
            <w:pPr>
              <w:pStyle w:val="P68B1DB1-Normal11"/>
              <w:spacing w:after="120"/>
              <w:jc w:val="center"/>
              <w:rPr>
                <w:noProof/>
                <w:szCs w:val="20"/>
              </w:rPr>
            </w:pPr>
            <w:r>
              <w:rPr>
                <w:noProof/>
              </w:rPr>
              <w:t>Q4</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00D8CA" w14:textId="77777777" w:rsidR="00E42B18" w:rsidRDefault="009629C4">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0E89A2EA" w14:textId="77777777" w:rsidR="00E42B18" w:rsidRDefault="009629C4">
            <w:pPr>
              <w:pStyle w:val="P68B1DB1-Normal11"/>
              <w:spacing w:after="120"/>
              <w:rPr>
                <w:noProof/>
                <w:szCs w:val="20"/>
              </w:rPr>
            </w:pPr>
            <w:r>
              <w:rPr>
                <w:noProof/>
              </w:rPr>
              <w:t xml:space="preserve">Kertomuksessa on </w:t>
            </w:r>
            <w:r>
              <w:rPr>
                <w:noProof/>
                <w:szCs w:val="20"/>
              </w:rPr>
              <w:t>esitettävä</w:t>
            </w:r>
            <w:r>
              <w:rPr>
                <w:noProof/>
              </w:rPr>
              <w:t xml:space="preserve"> toimet, joita on toteutettu asiaankuuluvien sidosryhmien kuulemiseksi ympäristön kannalta haitallisten tukien uudistuksesta, mukaan lukien sidosryhmiltä saatu palaute. Kuultuihin sidosryhmiin on kuuluttava asiaankuuluvia julkisia elimiä ja yksityisiä sidosryhmiä.</w:t>
            </w:r>
          </w:p>
        </w:tc>
      </w:tr>
      <w:tr w:rsidR="00E42B18" w14:paraId="6F5FFE82"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F3C470" w14:textId="77777777" w:rsidR="00E42B18" w:rsidRDefault="009629C4">
            <w:pPr>
              <w:pStyle w:val="P68B1DB1-Normal11"/>
              <w:spacing w:after="120"/>
              <w:jc w:val="center"/>
              <w:rPr>
                <w:noProof/>
                <w:szCs w:val="20"/>
              </w:rPr>
            </w:pPr>
            <w:r>
              <w:rPr>
                <w:noProof/>
              </w:rPr>
              <w:t>M7–5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C4013C" w14:textId="77777777" w:rsidR="00E42B18" w:rsidRDefault="009629C4">
            <w:pPr>
              <w:pStyle w:val="P68B1DB1-Normal11"/>
              <w:spacing w:after="120"/>
              <w:jc w:val="center"/>
              <w:rPr>
                <w:noProof/>
                <w:szCs w:val="20"/>
              </w:rPr>
            </w:pPr>
            <w:r>
              <w:rPr>
                <w:noProof/>
              </w:rPr>
              <w:t>Uudistuksen 2: Ympäristölle haitallisten tukien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704113"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7D4D6B" w14:textId="5E27BFE2" w:rsidR="00E42B18" w:rsidRDefault="009629C4">
            <w:pPr>
              <w:pStyle w:val="P68B1DB1-Normal11"/>
              <w:spacing w:after="120"/>
              <w:jc w:val="center"/>
              <w:rPr>
                <w:noProof/>
                <w:szCs w:val="20"/>
              </w:rPr>
            </w:pPr>
            <w:r>
              <w:rPr>
                <w:noProof/>
              </w:rPr>
              <w:t>Säädöksen (säädösten) voimaantulo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FE1B5" w14:textId="35F9359E" w:rsidR="00E42B18" w:rsidRDefault="009629C4">
            <w:pPr>
              <w:pStyle w:val="P68B1DB1-Normal11"/>
              <w:spacing w:after="120"/>
              <w:jc w:val="center"/>
              <w:rPr>
                <w:noProof/>
                <w:szCs w:val="20"/>
              </w:rPr>
            </w:pPr>
            <w:r>
              <w:rPr>
                <w:noProof/>
              </w:rPr>
              <w:t>Säädöksen tai säädösten voimaantuloa koskeva säännös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529C71"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488406"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FDC673"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B315AC" w14:textId="77777777" w:rsidR="00E42B18" w:rsidRDefault="009629C4">
            <w:pPr>
              <w:pStyle w:val="P68B1DB1-Normal11"/>
              <w:spacing w:after="120"/>
              <w:jc w:val="center"/>
              <w:rPr>
                <w:noProof/>
                <w:szCs w:val="20"/>
              </w:rPr>
            </w:pPr>
            <w:r>
              <w:rPr>
                <w:noProof/>
              </w:rPr>
              <w:t>Q4</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5356E8" w14:textId="77777777" w:rsidR="00E42B18" w:rsidRDefault="009629C4">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39B9A7" w14:textId="4808E22C" w:rsidR="00E42B18" w:rsidRDefault="009629C4">
            <w:pPr>
              <w:pStyle w:val="P68B1DB1-Normal12"/>
              <w:spacing w:after="120"/>
              <w:rPr>
                <w:noProof/>
              </w:rPr>
            </w:pPr>
            <w:r>
              <w:rPr>
                <w:noProof/>
              </w:rPr>
              <w:t xml:space="preserve">Hyväksytään säädöksiä, joilla vähennetään ympäristön kannalta haitallisia tukia vähintään 2 miljardilla eurolla vuonna 2026. </w:t>
            </w:r>
          </w:p>
          <w:p w14:paraId="0A941E6D" w14:textId="17D9927F" w:rsidR="00E42B18" w:rsidRDefault="009629C4">
            <w:pPr>
              <w:pStyle w:val="P68B1DB1-Normal11"/>
              <w:spacing w:after="120"/>
              <w:rPr>
                <w:noProof/>
                <w:szCs w:val="20"/>
              </w:rPr>
            </w:pPr>
            <w:r>
              <w:rPr>
                <w:noProof/>
              </w:rPr>
              <w:t>Lisäksi säädöksissä määritellään aikataulu ympäristön kannalta haitallisten tukien vähentämiseksi edelleen vähintään 3,5 miljardilla eurolla vuoteen 2030 mennessä.</w:t>
            </w:r>
          </w:p>
        </w:tc>
      </w:tr>
      <w:tr w:rsidR="00E42B18" w14:paraId="7FB92D61"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3A2EF" w14:textId="77777777" w:rsidR="00E42B18" w:rsidRDefault="009629C4">
            <w:pPr>
              <w:pStyle w:val="P68B1DB1-Normal12"/>
              <w:spacing w:after="120"/>
              <w:jc w:val="center"/>
              <w:rPr>
                <w:noProof/>
              </w:rPr>
            </w:pPr>
            <w:r>
              <w:rPr>
                <w:noProof/>
              </w:rPr>
              <w:t>M7–6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7E7F45" w14:textId="77777777" w:rsidR="00E42B18" w:rsidRDefault="009629C4">
            <w:pPr>
              <w:pStyle w:val="P68B1DB1-Normal11"/>
              <w:spacing w:after="120"/>
              <w:jc w:val="center"/>
              <w:rPr>
                <w:noProof/>
                <w:szCs w:val="20"/>
              </w:rPr>
            </w:pPr>
            <w:r>
              <w:rPr>
                <w:noProof/>
              </w:rPr>
              <w:t>Uudistus 3: Biometaanin kaasuverkkoon liittämisestä aiheutuvien kustannusten alentaminen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E548BF"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47039" w14:textId="15E02EE6" w:rsidR="00E42B18" w:rsidRDefault="009629C4">
            <w:pPr>
              <w:pStyle w:val="P68B1DB1-Normal12"/>
              <w:spacing w:after="120"/>
              <w:jc w:val="center"/>
              <w:rPr>
                <w:noProof/>
              </w:rPr>
            </w:pPr>
            <w:r>
              <w:rPr>
                <w:noProof/>
              </w:rPr>
              <w:t>Biometaanin tuotantolaitosten kaasuverkkoon liittämisestä aiheutuvien kustannusten vähentämistä koskevien säädösten voimaantulo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F21453" w14:textId="78F141D1" w:rsidR="00E42B18" w:rsidRDefault="009629C4">
            <w:pPr>
              <w:pStyle w:val="P68B1DB1-Normal12"/>
              <w:spacing w:after="120"/>
              <w:jc w:val="center"/>
              <w:rPr>
                <w:noProof/>
              </w:rPr>
            </w:pPr>
            <w:r>
              <w:rPr>
                <w:noProof/>
              </w:rPr>
              <w:t>Säädösten voimaantuloa koskeva lain säännös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0270EB"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B2CD21"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741D30"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0AF1A" w14:textId="77777777" w:rsidR="00E42B18" w:rsidRDefault="009629C4">
            <w:pPr>
              <w:pStyle w:val="P68B1DB1-Normal11"/>
              <w:spacing w:after="120"/>
              <w:jc w:val="center"/>
              <w:rPr>
                <w:noProof/>
                <w:szCs w:val="20"/>
              </w:rPr>
            </w:pPr>
            <w:r>
              <w:rPr>
                <w:noProof/>
              </w:rPr>
              <w:t>Q3</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A4B3E" w14:textId="77777777" w:rsidR="00E42B18" w:rsidRDefault="009629C4">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38455859" w14:textId="77777777" w:rsidR="00E42B18" w:rsidRDefault="009629C4">
            <w:pPr>
              <w:pStyle w:val="P68B1DB1-Normal12"/>
              <w:spacing w:after="120"/>
              <w:rPr>
                <w:noProof/>
              </w:rPr>
            </w:pPr>
            <w:r>
              <w:rPr>
                <w:noProof/>
              </w:rPr>
              <w:t>Säädösten on täytettävä seuraavat vaatimukset:</w:t>
            </w:r>
          </w:p>
          <w:p w14:paraId="575B2B78" w14:textId="77777777" w:rsidR="00E42B18" w:rsidRDefault="009629C4">
            <w:pPr>
              <w:pStyle w:val="P68B1DB1-ListParagraph15"/>
              <w:numPr>
                <w:ilvl w:val="3"/>
                <w:numId w:val="37"/>
              </w:numPr>
              <w:spacing w:after="120" w:line="240" w:lineRule="auto"/>
              <w:ind w:left="382"/>
              <w:contextualSpacing w:val="0"/>
              <w:jc w:val="both"/>
              <w:rPr>
                <w:noProof/>
                <w:szCs w:val="20"/>
              </w:rPr>
            </w:pPr>
            <w:r>
              <w:rPr>
                <w:noProof/>
              </w:rPr>
              <w:t>Alentaa kustannuksia, joita tuottajalle aiheutuu biometaanin tuotantolaitosten liittämisestä kaasuverkkoon.</w:t>
            </w:r>
          </w:p>
          <w:p w14:paraId="5F9F6BF7" w14:textId="77777777" w:rsidR="00E42B18" w:rsidRDefault="009629C4">
            <w:pPr>
              <w:pStyle w:val="P68B1DB1-ListParagraph13"/>
              <w:numPr>
                <w:ilvl w:val="3"/>
                <w:numId w:val="37"/>
              </w:numPr>
              <w:spacing w:after="120" w:line="240" w:lineRule="auto"/>
              <w:ind w:left="382"/>
              <w:jc w:val="both"/>
              <w:rPr>
                <w:noProof/>
              </w:rPr>
            </w:pPr>
            <w:r>
              <w:rPr>
                <w:noProof/>
              </w:rPr>
              <w:t xml:space="preserve">Tarjotaan sääntelykannustimia kaasuverkkoon investoimiseksi uusiutuvien kaasujen integroinnin lisäämiseksi. </w:t>
            </w:r>
          </w:p>
          <w:p w14:paraId="01FDC69D" w14:textId="77777777" w:rsidR="00E42B18" w:rsidRDefault="009629C4">
            <w:pPr>
              <w:pStyle w:val="P68B1DB1-ListParagraph13"/>
              <w:numPr>
                <w:ilvl w:val="3"/>
                <w:numId w:val="37"/>
              </w:numPr>
              <w:spacing w:after="120" w:line="240" w:lineRule="auto"/>
              <w:ind w:left="382"/>
              <w:jc w:val="both"/>
              <w:rPr>
                <w:noProof/>
              </w:rPr>
            </w:pPr>
            <w:r>
              <w:rPr>
                <w:noProof/>
              </w:rPr>
              <w:t xml:space="preserve">Helpottaa siirto- ja jakeluverkon integrointia, myös verkkoliitäntäinvestointien kustannusten jakamista koskevien mekanismien avulla. </w:t>
            </w:r>
          </w:p>
        </w:tc>
      </w:tr>
      <w:tr w:rsidR="00E42B18" w14:paraId="770A2DA7"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0ED2DB" w14:textId="77777777" w:rsidR="00E42B18" w:rsidRDefault="009629C4">
            <w:pPr>
              <w:pStyle w:val="P68B1DB1-Normal11"/>
              <w:spacing w:after="120"/>
              <w:jc w:val="center"/>
              <w:rPr>
                <w:noProof/>
                <w:szCs w:val="20"/>
              </w:rPr>
            </w:pPr>
            <w:r>
              <w:rPr>
                <w:noProof/>
              </w:rPr>
              <w:t>M7–7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BC0CA1" w14:textId="77777777" w:rsidR="00E42B18" w:rsidRDefault="009629C4">
            <w:pPr>
              <w:pStyle w:val="P68B1DB1-Normal11"/>
              <w:spacing w:after="120"/>
              <w:jc w:val="center"/>
              <w:rPr>
                <w:noProof/>
                <w:szCs w:val="20"/>
              </w:rPr>
            </w:pPr>
            <w:r>
              <w:rPr>
                <w:noProof/>
              </w:rPr>
              <w:t>Uudistus 4: Uusiutuvia energialähteitä koskeviin sähkönhankintasopimuksiin liittyvien taloudellisten riskien vähentäminen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D33B5"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F5A1EF" w14:textId="77777777" w:rsidR="00E42B18" w:rsidRDefault="009629C4">
            <w:pPr>
              <w:pStyle w:val="P68B1DB1-Normal12"/>
              <w:spacing w:after="120"/>
              <w:jc w:val="center"/>
              <w:rPr>
                <w:noProof/>
              </w:rPr>
            </w:pPr>
            <w:r>
              <w:rPr>
                <w:noProof/>
              </w:rPr>
              <w:t>Primaarioikeuden ja johdetun oikeuden voimaantulo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523F58" w14:textId="77777777" w:rsidR="00E42B18" w:rsidRDefault="009629C4">
            <w:pPr>
              <w:pStyle w:val="P68B1DB1-Normal11"/>
              <w:spacing w:after="120"/>
              <w:jc w:val="center"/>
              <w:rPr>
                <w:noProof/>
                <w:szCs w:val="20"/>
              </w:rPr>
            </w:pPr>
            <w:r>
              <w:rPr>
                <w:noProof/>
              </w:rPr>
              <w:t>Lain voimaantuloa koskeva säännös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4CDA3"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61C8AC"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C3BE2"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723F4A" w14:textId="77777777" w:rsidR="00E42B18" w:rsidRDefault="009629C4">
            <w:pPr>
              <w:pStyle w:val="P68B1DB1-Normal12"/>
              <w:spacing w:after="120"/>
              <w:jc w:val="center"/>
              <w:rPr>
                <w:noProof/>
              </w:rPr>
            </w:pPr>
            <w:r>
              <w:rPr>
                <w:noProof/>
              </w:rPr>
              <w:t>Q4</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2F331" w14:textId="77777777" w:rsidR="00E42B18" w:rsidRDefault="009629C4">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687B8F" w14:textId="77777777" w:rsidR="00E42B18" w:rsidRDefault="009629C4">
            <w:pPr>
              <w:pStyle w:val="P68B1DB1-Normal12"/>
              <w:spacing w:after="120"/>
              <w:rPr>
                <w:noProof/>
              </w:rPr>
            </w:pPr>
            <w:r>
              <w:rPr>
                <w:noProof/>
              </w:rPr>
              <w:t>Primaari- ja sekundaarilainsäädännön voimaantulo.</w:t>
            </w:r>
          </w:p>
          <w:p w14:paraId="0A591836" w14:textId="77777777" w:rsidR="00E42B18" w:rsidRDefault="009629C4">
            <w:pPr>
              <w:pStyle w:val="P68B1DB1-Normal12"/>
              <w:spacing w:after="120"/>
              <w:rPr>
                <w:noProof/>
              </w:rPr>
            </w:pPr>
            <w:r>
              <w:rPr>
                <w:noProof/>
              </w:rPr>
              <w:t>Primäärilainsäädännössä on säädettävä sekundaarilainsäädännön antamisesta, jolla pannaan täytäntöön seuraavat i, ii ja iii alakohdan vaatimukset.</w:t>
            </w:r>
          </w:p>
          <w:p w14:paraId="17027B74" w14:textId="77777777" w:rsidR="00E42B18" w:rsidRDefault="009629C4">
            <w:pPr>
              <w:pStyle w:val="P68B1DB1-Normal12"/>
              <w:spacing w:after="120"/>
              <w:rPr>
                <w:noProof/>
              </w:rPr>
            </w:pPr>
            <w:r>
              <w:rPr>
                <w:noProof/>
              </w:rPr>
              <w:t>Johdetussa oikeudessa</w:t>
            </w:r>
          </w:p>
          <w:p w14:paraId="5546CE95" w14:textId="77777777" w:rsidR="00E42B18" w:rsidRDefault="009629C4">
            <w:pPr>
              <w:pStyle w:val="P68B1DB1-ListParagraph13"/>
              <w:numPr>
                <w:ilvl w:val="0"/>
                <w:numId w:val="65"/>
              </w:numPr>
              <w:spacing w:before="120" w:after="120" w:line="240" w:lineRule="auto"/>
              <w:jc w:val="both"/>
              <w:rPr>
                <w:noProof/>
              </w:rPr>
            </w:pPr>
            <w:r>
              <w:rPr>
                <w:noProof/>
              </w:rPr>
              <w:t xml:space="preserve">vaatia jokaista operaattoria takaamaan sähkönhankintasopimusten vasta-arvon osittainen kattaminen sähkömarkkinoilla tarjottavilla takuuvälineillä; </w:t>
            </w:r>
          </w:p>
          <w:p w14:paraId="187001DF" w14:textId="77777777" w:rsidR="00E42B18" w:rsidRDefault="009629C4">
            <w:pPr>
              <w:pStyle w:val="P68B1DB1-ListParagraph13"/>
              <w:numPr>
                <w:ilvl w:val="0"/>
                <w:numId w:val="65"/>
              </w:numPr>
              <w:spacing w:before="120" w:after="120" w:line="240" w:lineRule="auto"/>
              <w:jc w:val="both"/>
              <w:rPr>
                <w:noProof/>
              </w:rPr>
            </w:pPr>
            <w:r>
              <w:rPr>
                <w:noProof/>
              </w:rPr>
              <w:t>otettava käyttöön toimenpiteitä maksukyvyttömyysriskin pienentämiseksi, mukaan lukien tarjoajaa koskevat vaatimukset ja rajoitukset sekä lakisääteiset seuraamukset tuottajan maksukyvyttömyyden varalta;</w:t>
            </w:r>
          </w:p>
          <w:p w14:paraId="1C049664" w14:textId="77777777" w:rsidR="00E42B18" w:rsidRDefault="009629C4">
            <w:pPr>
              <w:pStyle w:val="P68B1DB1-ListParagraph13"/>
              <w:numPr>
                <w:ilvl w:val="0"/>
                <w:numId w:val="65"/>
              </w:numPr>
              <w:spacing w:before="120" w:after="120" w:line="240" w:lineRule="auto"/>
              <w:jc w:val="both"/>
              <w:rPr>
                <w:noProof/>
              </w:rPr>
            </w:pPr>
            <w:r>
              <w:rPr>
                <w:noProof/>
              </w:rPr>
              <w:t>yksilöitävä institutionaalinen yksikkö, joka ottaa vastaan myyjän/hankkijan roolin viimeisenä keinona, joka ottaisi hoitaakseen velvoitteensa laiminlyöneeltä vastapuolelta ja varmistaisi, että suorittavaan vastapuoleen nähden annetut velvoitteet täytetään.</w:t>
            </w:r>
          </w:p>
        </w:tc>
      </w:tr>
      <w:tr w:rsidR="00E42B18" w14:paraId="39B61CD7"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8649C4" w14:textId="77777777" w:rsidR="00E42B18" w:rsidRDefault="009629C4">
            <w:pPr>
              <w:pStyle w:val="P68B1DB1-Normal11"/>
              <w:spacing w:after="120"/>
              <w:jc w:val="center"/>
              <w:rPr>
                <w:noProof/>
                <w:szCs w:val="20"/>
              </w:rPr>
            </w:pPr>
            <w:r>
              <w:rPr>
                <w:noProof/>
              </w:rPr>
              <w:t>M7–9</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C8C5D6" w14:textId="77777777" w:rsidR="00E42B18" w:rsidRDefault="009629C4">
            <w:pPr>
              <w:pStyle w:val="P68B1DB1-Normal11"/>
              <w:spacing w:after="120"/>
              <w:jc w:val="center"/>
              <w:rPr>
                <w:noProof/>
                <w:szCs w:val="20"/>
              </w:rPr>
            </w:pPr>
            <w:r>
              <w:rPr>
                <w:noProof/>
              </w:rPr>
              <w:t>Uudistus 5: Uuden osaamisen suunnitelma – Siirtymät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5A7037"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FE724" w14:textId="77777777" w:rsidR="00E42B18" w:rsidRDefault="009629C4">
            <w:pPr>
              <w:pStyle w:val="P68B1DB1-Normal11"/>
              <w:spacing w:after="120"/>
              <w:jc w:val="center"/>
              <w:rPr>
                <w:noProof/>
                <w:szCs w:val="20"/>
              </w:rPr>
            </w:pPr>
            <w:r>
              <w:rPr>
                <w:noProof/>
              </w:rPr>
              <w:t>Uuden osaamissuunnitelman ja täytäntöönpanoa koskevan etenemissuunnitelman hyväksyminen ja julkaiseminen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A31EFA" w14:textId="77777777" w:rsidR="00E42B18" w:rsidRDefault="009629C4">
            <w:pPr>
              <w:pStyle w:val="P68B1DB1-Normal11"/>
              <w:spacing w:after="120"/>
              <w:jc w:val="center"/>
              <w:rPr>
                <w:noProof/>
                <w:szCs w:val="20"/>
              </w:rPr>
            </w:pPr>
            <w:r>
              <w:rPr>
                <w:noProof/>
              </w:rPr>
              <w:t>Suunnitelman ja etenemissuunnitelman hyväksyminen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840EE"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0F9158"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7E797"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C40D4" w14:textId="77777777" w:rsidR="00E42B18" w:rsidRDefault="009629C4">
            <w:pPr>
              <w:pStyle w:val="P68B1DB1-Normal11"/>
              <w:spacing w:after="120"/>
              <w:jc w:val="center"/>
              <w:rPr>
                <w:noProof/>
                <w:szCs w:val="20"/>
              </w:rPr>
            </w:pPr>
            <w:r>
              <w:rPr>
                <w:noProof/>
              </w:rPr>
              <w:t>Q1</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9FEEF7" w14:textId="77777777" w:rsidR="00E42B18" w:rsidRDefault="009629C4">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9F4D6D" w14:textId="77777777" w:rsidR="00E42B18" w:rsidRDefault="009629C4">
            <w:pPr>
              <w:pStyle w:val="P68B1DB1-Normal11"/>
              <w:spacing w:after="120"/>
              <w:rPr>
                <w:noProof/>
                <w:szCs w:val="20"/>
              </w:rPr>
            </w:pPr>
            <w:r>
              <w:rPr>
                <w:noProof/>
              </w:rPr>
              <w:t>Muutetaan ”Piano Nuove Competenze”, joka hyväksyttiin 14 päivänä joulukuuta 2021 annetulla asetuksella ja julkaistiin 28. joulukuuta 2021 Gazzetta ufficiale n.307:ssä, ja uusi siirtymätaitoja koskeva suunnitelma tulee voimaan. Suunnitelma sisältää yleisperiaatteet, joita on tarkennettava tarkemmin alueellisissa laeissa, joihin kuuluvat:</w:t>
            </w:r>
          </w:p>
          <w:p w14:paraId="436A2451" w14:textId="77777777" w:rsidR="00E42B18" w:rsidRDefault="009629C4">
            <w:pPr>
              <w:pStyle w:val="P68B1DB1-ListParagraph15"/>
              <w:numPr>
                <w:ilvl w:val="0"/>
                <w:numId w:val="44"/>
              </w:numPr>
              <w:spacing w:after="120" w:line="240" w:lineRule="auto"/>
              <w:ind w:left="382" w:hanging="142"/>
              <w:jc w:val="both"/>
              <w:rPr>
                <w:noProof/>
                <w:szCs w:val="20"/>
              </w:rPr>
            </w:pPr>
            <w:r>
              <w:rPr>
                <w:noProof/>
              </w:rPr>
              <w:t xml:space="preserve">yksityisen sektorin tiiviimpi osallistuminen koulutuksen tarjoamiseen, </w:t>
            </w:r>
          </w:p>
          <w:p w14:paraId="5A000979" w14:textId="77777777" w:rsidR="00E42B18" w:rsidRDefault="009629C4">
            <w:pPr>
              <w:pStyle w:val="P68B1DB1-ListParagraph15"/>
              <w:numPr>
                <w:ilvl w:val="0"/>
                <w:numId w:val="44"/>
              </w:numPr>
              <w:spacing w:after="120" w:line="240" w:lineRule="auto"/>
              <w:ind w:left="382" w:hanging="142"/>
              <w:contextualSpacing w:val="0"/>
              <w:jc w:val="both"/>
              <w:rPr>
                <w:noProof/>
                <w:szCs w:val="20"/>
              </w:rPr>
            </w:pPr>
            <w:r>
              <w:rPr>
                <w:noProof/>
              </w:rPr>
              <w:t xml:space="preserve">työpaikkakoulutuksen ja pienten osaamiskokonaisuuksien tunnustamisen parantaminen, </w:t>
            </w:r>
          </w:p>
          <w:p w14:paraId="4E783CD3" w14:textId="77777777" w:rsidR="00E42B18" w:rsidRDefault="009629C4">
            <w:pPr>
              <w:pStyle w:val="P68B1DB1-ListParagraph15"/>
              <w:numPr>
                <w:ilvl w:val="0"/>
                <w:numId w:val="44"/>
              </w:numPr>
              <w:spacing w:after="120" w:line="240" w:lineRule="auto"/>
              <w:ind w:left="382" w:hanging="142"/>
              <w:contextualSpacing w:val="0"/>
              <w:jc w:val="both"/>
              <w:rPr>
                <w:noProof/>
                <w:szCs w:val="20"/>
              </w:rPr>
            </w:pPr>
            <w:r>
              <w:rPr>
                <w:noProof/>
              </w:rPr>
              <w:t xml:space="preserve">parempi etukäteen tehtävä työmarkkina-analyysi ja koulutuksen ammatillisten vaikutusten seuranta. </w:t>
            </w:r>
          </w:p>
          <w:p w14:paraId="75C24AA2" w14:textId="77777777" w:rsidR="00E42B18" w:rsidRDefault="009629C4">
            <w:pPr>
              <w:pStyle w:val="P68B1DB1-Normal11"/>
              <w:spacing w:after="120"/>
              <w:rPr>
                <w:noProof/>
                <w:szCs w:val="20"/>
              </w:rPr>
            </w:pPr>
            <w:r>
              <w:rPr>
                <w:noProof/>
              </w:rPr>
              <w:t>Lisäksi hyväksytään täytäntöönpanoa koskeva etenemissuunnitelma.</w:t>
            </w:r>
          </w:p>
        </w:tc>
      </w:tr>
      <w:tr w:rsidR="00E42B18" w14:paraId="768D55AC"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D44D7" w14:textId="77777777" w:rsidR="00E42B18" w:rsidRDefault="009629C4">
            <w:pPr>
              <w:pStyle w:val="P68B1DB1-Normal12"/>
              <w:spacing w:after="120"/>
              <w:jc w:val="center"/>
              <w:rPr>
                <w:rFonts w:eastAsia="Arial Narrow" w:cs="Arial Narrow"/>
                <w:noProof/>
              </w:rPr>
            </w:pPr>
            <w:r>
              <w:rPr>
                <w:noProof/>
              </w:rPr>
              <w:t>M7–10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6B2B0" w14:textId="77777777" w:rsidR="00E42B18" w:rsidRDefault="009629C4">
            <w:pPr>
              <w:pStyle w:val="P68B1DB1-Normal12"/>
              <w:spacing w:after="120"/>
              <w:jc w:val="center"/>
              <w:rPr>
                <w:rFonts w:eastAsia="Arial Narrow" w:cs="Arial Narrow"/>
                <w:noProof/>
              </w:rPr>
            </w:pPr>
            <w:r>
              <w:rPr>
                <w:noProof/>
              </w:rPr>
              <w:t>Uudistus 5: Uuden osaamisen suunnitelma – Siirtymät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C1E7D3" w14:textId="77777777" w:rsidR="00E42B18" w:rsidRDefault="009629C4">
            <w:pPr>
              <w:pStyle w:val="P68B1DB1-Normal11"/>
              <w:spacing w:after="120"/>
              <w:jc w:val="center"/>
              <w:rPr>
                <w:rFonts w:eastAsia="Arial Narrow" w:cs="Arial Narrow"/>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E753FB" w14:textId="2ACE358E" w:rsidR="00E42B18" w:rsidRDefault="009629C4">
            <w:pPr>
              <w:pStyle w:val="P68B1DB1-Normal12"/>
              <w:spacing w:after="120"/>
              <w:rPr>
                <w:noProof/>
              </w:rPr>
            </w:pPr>
            <w:r>
              <w:rPr>
                <w:noProof/>
              </w:rPr>
              <w:t xml:space="preserve">Säädöksen (säädösten) voimaantulo alueilla ja autonomisissa maakunnissa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8DA537" w14:textId="19FC3AE1" w:rsidR="00E42B18" w:rsidRDefault="009629C4">
            <w:pPr>
              <w:pStyle w:val="P68B1DB1-Normal12"/>
              <w:spacing w:after="120"/>
              <w:jc w:val="center"/>
              <w:rPr>
                <w:noProof/>
              </w:rPr>
            </w:pPr>
            <w:r>
              <w:rPr>
                <w:noProof/>
              </w:rPr>
              <w:t xml:space="preserve"> Säädösten säännökset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08116F" w14:textId="77777777" w:rsidR="00E42B18" w:rsidRDefault="00E42B18">
            <w:pPr>
              <w:spacing w:after="120"/>
              <w:jc w:val="center"/>
              <w:rPr>
                <w:rFonts w:ascii="Arial Narrow" w:eastAsia="Arial Narrow" w:hAnsi="Arial Narrow" w:cs="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91C33D" w14:textId="77777777" w:rsidR="00E42B18" w:rsidRDefault="00E42B18">
            <w:pPr>
              <w:spacing w:after="120"/>
              <w:jc w:val="center"/>
              <w:rPr>
                <w:rFonts w:ascii="Arial Narrow" w:eastAsia="Arial Narrow" w:hAnsi="Arial Narrow" w:cs="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FBD4FF" w14:textId="77777777" w:rsidR="00E42B18" w:rsidRDefault="00E42B18">
            <w:pPr>
              <w:spacing w:after="120"/>
              <w:jc w:val="center"/>
              <w:rPr>
                <w:rFonts w:ascii="Arial Narrow" w:eastAsia="Arial Narrow" w:hAnsi="Arial Narrow" w:cs="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2732AC" w14:textId="77777777" w:rsidR="00E42B18" w:rsidRDefault="009629C4">
            <w:pPr>
              <w:pStyle w:val="P68B1DB1-Normal11"/>
              <w:spacing w:after="120"/>
              <w:jc w:val="center"/>
              <w:rPr>
                <w:rFonts w:eastAsia="Arial Narrow" w:cs="Arial Narrow"/>
                <w:noProof/>
                <w:szCs w:val="20"/>
              </w:rPr>
            </w:pPr>
            <w:r>
              <w:rPr>
                <w:noProof/>
              </w:rPr>
              <w:t>Q3</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FC9DF" w14:textId="77777777" w:rsidR="00E42B18" w:rsidRDefault="009629C4">
            <w:pPr>
              <w:pStyle w:val="P68B1DB1-Normal11"/>
              <w:spacing w:after="120"/>
              <w:jc w:val="center"/>
              <w:rPr>
                <w:rFonts w:eastAsia="Arial Narrow" w:cs="Arial Narrow"/>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80649B" w14:textId="77777777" w:rsidR="00E42B18" w:rsidRDefault="009629C4">
            <w:pPr>
              <w:pStyle w:val="P68B1DB1-Normal11"/>
              <w:rPr>
                <w:noProof/>
              </w:rPr>
            </w:pPr>
            <w:r>
              <w:rPr>
                <w:noProof/>
              </w:rPr>
              <w:t>Säädöksen (säädösten) voimaantulo, mukaan lukien säännökset, joilla</w:t>
            </w:r>
          </w:p>
          <w:p w14:paraId="40A033B3" w14:textId="77777777" w:rsidR="00E42B18" w:rsidRDefault="009629C4">
            <w:pPr>
              <w:pStyle w:val="P68B1DB1-ListParagraph111"/>
              <w:numPr>
                <w:ilvl w:val="0"/>
                <w:numId w:val="97"/>
              </w:numPr>
              <w:spacing w:before="120" w:after="120" w:line="240" w:lineRule="auto"/>
              <w:jc w:val="both"/>
              <w:rPr>
                <w:noProof/>
              </w:rPr>
            </w:pPr>
            <w:r>
              <w:rPr>
                <w:noProof/>
              </w:rPr>
              <w:t xml:space="preserve">varmistetaan, että koulutustoimien suunnitteluun osallistuu yksityisen sektorin sidosryhmiä ja että osaamista koskevan tiedonhankinnan välineitä käytetään keskipitkän ja pitkän aikavälin osaamistarpeisiin vastaamiseksi keskittyen vihreän ja digitaalisen siirtymän edellyttämiin taitoihin; </w:t>
            </w:r>
          </w:p>
          <w:p w14:paraId="5CEC2601" w14:textId="77777777" w:rsidR="00E42B18" w:rsidRDefault="009629C4">
            <w:pPr>
              <w:pStyle w:val="P68B1DB1-Normal12"/>
              <w:rPr>
                <w:noProof/>
              </w:rPr>
            </w:pPr>
            <w:r>
              <w:rPr>
                <w:noProof/>
              </w:rPr>
              <w:t>ja/tai</w:t>
            </w:r>
          </w:p>
          <w:p w14:paraId="6A7AD53E" w14:textId="77777777" w:rsidR="00E42B18" w:rsidRDefault="009629C4">
            <w:pPr>
              <w:pStyle w:val="P68B1DB1-ListParagraph111"/>
              <w:numPr>
                <w:ilvl w:val="0"/>
                <w:numId w:val="96"/>
              </w:numPr>
              <w:spacing w:before="120" w:after="120" w:line="240" w:lineRule="auto"/>
              <w:jc w:val="both"/>
              <w:rPr>
                <w:noProof/>
              </w:rPr>
            </w:pPr>
            <w:r>
              <w:rPr>
                <w:noProof/>
              </w:rPr>
              <w:t>validoimaan yrityksen sisäinen koulutus (mukaan lukien pienet osaamiskokonaisuudet) ja sen tulokset myöntämällä todistuksia yhteisten vähimmäisvaatimusten perusteella.</w:t>
            </w:r>
          </w:p>
          <w:p w14:paraId="7523B96C" w14:textId="7F13847A" w:rsidR="00E42B18" w:rsidRDefault="009629C4">
            <w:pPr>
              <w:pStyle w:val="P68B1DB1-Normal11"/>
              <w:rPr>
                <w:rFonts w:cs="Times New Roman"/>
                <w:noProof/>
              </w:rPr>
            </w:pPr>
            <w:r>
              <w:rPr>
                <w:noProof/>
              </w:rPr>
              <w:t>Säädökset tulevat voimaan kaikilla Italian alueilla ja autonomisissa maakunnissa Bolzanoa ja Valle d’Aostaa lukuun ottamatta.</w:t>
            </w:r>
          </w:p>
        </w:tc>
      </w:tr>
      <w:tr w:rsidR="00E42B18" w14:paraId="3CC06066"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1CA7FD" w14:textId="77777777" w:rsidR="00E42B18" w:rsidRDefault="009629C4">
            <w:pPr>
              <w:pStyle w:val="P68B1DB1-Normal11"/>
              <w:spacing w:after="120"/>
              <w:jc w:val="center"/>
              <w:rPr>
                <w:noProof/>
                <w:szCs w:val="20"/>
              </w:rPr>
            </w:pPr>
            <w:r>
              <w:rPr>
                <w:noProof/>
              </w:rPr>
              <w:t>M7–11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655C2C" w14:textId="77777777" w:rsidR="00E42B18" w:rsidRDefault="009629C4">
            <w:pPr>
              <w:pStyle w:val="P68B1DB1-Normal11"/>
              <w:spacing w:after="120"/>
              <w:jc w:val="center"/>
              <w:rPr>
                <w:noProof/>
                <w:szCs w:val="20"/>
              </w:rPr>
            </w:pPr>
            <w:r>
              <w:rPr>
                <w:noProof/>
              </w:rPr>
              <w:t>Investointi 1: Laajennettu toimenpide: Älykkäät verkot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8DAD7E" w14:textId="77777777" w:rsidR="00E42B18" w:rsidRDefault="009629C4">
            <w:pPr>
              <w:pStyle w:val="P68B1DB1-Normal11"/>
              <w:spacing w:after="120"/>
              <w:jc w:val="center"/>
              <w:rPr>
                <w:noProof/>
                <w:szCs w:val="20"/>
              </w:rPr>
            </w:pPr>
            <w:r>
              <w:rPr>
                <w:noProof/>
              </w:rPr>
              <w:t>Kohde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45ACBD" w14:textId="77777777" w:rsidR="00E42B18" w:rsidRDefault="009629C4">
            <w:pPr>
              <w:pStyle w:val="P68B1DB1-Normal11"/>
              <w:spacing w:after="120"/>
              <w:jc w:val="center"/>
              <w:rPr>
                <w:noProof/>
                <w:szCs w:val="20"/>
              </w:rPr>
            </w:pPr>
            <w:r>
              <w:rPr>
                <w:noProof/>
              </w:rPr>
              <w:t>Älykkäät verkot – energiankulutuksen sähköistäminen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0B325" w14:textId="77777777" w:rsidR="00E42B18" w:rsidRDefault="00E42B18">
            <w:pPr>
              <w:spacing w:after="120"/>
              <w:jc w:val="center"/>
              <w:rPr>
                <w:rFonts w:ascii="Arial Narrow" w:hAnsi="Arial Narrow"/>
                <w:noProof/>
                <w:color w:val="0061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E535E1" w14:textId="77777777" w:rsidR="00E42B18" w:rsidRDefault="009629C4">
            <w:pPr>
              <w:pStyle w:val="P68B1DB1-Normal11"/>
              <w:spacing w:after="120"/>
              <w:jc w:val="center"/>
              <w:rPr>
                <w:noProof/>
                <w:szCs w:val="20"/>
              </w:rPr>
            </w:pPr>
            <w:r>
              <w:rPr>
                <w:noProof/>
              </w:rPr>
              <w:t>Numero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50F5B9" w14:textId="77777777" w:rsidR="00E42B18" w:rsidRDefault="009629C4">
            <w:pPr>
              <w:pStyle w:val="P68B1DB1-Normal11"/>
              <w:spacing w:after="120"/>
              <w:jc w:val="center"/>
              <w:rPr>
                <w:noProof/>
                <w:szCs w:val="20"/>
              </w:rPr>
            </w:pPr>
            <w:r>
              <w:rPr>
                <w:noProof/>
              </w:rPr>
              <w:t>1 500 000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F83DE" w14:textId="77777777" w:rsidR="00E42B18" w:rsidRDefault="009629C4">
            <w:pPr>
              <w:pStyle w:val="P68B1DB1-Normal11"/>
              <w:spacing w:after="120"/>
              <w:jc w:val="center"/>
              <w:rPr>
                <w:noProof/>
                <w:szCs w:val="20"/>
              </w:rPr>
            </w:pPr>
            <w:r>
              <w:rPr>
                <w:noProof/>
              </w:rPr>
              <w:t>1 730 000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A27DF8" w14:textId="77777777" w:rsidR="00E42B18" w:rsidRDefault="009629C4">
            <w:pPr>
              <w:pStyle w:val="P68B1DB1-Normal11"/>
              <w:spacing w:after="120"/>
              <w:jc w:val="center"/>
              <w:rPr>
                <w:noProof/>
                <w:szCs w:val="20"/>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74DEA" w14:textId="77777777" w:rsidR="00E42B18" w:rsidRDefault="009629C4">
            <w:pPr>
              <w:pStyle w:val="P68B1DB1-Normal11"/>
              <w:spacing w:after="120"/>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748CC" w14:textId="6ADC47FE" w:rsidR="00E42B18" w:rsidRDefault="009629C4">
            <w:pPr>
              <w:pStyle w:val="P68B1DB1-Normal11"/>
              <w:spacing w:after="120"/>
              <w:rPr>
                <w:noProof/>
                <w:color w:val="FF0000"/>
                <w:szCs w:val="20"/>
              </w:rPr>
            </w:pPr>
            <w:r>
              <w:rPr>
                <w:noProof/>
                <w:szCs w:val="20"/>
              </w:rPr>
              <w:t>Asennustodistukset tai hyväksymistestiraportit, jotka on annettu interventioista, joiden seurauksena verkon kulutukseen toimitettava enimmäisteho kasvaa vähintään 1730000 asukkaan määrässä toimituspisteitä, mikä vahvistetaan yhden tai useamman riippumattoman insinöörin selosteessa.</w:t>
            </w:r>
            <w:r>
              <w:rPr>
                <w:noProof/>
              </w:rPr>
              <w:t xml:space="preserve"> </w:t>
            </w:r>
          </w:p>
        </w:tc>
      </w:tr>
      <w:tr w:rsidR="00E42B18" w14:paraId="48B540B4"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3EFBED" w14:textId="77777777" w:rsidR="00E42B18" w:rsidRDefault="009629C4">
            <w:pPr>
              <w:pStyle w:val="P68B1DB1-Normal11"/>
              <w:spacing w:after="120"/>
              <w:jc w:val="center"/>
              <w:rPr>
                <w:noProof/>
                <w:szCs w:val="20"/>
              </w:rPr>
            </w:pPr>
            <w:r>
              <w:rPr>
                <w:noProof/>
              </w:rPr>
              <w:t>M7–12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5388E3" w14:textId="77777777" w:rsidR="00E42B18" w:rsidRDefault="009629C4">
            <w:pPr>
              <w:pStyle w:val="P68B1DB1-Normal11"/>
              <w:spacing w:after="120"/>
              <w:jc w:val="center"/>
              <w:rPr>
                <w:noProof/>
                <w:szCs w:val="20"/>
              </w:rPr>
            </w:pPr>
            <w:r>
              <w:rPr>
                <w:noProof/>
              </w:rPr>
              <w:t>Investointi 2: Laajennettu toimenpide: Toimet sähköverkon häiriönsietokyvyn parantamiseksi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B76BD7" w14:textId="77777777" w:rsidR="00E42B18" w:rsidRDefault="009629C4">
            <w:pPr>
              <w:pStyle w:val="P68B1DB1-Normal11"/>
              <w:spacing w:after="120"/>
              <w:jc w:val="center"/>
              <w:rPr>
                <w:noProof/>
                <w:szCs w:val="20"/>
              </w:rPr>
            </w:pPr>
            <w:r>
              <w:rPr>
                <w:noProof/>
              </w:rPr>
              <w:t>Kohde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B10F38" w14:textId="77777777" w:rsidR="00E42B18" w:rsidRDefault="009629C4">
            <w:pPr>
              <w:pStyle w:val="P68B1DB1-Normal11"/>
              <w:spacing w:after="120"/>
              <w:jc w:val="center"/>
              <w:rPr>
                <w:noProof/>
                <w:szCs w:val="20"/>
              </w:rPr>
            </w:pPr>
            <w:r>
              <w:rPr>
                <w:noProof/>
              </w:rPr>
              <w:t>Sähköverkkoverkon häiriönsietokyvyn parantaminen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1916A" w14:textId="77777777" w:rsidR="00E42B18" w:rsidRDefault="00E42B18">
            <w:pPr>
              <w:spacing w:after="120"/>
              <w:jc w:val="center"/>
              <w:rPr>
                <w:rFonts w:ascii="Arial Narrow" w:hAnsi="Arial Narrow"/>
                <w:noProof/>
                <w:color w:val="0061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46094" w14:textId="77777777" w:rsidR="00E42B18" w:rsidRDefault="009629C4">
            <w:pPr>
              <w:pStyle w:val="P68B1DB1-Normal11"/>
              <w:spacing w:after="120"/>
              <w:jc w:val="center"/>
              <w:rPr>
                <w:noProof/>
                <w:szCs w:val="20"/>
              </w:rPr>
            </w:pPr>
            <w:r>
              <w:rPr>
                <w:noProof/>
              </w:rPr>
              <w:t>Numero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09FC22" w14:textId="77777777" w:rsidR="00E42B18" w:rsidRDefault="009629C4">
            <w:pPr>
              <w:pStyle w:val="P68B1DB1-Normal11"/>
              <w:spacing w:after="120"/>
              <w:jc w:val="center"/>
              <w:rPr>
                <w:noProof/>
                <w:szCs w:val="20"/>
              </w:rPr>
            </w:pPr>
            <w:r>
              <w:rPr>
                <w:noProof/>
              </w:rPr>
              <w:t>4 000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A938D" w14:textId="77777777" w:rsidR="00E42B18" w:rsidRDefault="009629C4">
            <w:pPr>
              <w:pStyle w:val="P68B1DB1-Normal11"/>
              <w:spacing w:after="120"/>
              <w:jc w:val="center"/>
              <w:rPr>
                <w:noProof/>
                <w:szCs w:val="20"/>
              </w:rPr>
            </w:pPr>
            <w:r>
              <w:rPr>
                <w:noProof/>
              </w:rPr>
              <w:t>4 648</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9B2A9D" w14:textId="77777777" w:rsidR="00E42B18" w:rsidRDefault="009629C4">
            <w:pPr>
              <w:pStyle w:val="P68B1DB1-Normal11"/>
              <w:spacing w:after="120"/>
              <w:jc w:val="center"/>
              <w:rPr>
                <w:noProof/>
                <w:szCs w:val="20"/>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BEB130" w14:textId="77777777" w:rsidR="00E42B18" w:rsidRDefault="009629C4">
            <w:pPr>
              <w:pStyle w:val="P68B1DB1-Normal11"/>
              <w:spacing w:after="120"/>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A04459" w14:textId="77777777" w:rsidR="00E42B18" w:rsidRDefault="009629C4">
            <w:pPr>
              <w:pStyle w:val="P68B1DB1-Normal11"/>
              <w:spacing w:after="120"/>
              <w:rPr>
                <w:noProof/>
              </w:rPr>
            </w:pPr>
            <w:r>
              <w:rPr>
                <w:noProof/>
              </w:rPr>
              <w:t xml:space="preserve">Todistukset sellaisten toimien loppuun saattamisesta, jotka vastaavat sähköverkon häiriönsietokyvyn lisääntymistä vähintään 4648 kilometriä, mikä vahvistetaan yhden tai useamman riippumattoman insinöörin raportissa. </w:t>
            </w:r>
          </w:p>
          <w:p w14:paraId="1C6ACFDE" w14:textId="77777777" w:rsidR="00E42B18" w:rsidRDefault="00E42B18">
            <w:pPr>
              <w:spacing w:after="120"/>
              <w:rPr>
                <w:rFonts w:ascii="Arial Narrow" w:hAnsi="Arial Narrow"/>
                <w:noProof/>
                <w:color w:val="FF0000"/>
                <w:sz w:val="20"/>
                <w:szCs w:val="20"/>
              </w:rPr>
            </w:pPr>
          </w:p>
        </w:tc>
      </w:tr>
      <w:tr w:rsidR="00E42B18" w14:paraId="47F0566B"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80170C" w14:textId="77777777" w:rsidR="00E42B18" w:rsidRDefault="009629C4">
            <w:pPr>
              <w:pStyle w:val="P68B1DB1-Normal11"/>
              <w:spacing w:after="120"/>
              <w:jc w:val="center"/>
              <w:rPr>
                <w:noProof/>
                <w:szCs w:val="20"/>
              </w:rPr>
            </w:pPr>
            <w:r>
              <w:rPr>
                <w:noProof/>
              </w:rPr>
              <w:t>M7–13</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012983" w14:textId="77777777" w:rsidR="00E42B18" w:rsidRDefault="009629C4">
            <w:pPr>
              <w:pStyle w:val="P68B1DB1-Normal11"/>
              <w:spacing w:after="120"/>
              <w:jc w:val="center"/>
              <w:rPr>
                <w:noProof/>
                <w:szCs w:val="20"/>
              </w:rPr>
            </w:pPr>
            <w:r>
              <w:rPr>
                <w:noProof/>
              </w:rPr>
              <w:t>Investointi 3: Laajennettu toimenpide: Vedyn tuotanto ympäristövaurioalueilla (vetylaaksot)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A24DB3" w14:textId="77777777" w:rsidR="00E42B18" w:rsidRDefault="009629C4">
            <w:pPr>
              <w:pStyle w:val="P68B1DB1-Normal11"/>
              <w:spacing w:after="120"/>
              <w:jc w:val="center"/>
              <w:rPr>
                <w:noProof/>
                <w:szCs w:val="20"/>
              </w:rPr>
            </w:pPr>
            <w:r>
              <w:rPr>
                <w:noProof/>
              </w:rPr>
              <w:t>Kohde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8B8DF7" w14:textId="7C6B7DE3" w:rsidR="00E42B18" w:rsidRDefault="009629C4">
            <w:pPr>
              <w:pStyle w:val="P68B1DB1-Normal12"/>
              <w:spacing w:after="120"/>
              <w:jc w:val="center"/>
              <w:rPr>
                <w:noProof/>
              </w:rPr>
            </w:pPr>
            <w:r>
              <w:rPr>
                <w:noProof/>
              </w:rPr>
              <w:t xml:space="preserve">Toteutetut hankkeet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21094" w14:textId="77777777" w:rsidR="00E42B18" w:rsidRDefault="00E42B18">
            <w:pPr>
              <w:spacing w:after="120"/>
              <w:jc w:val="center"/>
              <w:rPr>
                <w:rFonts w:ascii="Arial Narrow" w:hAnsi="Arial Narrow"/>
                <w:noProof/>
                <w:color w:val="0061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2BB0E" w14:textId="77777777" w:rsidR="00E42B18" w:rsidRDefault="009629C4">
            <w:pPr>
              <w:pStyle w:val="P68B1DB1-Normal11"/>
              <w:spacing w:after="120"/>
              <w:jc w:val="center"/>
              <w:rPr>
                <w:noProof/>
                <w:szCs w:val="20"/>
              </w:rPr>
            </w:pPr>
            <w:r>
              <w:rPr>
                <w:noProof/>
              </w:rPr>
              <w:t>Numero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5EF840" w14:textId="77777777" w:rsidR="00E42B18" w:rsidRDefault="009629C4">
            <w:pPr>
              <w:pStyle w:val="P68B1DB1-Normal11"/>
              <w:spacing w:after="120"/>
              <w:jc w:val="center"/>
              <w:rPr>
                <w:noProof/>
                <w:szCs w:val="20"/>
              </w:rPr>
            </w:pPr>
            <w:r>
              <w:rPr>
                <w:noProof/>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6AC3C" w14:textId="77777777" w:rsidR="00E42B18" w:rsidRDefault="009629C4">
            <w:pPr>
              <w:pStyle w:val="P68B1DB1-Normal11"/>
              <w:spacing w:after="120"/>
              <w:jc w:val="center"/>
              <w:rPr>
                <w:noProof/>
                <w:szCs w:val="20"/>
              </w:rPr>
            </w:pPr>
            <w:r>
              <w:rPr>
                <w:noProof/>
              </w:rPr>
              <w:t>12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EA2C5F" w14:textId="77777777" w:rsidR="00E42B18" w:rsidRDefault="009629C4">
            <w:pPr>
              <w:pStyle w:val="P68B1DB1-Normal11"/>
              <w:spacing w:after="120"/>
              <w:jc w:val="center"/>
              <w:rPr>
                <w:noProof/>
                <w:szCs w:val="20"/>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29A8" w14:textId="77777777" w:rsidR="00E42B18" w:rsidRDefault="009629C4">
            <w:pPr>
              <w:pStyle w:val="P68B1DB1-Normal11"/>
              <w:spacing w:after="120"/>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0BD025" w14:textId="77777777" w:rsidR="00E42B18" w:rsidRDefault="009629C4">
            <w:pPr>
              <w:pStyle w:val="P68B1DB1-Normal12"/>
              <w:spacing w:after="120"/>
              <w:jc w:val="both"/>
              <w:rPr>
                <w:noProof/>
              </w:rPr>
            </w:pPr>
            <w:r>
              <w:rPr>
                <w:noProof/>
              </w:rPr>
              <w:t xml:space="preserve">Todistukset, jotka on annettu rakennustöiden päätökseen saattamiseksi 12 vetylaaksohankkeelle, mukaan lukien 12 elektrolyysilaitteen asentaminen, joiden kunkin kapasiteetti on vähintään 1 MW. </w:t>
            </w:r>
          </w:p>
          <w:p w14:paraId="333D0B89" w14:textId="77777777" w:rsidR="00E42B18" w:rsidRDefault="009629C4">
            <w:pPr>
              <w:pStyle w:val="P68B1DB1-Normal11"/>
              <w:spacing w:after="120"/>
              <w:rPr>
                <w:noProof/>
                <w:szCs w:val="20"/>
              </w:rPr>
            </w:pPr>
            <w:r>
              <w:rPr>
                <w:noProof/>
              </w:rPr>
              <w:t>Kehittäjän hyväksymät liitäntäkustannusarviot annetaan verkkoliitäntää edellyttävistä elektrolyysilaitteista.</w:t>
            </w:r>
          </w:p>
        </w:tc>
      </w:tr>
      <w:tr w:rsidR="00E42B18" w14:paraId="4495184C"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3023EE" w14:textId="77777777" w:rsidR="00E42B18" w:rsidRDefault="009629C4">
            <w:pPr>
              <w:pStyle w:val="P68B1DB1-Normal11"/>
              <w:spacing w:after="120"/>
              <w:jc w:val="center"/>
              <w:rPr>
                <w:noProof/>
                <w:szCs w:val="20"/>
              </w:rPr>
            </w:pPr>
            <w:r>
              <w:rPr>
                <w:noProof/>
              </w:rPr>
              <w:t>M7–14</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F523A" w14:textId="77777777" w:rsidR="00E42B18" w:rsidRDefault="009629C4">
            <w:pPr>
              <w:pStyle w:val="P68B1DB1-Normal11"/>
              <w:spacing w:after="120"/>
              <w:jc w:val="center"/>
              <w:rPr>
                <w:noProof/>
                <w:szCs w:val="20"/>
              </w:rPr>
            </w:pPr>
            <w:r>
              <w:rPr>
                <w:noProof/>
              </w:rPr>
              <w:t>Investointi 4: Tyrrhenian-linkki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626312"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7F87E1" w14:textId="77777777" w:rsidR="00E42B18" w:rsidRDefault="009629C4">
            <w:pPr>
              <w:pStyle w:val="P68B1DB1-Normal11"/>
              <w:spacing w:after="120"/>
              <w:jc w:val="center"/>
              <w:rPr>
                <w:noProof/>
                <w:szCs w:val="20"/>
              </w:rPr>
            </w:pPr>
            <w:r>
              <w:rPr>
                <w:noProof/>
              </w:rPr>
              <w:t>Hankintasopimukset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C6A26" w14:textId="77777777" w:rsidR="00E42B18" w:rsidRDefault="009629C4">
            <w:pPr>
              <w:pStyle w:val="P68B1DB1-Normal11"/>
              <w:spacing w:after="120"/>
              <w:jc w:val="center"/>
              <w:rPr>
                <w:noProof/>
                <w:szCs w:val="20"/>
              </w:rPr>
            </w:pPr>
            <w:r>
              <w:rPr>
                <w:noProof/>
              </w:rPr>
              <w:t>Hankintasopimusten tekemisestä ilmoittaminen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D1227A"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2460A9"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9D1208"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98031" w14:textId="77777777" w:rsidR="00E42B18" w:rsidRDefault="009629C4">
            <w:pPr>
              <w:pStyle w:val="P68B1DB1-Normal11"/>
              <w:spacing w:after="120"/>
              <w:jc w:val="center"/>
              <w:rPr>
                <w:noProof/>
                <w:szCs w:val="20"/>
              </w:rPr>
            </w:pPr>
            <w:r>
              <w:rPr>
                <w:noProof/>
              </w:rPr>
              <w:t>Q3</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7B5FD" w14:textId="77777777" w:rsidR="00E42B18" w:rsidRDefault="009629C4">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D6AC0" w14:textId="77777777" w:rsidR="00E42B18" w:rsidRDefault="009629C4">
            <w:pPr>
              <w:pStyle w:val="P68B1DB1-Normal12"/>
              <w:spacing w:after="120"/>
              <w:rPr>
                <w:noProof/>
              </w:rPr>
            </w:pPr>
            <w:r>
              <w:rPr>
                <w:noProof/>
              </w:rPr>
              <w:t>Ilmoitus kaikkien sellaisten urakoiden tekemisestä, jotka ovat tarpeen Caracolin ja Ebolin välisten 511 kilometrin mittaisten kaapeleiden asentamiseksi.</w:t>
            </w:r>
          </w:p>
        </w:tc>
      </w:tr>
      <w:tr w:rsidR="00E42B18" w14:paraId="4EE78AC9"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D1FF91" w14:textId="77777777" w:rsidR="00E42B18" w:rsidRDefault="009629C4">
            <w:pPr>
              <w:pStyle w:val="P68B1DB1-Normal11"/>
              <w:spacing w:after="120"/>
              <w:jc w:val="center"/>
              <w:rPr>
                <w:noProof/>
                <w:szCs w:val="20"/>
              </w:rPr>
            </w:pPr>
            <w:r>
              <w:rPr>
                <w:noProof/>
              </w:rPr>
              <w:t>M7–15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461CFD" w14:textId="77777777" w:rsidR="00E42B18" w:rsidRDefault="009629C4">
            <w:pPr>
              <w:pStyle w:val="P68B1DB1-Normal11"/>
              <w:spacing w:after="120"/>
              <w:jc w:val="center"/>
              <w:rPr>
                <w:noProof/>
                <w:szCs w:val="20"/>
              </w:rPr>
            </w:pPr>
            <w:r>
              <w:rPr>
                <w:noProof/>
              </w:rPr>
              <w:t>Investointi 4: Tyrrhenian-linkki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D30268" w14:textId="77777777" w:rsidR="00E42B18" w:rsidRDefault="009629C4">
            <w:pPr>
              <w:pStyle w:val="P68B1DB1-Normal12"/>
              <w:spacing w:after="120"/>
              <w:jc w:val="center"/>
              <w:rPr>
                <w:noProof/>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102A39" w14:textId="77777777" w:rsidR="00E42B18" w:rsidRDefault="009629C4">
            <w:pPr>
              <w:pStyle w:val="P68B1DB1-Normal11"/>
              <w:spacing w:after="120"/>
              <w:jc w:val="center"/>
              <w:rPr>
                <w:noProof/>
                <w:szCs w:val="20"/>
              </w:rPr>
            </w:pPr>
            <w:r>
              <w:rPr>
                <w:noProof/>
                <w:szCs w:val="20"/>
              </w:rPr>
              <w:t>C</w:t>
            </w:r>
            <w:r>
              <w:rPr>
                <w:noProof/>
              </w:rPr>
              <w:t>-pätevyys säädetty</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308965" w14:textId="33C0041C" w:rsidR="00E42B18" w:rsidRDefault="009629C4">
            <w:pPr>
              <w:pStyle w:val="P68B1DB1-Normal12"/>
              <w:spacing w:after="120"/>
              <w:jc w:val="center"/>
              <w:rPr>
                <w:noProof/>
              </w:rPr>
            </w:pPr>
            <w:r>
              <w:rPr>
                <w:noProof/>
              </w:rPr>
              <w:t>Todistus (todistukset) töiden valmistumisesta</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13ECD7"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71C568"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AEDD55"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DC25A" w14:textId="77777777" w:rsidR="00E42B18" w:rsidRDefault="009629C4">
            <w:pPr>
              <w:pStyle w:val="P68B1DB1-Normal11"/>
              <w:spacing w:after="120"/>
              <w:jc w:val="center"/>
              <w:rPr>
                <w:noProof/>
                <w:szCs w:val="20"/>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59A35" w14:textId="77777777" w:rsidR="00E42B18" w:rsidRDefault="009629C4">
            <w:pPr>
              <w:pStyle w:val="P68B1DB1-Normal12"/>
              <w:spacing w:after="120"/>
              <w:jc w:val="center"/>
              <w:rPr>
                <w:noProof/>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9E734" w14:textId="77777777" w:rsidR="00E42B18" w:rsidRDefault="009629C4">
            <w:pPr>
              <w:pStyle w:val="P68B1DB1-Normal12"/>
              <w:spacing w:after="120"/>
              <w:rPr>
                <w:noProof/>
              </w:rPr>
            </w:pPr>
            <w:r>
              <w:rPr>
                <w:noProof/>
              </w:rPr>
              <w:t>Todistus (todistukset), joka koskee Caracolin (Palermo) Eboliin (Salerno) yhdistävän itäyhteyden Pole 1 kaapelin rakentamista ja 500 MW:n nimelliskapasiteetin varmistamista.</w:t>
            </w:r>
          </w:p>
        </w:tc>
      </w:tr>
      <w:tr w:rsidR="00E42B18" w14:paraId="3DFFCB9E"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C41325" w14:textId="77777777" w:rsidR="00E42B18" w:rsidRDefault="009629C4">
            <w:pPr>
              <w:pStyle w:val="P68B1DB1-Normal11"/>
              <w:spacing w:after="120"/>
              <w:jc w:val="center"/>
              <w:rPr>
                <w:noProof/>
                <w:szCs w:val="20"/>
              </w:rPr>
            </w:pPr>
            <w:r>
              <w:rPr>
                <w:noProof/>
              </w:rPr>
              <w:t>M7–16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F28EA" w14:textId="77777777" w:rsidR="00E42B18" w:rsidRDefault="009629C4">
            <w:pPr>
              <w:pStyle w:val="P68B1DB1-Normal11"/>
              <w:spacing w:after="120"/>
              <w:jc w:val="center"/>
              <w:rPr>
                <w:noProof/>
                <w:szCs w:val="20"/>
              </w:rPr>
            </w:pPr>
            <w:r>
              <w:rPr>
                <w:noProof/>
              </w:rPr>
              <w:t>Investointi 5: SA.CO.I.3</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7174DF"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9D5D03" w14:textId="77777777" w:rsidR="00E42B18" w:rsidRDefault="009629C4">
            <w:pPr>
              <w:pStyle w:val="P68B1DB1-Normal11"/>
              <w:spacing w:after="120"/>
              <w:jc w:val="center"/>
              <w:rPr>
                <w:noProof/>
                <w:szCs w:val="20"/>
              </w:rPr>
            </w:pPr>
            <w:r>
              <w:rPr>
                <w:noProof/>
              </w:rPr>
              <w:t>Hankintasopimukset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6194C" w14:textId="77777777" w:rsidR="00E42B18" w:rsidRDefault="009629C4">
            <w:pPr>
              <w:pStyle w:val="P68B1DB1-Normal12"/>
              <w:spacing w:after="120"/>
              <w:jc w:val="center"/>
              <w:rPr>
                <w:noProof/>
              </w:rPr>
            </w:pPr>
            <w:r>
              <w:rPr>
                <w:noProof/>
              </w:rPr>
              <w:t>Hankintasopimukset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05774F" w14:textId="77777777" w:rsidR="00E42B18" w:rsidRDefault="00E42B18">
            <w:pPr>
              <w:spacing w:after="120"/>
              <w:jc w:val="center"/>
              <w:rPr>
                <w:rFonts w:ascii="Arial Narrow" w:hAnsi="Arial Narrow"/>
                <w:noProof/>
                <w:color w:val="FF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F17E5"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49252"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6E1D5D" w14:textId="77777777" w:rsidR="00E42B18" w:rsidRDefault="009629C4">
            <w:pPr>
              <w:pStyle w:val="P68B1DB1-Normal11"/>
              <w:spacing w:after="120"/>
              <w:jc w:val="center"/>
              <w:rPr>
                <w:noProof/>
                <w:szCs w:val="20"/>
              </w:rPr>
            </w:pPr>
            <w:r>
              <w:rPr>
                <w:noProof/>
              </w:rPr>
              <w:t>Q4</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98739" w14:textId="77777777" w:rsidR="00E42B18" w:rsidRDefault="009629C4">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757B16" w14:textId="77777777" w:rsidR="00E42B18" w:rsidRDefault="009629C4">
            <w:pPr>
              <w:pStyle w:val="P68B1DB1-Normal12"/>
              <w:spacing w:after="120"/>
              <w:rPr>
                <w:noProof/>
              </w:rPr>
            </w:pPr>
            <w:r>
              <w:rPr>
                <w:noProof/>
              </w:rPr>
              <w:t>Kaikkien sopimusten tekeminen Sardinian ja Toscanan konversioasemien kuorien valmiiksi saattamiseksi tarvittavista töistä.</w:t>
            </w:r>
          </w:p>
        </w:tc>
      </w:tr>
      <w:tr w:rsidR="00E42B18" w14:paraId="57683B5E"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330F6" w14:textId="77777777" w:rsidR="00E42B18" w:rsidRDefault="009629C4">
            <w:pPr>
              <w:pStyle w:val="P68B1DB1-Normal11"/>
              <w:spacing w:after="120"/>
              <w:jc w:val="center"/>
              <w:rPr>
                <w:noProof/>
                <w:szCs w:val="20"/>
              </w:rPr>
            </w:pPr>
            <w:r>
              <w:rPr>
                <w:noProof/>
              </w:rPr>
              <w:t>M7–17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A088F" w14:textId="77777777" w:rsidR="00E42B18" w:rsidRDefault="009629C4">
            <w:pPr>
              <w:pStyle w:val="P68B1DB1-Normal11"/>
              <w:spacing w:after="120"/>
              <w:jc w:val="center"/>
              <w:rPr>
                <w:noProof/>
                <w:szCs w:val="20"/>
              </w:rPr>
            </w:pPr>
            <w:r>
              <w:rPr>
                <w:noProof/>
              </w:rPr>
              <w:t>Investointi 5: SA.CO.I.3</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742D2"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AB4934" w14:textId="77777777" w:rsidR="00E42B18" w:rsidRDefault="009629C4">
            <w:pPr>
              <w:pStyle w:val="P68B1DB1-Normal11"/>
              <w:spacing w:after="120"/>
              <w:jc w:val="center"/>
              <w:rPr>
                <w:noProof/>
                <w:szCs w:val="20"/>
              </w:rPr>
            </w:pPr>
            <w:r>
              <w:rPr>
                <w:noProof/>
              </w:rPr>
              <w:t>Sardinian (Codrongianos) ja Toscanan (Suvereto) konversioasemien kuorten valmistuminen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2444B5" w14:textId="42C9577D" w:rsidR="00E42B18" w:rsidRDefault="009629C4">
            <w:pPr>
              <w:pStyle w:val="P68B1DB1-Normal12"/>
              <w:spacing w:after="120"/>
              <w:jc w:val="center"/>
              <w:rPr>
                <w:noProof/>
              </w:rPr>
            </w:pPr>
            <w:r>
              <w:rPr>
                <w:noProof/>
              </w:rPr>
              <w:t>Todistus (todistukset) töiden valmistumisesta</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C8E20"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952835"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45724" w14:textId="77777777" w:rsidR="00E42B18" w:rsidRDefault="00E42B18">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FFCA68" w14:textId="77777777" w:rsidR="00E42B18" w:rsidRDefault="009629C4">
            <w:pPr>
              <w:pStyle w:val="P68B1DB1-Normal11"/>
              <w:spacing w:after="120"/>
              <w:jc w:val="center"/>
              <w:rPr>
                <w:noProof/>
                <w:szCs w:val="20"/>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04D8CF" w14:textId="77777777" w:rsidR="00E42B18" w:rsidRDefault="009629C4">
            <w:pPr>
              <w:pStyle w:val="P68B1DB1-Normal11"/>
              <w:spacing w:after="120"/>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E8604" w14:textId="4E960FEF" w:rsidR="00E42B18" w:rsidRDefault="009629C4">
            <w:pPr>
              <w:pStyle w:val="P68B1DB1-Normal12"/>
              <w:spacing w:after="120"/>
              <w:rPr>
                <w:noProof/>
              </w:rPr>
            </w:pPr>
            <w:r>
              <w:rPr>
                <w:noProof/>
              </w:rPr>
              <w:t>Sardinian ja Toscanan konversioasemien kuorten rakennustöiden valmistumistodistukset.</w:t>
            </w:r>
          </w:p>
        </w:tc>
      </w:tr>
      <w:tr w:rsidR="00E42B18" w14:paraId="57463F32"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A5EFD" w14:textId="77777777" w:rsidR="00E42B18" w:rsidRDefault="009629C4">
            <w:pPr>
              <w:pStyle w:val="P68B1DB1-Normal11"/>
              <w:spacing w:after="120"/>
              <w:jc w:val="center"/>
              <w:rPr>
                <w:noProof/>
                <w:szCs w:val="20"/>
              </w:rPr>
            </w:pPr>
            <w:r>
              <w:rPr>
                <w:noProof/>
              </w:rPr>
              <w:t>M7–22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AE196" w14:textId="77777777" w:rsidR="00E42B18" w:rsidRDefault="009629C4">
            <w:pPr>
              <w:pStyle w:val="P68B1DB1-Normal11"/>
              <w:spacing w:after="120"/>
              <w:jc w:val="center"/>
              <w:rPr>
                <w:noProof/>
                <w:szCs w:val="20"/>
              </w:rPr>
            </w:pPr>
            <w:r>
              <w:rPr>
                <w:noProof/>
              </w:rPr>
              <w:t>Investointi 7: Älykäs kansallinen siirtoverkko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CEA85"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8DBE8B" w14:textId="07C4A5D1" w:rsidR="00E42B18" w:rsidRDefault="009629C4">
            <w:pPr>
              <w:pStyle w:val="P68B1DB1-Normal11"/>
              <w:spacing w:after="120"/>
              <w:jc w:val="center"/>
              <w:rPr>
                <w:noProof/>
                <w:szCs w:val="20"/>
              </w:rPr>
            </w:pPr>
            <w:r>
              <w:rPr>
                <w:noProof/>
              </w:rPr>
              <w:t>5G-laitteiden, tieto- ja viestintätekniikan arkkitehtuurin, suojatun protokollan 104 asentaminen sähköasemiin ja teollisen esineiden internetin asentaminen sähköpylväisiin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3A63F" w14:textId="77777777" w:rsidR="00E42B18" w:rsidRDefault="009629C4">
            <w:pPr>
              <w:pStyle w:val="P68B1DB1-Normal12"/>
              <w:spacing w:after="120"/>
              <w:jc w:val="center"/>
              <w:rPr>
                <w:noProof/>
              </w:rPr>
            </w:pPr>
            <w:r>
              <w:rPr>
                <w:noProof/>
              </w:rPr>
              <w:t>Asennustodistukset ja testausselosteet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9DB139"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A4DEF4" w14:textId="77777777" w:rsidR="00E42B18" w:rsidRDefault="00E42B18">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A0B3C" w14:textId="77777777" w:rsidR="00E42B18" w:rsidRDefault="00E42B18">
            <w:pPr>
              <w:spacing w:after="120"/>
              <w:jc w:val="center"/>
              <w:rPr>
                <w:rFonts w:ascii="Arial Narrow" w:hAnsi="Arial Narrow"/>
                <w:strike/>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5DD969" w14:textId="77777777" w:rsidR="00E42B18" w:rsidRDefault="009629C4">
            <w:pPr>
              <w:pStyle w:val="P68B1DB1-Normal11"/>
              <w:spacing w:after="120"/>
              <w:jc w:val="center"/>
              <w:rPr>
                <w:noProof/>
                <w:szCs w:val="20"/>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6A581A" w14:textId="77777777" w:rsidR="00E42B18" w:rsidRDefault="009629C4">
            <w:pPr>
              <w:pStyle w:val="P68B1DB1-Normal11"/>
              <w:spacing w:after="120"/>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2B7CF" w14:textId="63FD8B60" w:rsidR="00E42B18" w:rsidRDefault="009629C4">
            <w:pPr>
              <w:pStyle w:val="P68B1DB1-Normal12"/>
              <w:spacing w:after="120"/>
              <w:jc w:val="both"/>
              <w:rPr>
                <w:noProof/>
              </w:rPr>
            </w:pPr>
            <w:r>
              <w:rPr>
                <w:noProof/>
              </w:rPr>
              <w:t>Hyväksyntätestiraportit, jotka on annettu vähintään 40 asemille asennetuista uusista 5G-laitteista tai tieto- ja viestintätekniikka-arkkitehtuureista.</w:t>
            </w:r>
          </w:p>
          <w:p w14:paraId="4E125C49" w14:textId="77777777" w:rsidR="00E42B18" w:rsidRDefault="009629C4">
            <w:pPr>
              <w:pStyle w:val="P68B1DB1-Normal12"/>
              <w:spacing w:after="120"/>
              <w:jc w:val="both"/>
              <w:rPr>
                <w:noProof/>
              </w:rPr>
            </w:pPr>
            <w:r>
              <w:rPr>
                <w:noProof/>
              </w:rPr>
              <w:t>Asennustodistukset, jotka on myönnetty:</w:t>
            </w:r>
          </w:p>
          <w:p w14:paraId="316B3F6D" w14:textId="77777777" w:rsidR="00E42B18" w:rsidRDefault="009629C4">
            <w:pPr>
              <w:pStyle w:val="P68B1DB1-Normal12"/>
              <w:spacing w:after="120"/>
              <w:jc w:val="both"/>
              <w:rPr>
                <w:noProof/>
              </w:rPr>
            </w:pPr>
            <w:r>
              <w:rPr>
                <w:noProof/>
              </w:rPr>
              <w:t xml:space="preserve">—Suojattu pöytäkirja 104 (sähköalan kansainvälisen standardisointijärjestön 62351 protokolla) vähintään 250 sähköasemalla. </w:t>
            </w:r>
          </w:p>
          <w:p w14:paraId="7A6D0971" w14:textId="77777777" w:rsidR="00E42B18" w:rsidRDefault="009629C4">
            <w:pPr>
              <w:spacing w:after="120"/>
              <w:jc w:val="both"/>
              <w:rPr>
                <w:rFonts w:ascii="Arial Narrow" w:hAnsi="Arial Narrow"/>
                <w:noProof/>
                <w:color w:val="006100"/>
                <w:sz w:val="20"/>
              </w:rPr>
            </w:pPr>
            <w:r>
              <w:rPr>
                <w:rFonts w:ascii="Arial Narrow" w:hAnsi="Arial Narrow"/>
                <w:noProof/>
                <w:color w:val="006100"/>
                <w:sz w:val="20"/>
                <w:szCs w:val="20"/>
              </w:rPr>
              <w:t>—</w:t>
            </w:r>
            <w:r>
              <w:rPr>
                <w:rFonts w:ascii="Arial Narrow" w:hAnsi="Arial Narrow"/>
                <w:noProof/>
                <w:color w:val="006100"/>
                <w:sz w:val="20"/>
              </w:rPr>
              <w:t>Teollisen esineiden internetin seurantajärjestelmät vähintään 1500</w:t>
            </w:r>
            <w:r>
              <w:rPr>
                <w:noProof/>
                <w:sz w:val="23"/>
                <w:szCs w:val="23"/>
              </w:rPr>
              <w:t xml:space="preserve"> </w:t>
            </w:r>
            <w:r>
              <w:rPr>
                <w:rFonts w:ascii="Arial Narrow" w:hAnsi="Arial Narrow"/>
                <w:noProof/>
                <w:color w:val="006100"/>
                <w:sz w:val="20"/>
              </w:rPr>
              <w:t>sähköpylväällä.</w:t>
            </w:r>
          </w:p>
          <w:p w14:paraId="3CA31415" w14:textId="1FC2CB25" w:rsidR="00E42B18" w:rsidRDefault="009629C4">
            <w:pPr>
              <w:pStyle w:val="P68B1DB1-Normal11"/>
              <w:spacing w:after="120"/>
              <w:jc w:val="both"/>
              <w:rPr>
                <w:noProof/>
                <w:szCs w:val="20"/>
              </w:rPr>
            </w:pPr>
            <w:r>
              <w:rPr>
                <w:noProof/>
              </w:rPr>
              <w:t>Edellä mainittujen teknisten vaatimusten täyttymisen varmistamiseksi on toimitettava riippumaton insinöörin raportti.</w:t>
            </w:r>
          </w:p>
        </w:tc>
      </w:tr>
      <w:tr w:rsidR="00E42B18" w14:paraId="7E820482"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F34BA3" w14:textId="77777777" w:rsidR="00E42B18" w:rsidRDefault="009629C4">
            <w:pPr>
              <w:pStyle w:val="P68B1DB1-Normal11"/>
              <w:spacing w:after="120"/>
              <w:jc w:val="center"/>
              <w:rPr>
                <w:noProof/>
                <w:szCs w:val="20"/>
              </w:rPr>
            </w:pPr>
            <w:r>
              <w:rPr>
                <w:noProof/>
              </w:rPr>
              <w:t>M7–25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5CA98A53" w14:textId="77777777" w:rsidR="00E42B18" w:rsidRDefault="009629C4">
            <w:pPr>
              <w:pStyle w:val="P68B1DB1-Normal11"/>
              <w:spacing w:after="120"/>
              <w:jc w:val="center"/>
              <w:rPr>
                <w:noProof/>
                <w:szCs w:val="20"/>
              </w:rPr>
            </w:pPr>
            <w:r>
              <w:rPr>
                <w:noProof/>
              </w:rPr>
              <w:t>Investointi 8: Kriittisten raaka-aineiden kestävät, kiertotalouteen perustuvat ja turvatut toimitukset</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6F2C7162"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tcPr>
          <w:p w14:paraId="1706B7A3" w14:textId="10D8C323" w:rsidR="00E42B18" w:rsidRDefault="009629C4">
            <w:pPr>
              <w:pStyle w:val="P68B1DB1-Normal12"/>
              <w:spacing w:after="120"/>
              <w:jc w:val="center"/>
              <w:rPr>
                <w:noProof/>
              </w:rPr>
            </w:pPr>
            <w:r>
              <w:rPr>
                <w:noProof/>
              </w:rPr>
              <w:t xml:space="preserve">Kriittisten raaka-aineiden tulevia tarpeita ja ekologisen suunnittelun mahdollisuuksia koskevan raportin julkaiseminen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BFA594" w14:textId="77777777" w:rsidR="00E42B18" w:rsidRDefault="009629C4">
            <w:pPr>
              <w:pStyle w:val="P68B1DB1-Normal12"/>
              <w:spacing w:after="120"/>
              <w:jc w:val="center"/>
              <w:rPr>
                <w:noProof/>
              </w:rPr>
            </w:pPr>
            <w:r>
              <w:rPr>
                <w:noProof/>
              </w:rPr>
              <w:t xml:space="preserve">Kertomuksen julkaiseminen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015E8" w14:textId="77777777" w:rsidR="00E42B18" w:rsidRDefault="009629C4">
            <w:pPr>
              <w:pStyle w:val="P68B1DB1-Normal11"/>
              <w:spacing w:after="120"/>
              <w:jc w:val="center"/>
              <w:rPr>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951190" w14:textId="77777777" w:rsidR="00E42B18" w:rsidRDefault="009629C4">
            <w:pPr>
              <w:pStyle w:val="P68B1DB1-Normal11"/>
              <w:spacing w:after="120"/>
              <w:jc w:val="center"/>
              <w:rPr>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CFA891" w14:textId="77777777" w:rsidR="00E42B18" w:rsidRDefault="009629C4">
            <w:pPr>
              <w:pStyle w:val="P68B1DB1-Normal11"/>
              <w:spacing w:after="120"/>
              <w:jc w:val="center"/>
              <w:rPr>
                <w:noProof/>
                <w:szCs w:val="20"/>
              </w:rPr>
            </w:pPr>
            <w:r>
              <w:rPr>
                <w:noProof/>
              </w:rPr>
              <w:t>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8281B1" w14:textId="77777777" w:rsidR="00E42B18" w:rsidRDefault="009629C4">
            <w:pPr>
              <w:pStyle w:val="P68B1DB1-Normal11"/>
              <w:spacing w:after="120"/>
              <w:jc w:val="center"/>
              <w:rPr>
                <w:noProof/>
                <w:szCs w:val="20"/>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B633ED" w14:textId="77777777" w:rsidR="00E42B18" w:rsidRDefault="009629C4">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44154197" w14:textId="0EF80543" w:rsidR="00E42B18" w:rsidRDefault="009629C4">
            <w:pPr>
              <w:pStyle w:val="P68B1DB1-Normal12"/>
              <w:spacing w:after="120"/>
              <w:rPr>
                <w:noProof/>
              </w:rPr>
            </w:pPr>
            <w:r>
              <w:rPr>
                <w:noProof/>
              </w:rPr>
              <w:t>Julkaistaan raportti, jossa analysoidaan kriittisten raaka-aineiden tulevia tarpeita ja ekologisen suunnittelun mahdollisuuksia vähentää kriittisten raaka-aineiden kysyntää.</w:t>
            </w:r>
          </w:p>
        </w:tc>
      </w:tr>
      <w:tr w:rsidR="00E42B18" w14:paraId="4FC0AE69"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3FA71" w14:textId="77777777" w:rsidR="00E42B18" w:rsidRDefault="009629C4">
            <w:pPr>
              <w:pStyle w:val="P68B1DB1-Normal11"/>
              <w:spacing w:after="120"/>
              <w:jc w:val="center"/>
              <w:rPr>
                <w:noProof/>
                <w:szCs w:val="20"/>
              </w:rPr>
            </w:pPr>
            <w:r>
              <w:rPr>
                <w:noProof/>
              </w:rPr>
              <w:t>M7–26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16DBADC6" w14:textId="77777777" w:rsidR="00E42B18" w:rsidRDefault="009629C4">
            <w:pPr>
              <w:pStyle w:val="P68B1DB1-Normal11"/>
              <w:spacing w:after="120"/>
              <w:jc w:val="center"/>
              <w:rPr>
                <w:noProof/>
                <w:szCs w:val="20"/>
              </w:rPr>
            </w:pPr>
            <w:r>
              <w:rPr>
                <w:noProof/>
              </w:rPr>
              <w:t>Investointi 8: Kriittisten raaka-aineiden kestävät, kiertotalouteen perustuvat ja turvatut toimitukset</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04A64DEA" w14:textId="77777777" w:rsidR="00E42B18" w:rsidRDefault="009629C4">
            <w:pPr>
              <w:pStyle w:val="P68B1DB1-Normal11"/>
              <w:spacing w:after="120"/>
              <w:jc w:val="center"/>
              <w:rPr>
                <w:noProof/>
                <w:szCs w:val="20"/>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tcPr>
          <w:p w14:paraId="7B07BA55" w14:textId="77777777" w:rsidR="00E42B18" w:rsidRDefault="009629C4">
            <w:pPr>
              <w:pStyle w:val="P68B1DB1-Normal11"/>
              <w:spacing w:after="120"/>
              <w:jc w:val="center"/>
              <w:rPr>
                <w:noProof/>
                <w:szCs w:val="20"/>
              </w:rPr>
            </w:pPr>
            <w:r>
              <w:rPr>
                <w:noProof/>
              </w:rPr>
              <w:t>Kaivannaisjätettä koskeva maantieteellinen tietojärjestelmä kriittisten raaka-aineiden kestävää, kiertotalouteen perustuvaa ja varmaa tarjontaa varten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45526" w14:textId="77777777" w:rsidR="00E42B18" w:rsidRDefault="009629C4">
            <w:pPr>
              <w:pStyle w:val="P68B1DB1-Normal11"/>
              <w:spacing w:after="120"/>
              <w:jc w:val="center"/>
              <w:rPr>
                <w:noProof/>
                <w:szCs w:val="20"/>
              </w:rPr>
            </w:pPr>
            <w:r>
              <w:rPr>
                <w:noProof/>
              </w:rPr>
              <w:t>Tietokannan julkaiseminen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C37FD3" w14:textId="77777777" w:rsidR="00E42B18" w:rsidRDefault="009629C4">
            <w:pPr>
              <w:pStyle w:val="P68B1DB1-Normal11"/>
              <w:spacing w:after="120"/>
              <w:jc w:val="center"/>
              <w:rPr>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BA695" w14:textId="77777777" w:rsidR="00E42B18" w:rsidRDefault="009629C4">
            <w:pPr>
              <w:pStyle w:val="P68B1DB1-Normal11"/>
              <w:spacing w:after="120"/>
              <w:jc w:val="center"/>
              <w:rPr>
                <w:noProof/>
                <w:szCs w:val="20"/>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026F4F" w14:textId="77777777" w:rsidR="00E42B18" w:rsidRDefault="009629C4">
            <w:pPr>
              <w:pStyle w:val="P68B1DB1-Normal11"/>
              <w:spacing w:after="120"/>
              <w:jc w:val="center"/>
              <w:rPr>
                <w:noProof/>
                <w:szCs w:val="20"/>
              </w:rPr>
            </w:pPr>
            <w:r>
              <w:rPr>
                <w:noProof/>
              </w:rPr>
              <w:t>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74E09F" w14:textId="77777777" w:rsidR="00E42B18" w:rsidRDefault="009629C4">
            <w:pPr>
              <w:pStyle w:val="P68B1DB1-Normal11"/>
              <w:spacing w:after="120"/>
              <w:jc w:val="center"/>
              <w:rPr>
                <w:noProof/>
                <w:szCs w:val="20"/>
              </w:rPr>
            </w:pPr>
            <w:r>
              <w:rPr>
                <w:noProof/>
              </w:rPr>
              <w:t>Q4</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A1313" w14:textId="77777777" w:rsidR="00E42B18" w:rsidRDefault="009629C4">
            <w:pPr>
              <w:pStyle w:val="P68B1DB1-Normal12"/>
              <w:spacing w:after="120"/>
              <w:jc w:val="center"/>
              <w:rPr>
                <w:noProof/>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0E1ECF" w14:textId="5BEEA55E" w:rsidR="00E42B18" w:rsidRDefault="009629C4">
            <w:pPr>
              <w:pStyle w:val="P68B1DB1-Normal12"/>
              <w:rPr>
                <w:noProof/>
              </w:rPr>
            </w:pPr>
            <w:r>
              <w:rPr>
                <w:noProof/>
              </w:rPr>
              <w:t>Verkossa on saatavilla paikkatietojärjestelmäalusta, jossa yksilöidään kaupunkiympäristöissä kierrätettävät materiaalit ja hylätyissä kaivoksissa oleva jäte.</w:t>
            </w:r>
          </w:p>
        </w:tc>
      </w:tr>
      <w:tr w:rsidR="00E42B18" w14:paraId="52FC143C"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EFC95D" w14:textId="77777777" w:rsidR="00E42B18" w:rsidRDefault="009629C4">
            <w:pPr>
              <w:pStyle w:val="P68B1DB1-Normal11"/>
              <w:spacing w:after="120"/>
              <w:jc w:val="center"/>
              <w:rPr>
                <w:noProof/>
              </w:rPr>
            </w:pPr>
            <w:r>
              <w:rPr>
                <w:noProof/>
              </w:rPr>
              <w:t>M7–27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630CCFBF" w14:textId="77777777" w:rsidR="00E42B18" w:rsidRDefault="009629C4">
            <w:pPr>
              <w:pStyle w:val="P68B1DB1-Normal11"/>
              <w:spacing w:after="120"/>
              <w:jc w:val="center"/>
              <w:rPr>
                <w:noProof/>
              </w:rPr>
            </w:pPr>
            <w:r>
              <w:rPr>
                <w:noProof/>
              </w:rPr>
              <w:t>Investointi 8: Kriittisten raaka-aineiden kestävät, kiertotalouteen perustuvat ja turvatut toimitukset</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7D8ABFDB" w14:textId="77777777" w:rsidR="00E42B18" w:rsidRDefault="009629C4">
            <w:pPr>
              <w:pStyle w:val="P68B1DB1-Normal11"/>
              <w:spacing w:after="120"/>
              <w:jc w:val="center"/>
              <w:rPr>
                <w:noProof/>
              </w:rPr>
            </w:pPr>
            <w:r>
              <w:rPr>
                <w:noProof/>
              </w:rPr>
              <w:t xml:space="preserve">Virstanpylväs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tcPr>
          <w:p w14:paraId="4EEF1CDC" w14:textId="6016098D" w:rsidR="00E42B18" w:rsidRDefault="009629C4">
            <w:pPr>
              <w:pStyle w:val="P68B1DB1-Normal12"/>
              <w:spacing w:after="120"/>
              <w:jc w:val="center"/>
              <w:rPr>
                <w:noProof/>
              </w:rPr>
            </w:pPr>
            <w:r>
              <w:rPr>
                <w:noProof/>
              </w:rPr>
              <w:t>Kaupunkien kaivostoimintaa ja ekologista suunnittelua koskevat tutkimus- ja kehityshankkeet ja laboratorioiden laitteet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2F7C4" w14:textId="77777777" w:rsidR="00E42B18" w:rsidRDefault="009629C4">
            <w:pPr>
              <w:pStyle w:val="P68B1DB1-Normal12"/>
              <w:spacing w:after="120"/>
              <w:jc w:val="center"/>
              <w:rPr>
                <w:noProof/>
              </w:rPr>
            </w:pPr>
            <w:r>
              <w:rPr>
                <w:noProof/>
              </w:rPr>
              <w:t>Kaupunkialueiden kaivostoiminnan ja ekologisen suunnittelun teknologiakeskuksen vähintään kuuden laboratorion toteuttamat T &amp; K-hankkeet ja laitteistot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57FDDC" w14:textId="77777777" w:rsidR="00E42B18" w:rsidRDefault="009629C4">
            <w:pPr>
              <w:pStyle w:val="P68B1DB1-Normal11"/>
              <w:spacing w:after="120"/>
              <w:jc w:val="center"/>
              <w:rPr>
                <w:noProof/>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2AABA" w14:textId="77777777" w:rsidR="00E42B18" w:rsidRDefault="009629C4">
            <w:pPr>
              <w:pStyle w:val="P68B1DB1-Normal11"/>
              <w:spacing w:after="120"/>
              <w:jc w:val="center"/>
              <w:rPr>
                <w:noProof/>
              </w:rPr>
            </w:pPr>
            <w:r>
              <w:rPr>
                <w:noProof/>
              </w:rPr>
              <w:t>EI OLE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C7830" w14:textId="77777777" w:rsidR="00E42B18" w:rsidRDefault="009629C4">
            <w:pPr>
              <w:pStyle w:val="P68B1DB1-Normal11"/>
              <w:spacing w:after="120"/>
              <w:jc w:val="center"/>
              <w:rPr>
                <w:noProof/>
              </w:rPr>
            </w:pPr>
            <w:r>
              <w:rPr>
                <w:noProof/>
              </w:rPr>
              <w:t>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ABA261" w14:textId="77777777" w:rsidR="00E42B18" w:rsidRDefault="009629C4">
            <w:pPr>
              <w:pStyle w:val="P68B1DB1-Normal12"/>
              <w:spacing w:after="120"/>
              <w:jc w:val="center"/>
              <w:rPr>
                <w:noProof/>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812E05" w14:textId="77777777" w:rsidR="00E42B18" w:rsidRDefault="009629C4">
            <w:pPr>
              <w:pStyle w:val="P68B1DB1-Normal12"/>
              <w:spacing w:after="120"/>
              <w:jc w:val="center"/>
              <w:rPr>
                <w:noProof/>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38CF33EF" w14:textId="0E83B81A" w:rsidR="00E42B18" w:rsidRDefault="009629C4">
            <w:pPr>
              <w:pStyle w:val="P68B1DB1-Normal12"/>
              <w:spacing w:after="120"/>
              <w:jc w:val="both"/>
              <w:rPr>
                <w:noProof/>
              </w:rPr>
            </w:pPr>
            <w:r>
              <w:rPr>
                <w:noProof/>
              </w:rPr>
              <w:t>Loppuraportit, jotka on laadittu vähintään kymmenestä sähkö- ja elektroniikkalaiteromun ekologista suunnittelua ja kierrätystä koskevasta T &amp; K-hankkeesta.</w:t>
            </w:r>
          </w:p>
          <w:p w14:paraId="0008218F" w14:textId="77777777" w:rsidR="00E42B18" w:rsidRDefault="009629C4">
            <w:pPr>
              <w:pStyle w:val="P68B1DB1-Normal12"/>
              <w:rPr>
                <w:noProof/>
              </w:rPr>
            </w:pPr>
            <w:r>
              <w:rPr>
                <w:noProof/>
              </w:rPr>
              <w:t>Kaupunkialueiden kaivostoiminnan ja ekologisen suunnittelun teknologiakeskuksen vähintään kuuden laboratorion laitteiden toimitus- ja hyväksymisraportit.</w:t>
            </w:r>
          </w:p>
        </w:tc>
      </w:tr>
      <w:tr w:rsidR="00E42B18" w14:paraId="007A0BED"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A11EDC" w14:textId="77777777" w:rsidR="00E42B18" w:rsidRDefault="009629C4">
            <w:pPr>
              <w:pStyle w:val="P68B1DB1-Normal12"/>
              <w:spacing w:after="120"/>
              <w:jc w:val="center"/>
              <w:rPr>
                <w:noProof/>
              </w:rPr>
            </w:pPr>
            <w:r>
              <w:rPr>
                <w:noProof/>
              </w:rPr>
              <w:t>M7–30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29B5F6" w14:textId="77777777" w:rsidR="00E42B18" w:rsidRDefault="009629C4">
            <w:pPr>
              <w:pStyle w:val="P68B1DB1-Normal11"/>
              <w:spacing w:after="120"/>
              <w:jc w:val="center"/>
              <w:rPr>
                <w:noProof/>
                <w:szCs w:val="20"/>
              </w:rPr>
            </w:pPr>
            <w:r>
              <w:rPr>
                <w:noProof/>
              </w:rPr>
              <w:t>Investointi 10: Crescere Green -taitoja koskeva pilottihanke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6889D" w14:textId="77777777" w:rsidR="00E42B18" w:rsidRDefault="009629C4">
            <w:pPr>
              <w:pStyle w:val="P68B1DB1-Normal11"/>
              <w:spacing w:after="120"/>
              <w:jc w:val="center"/>
              <w:rPr>
                <w:noProof/>
                <w:szCs w:val="20"/>
              </w:rPr>
            </w:pPr>
            <w:r>
              <w:rPr>
                <w:noProof/>
              </w:rPr>
              <w:t>Kohde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3DE9A" w14:textId="3DEE7F12" w:rsidR="00E42B18" w:rsidRDefault="009629C4">
            <w:pPr>
              <w:pStyle w:val="P68B1DB1-Normal12"/>
              <w:spacing w:after="120"/>
              <w:jc w:val="center"/>
              <w:rPr>
                <w:noProof/>
              </w:rPr>
            </w:pPr>
            <w:r>
              <w:rPr>
                <w:noProof/>
              </w:rPr>
              <w:t>Koulutustodistukset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1FA58C" w14:textId="77777777" w:rsidR="00E42B18" w:rsidRDefault="00E42B18">
            <w:pPr>
              <w:spacing w:after="120"/>
              <w:jc w:val="center"/>
              <w:rPr>
                <w:rFonts w:ascii="Arial Narrow" w:hAnsi="Arial Narrow"/>
                <w:noProof/>
                <w:color w:val="0061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E990B" w14:textId="77777777" w:rsidR="00E42B18" w:rsidRDefault="009629C4">
            <w:pPr>
              <w:pStyle w:val="P68B1DB1-Normal11"/>
              <w:spacing w:after="120"/>
              <w:jc w:val="center"/>
              <w:rPr>
                <w:noProof/>
                <w:szCs w:val="20"/>
              </w:rPr>
            </w:pPr>
            <w:r>
              <w:rPr>
                <w:noProof/>
              </w:rPr>
              <w:t>Numero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E202C7" w14:textId="77777777" w:rsidR="00E42B18" w:rsidRDefault="009629C4">
            <w:pPr>
              <w:pStyle w:val="P68B1DB1-Normal11"/>
              <w:spacing w:after="120"/>
              <w:jc w:val="center"/>
              <w:rPr>
                <w:noProof/>
                <w:szCs w:val="20"/>
              </w:rPr>
            </w:pPr>
            <w:r>
              <w:rPr>
                <w:noProof/>
              </w:rPr>
              <w:t>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916695" w14:textId="77777777" w:rsidR="00E42B18" w:rsidRDefault="009629C4">
            <w:pPr>
              <w:pStyle w:val="P68B1DB1-Normal11"/>
              <w:spacing w:after="120"/>
              <w:jc w:val="center"/>
              <w:rPr>
                <w:noProof/>
                <w:szCs w:val="20"/>
              </w:rPr>
            </w:pPr>
            <w:r>
              <w:rPr>
                <w:noProof/>
              </w:rPr>
              <w:t>20 000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193740" w14:textId="77777777" w:rsidR="00E42B18" w:rsidRDefault="009629C4">
            <w:pPr>
              <w:pStyle w:val="P68B1DB1-Normal12"/>
              <w:spacing w:after="120"/>
              <w:jc w:val="center"/>
              <w:rPr>
                <w:noProof/>
              </w:rPr>
            </w:pPr>
            <w:r>
              <w:rPr>
                <w:noProof/>
              </w:rPr>
              <w:t>Q4</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6952EA" w14:textId="77777777" w:rsidR="00E42B18" w:rsidRDefault="009629C4">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256AAB" w14:textId="6F4C7D0F" w:rsidR="00E42B18" w:rsidRDefault="009629C4">
            <w:pPr>
              <w:pStyle w:val="P68B1DB1-Normal12"/>
              <w:spacing w:after="120"/>
              <w:rPr>
                <w:noProof/>
              </w:rPr>
            </w:pPr>
            <w:r>
              <w:rPr>
                <w:noProof/>
              </w:rPr>
              <w:t>Koulutustodistukset, jotka on myönnetty vähintään 20000 pilottihankkeen edunsaajalle. Pilottihanke kattaa vähintään kaksi aluetta, ja se koskee ESCO-tietokannassa määriteltyjä vihreitä taitoja.</w:t>
            </w:r>
          </w:p>
        </w:tc>
      </w:tr>
      <w:tr w:rsidR="00E42B18" w14:paraId="3CF3346F"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28227E" w14:textId="77777777" w:rsidR="00E42B18" w:rsidRDefault="009629C4">
            <w:pPr>
              <w:pStyle w:val="P68B1DB1-Normal11"/>
              <w:spacing w:after="120"/>
              <w:jc w:val="center"/>
              <w:rPr>
                <w:noProof/>
                <w:szCs w:val="20"/>
              </w:rPr>
            </w:pPr>
            <w:r>
              <w:rPr>
                <w:noProof/>
              </w:rPr>
              <w:t>M7–31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019BC" w14:textId="34E28CC5" w:rsidR="00E42B18" w:rsidRDefault="009629C4">
            <w:pPr>
              <w:pStyle w:val="P68B1DB1-Normal11"/>
              <w:spacing w:after="120"/>
              <w:jc w:val="center"/>
              <w:rPr>
                <w:noProof/>
              </w:rPr>
            </w:pPr>
            <w:bookmarkStart w:id="26" w:name="_Hlk160472344"/>
            <w:r>
              <w:rPr>
                <w:noProof/>
              </w:rPr>
              <w:t>Investointi 11: Alueellisen julkisen liikenteen rautatiekaluston vahvistaminen päästöttömillä junilla ja yleispalvelulla</w:t>
            </w:r>
            <w:bookmarkEnd w:id="26"/>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A81E10" w14:textId="77777777" w:rsidR="00E42B18" w:rsidRDefault="009629C4">
            <w:pPr>
              <w:pStyle w:val="P68B1DB1-Normal11"/>
              <w:spacing w:after="120"/>
              <w:jc w:val="center"/>
              <w:rPr>
                <w:noProof/>
              </w:rPr>
            </w:pPr>
            <w:r>
              <w:rPr>
                <w:noProof/>
              </w:rPr>
              <w:t>Kohde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95FA58" w14:textId="3E9B35CD" w:rsidR="00E42B18" w:rsidRDefault="009629C4">
            <w:pPr>
              <w:pStyle w:val="P68B1DB1-Normal12"/>
              <w:spacing w:after="120"/>
              <w:jc w:val="center"/>
              <w:rPr>
                <w:noProof/>
              </w:rPr>
            </w:pPr>
            <w:r>
              <w:rPr>
                <w:noProof/>
              </w:rPr>
              <w:t>Rekisteröityjen junien lukumäärä</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B1D417" w14:textId="77777777" w:rsidR="00E42B18" w:rsidRDefault="009629C4">
            <w:pPr>
              <w:pStyle w:val="P68B1DB1-Normal11"/>
              <w:spacing w:after="120"/>
              <w:jc w:val="center"/>
              <w:rPr>
                <w:noProof/>
                <w:szCs w:val="20"/>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225332" w14:textId="77777777" w:rsidR="00E42B18" w:rsidRDefault="009629C4">
            <w:pPr>
              <w:pStyle w:val="P68B1DB1-Normal11"/>
              <w:spacing w:after="120"/>
              <w:jc w:val="center"/>
              <w:rPr>
                <w:noProof/>
              </w:rPr>
            </w:pPr>
            <w:r>
              <w:rPr>
                <w:noProof/>
              </w:rPr>
              <w:t>Numero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E5AA9" w14:textId="77777777" w:rsidR="00E42B18" w:rsidRDefault="009629C4">
            <w:pPr>
              <w:pStyle w:val="P68B1DB1-Normal11"/>
              <w:spacing w:after="120"/>
              <w:jc w:val="center"/>
              <w:rPr>
                <w:noProof/>
              </w:rPr>
            </w:pPr>
            <w:r>
              <w:rPr>
                <w:noProof/>
              </w:rPr>
              <w:t>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48F9C3" w14:textId="77777777" w:rsidR="00E42B18" w:rsidRDefault="009629C4">
            <w:pPr>
              <w:pStyle w:val="P68B1DB1-Normal12"/>
              <w:spacing w:after="120"/>
              <w:jc w:val="center"/>
              <w:rPr>
                <w:noProof/>
              </w:rPr>
            </w:pPr>
            <w:r>
              <w:rPr>
                <w:noProof/>
              </w:rPr>
              <w:t>75</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A264B0" w14:textId="77777777" w:rsidR="00E42B18" w:rsidRDefault="009629C4">
            <w:pPr>
              <w:pStyle w:val="P68B1DB1-Normal11"/>
              <w:spacing w:after="120"/>
              <w:jc w:val="center"/>
              <w:rPr>
                <w:noProof/>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FD8C47" w14:textId="77777777" w:rsidR="00E42B18" w:rsidRDefault="009629C4">
            <w:pPr>
              <w:pStyle w:val="P68B1DB1-Normal11"/>
              <w:spacing w:after="120"/>
              <w:jc w:val="center"/>
              <w:rPr>
                <w:noProof/>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8D834E" w14:textId="4C34A364" w:rsidR="00E42B18" w:rsidRDefault="009629C4">
            <w:pPr>
              <w:pStyle w:val="P68B1DB1-Normal12"/>
              <w:spacing w:after="120"/>
              <w:rPr>
                <w:noProof/>
                <w:highlight w:val="yellow"/>
              </w:rPr>
            </w:pPr>
            <w:r>
              <w:rPr>
                <w:noProof/>
              </w:rPr>
              <w:t>Vähintään 75 päästöttömän (sähkö- tai vetypolttokenno) junan rekisteröinti mission 2 komponentin 2 investoinnissa 4.4.2 tarkoitetun liikkuvan kaluston lisäksi</w:t>
            </w:r>
          </w:p>
        </w:tc>
      </w:tr>
      <w:tr w:rsidR="00E42B18" w14:paraId="700A56EF"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2F4BC8" w14:textId="77777777" w:rsidR="00E42B18" w:rsidRDefault="009629C4">
            <w:pPr>
              <w:pStyle w:val="P68B1DB1-Normal11"/>
              <w:spacing w:after="120"/>
              <w:jc w:val="center"/>
              <w:rPr>
                <w:noProof/>
                <w:szCs w:val="20"/>
              </w:rPr>
            </w:pPr>
            <w:r>
              <w:rPr>
                <w:noProof/>
              </w:rPr>
              <w:t>M7–32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B201C" w14:textId="77777777" w:rsidR="00E42B18" w:rsidRDefault="009629C4">
            <w:pPr>
              <w:pStyle w:val="P68B1DB1-Normal11"/>
              <w:spacing w:after="120"/>
              <w:jc w:val="center"/>
              <w:rPr>
                <w:noProof/>
                <w:szCs w:val="20"/>
              </w:rPr>
            </w:pPr>
            <w:r>
              <w:rPr>
                <w:noProof/>
              </w:rPr>
              <w:t>Investointi 12 Rahoitusväline kansainvälisen, teollisen ja t &amp; k-johtajuuden kehittämiseksi päästöttömien linja-autojen alalla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8B8D97" w14:textId="77777777" w:rsidR="00E42B18" w:rsidRDefault="009629C4">
            <w:pPr>
              <w:pStyle w:val="P68B1DB1-Normal11"/>
              <w:spacing w:after="120"/>
              <w:jc w:val="center"/>
              <w:rPr>
                <w:noProof/>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C3B544" w14:textId="77777777" w:rsidR="00E42B18" w:rsidRDefault="009629C4">
            <w:pPr>
              <w:pStyle w:val="P68B1DB1-Normal11"/>
              <w:spacing w:after="120"/>
              <w:jc w:val="center"/>
              <w:rPr>
                <w:noProof/>
              </w:rPr>
            </w:pPr>
            <w:r>
              <w:rPr>
                <w:noProof/>
              </w:rPr>
              <w:t>Täytäntöönpanosopimus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0DE29E" w14:textId="77777777" w:rsidR="00E42B18" w:rsidRDefault="009629C4">
            <w:pPr>
              <w:pStyle w:val="P68B1DB1-Normal11"/>
              <w:spacing w:after="120"/>
              <w:jc w:val="center"/>
              <w:rPr>
                <w:noProof/>
                <w:szCs w:val="20"/>
              </w:rPr>
            </w:pPr>
            <w:r>
              <w:rPr>
                <w:noProof/>
              </w:rPr>
              <w:t>Täytäntöönpanosopimuksen voimaantulo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BBD56" w14:textId="77777777" w:rsidR="00E42B18" w:rsidRDefault="009629C4">
            <w:pPr>
              <w:pStyle w:val="P68B1DB1-Normal11"/>
              <w:spacing w:after="120"/>
              <w:jc w:val="center"/>
              <w:rPr>
                <w:noProof/>
              </w:rPr>
            </w:pPr>
            <w:r>
              <w:rPr>
                <w:noProof/>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5B627D" w14:textId="77777777" w:rsidR="00E42B18" w:rsidRDefault="00E42B18">
            <w:pPr>
              <w:spacing w:after="120"/>
              <w:jc w:val="center"/>
              <w:rPr>
                <w:rFonts w:ascii="Arial Narrow" w:hAnsi="Arial Narrow"/>
                <w:noProof/>
                <w:color w:val="0061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DE0B82" w14:textId="77777777" w:rsidR="00E42B18" w:rsidRDefault="009629C4">
            <w:pPr>
              <w:pStyle w:val="P68B1DB1-Normal11"/>
              <w:spacing w:after="120"/>
              <w:jc w:val="center"/>
              <w:rPr>
                <w:noProof/>
              </w:rPr>
            </w:pPr>
            <w:r>
              <w:rPr>
                <w:noProof/>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C599B" w14:textId="77777777" w:rsidR="00E42B18" w:rsidRDefault="009629C4">
            <w:pPr>
              <w:pStyle w:val="P68B1DB1-Normal11"/>
              <w:spacing w:after="120"/>
              <w:jc w:val="center"/>
              <w:rPr>
                <w:noProof/>
              </w:rPr>
            </w:pPr>
            <w:r>
              <w:rPr>
                <w:noProof/>
              </w:rPr>
              <w:t>Q1</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B69847" w14:textId="77777777" w:rsidR="00E42B18" w:rsidRDefault="009629C4">
            <w:pPr>
              <w:pStyle w:val="P68B1DB1-Normal11"/>
              <w:spacing w:after="120"/>
              <w:jc w:val="center"/>
              <w:rPr>
                <w:noProof/>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FCB721" w14:textId="77777777" w:rsidR="00E42B18" w:rsidRDefault="009629C4">
            <w:pPr>
              <w:pStyle w:val="P68B1DB1-Normal11"/>
              <w:jc w:val="both"/>
              <w:rPr>
                <w:noProof/>
              </w:rPr>
            </w:pPr>
            <w:r>
              <w:rPr>
                <w:noProof/>
              </w:rPr>
              <w:t>Täytäntöönpanosopimus tulee voimaan.</w:t>
            </w:r>
          </w:p>
        </w:tc>
      </w:tr>
      <w:tr w:rsidR="00E42B18" w14:paraId="6BFC66F1"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60908" w14:textId="77777777" w:rsidR="00E42B18" w:rsidRDefault="009629C4">
            <w:pPr>
              <w:pStyle w:val="P68B1DB1-Normal11"/>
              <w:spacing w:after="120"/>
              <w:jc w:val="center"/>
              <w:rPr>
                <w:noProof/>
              </w:rPr>
            </w:pPr>
            <w:r>
              <w:rPr>
                <w:noProof/>
              </w:rPr>
              <w:t>M7–50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55BA2" w14:textId="532D7DF6" w:rsidR="00E42B18" w:rsidRDefault="009629C4">
            <w:pPr>
              <w:pStyle w:val="P68B1DB1-Normal12"/>
              <w:spacing w:after="120"/>
              <w:jc w:val="center"/>
              <w:rPr>
                <w:noProof/>
              </w:rPr>
            </w:pPr>
            <w:r>
              <w:rPr>
                <w:noProof/>
              </w:rPr>
              <w:t>Investointi 18 – Laajennustoimenpide: Yksityisten ja kevyiden hyötyajoneuvojen ajoneuvokannan uusimisohjelma sähköajoneuvoilla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194CFE" w14:textId="77777777" w:rsidR="00E42B18" w:rsidRDefault="009629C4">
            <w:pPr>
              <w:pStyle w:val="P68B1DB1-Normal11"/>
              <w:spacing w:after="120"/>
              <w:jc w:val="center"/>
              <w:rPr>
                <w:noProof/>
              </w:rPr>
            </w:pPr>
            <w:r>
              <w:rPr>
                <w:noProof/>
              </w:rPr>
              <w:t>Kohde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AB588E" w14:textId="77777777" w:rsidR="00E42B18" w:rsidRDefault="009629C4">
            <w:pPr>
              <w:pStyle w:val="P68B1DB1-Normal12"/>
              <w:spacing w:after="120"/>
              <w:jc w:val="center"/>
              <w:rPr>
                <w:noProof/>
              </w:rPr>
            </w:pPr>
            <w:r>
              <w:rPr>
                <w:noProof/>
              </w:rPr>
              <w:t>Ostettujen ajoneuvojen lukumäärä</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7126D6" w14:textId="77777777" w:rsidR="00E42B18" w:rsidRDefault="009629C4">
            <w:pPr>
              <w:pStyle w:val="P68B1DB1-Normal11"/>
              <w:spacing w:after="120"/>
              <w:jc w:val="center"/>
              <w:rPr>
                <w:noProof/>
              </w:rPr>
            </w:pPr>
            <w:r>
              <w:rPr>
                <w:noProof/>
              </w:rPr>
              <w:t>EI OLE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EBD2C3" w14:textId="77777777" w:rsidR="00E42B18" w:rsidRDefault="009629C4">
            <w:pPr>
              <w:pStyle w:val="P68B1DB1-Normal11"/>
              <w:spacing w:after="120"/>
              <w:jc w:val="center"/>
              <w:rPr>
                <w:noProof/>
              </w:rPr>
            </w:pPr>
            <w:r>
              <w:rPr>
                <w:noProof/>
              </w:rPr>
              <w:t>Numero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012F6C" w14:textId="25FE5254" w:rsidR="00E42B18" w:rsidRDefault="009629C4">
            <w:pPr>
              <w:pStyle w:val="P68B1DB1-Normal12"/>
              <w:spacing w:after="120"/>
              <w:jc w:val="center"/>
              <w:rPr>
                <w:noProof/>
              </w:rPr>
            </w:pPr>
            <w:r>
              <w:rPr>
                <w:noProof/>
              </w:rPr>
              <w:t>30 830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51EFF" w14:textId="79E98383" w:rsidR="00E42B18" w:rsidRDefault="009629C4">
            <w:pPr>
              <w:pStyle w:val="P68B1DB1-Normal11"/>
              <w:spacing w:after="120"/>
              <w:jc w:val="center"/>
              <w:rPr>
                <w:noProof/>
              </w:rPr>
            </w:pPr>
            <w:r>
              <w:rPr>
                <w:noProof/>
              </w:rPr>
              <w:t>46 500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02F188" w14:textId="77777777" w:rsidR="00E42B18" w:rsidRDefault="009629C4">
            <w:pPr>
              <w:pStyle w:val="P68B1DB1-Normal11"/>
              <w:spacing w:after="120"/>
              <w:jc w:val="center"/>
              <w:rPr>
                <w:noProof/>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8C088" w14:textId="77777777" w:rsidR="00E42B18" w:rsidRDefault="009629C4">
            <w:pPr>
              <w:pStyle w:val="P68B1DB1-Normal11"/>
              <w:spacing w:after="120"/>
              <w:jc w:val="center"/>
              <w:rPr>
                <w:noProof/>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ED7E2" w14:textId="62BDE14E" w:rsidR="00E42B18" w:rsidRDefault="009629C4">
            <w:pPr>
              <w:pStyle w:val="P68B1DB1-Normal11"/>
              <w:spacing w:after="120"/>
              <w:rPr>
                <w:noProof/>
                <w:szCs w:val="20"/>
              </w:rPr>
            </w:pPr>
            <w:r>
              <w:rPr>
                <w:noProof/>
                <w:szCs w:val="20"/>
              </w:rPr>
              <w:t xml:space="preserve">Vähintään 46500 päästöttömän ajoneuvon ostosopimukset. </w:t>
            </w:r>
          </w:p>
          <w:p w14:paraId="27ACAE9A" w14:textId="77777777" w:rsidR="00E42B18" w:rsidRDefault="009629C4">
            <w:pPr>
              <w:pStyle w:val="P68B1DB1-Normal12"/>
              <w:spacing w:after="120"/>
              <w:jc w:val="both"/>
              <w:rPr>
                <w:noProof/>
              </w:rPr>
            </w:pPr>
            <w:r>
              <w:rPr>
                <w:noProof/>
              </w:rPr>
              <w:t>Jokaisesta ajoneuvosta on myös toimitettava romutustodistus, jolla lämpöajoneuvon romuttaminen poistetaan.</w:t>
            </w:r>
          </w:p>
          <w:p w14:paraId="26B317F3" w14:textId="77777777" w:rsidR="00E42B18" w:rsidRDefault="009629C4">
            <w:pPr>
              <w:pStyle w:val="P68B1DB1-Normal12"/>
              <w:spacing w:after="120"/>
              <w:rPr>
                <w:noProof/>
              </w:rPr>
            </w:pPr>
            <w:r>
              <w:rPr>
                <w:noProof/>
              </w:rPr>
              <w:t>Järjestelmän on kohdistuttava seuraaviin:</w:t>
            </w:r>
          </w:p>
          <w:p w14:paraId="3FAA7C20" w14:textId="5D5C6260" w:rsidR="00E42B18" w:rsidRDefault="009629C4">
            <w:pPr>
              <w:pStyle w:val="P68B1DB1-Normal12"/>
              <w:spacing w:after="120"/>
              <w:rPr>
                <w:noProof/>
              </w:rPr>
            </w:pPr>
            <w:r>
              <w:rPr>
                <w:noProof/>
              </w:rPr>
              <w:t>• Toiminnallisilla kaupunkialueilla asuvat henkilöt. Yksityishenkilöiden osalta tukikelpoisia ovat ainoastaan M1-luokan ajoneuvot.</w:t>
            </w:r>
          </w:p>
          <w:p w14:paraId="0A68AFF8" w14:textId="21983616" w:rsidR="00E42B18" w:rsidRDefault="009629C4">
            <w:pPr>
              <w:pStyle w:val="P68B1DB1-Normal12"/>
              <w:spacing w:after="120"/>
              <w:rPr>
                <w:noProof/>
              </w:rPr>
            </w:pPr>
            <w:r>
              <w:rPr>
                <w:noProof/>
              </w:rPr>
              <w:t>• Asetuksen (EU) 2023/955 2 artiklan 9 alakohdassa määritellyt mikroyritykset, joiden sääntömääräinen kotipaikka on toiminnallisilla kaupunkialueilla. Mikroyritysten osalta tukikelpoisia ovat ainoastaan N1- ja N2-luokan ajoneuvot.</w:t>
            </w:r>
          </w:p>
          <w:p w14:paraId="6D33767D" w14:textId="1875A1AC" w:rsidR="00E42B18" w:rsidRDefault="009629C4">
            <w:pPr>
              <w:pStyle w:val="P68B1DB1-Normal12"/>
              <w:spacing w:after="120"/>
              <w:rPr>
                <w:noProof/>
              </w:rPr>
            </w:pPr>
            <w:r>
              <w:rPr>
                <w:noProof/>
              </w:rPr>
              <w:t xml:space="preserve">Yksityisajoneuvojen (M1) osalta kannustin on enintään 11000 euroa uutta ajoneuvoa kohti sellaisten henkilöiden osalta, joiden vastaava taloudellinen tilanneindikaattori (ISEE – Indicatore della Situazione Economica Equivalente) on enintään 30000 euroa, ja enintään 9000 euroa uutta ajoneuvoa kohti niiden henkilöiden osalta, joiden ISEE-arvo on yli 30000 euroa mutta alle 40000 euroa. Hyötyajoneuvojen (N1 ja N2) osalta kannustimen on katettava enintään 30 prosenttia ostohinnasta, ja se saa olla enintään 20000 euroa uutta ajoneuvoa kohti. </w:t>
            </w:r>
          </w:p>
          <w:p w14:paraId="6A55787E" w14:textId="77777777" w:rsidR="00E42B18" w:rsidRDefault="009629C4">
            <w:pPr>
              <w:pStyle w:val="P68B1DB1-Normal12"/>
              <w:jc w:val="both"/>
              <w:rPr>
                <w:noProof/>
              </w:rPr>
            </w:pPr>
            <w:r>
              <w:rPr>
                <w:noProof/>
              </w:rPr>
              <w:t>Järjestelmän on kohdistuttava ainoastaan päästöttömien ajoneuvojen hankintaan.</w:t>
            </w:r>
          </w:p>
        </w:tc>
      </w:tr>
    </w:tbl>
    <w:p w14:paraId="4D061E57" w14:textId="77777777" w:rsidR="00E42B18" w:rsidRDefault="00E42B18">
      <w:pPr>
        <w:tabs>
          <w:tab w:val="left" w:pos="4252"/>
        </w:tabs>
        <w:spacing w:after="120"/>
        <w:rPr>
          <w:i/>
          <w:noProof/>
        </w:rPr>
        <w:sectPr w:rsidR="00E42B18" w:rsidSect="005F11B9">
          <w:headerReference w:type="default" r:id="rId322"/>
          <w:footerReference w:type="default" r:id="rId323"/>
          <w:pgSz w:w="16838" w:h="11906" w:orient="landscape" w:code="9"/>
          <w:pgMar w:top="1134" w:right="1134" w:bottom="1134" w:left="1134" w:header="567" w:footer="567" w:gutter="0"/>
          <w:cols w:space="720"/>
          <w:docGrid w:linePitch="360"/>
        </w:sectPr>
      </w:pPr>
    </w:p>
    <w:p w14:paraId="7EC6D3EE" w14:textId="0D4AA0C6" w:rsidR="00E42B18" w:rsidRDefault="009629C4">
      <w:pPr>
        <w:pStyle w:val="P68B1DB1-Heading368"/>
        <w:ind w:left="850" w:hanging="850"/>
        <w:rPr>
          <w:bCs/>
          <w:noProof/>
        </w:rPr>
      </w:pPr>
      <w:bookmarkStart w:id="27" w:name="_Hlk180665465"/>
      <w:r>
        <w:rPr>
          <w:noProof/>
        </w:rPr>
        <w:t xml:space="preserve">KYSYMYS 3 </w:t>
      </w:r>
      <w:r>
        <w:rPr>
          <w:noProof/>
        </w:rPr>
        <w:tab/>
        <w:t xml:space="preserve">Kuvaus lainamuotoisella tuella rahoitettavista uudistuksista ja investoinneista </w:t>
      </w:r>
    </w:p>
    <w:p w14:paraId="2CBD59FB" w14:textId="77777777" w:rsidR="00E42B18" w:rsidRDefault="009629C4">
      <w:pPr>
        <w:pStyle w:val="P68B1DB1-Heading4107"/>
        <w:spacing w:before="0"/>
        <w:rPr>
          <w:noProof/>
        </w:rPr>
      </w:pPr>
      <w:bookmarkStart w:id="28" w:name="_Hlk140650645"/>
      <w:bookmarkEnd w:id="27"/>
      <w:r>
        <w:rPr>
          <w:noProof/>
        </w:rPr>
        <w:t>Investointi 13. Adrianmeren linjan vaihe 1 (Sulmonan kompressoriasema ja Sestino-Minerbio-kaasuputki)</w:t>
      </w:r>
    </w:p>
    <w:p w14:paraId="7731CA39" w14:textId="77777777" w:rsidR="00E42B18" w:rsidRDefault="009629C4">
      <w:pPr>
        <w:pStyle w:val="P68B1DB1-Text143"/>
        <w:spacing w:before="0"/>
        <w:ind w:left="0"/>
        <w:rPr>
          <w:noProof/>
        </w:rPr>
      </w:pPr>
      <w:r>
        <w:rPr>
          <w:noProof/>
        </w:rPr>
        <w:t>Tämän investoinnin tavoitteena on lisätä ja monipuolistaa kaasun, myös nesteytetyn maakaasun, toimitusvarmuutta. Toimenpiteellä rakennetaan Sulmonaan kompressoriasema ja Sestinon ja Minerbion solmukohdat yhdistävä kaasuputki osana Adrianmeren linjaa.</w:t>
      </w:r>
    </w:p>
    <w:p w14:paraId="4C27D6F4" w14:textId="77777777" w:rsidR="00E42B18" w:rsidRDefault="009629C4">
      <w:pPr>
        <w:pStyle w:val="P68B1DB1-Heading4107"/>
        <w:numPr>
          <w:ilvl w:val="3"/>
          <w:numId w:val="0"/>
        </w:numPr>
        <w:ind w:left="850" w:hanging="850"/>
        <w:rPr>
          <w:noProof/>
        </w:rPr>
      </w:pPr>
      <w:r>
        <w:rPr>
          <w:noProof/>
        </w:rPr>
        <w:t>Investointi 14. Rajat ylittävä kaasun vientiinfrastruktuuri</w:t>
      </w:r>
    </w:p>
    <w:p w14:paraId="2F6E3E5C" w14:textId="77777777" w:rsidR="00E42B18" w:rsidRDefault="009629C4">
      <w:pPr>
        <w:pStyle w:val="P68B1DB1-Text143"/>
        <w:spacing w:before="0"/>
        <w:ind w:left="0"/>
        <w:rPr>
          <w:noProof/>
        </w:rPr>
      </w:pPr>
      <w:r>
        <w:rPr>
          <w:noProof/>
        </w:rPr>
        <w:t>Tämän investoinnin tavoitteena on lisätä ja monipuolistaa kaasun, myös nesteytetyn maakaasun, toimitusvarmuutta. Investoinnilla parannetaan olemassa olevaa kaasuinfrastruktuuria, joka mahdollistaa maakaasun viennin Tarvision poistumispisteen kautta, erityisesti rakentamalla Poggio Renaticon kompressoriasemalle uuden sähköisen puristusyksikön.</w:t>
      </w:r>
    </w:p>
    <w:p w14:paraId="335B2298" w14:textId="77777777" w:rsidR="00E42B18" w:rsidRDefault="009629C4">
      <w:pPr>
        <w:pStyle w:val="P68B1DB1-Heading4107"/>
        <w:numPr>
          <w:ilvl w:val="3"/>
          <w:numId w:val="0"/>
        </w:numPr>
        <w:ind w:left="850" w:hanging="850"/>
        <w:rPr>
          <w:noProof/>
        </w:rPr>
      </w:pPr>
      <w:r>
        <w:rPr>
          <w:noProof/>
        </w:rPr>
        <w:t xml:space="preserve">Investointi 15. Transizione 5.0 </w:t>
      </w:r>
    </w:p>
    <w:bookmarkEnd w:id="28"/>
    <w:p w14:paraId="4A4AEC85" w14:textId="63AF0E84" w:rsidR="00E42B18" w:rsidRDefault="009629C4">
      <w:pPr>
        <w:pStyle w:val="P68B1DB1-Normal7"/>
        <w:spacing w:after="120"/>
        <w:jc w:val="both"/>
        <w:rPr>
          <w:noProof/>
        </w:rPr>
      </w:pPr>
      <w:r>
        <w:rPr>
          <w:noProof/>
        </w:rPr>
        <w:t>Tämän investoinnin tavoitteena on tukea yritysten siirtymistä energiatehokkaisiin, kestäviin ja uusiutuviin energialähteisiin perustuviin tuotantomalleihin. Investointi koostuu siitä, että yrityksille myönnetään verohyvitys, joka on oikeassa suhteessa 1. tammikuuta 2024 ja 31. joulukuuta 2025 välisenä aikana aiheutuneisiin tukikelpoisiin kustannuksiin eli digitaalisiin hyödykkeisiin (4.0 aineelliset tuotantohyödykkeet</w:t>
      </w:r>
      <w:r>
        <w:rPr>
          <w:noProof/>
        </w:rPr>
        <w:footnoteReference w:id="97"/>
      </w:r>
      <w:r>
        <w:rPr>
          <w:noProof/>
        </w:rPr>
        <w:t>, 4.0 aineettomat tuotantohyödykkeet), omaan tuotantoon ja omaan kulutukseen uusiutuvista lähteistä (biomassaa lukuun ottamatta) tarvittavaan omaisuuteen ja henkilöstön kouluttamiseen vihreää siirtymää varten tarvittavien taitojen hankkimiseksi. Investointi koostuu myös tietoteknisen tukialustan perustamisesta ja siihen liittyvistä toimista GSE – Gestore Servizi Energeticin hallinnointi-, seuranta- ja valvontatarkoituksia varten.</w:t>
      </w:r>
    </w:p>
    <w:p w14:paraId="42FBCC12" w14:textId="77777777" w:rsidR="00E42B18" w:rsidRDefault="00E42B18">
      <w:pPr>
        <w:spacing w:after="120"/>
        <w:jc w:val="both"/>
        <w:rPr>
          <w:rFonts w:ascii="Times New Roman" w:hAnsi="Times New Roman" w:cs="Times New Roman"/>
          <w:noProof/>
        </w:rPr>
      </w:pPr>
    </w:p>
    <w:p w14:paraId="37609936" w14:textId="77777777" w:rsidR="00E42B18" w:rsidRDefault="009629C4">
      <w:pPr>
        <w:pStyle w:val="P68B1DB1-Heading4107"/>
        <w:numPr>
          <w:ilvl w:val="3"/>
          <w:numId w:val="0"/>
        </w:numPr>
        <w:rPr>
          <w:noProof/>
        </w:rPr>
      </w:pPr>
      <w:r>
        <w:rPr>
          <w:noProof/>
        </w:rPr>
        <w:t>Investointi 16. Tuki pk-yrityksille, jotta ne voivat tuottaa itse tuotantoaan uusiutuvista energialähteistä</w:t>
      </w:r>
    </w:p>
    <w:p w14:paraId="0FE27FDE" w14:textId="77777777" w:rsidR="00E42B18" w:rsidRDefault="009629C4">
      <w:pPr>
        <w:pStyle w:val="P68B1DB1-Normal7"/>
        <w:spacing w:after="120"/>
        <w:jc w:val="both"/>
        <w:rPr>
          <w:noProof/>
        </w:rPr>
      </w:pPr>
      <w:r>
        <w:rPr>
          <w:noProof/>
        </w:rPr>
        <w:t xml:space="preserve">Tämä toimenpide koostuu julkisesta investoinnista tukiohjelmaan, jolla </w:t>
      </w:r>
      <w:r>
        <w:rPr>
          <w:i/>
          <w:noProof/>
        </w:rPr>
        <w:t xml:space="preserve">tuetaan pk-yritysten omaa tuotantoa uusiutuvista energialähteistä, jotta voidaan </w:t>
      </w:r>
      <w:r>
        <w:rPr>
          <w:noProof/>
        </w:rPr>
        <w:t>kannustaa yksityisiä investointeja ja parantaa rahoituksen saantia Italiassa uusiutuvista lähteistä peräisin olevan energian omaan tuotantoon.</w:t>
      </w:r>
    </w:p>
    <w:p w14:paraId="7F50138E" w14:textId="27358390" w:rsidR="00E42B18" w:rsidRDefault="009629C4">
      <w:pPr>
        <w:spacing w:after="120"/>
        <w:jc w:val="both"/>
        <w:rPr>
          <w:rFonts w:ascii="Times New Roman" w:hAnsi="Times New Roman" w:cs="Times New Roman"/>
          <w:noProof/>
        </w:rPr>
      </w:pPr>
      <w:r>
        <w:rPr>
          <w:rFonts w:ascii="Times New Roman" w:hAnsi="Times New Roman" w:cs="Times New Roman"/>
          <w:noProof/>
        </w:rPr>
        <w:t>Ohjelman tavoitteena on tukea mikroyrityksiä sekä pieniä ja keskisuuria yrityksiä (pk-yrityksiä) sellaisten investointiohjelmien täytäntöönpanossa, joiden tavoitteena on tuottaa energiaa itse uusiutuvista lähteistä</w:t>
      </w:r>
      <w:r>
        <w:rPr>
          <w:rStyle w:val="FootnoteReference"/>
          <w:rFonts w:ascii="Times New Roman" w:hAnsi="Times New Roman" w:cs="Times New Roman"/>
          <w:noProof/>
        </w:rPr>
        <w:footnoteReference w:id="98"/>
      </w:r>
      <w:r>
        <w:rPr>
          <w:rFonts w:ascii="Times New Roman" w:hAnsi="Times New Roman" w:cs="Times New Roman"/>
          <w:noProof/>
        </w:rPr>
        <w:t xml:space="preserve">. </w:t>
      </w:r>
    </w:p>
    <w:p w14:paraId="3E0B195C" w14:textId="1A2AA8D3" w:rsidR="00E42B18" w:rsidRDefault="009629C4">
      <w:pPr>
        <w:pStyle w:val="P68B1DB1-Normal7"/>
        <w:spacing w:after="120"/>
        <w:rPr>
          <w:noProof/>
        </w:rPr>
      </w:pPr>
      <w:r>
        <w:rPr>
          <w:noProof/>
        </w:rPr>
        <w:t>Ohjelma toimii myöntämällä avustuksia suoraan yksityiselle sektorille.</w:t>
      </w:r>
    </w:p>
    <w:p w14:paraId="4AD8B21E" w14:textId="77777777" w:rsidR="00E42B18" w:rsidRDefault="009629C4">
      <w:pPr>
        <w:pStyle w:val="P68B1DB1-Normal7"/>
        <w:spacing w:after="120"/>
        <w:jc w:val="both"/>
        <w:rPr>
          <w:noProof/>
        </w:rPr>
      </w:pPr>
      <w:r>
        <w:rPr>
          <w:noProof/>
        </w:rPr>
        <w:t>Järjestelmää hallinnoi toteutuskumppanina toimiva Invitalia SpA. Ohjelman on sisällettävä seuraavat tuotelinjat:</w:t>
      </w:r>
    </w:p>
    <w:p w14:paraId="7635FE9D" w14:textId="680AA7D8" w:rsidR="00E42B18" w:rsidRDefault="009629C4">
      <w:pPr>
        <w:pStyle w:val="P68B1DB1-ListParagraph37"/>
        <w:numPr>
          <w:ilvl w:val="0"/>
          <w:numId w:val="38"/>
        </w:numPr>
        <w:spacing w:after="120" w:line="240" w:lineRule="auto"/>
        <w:jc w:val="both"/>
        <w:rPr>
          <w:noProof/>
        </w:rPr>
      </w:pPr>
      <w:r>
        <w:rPr>
          <w:noProof/>
        </w:rPr>
        <w:t>rahoitusosuudet, joita ei makseta takaisin ja joiden osuus kokonaisinvestoinneista on vähintään 30 prosenttia sellaisten järjestelmien ja niihin liittyvän digitaaliteknologian hankintaan, jotka mahdollistavat energian suoran tuotannon uusiutuvista lähteistä omaan kulutukseen välittömästi tai keräys- tai varastointijärjestelmien kautta.</w:t>
      </w:r>
    </w:p>
    <w:p w14:paraId="1075C573" w14:textId="77777777" w:rsidR="00E42B18" w:rsidRDefault="009629C4">
      <w:pPr>
        <w:pStyle w:val="P68B1DB1-Normal7"/>
        <w:spacing w:after="120"/>
        <w:jc w:val="both"/>
        <w:rPr>
          <w:noProof/>
        </w:rPr>
      </w:pPr>
      <w:r>
        <w:rPr>
          <w:noProof/>
        </w:rPr>
        <w:t>Ohjelmaan tehtävän investoinnin toteuttamiseksi Italian ja Invitalia SpA:n on allekirjoitettava täytäntöönpanosopimus, jonka sisältö on seuraava:</w:t>
      </w:r>
    </w:p>
    <w:p w14:paraId="11247C5C" w14:textId="77777777" w:rsidR="00E42B18" w:rsidRDefault="009629C4">
      <w:pPr>
        <w:pStyle w:val="P68B1DB1-LegalNumPar79"/>
        <w:numPr>
          <w:ilvl w:val="0"/>
          <w:numId w:val="177"/>
        </w:numPr>
        <w:spacing w:after="120" w:line="240" w:lineRule="auto"/>
        <w:rPr>
          <w:rFonts w:eastAsia="Times New Roman"/>
          <w:noProof/>
        </w:rPr>
      </w:pPr>
      <w:r>
        <w:rPr>
          <w:noProof/>
        </w:rPr>
        <w:t>Kuvaus ohjelman päätöksentekoprosessista: Järjestelmän lopullisen investointipäätöksen tekee investointikomitea tai muu vastaava hallintoelin, ja se hyväksytään hallituksesta riippumattomien jäsenten äänten enemmistöllä.</w:t>
      </w:r>
    </w:p>
    <w:p w14:paraId="3FC39603" w14:textId="77777777" w:rsidR="00E42B18" w:rsidRDefault="009629C4">
      <w:pPr>
        <w:pStyle w:val="P68B1DB1-LegalNumPar79"/>
        <w:spacing w:after="120" w:line="240" w:lineRule="auto"/>
        <w:jc w:val="both"/>
        <w:rPr>
          <w:noProof/>
        </w:rPr>
      </w:pPr>
      <w:r>
        <w:rPr>
          <w:noProof/>
        </w:rPr>
        <w:t>Asiaan liittyvän sijoituspolitiikan keskeiset vaatimukset,</w:t>
      </w:r>
      <w:r>
        <w:rPr>
          <w:b/>
          <w:noProof/>
        </w:rPr>
        <w:t xml:space="preserve"> </w:t>
      </w:r>
      <w:r>
        <w:rPr>
          <w:noProof/>
        </w:rPr>
        <w:t>joihin kuuluvat:</w:t>
      </w:r>
    </w:p>
    <w:p w14:paraId="4D5EBA98" w14:textId="77777777" w:rsidR="00E42B18" w:rsidRDefault="009629C4">
      <w:pPr>
        <w:pStyle w:val="P68B1DB1-LegalNumPar280"/>
        <w:numPr>
          <w:ilvl w:val="1"/>
          <w:numId w:val="47"/>
        </w:numPr>
        <w:spacing w:after="120" w:line="240" w:lineRule="auto"/>
        <w:ind w:left="1418"/>
        <w:jc w:val="both"/>
        <w:rPr>
          <w:noProof/>
        </w:rPr>
      </w:pPr>
      <w:r>
        <w:rPr>
          <w:noProof/>
        </w:rPr>
        <w:t xml:space="preserve">Kuvaus tarjotun tuen tyypistä ja tukikelpoisista lopullisista tuensaajista. </w:t>
      </w:r>
    </w:p>
    <w:p w14:paraId="46293A53" w14:textId="77777777" w:rsidR="00E42B18" w:rsidRDefault="009629C4">
      <w:pPr>
        <w:pStyle w:val="P68B1DB1-LegalNumPar280"/>
        <w:numPr>
          <w:ilvl w:val="1"/>
          <w:numId w:val="47"/>
        </w:numPr>
        <w:spacing w:after="120" w:line="240" w:lineRule="auto"/>
        <w:ind w:left="1418"/>
        <w:jc w:val="both"/>
        <w:rPr>
          <w:noProof/>
        </w:rPr>
      </w:pPr>
      <w:r>
        <w:rPr>
          <w:noProof/>
        </w:rPr>
        <w:t>Vaatimus, jonka mukaan kaikkien tuettujen investointien on oltava taloudellisesti kannattavia</w:t>
      </w:r>
      <w:r>
        <w:rPr>
          <w:b/>
          <w:noProof/>
        </w:rPr>
        <w:t>.</w:t>
      </w:r>
    </w:p>
    <w:p w14:paraId="36AF6B94" w14:textId="719B75A0" w:rsidR="00E42B18" w:rsidRDefault="009629C4">
      <w:pPr>
        <w:pStyle w:val="P68B1DB1-LegalNumPar280"/>
        <w:spacing w:after="120" w:line="240" w:lineRule="auto"/>
        <w:ind w:left="1418"/>
        <w:jc w:val="both"/>
        <w:rPr>
          <w:noProof/>
        </w:rPr>
      </w:pPr>
      <w:r>
        <w:rPr>
          <w:noProof/>
        </w:rPr>
        <w:t>Vaatimus noudattaa ”ei merkittävää haittaa” -periaatetta sitä koskevien teknisten ohjeiden (2021/C58/01) mukaisesti. Erityisesti kun on kyse yrityksille annettavasta yleisestä tuesta, investointipolitiikan ulkopuolelle on jätettävä yritykset,</w:t>
      </w:r>
      <w:r>
        <w:rPr>
          <w:noProof/>
        </w:rPr>
        <w:footnoteReference w:id="99"/>
      </w:r>
      <w:r>
        <w:rPr>
          <w:noProof/>
        </w:rPr>
        <w:t xml:space="preserve"> jotka keskittyvät erityisesti seuraaviin aloihin: I) fossiilisiin polttoaineisiin perustuva energiantuotanto ja siihen liittyvä toiminta</w:t>
      </w:r>
      <w:r>
        <w:rPr>
          <w:noProof/>
        </w:rPr>
        <w:footnoteReference w:id="100"/>
      </w:r>
      <w:r>
        <w:rPr>
          <w:noProof/>
        </w:rPr>
        <w:t>; II) energiaintensiiviset ja/tai paljon hiilidioksidipäästöjä aiheuttavat teollisuudenalat</w:t>
      </w:r>
      <w:r>
        <w:rPr>
          <w:noProof/>
        </w:rPr>
        <w:footnoteReference w:id="101"/>
      </w:r>
      <w:r>
        <w:rPr>
          <w:noProof/>
        </w:rPr>
        <w:t>; III) saastuttavien ajoneuvojen tuotanto, vuokraus tai myynti</w:t>
      </w:r>
      <w:r>
        <w:rPr>
          <w:noProof/>
        </w:rPr>
        <w:footnoteReference w:id="102"/>
      </w:r>
      <w:r>
        <w:rPr>
          <w:noProof/>
        </w:rPr>
        <w:t>; IV) jätteiden keruu, käsittely ja</w:t>
      </w:r>
      <w:r>
        <w:rPr>
          <w:noProof/>
        </w:rPr>
        <w:footnoteReference w:id="103"/>
      </w:r>
      <w:r>
        <w:rPr>
          <w:noProof/>
        </w:rPr>
        <w:t>loppusijoitus, v) ydinpolttoaineen käsittely, ydinenergian tuotanto. Lisäksi investointipolitiikassa on edellytettävä, että ohjelman lopulliset edunsaajat</w:t>
      </w:r>
      <w:r>
        <w:rPr>
          <w:b/>
          <w:noProof/>
        </w:rPr>
        <w:t xml:space="preserve"> </w:t>
      </w:r>
      <w:r>
        <w:rPr>
          <w:noProof/>
        </w:rPr>
        <w:t xml:space="preserve">noudattavat asiaankuuluvaa EU:n ja kansallista ympäristölainsäädäntöä. </w:t>
      </w:r>
    </w:p>
    <w:p w14:paraId="02BED60D" w14:textId="77777777" w:rsidR="00E42B18" w:rsidRDefault="009629C4">
      <w:pPr>
        <w:pStyle w:val="P68B1DB1-LegalNumPar280"/>
        <w:numPr>
          <w:ilvl w:val="1"/>
          <w:numId w:val="47"/>
        </w:numPr>
        <w:spacing w:after="120" w:line="240" w:lineRule="auto"/>
        <w:ind w:left="1418"/>
        <w:jc w:val="both"/>
        <w:rPr>
          <w:bCs/>
          <w:noProof/>
        </w:rPr>
      </w:pPr>
      <w:r>
        <w:rPr>
          <w:noProof/>
        </w:rPr>
        <w:t>Vaatimus siitä, että ohjelman lopulliset tuensaajat eivät saa tukea muista unionin välineistä samojen kustannusten kattamiseen.</w:t>
      </w:r>
    </w:p>
    <w:p w14:paraId="6E26568F" w14:textId="77777777" w:rsidR="00E42B18" w:rsidRDefault="009629C4">
      <w:pPr>
        <w:pStyle w:val="P68B1DB1-LegalNumPar112"/>
        <w:spacing w:after="120" w:line="240" w:lineRule="auto"/>
        <w:jc w:val="both"/>
        <w:rPr>
          <w:rFonts w:cs="Times New Roman"/>
          <w:noProof/>
        </w:rPr>
      </w:pPr>
      <w:r>
        <w:rPr>
          <w:noProof/>
        </w:rPr>
        <w:t>Täytäntöönpanosopimuksen kattama määrä, toteutuskumppanin maksurakenne ja vaatimus sijoittaa järjestelmän käyttämättömät tuotot, myös vuoden 2026 jälkeen, samoihin toimintapoliittisiin tarkoituksiin.</w:t>
      </w:r>
    </w:p>
    <w:p w14:paraId="4FD3A1BD" w14:textId="77777777" w:rsidR="00E42B18" w:rsidRDefault="009629C4">
      <w:pPr>
        <w:pStyle w:val="P68B1DB1-LegalNumPar112"/>
        <w:spacing w:after="120" w:line="240" w:lineRule="auto"/>
        <w:jc w:val="both"/>
        <w:rPr>
          <w:rFonts w:cs="Times New Roman"/>
          <w:noProof/>
        </w:rPr>
      </w:pPr>
      <w:r>
        <w:rPr>
          <w:noProof/>
        </w:rPr>
        <w:t>Seuranta-, valvonta- ja tarkastusvaatimukset, joihin sisältyvät</w:t>
      </w:r>
    </w:p>
    <w:p w14:paraId="04F0AEE6" w14:textId="77777777" w:rsidR="00E42B18" w:rsidRDefault="009629C4">
      <w:pPr>
        <w:pStyle w:val="P68B1DB1-Normal96"/>
        <w:numPr>
          <w:ilvl w:val="0"/>
          <w:numId w:val="46"/>
        </w:numPr>
        <w:spacing w:after="120" w:line="240" w:lineRule="auto"/>
        <w:jc w:val="both"/>
        <w:rPr>
          <w:rFonts w:hint="default"/>
          <w:noProof/>
        </w:rPr>
      </w:pPr>
      <w:r>
        <w:rPr>
          <w:noProof/>
        </w:rPr>
        <w:t>Kuvaus toteutuskumppanin seurantajärjestelmästä, jolla raportoidaan mobilisoiduista investoinneista.</w:t>
      </w:r>
    </w:p>
    <w:p w14:paraId="20725BDD" w14:textId="77777777" w:rsidR="00E42B18" w:rsidRDefault="009629C4">
      <w:pPr>
        <w:pStyle w:val="P68B1DB1-Normal96"/>
        <w:numPr>
          <w:ilvl w:val="0"/>
          <w:numId w:val="46"/>
        </w:numPr>
        <w:spacing w:after="120" w:line="240" w:lineRule="auto"/>
        <w:jc w:val="both"/>
        <w:rPr>
          <w:rFonts w:hint="default"/>
          <w:noProof/>
        </w:rPr>
      </w:pPr>
      <w:r>
        <w:rPr>
          <w:noProof/>
        </w:rPr>
        <w:t xml:space="preserve">Kuvaus toteutuskumppanin menettelyistä, joilla varmistetaan petosten, lahjonnan ja eturistiriitojen ehkäiseminen, havaitseminen ja korjaaminen. </w:t>
      </w:r>
    </w:p>
    <w:p w14:paraId="5E3AEA80" w14:textId="77777777" w:rsidR="00E42B18" w:rsidRDefault="009629C4">
      <w:pPr>
        <w:pStyle w:val="P68B1DB1-Normal7"/>
        <w:numPr>
          <w:ilvl w:val="0"/>
          <w:numId w:val="46"/>
        </w:numPr>
        <w:spacing w:after="120" w:line="240" w:lineRule="auto"/>
        <w:jc w:val="both"/>
        <w:rPr>
          <w:noProof/>
        </w:rPr>
      </w:pPr>
      <w:r>
        <w:rPr>
          <w:noProof/>
        </w:rPr>
        <w:t>Velvoite tarkistaa kunkin toimen tukikelpoisuus täytäntöönpanosopimuksessa vahvistettujen vaatimusten mukaisesti ennen sitoutumista toimen rahoittamiseen.</w:t>
      </w:r>
    </w:p>
    <w:p w14:paraId="154319B4" w14:textId="77777777" w:rsidR="00E42B18" w:rsidRDefault="009629C4">
      <w:pPr>
        <w:pStyle w:val="P68B1DB1-Normal96"/>
        <w:numPr>
          <w:ilvl w:val="0"/>
          <w:numId w:val="46"/>
        </w:numPr>
        <w:spacing w:after="120" w:line="240" w:lineRule="auto"/>
        <w:jc w:val="both"/>
        <w:rPr>
          <w:rFonts w:hint="default"/>
          <w:noProof/>
        </w:rPr>
      </w:pPr>
      <w:r>
        <w:rPr>
          <w:noProof/>
        </w:rPr>
        <w:t xml:space="preserve">Velvollisuus suorittaa riskiperusteisia jälkitarkastuksia Invitalia SpA:n tarkastussuunnitelman mukaisesti. Näillä tarkastuksilla varmistetaan i) valvontajärjestelmien tehokkuus, mukaan lukien petosten, lahjonnan ja eturistiriitojen havaitseminen; II) </w:t>
      </w:r>
      <w:r>
        <w:rPr>
          <w:noProof/>
        </w:rPr>
        <w:t>”</w:t>
      </w:r>
      <w:r>
        <w:rPr>
          <w:noProof/>
        </w:rPr>
        <w:t>ei merkittävää haittaa</w:t>
      </w:r>
      <w:r>
        <w:rPr>
          <w:noProof/>
        </w:rPr>
        <w:t>”</w:t>
      </w:r>
      <w:r>
        <w:rPr>
          <w:noProof/>
        </w:rPr>
        <w:t xml:space="preserve"> -periaatteen, valtiontukisääntöjen ja ilmastotavoitteita koskevien vaatimusten noudattaminen; ja iii) noudatetaan vaatimusta, jonka mukaan järjestelmän lopulliset edunsaajat eivät ole saaneet tukea muista unionin välineistä samojen kustannusten kattamiseksi. Tarkastuksissa on myös todennettava toimien laillisuus ja se, että sovellettavan täytäntöönpanosopimuksen ehtoja noudatetaan. </w:t>
      </w:r>
    </w:p>
    <w:p w14:paraId="5E61A0DD" w14:textId="77777777" w:rsidR="00E42B18" w:rsidRDefault="009629C4">
      <w:pPr>
        <w:pStyle w:val="P68B1DB1-Heading4107"/>
        <w:spacing w:before="0"/>
        <w:rPr>
          <w:noProof/>
        </w:rPr>
      </w:pPr>
      <w:r>
        <w:rPr>
          <w:noProof/>
        </w:rPr>
        <w:t>Investointi 17. Julkisten asuinrakennusten energiaperuskorjausten rahoitusväline</w:t>
      </w:r>
    </w:p>
    <w:p w14:paraId="6265375E" w14:textId="5E043A51" w:rsidR="00E42B18" w:rsidRDefault="009629C4">
      <w:pPr>
        <w:spacing w:after="120"/>
        <w:jc w:val="both"/>
        <w:rPr>
          <w:rFonts w:ascii="Times New Roman" w:hAnsi="Times New Roman" w:cs="Times New Roman"/>
          <w:noProof/>
        </w:rPr>
      </w:pPr>
      <w:r>
        <w:rPr>
          <w:rFonts w:ascii="Times New Roman" w:hAnsi="Times New Roman" w:cs="Times New Roman"/>
          <w:noProof/>
        </w:rPr>
        <w:t>Toimenpiteen tavoitteena on tukea julkisten asuinrakennusten kunnostamista. Tämä toimenpide koostuu julkisesta investoinnista tukivälineeseen, joka on energiaköyhyyden lieventämisen rahoitusväline, jotta voidaan kannustaa yksityisiä investointeja ja parantaa rahoituksen saantia. Väline on kohdennettava julkisten asuinrakennusten energiaperuskorjauksiin, joilla saavutetaan keskimäärin vähintään 30 prosentin vähennys primäärienergian kysynnästä</w:t>
      </w:r>
      <w:r>
        <w:rPr>
          <w:rStyle w:val="FootnoteReference"/>
          <w:rFonts w:ascii="Times New Roman" w:hAnsi="Times New Roman" w:cs="Times New Roman"/>
          <w:noProof/>
        </w:rPr>
        <w:footnoteReference w:id="104"/>
      </w:r>
      <w:r>
        <w:rPr>
          <w:rFonts w:ascii="Times New Roman" w:hAnsi="Times New Roman" w:cs="Times New Roman"/>
          <w:noProof/>
        </w:rPr>
        <w:t xml:space="preserve">. </w:t>
      </w:r>
    </w:p>
    <w:p w14:paraId="6009FF5E" w14:textId="77777777" w:rsidR="00E42B18" w:rsidRDefault="009629C4">
      <w:pPr>
        <w:pStyle w:val="P68B1DB1-Normal7"/>
        <w:rPr>
          <w:noProof/>
        </w:rPr>
      </w:pPr>
      <w:r>
        <w:rPr>
          <w:noProof/>
        </w:rPr>
        <w:t xml:space="preserve">Rahastoa hallinnoi kaksi toteutuskumppania. </w:t>
      </w:r>
    </w:p>
    <w:p w14:paraId="7A969A67" w14:textId="77777777" w:rsidR="00E42B18" w:rsidRDefault="009629C4">
      <w:pPr>
        <w:pStyle w:val="P68B1DB1-ListParagraph37"/>
        <w:numPr>
          <w:ilvl w:val="0"/>
          <w:numId w:val="67"/>
        </w:numPr>
        <w:rPr>
          <w:noProof/>
        </w:rPr>
      </w:pPr>
      <w:r>
        <w:rPr>
          <w:noProof/>
        </w:rPr>
        <w:t>Gestore Servizi Energetici (GSE Spa) avustusosuudesta vastaavana teknisenä kumppanina;</w:t>
      </w:r>
    </w:p>
    <w:p w14:paraId="7EAE58C6" w14:textId="7C3CA09A" w:rsidR="00E42B18" w:rsidRDefault="009629C4">
      <w:pPr>
        <w:pStyle w:val="P68B1DB1-ListParagraph37"/>
        <w:numPr>
          <w:ilvl w:val="0"/>
          <w:numId w:val="67"/>
        </w:numPr>
        <w:rPr>
          <w:noProof/>
        </w:rPr>
      </w:pPr>
      <w:r>
        <w:rPr>
          <w:noProof/>
        </w:rPr>
        <w:t>Cassa Depositi e Prestiti (CDP Spa) rahoituskumppanina ja vastuussa (vapaaehtoisesta) lainaosuudesta.</w:t>
      </w:r>
    </w:p>
    <w:p w14:paraId="2700A690" w14:textId="77777777" w:rsidR="00E42B18" w:rsidRDefault="009629C4">
      <w:pPr>
        <w:pStyle w:val="P68B1DB1-Normal7"/>
        <w:shd w:val="clear" w:color="auto" w:fill="FFFFFF" w:themeFill="background1"/>
        <w:spacing w:after="120"/>
        <w:jc w:val="both"/>
        <w:rPr>
          <w:noProof/>
        </w:rPr>
      </w:pPr>
      <w:r>
        <w:rPr>
          <w:noProof/>
        </w:rPr>
        <w:t xml:space="preserve">Tukivälineestä annetaan rahoitustukea avustuksina ja/tai lainoina energiapalveluyrityksille julkisten asuinrakennusten energiaperuskorjausta varten siten, että primäärienergian kysyntää vähennetään keskimäärin vähintään 30 prosentilla. </w:t>
      </w:r>
    </w:p>
    <w:p w14:paraId="5F02AD8A" w14:textId="790FD170" w:rsidR="00E42B18" w:rsidRDefault="009629C4">
      <w:pPr>
        <w:pStyle w:val="P68B1DB1-Normal7"/>
        <w:spacing w:line="257" w:lineRule="auto"/>
        <w:jc w:val="both"/>
        <w:rPr>
          <w:noProof/>
        </w:rPr>
      </w:pPr>
      <w:r>
        <w:rPr>
          <w:noProof/>
        </w:rPr>
        <w:t xml:space="preserve">Tukivälineen on sisällettävä seuraavat tuotelinjat julkisten asuinrakennusten tukemiseksi:  </w:t>
      </w:r>
    </w:p>
    <w:p w14:paraId="04C87A90" w14:textId="77777777" w:rsidR="00E42B18" w:rsidRDefault="009629C4">
      <w:pPr>
        <w:pStyle w:val="P68B1DB1-ListParagraph100"/>
        <w:numPr>
          <w:ilvl w:val="0"/>
          <w:numId w:val="66"/>
        </w:numPr>
        <w:spacing w:after="0" w:line="257" w:lineRule="auto"/>
        <w:jc w:val="both"/>
        <w:rPr>
          <w:noProof/>
        </w:rPr>
      </w:pPr>
      <w:r>
        <w:rPr>
          <w:noProof/>
        </w:rPr>
        <w:t>Teknisen kumppanin Gestore Servizi Energetici Spa myöntämä avustusosuus, joka kattaa enintään 65 prosenttia kokonaiskustannuksista;</w:t>
      </w:r>
    </w:p>
    <w:p w14:paraId="1A12A601" w14:textId="77777777" w:rsidR="00E42B18" w:rsidRDefault="009629C4">
      <w:pPr>
        <w:pStyle w:val="P68B1DB1-ListParagraph100"/>
        <w:numPr>
          <w:ilvl w:val="0"/>
          <w:numId w:val="66"/>
        </w:numPr>
        <w:spacing w:after="0" w:line="257" w:lineRule="auto"/>
        <w:jc w:val="both"/>
        <w:rPr>
          <w:noProof/>
        </w:rPr>
      </w:pPr>
      <w:r>
        <w:rPr>
          <w:noProof/>
        </w:rPr>
        <w:t>Valinnainen lainaosuus, joka kattaa 35 prosenttia kokonaiskustannuksista. Rahoituskumppani Cassa Depositi e Prestiti voi tarjota lainaosuuden.</w:t>
      </w:r>
    </w:p>
    <w:p w14:paraId="587736F9" w14:textId="77777777" w:rsidR="00E42B18" w:rsidRDefault="00E42B18">
      <w:pPr>
        <w:pStyle w:val="ListParagraph"/>
        <w:spacing w:after="0" w:line="257" w:lineRule="auto"/>
        <w:rPr>
          <w:rFonts w:ascii="Times New Roman" w:hAnsi="Times New Roman" w:cs="Times New Roman"/>
          <w:noProof/>
        </w:rPr>
      </w:pPr>
    </w:p>
    <w:p w14:paraId="7084DAA7" w14:textId="77777777" w:rsidR="00E42B18" w:rsidRDefault="009629C4">
      <w:pPr>
        <w:pStyle w:val="P68B1DB1-Normal7"/>
        <w:spacing w:after="120"/>
        <w:jc w:val="both"/>
        <w:rPr>
          <w:noProof/>
        </w:rPr>
      </w:pPr>
      <w:r>
        <w:rPr>
          <w:noProof/>
        </w:rPr>
        <w:t>Investointivälineeseen tehtävän investoinnin toteuttamiseksi Italia ja toteutuskumppani(t) allekirjoittavat täytäntöönpanosopimuksen (täytäntöönpanosopimukset), jonka sisältö on seuraava:</w:t>
      </w:r>
    </w:p>
    <w:p w14:paraId="33C51D99" w14:textId="77777777" w:rsidR="00E42B18" w:rsidRDefault="009629C4">
      <w:pPr>
        <w:pStyle w:val="P68B1DB1-ListParagraph37"/>
        <w:numPr>
          <w:ilvl w:val="0"/>
          <w:numId w:val="43"/>
        </w:numPr>
        <w:spacing w:after="120" w:line="240" w:lineRule="auto"/>
        <w:ind w:left="709" w:hanging="425"/>
        <w:contextualSpacing w:val="0"/>
        <w:jc w:val="both"/>
        <w:rPr>
          <w:noProof/>
        </w:rPr>
      </w:pPr>
      <w:r>
        <w:rPr>
          <w:noProof/>
        </w:rPr>
        <w:t>Kuvaus tukivälineen päätöksentekoprosessista: Tukivälineen lopullisen investointipäätöksen tekee investointikomitea tai muu vastaava hallintoelin, ja se hyväksytään hallituksesta riippumattomien jäsenten äänten enemmistöllä.</w:t>
      </w:r>
    </w:p>
    <w:p w14:paraId="2C0D43D6" w14:textId="77777777" w:rsidR="00E42B18" w:rsidRDefault="009629C4">
      <w:pPr>
        <w:pStyle w:val="P68B1DB1-ListParagraph37"/>
        <w:numPr>
          <w:ilvl w:val="0"/>
          <w:numId w:val="43"/>
        </w:numPr>
        <w:spacing w:after="120" w:line="240" w:lineRule="auto"/>
        <w:ind w:left="709" w:hanging="425"/>
        <w:contextualSpacing w:val="0"/>
        <w:jc w:val="both"/>
        <w:rPr>
          <w:noProof/>
        </w:rPr>
      </w:pPr>
      <w:r>
        <w:rPr>
          <w:noProof/>
        </w:rPr>
        <w:t>Asiaan liittyvän sijoituspolitiikan keskeiset vaatimukset,</w:t>
      </w:r>
      <w:r>
        <w:rPr>
          <w:b/>
          <w:noProof/>
        </w:rPr>
        <w:t xml:space="preserve"> </w:t>
      </w:r>
      <w:r>
        <w:rPr>
          <w:noProof/>
        </w:rPr>
        <w:t>joihin kuuluvat:</w:t>
      </w:r>
    </w:p>
    <w:p w14:paraId="13F026A3" w14:textId="64A9190D" w:rsidR="00E42B18" w:rsidRDefault="009629C4">
      <w:pPr>
        <w:pStyle w:val="P68B1DB1-ListParagraph37"/>
        <w:numPr>
          <w:ilvl w:val="1"/>
          <w:numId w:val="43"/>
        </w:numPr>
        <w:spacing w:after="120" w:line="240" w:lineRule="auto"/>
        <w:ind w:left="1418"/>
        <w:contextualSpacing w:val="0"/>
        <w:jc w:val="both"/>
        <w:rPr>
          <w:noProof/>
        </w:rPr>
      </w:pPr>
      <w:r>
        <w:rPr>
          <w:noProof/>
        </w:rPr>
        <w:t>Rahoitustuotteen (-tuotteiden) ja tukikelpoisten lopullisten tuensaajien kuvaus.</w:t>
      </w:r>
    </w:p>
    <w:p w14:paraId="7F06F009" w14:textId="77777777" w:rsidR="00E42B18" w:rsidRDefault="009629C4">
      <w:pPr>
        <w:pStyle w:val="P68B1DB1-ListParagraph37"/>
        <w:numPr>
          <w:ilvl w:val="1"/>
          <w:numId w:val="43"/>
        </w:numPr>
        <w:spacing w:after="120" w:line="240" w:lineRule="auto"/>
        <w:ind w:left="1418"/>
        <w:contextualSpacing w:val="0"/>
        <w:jc w:val="both"/>
        <w:rPr>
          <w:noProof/>
        </w:rPr>
      </w:pPr>
      <w:r>
        <w:rPr>
          <w:noProof/>
        </w:rPr>
        <w:t>Vaatimus, jonka mukaan kaikkien tuettujen investointien on oltava taloudellisesti kannattavia</w:t>
      </w:r>
      <w:r>
        <w:rPr>
          <w:b/>
          <w:noProof/>
        </w:rPr>
        <w:t>.</w:t>
      </w:r>
    </w:p>
    <w:p w14:paraId="48338BA5" w14:textId="77777777" w:rsidR="00E42B18" w:rsidRDefault="009629C4">
      <w:pPr>
        <w:pStyle w:val="ListParagraph"/>
        <w:numPr>
          <w:ilvl w:val="1"/>
          <w:numId w:val="43"/>
        </w:numPr>
        <w:spacing w:after="120" w:line="240" w:lineRule="auto"/>
        <w:ind w:left="1418"/>
        <w:contextualSpacing w:val="0"/>
        <w:jc w:val="both"/>
        <w:rPr>
          <w:rFonts w:ascii="Times New Roman" w:hAnsi="Times New Roman" w:cs="Times New Roman"/>
          <w:noProof/>
        </w:rPr>
      </w:pPr>
      <w:r>
        <w:rPr>
          <w:rFonts w:ascii="Times New Roman" w:hAnsi="Times New Roman" w:cs="Times New Roman"/>
          <w:noProof/>
        </w:rPr>
        <w:t>Vaatimus noudattaa ”ei merkittävää haittaa” -periaatetta sitä koskevien teknisten ohjeiden (2021/C58/01) mukaisesti. Sijoituspolitiikassa on erityisesti jätettävä tukikelpoisuuden ulkopuolelle seuraava luettelo toiminnoista ja omaisuuseristä: I) fossiilisiin polttoaineisiin liittyvät toiminnot ja omaisuuserät, mukaan lukien tuotantoketjun loppupään käyttö,</w:t>
      </w:r>
      <w:r>
        <w:rPr>
          <w:rStyle w:val="FootnoteReference"/>
          <w:rFonts w:ascii="Times New Roman" w:hAnsi="Times New Roman" w:cs="Times New Roman"/>
          <w:noProof/>
        </w:rPr>
        <w:footnoteReference w:id="105"/>
      </w:r>
      <w:r>
        <w:rPr>
          <w:rFonts w:ascii="Times New Roman" w:hAnsi="Times New Roman" w:cs="Times New Roman"/>
          <w:noProof/>
        </w:rPr>
        <w:t>ii) EU:n päästökauppajärjestelmään kuuluvat toiminnot ja omaisuuserät, joiden avulla saavutetaan ennustetut kasvihuonekaasupäästöt, jotka eivät alita asiaankuuluvia vertailuarvoja</w:t>
      </w:r>
      <w:r>
        <w:rPr>
          <w:rFonts w:ascii="Times New Roman" w:hAnsi="Times New Roman" w:cs="Times New Roman"/>
          <w:noProof/>
        </w:rPr>
        <w:footnoteReference w:id="106"/>
      </w:r>
      <w:r>
        <w:rPr>
          <w:rFonts w:ascii="Times New Roman" w:hAnsi="Times New Roman" w:cs="Times New Roman"/>
          <w:noProof/>
        </w:rPr>
        <w:t>, iii) kaatopaikkoihin, polttolaitoksiin ja mekaanisiin biologisiin käsittelylaitoksiin liittyvät toiminnot</w:t>
      </w:r>
      <w:r>
        <w:rPr>
          <w:rStyle w:val="FootnoteReference"/>
          <w:rFonts w:ascii="Times New Roman" w:hAnsi="Times New Roman" w:cs="Times New Roman"/>
          <w:noProof/>
        </w:rPr>
        <w:footnoteReference w:id="107"/>
      </w:r>
      <w:r>
        <w:rPr>
          <w:rFonts w:ascii="Times New Roman" w:hAnsi="Times New Roman" w:cs="Times New Roman"/>
          <w:noProof/>
        </w:rPr>
        <w:t xml:space="preserve"> ja varat</w:t>
      </w:r>
      <w:r>
        <w:rPr>
          <w:rStyle w:val="FootnoteReference"/>
          <w:rFonts w:ascii="Times New Roman" w:hAnsi="Times New Roman" w:cs="Times New Roman"/>
          <w:noProof/>
        </w:rPr>
        <w:footnoteReference w:id="108"/>
      </w:r>
      <w:r>
        <w:rPr>
          <w:rFonts w:ascii="Times New Roman" w:hAnsi="Times New Roman" w:cs="Times New Roman"/>
          <w:noProof/>
        </w:rPr>
        <w:t xml:space="preserve">. </w:t>
      </w:r>
    </w:p>
    <w:p w14:paraId="7C8114E0" w14:textId="77777777" w:rsidR="00E42B18" w:rsidRDefault="009629C4">
      <w:pPr>
        <w:pStyle w:val="P68B1DB1-ListParagraph37"/>
        <w:numPr>
          <w:ilvl w:val="1"/>
          <w:numId w:val="43"/>
        </w:numPr>
        <w:spacing w:after="120" w:line="240" w:lineRule="auto"/>
        <w:ind w:left="1418"/>
        <w:jc w:val="both"/>
        <w:rPr>
          <w:noProof/>
        </w:rPr>
      </w:pPr>
      <w:r>
        <w:rPr>
          <w:noProof/>
        </w:rPr>
        <w:t xml:space="preserve">Vaatimus, jonka mukaan tukivälineen lopulliset tuensaajat eivät saa tukea muista unionin välineistä samojen kustannusten kattamiseksi. </w:t>
      </w:r>
      <w:r>
        <w:rPr>
          <w:noProof/>
          <w:color w:val="000000" w:themeColor="text1"/>
        </w:rPr>
        <w:t>Välineen lainaosuuden kautta myönnettävä rahoitustuki ei saa kattaa samoja kustannuksia, joita tuetaan tämän välineen avustusosuudella.</w:t>
      </w:r>
    </w:p>
    <w:p w14:paraId="7F0AD0B4" w14:textId="77777777" w:rsidR="00E42B18" w:rsidRDefault="00E42B18">
      <w:pPr>
        <w:pStyle w:val="ListParagraph"/>
        <w:ind w:left="1418"/>
        <w:rPr>
          <w:rFonts w:ascii="Times New Roman" w:hAnsi="Times New Roman" w:cs="Times New Roman"/>
          <w:noProof/>
        </w:rPr>
      </w:pPr>
    </w:p>
    <w:p w14:paraId="5CF588FE" w14:textId="77777777" w:rsidR="00E42B18" w:rsidRDefault="009629C4">
      <w:pPr>
        <w:pStyle w:val="P68B1DB1-ListParagraph37"/>
        <w:numPr>
          <w:ilvl w:val="0"/>
          <w:numId w:val="43"/>
        </w:numPr>
        <w:spacing w:after="120" w:line="240" w:lineRule="auto"/>
        <w:ind w:left="709"/>
        <w:contextualSpacing w:val="0"/>
        <w:jc w:val="both"/>
        <w:rPr>
          <w:noProof/>
        </w:rPr>
      </w:pPr>
      <w:r>
        <w:rPr>
          <w:noProof/>
        </w:rPr>
        <w:t>Täytäntöönpanosopimuksen kattama määrä, toteutuskumppanin maksurakenne ja vaatimus sijoittaa takaisin saadut varat uudelleen tukivälineen investointipolitiikan mukaisesti, paitsi jos niitä käytetään elpymis- ja palautumistukivälineen lainojen takaisinmaksujen hoitamiseen.</w:t>
      </w:r>
    </w:p>
    <w:p w14:paraId="52955F00" w14:textId="77777777" w:rsidR="00E42B18" w:rsidRDefault="009629C4">
      <w:pPr>
        <w:pStyle w:val="P68B1DB1-ListParagraph37"/>
        <w:numPr>
          <w:ilvl w:val="0"/>
          <w:numId w:val="43"/>
        </w:numPr>
        <w:spacing w:after="120" w:line="240" w:lineRule="auto"/>
        <w:ind w:left="709"/>
        <w:contextualSpacing w:val="0"/>
        <w:jc w:val="both"/>
        <w:rPr>
          <w:noProof/>
        </w:rPr>
      </w:pPr>
      <w:r>
        <w:rPr>
          <w:noProof/>
        </w:rPr>
        <w:t>Seuranta-, valvonta- ja tarkastusvaatimukset, joihin sisältyvät</w:t>
      </w:r>
    </w:p>
    <w:p w14:paraId="476A5DF6" w14:textId="77777777" w:rsidR="00E42B18" w:rsidRDefault="009629C4">
      <w:pPr>
        <w:pStyle w:val="P68B1DB1-ListParagraph37"/>
        <w:numPr>
          <w:ilvl w:val="1"/>
          <w:numId w:val="43"/>
        </w:numPr>
        <w:spacing w:after="120" w:line="240" w:lineRule="auto"/>
        <w:contextualSpacing w:val="0"/>
        <w:jc w:val="both"/>
        <w:rPr>
          <w:noProof/>
        </w:rPr>
      </w:pPr>
      <w:r>
        <w:rPr>
          <w:noProof/>
        </w:rPr>
        <w:t>Kuvaus toteutuskumppanin seurantajärjestelmästä, jolla raportoidaan mobilisoiduista investoinneista.</w:t>
      </w:r>
    </w:p>
    <w:p w14:paraId="56A393D6" w14:textId="77777777" w:rsidR="00E42B18" w:rsidRDefault="009629C4">
      <w:pPr>
        <w:pStyle w:val="P68B1DB1-ListParagraph37"/>
        <w:numPr>
          <w:ilvl w:val="1"/>
          <w:numId w:val="43"/>
        </w:numPr>
        <w:spacing w:after="120" w:line="240" w:lineRule="auto"/>
        <w:contextualSpacing w:val="0"/>
        <w:jc w:val="both"/>
        <w:rPr>
          <w:noProof/>
        </w:rPr>
      </w:pPr>
      <w:r>
        <w:rPr>
          <w:noProof/>
        </w:rPr>
        <w:t xml:space="preserve">Kuvaus toteutuskumppanin menettelyistä, joilla varmistetaan petosten, lahjonnan ja eturistiriitojen ehkäiseminen, havaitseminen ja korjaaminen. </w:t>
      </w:r>
    </w:p>
    <w:p w14:paraId="5C6B610A" w14:textId="77777777" w:rsidR="00E42B18" w:rsidRDefault="009629C4">
      <w:pPr>
        <w:pStyle w:val="P68B1DB1-ListParagraph37"/>
        <w:numPr>
          <w:ilvl w:val="1"/>
          <w:numId w:val="43"/>
        </w:numPr>
        <w:spacing w:after="120" w:line="240" w:lineRule="auto"/>
        <w:contextualSpacing w:val="0"/>
        <w:jc w:val="both"/>
        <w:rPr>
          <w:noProof/>
        </w:rPr>
      </w:pPr>
      <w:r>
        <w:rPr>
          <w:noProof/>
        </w:rPr>
        <w:t>Velvoite tarkistaa kunkin toimen tukikelpoisuus täytäntöönpanosopimuksessa vahvistettujen vaatimusten mukaisesti ennen sitoutumista toimen rahoittamiseen.</w:t>
      </w:r>
    </w:p>
    <w:p w14:paraId="1E76B6D8" w14:textId="4653F2A3" w:rsidR="00E42B18" w:rsidRDefault="009629C4">
      <w:pPr>
        <w:pStyle w:val="P68B1DB1-ListParagraph37"/>
        <w:numPr>
          <w:ilvl w:val="1"/>
          <w:numId w:val="43"/>
        </w:numPr>
        <w:spacing w:after="120" w:line="240" w:lineRule="auto"/>
        <w:jc w:val="both"/>
        <w:rPr>
          <w:noProof/>
        </w:rPr>
      </w:pPr>
      <w:r>
        <w:rPr>
          <w:noProof/>
        </w:rPr>
        <w:t xml:space="preserve">Velvollisuus suorittaa riskiperusteisia jälkitarkastuksia Gestore dei Servizi Energeticin (GSE) ja Cassa Depositi e Prestitin (CDP) tarkastussuunnitelman mukaisesti. Näillä tarkastuksilla varmistetaan i) valvontajärjestelmien tehokkuus, mukaan lukien petosten, lahjonnan ja eturistiriitojen havaitseminen; II) ”ei merkittävää haittaa” -periaatteen, valtiontukisääntöjen ja ilmastotavoitteita koskevien vaatimusten noudattaminen; ja iii) noudatetaan vaatimusta, jonka mukaan tukivälineen lopulliset edunsaajat eivät ole saaneet tukea muista unionin välineistä samojen kustannusten kattamiseksi. Tarkastuksissa on myös todennettava toimien laillisuus ja se, että sovellettavan täytäntöönpanosopimuksen ehtoja noudatetaan. </w:t>
      </w:r>
    </w:p>
    <w:p w14:paraId="65601374" w14:textId="77777777" w:rsidR="00E42B18" w:rsidRDefault="00E42B18">
      <w:pPr>
        <w:pStyle w:val="ListParagraph"/>
        <w:ind w:left="1440"/>
        <w:rPr>
          <w:rFonts w:ascii="Times New Roman" w:hAnsi="Times New Roman" w:cs="Times New Roman"/>
          <w:noProof/>
        </w:rPr>
        <w:sectPr w:rsidR="00E42B18" w:rsidSect="00854F34">
          <w:headerReference w:type="even" r:id="rId324"/>
          <w:headerReference w:type="default" r:id="rId325"/>
          <w:footerReference w:type="even" r:id="rId326"/>
          <w:footerReference w:type="default" r:id="rId327"/>
          <w:headerReference w:type="first" r:id="rId328"/>
          <w:footerReference w:type="first" r:id="rId329"/>
          <w:pgSz w:w="11906" w:h="16838" w:code="12"/>
          <w:pgMar w:top="1440" w:right="1440" w:bottom="1440" w:left="1440" w:header="567" w:footer="567" w:gutter="0"/>
          <w:cols w:space="720"/>
          <w:docGrid w:linePitch="360"/>
        </w:sectPr>
      </w:pPr>
    </w:p>
    <w:p w14:paraId="4B5139C2" w14:textId="77777777" w:rsidR="00E42B18" w:rsidRDefault="00E42B18">
      <w:pPr>
        <w:pStyle w:val="ListParagraph"/>
        <w:ind w:left="1440"/>
        <w:rPr>
          <w:rFonts w:ascii="Times New Roman" w:hAnsi="Times New Roman" w:cs="Times New Roman"/>
          <w:noProof/>
        </w:rPr>
      </w:pPr>
    </w:p>
    <w:p w14:paraId="568F0B8F" w14:textId="4265B8D9" w:rsidR="00E42B18" w:rsidRDefault="009629C4">
      <w:pPr>
        <w:pStyle w:val="P68B1DB1-Heading368"/>
        <w:ind w:left="850" w:hanging="850"/>
        <w:rPr>
          <w:bCs/>
          <w:noProof/>
        </w:rPr>
      </w:pPr>
      <w:r>
        <w:rPr>
          <w:noProof/>
        </w:rPr>
        <w:t xml:space="preserve">Q.4 </w:t>
      </w:r>
      <w:r>
        <w:rPr>
          <w:noProof/>
        </w:rPr>
        <w:tab/>
        <w:t xml:space="preserve">Lainamuotoisen tuen seurantaa ja täytäntöönpanoa koskevat välitavoitteet, tavoitteet, indikaattorit ja aikataulu </w:t>
      </w:r>
    </w:p>
    <w:tbl>
      <w:tblPr>
        <w:tblpPr w:leftFromText="141" w:rightFromText="141" w:vertAnchor="text" w:tblpX="-766" w:tblpY="1"/>
        <w:tblOverlap w:val="never"/>
        <w:tblW w:w="55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202"/>
        <w:gridCol w:w="1579"/>
        <w:gridCol w:w="1149"/>
        <w:gridCol w:w="1435"/>
        <w:gridCol w:w="1723"/>
        <w:gridCol w:w="1293"/>
        <w:gridCol w:w="1005"/>
        <w:gridCol w:w="1293"/>
        <w:gridCol w:w="862"/>
        <w:gridCol w:w="717"/>
        <w:gridCol w:w="3303"/>
      </w:tblGrid>
      <w:tr w:rsidR="00E42B18" w14:paraId="51783F9A" w14:textId="77777777">
        <w:trPr>
          <w:trHeight w:val="765"/>
          <w:tblHeader/>
        </w:trPr>
        <w:tc>
          <w:tcPr>
            <w:tcW w:w="1187" w:type="dxa"/>
            <w:vMerge w:val="restart"/>
            <w:shd w:val="clear" w:color="auto" w:fill="BDD7EE"/>
            <w:vAlign w:val="center"/>
            <w:hideMark/>
          </w:tcPr>
          <w:p w14:paraId="48BB45E4" w14:textId="77777777" w:rsidR="00E42B18" w:rsidRDefault="009629C4">
            <w:pPr>
              <w:pStyle w:val="P68B1DB1-Normal10"/>
              <w:spacing w:after="120"/>
              <w:jc w:val="center"/>
              <w:rPr>
                <w:bCs/>
                <w:noProof/>
                <w:szCs w:val="20"/>
              </w:rPr>
            </w:pPr>
            <w:r>
              <w:rPr>
                <w:noProof/>
              </w:rPr>
              <w:t>Juokseva numero</w:t>
            </w:r>
          </w:p>
        </w:tc>
        <w:tc>
          <w:tcPr>
            <w:tcW w:w="1559" w:type="dxa"/>
            <w:vMerge w:val="restart"/>
            <w:shd w:val="clear" w:color="auto" w:fill="BDD7EE"/>
            <w:vAlign w:val="center"/>
            <w:hideMark/>
          </w:tcPr>
          <w:p w14:paraId="5375069B" w14:textId="77777777" w:rsidR="00E42B18" w:rsidRDefault="009629C4">
            <w:pPr>
              <w:pStyle w:val="P68B1DB1-Normal10"/>
              <w:spacing w:after="120"/>
              <w:jc w:val="center"/>
              <w:rPr>
                <w:bCs/>
                <w:noProof/>
                <w:szCs w:val="20"/>
              </w:rPr>
            </w:pPr>
            <w:r>
              <w:rPr>
                <w:noProof/>
              </w:rPr>
              <w:t>Toimenpide (uudistus tai investointi)</w:t>
            </w:r>
          </w:p>
        </w:tc>
        <w:tc>
          <w:tcPr>
            <w:tcW w:w="1134" w:type="dxa"/>
            <w:vMerge w:val="restart"/>
            <w:shd w:val="clear" w:color="auto" w:fill="BDD7EE"/>
            <w:vAlign w:val="center"/>
            <w:hideMark/>
          </w:tcPr>
          <w:p w14:paraId="4B8B4CC9" w14:textId="77777777" w:rsidR="00E42B18" w:rsidRDefault="009629C4">
            <w:pPr>
              <w:pStyle w:val="P68B1DB1-Normal10"/>
              <w:spacing w:after="120"/>
              <w:jc w:val="center"/>
              <w:rPr>
                <w:bCs/>
                <w:noProof/>
                <w:szCs w:val="20"/>
              </w:rPr>
            </w:pPr>
            <w:r>
              <w:rPr>
                <w:noProof/>
              </w:rPr>
              <w:t>Virstanpylväs</w:t>
            </w:r>
          </w:p>
          <w:p w14:paraId="3A0DAB1D" w14:textId="77777777" w:rsidR="00E42B18" w:rsidRDefault="009629C4">
            <w:pPr>
              <w:pStyle w:val="P68B1DB1-Normal10"/>
              <w:spacing w:after="120"/>
              <w:jc w:val="center"/>
              <w:rPr>
                <w:bCs/>
                <w:noProof/>
                <w:szCs w:val="20"/>
              </w:rPr>
            </w:pPr>
            <w:r>
              <w:rPr>
                <w:noProof/>
              </w:rPr>
              <w:t>/Tarkoitus</w:t>
            </w:r>
          </w:p>
        </w:tc>
        <w:tc>
          <w:tcPr>
            <w:tcW w:w="1417" w:type="dxa"/>
            <w:vMerge w:val="restart"/>
            <w:shd w:val="clear" w:color="auto" w:fill="BDD7EE"/>
            <w:vAlign w:val="center"/>
            <w:hideMark/>
          </w:tcPr>
          <w:p w14:paraId="396A472F" w14:textId="77777777" w:rsidR="00E42B18" w:rsidRDefault="009629C4">
            <w:pPr>
              <w:pStyle w:val="P68B1DB1-Normal10"/>
              <w:spacing w:after="120"/>
              <w:jc w:val="center"/>
              <w:rPr>
                <w:bCs/>
                <w:noProof/>
                <w:szCs w:val="20"/>
              </w:rPr>
            </w:pPr>
            <w:r>
              <w:rPr>
                <w:noProof/>
              </w:rPr>
              <w:t>Nimi</w:t>
            </w:r>
          </w:p>
        </w:tc>
        <w:tc>
          <w:tcPr>
            <w:tcW w:w="1701" w:type="dxa"/>
            <w:vMerge w:val="restart"/>
            <w:shd w:val="clear" w:color="auto" w:fill="BDD7EE"/>
            <w:vAlign w:val="center"/>
            <w:hideMark/>
          </w:tcPr>
          <w:p w14:paraId="3D39B323" w14:textId="77777777" w:rsidR="00E42B18" w:rsidRDefault="009629C4">
            <w:pPr>
              <w:spacing w:after="120"/>
              <w:jc w:val="center"/>
              <w:rPr>
                <w:rFonts w:ascii="Arial Narrow" w:hAnsi="Arial Narrow"/>
                <w:b/>
                <w:bCs/>
                <w:noProof/>
                <w:sz w:val="20"/>
                <w:szCs w:val="20"/>
              </w:rPr>
            </w:pPr>
            <w:r>
              <w:rPr>
                <w:rFonts w:ascii="Arial Narrow" w:hAnsi="Arial Narrow"/>
                <w:b/>
                <w:noProof/>
                <w:sz w:val="20"/>
              </w:rPr>
              <w:t>Laadulliset indikaattorit</w:t>
            </w:r>
            <w:r>
              <w:rPr>
                <w:noProof/>
              </w:rPr>
              <w:br/>
            </w:r>
            <w:r>
              <w:rPr>
                <w:rFonts w:ascii="Arial Narrow" w:hAnsi="Arial Narrow"/>
                <w:b/>
                <w:noProof/>
                <w:sz w:val="20"/>
              </w:rPr>
              <w:t>(välitavoitteiden osalta)</w:t>
            </w:r>
          </w:p>
        </w:tc>
        <w:tc>
          <w:tcPr>
            <w:tcW w:w="3544" w:type="dxa"/>
            <w:gridSpan w:val="3"/>
            <w:shd w:val="clear" w:color="auto" w:fill="BDD7EE"/>
            <w:vAlign w:val="center"/>
            <w:hideMark/>
          </w:tcPr>
          <w:p w14:paraId="699A101E" w14:textId="77777777" w:rsidR="00E42B18" w:rsidRDefault="009629C4">
            <w:pPr>
              <w:spacing w:after="120"/>
              <w:jc w:val="center"/>
              <w:rPr>
                <w:rFonts w:ascii="Arial Narrow" w:hAnsi="Arial Narrow"/>
                <w:b/>
                <w:bCs/>
                <w:noProof/>
                <w:sz w:val="20"/>
                <w:szCs w:val="20"/>
              </w:rPr>
            </w:pPr>
            <w:r>
              <w:rPr>
                <w:rFonts w:ascii="Arial Narrow" w:hAnsi="Arial Narrow"/>
                <w:b/>
                <w:noProof/>
                <w:sz w:val="20"/>
              </w:rPr>
              <w:t>Määrälliset indikaattorit</w:t>
            </w:r>
            <w:r>
              <w:rPr>
                <w:noProof/>
              </w:rPr>
              <w:br/>
            </w:r>
            <w:r>
              <w:rPr>
                <w:rFonts w:ascii="Arial Narrow" w:hAnsi="Arial Narrow"/>
                <w:b/>
                <w:noProof/>
                <w:sz w:val="20"/>
              </w:rPr>
              <w:t>(tavoitteiden osalta)</w:t>
            </w:r>
          </w:p>
        </w:tc>
        <w:tc>
          <w:tcPr>
            <w:tcW w:w="1559" w:type="dxa"/>
            <w:gridSpan w:val="2"/>
            <w:shd w:val="clear" w:color="auto" w:fill="BDD7EE"/>
            <w:vAlign w:val="center"/>
            <w:hideMark/>
          </w:tcPr>
          <w:p w14:paraId="566936E6" w14:textId="77777777" w:rsidR="00E42B18" w:rsidRDefault="009629C4">
            <w:pPr>
              <w:pStyle w:val="P68B1DB1-Normal10"/>
              <w:spacing w:after="120"/>
              <w:jc w:val="center"/>
              <w:rPr>
                <w:bCs/>
                <w:noProof/>
                <w:szCs w:val="20"/>
              </w:rPr>
            </w:pPr>
            <w:r>
              <w:rPr>
                <w:noProof/>
              </w:rPr>
              <w:t>Alustava toteutusaikataulu</w:t>
            </w:r>
          </w:p>
        </w:tc>
        <w:tc>
          <w:tcPr>
            <w:tcW w:w="3261" w:type="dxa"/>
            <w:vMerge w:val="restart"/>
            <w:shd w:val="clear" w:color="auto" w:fill="BDD7EE"/>
            <w:vAlign w:val="center"/>
            <w:hideMark/>
          </w:tcPr>
          <w:p w14:paraId="1D6BF3E4" w14:textId="77777777" w:rsidR="00E42B18" w:rsidRDefault="009629C4">
            <w:pPr>
              <w:pStyle w:val="P68B1DB1-Normal10"/>
              <w:spacing w:after="120"/>
              <w:jc w:val="center"/>
              <w:rPr>
                <w:bCs/>
                <w:noProof/>
                <w:szCs w:val="20"/>
              </w:rPr>
            </w:pPr>
            <w:r>
              <w:rPr>
                <w:noProof/>
              </w:rPr>
              <w:t>Kunkin välitavoitteen ja tavoitteen kuvaus</w:t>
            </w:r>
          </w:p>
        </w:tc>
      </w:tr>
      <w:tr w:rsidR="00E42B18" w14:paraId="07C529AE" w14:textId="77777777">
        <w:trPr>
          <w:trHeight w:val="691"/>
          <w:tblHeader/>
        </w:trPr>
        <w:tc>
          <w:tcPr>
            <w:tcW w:w="1187" w:type="dxa"/>
            <w:vMerge/>
            <w:vAlign w:val="center"/>
            <w:hideMark/>
          </w:tcPr>
          <w:p w14:paraId="0D2CE59E" w14:textId="77777777" w:rsidR="00E42B18" w:rsidRDefault="00E42B18">
            <w:pPr>
              <w:spacing w:after="120"/>
              <w:jc w:val="center"/>
              <w:rPr>
                <w:rFonts w:ascii="Arial Narrow" w:hAnsi="Arial Narrow"/>
                <w:b/>
                <w:bCs/>
                <w:noProof/>
                <w:sz w:val="20"/>
                <w:szCs w:val="20"/>
              </w:rPr>
            </w:pPr>
          </w:p>
        </w:tc>
        <w:tc>
          <w:tcPr>
            <w:tcW w:w="1559" w:type="dxa"/>
            <w:vMerge/>
            <w:vAlign w:val="center"/>
            <w:hideMark/>
          </w:tcPr>
          <w:p w14:paraId="0E719CBE" w14:textId="77777777" w:rsidR="00E42B18" w:rsidRDefault="00E42B18">
            <w:pPr>
              <w:spacing w:after="120"/>
              <w:jc w:val="center"/>
              <w:rPr>
                <w:rFonts w:ascii="Arial Narrow" w:hAnsi="Arial Narrow"/>
                <w:b/>
                <w:bCs/>
                <w:noProof/>
                <w:sz w:val="20"/>
                <w:szCs w:val="20"/>
              </w:rPr>
            </w:pPr>
          </w:p>
        </w:tc>
        <w:tc>
          <w:tcPr>
            <w:tcW w:w="1134" w:type="dxa"/>
            <w:vMerge/>
            <w:vAlign w:val="center"/>
            <w:hideMark/>
          </w:tcPr>
          <w:p w14:paraId="3796DD4C" w14:textId="77777777" w:rsidR="00E42B18" w:rsidRDefault="00E42B18">
            <w:pPr>
              <w:spacing w:after="120"/>
              <w:jc w:val="center"/>
              <w:rPr>
                <w:rFonts w:ascii="Arial Narrow" w:hAnsi="Arial Narrow"/>
                <w:b/>
                <w:bCs/>
                <w:noProof/>
                <w:sz w:val="20"/>
                <w:szCs w:val="20"/>
              </w:rPr>
            </w:pPr>
          </w:p>
        </w:tc>
        <w:tc>
          <w:tcPr>
            <w:tcW w:w="1417" w:type="dxa"/>
            <w:vMerge/>
            <w:vAlign w:val="center"/>
            <w:hideMark/>
          </w:tcPr>
          <w:p w14:paraId="31B46FE5" w14:textId="77777777" w:rsidR="00E42B18" w:rsidRDefault="00E42B18">
            <w:pPr>
              <w:spacing w:after="120"/>
              <w:jc w:val="center"/>
              <w:rPr>
                <w:rFonts w:ascii="Arial Narrow" w:hAnsi="Arial Narrow"/>
                <w:b/>
                <w:bCs/>
                <w:noProof/>
                <w:sz w:val="20"/>
                <w:szCs w:val="20"/>
              </w:rPr>
            </w:pPr>
          </w:p>
        </w:tc>
        <w:tc>
          <w:tcPr>
            <w:tcW w:w="1701" w:type="dxa"/>
            <w:vMerge/>
            <w:vAlign w:val="center"/>
            <w:hideMark/>
          </w:tcPr>
          <w:p w14:paraId="72358260" w14:textId="77777777" w:rsidR="00E42B18" w:rsidRDefault="00E42B18">
            <w:pPr>
              <w:spacing w:after="120"/>
              <w:jc w:val="center"/>
              <w:rPr>
                <w:rFonts w:ascii="Arial Narrow" w:hAnsi="Arial Narrow"/>
                <w:b/>
                <w:bCs/>
                <w:noProof/>
                <w:sz w:val="20"/>
                <w:szCs w:val="20"/>
              </w:rPr>
            </w:pPr>
          </w:p>
        </w:tc>
        <w:tc>
          <w:tcPr>
            <w:tcW w:w="1276" w:type="dxa"/>
            <w:shd w:val="clear" w:color="auto" w:fill="BDD7EE"/>
            <w:vAlign w:val="center"/>
            <w:hideMark/>
          </w:tcPr>
          <w:p w14:paraId="09D78315" w14:textId="77777777" w:rsidR="00E42B18" w:rsidRDefault="009629C4">
            <w:pPr>
              <w:pStyle w:val="P68B1DB1-Normal10"/>
              <w:spacing w:after="120"/>
              <w:jc w:val="center"/>
              <w:rPr>
                <w:bCs/>
                <w:noProof/>
                <w:szCs w:val="20"/>
              </w:rPr>
            </w:pPr>
            <w:r>
              <w:rPr>
                <w:noProof/>
              </w:rPr>
              <w:t>Mitta-yksikkö</w:t>
            </w:r>
          </w:p>
        </w:tc>
        <w:tc>
          <w:tcPr>
            <w:tcW w:w="992" w:type="dxa"/>
            <w:shd w:val="clear" w:color="auto" w:fill="BDD7EE"/>
            <w:vAlign w:val="center"/>
            <w:hideMark/>
          </w:tcPr>
          <w:p w14:paraId="2BCC66D1" w14:textId="77777777" w:rsidR="00E42B18" w:rsidRDefault="009629C4">
            <w:pPr>
              <w:pStyle w:val="P68B1DB1-Normal10"/>
              <w:spacing w:after="120"/>
              <w:jc w:val="center"/>
              <w:rPr>
                <w:bCs/>
                <w:noProof/>
                <w:szCs w:val="20"/>
              </w:rPr>
            </w:pPr>
            <w:r>
              <w:rPr>
                <w:noProof/>
              </w:rPr>
              <w:t>Lähtötilanne</w:t>
            </w:r>
          </w:p>
        </w:tc>
        <w:tc>
          <w:tcPr>
            <w:tcW w:w="1276" w:type="dxa"/>
            <w:shd w:val="clear" w:color="auto" w:fill="BDD7EE"/>
            <w:vAlign w:val="center"/>
            <w:hideMark/>
          </w:tcPr>
          <w:p w14:paraId="5B911D84" w14:textId="77777777" w:rsidR="00E42B18" w:rsidRDefault="009629C4">
            <w:pPr>
              <w:pStyle w:val="P68B1DB1-Normal10"/>
              <w:spacing w:after="120"/>
              <w:jc w:val="center"/>
              <w:rPr>
                <w:bCs/>
                <w:noProof/>
                <w:szCs w:val="20"/>
              </w:rPr>
            </w:pPr>
            <w:r>
              <w:rPr>
                <w:noProof/>
              </w:rPr>
              <w:t>Päämäärä</w:t>
            </w:r>
          </w:p>
        </w:tc>
        <w:tc>
          <w:tcPr>
            <w:tcW w:w="851" w:type="dxa"/>
            <w:shd w:val="clear" w:color="auto" w:fill="BDD7EE"/>
            <w:vAlign w:val="center"/>
            <w:hideMark/>
          </w:tcPr>
          <w:p w14:paraId="692636A1" w14:textId="77777777" w:rsidR="00E42B18" w:rsidRDefault="009629C4">
            <w:pPr>
              <w:pStyle w:val="P68B1DB1-Normal10"/>
              <w:spacing w:after="120"/>
              <w:jc w:val="center"/>
              <w:rPr>
                <w:bCs/>
                <w:noProof/>
                <w:szCs w:val="20"/>
              </w:rPr>
            </w:pPr>
            <w:r>
              <w:rPr>
                <w:noProof/>
              </w:rPr>
              <w:t>Neljännes</w:t>
            </w:r>
          </w:p>
        </w:tc>
        <w:tc>
          <w:tcPr>
            <w:tcW w:w="708" w:type="dxa"/>
            <w:shd w:val="clear" w:color="auto" w:fill="BDD7EE"/>
            <w:vAlign w:val="center"/>
            <w:hideMark/>
          </w:tcPr>
          <w:p w14:paraId="7A0AAAFB" w14:textId="77777777" w:rsidR="00E42B18" w:rsidRDefault="009629C4">
            <w:pPr>
              <w:pStyle w:val="P68B1DB1-Normal10"/>
              <w:spacing w:after="120"/>
              <w:jc w:val="center"/>
              <w:rPr>
                <w:bCs/>
                <w:noProof/>
                <w:szCs w:val="20"/>
              </w:rPr>
            </w:pPr>
            <w:r>
              <w:rPr>
                <w:noProof/>
              </w:rPr>
              <w:t>Vuosi</w:t>
            </w:r>
          </w:p>
        </w:tc>
        <w:tc>
          <w:tcPr>
            <w:tcW w:w="3261" w:type="dxa"/>
            <w:vMerge/>
            <w:vAlign w:val="center"/>
            <w:hideMark/>
          </w:tcPr>
          <w:p w14:paraId="064E5FFD" w14:textId="77777777" w:rsidR="00E42B18" w:rsidRDefault="00E42B18">
            <w:pPr>
              <w:spacing w:after="120"/>
              <w:jc w:val="center"/>
              <w:rPr>
                <w:rFonts w:ascii="Arial Narrow" w:hAnsi="Arial Narrow"/>
                <w:b/>
                <w:bCs/>
                <w:noProof/>
                <w:sz w:val="20"/>
                <w:szCs w:val="20"/>
              </w:rPr>
            </w:pPr>
          </w:p>
        </w:tc>
      </w:tr>
      <w:tr w:rsidR="00E42B18" w14:paraId="455B7767" w14:textId="77777777">
        <w:trPr>
          <w:trHeight w:val="309"/>
        </w:trPr>
        <w:tc>
          <w:tcPr>
            <w:tcW w:w="1187" w:type="dxa"/>
            <w:shd w:val="clear" w:color="auto" w:fill="C6EFCE"/>
            <w:noWrap/>
            <w:vAlign w:val="center"/>
          </w:tcPr>
          <w:p w14:paraId="31DCB79A" w14:textId="77777777" w:rsidR="00E42B18" w:rsidRDefault="009629C4">
            <w:pPr>
              <w:pStyle w:val="P68B1DB1-Normal11"/>
              <w:spacing w:after="120"/>
              <w:jc w:val="center"/>
              <w:rPr>
                <w:noProof/>
                <w:szCs w:val="20"/>
              </w:rPr>
            </w:pPr>
            <w:r>
              <w:rPr>
                <w:noProof/>
              </w:rPr>
              <w:t>M7–35</w:t>
            </w:r>
          </w:p>
        </w:tc>
        <w:tc>
          <w:tcPr>
            <w:tcW w:w="1559" w:type="dxa"/>
            <w:shd w:val="clear" w:color="auto" w:fill="C6EFCE"/>
            <w:noWrap/>
            <w:vAlign w:val="center"/>
          </w:tcPr>
          <w:p w14:paraId="7B7C5C0B" w14:textId="77777777" w:rsidR="00E42B18" w:rsidRDefault="009629C4">
            <w:pPr>
              <w:pStyle w:val="P68B1DB1-Normal11"/>
              <w:spacing w:after="120"/>
              <w:jc w:val="center"/>
              <w:rPr>
                <w:noProof/>
                <w:szCs w:val="20"/>
              </w:rPr>
            </w:pPr>
            <w:r>
              <w:rPr>
                <w:noProof/>
              </w:rPr>
              <w:t>Investointi 13: Adrianmeren linjan vaihe 1 (Sulmonan kompressoriasema ja Sestino-Minerbio-kaasuputki)</w:t>
            </w:r>
          </w:p>
        </w:tc>
        <w:tc>
          <w:tcPr>
            <w:tcW w:w="1134" w:type="dxa"/>
            <w:shd w:val="clear" w:color="auto" w:fill="C6EFCE"/>
            <w:noWrap/>
            <w:vAlign w:val="center"/>
          </w:tcPr>
          <w:p w14:paraId="6CE40EAD" w14:textId="77777777" w:rsidR="00E42B18" w:rsidRDefault="009629C4">
            <w:pPr>
              <w:pStyle w:val="P68B1DB1-Normal11"/>
              <w:spacing w:after="120"/>
              <w:jc w:val="center"/>
              <w:rPr>
                <w:noProof/>
                <w:szCs w:val="20"/>
              </w:rPr>
            </w:pPr>
            <w:r>
              <w:rPr>
                <w:noProof/>
              </w:rPr>
              <w:t>Virstanpylväs</w:t>
            </w:r>
          </w:p>
        </w:tc>
        <w:tc>
          <w:tcPr>
            <w:tcW w:w="1417" w:type="dxa"/>
            <w:shd w:val="clear" w:color="auto" w:fill="C6EFCE"/>
            <w:noWrap/>
            <w:vAlign w:val="center"/>
          </w:tcPr>
          <w:p w14:paraId="0413E648" w14:textId="77777777" w:rsidR="00E42B18" w:rsidRDefault="009629C4">
            <w:pPr>
              <w:pStyle w:val="P68B1DB1-Normal11"/>
              <w:spacing w:after="120"/>
              <w:jc w:val="center"/>
              <w:rPr>
                <w:noProof/>
                <w:szCs w:val="20"/>
              </w:rPr>
            </w:pPr>
            <w:r>
              <w:rPr>
                <w:noProof/>
              </w:rPr>
              <w:t>Asiaankuuluvien ympäristövaikutusten arviointien hyväksyminen ja päivittäminen (VIncA)</w:t>
            </w:r>
          </w:p>
        </w:tc>
        <w:tc>
          <w:tcPr>
            <w:tcW w:w="1701" w:type="dxa"/>
            <w:shd w:val="clear" w:color="auto" w:fill="C6EFCE"/>
            <w:noWrap/>
            <w:vAlign w:val="center"/>
          </w:tcPr>
          <w:p w14:paraId="0A760D22" w14:textId="77777777" w:rsidR="00E42B18" w:rsidRDefault="009629C4">
            <w:pPr>
              <w:pStyle w:val="P68B1DB1-Normal11"/>
              <w:spacing w:after="120"/>
              <w:jc w:val="center"/>
              <w:rPr>
                <w:noProof/>
                <w:szCs w:val="20"/>
              </w:rPr>
            </w:pPr>
            <w:r>
              <w:rPr>
                <w:noProof/>
              </w:rPr>
              <w:t>Yksilöidyt ja VincA:n mukaisesti tarkistetut ja hyväksytyt SSCO-komiteat</w:t>
            </w:r>
          </w:p>
        </w:tc>
        <w:tc>
          <w:tcPr>
            <w:tcW w:w="1276" w:type="dxa"/>
            <w:shd w:val="clear" w:color="auto" w:fill="C6EFCE"/>
            <w:noWrap/>
            <w:vAlign w:val="center"/>
          </w:tcPr>
          <w:p w14:paraId="6DE294EF" w14:textId="77777777" w:rsidR="00E42B18" w:rsidRDefault="00E42B18">
            <w:pPr>
              <w:spacing w:after="120"/>
              <w:jc w:val="center"/>
              <w:rPr>
                <w:rFonts w:ascii="Arial Narrow" w:hAnsi="Arial Narrow"/>
                <w:noProof/>
                <w:color w:val="006100"/>
                <w:sz w:val="20"/>
                <w:szCs w:val="20"/>
              </w:rPr>
            </w:pPr>
          </w:p>
        </w:tc>
        <w:tc>
          <w:tcPr>
            <w:tcW w:w="992" w:type="dxa"/>
            <w:shd w:val="clear" w:color="auto" w:fill="C6EFCE"/>
            <w:noWrap/>
            <w:vAlign w:val="center"/>
          </w:tcPr>
          <w:p w14:paraId="28788EE2" w14:textId="77777777" w:rsidR="00E42B18" w:rsidRDefault="00E42B18">
            <w:pPr>
              <w:spacing w:after="120"/>
              <w:jc w:val="center"/>
              <w:rPr>
                <w:rFonts w:ascii="Arial Narrow" w:hAnsi="Arial Narrow"/>
                <w:noProof/>
                <w:color w:val="006100"/>
                <w:sz w:val="20"/>
                <w:szCs w:val="20"/>
              </w:rPr>
            </w:pPr>
          </w:p>
        </w:tc>
        <w:tc>
          <w:tcPr>
            <w:tcW w:w="1276" w:type="dxa"/>
            <w:shd w:val="clear" w:color="auto" w:fill="C6EFCE"/>
            <w:noWrap/>
            <w:vAlign w:val="center"/>
          </w:tcPr>
          <w:p w14:paraId="340E49E5" w14:textId="77777777" w:rsidR="00E42B18" w:rsidRDefault="00E42B18">
            <w:pPr>
              <w:spacing w:after="120"/>
              <w:jc w:val="center"/>
              <w:rPr>
                <w:rFonts w:ascii="Arial Narrow" w:hAnsi="Arial Narrow"/>
                <w:noProof/>
                <w:color w:val="006100"/>
                <w:sz w:val="20"/>
                <w:szCs w:val="20"/>
              </w:rPr>
            </w:pPr>
          </w:p>
        </w:tc>
        <w:tc>
          <w:tcPr>
            <w:tcW w:w="851" w:type="dxa"/>
            <w:shd w:val="clear" w:color="auto" w:fill="C6EFCE"/>
            <w:noWrap/>
            <w:vAlign w:val="center"/>
          </w:tcPr>
          <w:p w14:paraId="2335AF35" w14:textId="77777777" w:rsidR="00E42B18" w:rsidRDefault="009629C4">
            <w:pPr>
              <w:pStyle w:val="P68B1DB1-Normal11"/>
              <w:spacing w:after="120"/>
              <w:jc w:val="center"/>
              <w:rPr>
                <w:noProof/>
                <w:szCs w:val="20"/>
              </w:rPr>
            </w:pPr>
            <w:r>
              <w:rPr>
                <w:noProof/>
              </w:rPr>
              <w:t>Q1</w:t>
            </w:r>
          </w:p>
        </w:tc>
        <w:tc>
          <w:tcPr>
            <w:tcW w:w="708" w:type="dxa"/>
            <w:shd w:val="clear" w:color="auto" w:fill="C6EFCE"/>
            <w:noWrap/>
            <w:vAlign w:val="center"/>
          </w:tcPr>
          <w:p w14:paraId="5D8F5600" w14:textId="77777777" w:rsidR="00E42B18" w:rsidRDefault="009629C4">
            <w:pPr>
              <w:pStyle w:val="P68B1DB1-Normal11"/>
              <w:spacing w:after="120"/>
              <w:jc w:val="center"/>
              <w:rPr>
                <w:noProof/>
                <w:szCs w:val="20"/>
              </w:rPr>
            </w:pPr>
            <w:r>
              <w:rPr>
                <w:noProof/>
              </w:rPr>
              <w:t>2024</w:t>
            </w:r>
          </w:p>
        </w:tc>
        <w:tc>
          <w:tcPr>
            <w:tcW w:w="3261" w:type="dxa"/>
            <w:shd w:val="clear" w:color="auto" w:fill="C6EFCE"/>
            <w:noWrap/>
            <w:vAlign w:val="center"/>
          </w:tcPr>
          <w:p w14:paraId="5EE31E5B" w14:textId="77777777" w:rsidR="00E42B18" w:rsidRDefault="009629C4">
            <w:pPr>
              <w:pStyle w:val="P68B1DB1-Normal11"/>
              <w:spacing w:after="120"/>
              <w:rPr>
                <w:noProof/>
                <w:szCs w:val="20"/>
              </w:rPr>
            </w:pPr>
            <w:bookmarkStart w:id="29" w:name="_Hlk147330404"/>
            <w:r>
              <w:rPr>
                <w:noProof/>
              </w:rPr>
              <w:t>Italian viranomaisten on</w:t>
            </w:r>
          </w:p>
          <w:p w14:paraId="4A107987" w14:textId="6D4E3B5A" w:rsidR="00E42B18" w:rsidRDefault="009629C4">
            <w:pPr>
              <w:pStyle w:val="P68B1DB1-ListParagraph15"/>
              <w:numPr>
                <w:ilvl w:val="0"/>
                <w:numId w:val="39"/>
              </w:numPr>
              <w:spacing w:after="120" w:line="240" w:lineRule="auto"/>
              <w:rPr>
                <w:noProof/>
                <w:szCs w:val="20"/>
              </w:rPr>
            </w:pPr>
            <w:r>
              <w:rPr>
                <w:noProof/>
              </w:rPr>
              <w:t>Vahvistetaan aluekohtaiset suojelutavoitteet Natura 2000 -alueille, joihin hanke vaikuttaa, ympäristö- ja energiavarmuusministeriön vuosina 2021 ja 2023 hyväksymän menetelmän mukaisesti.</w:t>
            </w:r>
          </w:p>
          <w:p w14:paraId="7512FC2B" w14:textId="77777777" w:rsidR="00E42B18" w:rsidRDefault="009629C4">
            <w:pPr>
              <w:pStyle w:val="P68B1DB1-ListParagraph15"/>
              <w:numPr>
                <w:ilvl w:val="0"/>
                <w:numId w:val="39"/>
              </w:numPr>
              <w:spacing w:after="120" w:line="240" w:lineRule="auto"/>
              <w:contextualSpacing w:val="0"/>
              <w:rPr>
                <w:noProof/>
                <w:szCs w:val="20"/>
              </w:rPr>
            </w:pPr>
            <w:r>
              <w:rPr>
                <w:noProof/>
              </w:rPr>
              <w:t>Tarkistetaan luontotyyppidirektiivin (VINCA) mukaisesti jo tehdyt asianmukaiset arvioinnit äskettäin perustettujen SSCO-toimenpiteiden valossa.</w:t>
            </w:r>
            <w:bookmarkEnd w:id="29"/>
          </w:p>
          <w:p w14:paraId="7460EC70" w14:textId="77777777" w:rsidR="00E42B18" w:rsidRDefault="009629C4">
            <w:pPr>
              <w:pStyle w:val="P68B1DB1-ListParagraph15"/>
              <w:numPr>
                <w:ilvl w:val="0"/>
                <w:numId w:val="39"/>
              </w:numPr>
              <w:spacing w:after="120" w:line="240" w:lineRule="auto"/>
              <w:contextualSpacing w:val="0"/>
              <w:rPr>
                <w:noProof/>
                <w:szCs w:val="20"/>
              </w:rPr>
            </w:pPr>
            <w:r>
              <w:rPr>
                <w:noProof/>
              </w:rPr>
              <w:t>Päivitetään (tarvittaessa) luontodirektiivin nojalla jo tehdyt asianmukaiset arvioinnit (VINCA) 28. joulukuuta 2019 annettujen kansallisten suuntaviivojen mukaisesti ja varmistetaan niiden sisällyttäminen yleiseen ympäristövaikutusten arviointimenettelyyn.</w:t>
            </w:r>
          </w:p>
        </w:tc>
      </w:tr>
      <w:tr w:rsidR="00E42B18" w14:paraId="4D332C1E" w14:textId="77777777">
        <w:trPr>
          <w:trHeight w:val="309"/>
        </w:trPr>
        <w:tc>
          <w:tcPr>
            <w:tcW w:w="1187" w:type="dxa"/>
            <w:shd w:val="clear" w:color="auto" w:fill="C6EFCE"/>
            <w:noWrap/>
            <w:vAlign w:val="center"/>
          </w:tcPr>
          <w:p w14:paraId="610087DA" w14:textId="77777777" w:rsidR="00E42B18" w:rsidRDefault="009629C4">
            <w:pPr>
              <w:pStyle w:val="P68B1DB1-Normal11"/>
              <w:spacing w:after="120"/>
              <w:jc w:val="center"/>
              <w:rPr>
                <w:noProof/>
                <w:szCs w:val="20"/>
              </w:rPr>
            </w:pPr>
            <w:r>
              <w:rPr>
                <w:noProof/>
              </w:rPr>
              <w:t>M7–36</w:t>
            </w:r>
          </w:p>
        </w:tc>
        <w:tc>
          <w:tcPr>
            <w:tcW w:w="1559" w:type="dxa"/>
            <w:shd w:val="clear" w:color="auto" w:fill="C6EFCE"/>
            <w:noWrap/>
            <w:vAlign w:val="center"/>
          </w:tcPr>
          <w:p w14:paraId="6C68A370" w14:textId="77777777" w:rsidR="00E42B18" w:rsidRDefault="009629C4">
            <w:pPr>
              <w:pStyle w:val="P68B1DB1-Normal11"/>
              <w:spacing w:after="120"/>
              <w:jc w:val="center"/>
              <w:rPr>
                <w:noProof/>
                <w:szCs w:val="20"/>
              </w:rPr>
            </w:pPr>
            <w:r>
              <w:rPr>
                <w:noProof/>
              </w:rPr>
              <w:t>Investointi 13: Adrianmeren linjan vaihe 1 (Sulmonan kompressoriasema ja Sestino-Minerbio-kaasuputki)</w:t>
            </w:r>
          </w:p>
        </w:tc>
        <w:tc>
          <w:tcPr>
            <w:tcW w:w="1134" w:type="dxa"/>
            <w:shd w:val="clear" w:color="auto" w:fill="C6EFCE"/>
            <w:noWrap/>
            <w:vAlign w:val="center"/>
          </w:tcPr>
          <w:p w14:paraId="0552F973" w14:textId="77777777" w:rsidR="00E42B18" w:rsidRDefault="009629C4">
            <w:pPr>
              <w:pStyle w:val="P68B1DB1-Normal11"/>
              <w:spacing w:after="120"/>
              <w:jc w:val="center"/>
              <w:rPr>
                <w:noProof/>
                <w:szCs w:val="20"/>
              </w:rPr>
            </w:pPr>
            <w:r>
              <w:rPr>
                <w:noProof/>
              </w:rPr>
              <w:t>Virstanpylväs</w:t>
            </w:r>
          </w:p>
        </w:tc>
        <w:tc>
          <w:tcPr>
            <w:tcW w:w="1417" w:type="dxa"/>
            <w:shd w:val="clear" w:color="auto" w:fill="C6EFCE"/>
            <w:noWrap/>
            <w:vAlign w:val="center"/>
          </w:tcPr>
          <w:p w14:paraId="5B386AB2" w14:textId="77777777" w:rsidR="00E42B18" w:rsidRDefault="009629C4">
            <w:pPr>
              <w:pStyle w:val="P68B1DB1-Normal11"/>
              <w:spacing w:after="120"/>
              <w:jc w:val="center"/>
              <w:rPr>
                <w:noProof/>
                <w:szCs w:val="20"/>
              </w:rPr>
            </w:pPr>
            <w:r>
              <w:rPr>
                <w:noProof/>
              </w:rPr>
              <w:t>Hankintasopimukset</w:t>
            </w:r>
          </w:p>
        </w:tc>
        <w:tc>
          <w:tcPr>
            <w:tcW w:w="1701" w:type="dxa"/>
            <w:shd w:val="clear" w:color="auto" w:fill="C6EFCE"/>
            <w:noWrap/>
            <w:vAlign w:val="center"/>
          </w:tcPr>
          <w:p w14:paraId="1E62182A" w14:textId="77777777" w:rsidR="00E42B18" w:rsidRDefault="009629C4">
            <w:pPr>
              <w:pStyle w:val="P68B1DB1-Normal11"/>
              <w:spacing w:after="120"/>
              <w:jc w:val="center"/>
              <w:rPr>
                <w:noProof/>
                <w:szCs w:val="20"/>
              </w:rPr>
            </w:pPr>
            <w:r>
              <w:rPr>
                <w:noProof/>
              </w:rPr>
              <w:t>Hankintasopimusten tekemisestä ilmoittaminen</w:t>
            </w:r>
          </w:p>
        </w:tc>
        <w:tc>
          <w:tcPr>
            <w:tcW w:w="1276" w:type="dxa"/>
            <w:shd w:val="clear" w:color="auto" w:fill="C6EFCE"/>
            <w:noWrap/>
            <w:vAlign w:val="center"/>
          </w:tcPr>
          <w:p w14:paraId="3445D382" w14:textId="77777777" w:rsidR="00E42B18" w:rsidRDefault="00E42B18">
            <w:pPr>
              <w:spacing w:after="120"/>
              <w:jc w:val="center"/>
              <w:rPr>
                <w:rFonts w:ascii="Arial Narrow" w:hAnsi="Arial Narrow"/>
                <w:noProof/>
                <w:color w:val="006100"/>
                <w:sz w:val="20"/>
                <w:szCs w:val="20"/>
              </w:rPr>
            </w:pPr>
          </w:p>
        </w:tc>
        <w:tc>
          <w:tcPr>
            <w:tcW w:w="992" w:type="dxa"/>
            <w:shd w:val="clear" w:color="auto" w:fill="C6EFCE"/>
            <w:noWrap/>
            <w:vAlign w:val="center"/>
          </w:tcPr>
          <w:p w14:paraId="75CFEA4E" w14:textId="77777777" w:rsidR="00E42B18" w:rsidRDefault="00E42B18">
            <w:pPr>
              <w:spacing w:after="120"/>
              <w:jc w:val="center"/>
              <w:rPr>
                <w:rFonts w:ascii="Arial Narrow" w:hAnsi="Arial Narrow"/>
                <w:noProof/>
                <w:color w:val="006100"/>
                <w:sz w:val="20"/>
                <w:szCs w:val="20"/>
              </w:rPr>
            </w:pPr>
          </w:p>
        </w:tc>
        <w:tc>
          <w:tcPr>
            <w:tcW w:w="1276" w:type="dxa"/>
            <w:shd w:val="clear" w:color="auto" w:fill="C6EFCE"/>
            <w:noWrap/>
            <w:vAlign w:val="center"/>
          </w:tcPr>
          <w:p w14:paraId="445CA87F" w14:textId="77777777" w:rsidR="00E42B18" w:rsidRDefault="00E42B18">
            <w:pPr>
              <w:spacing w:after="120"/>
              <w:jc w:val="center"/>
              <w:rPr>
                <w:rFonts w:ascii="Arial Narrow" w:hAnsi="Arial Narrow"/>
                <w:noProof/>
                <w:color w:val="006100"/>
                <w:sz w:val="20"/>
                <w:szCs w:val="20"/>
              </w:rPr>
            </w:pPr>
          </w:p>
        </w:tc>
        <w:tc>
          <w:tcPr>
            <w:tcW w:w="851" w:type="dxa"/>
            <w:shd w:val="clear" w:color="auto" w:fill="C6EFCE"/>
            <w:noWrap/>
            <w:vAlign w:val="center"/>
          </w:tcPr>
          <w:p w14:paraId="31B8FB36" w14:textId="77777777" w:rsidR="00E42B18" w:rsidRDefault="009629C4">
            <w:pPr>
              <w:pStyle w:val="P68B1DB1-Normal11"/>
              <w:spacing w:after="120"/>
              <w:jc w:val="center"/>
              <w:rPr>
                <w:noProof/>
                <w:szCs w:val="20"/>
              </w:rPr>
            </w:pPr>
            <w:r>
              <w:rPr>
                <w:noProof/>
              </w:rPr>
              <w:t>Q2</w:t>
            </w:r>
          </w:p>
        </w:tc>
        <w:tc>
          <w:tcPr>
            <w:tcW w:w="708" w:type="dxa"/>
            <w:shd w:val="clear" w:color="auto" w:fill="C6EFCE"/>
            <w:noWrap/>
            <w:vAlign w:val="center"/>
          </w:tcPr>
          <w:p w14:paraId="208A0FC0" w14:textId="77777777" w:rsidR="00E42B18" w:rsidRDefault="009629C4">
            <w:pPr>
              <w:pStyle w:val="P68B1DB1-Normal11"/>
              <w:spacing w:after="120"/>
              <w:jc w:val="center"/>
              <w:rPr>
                <w:noProof/>
                <w:szCs w:val="20"/>
              </w:rPr>
            </w:pPr>
            <w:r>
              <w:rPr>
                <w:noProof/>
              </w:rPr>
              <w:t>2024</w:t>
            </w:r>
          </w:p>
        </w:tc>
        <w:tc>
          <w:tcPr>
            <w:tcW w:w="3261" w:type="dxa"/>
            <w:shd w:val="clear" w:color="auto" w:fill="C6EFCE"/>
            <w:noWrap/>
            <w:vAlign w:val="center"/>
          </w:tcPr>
          <w:p w14:paraId="6B8AF703" w14:textId="77777777" w:rsidR="00E42B18" w:rsidRDefault="009629C4">
            <w:pPr>
              <w:pStyle w:val="P68B1DB1-ListParagraph15"/>
              <w:ind w:left="0"/>
              <w:contextualSpacing w:val="0"/>
              <w:rPr>
                <w:noProof/>
                <w:szCs w:val="20"/>
              </w:rPr>
            </w:pPr>
            <w:r>
              <w:rPr>
                <w:noProof/>
              </w:rPr>
              <w:t>Ilmoitus kaikkien Sulmonan kompressoriaseman ja Sestino-Minerbio-kaasuputken rakentamiseen tarvittavien rakennusurakoiden tekemisestä.</w:t>
            </w:r>
          </w:p>
        </w:tc>
      </w:tr>
      <w:tr w:rsidR="00E42B18" w14:paraId="1EE82ADA" w14:textId="77777777">
        <w:trPr>
          <w:trHeight w:val="309"/>
        </w:trPr>
        <w:tc>
          <w:tcPr>
            <w:tcW w:w="1187" w:type="dxa"/>
            <w:shd w:val="clear" w:color="auto" w:fill="C6EFCE"/>
            <w:noWrap/>
            <w:vAlign w:val="center"/>
          </w:tcPr>
          <w:p w14:paraId="3F3068D2" w14:textId="77777777" w:rsidR="00E42B18" w:rsidRDefault="009629C4">
            <w:pPr>
              <w:pStyle w:val="P68B1DB1-Normal11"/>
              <w:jc w:val="center"/>
              <w:rPr>
                <w:noProof/>
                <w:szCs w:val="20"/>
              </w:rPr>
            </w:pPr>
            <w:r>
              <w:rPr>
                <w:noProof/>
              </w:rPr>
              <w:t>M7–37</w:t>
            </w:r>
          </w:p>
        </w:tc>
        <w:tc>
          <w:tcPr>
            <w:tcW w:w="1559" w:type="dxa"/>
            <w:shd w:val="clear" w:color="auto" w:fill="C6EFCE"/>
            <w:noWrap/>
            <w:vAlign w:val="center"/>
          </w:tcPr>
          <w:p w14:paraId="3F3205AC" w14:textId="77777777" w:rsidR="00E42B18" w:rsidRDefault="009629C4">
            <w:pPr>
              <w:pStyle w:val="P68B1DB1-Normal11"/>
              <w:jc w:val="center"/>
              <w:rPr>
                <w:noProof/>
                <w:szCs w:val="20"/>
              </w:rPr>
            </w:pPr>
            <w:r>
              <w:rPr>
                <w:noProof/>
              </w:rPr>
              <w:t>Investointi 13: Adrianmeren linjan vaihe 1 (Sulmonan kompressoriasema ja Sestino-Minerbio-kaasuputki)</w:t>
            </w:r>
          </w:p>
        </w:tc>
        <w:tc>
          <w:tcPr>
            <w:tcW w:w="1134" w:type="dxa"/>
            <w:shd w:val="clear" w:color="auto" w:fill="C6EFCE"/>
            <w:noWrap/>
            <w:vAlign w:val="center"/>
          </w:tcPr>
          <w:p w14:paraId="7D1078F6" w14:textId="77777777" w:rsidR="00E42B18" w:rsidRDefault="009629C4">
            <w:pPr>
              <w:pStyle w:val="P68B1DB1-Normal11"/>
              <w:jc w:val="center"/>
              <w:rPr>
                <w:noProof/>
                <w:szCs w:val="20"/>
              </w:rPr>
            </w:pPr>
            <w:r>
              <w:rPr>
                <w:noProof/>
              </w:rPr>
              <w:t>Virstanpylväs</w:t>
            </w:r>
          </w:p>
        </w:tc>
        <w:tc>
          <w:tcPr>
            <w:tcW w:w="1417" w:type="dxa"/>
            <w:shd w:val="clear" w:color="auto" w:fill="C6EFCE"/>
            <w:noWrap/>
            <w:vAlign w:val="center"/>
          </w:tcPr>
          <w:p w14:paraId="7BFD81A1" w14:textId="77777777" w:rsidR="00E42B18" w:rsidRDefault="009629C4">
            <w:pPr>
              <w:pStyle w:val="P68B1DB1-Normal11"/>
              <w:jc w:val="center"/>
              <w:rPr>
                <w:rFonts w:eastAsia="Calibri" w:cstheme="minorHAnsi"/>
                <w:noProof/>
                <w:szCs w:val="20"/>
              </w:rPr>
            </w:pPr>
            <w:r>
              <w:rPr>
                <w:noProof/>
              </w:rPr>
              <w:t>Töiden loppuun saattaminen</w:t>
            </w:r>
          </w:p>
        </w:tc>
        <w:tc>
          <w:tcPr>
            <w:tcW w:w="1701" w:type="dxa"/>
            <w:shd w:val="clear" w:color="auto" w:fill="C6EFCE"/>
            <w:noWrap/>
            <w:vAlign w:val="center"/>
          </w:tcPr>
          <w:p w14:paraId="4762FEE4" w14:textId="77777777" w:rsidR="00E42B18" w:rsidRDefault="009629C4">
            <w:pPr>
              <w:pStyle w:val="P68B1DB1-Normal11"/>
              <w:jc w:val="center"/>
              <w:rPr>
                <w:noProof/>
                <w:szCs w:val="20"/>
              </w:rPr>
            </w:pPr>
            <w:r>
              <w:rPr>
                <w:noProof/>
                <w:szCs w:val="20"/>
              </w:rPr>
              <w:t>Töiden</w:t>
            </w:r>
            <w:r>
              <w:rPr>
                <w:noProof/>
              </w:rPr>
              <w:t xml:space="preserve"> valmistumisesta annetut</w:t>
            </w:r>
            <w:r>
              <w:rPr>
                <w:noProof/>
                <w:szCs w:val="20"/>
              </w:rPr>
              <w:t xml:space="preserve"> todistukset</w:t>
            </w:r>
          </w:p>
        </w:tc>
        <w:tc>
          <w:tcPr>
            <w:tcW w:w="1276" w:type="dxa"/>
            <w:shd w:val="clear" w:color="auto" w:fill="C6EFCE"/>
            <w:noWrap/>
            <w:vAlign w:val="center"/>
          </w:tcPr>
          <w:p w14:paraId="3BD93EFB" w14:textId="77777777" w:rsidR="00E42B18" w:rsidRDefault="00E42B18">
            <w:pPr>
              <w:jc w:val="center"/>
              <w:rPr>
                <w:rFonts w:ascii="Arial Narrow" w:hAnsi="Arial Narrow"/>
                <w:noProof/>
                <w:color w:val="006100"/>
                <w:sz w:val="20"/>
                <w:szCs w:val="20"/>
              </w:rPr>
            </w:pPr>
          </w:p>
        </w:tc>
        <w:tc>
          <w:tcPr>
            <w:tcW w:w="992" w:type="dxa"/>
            <w:shd w:val="clear" w:color="auto" w:fill="C6EFCE"/>
            <w:noWrap/>
            <w:vAlign w:val="center"/>
          </w:tcPr>
          <w:p w14:paraId="1851E7F8" w14:textId="77777777" w:rsidR="00E42B18" w:rsidRDefault="00E42B18">
            <w:pPr>
              <w:jc w:val="center"/>
              <w:rPr>
                <w:rFonts w:ascii="Arial Narrow" w:hAnsi="Arial Narrow"/>
                <w:noProof/>
                <w:color w:val="006100"/>
                <w:sz w:val="20"/>
                <w:szCs w:val="20"/>
              </w:rPr>
            </w:pPr>
          </w:p>
        </w:tc>
        <w:tc>
          <w:tcPr>
            <w:tcW w:w="1276" w:type="dxa"/>
            <w:shd w:val="clear" w:color="auto" w:fill="C6EFCE"/>
            <w:noWrap/>
            <w:vAlign w:val="center"/>
          </w:tcPr>
          <w:p w14:paraId="193CE532" w14:textId="77777777" w:rsidR="00E42B18" w:rsidRDefault="00E42B18">
            <w:pPr>
              <w:jc w:val="center"/>
              <w:rPr>
                <w:rFonts w:ascii="Arial Narrow" w:hAnsi="Arial Narrow"/>
                <w:noProof/>
                <w:color w:val="006100"/>
                <w:sz w:val="20"/>
                <w:szCs w:val="20"/>
              </w:rPr>
            </w:pPr>
          </w:p>
        </w:tc>
        <w:tc>
          <w:tcPr>
            <w:tcW w:w="851" w:type="dxa"/>
            <w:shd w:val="clear" w:color="auto" w:fill="C6EFCE"/>
            <w:noWrap/>
            <w:vAlign w:val="center"/>
          </w:tcPr>
          <w:p w14:paraId="5031694F" w14:textId="77777777" w:rsidR="00E42B18" w:rsidRDefault="009629C4">
            <w:pPr>
              <w:pStyle w:val="P68B1DB1-Normal11"/>
              <w:jc w:val="center"/>
              <w:rPr>
                <w:noProof/>
                <w:szCs w:val="20"/>
              </w:rPr>
            </w:pPr>
            <w:r>
              <w:rPr>
                <w:noProof/>
              </w:rPr>
              <w:t>Q2</w:t>
            </w:r>
          </w:p>
        </w:tc>
        <w:tc>
          <w:tcPr>
            <w:tcW w:w="708" w:type="dxa"/>
            <w:shd w:val="clear" w:color="auto" w:fill="C6EFCE"/>
            <w:noWrap/>
            <w:vAlign w:val="center"/>
          </w:tcPr>
          <w:p w14:paraId="12A1D3BE" w14:textId="77777777" w:rsidR="00E42B18" w:rsidRDefault="009629C4">
            <w:pPr>
              <w:pStyle w:val="P68B1DB1-Normal11"/>
              <w:jc w:val="center"/>
              <w:rPr>
                <w:noProof/>
                <w:szCs w:val="20"/>
              </w:rPr>
            </w:pPr>
            <w:r>
              <w:rPr>
                <w:noProof/>
              </w:rPr>
              <w:t>2026</w:t>
            </w:r>
          </w:p>
        </w:tc>
        <w:tc>
          <w:tcPr>
            <w:tcW w:w="3261" w:type="dxa"/>
            <w:shd w:val="clear" w:color="auto" w:fill="C6EFCE"/>
            <w:noWrap/>
            <w:vAlign w:val="center"/>
          </w:tcPr>
          <w:p w14:paraId="6544E3E8" w14:textId="77777777" w:rsidR="00E42B18" w:rsidRDefault="009629C4">
            <w:pPr>
              <w:pStyle w:val="P68B1DB1-Normal12"/>
              <w:rPr>
                <w:noProof/>
              </w:rPr>
            </w:pPr>
            <w:r>
              <w:rPr>
                <w:noProof/>
              </w:rPr>
              <w:t>Sulmonan kompressoriaseman ja Sestino-Minerbio-kaasuputken rakennustöiden valmistumistodistus myönnetään kaasunsiirron teknisen kapasiteetin lisäämiseksi 14 mcm päivässä.</w:t>
            </w:r>
          </w:p>
        </w:tc>
      </w:tr>
      <w:tr w:rsidR="00E42B18" w14:paraId="6CEB988D" w14:textId="77777777">
        <w:trPr>
          <w:trHeight w:val="309"/>
        </w:trPr>
        <w:tc>
          <w:tcPr>
            <w:tcW w:w="1187" w:type="dxa"/>
            <w:shd w:val="clear" w:color="auto" w:fill="C6EFCE"/>
            <w:noWrap/>
            <w:vAlign w:val="center"/>
          </w:tcPr>
          <w:p w14:paraId="4BC0B26E" w14:textId="77777777" w:rsidR="00E42B18" w:rsidRDefault="009629C4">
            <w:pPr>
              <w:pStyle w:val="P68B1DB1-Normal11"/>
              <w:jc w:val="center"/>
              <w:rPr>
                <w:noProof/>
                <w:szCs w:val="20"/>
              </w:rPr>
            </w:pPr>
            <w:r>
              <w:rPr>
                <w:noProof/>
              </w:rPr>
              <w:t>M7–38</w:t>
            </w:r>
          </w:p>
        </w:tc>
        <w:tc>
          <w:tcPr>
            <w:tcW w:w="1559" w:type="dxa"/>
            <w:shd w:val="clear" w:color="auto" w:fill="C6EFCE"/>
            <w:noWrap/>
            <w:vAlign w:val="center"/>
          </w:tcPr>
          <w:p w14:paraId="3A89F982" w14:textId="77777777" w:rsidR="00E42B18" w:rsidRDefault="009629C4">
            <w:pPr>
              <w:pStyle w:val="P68B1DB1-Normal11"/>
              <w:jc w:val="center"/>
              <w:rPr>
                <w:noProof/>
                <w:szCs w:val="20"/>
              </w:rPr>
            </w:pPr>
            <w:r>
              <w:rPr>
                <w:noProof/>
              </w:rPr>
              <w:t>Investointi 14: Rajat ylittävä kaasun vientiinfrastruktuuri</w:t>
            </w:r>
          </w:p>
        </w:tc>
        <w:tc>
          <w:tcPr>
            <w:tcW w:w="1134" w:type="dxa"/>
            <w:shd w:val="clear" w:color="auto" w:fill="C6EFCE"/>
            <w:noWrap/>
            <w:vAlign w:val="center"/>
          </w:tcPr>
          <w:p w14:paraId="5A35B802" w14:textId="77777777" w:rsidR="00E42B18" w:rsidRDefault="009629C4">
            <w:pPr>
              <w:pStyle w:val="P68B1DB1-Normal11"/>
              <w:jc w:val="center"/>
              <w:rPr>
                <w:noProof/>
                <w:szCs w:val="20"/>
              </w:rPr>
            </w:pPr>
            <w:r>
              <w:rPr>
                <w:noProof/>
              </w:rPr>
              <w:t>Virstanpylväs</w:t>
            </w:r>
          </w:p>
        </w:tc>
        <w:tc>
          <w:tcPr>
            <w:tcW w:w="1417" w:type="dxa"/>
            <w:shd w:val="clear" w:color="auto" w:fill="C6EFCE"/>
            <w:noWrap/>
            <w:vAlign w:val="center"/>
          </w:tcPr>
          <w:p w14:paraId="59E0FF04" w14:textId="77777777" w:rsidR="00E42B18" w:rsidRDefault="009629C4">
            <w:pPr>
              <w:pStyle w:val="P68B1DB1-Normal11"/>
              <w:jc w:val="center"/>
              <w:rPr>
                <w:noProof/>
                <w:szCs w:val="20"/>
              </w:rPr>
            </w:pPr>
            <w:r>
              <w:rPr>
                <w:noProof/>
              </w:rPr>
              <w:t>Hankintasopimukset</w:t>
            </w:r>
          </w:p>
        </w:tc>
        <w:tc>
          <w:tcPr>
            <w:tcW w:w="1701" w:type="dxa"/>
            <w:shd w:val="clear" w:color="auto" w:fill="C6EFCE"/>
            <w:noWrap/>
            <w:vAlign w:val="center"/>
          </w:tcPr>
          <w:p w14:paraId="27A41193" w14:textId="77777777" w:rsidR="00E42B18" w:rsidRDefault="009629C4">
            <w:pPr>
              <w:pStyle w:val="P68B1DB1-Normal11"/>
              <w:jc w:val="center"/>
              <w:rPr>
                <w:noProof/>
                <w:szCs w:val="20"/>
              </w:rPr>
            </w:pPr>
            <w:r>
              <w:rPr>
                <w:noProof/>
              </w:rPr>
              <w:t>Hankintasopimusten tekemisestä ilmoittaminen</w:t>
            </w:r>
          </w:p>
        </w:tc>
        <w:tc>
          <w:tcPr>
            <w:tcW w:w="1276" w:type="dxa"/>
            <w:shd w:val="clear" w:color="auto" w:fill="C6EFCE"/>
            <w:noWrap/>
            <w:vAlign w:val="center"/>
          </w:tcPr>
          <w:p w14:paraId="5C42F510" w14:textId="77777777" w:rsidR="00E42B18" w:rsidRDefault="00E42B18">
            <w:pPr>
              <w:jc w:val="center"/>
              <w:rPr>
                <w:rFonts w:ascii="Arial Narrow" w:hAnsi="Arial Narrow"/>
                <w:noProof/>
                <w:color w:val="FF0000"/>
                <w:sz w:val="20"/>
                <w:szCs w:val="20"/>
              </w:rPr>
            </w:pPr>
          </w:p>
        </w:tc>
        <w:tc>
          <w:tcPr>
            <w:tcW w:w="992" w:type="dxa"/>
            <w:shd w:val="clear" w:color="auto" w:fill="C6EFCE"/>
            <w:noWrap/>
            <w:vAlign w:val="center"/>
          </w:tcPr>
          <w:p w14:paraId="0FC05DA7" w14:textId="77777777" w:rsidR="00E42B18" w:rsidRDefault="00E42B18">
            <w:pPr>
              <w:jc w:val="center"/>
              <w:rPr>
                <w:rFonts w:ascii="Arial Narrow" w:hAnsi="Arial Narrow"/>
                <w:noProof/>
                <w:color w:val="006100"/>
                <w:sz w:val="20"/>
                <w:szCs w:val="20"/>
              </w:rPr>
            </w:pPr>
          </w:p>
        </w:tc>
        <w:tc>
          <w:tcPr>
            <w:tcW w:w="1276" w:type="dxa"/>
            <w:shd w:val="clear" w:color="auto" w:fill="C6EFCE"/>
            <w:noWrap/>
            <w:vAlign w:val="center"/>
          </w:tcPr>
          <w:p w14:paraId="61D5864A" w14:textId="77777777" w:rsidR="00E42B18" w:rsidRDefault="00E42B18">
            <w:pPr>
              <w:jc w:val="center"/>
              <w:rPr>
                <w:rFonts w:ascii="Arial Narrow" w:hAnsi="Arial Narrow"/>
                <w:noProof/>
                <w:color w:val="006100"/>
                <w:sz w:val="20"/>
                <w:szCs w:val="20"/>
              </w:rPr>
            </w:pPr>
          </w:p>
        </w:tc>
        <w:tc>
          <w:tcPr>
            <w:tcW w:w="851" w:type="dxa"/>
            <w:shd w:val="clear" w:color="auto" w:fill="C6EFCE"/>
            <w:noWrap/>
            <w:vAlign w:val="center"/>
          </w:tcPr>
          <w:p w14:paraId="578DAEAE" w14:textId="77777777" w:rsidR="00E42B18" w:rsidRDefault="009629C4">
            <w:pPr>
              <w:pStyle w:val="P68B1DB1-Normal11"/>
              <w:jc w:val="center"/>
              <w:rPr>
                <w:noProof/>
                <w:szCs w:val="20"/>
              </w:rPr>
            </w:pPr>
            <w:r>
              <w:rPr>
                <w:noProof/>
              </w:rPr>
              <w:t>Q2</w:t>
            </w:r>
          </w:p>
        </w:tc>
        <w:tc>
          <w:tcPr>
            <w:tcW w:w="708" w:type="dxa"/>
            <w:shd w:val="clear" w:color="auto" w:fill="C6EFCE"/>
            <w:noWrap/>
            <w:vAlign w:val="center"/>
          </w:tcPr>
          <w:p w14:paraId="71733554" w14:textId="77777777" w:rsidR="00E42B18" w:rsidRDefault="009629C4">
            <w:pPr>
              <w:pStyle w:val="P68B1DB1-Normal11"/>
              <w:jc w:val="center"/>
              <w:rPr>
                <w:noProof/>
                <w:szCs w:val="20"/>
              </w:rPr>
            </w:pPr>
            <w:r>
              <w:rPr>
                <w:noProof/>
              </w:rPr>
              <w:t>2024</w:t>
            </w:r>
          </w:p>
        </w:tc>
        <w:tc>
          <w:tcPr>
            <w:tcW w:w="3261" w:type="dxa"/>
            <w:shd w:val="clear" w:color="auto" w:fill="C6EFCE"/>
            <w:noWrap/>
            <w:vAlign w:val="center"/>
          </w:tcPr>
          <w:p w14:paraId="6BD1DBD6" w14:textId="77777777" w:rsidR="00E42B18" w:rsidRDefault="009629C4">
            <w:pPr>
              <w:pStyle w:val="P68B1DB1-Normal11"/>
              <w:rPr>
                <w:noProof/>
                <w:szCs w:val="20"/>
              </w:rPr>
            </w:pPr>
            <w:r>
              <w:rPr>
                <w:noProof/>
              </w:rPr>
              <w:t>Ilmoitus kaikkien Poggio Renaticon kompressoriaseman valmistumiseen tarvittavien rakennusurakoiden tekemisestä</w:t>
            </w:r>
          </w:p>
        </w:tc>
      </w:tr>
      <w:tr w:rsidR="00E42B18" w14:paraId="41926CEA" w14:textId="77777777">
        <w:trPr>
          <w:trHeight w:val="309"/>
        </w:trPr>
        <w:tc>
          <w:tcPr>
            <w:tcW w:w="1187" w:type="dxa"/>
            <w:shd w:val="clear" w:color="auto" w:fill="C6EFCE"/>
            <w:noWrap/>
            <w:vAlign w:val="center"/>
          </w:tcPr>
          <w:p w14:paraId="25484426" w14:textId="77777777" w:rsidR="00E42B18" w:rsidRDefault="009629C4">
            <w:pPr>
              <w:pStyle w:val="P68B1DB1-Normal11"/>
              <w:jc w:val="center"/>
              <w:rPr>
                <w:noProof/>
                <w:szCs w:val="20"/>
              </w:rPr>
            </w:pPr>
            <w:r>
              <w:rPr>
                <w:noProof/>
              </w:rPr>
              <w:t>M7–39</w:t>
            </w:r>
          </w:p>
        </w:tc>
        <w:tc>
          <w:tcPr>
            <w:tcW w:w="1559" w:type="dxa"/>
            <w:shd w:val="clear" w:color="auto" w:fill="C6EFCE"/>
            <w:noWrap/>
            <w:vAlign w:val="center"/>
          </w:tcPr>
          <w:p w14:paraId="606B2112" w14:textId="77777777" w:rsidR="00E42B18" w:rsidRDefault="009629C4">
            <w:pPr>
              <w:pStyle w:val="P68B1DB1-Normal11"/>
              <w:jc w:val="center"/>
              <w:rPr>
                <w:noProof/>
                <w:szCs w:val="20"/>
              </w:rPr>
            </w:pPr>
            <w:r>
              <w:rPr>
                <w:noProof/>
              </w:rPr>
              <w:t>Investointi 14: Rajat ylittävä kaasun vientiinfrastruktuuri</w:t>
            </w:r>
          </w:p>
        </w:tc>
        <w:tc>
          <w:tcPr>
            <w:tcW w:w="1134" w:type="dxa"/>
            <w:shd w:val="clear" w:color="auto" w:fill="C6EFCE"/>
            <w:noWrap/>
            <w:vAlign w:val="center"/>
          </w:tcPr>
          <w:p w14:paraId="08E0A362" w14:textId="77777777" w:rsidR="00E42B18" w:rsidRDefault="009629C4">
            <w:pPr>
              <w:pStyle w:val="P68B1DB1-Normal11"/>
              <w:jc w:val="center"/>
              <w:rPr>
                <w:noProof/>
                <w:szCs w:val="20"/>
              </w:rPr>
            </w:pPr>
            <w:r>
              <w:rPr>
                <w:noProof/>
              </w:rPr>
              <w:t>Virstanpylväs</w:t>
            </w:r>
          </w:p>
        </w:tc>
        <w:tc>
          <w:tcPr>
            <w:tcW w:w="1417" w:type="dxa"/>
            <w:shd w:val="clear" w:color="auto" w:fill="C6EFCE"/>
            <w:noWrap/>
            <w:vAlign w:val="center"/>
          </w:tcPr>
          <w:p w14:paraId="2CE89309" w14:textId="77777777" w:rsidR="00E42B18" w:rsidRDefault="009629C4">
            <w:pPr>
              <w:pStyle w:val="P68B1DB1-Normal11"/>
              <w:jc w:val="center"/>
              <w:rPr>
                <w:noProof/>
                <w:szCs w:val="20"/>
              </w:rPr>
            </w:pPr>
            <w:r>
              <w:rPr>
                <w:noProof/>
              </w:rPr>
              <w:t>Töiden loppuun saattaminen</w:t>
            </w:r>
          </w:p>
        </w:tc>
        <w:tc>
          <w:tcPr>
            <w:tcW w:w="1701" w:type="dxa"/>
            <w:shd w:val="clear" w:color="auto" w:fill="C6EFCE"/>
            <w:noWrap/>
            <w:vAlign w:val="center"/>
          </w:tcPr>
          <w:p w14:paraId="715D8F17" w14:textId="77777777" w:rsidR="00E42B18" w:rsidRDefault="009629C4">
            <w:pPr>
              <w:pStyle w:val="P68B1DB1-Normal11"/>
              <w:jc w:val="center"/>
              <w:rPr>
                <w:noProof/>
                <w:szCs w:val="20"/>
              </w:rPr>
            </w:pPr>
            <w:r>
              <w:rPr>
                <w:noProof/>
                <w:szCs w:val="20"/>
              </w:rPr>
              <w:t>Todistus</w:t>
            </w:r>
            <w:r>
              <w:rPr>
                <w:noProof/>
              </w:rPr>
              <w:t xml:space="preserve"> töiden valmistumisesta annettu</w:t>
            </w:r>
            <w:r>
              <w:rPr>
                <w:noProof/>
                <w:szCs w:val="20"/>
              </w:rPr>
              <w:t xml:space="preserve"> </w:t>
            </w:r>
          </w:p>
        </w:tc>
        <w:tc>
          <w:tcPr>
            <w:tcW w:w="1276" w:type="dxa"/>
            <w:shd w:val="clear" w:color="auto" w:fill="C6EFCE"/>
            <w:noWrap/>
            <w:vAlign w:val="center"/>
          </w:tcPr>
          <w:p w14:paraId="2D4768DB" w14:textId="77777777" w:rsidR="00E42B18" w:rsidRDefault="00E42B18">
            <w:pPr>
              <w:jc w:val="center"/>
              <w:rPr>
                <w:rFonts w:ascii="Arial Narrow" w:hAnsi="Arial Narrow"/>
                <w:noProof/>
                <w:color w:val="006100"/>
                <w:sz w:val="20"/>
                <w:szCs w:val="20"/>
              </w:rPr>
            </w:pPr>
          </w:p>
        </w:tc>
        <w:tc>
          <w:tcPr>
            <w:tcW w:w="992" w:type="dxa"/>
            <w:shd w:val="clear" w:color="auto" w:fill="C6EFCE"/>
            <w:noWrap/>
            <w:vAlign w:val="center"/>
          </w:tcPr>
          <w:p w14:paraId="278E6B02" w14:textId="77777777" w:rsidR="00E42B18" w:rsidRDefault="00E42B18">
            <w:pPr>
              <w:jc w:val="center"/>
              <w:rPr>
                <w:rFonts w:ascii="Arial Narrow" w:hAnsi="Arial Narrow"/>
                <w:noProof/>
                <w:color w:val="006100"/>
                <w:sz w:val="20"/>
                <w:szCs w:val="20"/>
              </w:rPr>
            </w:pPr>
          </w:p>
        </w:tc>
        <w:tc>
          <w:tcPr>
            <w:tcW w:w="1276" w:type="dxa"/>
            <w:shd w:val="clear" w:color="auto" w:fill="C6EFCE"/>
            <w:noWrap/>
            <w:vAlign w:val="center"/>
          </w:tcPr>
          <w:p w14:paraId="1DABF037" w14:textId="77777777" w:rsidR="00E42B18" w:rsidRDefault="00E42B18">
            <w:pPr>
              <w:jc w:val="center"/>
              <w:rPr>
                <w:rFonts w:ascii="Arial Narrow" w:hAnsi="Arial Narrow"/>
                <w:noProof/>
                <w:color w:val="006100"/>
                <w:sz w:val="20"/>
                <w:szCs w:val="20"/>
              </w:rPr>
            </w:pPr>
          </w:p>
        </w:tc>
        <w:tc>
          <w:tcPr>
            <w:tcW w:w="851" w:type="dxa"/>
            <w:shd w:val="clear" w:color="auto" w:fill="C6EFCE"/>
            <w:noWrap/>
            <w:vAlign w:val="center"/>
          </w:tcPr>
          <w:p w14:paraId="682B2234" w14:textId="77777777" w:rsidR="00E42B18" w:rsidRDefault="009629C4">
            <w:pPr>
              <w:pStyle w:val="P68B1DB1-Normal11"/>
              <w:jc w:val="center"/>
              <w:rPr>
                <w:noProof/>
                <w:szCs w:val="20"/>
              </w:rPr>
            </w:pPr>
            <w:r>
              <w:rPr>
                <w:noProof/>
              </w:rPr>
              <w:t>Q2</w:t>
            </w:r>
          </w:p>
        </w:tc>
        <w:tc>
          <w:tcPr>
            <w:tcW w:w="708" w:type="dxa"/>
            <w:shd w:val="clear" w:color="auto" w:fill="C6EFCE"/>
            <w:noWrap/>
            <w:vAlign w:val="center"/>
          </w:tcPr>
          <w:p w14:paraId="59CC15E2" w14:textId="77777777" w:rsidR="00E42B18" w:rsidRDefault="009629C4">
            <w:pPr>
              <w:pStyle w:val="P68B1DB1-Normal11"/>
              <w:jc w:val="center"/>
              <w:rPr>
                <w:noProof/>
                <w:szCs w:val="20"/>
              </w:rPr>
            </w:pPr>
            <w:r>
              <w:rPr>
                <w:noProof/>
              </w:rPr>
              <w:t>2026</w:t>
            </w:r>
          </w:p>
        </w:tc>
        <w:tc>
          <w:tcPr>
            <w:tcW w:w="3261" w:type="dxa"/>
            <w:shd w:val="clear" w:color="auto" w:fill="C6EFCE"/>
            <w:noWrap/>
            <w:vAlign w:val="center"/>
          </w:tcPr>
          <w:p w14:paraId="057055A6" w14:textId="77777777" w:rsidR="00E42B18" w:rsidRDefault="009629C4">
            <w:pPr>
              <w:pStyle w:val="P68B1DB1-Normal11"/>
              <w:rPr>
                <w:noProof/>
                <w:szCs w:val="20"/>
              </w:rPr>
            </w:pPr>
            <w:r>
              <w:rPr>
                <w:noProof/>
              </w:rPr>
              <w:t xml:space="preserve">Poggio Renaticon kompressoriaseman </w:t>
            </w:r>
            <w:r>
              <w:rPr>
                <w:noProof/>
                <w:szCs w:val="20"/>
              </w:rPr>
              <w:t>puristusyksikön töiden</w:t>
            </w:r>
            <w:r>
              <w:rPr>
                <w:noProof/>
              </w:rPr>
              <w:t xml:space="preserve"> valmistumistodistus </w:t>
            </w:r>
            <w:r>
              <w:rPr>
                <w:noProof/>
                <w:szCs w:val="20"/>
              </w:rPr>
              <w:t>myönnetään kaasun vientikapasiteetin lisäämiseksi Tarvision poistumispisteen kautta 8 miljardilla kuutiometrillä vuodessa.</w:t>
            </w:r>
          </w:p>
        </w:tc>
      </w:tr>
      <w:tr w:rsidR="00E42B18" w14:paraId="39A71B65" w14:textId="77777777">
        <w:trPr>
          <w:trHeight w:val="309"/>
        </w:trPr>
        <w:tc>
          <w:tcPr>
            <w:tcW w:w="1187" w:type="dxa"/>
            <w:shd w:val="clear" w:color="auto" w:fill="C6EFCE"/>
            <w:noWrap/>
            <w:vAlign w:val="center"/>
          </w:tcPr>
          <w:p w14:paraId="29691BE9" w14:textId="77777777" w:rsidR="00E42B18" w:rsidRDefault="009629C4">
            <w:pPr>
              <w:pStyle w:val="P68B1DB1-Normal11"/>
              <w:jc w:val="center"/>
              <w:rPr>
                <w:noProof/>
                <w:szCs w:val="20"/>
              </w:rPr>
            </w:pPr>
            <w:r>
              <w:rPr>
                <w:noProof/>
              </w:rPr>
              <w:t>M7–40</w:t>
            </w:r>
          </w:p>
        </w:tc>
        <w:tc>
          <w:tcPr>
            <w:tcW w:w="1559" w:type="dxa"/>
            <w:shd w:val="clear" w:color="auto" w:fill="C6EFCE"/>
            <w:noWrap/>
            <w:vAlign w:val="center"/>
          </w:tcPr>
          <w:p w14:paraId="40607763" w14:textId="633E23DE" w:rsidR="00E42B18" w:rsidRDefault="009629C4">
            <w:pPr>
              <w:pStyle w:val="P68B1DB1-Normal11"/>
              <w:jc w:val="center"/>
              <w:rPr>
                <w:noProof/>
                <w:szCs w:val="20"/>
              </w:rPr>
            </w:pPr>
            <w:r>
              <w:rPr>
                <w:noProof/>
              </w:rPr>
              <w:t>Investointi 15: Transizione 5.0</w:t>
            </w:r>
          </w:p>
        </w:tc>
        <w:tc>
          <w:tcPr>
            <w:tcW w:w="1134" w:type="dxa"/>
            <w:shd w:val="clear" w:color="auto" w:fill="C6EFCE"/>
            <w:noWrap/>
            <w:vAlign w:val="center"/>
          </w:tcPr>
          <w:p w14:paraId="4FD0DE37" w14:textId="77777777" w:rsidR="00E42B18" w:rsidRDefault="009629C4">
            <w:pPr>
              <w:pStyle w:val="P68B1DB1-Normal11"/>
              <w:jc w:val="center"/>
              <w:rPr>
                <w:noProof/>
                <w:szCs w:val="20"/>
              </w:rPr>
            </w:pPr>
            <w:r>
              <w:rPr>
                <w:noProof/>
              </w:rPr>
              <w:t>Virstanpylväs</w:t>
            </w:r>
          </w:p>
        </w:tc>
        <w:tc>
          <w:tcPr>
            <w:tcW w:w="1417" w:type="dxa"/>
            <w:shd w:val="clear" w:color="auto" w:fill="C6EFCE"/>
            <w:noWrap/>
            <w:vAlign w:val="center"/>
          </w:tcPr>
          <w:p w14:paraId="1AE9C83D" w14:textId="77777777" w:rsidR="00E42B18" w:rsidRDefault="009629C4">
            <w:pPr>
              <w:pStyle w:val="P68B1DB1-Normal11"/>
              <w:jc w:val="center"/>
              <w:rPr>
                <w:noProof/>
                <w:szCs w:val="20"/>
              </w:rPr>
            </w:pPr>
            <w:r>
              <w:rPr>
                <w:noProof/>
              </w:rPr>
              <w:t>Tukikelpoisten tukitoimien perusteet vahvistava säädös tulee voimaan</w:t>
            </w:r>
          </w:p>
        </w:tc>
        <w:tc>
          <w:tcPr>
            <w:tcW w:w="1701" w:type="dxa"/>
            <w:shd w:val="clear" w:color="auto" w:fill="C6EFCE"/>
            <w:noWrap/>
            <w:vAlign w:val="center"/>
          </w:tcPr>
          <w:p w14:paraId="15B380FD" w14:textId="77777777" w:rsidR="00E42B18" w:rsidRDefault="009629C4">
            <w:pPr>
              <w:pStyle w:val="P68B1DB1-Normal11"/>
              <w:jc w:val="center"/>
              <w:rPr>
                <w:noProof/>
                <w:color w:val="FF0000"/>
                <w:szCs w:val="20"/>
              </w:rPr>
            </w:pPr>
            <w:r>
              <w:rPr>
                <w:noProof/>
              </w:rPr>
              <w:t>Lain voimaantuloa koskeva säännös</w:t>
            </w:r>
          </w:p>
        </w:tc>
        <w:tc>
          <w:tcPr>
            <w:tcW w:w="1276" w:type="dxa"/>
            <w:shd w:val="clear" w:color="auto" w:fill="C6EFCE"/>
            <w:noWrap/>
            <w:vAlign w:val="center"/>
          </w:tcPr>
          <w:p w14:paraId="22681F90" w14:textId="77777777" w:rsidR="00E42B18" w:rsidRDefault="00E42B18">
            <w:pPr>
              <w:jc w:val="center"/>
              <w:rPr>
                <w:rFonts w:ascii="Arial Narrow" w:hAnsi="Arial Narrow"/>
                <w:noProof/>
                <w:color w:val="006100"/>
                <w:sz w:val="20"/>
                <w:szCs w:val="20"/>
              </w:rPr>
            </w:pPr>
          </w:p>
        </w:tc>
        <w:tc>
          <w:tcPr>
            <w:tcW w:w="992" w:type="dxa"/>
            <w:shd w:val="clear" w:color="auto" w:fill="C6EFCE"/>
            <w:noWrap/>
            <w:vAlign w:val="center"/>
          </w:tcPr>
          <w:p w14:paraId="0F8F8CE4" w14:textId="77777777" w:rsidR="00E42B18" w:rsidRDefault="00E42B18">
            <w:pPr>
              <w:jc w:val="center"/>
              <w:rPr>
                <w:rFonts w:ascii="Arial Narrow" w:hAnsi="Arial Narrow"/>
                <w:noProof/>
                <w:color w:val="006100"/>
                <w:sz w:val="20"/>
                <w:szCs w:val="20"/>
              </w:rPr>
            </w:pPr>
          </w:p>
        </w:tc>
        <w:tc>
          <w:tcPr>
            <w:tcW w:w="1276" w:type="dxa"/>
            <w:shd w:val="clear" w:color="auto" w:fill="C6EFCE"/>
            <w:noWrap/>
            <w:vAlign w:val="center"/>
          </w:tcPr>
          <w:p w14:paraId="111CB570" w14:textId="77777777" w:rsidR="00E42B18" w:rsidRDefault="00E42B18">
            <w:pPr>
              <w:jc w:val="center"/>
              <w:rPr>
                <w:rFonts w:ascii="Arial Narrow" w:hAnsi="Arial Narrow"/>
                <w:noProof/>
                <w:color w:val="006100"/>
                <w:sz w:val="20"/>
                <w:szCs w:val="20"/>
              </w:rPr>
            </w:pPr>
          </w:p>
        </w:tc>
        <w:tc>
          <w:tcPr>
            <w:tcW w:w="851" w:type="dxa"/>
            <w:shd w:val="clear" w:color="auto" w:fill="C6EFCE"/>
            <w:noWrap/>
            <w:vAlign w:val="center"/>
          </w:tcPr>
          <w:p w14:paraId="15693C6B" w14:textId="77777777" w:rsidR="00E42B18" w:rsidRDefault="009629C4">
            <w:pPr>
              <w:pStyle w:val="P68B1DB1-Normal11"/>
              <w:jc w:val="center"/>
              <w:rPr>
                <w:noProof/>
                <w:szCs w:val="20"/>
              </w:rPr>
            </w:pPr>
            <w:r>
              <w:rPr>
                <w:noProof/>
              </w:rPr>
              <w:t>Q1</w:t>
            </w:r>
          </w:p>
        </w:tc>
        <w:tc>
          <w:tcPr>
            <w:tcW w:w="708" w:type="dxa"/>
            <w:shd w:val="clear" w:color="auto" w:fill="C6EFCE"/>
            <w:noWrap/>
            <w:vAlign w:val="center"/>
          </w:tcPr>
          <w:p w14:paraId="013F873A" w14:textId="77777777" w:rsidR="00E42B18" w:rsidRDefault="009629C4">
            <w:pPr>
              <w:pStyle w:val="P68B1DB1-Normal11"/>
              <w:jc w:val="center"/>
              <w:rPr>
                <w:noProof/>
                <w:szCs w:val="20"/>
              </w:rPr>
            </w:pPr>
            <w:r>
              <w:rPr>
                <w:noProof/>
              </w:rPr>
              <w:t>2024</w:t>
            </w:r>
          </w:p>
        </w:tc>
        <w:tc>
          <w:tcPr>
            <w:tcW w:w="3261" w:type="dxa"/>
            <w:shd w:val="clear" w:color="auto" w:fill="C6EFCE"/>
            <w:noWrap/>
            <w:vAlign w:val="center"/>
          </w:tcPr>
          <w:p w14:paraId="7D3371F1" w14:textId="77777777" w:rsidR="00E42B18" w:rsidRDefault="009629C4">
            <w:pPr>
              <w:pStyle w:val="P68B1DB1-Normal11"/>
              <w:rPr>
                <w:noProof/>
                <w:szCs w:val="20"/>
              </w:rPr>
            </w:pPr>
            <w:r>
              <w:rPr>
                <w:noProof/>
              </w:rPr>
              <w:t>Säädöksessä asetetaan siirtymävaiheen 5.0 verohyvitykset mahdollisten tuensaajien saataville ja määritetään tukikelpoisuusperusteet, myös energiansäästöjen vähimmäistason osalta, ja toimenpiteen menojen enimmäismäärä.</w:t>
            </w:r>
          </w:p>
        </w:tc>
      </w:tr>
      <w:tr w:rsidR="00E42B18" w14:paraId="3632720D" w14:textId="77777777">
        <w:trPr>
          <w:trHeight w:val="64"/>
        </w:trPr>
        <w:tc>
          <w:tcPr>
            <w:tcW w:w="1187" w:type="dxa"/>
            <w:shd w:val="clear" w:color="auto" w:fill="C6EFCE"/>
            <w:noWrap/>
            <w:vAlign w:val="center"/>
          </w:tcPr>
          <w:p w14:paraId="5AD2C5D6" w14:textId="77777777" w:rsidR="00E42B18" w:rsidRDefault="009629C4">
            <w:pPr>
              <w:pStyle w:val="P68B1DB1-Normal12"/>
              <w:jc w:val="center"/>
              <w:rPr>
                <w:noProof/>
              </w:rPr>
            </w:pPr>
            <w:r>
              <w:rPr>
                <w:noProof/>
              </w:rPr>
              <w:t>M7–41</w:t>
            </w:r>
          </w:p>
        </w:tc>
        <w:tc>
          <w:tcPr>
            <w:tcW w:w="1559" w:type="dxa"/>
            <w:shd w:val="clear" w:color="auto" w:fill="C6EFCE"/>
            <w:noWrap/>
            <w:vAlign w:val="center"/>
          </w:tcPr>
          <w:p w14:paraId="62FC7BE8" w14:textId="61F2F1CF" w:rsidR="00E42B18" w:rsidRDefault="009629C4">
            <w:pPr>
              <w:pStyle w:val="P68B1DB1-Normal12"/>
              <w:jc w:val="center"/>
              <w:rPr>
                <w:noProof/>
              </w:rPr>
            </w:pPr>
            <w:r>
              <w:rPr>
                <w:noProof/>
              </w:rPr>
              <w:t>Investointi 15: Transizione 5.0</w:t>
            </w:r>
          </w:p>
        </w:tc>
        <w:tc>
          <w:tcPr>
            <w:tcW w:w="1134" w:type="dxa"/>
            <w:shd w:val="clear" w:color="auto" w:fill="C6EFCE"/>
            <w:noWrap/>
            <w:vAlign w:val="center"/>
          </w:tcPr>
          <w:p w14:paraId="0B2A52F8" w14:textId="77777777" w:rsidR="00E42B18" w:rsidRDefault="009629C4">
            <w:pPr>
              <w:pStyle w:val="P68B1DB1-Normal12"/>
              <w:jc w:val="center"/>
              <w:rPr>
                <w:noProof/>
              </w:rPr>
            </w:pPr>
            <w:r>
              <w:rPr>
                <w:noProof/>
              </w:rPr>
              <w:t>Kohde</w:t>
            </w:r>
          </w:p>
        </w:tc>
        <w:tc>
          <w:tcPr>
            <w:tcW w:w="1417" w:type="dxa"/>
            <w:shd w:val="clear" w:color="auto" w:fill="C6EFCE"/>
            <w:noWrap/>
            <w:vAlign w:val="center"/>
          </w:tcPr>
          <w:p w14:paraId="71BDA5D8" w14:textId="77777777" w:rsidR="00E42B18" w:rsidRDefault="009629C4">
            <w:pPr>
              <w:pStyle w:val="P68B1DB1-Normal12"/>
              <w:jc w:val="center"/>
              <w:rPr>
                <w:noProof/>
              </w:rPr>
            </w:pPr>
            <w:r>
              <w:rPr>
                <w:noProof/>
              </w:rPr>
              <w:t>Elpymis- ja palautumistukivälineen varojen myöntäminen</w:t>
            </w:r>
          </w:p>
        </w:tc>
        <w:tc>
          <w:tcPr>
            <w:tcW w:w="1701" w:type="dxa"/>
            <w:shd w:val="clear" w:color="auto" w:fill="C6EFCE"/>
            <w:noWrap/>
            <w:vAlign w:val="center"/>
          </w:tcPr>
          <w:p w14:paraId="139040B0" w14:textId="4C3321E6" w:rsidR="00E42B18" w:rsidRDefault="009629C4">
            <w:pPr>
              <w:pStyle w:val="P68B1DB1-Normal12"/>
              <w:jc w:val="center"/>
              <w:rPr>
                <w:noProof/>
              </w:rPr>
            </w:pPr>
            <w:r>
              <w:rPr>
                <w:noProof/>
              </w:rPr>
              <w:t>EI OLE</w:t>
            </w:r>
          </w:p>
        </w:tc>
        <w:tc>
          <w:tcPr>
            <w:tcW w:w="1276" w:type="dxa"/>
            <w:shd w:val="clear" w:color="auto" w:fill="C6EFCE"/>
            <w:noWrap/>
            <w:vAlign w:val="center"/>
          </w:tcPr>
          <w:p w14:paraId="200E6519" w14:textId="77777777" w:rsidR="00E42B18" w:rsidRDefault="009629C4">
            <w:pPr>
              <w:pStyle w:val="P68B1DB1-Normal12"/>
              <w:jc w:val="center"/>
              <w:rPr>
                <w:noProof/>
              </w:rPr>
            </w:pPr>
            <w:r>
              <w:rPr>
                <w:noProof/>
              </w:rPr>
              <w:t>Myönnettyjen varojen määrä (euroa)</w:t>
            </w:r>
          </w:p>
        </w:tc>
        <w:tc>
          <w:tcPr>
            <w:tcW w:w="992" w:type="dxa"/>
            <w:shd w:val="clear" w:color="auto" w:fill="C6EFCE"/>
            <w:noWrap/>
            <w:vAlign w:val="center"/>
          </w:tcPr>
          <w:p w14:paraId="63493CA8" w14:textId="77777777" w:rsidR="00E42B18" w:rsidRDefault="009629C4">
            <w:pPr>
              <w:pStyle w:val="P68B1DB1-Normal12"/>
              <w:jc w:val="center"/>
              <w:rPr>
                <w:noProof/>
              </w:rPr>
            </w:pPr>
            <w:r>
              <w:rPr>
                <w:noProof/>
              </w:rPr>
              <w:t>0</w:t>
            </w:r>
          </w:p>
        </w:tc>
        <w:tc>
          <w:tcPr>
            <w:tcW w:w="1276" w:type="dxa"/>
            <w:shd w:val="clear" w:color="auto" w:fill="C6EFCE"/>
            <w:noWrap/>
            <w:vAlign w:val="center"/>
          </w:tcPr>
          <w:p w14:paraId="0BA8EB4D" w14:textId="77777777" w:rsidR="00E42B18" w:rsidRDefault="009629C4">
            <w:pPr>
              <w:pStyle w:val="P68B1DB1-Normal12"/>
              <w:jc w:val="center"/>
              <w:rPr>
                <w:noProof/>
              </w:rPr>
            </w:pPr>
            <w:r>
              <w:rPr>
                <w:noProof/>
              </w:rPr>
              <w:t>2 500 000 000</w:t>
            </w:r>
          </w:p>
        </w:tc>
        <w:tc>
          <w:tcPr>
            <w:tcW w:w="851" w:type="dxa"/>
            <w:shd w:val="clear" w:color="auto" w:fill="C6EFCE"/>
            <w:noWrap/>
            <w:vAlign w:val="center"/>
          </w:tcPr>
          <w:p w14:paraId="6A579C85" w14:textId="77777777" w:rsidR="00E42B18" w:rsidRDefault="009629C4">
            <w:pPr>
              <w:pStyle w:val="P68B1DB1-Normal12"/>
              <w:jc w:val="center"/>
              <w:rPr>
                <w:noProof/>
              </w:rPr>
            </w:pPr>
            <w:r>
              <w:rPr>
                <w:noProof/>
              </w:rPr>
              <w:t>Q2</w:t>
            </w:r>
          </w:p>
        </w:tc>
        <w:tc>
          <w:tcPr>
            <w:tcW w:w="708" w:type="dxa"/>
            <w:shd w:val="clear" w:color="auto" w:fill="C6EFCE"/>
            <w:noWrap/>
            <w:vAlign w:val="center"/>
          </w:tcPr>
          <w:p w14:paraId="3E1C9952" w14:textId="77777777" w:rsidR="00E42B18" w:rsidRDefault="009629C4">
            <w:pPr>
              <w:pStyle w:val="P68B1DB1-Normal12"/>
              <w:jc w:val="center"/>
              <w:rPr>
                <w:noProof/>
              </w:rPr>
            </w:pPr>
            <w:r>
              <w:rPr>
                <w:noProof/>
              </w:rPr>
              <w:t>2026</w:t>
            </w:r>
          </w:p>
        </w:tc>
        <w:tc>
          <w:tcPr>
            <w:tcW w:w="3261" w:type="dxa"/>
            <w:shd w:val="clear" w:color="auto" w:fill="C6EFCE"/>
            <w:noWrap/>
            <w:vAlign w:val="center"/>
          </w:tcPr>
          <w:p w14:paraId="1F468384" w14:textId="77777777" w:rsidR="00E42B18" w:rsidRDefault="009629C4">
            <w:pPr>
              <w:pStyle w:val="P68B1DB1-Normal12"/>
              <w:rPr>
                <w:noProof/>
              </w:rPr>
            </w:pPr>
            <w:r>
              <w:rPr>
                <w:noProof/>
              </w:rPr>
              <w:t>Ilmoitus kaikkien tähän investointiin varattujen elpymis- ja palautumistukivälineen varojen myöntämisestä.</w:t>
            </w:r>
          </w:p>
          <w:p w14:paraId="6A32B40E" w14:textId="3B17E63B" w:rsidR="00E42B18" w:rsidRDefault="009629C4">
            <w:pPr>
              <w:pStyle w:val="P68B1DB1-Normal12"/>
              <w:rPr>
                <w:noProof/>
              </w:rPr>
            </w:pPr>
            <w:r>
              <w:rPr>
                <w:noProof/>
              </w:rPr>
              <w:t>Investoinnista vähintään 1135000000 eurolla on edistettävä ilmastonmuutostavoitteita elpymis- ja palautumistukivälinettä koskevan asetuksen liitteen VI mukaisesti.</w:t>
            </w:r>
          </w:p>
        </w:tc>
      </w:tr>
      <w:tr w:rsidR="00E42B18" w14:paraId="222E27DF" w14:textId="77777777">
        <w:trPr>
          <w:trHeight w:val="309"/>
        </w:trPr>
        <w:tc>
          <w:tcPr>
            <w:tcW w:w="1187" w:type="dxa"/>
            <w:shd w:val="clear" w:color="auto" w:fill="C6EFCE"/>
            <w:noWrap/>
            <w:vAlign w:val="center"/>
          </w:tcPr>
          <w:p w14:paraId="484E24F4" w14:textId="77777777" w:rsidR="00E42B18" w:rsidRDefault="009629C4">
            <w:pPr>
              <w:pStyle w:val="P68B1DB1-Normal12"/>
              <w:spacing w:after="120"/>
              <w:jc w:val="center"/>
              <w:rPr>
                <w:noProof/>
              </w:rPr>
            </w:pPr>
            <w:r>
              <w:rPr>
                <w:noProof/>
              </w:rPr>
              <w:t>M7–42</w:t>
            </w:r>
          </w:p>
        </w:tc>
        <w:tc>
          <w:tcPr>
            <w:tcW w:w="1559" w:type="dxa"/>
            <w:shd w:val="clear" w:color="auto" w:fill="C6EFCE"/>
            <w:noWrap/>
            <w:vAlign w:val="center"/>
          </w:tcPr>
          <w:p w14:paraId="78EC825F" w14:textId="40337D32" w:rsidR="00E42B18" w:rsidRDefault="009629C4">
            <w:pPr>
              <w:pStyle w:val="P68B1DB1-Normal12"/>
              <w:spacing w:after="120"/>
              <w:jc w:val="center"/>
              <w:rPr>
                <w:noProof/>
              </w:rPr>
            </w:pPr>
            <w:r>
              <w:rPr>
                <w:noProof/>
              </w:rPr>
              <w:t>Investointi 15: Transizione 5.0</w:t>
            </w:r>
          </w:p>
        </w:tc>
        <w:tc>
          <w:tcPr>
            <w:tcW w:w="1134" w:type="dxa"/>
            <w:shd w:val="clear" w:color="auto" w:fill="C6EFCE"/>
            <w:noWrap/>
            <w:vAlign w:val="center"/>
          </w:tcPr>
          <w:p w14:paraId="24527FA2" w14:textId="77777777" w:rsidR="00E42B18" w:rsidRDefault="009629C4">
            <w:pPr>
              <w:pStyle w:val="P68B1DB1-Normal12"/>
              <w:spacing w:after="120"/>
              <w:jc w:val="center"/>
              <w:rPr>
                <w:noProof/>
              </w:rPr>
            </w:pPr>
            <w:r>
              <w:rPr>
                <w:noProof/>
              </w:rPr>
              <w:t>Kohde</w:t>
            </w:r>
          </w:p>
        </w:tc>
        <w:tc>
          <w:tcPr>
            <w:tcW w:w="1417" w:type="dxa"/>
            <w:shd w:val="clear" w:color="auto" w:fill="C6EFCE"/>
            <w:noWrap/>
            <w:vAlign w:val="center"/>
          </w:tcPr>
          <w:p w14:paraId="0BF72CEA" w14:textId="77777777" w:rsidR="00E42B18" w:rsidRDefault="009629C4">
            <w:pPr>
              <w:pStyle w:val="P68B1DB1-Normal12"/>
              <w:spacing w:after="120"/>
              <w:jc w:val="center"/>
              <w:rPr>
                <w:noProof/>
              </w:rPr>
            </w:pPr>
            <w:r>
              <w:rPr>
                <w:noProof/>
              </w:rPr>
              <w:t>0,16 Mtoe energiansäästöä energian loppukulutuksessa vuosina 2024–2026</w:t>
            </w:r>
          </w:p>
        </w:tc>
        <w:tc>
          <w:tcPr>
            <w:tcW w:w="1701" w:type="dxa"/>
            <w:shd w:val="clear" w:color="auto" w:fill="C6EFCE"/>
            <w:noWrap/>
            <w:vAlign w:val="center"/>
          </w:tcPr>
          <w:p w14:paraId="2482D64A" w14:textId="41A556A3" w:rsidR="00E42B18" w:rsidRDefault="009629C4">
            <w:pPr>
              <w:pStyle w:val="P68B1DB1-Normal12"/>
              <w:spacing w:after="120"/>
              <w:jc w:val="center"/>
              <w:rPr>
                <w:noProof/>
              </w:rPr>
            </w:pPr>
            <w:r>
              <w:rPr>
                <w:noProof/>
              </w:rPr>
              <w:t>EI OLE</w:t>
            </w:r>
          </w:p>
        </w:tc>
        <w:tc>
          <w:tcPr>
            <w:tcW w:w="1276" w:type="dxa"/>
            <w:shd w:val="clear" w:color="auto" w:fill="C6EFCE"/>
            <w:noWrap/>
            <w:vAlign w:val="center"/>
          </w:tcPr>
          <w:p w14:paraId="4A63A116" w14:textId="537142BC" w:rsidR="00E42B18" w:rsidRDefault="009629C4">
            <w:pPr>
              <w:pStyle w:val="P68B1DB1-Normal12"/>
              <w:spacing w:after="120"/>
              <w:jc w:val="center"/>
              <w:rPr>
                <w:noProof/>
              </w:rPr>
            </w:pPr>
            <w:r>
              <w:rPr>
                <w:noProof/>
              </w:rPr>
              <w:t>MTOE</w:t>
            </w:r>
          </w:p>
        </w:tc>
        <w:tc>
          <w:tcPr>
            <w:tcW w:w="992" w:type="dxa"/>
            <w:shd w:val="clear" w:color="auto" w:fill="C6EFCE"/>
            <w:noWrap/>
            <w:vAlign w:val="center"/>
          </w:tcPr>
          <w:p w14:paraId="6B27986A" w14:textId="77777777" w:rsidR="00E42B18" w:rsidRDefault="009629C4">
            <w:pPr>
              <w:pStyle w:val="P68B1DB1-Normal12"/>
              <w:spacing w:after="120"/>
              <w:jc w:val="center"/>
              <w:rPr>
                <w:noProof/>
              </w:rPr>
            </w:pPr>
            <w:r>
              <w:rPr>
                <w:noProof/>
              </w:rPr>
              <w:t>0</w:t>
            </w:r>
          </w:p>
        </w:tc>
        <w:tc>
          <w:tcPr>
            <w:tcW w:w="1276" w:type="dxa"/>
            <w:shd w:val="clear" w:color="auto" w:fill="C6EFCE"/>
            <w:noWrap/>
            <w:vAlign w:val="center"/>
          </w:tcPr>
          <w:p w14:paraId="690F0906" w14:textId="77777777" w:rsidR="00E42B18" w:rsidRDefault="009629C4">
            <w:pPr>
              <w:pStyle w:val="P68B1DB1-Normal12"/>
              <w:spacing w:after="120"/>
              <w:jc w:val="center"/>
              <w:rPr>
                <w:noProof/>
              </w:rPr>
            </w:pPr>
            <w:r>
              <w:rPr>
                <w:noProof/>
              </w:rPr>
              <w:t>0.16</w:t>
            </w:r>
          </w:p>
        </w:tc>
        <w:tc>
          <w:tcPr>
            <w:tcW w:w="851" w:type="dxa"/>
            <w:shd w:val="clear" w:color="auto" w:fill="C6EFCE"/>
            <w:noWrap/>
            <w:vAlign w:val="center"/>
          </w:tcPr>
          <w:p w14:paraId="00DA2864" w14:textId="77777777" w:rsidR="00E42B18" w:rsidRDefault="009629C4">
            <w:pPr>
              <w:pStyle w:val="P68B1DB1-Normal12"/>
              <w:spacing w:after="120"/>
              <w:jc w:val="center"/>
              <w:rPr>
                <w:noProof/>
              </w:rPr>
            </w:pPr>
            <w:r>
              <w:rPr>
                <w:noProof/>
              </w:rPr>
              <w:t>Q2</w:t>
            </w:r>
          </w:p>
        </w:tc>
        <w:tc>
          <w:tcPr>
            <w:tcW w:w="708" w:type="dxa"/>
            <w:shd w:val="clear" w:color="auto" w:fill="C6EFCE"/>
            <w:noWrap/>
            <w:vAlign w:val="center"/>
          </w:tcPr>
          <w:p w14:paraId="4C4C2572" w14:textId="77777777" w:rsidR="00E42B18" w:rsidRDefault="009629C4">
            <w:pPr>
              <w:pStyle w:val="P68B1DB1-Normal12"/>
              <w:spacing w:after="120"/>
              <w:jc w:val="center"/>
              <w:rPr>
                <w:noProof/>
              </w:rPr>
            </w:pPr>
            <w:r>
              <w:rPr>
                <w:noProof/>
              </w:rPr>
              <w:t>2026</w:t>
            </w:r>
          </w:p>
        </w:tc>
        <w:tc>
          <w:tcPr>
            <w:tcW w:w="3261" w:type="dxa"/>
            <w:shd w:val="clear" w:color="auto" w:fill="C6EFCE"/>
            <w:noWrap/>
            <w:vAlign w:val="center"/>
          </w:tcPr>
          <w:p w14:paraId="2EF787EA" w14:textId="49A1ADB1" w:rsidR="00E42B18" w:rsidRDefault="009629C4">
            <w:pPr>
              <w:pStyle w:val="P68B1DB1-Normal12"/>
              <w:spacing w:after="120"/>
              <w:rPr>
                <w:noProof/>
              </w:rPr>
            </w:pPr>
            <w:r>
              <w:rPr>
                <w:noProof/>
              </w:rPr>
              <w:t>Investoinnin on tuotettava energian loppukulutuksessa 0,16 MTOE:n energiansäästöjä vuosina 2024–2026.</w:t>
            </w:r>
          </w:p>
          <w:p w14:paraId="20456B32" w14:textId="7CE15F74" w:rsidR="00E42B18" w:rsidRDefault="00E42B18">
            <w:pPr>
              <w:spacing w:after="120"/>
              <w:rPr>
                <w:rFonts w:ascii="Arial Narrow" w:hAnsi="Arial Narrow"/>
                <w:noProof/>
                <w:color w:val="006100"/>
                <w:sz w:val="20"/>
                <w:szCs w:val="20"/>
              </w:rPr>
            </w:pPr>
          </w:p>
        </w:tc>
      </w:tr>
      <w:tr w:rsidR="00E42B18" w14:paraId="6E8D66C2" w14:textId="77777777">
        <w:trPr>
          <w:trHeight w:val="309"/>
        </w:trPr>
        <w:tc>
          <w:tcPr>
            <w:tcW w:w="1187" w:type="dxa"/>
            <w:shd w:val="clear" w:color="auto" w:fill="C6EFCE"/>
            <w:noWrap/>
            <w:vAlign w:val="center"/>
          </w:tcPr>
          <w:p w14:paraId="5FBC4D28" w14:textId="77777777" w:rsidR="00E42B18" w:rsidRDefault="009629C4">
            <w:pPr>
              <w:pStyle w:val="P68B1DB1-Normal11"/>
              <w:spacing w:after="120"/>
              <w:jc w:val="center"/>
              <w:rPr>
                <w:noProof/>
                <w:szCs w:val="20"/>
              </w:rPr>
            </w:pPr>
            <w:r>
              <w:rPr>
                <w:noProof/>
              </w:rPr>
              <w:t>M7–43</w:t>
            </w:r>
          </w:p>
        </w:tc>
        <w:tc>
          <w:tcPr>
            <w:tcW w:w="1559" w:type="dxa"/>
            <w:shd w:val="clear" w:color="auto" w:fill="C6EFCE"/>
            <w:noWrap/>
            <w:vAlign w:val="center"/>
          </w:tcPr>
          <w:p w14:paraId="55E8EBBE" w14:textId="77777777" w:rsidR="00E42B18" w:rsidRDefault="009629C4">
            <w:pPr>
              <w:pStyle w:val="P68B1DB1-Normal11"/>
              <w:spacing w:after="120"/>
              <w:jc w:val="center"/>
              <w:rPr>
                <w:noProof/>
                <w:szCs w:val="20"/>
              </w:rPr>
            </w:pPr>
            <w:r>
              <w:rPr>
                <w:noProof/>
              </w:rPr>
              <w:t>Investointi 16: Tuki pk-yrityksille, jotta ne voivat tuottaa itse tuotantoaan uusiutuvista energialähteistä</w:t>
            </w:r>
          </w:p>
        </w:tc>
        <w:tc>
          <w:tcPr>
            <w:tcW w:w="1134" w:type="dxa"/>
            <w:shd w:val="clear" w:color="auto" w:fill="C6EFCE"/>
            <w:noWrap/>
            <w:vAlign w:val="center"/>
          </w:tcPr>
          <w:p w14:paraId="63A8CDA9" w14:textId="77777777" w:rsidR="00E42B18" w:rsidRDefault="009629C4">
            <w:pPr>
              <w:pStyle w:val="P68B1DB1-Normal11"/>
              <w:spacing w:after="120"/>
              <w:jc w:val="center"/>
              <w:rPr>
                <w:noProof/>
                <w:szCs w:val="20"/>
              </w:rPr>
            </w:pPr>
            <w:r>
              <w:rPr>
                <w:noProof/>
              </w:rPr>
              <w:t>Virstanpylväs</w:t>
            </w:r>
          </w:p>
        </w:tc>
        <w:tc>
          <w:tcPr>
            <w:tcW w:w="1417" w:type="dxa"/>
            <w:shd w:val="clear" w:color="auto" w:fill="C6EFCE"/>
            <w:noWrap/>
            <w:vAlign w:val="center"/>
          </w:tcPr>
          <w:p w14:paraId="5DE6ACFA" w14:textId="77777777" w:rsidR="00E42B18" w:rsidRDefault="009629C4">
            <w:pPr>
              <w:pStyle w:val="P68B1DB1-Normal11"/>
              <w:spacing w:after="120"/>
              <w:jc w:val="center"/>
              <w:rPr>
                <w:noProof/>
                <w:szCs w:val="20"/>
              </w:rPr>
            </w:pPr>
            <w:r>
              <w:rPr>
                <w:noProof/>
              </w:rPr>
              <w:t>Täytäntöönpanosopimus</w:t>
            </w:r>
          </w:p>
        </w:tc>
        <w:tc>
          <w:tcPr>
            <w:tcW w:w="1701" w:type="dxa"/>
            <w:shd w:val="clear" w:color="auto" w:fill="C6EFCE"/>
            <w:noWrap/>
            <w:vAlign w:val="center"/>
          </w:tcPr>
          <w:p w14:paraId="7586D1D4" w14:textId="77777777" w:rsidR="00E42B18" w:rsidRDefault="009629C4">
            <w:pPr>
              <w:pStyle w:val="P68B1DB1-Normal11"/>
              <w:spacing w:after="120"/>
              <w:jc w:val="center"/>
              <w:rPr>
                <w:noProof/>
                <w:szCs w:val="20"/>
              </w:rPr>
            </w:pPr>
            <w:r>
              <w:rPr>
                <w:noProof/>
              </w:rPr>
              <w:t>Täytäntöönpanosopimuksen voimaantulo</w:t>
            </w:r>
          </w:p>
        </w:tc>
        <w:tc>
          <w:tcPr>
            <w:tcW w:w="1276" w:type="dxa"/>
            <w:shd w:val="clear" w:color="auto" w:fill="C6EFCE"/>
            <w:noWrap/>
            <w:vAlign w:val="center"/>
          </w:tcPr>
          <w:p w14:paraId="502C9824" w14:textId="77777777" w:rsidR="00E42B18" w:rsidRDefault="00E42B18">
            <w:pPr>
              <w:spacing w:after="120"/>
              <w:jc w:val="center"/>
              <w:rPr>
                <w:rFonts w:ascii="Arial Narrow" w:hAnsi="Arial Narrow"/>
                <w:noProof/>
                <w:color w:val="006100"/>
                <w:sz w:val="20"/>
                <w:szCs w:val="20"/>
              </w:rPr>
            </w:pPr>
          </w:p>
        </w:tc>
        <w:tc>
          <w:tcPr>
            <w:tcW w:w="992" w:type="dxa"/>
            <w:shd w:val="clear" w:color="auto" w:fill="C6EFCE"/>
            <w:noWrap/>
            <w:vAlign w:val="center"/>
          </w:tcPr>
          <w:p w14:paraId="59D58D18" w14:textId="77777777" w:rsidR="00E42B18" w:rsidRDefault="00E42B18">
            <w:pPr>
              <w:spacing w:after="120"/>
              <w:jc w:val="center"/>
              <w:rPr>
                <w:rFonts w:ascii="Arial Narrow" w:hAnsi="Arial Narrow"/>
                <w:noProof/>
                <w:color w:val="006100"/>
                <w:sz w:val="20"/>
                <w:szCs w:val="20"/>
              </w:rPr>
            </w:pPr>
          </w:p>
        </w:tc>
        <w:tc>
          <w:tcPr>
            <w:tcW w:w="1276" w:type="dxa"/>
            <w:shd w:val="clear" w:color="auto" w:fill="C6EFCE"/>
            <w:noWrap/>
            <w:vAlign w:val="center"/>
          </w:tcPr>
          <w:p w14:paraId="7092C0C3" w14:textId="77777777" w:rsidR="00E42B18" w:rsidRDefault="00E42B18">
            <w:pPr>
              <w:spacing w:after="120"/>
              <w:jc w:val="center"/>
              <w:rPr>
                <w:rFonts w:ascii="Arial Narrow" w:hAnsi="Arial Narrow"/>
                <w:noProof/>
                <w:color w:val="006100"/>
                <w:sz w:val="20"/>
                <w:szCs w:val="20"/>
              </w:rPr>
            </w:pPr>
          </w:p>
        </w:tc>
        <w:tc>
          <w:tcPr>
            <w:tcW w:w="851" w:type="dxa"/>
            <w:shd w:val="clear" w:color="auto" w:fill="C6EFCE"/>
            <w:noWrap/>
            <w:vAlign w:val="center"/>
          </w:tcPr>
          <w:p w14:paraId="48F9DA06" w14:textId="77777777" w:rsidR="00E42B18" w:rsidRDefault="009629C4">
            <w:pPr>
              <w:pStyle w:val="P68B1DB1-Normal11"/>
              <w:spacing w:after="120"/>
              <w:jc w:val="center"/>
              <w:rPr>
                <w:noProof/>
                <w:szCs w:val="20"/>
              </w:rPr>
            </w:pPr>
            <w:r>
              <w:rPr>
                <w:noProof/>
              </w:rPr>
              <w:t>Q4</w:t>
            </w:r>
          </w:p>
        </w:tc>
        <w:tc>
          <w:tcPr>
            <w:tcW w:w="708" w:type="dxa"/>
            <w:shd w:val="clear" w:color="auto" w:fill="C6EFCE"/>
            <w:noWrap/>
            <w:vAlign w:val="center"/>
          </w:tcPr>
          <w:p w14:paraId="342DE249" w14:textId="77777777" w:rsidR="00E42B18" w:rsidRDefault="009629C4">
            <w:pPr>
              <w:pStyle w:val="P68B1DB1-Normal11"/>
              <w:spacing w:after="120"/>
              <w:jc w:val="center"/>
              <w:rPr>
                <w:noProof/>
                <w:szCs w:val="20"/>
              </w:rPr>
            </w:pPr>
            <w:r>
              <w:rPr>
                <w:noProof/>
              </w:rPr>
              <w:t>2024</w:t>
            </w:r>
          </w:p>
        </w:tc>
        <w:tc>
          <w:tcPr>
            <w:tcW w:w="3261" w:type="dxa"/>
            <w:shd w:val="clear" w:color="auto" w:fill="C6EFCE"/>
            <w:noWrap/>
            <w:vAlign w:val="center"/>
          </w:tcPr>
          <w:p w14:paraId="5F4ED6A5" w14:textId="77777777" w:rsidR="00E42B18" w:rsidRDefault="009629C4">
            <w:pPr>
              <w:pStyle w:val="P68B1DB1-Normal11"/>
              <w:spacing w:after="120"/>
              <w:rPr>
                <w:noProof/>
                <w:szCs w:val="20"/>
              </w:rPr>
            </w:pPr>
            <w:r>
              <w:rPr>
                <w:noProof/>
              </w:rPr>
              <w:t>Täytäntöönpanosopimus tulee voimaan.</w:t>
            </w:r>
          </w:p>
        </w:tc>
      </w:tr>
      <w:tr w:rsidR="00E42B18" w14:paraId="7F1D4D35" w14:textId="77777777">
        <w:trPr>
          <w:trHeight w:val="309"/>
        </w:trPr>
        <w:tc>
          <w:tcPr>
            <w:tcW w:w="1187" w:type="dxa"/>
            <w:shd w:val="clear" w:color="auto" w:fill="C6EFCE"/>
            <w:noWrap/>
            <w:vAlign w:val="center"/>
          </w:tcPr>
          <w:p w14:paraId="41AC131E" w14:textId="77777777" w:rsidR="00E42B18" w:rsidRDefault="009629C4">
            <w:pPr>
              <w:pStyle w:val="P68B1DB1-Normal11"/>
              <w:spacing w:after="120"/>
              <w:jc w:val="center"/>
              <w:rPr>
                <w:noProof/>
                <w:color w:val="000000" w:themeColor="text1"/>
                <w:szCs w:val="20"/>
              </w:rPr>
            </w:pPr>
            <w:r>
              <w:rPr>
                <w:noProof/>
              </w:rPr>
              <w:t>M7–44</w:t>
            </w:r>
          </w:p>
        </w:tc>
        <w:tc>
          <w:tcPr>
            <w:tcW w:w="1559" w:type="dxa"/>
            <w:shd w:val="clear" w:color="auto" w:fill="C6EFCE"/>
            <w:noWrap/>
            <w:vAlign w:val="center"/>
          </w:tcPr>
          <w:p w14:paraId="01663C72" w14:textId="77777777" w:rsidR="00E42B18" w:rsidRDefault="009629C4">
            <w:pPr>
              <w:pStyle w:val="P68B1DB1-Normal11"/>
              <w:spacing w:after="120"/>
              <w:jc w:val="center"/>
              <w:rPr>
                <w:noProof/>
                <w:szCs w:val="20"/>
              </w:rPr>
            </w:pPr>
            <w:r>
              <w:rPr>
                <w:noProof/>
              </w:rPr>
              <w:t>Investointi 16: Tuki pk-yrityksille, jotta ne voivat tuottaa itse tuotantoaan uusiutuvista energialähteistä</w:t>
            </w:r>
          </w:p>
        </w:tc>
        <w:tc>
          <w:tcPr>
            <w:tcW w:w="1134" w:type="dxa"/>
            <w:shd w:val="clear" w:color="auto" w:fill="C6EFCE"/>
            <w:noWrap/>
            <w:vAlign w:val="center"/>
          </w:tcPr>
          <w:p w14:paraId="4A298D06" w14:textId="77777777" w:rsidR="00E42B18" w:rsidRDefault="009629C4">
            <w:pPr>
              <w:pStyle w:val="P68B1DB1-Normal11"/>
              <w:spacing w:after="120"/>
              <w:jc w:val="center"/>
              <w:rPr>
                <w:noProof/>
                <w:szCs w:val="20"/>
              </w:rPr>
            </w:pPr>
            <w:r>
              <w:rPr>
                <w:noProof/>
              </w:rPr>
              <w:t>Virstanpylväs</w:t>
            </w:r>
          </w:p>
        </w:tc>
        <w:tc>
          <w:tcPr>
            <w:tcW w:w="1417" w:type="dxa"/>
            <w:shd w:val="clear" w:color="auto" w:fill="C6EFCE"/>
            <w:noWrap/>
            <w:vAlign w:val="center"/>
          </w:tcPr>
          <w:p w14:paraId="3713EE15" w14:textId="77777777" w:rsidR="00E42B18" w:rsidRDefault="009629C4">
            <w:pPr>
              <w:pStyle w:val="P68B1DB1-Normal11"/>
              <w:spacing w:after="120"/>
              <w:jc w:val="center"/>
              <w:rPr>
                <w:noProof/>
                <w:szCs w:val="20"/>
              </w:rPr>
            </w:pPr>
            <w:r>
              <w:rPr>
                <w:noProof/>
              </w:rPr>
              <w:t>Italian yritys- ja Made-ministeriö on saattanut päätökseen varojen siirron Invitalialle.</w:t>
            </w:r>
          </w:p>
        </w:tc>
        <w:tc>
          <w:tcPr>
            <w:tcW w:w="1701" w:type="dxa"/>
            <w:shd w:val="clear" w:color="auto" w:fill="C6EFCE"/>
            <w:noWrap/>
            <w:vAlign w:val="center"/>
          </w:tcPr>
          <w:p w14:paraId="12A164D6" w14:textId="77777777" w:rsidR="00E42B18" w:rsidRDefault="009629C4">
            <w:pPr>
              <w:pStyle w:val="P68B1DB1-Normal11"/>
              <w:spacing w:after="120"/>
              <w:jc w:val="center"/>
              <w:rPr>
                <w:noProof/>
                <w:szCs w:val="20"/>
              </w:rPr>
            </w:pPr>
            <w:r>
              <w:rPr>
                <w:noProof/>
              </w:rPr>
              <w:t>Todistus siirrosta</w:t>
            </w:r>
          </w:p>
        </w:tc>
        <w:tc>
          <w:tcPr>
            <w:tcW w:w="1276" w:type="dxa"/>
            <w:shd w:val="clear" w:color="auto" w:fill="C6EFCE"/>
            <w:noWrap/>
            <w:vAlign w:val="center"/>
          </w:tcPr>
          <w:p w14:paraId="54A62AFA" w14:textId="77777777" w:rsidR="00E42B18" w:rsidRDefault="00E42B18">
            <w:pPr>
              <w:spacing w:after="120"/>
              <w:jc w:val="center"/>
              <w:rPr>
                <w:rFonts w:ascii="Arial Narrow" w:hAnsi="Arial Narrow"/>
                <w:noProof/>
                <w:color w:val="006100"/>
                <w:sz w:val="20"/>
                <w:szCs w:val="20"/>
              </w:rPr>
            </w:pPr>
          </w:p>
        </w:tc>
        <w:tc>
          <w:tcPr>
            <w:tcW w:w="992" w:type="dxa"/>
            <w:shd w:val="clear" w:color="auto" w:fill="C6EFCE"/>
            <w:noWrap/>
            <w:vAlign w:val="center"/>
          </w:tcPr>
          <w:p w14:paraId="05CB8C5F" w14:textId="77777777" w:rsidR="00E42B18" w:rsidRDefault="00E42B18">
            <w:pPr>
              <w:spacing w:after="120"/>
              <w:jc w:val="center"/>
              <w:rPr>
                <w:rFonts w:ascii="Arial Narrow" w:hAnsi="Arial Narrow"/>
                <w:noProof/>
                <w:color w:val="006100"/>
                <w:sz w:val="20"/>
                <w:szCs w:val="20"/>
              </w:rPr>
            </w:pPr>
          </w:p>
        </w:tc>
        <w:tc>
          <w:tcPr>
            <w:tcW w:w="1276" w:type="dxa"/>
            <w:shd w:val="clear" w:color="auto" w:fill="C6EFCE"/>
            <w:noWrap/>
            <w:vAlign w:val="center"/>
          </w:tcPr>
          <w:p w14:paraId="6CD4B9ED" w14:textId="77777777" w:rsidR="00E42B18" w:rsidRDefault="00E42B18">
            <w:pPr>
              <w:spacing w:after="120"/>
              <w:jc w:val="center"/>
              <w:rPr>
                <w:rFonts w:ascii="Arial Narrow" w:hAnsi="Arial Narrow"/>
                <w:noProof/>
                <w:color w:val="006100"/>
                <w:sz w:val="20"/>
                <w:szCs w:val="20"/>
              </w:rPr>
            </w:pPr>
          </w:p>
        </w:tc>
        <w:tc>
          <w:tcPr>
            <w:tcW w:w="851" w:type="dxa"/>
            <w:shd w:val="clear" w:color="auto" w:fill="C6EFCE"/>
            <w:noWrap/>
            <w:vAlign w:val="center"/>
          </w:tcPr>
          <w:p w14:paraId="37EDB9C0" w14:textId="77777777" w:rsidR="00E42B18" w:rsidRDefault="009629C4">
            <w:pPr>
              <w:pStyle w:val="P68B1DB1-Normal11"/>
              <w:spacing w:after="120"/>
              <w:jc w:val="center"/>
              <w:rPr>
                <w:noProof/>
                <w:szCs w:val="20"/>
              </w:rPr>
            </w:pPr>
            <w:r>
              <w:rPr>
                <w:noProof/>
              </w:rPr>
              <w:t>Q4</w:t>
            </w:r>
          </w:p>
        </w:tc>
        <w:tc>
          <w:tcPr>
            <w:tcW w:w="708" w:type="dxa"/>
            <w:shd w:val="clear" w:color="auto" w:fill="C6EFCE"/>
            <w:noWrap/>
            <w:vAlign w:val="center"/>
          </w:tcPr>
          <w:p w14:paraId="35FBCFF2" w14:textId="77777777" w:rsidR="00E42B18" w:rsidRDefault="009629C4">
            <w:pPr>
              <w:pStyle w:val="P68B1DB1-Normal11"/>
              <w:spacing w:after="120"/>
              <w:jc w:val="center"/>
              <w:rPr>
                <w:noProof/>
                <w:szCs w:val="20"/>
              </w:rPr>
            </w:pPr>
            <w:r>
              <w:rPr>
                <w:noProof/>
              </w:rPr>
              <w:t>2024</w:t>
            </w:r>
          </w:p>
        </w:tc>
        <w:tc>
          <w:tcPr>
            <w:tcW w:w="3261" w:type="dxa"/>
            <w:shd w:val="clear" w:color="auto" w:fill="C6EFCE"/>
            <w:noWrap/>
            <w:vAlign w:val="center"/>
          </w:tcPr>
          <w:p w14:paraId="18653E8C" w14:textId="37F239AA" w:rsidR="00E42B18" w:rsidRDefault="009629C4">
            <w:pPr>
              <w:pStyle w:val="P68B1DB1-Normal12"/>
              <w:spacing w:after="120"/>
              <w:rPr>
                <w:noProof/>
              </w:rPr>
            </w:pPr>
            <w:r>
              <w:rPr>
                <w:noProof/>
              </w:rPr>
              <w:t>Italia siirtää 155000000 euroa Invitalialle tukivälinettä varten.</w:t>
            </w:r>
          </w:p>
        </w:tc>
      </w:tr>
      <w:tr w:rsidR="00E42B18" w14:paraId="7AED0A06" w14:textId="77777777">
        <w:trPr>
          <w:trHeight w:val="309"/>
        </w:trPr>
        <w:tc>
          <w:tcPr>
            <w:tcW w:w="1187" w:type="dxa"/>
            <w:shd w:val="clear" w:color="auto" w:fill="C6EFCE"/>
            <w:noWrap/>
            <w:vAlign w:val="center"/>
          </w:tcPr>
          <w:p w14:paraId="2227EDFB" w14:textId="77777777" w:rsidR="00E42B18" w:rsidRDefault="009629C4">
            <w:pPr>
              <w:pStyle w:val="P68B1DB1-Normal11"/>
              <w:spacing w:after="120"/>
              <w:jc w:val="center"/>
              <w:rPr>
                <w:noProof/>
                <w:szCs w:val="20"/>
              </w:rPr>
            </w:pPr>
            <w:r>
              <w:rPr>
                <w:noProof/>
              </w:rPr>
              <w:t>M7–45</w:t>
            </w:r>
          </w:p>
        </w:tc>
        <w:tc>
          <w:tcPr>
            <w:tcW w:w="1559" w:type="dxa"/>
            <w:shd w:val="clear" w:color="auto" w:fill="C6EFCE"/>
            <w:noWrap/>
            <w:vAlign w:val="center"/>
          </w:tcPr>
          <w:p w14:paraId="70E1763F" w14:textId="77777777" w:rsidR="00E42B18" w:rsidRDefault="009629C4">
            <w:pPr>
              <w:pStyle w:val="P68B1DB1-Normal11"/>
              <w:spacing w:after="120"/>
              <w:jc w:val="center"/>
              <w:rPr>
                <w:noProof/>
                <w:szCs w:val="20"/>
              </w:rPr>
            </w:pPr>
            <w:r>
              <w:rPr>
                <w:noProof/>
              </w:rPr>
              <w:t>Investointi 16: Tuki pk-yrityksille, jotta ne voivat tuottaa itse tuotantoaan uusiutuvista energialähteistä</w:t>
            </w:r>
          </w:p>
        </w:tc>
        <w:tc>
          <w:tcPr>
            <w:tcW w:w="1134" w:type="dxa"/>
            <w:shd w:val="clear" w:color="auto" w:fill="C6EFCE"/>
            <w:noWrap/>
            <w:vAlign w:val="center"/>
          </w:tcPr>
          <w:p w14:paraId="14823458" w14:textId="77777777" w:rsidR="00E42B18" w:rsidRDefault="009629C4">
            <w:pPr>
              <w:pStyle w:val="P68B1DB1-Normal11"/>
              <w:spacing w:after="120"/>
              <w:jc w:val="center"/>
              <w:rPr>
                <w:noProof/>
                <w:szCs w:val="20"/>
              </w:rPr>
            </w:pPr>
            <w:r>
              <w:rPr>
                <w:noProof/>
              </w:rPr>
              <w:t>Kohde</w:t>
            </w:r>
          </w:p>
        </w:tc>
        <w:tc>
          <w:tcPr>
            <w:tcW w:w="1417" w:type="dxa"/>
            <w:shd w:val="clear" w:color="auto" w:fill="C6EFCE"/>
            <w:noWrap/>
            <w:vAlign w:val="center"/>
          </w:tcPr>
          <w:p w14:paraId="621EC558" w14:textId="77777777" w:rsidR="00E42B18" w:rsidRDefault="009629C4">
            <w:pPr>
              <w:pStyle w:val="P68B1DB1-Normal11"/>
              <w:spacing w:after="120"/>
              <w:jc w:val="center"/>
              <w:rPr>
                <w:noProof/>
                <w:szCs w:val="20"/>
              </w:rPr>
            </w:pPr>
            <w:r>
              <w:rPr>
                <w:noProof/>
              </w:rPr>
              <w:t>Oikeudelliset sopimukset lopullisten edunsaajien kanssa</w:t>
            </w:r>
          </w:p>
        </w:tc>
        <w:tc>
          <w:tcPr>
            <w:tcW w:w="1701" w:type="dxa"/>
            <w:shd w:val="clear" w:color="auto" w:fill="C6EFCE"/>
            <w:noWrap/>
            <w:vAlign w:val="center"/>
          </w:tcPr>
          <w:p w14:paraId="5185B5B5" w14:textId="77777777" w:rsidR="00E42B18" w:rsidRDefault="009629C4">
            <w:pPr>
              <w:pStyle w:val="P68B1DB1-Normal11"/>
              <w:spacing w:after="120"/>
              <w:jc w:val="center"/>
              <w:rPr>
                <w:noProof/>
                <w:szCs w:val="20"/>
              </w:rPr>
            </w:pPr>
            <w:r>
              <w:rPr>
                <w:noProof/>
              </w:rPr>
              <w:t>EI OLE</w:t>
            </w:r>
          </w:p>
        </w:tc>
        <w:tc>
          <w:tcPr>
            <w:tcW w:w="1276" w:type="dxa"/>
            <w:shd w:val="clear" w:color="auto" w:fill="C6EFCE"/>
            <w:noWrap/>
            <w:vAlign w:val="center"/>
          </w:tcPr>
          <w:p w14:paraId="1198BA72" w14:textId="77777777" w:rsidR="00E42B18" w:rsidRDefault="009629C4">
            <w:pPr>
              <w:pStyle w:val="P68B1DB1-Normal11"/>
              <w:jc w:val="center"/>
              <w:rPr>
                <w:noProof/>
                <w:szCs w:val="20"/>
              </w:rPr>
            </w:pPr>
            <w:r>
              <w:rPr>
                <w:noProof/>
              </w:rPr>
              <w:t>Prosenttiosuus (%)</w:t>
            </w:r>
          </w:p>
        </w:tc>
        <w:tc>
          <w:tcPr>
            <w:tcW w:w="992" w:type="dxa"/>
            <w:shd w:val="clear" w:color="auto" w:fill="C6EFCE"/>
            <w:noWrap/>
            <w:vAlign w:val="center"/>
          </w:tcPr>
          <w:p w14:paraId="2B356B27" w14:textId="77777777" w:rsidR="00E42B18" w:rsidRDefault="009629C4">
            <w:pPr>
              <w:pStyle w:val="P68B1DB1-Normal11"/>
              <w:spacing w:after="120"/>
              <w:jc w:val="center"/>
              <w:rPr>
                <w:noProof/>
                <w:szCs w:val="20"/>
              </w:rPr>
            </w:pPr>
            <w:r>
              <w:rPr>
                <w:noProof/>
              </w:rPr>
              <w:t>0</w:t>
            </w:r>
          </w:p>
        </w:tc>
        <w:tc>
          <w:tcPr>
            <w:tcW w:w="1276" w:type="dxa"/>
            <w:shd w:val="clear" w:color="auto" w:fill="C6EFCE"/>
            <w:noWrap/>
            <w:vAlign w:val="center"/>
          </w:tcPr>
          <w:p w14:paraId="3B5C7270" w14:textId="77777777" w:rsidR="00E42B18" w:rsidRDefault="009629C4">
            <w:pPr>
              <w:pStyle w:val="P68B1DB1-Normal11"/>
              <w:spacing w:after="120"/>
              <w:jc w:val="center"/>
              <w:rPr>
                <w:noProof/>
                <w:szCs w:val="20"/>
              </w:rPr>
            </w:pPr>
            <w:r>
              <w:rPr>
                <w:noProof/>
              </w:rPr>
              <w:t>100 %</w:t>
            </w:r>
          </w:p>
        </w:tc>
        <w:tc>
          <w:tcPr>
            <w:tcW w:w="851" w:type="dxa"/>
            <w:shd w:val="clear" w:color="auto" w:fill="C6EFCE"/>
            <w:noWrap/>
            <w:vAlign w:val="center"/>
          </w:tcPr>
          <w:p w14:paraId="649F0029" w14:textId="77777777" w:rsidR="00E42B18" w:rsidRDefault="009629C4">
            <w:pPr>
              <w:pStyle w:val="P68B1DB1-Normal11"/>
              <w:spacing w:after="120"/>
              <w:jc w:val="center"/>
              <w:rPr>
                <w:noProof/>
                <w:szCs w:val="20"/>
              </w:rPr>
            </w:pPr>
            <w:r>
              <w:rPr>
                <w:noProof/>
              </w:rPr>
              <w:t>Q2</w:t>
            </w:r>
          </w:p>
        </w:tc>
        <w:tc>
          <w:tcPr>
            <w:tcW w:w="708" w:type="dxa"/>
            <w:shd w:val="clear" w:color="auto" w:fill="C6EFCE"/>
            <w:noWrap/>
            <w:vAlign w:val="center"/>
          </w:tcPr>
          <w:p w14:paraId="42D61E0E" w14:textId="77777777" w:rsidR="00E42B18" w:rsidRDefault="009629C4">
            <w:pPr>
              <w:pStyle w:val="P68B1DB1-Normal11"/>
              <w:spacing w:after="120"/>
              <w:jc w:val="center"/>
              <w:rPr>
                <w:noProof/>
                <w:szCs w:val="20"/>
              </w:rPr>
            </w:pPr>
            <w:r>
              <w:rPr>
                <w:noProof/>
              </w:rPr>
              <w:t>2026</w:t>
            </w:r>
          </w:p>
        </w:tc>
        <w:tc>
          <w:tcPr>
            <w:tcW w:w="3261" w:type="dxa"/>
            <w:shd w:val="clear" w:color="auto" w:fill="C6EFCE"/>
            <w:noWrap/>
            <w:vAlign w:val="center"/>
          </w:tcPr>
          <w:p w14:paraId="162740C9" w14:textId="02ED26C4" w:rsidR="00E42B18" w:rsidRDefault="009629C4">
            <w:pPr>
              <w:pStyle w:val="P68B1DB1-Normal11"/>
              <w:spacing w:after="120"/>
              <w:rPr>
                <w:noProof/>
              </w:rPr>
            </w:pPr>
            <w:r>
              <w:rPr>
                <w:noProof/>
                <w:szCs w:val="20"/>
              </w:rPr>
              <w:t xml:space="preserve">Invitalia S.p.A. on tehnyt </w:t>
            </w:r>
            <w:r>
              <w:rPr>
                <w:noProof/>
              </w:rPr>
              <w:t xml:space="preserve">lopullisten tuensaajien kanssa oikeudellisia sopimuksia määrästä, joka tarvitaan, jotta elpymis- ja palautumistukivälineen investoinneista voidaan käyttää 100 prosenttia järjestelmään (hallinnointipalkkiot huomioon ottaen). </w:t>
            </w:r>
          </w:p>
        </w:tc>
      </w:tr>
      <w:tr w:rsidR="00E42B18" w14:paraId="47176A85"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A6926B" w14:textId="77777777" w:rsidR="00E42B18" w:rsidRDefault="009629C4">
            <w:pPr>
              <w:pStyle w:val="P68B1DB1-Normal11"/>
              <w:spacing w:after="120"/>
              <w:jc w:val="center"/>
              <w:rPr>
                <w:noProof/>
                <w:szCs w:val="20"/>
              </w:rPr>
            </w:pPr>
            <w:r>
              <w:rPr>
                <w:noProof/>
              </w:rPr>
              <w:t>M7–46</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C1804" w14:textId="3B1A0156" w:rsidR="00E42B18" w:rsidRDefault="009629C4">
            <w:pPr>
              <w:pStyle w:val="P68B1DB1-Normal12"/>
              <w:spacing w:after="120"/>
              <w:jc w:val="center"/>
              <w:rPr>
                <w:noProof/>
              </w:rPr>
            </w:pPr>
            <w:r>
              <w:rPr>
                <w:noProof/>
              </w:rPr>
              <w:t xml:space="preserve">Investointi 17: Julkisten asuinrakennusten energiaperuskorjausten rahoitusväline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2491D" w14:textId="77777777" w:rsidR="00E42B18" w:rsidRDefault="009629C4">
            <w:pPr>
              <w:pStyle w:val="P68B1DB1-Normal11"/>
              <w:spacing w:after="120"/>
              <w:jc w:val="center"/>
              <w:rPr>
                <w:noProof/>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FBBA85" w14:textId="77777777" w:rsidR="00E42B18" w:rsidRDefault="009629C4">
            <w:pPr>
              <w:pStyle w:val="P68B1DB1-Normal11"/>
              <w:spacing w:after="120"/>
              <w:jc w:val="center"/>
              <w:rPr>
                <w:noProof/>
              </w:rPr>
            </w:pPr>
            <w:r>
              <w:rPr>
                <w:noProof/>
              </w:rPr>
              <w:t>Tehtävänmäärityksen tavoitteen määrittely</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F6A1E" w14:textId="77777777" w:rsidR="00E42B18" w:rsidRDefault="009629C4">
            <w:pPr>
              <w:pStyle w:val="P68B1DB1-Normal11"/>
              <w:spacing w:after="120"/>
              <w:jc w:val="center"/>
              <w:rPr>
                <w:noProof/>
              </w:rPr>
            </w:pPr>
            <w:r>
              <w:rPr>
                <w:noProof/>
              </w:rPr>
              <w:t>Säädöksen voimaantulo ja rahoitusvälineen tehtävänmäärittely</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6C6A8" w14:textId="77777777" w:rsidR="00E42B18" w:rsidRDefault="00E42B18">
            <w:pPr>
              <w:spacing w:after="120"/>
              <w:jc w:val="center"/>
              <w:rPr>
                <w:rFonts w:ascii="Arial Narrow" w:hAnsi="Arial Narrow"/>
                <w:noProof/>
                <w:color w:val="0061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FFF8FD" w14:textId="77777777" w:rsidR="00E42B18" w:rsidRDefault="00E42B18">
            <w:pPr>
              <w:spacing w:after="120"/>
              <w:jc w:val="center"/>
              <w:rPr>
                <w:rFonts w:ascii="Arial Narrow" w:hAnsi="Arial Narrow"/>
                <w:noProof/>
                <w:color w:val="0061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FFF993" w14:textId="77777777" w:rsidR="00E42B18" w:rsidRDefault="00E42B18">
            <w:pPr>
              <w:spacing w:after="120"/>
              <w:jc w:val="center"/>
              <w:rPr>
                <w:rFonts w:ascii="Arial Narrow" w:hAnsi="Arial Narrow"/>
                <w:noProof/>
                <w:color w:val="0061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1632F4" w14:textId="77777777" w:rsidR="00E42B18" w:rsidRDefault="009629C4">
            <w:pPr>
              <w:pStyle w:val="P68B1DB1-Normal11"/>
              <w:spacing w:after="120"/>
              <w:jc w:val="center"/>
              <w:rPr>
                <w:noProof/>
                <w:szCs w:val="20"/>
              </w:rPr>
            </w:pPr>
            <w:r>
              <w:rPr>
                <w:noProof/>
              </w:rPr>
              <w:t>Q3</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D771C" w14:textId="77777777" w:rsidR="00E42B18" w:rsidRDefault="009629C4">
            <w:pPr>
              <w:pStyle w:val="P68B1DB1-Normal11"/>
              <w:spacing w:after="120"/>
              <w:jc w:val="center"/>
              <w:rPr>
                <w:noProof/>
              </w:rPr>
            </w:pPr>
            <w:r>
              <w:rPr>
                <w:noProof/>
              </w:rPr>
              <w:t>2024</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0ABF370E" w14:textId="6FB20E51" w:rsidR="00E42B18" w:rsidRDefault="009629C4">
            <w:pPr>
              <w:pStyle w:val="P68B1DB1-Normal11"/>
              <w:spacing w:after="120"/>
              <w:rPr>
                <w:noProof/>
                <w:szCs w:val="20"/>
              </w:rPr>
            </w:pPr>
            <w:r>
              <w:rPr>
                <w:noProof/>
              </w:rPr>
              <w:t xml:space="preserve">Määritellään rahoitusvälineen toimeksianto, joka koskee </w:t>
            </w:r>
            <w:r>
              <w:rPr>
                <w:noProof/>
                <w:szCs w:val="20"/>
              </w:rPr>
              <w:t>julkisten asuinrakennusten energiaperuskorjauksia.</w:t>
            </w:r>
          </w:p>
          <w:p w14:paraId="64AFCB4E" w14:textId="77777777" w:rsidR="00E42B18" w:rsidRDefault="00E42B18">
            <w:pPr>
              <w:spacing w:after="120"/>
              <w:rPr>
                <w:rFonts w:ascii="Arial Narrow" w:hAnsi="Arial Narrow"/>
                <w:noProof/>
                <w:color w:val="006100"/>
                <w:sz w:val="20"/>
              </w:rPr>
            </w:pPr>
          </w:p>
        </w:tc>
      </w:tr>
      <w:tr w:rsidR="00E42B18" w14:paraId="1476515C"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5E3B78" w14:textId="77777777" w:rsidR="00E42B18" w:rsidRDefault="009629C4">
            <w:pPr>
              <w:pStyle w:val="P68B1DB1-Normal11"/>
              <w:spacing w:after="120"/>
              <w:jc w:val="center"/>
              <w:rPr>
                <w:noProof/>
                <w:szCs w:val="20"/>
              </w:rPr>
            </w:pPr>
            <w:r>
              <w:rPr>
                <w:noProof/>
              </w:rPr>
              <w:t>M7–47</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1C4B8E" w14:textId="77777777" w:rsidR="00E42B18" w:rsidRDefault="009629C4">
            <w:pPr>
              <w:pStyle w:val="P68B1DB1-Normal12"/>
              <w:spacing w:after="120"/>
              <w:jc w:val="center"/>
              <w:rPr>
                <w:noProof/>
              </w:rPr>
            </w:pPr>
            <w:r>
              <w:rPr>
                <w:noProof/>
              </w:rPr>
              <w:t xml:space="preserve">Investointi 17: Julkisten asuinrakennusten energiaperuskorjausten rahoitusväline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8B3BB7" w14:textId="77777777" w:rsidR="00E42B18" w:rsidRDefault="009629C4">
            <w:pPr>
              <w:pStyle w:val="P68B1DB1-Normal11"/>
              <w:spacing w:after="120"/>
              <w:jc w:val="center"/>
              <w:rPr>
                <w:noProof/>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7E86A5" w14:textId="77777777" w:rsidR="00E42B18" w:rsidRDefault="009629C4">
            <w:pPr>
              <w:pStyle w:val="P68B1DB1-Normal11"/>
              <w:spacing w:after="120"/>
              <w:jc w:val="center"/>
              <w:rPr>
                <w:noProof/>
              </w:rPr>
            </w:pPr>
            <w:r>
              <w:rPr>
                <w:noProof/>
              </w:rPr>
              <w:t>Täytäntöönpanosopimus</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002409" w14:textId="77777777" w:rsidR="00E42B18" w:rsidRDefault="009629C4">
            <w:pPr>
              <w:pStyle w:val="P68B1DB1-Normal11"/>
              <w:spacing w:after="120"/>
              <w:jc w:val="center"/>
              <w:rPr>
                <w:noProof/>
              </w:rPr>
            </w:pPr>
            <w:r>
              <w:rPr>
                <w:noProof/>
              </w:rPr>
              <w:t>Täytäntöönpanosopimuksen voimaantulo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33AAC" w14:textId="77777777" w:rsidR="00E42B18" w:rsidRDefault="00E42B18">
            <w:pPr>
              <w:spacing w:after="120"/>
              <w:jc w:val="center"/>
              <w:rPr>
                <w:rFonts w:ascii="Arial Narrow" w:hAnsi="Arial Narrow"/>
                <w:noProof/>
                <w:color w:val="0061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9EBB50" w14:textId="77777777" w:rsidR="00E42B18" w:rsidRDefault="00E42B18">
            <w:pPr>
              <w:spacing w:after="120"/>
              <w:jc w:val="center"/>
              <w:rPr>
                <w:rFonts w:ascii="Arial Narrow" w:hAnsi="Arial Narrow"/>
                <w:noProof/>
                <w:color w:val="0061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84DC4D" w14:textId="77777777" w:rsidR="00E42B18" w:rsidRDefault="00E42B18">
            <w:pPr>
              <w:spacing w:after="120"/>
              <w:jc w:val="center"/>
              <w:rPr>
                <w:rFonts w:ascii="Arial Narrow" w:hAnsi="Arial Narrow"/>
                <w:noProof/>
                <w:color w:val="0061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0479EC" w14:textId="77777777" w:rsidR="00E42B18" w:rsidRDefault="009629C4">
            <w:pPr>
              <w:pStyle w:val="P68B1DB1-Normal11"/>
              <w:spacing w:after="120"/>
              <w:jc w:val="center"/>
              <w:rPr>
                <w:noProof/>
                <w:szCs w:val="20"/>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C627A1" w14:textId="77777777" w:rsidR="00E42B18" w:rsidRDefault="009629C4">
            <w:pPr>
              <w:pStyle w:val="P68B1DB1-Normal11"/>
              <w:spacing w:after="120"/>
              <w:jc w:val="center"/>
              <w:rPr>
                <w:noProof/>
                <w:szCs w:val="20"/>
              </w:rPr>
            </w:pPr>
            <w:r>
              <w:rPr>
                <w:noProof/>
              </w:rPr>
              <w:t>2025</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54EB1D9C" w14:textId="77777777" w:rsidR="00E42B18" w:rsidRDefault="009629C4">
            <w:pPr>
              <w:pStyle w:val="P68B1DB1-Normal11"/>
              <w:spacing w:after="120"/>
              <w:jc w:val="both"/>
              <w:rPr>
                <w:noProof/>
              </w:rPr>
            </w:pPr>
            <w:r>
              <w:rPr>
                <w:noProof/>
              </w:rPr>
              <w:t>Täytäntöönpanosopimus</w:t>
            </w:r>
            <w:r>
              <w:rPr>
                <w:noProof/>
                <w:szCs w:val="20"/>
              </w:rPr>
              <w:t>(-sopimukset)</w:t>
            </w:r>
            <w:r>
              <w:rPr>
                <w:noProof/>
              </w:rPr>
              <w:t xml:space="preserve"> tulee voimaan toimenpiteen kuvauksessa täsmennettyjen vaatimusten mukaisesti.</w:t>
            </w:r>
          </w:p>
          <w:p w14:paraId="5ADBC682" w14:textId="77777777" w:rsidR="00E42B18" w:rsidRDefault="009629C4">
            <w:pPr>
              <w:pStyle w:val="P68B1DB1-Normal11"/>
              <w:spacing w:after="120"/>
              <w:jc w:val="both"/>
              <w:rPr>
                <w:noProof/>
                <w:szCs w:val="20"/>
              </w:rPr>
            </w:pPr>
            <w:r>
              <w:rPr>
                <w:noProof/>
              </w:rPr>
              <w:t>Täytäntöönpanosopimukseen</w:t>
            </w:r>
            <w:r>
              <w:rPr>
                <w:noProof/>
                <w:szCs w:val="20"/>
              </w:rPr>
              <w:t>(-sopimuksiin)</w:t>
            </w:r>
            <w:r>
              <w:rPr>
                <w:noProof/>
              </w:rPr>
              <w:t xml:space="preserve"> on erityisesti sisällytettävä tukikelpoisuusperusteet, jotka koskevat energiatehokkuuden vähimmäisparannusta, joka välineellä on saavutettava (keskimäärin vähintään 30 prosenttia primäärienergian kysynnän vähentämisestä).</w:t>
            </w:r>
          </w:p>
          <w:p w14:paraId="3C5B4517" w14:textId="77777777" w:rsidR="00E42B18" w:rsidRDefault="009629C4">
            <w:pPr>
              <w:pStyle w:val="P68B1DB1-Normal113"/>
              <w:spacing w:after="120" w:line="257" w:lineRule="auto"/>
              <w:jc w:val="both"/>
              <w:rPr>
                <w:rFonts w:ascii="Arial Narrow" w:hAnsi="Arial Narrow"/>
                <w:noProof/>
                <w:color w:val="006100"/>
                <w:szCs w:val="20"/>
              </w:rPr>
            </w:pPr>
            <w:r>
              <w:rPr>
                <w:rFonts w:ascii="Arial Narrow" w:hAnsi="Arial Narrow"/>
                <w:noProof/>
                <w:color w:val="006100"/>
              </w:rPr>
              <w:t>Valintaperusteissa on myös asetettava etusijalle toimet, joista saadaan eniten tuottoa energiatehokkuuden kannalta.</w:t>
            </w:r>
            <w:r>
              <w:rPr>
                <w:rFonts w:ascii="Arial Narrow" w:eastAsia="Arial Narrow" w:hAnsi="Arial Narrow" w:cs="Arial Narrow"/>
                <w:noProof/>
                <w:szCs w:val="20"/>
              </w:rPr>
              <w:t xml:space="preserve"> </w:t>
            </w:r>
          </w:p>
        </w:tc>
      </w:tr>
      <w:tr w:rsidR="00E42B18" w14:paraId="321FDF05"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1BED46" w14:textId="77777777" w:rsidR="00E42B18" w:rsidRDefault="009629C4">
            <w:pPr>
              <w:pStyle w:val="P68B1DB1-Normal12"/>
              <w:spacing w:after="120"/>
              <w:jc w:val="center"/>
              <w:rPr>
                <w:noProof/>
              </w:rPr>
            </w:pPr>
            <w:r>
              <w:rPr>
                <w:noProof/>
              </w:rPr>
              <w:t xml:space="preserve"> M7–48</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6A4868" w14:textId="77777777" w:rsidR="00E42B18" w:rsidRDefault="009629C4">
            <w:pPr>
              <w:pStyle w:val="P68B1DB1-Normal12"/>
              <w:spacing w:after="120"/>
              <w:jc w:val="center"/>
              <w:rPr>
                <w:noProof/>
              </w:rPr>
            </w:pPr>
            <w:r>
              <w:rPr>
                <w:noProof/>
              </w:rPr>
              <w:t>Investointi 17: Julkisten asuinrakennusten energiaperuskorjausten rahoitusväline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689D8A" w14:textId="77777777" w:rsidR="00E42B18" w:rsidRDefault="009629C4">
            <w:pPr>
              <w:pStyle w:val="P68B1DB1-Normal11"/>
              <w:spacing w:after="120"/>
              <w:jc w:val="center"/>
              <w:rPr>
                <w:noProof/>
              </w:rPr>
            </w:pPr>
            <w:r>
              <w:rPr>
                <w:noProof/>
              </w:rPr>
              <w:t>Virstanpylväs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709637" w14:textId="77777777" w:rsidR="00E42B18" w:rsidRDefault="009629C4">
            <w:pPr>
              <w:pStyle w:val="P68B1DB1-Normal11"/>
              <w:spacing w:after="120"/>
              <w:jc w:val="center"/>
              <w:rPr>
                <w:noProof/>
              </w:rPr>
            </w:pPr>
            <w:r>
              <w:rPr>
                <w:noProof/>
              </w:rPr>
              <w:t>Ministeriö on saattanut investoinnin päätökseen</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3FA914" w14:textId="77777777" w:rsidR="00E42B18" w:rsidRDefault="009629C4">
            <w:pPr>
              <w:pStyle w:val="P68B1DB1-Normal11"/>
              <w:spacing w:after="120"/>
              <w:jc w:val="center"/>
              <w:rPr>
                <w:noProof/>
              </w:rPr>
            </w:pPr>
            <w:r>
              <w:rPr>
                <w:noProof/>
              </w:rPr>
              <w:t>Todistus siirrosta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4629BA" w14:textId="77777777" w:rsidR="00E42B18" w:rsidRDefault="00E42B18">
            <w:pPr>
              <w:spacing w:after="120"/>
              <w:jc w:val="center"/>
              <w:rPr>
                <w:rFonts w:ascii="Arial Narrow" w:hAnsi="Arial Narrow"/>
                <w:noProof/>
                <w:color w:val="0061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BB86A8" w14:textId="77777777" w:rsidR="00E42B18" w:rsidRDefault="009629C4">
            <w:pPr>
              <w:pStyle w:val="P68B1DB1-Normal11"/>
              <w:spacing w:after="120"/>
              <w:jc w:val="center"/>
              <w:rPr>
                <w:rFonts w:eastAsia="Arial Narrow" w:cs="Arial Narrow"/>
                <w:noProof/>
                <w:szCs w:val="20"/>
              </w:rPr>
            </w:pPr>
            <w:r>
              <w:rPr>
                <w:noProof/>
              </w:rPr>
              <w:t>EI OLE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9BCD1" w14:textId="77777777" w:rsidR="00E42B18" w:rsidRDefault="009629C4">
            <w:pPr>
              <w:pStyle w:val="P68B1DB1-Normal11"/>
              <w:spacing w:after="120"/>
              <w:jc w:val="center"/>
              <w:rPr>
                <w:rFonts w:eastAsia="Arial Narrow" w:cs="Arial Narrow"/>
                <w:noProof/>
                <w:szCs w:val="20"/>
              </w:rPr>
            </w:pPr>
            <w:r>
              <w:rPr>
                <w:noProof/>
              </w:rPr>
              <w:t xml:space="preserve"> EI OLE</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3D52F9" w14:textId="77777777" w:rsidR="00E42B18" w:rsidRDefault="009629C4">
            <w:pPr>
              <w:pStyle w:val="P68B1DB1-Normal11"/>
              <w:spacing w:after="120"/>
              <w:jc w:val="center"/>
              <w:rPr>
                <w:noProof/>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50B5F" w14:textId="77777777" w:rsidR="00E42B18" w:rsidRDefault="009629C4">
            <w:pPr>
              <w:pStyle w:val="P68B1DB1-Normal11"/>
              <w:spacing w:after="120"/>
              <w:jc w:val="center"/>
              <w:rPr>
                <w:noProof/>
              </w:rPr>
            </w:pPr>
            <w:r>
              <w:rPr>
                <w:noProof/>
              </w:rPr>
              <w:t>2025</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3FB23173" w14:textId="77777777" w:rsidR="00E42B18" w:rsidRDefault="009629C4">
            <w:pPr>
              <w:pStyle w:val="P68B1DB1-Normal114"/>
              <w:spacing w:after="0"/>
              <w:jc w:val="both"/>
              <w:rPr>
                <w:rFonts w:hAnsi="Arial Narrow"/>
                <w:noProof/>
              </w:rPr>
            </w:pPr>
            <w:r>
              <w:rPr>
                <w:noProof/>
              </w:rPr>
              <w:t>Italia siirt</w:t>
            </w:r>
            <w:r>
              <w:rPr>
                <w:noProof/>
              </w:rPr>
              <w:t>ää</w:t>
            </w:r>
            <w:r>
              <w:rPr>
                <w:noProof/>
              </w:rPr>
              <w:t xml:space="preserve"> 1381000000 euroa toteutuskumppanille tai toteutuskumppaneille lainaj</w:t>
            </w:r>
            <w:r>
              <w:rPr>
                <w:noProof/>
              </w:rPr>
              <w:t>ä</w:t>
            </w:r>
            <w:r>
              <w:rPr>
                <w:noProof/>
              </w:rPr>
              <w:t>rjestely</w:t>
            </w:r>
            <w:r>
              <w:rPr>
                <w:noProof/>
              </w:rPr>
              <w:t>ä</w:t>
            </w:r>
            <w:r>
              <w:rPr>
                <w:noProof/>
              </w:rPr>
              <w:t xml:space="preserve"> varten.</w:t>
            </w:r>
          </w:p>
        </w:tc>
      </w:tr>
      <w:tr w:rsidR="00E42B18" w14:paraId="1A60B290"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BB9F48" w14:textId="77777777" w:rsidR="00E42B18" w:rsidRDefault="009629C4">
            <w:pPr>
              <w:pStyle w:val="P68B1DB1-Normal11"/>
              <w:spacing w:after="120"/>
              <w:jc w:val="center"/>
              <w:rPr>
                <w:noProof/>
                <w:szCs w:val="20"/>
              </w:rPr>
            </w:pPr>
            <w:r>
              <w:rPr>
                <w:noProof/>
              </w:rPr>
              <w:t>M7–49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A462D" w14:textId="77777777" w:rsidR="00E42B18" w:rsidRDefault="009629C4">
            <w:pPr>
              <w:pStyle w:val="P68B1DB1-Normal12"/>
              <w:spacing w:after="120"/>
              <w:jc w:val="center"/>
              <w:rPr>
                <w:noProof/>
              </w:rPr>
            </w:pPr>
            <w:r>
              <w:rPr>
                <w:noProof/>
              </w:rPr>
              <w:t xml:space="preserve">Investointi 17: Julkisten asuinrakennusten energiaperuskorjausten rahoitusväline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C30EF4" w14:textId="77777777" w:rsidR="00E42B18" w:rsidRDefault="009629C4">
            <w:pPr>
              <w:pStyle w:val="P68B1DB1-Normal11"/>
              <w:spacing w:after="120"/>
              <w:jc w:val="center"/>
              <w:rPr>
                <w:noProof/>
              </w:rPr>
            </w:pPr>
            <w:r>
              <w:rPr>
                <w:noProof/>
              </w:rPr>
              <w:t>Kohde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2181FB" w14:textId="77777777" w:rsidR="00E42B18" w:rsidRDefault="009629C4">
            <w:pPr>
              <w:pStyle w:val="P68B1DB1-Normal11"/>
              <w:spacing w:after="120"/>
              <w:jc w:val="center"/>
              <w:rPr>
                <w:noProof/>
              </w:rPr>
            </w:pPr>
            <w:r>
              <w:rPr>
                <w:noProof/>
              </w:rPr>
              <w:t>Lopullisten tuensaajien kanssa allekirjoitetut oikeudelliset sopimukset</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843DC5" w14:textId="77777777" w:rsidR="00E42B18" w:rsidRDefault="00E42B18">
            <w:pPr>
              <w:spacing w:after="120"/>
              <w:jc w:val="center"/>
              <w:rPr>
                <w:rFonts w:ascii="Arial Narrow" w:hAnsi="Arial Narrow"/>
                <w:noProof/>
                <w:color w:val="0061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28244" w14:textId="77777777" w:rsidR="00E42B18" w:rsidRDefault="009629C4">
            <w:pPr>
              <w:pStyle w:val="P68B1DB1-Normal11"/>
              <w:spacing w:after="120"/>
              <w:jc w:val="center"/>
              <w:rPr>
                <w:noProof/>
              </w:rPr>
            </w:pPr>
            <w:r>
              <w:rPr>
                <w:noProof/>
              </w:rPr>
              <w:t>Prosenttiosuus (%)</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8C1A0F" w14:textId="77777777" w:rsidR="00E42B18" w:rsidRDefault="009629C4">
            <w:pPr>
              <w:pStyle w:val="P68B1DB1-Normal11"/>
              <w:spacing w:after="120"/>
              <w:jc w:val="center"/>
              <w:rPr>
                <w:noProof/>
              </w:rPr>
            </w:pPr>
            <w:r>
              <w:rPr>
                <w:noProof/>
              </w:rPr>
              <w:t>0 %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D0837F" w14:textId="77777777" w:rsidR="00E42B18" w:rsidRDefault="009629C4">
            <w:pPr>
              <w:pStyle w:val="P68B1DB1-Normal11"/>
              <w:spacing w:after="120"/>
              <w:jc w:val="center"/>
              <w:rPr>
                <w:noProof/>
              </w:rPr>
            </w:pPr>
            <w:r>
              <w:rPr>
                <w:noProof/>
              </w:rPr>
              <w:t>100 %</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517501" w14:textId="77777777" w:rsidR="00E42B18" w:rsidRDefault="009629C4">
            <w:pPr>
              <w:pStyle w:val="P68B1DB1-Normal11"/>
              <w:spacing w:after="120"/>
              <w:jc w:val="center"/>
              <w:rPr>
                <w:noProof/>
              </w:rPr>
            </w:pPr>
            <w:r>
              <w:rPr>
                <w:noProof/>
              </w:rPr>
              <w:t>Q2</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28758" w14:textId="77777777" w:rsidR="00E42B18" w:rsidRDefault="009629C4">
            <w:pPr>
              <w:pStyle w:val="P68B1DB1-Normal11"/>
              <w:spacing w:after="120"/>
              <w:jc w:val="center"/>
              <w:rPr>
                <w:noProof/>
              </w:rPr>
            </w:pPr>
            <w:r>
              <w:rPr>
                <w:noProof/>
              </w:rPr>
              <w:t>2026</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3A0F2EF5" w14:textId="77777777" w:rsidR="00E42B18" w:rsidRDefault="009629C4">
            <w:pPr>
              <w:pStyle w:val="P68B1DB1-Normal12"/>
              <w:spacing w:after="120"/>
              <w:jc w:val="both"/>
              <w:rPr>
                <w:noProof/>
              </w:rPr>
            </w:pPr>
            <w:r>
              <w:rPr>
                <w:noProof/>
              </w:rPr>
              <w:t>Toteutuskumppanien on täytynyt tehdä energiapalveluyritysten (ESCO) kanssa oikeudellisia rahoitussopimuksia, jotka koskevat määrää, joka tarvitaan, jotta elpymis- ja palautumistukivälineen investoinneista voidaan käyttää 100 prosenttia (hallinnointipalkkiot huomioon ottaen).</w:t>
            </w:r>
          </w:p>
          <w:p w14:paraId="7578123D" w14:textId="4B629020" w:rsidR="00E42B18" w:rsidRDefault="009629C4">
            <w:pPr>
              <w:pStyle w:val="P68B1DB1-Normal11"/>
              <w:spacing w:after="120"/>
              <w:jc w:val="both"/>
              <w:rPr>
                <w:noProof/>
              </w:rPr>
            </w:pPr>
            <w:r>
              <w:rPr>
                <w:noProof/>
              </w:rPr>
              <w:t xml:space="preserve">Energiapalveluyritysten (ESCO) kanssa </w:t>
            </w:r>
            <w:r>
              <w:rPr>
                <w:noProof/>
                <w:szCs w:val="20"/>
              </w:rPr>
              <w:t>tehdyissä rahoitussopimuksissa</w:t>
            </w:r>
            <w:r>
              <w:rPr>
                <w:noProof/>
              </w:rPr>
              <w:t xml:space="preserve"> on täsmennettävä omaisuuserä, johon sovelletaan energiatehokkuutta parantavia peruskorjauksia.</w:t>
            </w:r>
          </w:p>
        </w:tc>
      </w:tr>
    </w:tbl>
    <w:p w14:paraId="0AAEF04B" w14:textId="77777777" w:rsidR="00E42B18" w:rsidRDefault="00E42B18">
      <w:pPr>
        <w:spacing w:after="120"/>
        <w:jc w:val="both"/>
        <w:rPr>
          <w:rFonts w:ascii="Calibri" w:eastAsia="Calibri" w:hAnsi="Calibri" w:cs="Calibri"/>
          <w:noProof/>
          <w:color w:val="000000" w:themeColor="text1"/>
        </w:rPr>
        <w:sectPr w:rsidR="00E42B18" w:rsidSect="005F11B9">
          <w:headerReference w:type="default" r:id="rId330"/>
          <w:footerReference w:type="default" r:id="rId331"/>
          <w:pgSz w:w="16838" w:h="11906" w:orient="landscape" w:code="12"/>
          <w:pgMar w:top="1440" w:right="1440" w:bottom="1440" w:left="1440" w:header="567" w:footer="567" w:gutter="0"/>
          <w:cols w:space="720"/>
          <w:docGrid w:linePitch="360"/>
        </w:sectPr>
      </w:pPr>
    </w:p>
    <w:p w14:paraId="5C57166A" w14:textId="77777777" w:rsidR="00E42B18" w:rsidRDefault="009629C4">
      <w:pPr>
        <w:pStyle w:val="P68B1DB1-ListParagraph115"/>
        <w:keepNext/>
        <w:numPr>
          <w:ilvl w:val="0"/>
          <w:numId w:val="47"/>
        </w:numPr>
        <w:spacing w:before="360" w:after="120" w:line="240" w:lineRule="auto"/>
        <w:jc w:val="both"/>
        <w:outlineLvl w:val="0"/>
        <w:rPr>
          <w:rFonts w:eastAsia="Yu Gothic Light"/>
          <w:bCs/>
          <w:noProof/>
          <w:szCs w:val="28"/>
        </w:rPr>
      </w:pPr>
      <w:r>
        <w:rPr>
          <w:noProof/>
        </w:rPr>
        <w:t xml:space="preserve">Elpymis- ja palautumissuunnitelman arvioidut kokonaiskustannukset </w:t>
      </w:r>
    </w:p>
    <w:p w14:paraId="1403CE22" w14:textId="77777777" w:rsidR="00E42B18" w:rsidRDefault="009629C4">
      <w:pPr>
        <w:pStyle w:val="P68B1DB1-Normal8"/>
        <w:spacing w:before="120" w:after="120" w:line="240" w:lineRule="auto"/>
        <w:jc w:val="both"/>
        <w:rPr>
          <w:noProof/>
        </w:rPr>
      </w:pPr>
      <w:r>
        <w:rPr>
          <w:noProof/>
        </w:rPr>
        <w:t>Italian elpymis- ja palautumissuunnitelman arvioidut kokonaiskustannukset ovat 194415951466 euroa.</w:t>
      </w:r>
    </w:p>
    <w:p w14:paraId="710797DC" w14:textId="77777777" w:rsidR="00E42B18" w:rsidRDefault="009629C4">
      <w:pPr>
        <w:pStyle w:val="P68B1DB1-Normal116"/>
        <w:spacing w:before="120" w:after="120" w:line="240" w:lineRule="auto"/>
        <w:jc w:val="both"/>
        <w:rPr>
          <w:noProof/>
        </w:rPr>
      </w:pPr>
      <w:r>
        <w:rPr>
          <w:noProof/>
        </w:rPr>
        <w:t xml:space="preserve"> </w:t>
      </w:r>
    </w:p>
    <w:p w14:paraId="4B59C4E3" w14:textId="77777777" w:rsidR="00E42B18" w:rsidRDefault="009629C4">
      <w:pPr>
        <w:pStyle w:val="P68B1DB1-Heading2117"/>
        <w:rPr>
          <w:bCs/>
          <w:noProof/>
        </w:rPr>
      </w:pPr>
      <w:r>
        <w:rPr>
          <w:noProof/>
        </w:rPr>
        <w:t>2 JAKSO: TALOUDELLINEN TUKI</w:t>
      </w:r>
    </w:p>
    <w:p w14:paraId="4DE31CF1" w14:textId="77777777" w:rsidR="00E42B18" w:rsidRDefault="009629C4">
      <w:pPr>
        <w:pStyle w:val="P68B1DB1-Heading3118"/>
        <w:numPr>
          <w:ilvl w:val="0"/>
          <w:numId w:val="179"/>
        </w:numPr>
        <w:tabs>
          <w:tab w:val="clear" w:pos="850"/>
          <w:tab w:val="num" w:pos="720"/>
        </w:tabs>
        <w:ind w:left="720" w:hanging="360"/>
        <w:rPr>
          <w:bCs/>
          <w:noProof/>
        </w:rPr>
      </w:pPr>
      <w:r>
        <w:rPr>
          <w:noProof/>
        </w:rPr>
        <w:t>Rahoitusosuus</w:t>
      </w:r>
    </w:p>
    <w:p w14:paraId="1CDA39A5" w14:textId="77777777" w:rsidR="00E42B18" w:rsidRDefault="009629C4">
      <w:pPr>
        <w:pStyle w:val="P68B1DB1-Normal8"/>
        <w:spacing w:before="120" w:after="120" w:line="240" w:lineRule="auto"/>
        <w:ind w:left="850"/>
        <w:jc w:val="both"/>
        <w:rPr>
          <w:noProof/>
        </w:rPr>
      </w:pPr>
      <w:r>
        <w:rPr>
          <w:noProof/>
        </w:rPr>
        <w:t>Päätöksen 2 artiklan 2 kohdassa tarkoitetut erät muodostetaan seuraavasti:</w:t>
      </w:r>
    </w:p>
    <w:p w14:paraId="7AE23E96" w14:textId="58F612A8" w:rsidR="00E42B18" w:rsidRDefault="00E42B18">
      <w:pPr>
        <w:spacing w:before="120" w:after="120" w:line="240" w:lineRule="auto"/>
        <w:ind w:left="850"/>
        <w:jc w:val="both"/>
        <w:rPr>
          <w:rFonts w:ascii="Times New Roman" w:eastAsia="Times New Roman" w:hAnsi="Times New Roman" w:cs="Times New Roman"/>
          <w:noProof/>
        </w:rPr>
      </w:pPr>
    </w:p>
    <w:p w14:paraId="548803EA" w14:textId="77777777" w:rsidR="00E42B18" w:rsidRDefault="009629C4">
      <w:pPr>
        <w:pStyle w:val="P68B1DB1-Heading4119"/>
        <w:numPr>
          <w:ilvl w:val="1"/>
          <w:numId w:val="180"/>
        </w:numPr>
        <w:tabs>
          <w:tab w:val="num" w:pos="1440"/>
        </w:tabs>
        <w:ind w:left="1440" w:hanging="360"/>
        <w:rPr>
          <w:noProof/>
        </w:rPr>
      </w:pPr>
      <w:r>
        <w:rPr>
          <w:noProof/>
        </w:rPr>
        <w:t>Ensimmäinen erä (tuki, jota ei makseta takaisin):</w:t>
      </w:r>
    </w:p>
    <w:tbl>
      <w:tblPr>
        <w:tblW w:w="9595" w:type="dxa"/>
        <w:tblInd w:w="120" w:type="dxa"/>
        <w:tblLayout w:type="fixed"/>
        <w:tblLook w:val="04A0" w:firstRow="1" w:lastRow="0" w:firstColumn="1" w:lastColumn="0" w:noHBand="0" w:noVBand="1"/>
      </w:tblPr>
      <w:tblGrid>
        <w:gridCol w:w="1275"/>
        <w:gridCol w:w="2250"/>
        <w:gridCol w:w="1245"/>
        <w:gridCol w:w="4589"/>
        <w:gridCol w:w="236"/>
      </w:tblGrid>
      <w:tr w:rsidR="00E42B18" w14:paraId="7EA7044C" w14:textId="77777777">
        <w:trPr>
          <w:trHeight w:val="900"/>
          <w:tblHeader/>
        </w:trPr>
        <w:tc>
          <w:tcPr>
            <w:tcW w:w="127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10B18EE" w14:textId="77777777" w:rsidR="00E42B18" w:rsidRDefault="009629C4">
            <w:pPr>
              <w:pStyle w:val="P68B1DB1-Normal120"/>
              <w:spacing w:after="0" w:line="240" w:lineRule="auto"/>
              <w:jc w:val="center"/>
              <w:rPr>
                <w:noProof/>
              </w:rPr>
            </w:pPr>
            <w:r>
              <w:rPr>
                <w:noProof/>
              </w:rPr>
              <w:t>Juokseva numero</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1C80BAC" w14:textId="77777777" w:rsidR="00E42B18" w:rsidRDefault="009629C4">
            <w:pPr>
              <w:pStyle w:val="P68B1DB1-Normal120"/>
              <w:spacing w:after="0" w:line="240" w:lineRule="auto"/>
              <w:jc w:val="center"/>
              <w:rPr>
                <w:noProof/>
              </w:rPr>
            </w:pPr>
            <w:r>
              <w:rPr>
                <w:noProof/>
              </w:rPr>
              <w:t>Toimenpide (uudistus tai investointi)</w:t>
            </w:r>
          </w:p>
        </w:tc>
        <w:tc>
          <w:tcPr>
            <w:tcW w:w="124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12749B95" w14:textId="77777777" w:rsidR="00E42B18" w:rsidRDefault="009629C4">
            <w:pPr>
              <w:pStyle w:val="P68B1DB1-Normal120"/>
              <w:spacing w:after="0" w:line="240" w:lineRule="auto"/>
              <w:jc w:val="center"/>
              <w:rPr>
                <w:noProof/>
              </w:rPr>
            </w:pPr>
            <w:r>
              <w:rPr>
                <w:noProof/>
              </w:rPr>
              <w:t>Välitavoite/tavoite</w:t>
            </w:r>
          </w:p>
        </w:tc>
        <w:tc>
          <w:tcPr>
            <w:tcW w:w="4589"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1E8156CB" w14:textId="77777777" w:rsidR="00E42B18" w:rsidRDefault="009629C4">
            <w:pPr>
              <w:pStyle w:val="P68B1DB1-Normal120"/>
              <w:spacing w:after="0" w:line="240" w:lineRule="auto"/>
              <w:jc w:val="center"/>
              <w:rPr>
                <w:noProof/>
              </w:rPr>
            </w:pPr>
            <w:r>
              <w:rPr>
                <w:noProof/>
              </w:rPr>
              <w:t>Nimi</w:t>
            </w:r>
          </w:p>
        </w:tc>
        <w:tc>
          <w:tcPr>
            <w:tcW w:w="236" w:type="dxa"/>
            <w:tcBorders>
              <w:top w:val="nil"/>
              <w:left w:val="single" w:sz="4" w:space="0" w:color="auto"/>
              <w:bottom w:val="nil"/>
              <w:right w:val="nil"/>
            </w:tcBorders>
            <w:vAlign w:val="center"/>
          </w:tcPr>
          <w:p w14:paraId="62EB79A8" w14:textId="77777777" w:rsidR="00E42B18" w:rsidRDefault="00E42B18">
            <w:pPr>
              <w:spacing w:after="0" w:line="240" w:lineRule="auto"/>
              <w:rPr>
                <w:rFonts w:ascii="Times New Roman" w:eastAsia="Times New Roman" w:hAnsi="Times New Roman" w:cs="Times New Roman"/>
                <w:noProof/>
              </w:rPr>
            </w:pPr>
          </w:p>
        </w:tc>
      </w:tr>
      <w:tr w:rsidR="00E42B18" w14:paraId="380D20F2" w14:textId="77777777">
        <w:trPr>
          <w:trHeight w:val="510"/>
        </w:trPr>
        <w:tc>
          <w:tcPr>
            <w:tcW w:w="1275" w:type="dxa"/>
            <w:vMerge/>
            <w:tcBorders>
              <w:top w:val="single" w:sz="4" w:space="0" w:color="auto"/>
              <w:left w:val="single" w:sz="4" w:space="0" w:color="auto"/>
              <w:bottom w:val="single" w:sz="4" w:space="0" w:color="auto"/>
              <w:right w:val="single" w:sz="4" w:space="0" w:color="auto"/>
            </w:tcBorders>
            <w:vAlign w:val="center"/>
          </w:tcPr>
          <w:p w14:paraId="685CCD18" w14:textId="77777777" w:rsidR="00E42B18" w:rsidRDefault="00E42B18">
            <w:pPr>
              <w:spacing w:after="0" w:line="240" w:lineRule="auto"/>
              <w:jc w:val="center"/>
              <w:rPr>
                <w:rFonts w:ascii="Times New Roman" w:eastAsia="Times New Roman" w:hAnsi="Times New Roman" w:cs="Times New Roman"/>
                <w:noProof/>
              </w:rPr>
            </w:pPr>
          </w:p>
        </w:tc>
        <w:tc>
          <w:tcPr>
            <w:tcW w:w="2250" w:type="dxa"/>
            <w:vMerge/>
            <w:tcBorders>
              <w:top w:val="single" w:sz="4" w:space="0" w:color="auto"/>
              <w:left w:val="single" w:sz="4" w:space="0" w:color="auto"/>
              <w:bottom w:val="single" w:sz="4" w:space="0" w:color="auto"/>
              <w:right w:val="single" w:sz="4" w:space="0" w:color="auto"/>
            </w:tcBorders>
            <w:vAlign w:val="center"/>
          </w:tcPr>
          <w:p w14:paraId="4B350ABA" w14:textId="77777777" w:rsidR="00E42B18" w:rsidRDefault="00E42B18">
            <w:pPr>
              <w:spacing w:after="0" w:line="240" w:lineRule="auto"/>
              <w:rPr>
                <w:rFonts w:ascii="Times New Roman" w:eastAsia="Times New Roman" w:hAnsi="Times New Roman" w:cs="Times New Roman"/>
                <w:noProof/>
              </w:rPr>
            </w:pPr>
          </w:p>
        </w:tc>
        <w:tc>
          <w:tcPr>
            <w:tcW w:w="1245" w:type="dxa"/>
            <w:vMerge/>
            <w:tcBorders>
              <w:top w:val="single" w:sz="4" w:space="0" w:color="auto"/>
              <w:left w:val="single" w:sz="4" w:space="0" w:color="auto"/>
              <w:bottom w:val="single" w:sz="4" w:space="0" w:color="auto"/>
              <w:right w:val="single" w:sz="4" w:space="0" w:color="auto"/>
            </w:tcBorders>
            <w:vAlign w:val="center"/>
          </w:tcPr>
          <w:p w14:paraId="4CE968D2" w14:textId="77777777" w:rsidR="00E42B18" w:rsidRDefault="00E42B18">
            <w:pPr>
              <w:spacing w:after="0" w:line="240" w:lineRule="auto"/>
              <w:jc w:val="center"/>
              <w:rPr>
                <w:rFonts w:ascii="Times New Roman" w:eastAsia="Times New Roman" w:hAnsi="Times New Roman" w:cs="Times New Roman"/>
                <w:noProof/>
              </w:rPr>
            </w:pPr>
          </w:p>
        </w:tc>
        <w:tc>
          <w:tcPr>
            <w:tcW w:w="4589" w:type="dxa"/>
            <w:vMerge/>
            <w:tcBorders>
              <w:top w:val="single" w:sz="4" w:space="0" w:color="auto"/>
              <w:left w:val="single" w:sz="4" w:space="0" w:color="auto"/>
              <w:bottom w:val="single" w:sz="4" w:space="0" w:color="auto"/>
              <w:right w:val="single" w:sz="4" w:space="0" w:color="auto"/>
            </w:tcBorders>
            <w:vAlign w:val="center"/>
          </w:tcPr>
          <w:p w14:paraId="316725AB" w14:textId="77777777" w:rsidR="00E42B18" w:rsidRDefault="00E42B18">
            <w:pPr>
              <w:spacing w:after="0" w:line="240" w:lineRule="auto"/>
              <w:rPr>
                <w:rFonts w:ascii="Times New Roman" w:eastAsia="Times New Roman" w:hAnsi="Times New Roman" w:cs="Times New Roman"/>
                <w:noProof/>
              </w:rPr>
            </w:pPr>
          </w:p>
        </w:tc>
        <w:tc>
          <w:tcPr>
            <w:tcW w:w="236" w:type="dxa"/>
            <w:tcBorders>
              <w:top w:val="nil"/>
              <w:left w:val="single" w:sz="4" w:space="0" w:color="auto"/>
              <w:bottom w:val="nil"/>
              <w:right w:val="nil"/>
            </w:tcBorders>
            <w:vAlign w:val="center"/>
          </w:tcPr>
          <w:p w14:paraId="5D1CE1BE" w14:textId="77777777" w:rsidR="00E42B18" w:rsidRDefault="00E42B18">
            <w:pPr>
              <w:spacing w:after="0" w:line="240" w:lineRule="auto"/>
              <w:rPr>
                <w:rFonts w:ascii="Times New Roman" w:eastAsia="Times New Roman" w:hAnsi="Times New Roman" w:cs="Times New Roman"/>
                <w:noProof/>
              </w:rPr>
            </w:pPr>
          </w:p>
        </w:tc>
      </w:tr>
      <w:tr w:rsidR="00E42B18" w14:paraId="3A495F0C"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B5C578" w14:textId="77777777" w:rsidR="00E42B18" w:rsidRDefault="009629C4">
            <w:pPr>
              <w:pStyle w:val="P68B1DB1-Normal121"/>
              <w:spacing w:after="0" w:line="240" w:lineRule="auto"/>
              <w:jc w:val="center"/>
              <w:rPr>
                <w:noProof/>
              </w:rPr>
            </w:pPr>
            <w:r>
              <w:rPr>
                <w:noProof/>
              </w:rPr>
              <w:t>M1C1–51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657977" w14:textId="77777777" w:rsidR="00E42B18" w:rsidRDefault="009629C4">
            <w:pPr>
              <w:pStyle w:val="P68B1DB1-Normal121"/>
              <w:spacing w:after="0" w:line="240" w:lineRule="auto"/>
              <w:rPr>
                <w:noProof/>
              </w:rPr>
            </w:pPr>
            <w:r>
              <w:rPr>
                <w:noProof/>
              </w:rPr>
              <w:t>Uudistus 1.9: Julkishallinnon uudistaminen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F1A127"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BFFD42" w14:textId="77777777" w:rsidR="00E42B18" w:rsidRDefault="009629C4">
            <w:pPr>
              <w:pStyle w:val="P68B1DB1-Normal121"/>
              <w:spacing w:after="0" w:line="240" w:lineRule="auto"/>
              <w:rPr>
                <w:noProof/>
              </w:rPr>
            </w:pPr>
            <w:r>
              <w:rPr>
                <w:noProof/>
              </w:rPr>
              <w:t>Italian elpymis- ja palautumissuunnitelman hallinnointia koskevan primaarilainsäädännön voimaantulo</w:t>
            </w:r>
          </w:p>
        </w:tc>
        <w:tc>
          <w:tcPr>
            <w:tcW w:w="236" w:type="dxa"/>
            <w:tcBorders>
              <w:top w:val="nil"/>
              <w:left w:val="single" w:sz="4" w:space="0" w:color="auto"/>
              <w:bottom w:val="nil"/>
              <w:right w:val="nil"/>
            </w:tcBorders>
            <w:vAlign w:val="center"/>
          </w:tcPr>
          <w:p w14:paraId="39638746" w14:textId="77777777" w:rsidR="00E42B18" w:rsidRDefault="00E42B18">
            <w:pPr>
              <w:spacing w:after="0" w:line="240" w:lineRule="auto"/>
              <w:rPr>
                <w:rFonts w:ascii="Times New Roman" w:eastAsia="Times New Roman" w:hAnsi="Times New Roman" w:cs="Times New Roman"/>
                <w:noProof/>
              </w:rPr>
            </w:pPr>
          </w:p>
        </w:tc>
      </w:tr>
      <w:tr w:rsidR="00E42B18" w14:paraId="487BB41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D0284D" w14:textId="77777777" w:rsidR="00E42B18" w:rsidRDefault="009629C4">
            <w:pPr>
              <w:pStyle w:val="P68B1DB1-Normal121"/>
              <w:spacing w:after="0" w:line="240" w:lineRule="auto"/>
              <w:jc w:val="center"/>
              <w:rPr>
                <w:noProof/>
              </w:rPr>
            </w:pPr>
            <w:r>
              <w:rPr>
                <w:noProof/>
              </w:rPr>
              <w:t>M1C1–52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A6DCC0" w14:textId="77777777" w:rsidR="00E42B18" w:rsidRDefault="009629C4">
            <w:pPr>
              <w:pStyle w:val="P68B1DB1-Normal121"/>
              <w:spacing w:after="0" w:line="240" w:lineRule="auto"/>
              <w:rPr>
                <w:noProof/>
              </w:rPr>
            </w:pPr>
            <w:r>
              <w:rPr>
                <w:noProof/>
              </w:rPr>
              <w:t>Uudistus 1.9: Julkishallinnon uudistaminen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6F963A"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E31F3E" w14:textId="77777777" w:rsidR="00E42B18" w:rsidRDefault="009629C4">
            <w:pPr>
              <w:pStyle w:val="P68B1DB1-Normal121"/>
              <w:spacing w:after="0" w:line="240" w:lineRule="auto"/>
              <w:rPr>
                <w:noProof/>
              </w:rPr>
            </w:pPr>
            <w:r>
              <w:rPr>
                <w:noProof/>
              </w:rPr>
              <w:t>Italian elpymis- ja palautumissuunnitelman täytäntöönpanoa koskevien hallinnollisten menettelyjen yksinkertaistamista koskevan primaarilainsäädännön voimaantulo.</w:t>
            </w:r>
          </w:p>
        </w:tc>
        <w:tc>
          <w:tcPr>
            <w:tcW w:w="236" w:type="dxa"/>
            <w:tcBorders>
              <w:top w:val="nil"/>
              <w:left w:val="single" w:sz="4" w:space="0" w:color="auto"/>
              <w:bottom w:val="nil"/>
              <w:right w:val="nil"/>
            </w:tcBorders>
            <w:vAlign w:val="center"/>
          </w:tcPr>
          <w:p w14:paraId="5E323DDA" w14:textId="77777777" w:rsidR="00E42B18" w:rsidRDefault="00E42B18">
            <w:pPr>
              <w:spacing w:after="0" w:line="240" w:lineRule="auto"/>
              <w:rPr>
                <w:rFonts w:ascii="Times New Roman" w:eastAsia="Times New Roman" w:hAnsi="Times New Roman" w:cs="Times New Roman"/>
                <w:noProof/>
              </w:rPr>
            </w:pPr>
          </w:p>
        </w:tc>
      </w:tr>
      <w:tr w:rsidR="00E42B18" w14:paraId="182E5FEA"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94D78" w14:textId="77777777" w:rsidR="00E42B18" w:rsidRDefault="009629C4">
            <w:pPr>
              <w:pStyle w:val="P68B1DB1-Normal121"/>
              <w:spacing w:after="0" w:line="240" w:lineRule="auto"/>
              <w:jc w:val="center"/>
              <w:rPr>
                <w:noProof/>
              </w:rPr>
            </w:pPr>
            <w:r>
              <w:rPr>
                <w:noProof/>
              </w:rPr>
              <w:t>M1C1–53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DDD061" w14:textId="77777777" w:rsidR="00E42B18" w:rsidRDefault="009629C4">
            <w:pPr>
              <w:pStyle w:val="P68B1DB1-Normal121"/>
              <w:spacing w:after="0" w:line="240" w:lineRule="auto"/>
              <w:rPr>
                <w:noProof/>
              </w:rPr>
            </w:pPr>
            <w:r>
              <w:rPr>
                <w:noProof/>
              </w:rPr>
              <w:t>Investointi 1.9: Antaa teknistä apua ja vahvistaa valmiuksien kehittämistä Italian elpymis- ja palautumissuunnitelman täytäntöönpanoa varten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9006A3"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B5B562F" w14:textId="77777777" w:rsidR="00E42B18" w:rsidRDefault="009629C4">
            <w:pPr>
              <w:pStyle w:val="P68B1DB1-Normal121"/>
              <w:spacing w:after="0" w:line="240" w:lineRule="auto"/>
              <w:rPr>
                <w:noProof/>
              </w:rPr>
            </w:pPr>
            <w:r>
              <w:rPr>
                <w:noProof/>
              </w:rPr>
              <w:t>Lainsäädäntö, jolla annetaan teknistä apua ja vahvistetaan valmiuksien kehittämistä Italian elpymis- ja palautumissuunnitelman täytäntöönpanoa varten, tulee voimaan</w:t>
            </w:r>
          </w:p>
        </w:tc>
        <w:tc>
          <w:tcPr>
            <w:tcW w:w="236" w:type="dxa"/>
            <w:tcBorders>
              <w:top w:val="nil"/>
              <w:left w:val="single" w:sz="4" w:space="0" w:color="auto"/>
              <w:bottom w:val="nil"/>
              <w:right w:val="nil"/>
            </w:tcBorders>
            <w:vAlign w:val="center"/>
          </w:tcPr>
          <w:p w14:paraId="3A06210A" w14:textId="77777777" w:rsidR="00E42B18" w:rsidRDefault="00E42B18">
            <w:pPr>
              <w:spacing w:after="0" w:line="240" w:lineRule="auto"/>
              <w:rPr>
                <w:rFonts w:ascii="Times New Roman" w:eastAsia="Times New Roman" w:hAnsi="Times New Roman" w:cs="Times New Roman"/>
                <w:noProof/>
              </w:rPr>
            </w:pPr>
          </w:p>
        </w:tc>
      </w:tr>
      <w:tr w:rsidR="00E42B18" w14:paraId="1BAF5D8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226155" w14:textId="77777777" w:rsidR="00E42B18" w:rsidRDefault="009629C4">
            <w:pPr>
              <w:pStyle w:val="P68B1DB1-Normal121"/>
              <w:spacing w:after="0" w:line="240" w:lineRule="auto"/>
              <w:jc w:val="center"/>
              <w:rPr>
                <w:noProof/>
              </w:rPr>
            </w:pPr>
            <w:r>
              <w:rPr>
                <w:noProof/>
              </w:rPr>
              <w:t>M1C1–69</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FCE51A"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EDED84"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BD96FA" w14:textId="77777777" w:rsidR="00E42B18" w:rsidRDefault="009629C4">
            <w:pPr>
              <w:pStyle w:val="P68B1DB1-Normal121"/>
              <w:spacing w:after="0" w:line="240" w:lineRule="auto"/>
              <w:rPr>
                <w:noProof/>
              </w:rPr>
            </w:pPr>
            <w:r>
              <w:rPr>
                <w:noProof/>
              </w:rPr>
              <w:t>Julkisia hankintoja koskevan järjestelmän yksinkertaistamisesta annetun asetuksen voimaantulo</w:t>
            </w:r>
          </w:p>
        </w:tc>
        <w:tc>
          <w:tcPr>
            <w:tcW w:w="236" w:type="dxa"/>
            <w:tcBorders>
              <w:top w:val="nil"/>
              <w:left w:val="single" w:sz="4" w:space="0" w:color="auto"/>
              <w:bottom w:val="nil"/>
              <w:right w:val="nil"/>
            </w:tcBorders>
            <w:vAlign w:val="center"/>
          </w:tcPr>
          <w:p w14:paraId="6955CD3C" w14:textId="77777777" w:rsidR="00E42B18" w:rsidRDefault="00E42B18">
            <w:pPr>
              <w:spacing w:after="0" w:line="240" w:lineRule="auto"/>
              <w:rPr>
                <w:rFonts w:ascii="Times New Roman" w:eastAsia="Times New Roman" w:hAnsi="Times New Roman" w:cs="Times New Roman"/>
                <w:noProof/>
              </w:rPr>
            </w:pPr>
          </w:p>
        </w:tc>
      </w:tr>
      <w:tr w:rsidR="00E42B18" w14:paraId="4C1672B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A3B8A5" w14:textId="77777777" w:rsidR="00E42B18" w:rsidRDefault="009629C4">
            <w:pPr>
              <w:pStyle w:val="P68B1DB1-Normal121"/>
              <w:spacing w:after="0" w:line="240" w:lineRule="auto"/>
              <w:jc w:val="center"/>
              <w:rPr>
                <w:noProof/>
              </w:rPr>
            </w:pPr>
            <w:r>
              <w:rPr>
                <w:noProof/>
              </w:rPr>
              <w:t>M1C1–1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EF590C" w14:textId="77777777" w:rsidR="00E42B18" w:rsidRDefault="009629C4">
            <w:pPr>
              <w:pStyle w:val="P68B1DB1-Normal121"/>
              <w:spacing w:after="0" w:line="240" w:lineRule="auto"/>
              <w:rPr>
                <w:noProof/>
              </w:rPr>
            </w:pPr>
            <w:r>
              <w:rPr>
                <w:noProof/>
              </w:rPr>
              <w:t>Uudistus 1.1: Tieto- ja viestintätekniikan hankinnat</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3809A9"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5D76C3D" w14:textId="77777777" w:rsidR="00E42B18" w:rsidRDefault="009629C4">
            <w:pPr>
              <w:pStyle w:val="P68B1DB1-Normal121"/>
              <w:spacing w:after="0" w:line="240" w:lineRule="auto"/>
              <w:rPr>
                <w:noProof/>
              </w:rPr>
            </w:pPr>
            <w:r>
              <w:rPr>
                <w:noProof/>
              </w:rPr>
              <w:t>Lakiasetusten voimaantulo uudistuksessa 1.1 ”Tieto- ja viestintätekniikan hankinnat”</w:t>
            </w:r>
          </w:p>
        </w:tc>
        <w:tc>
          <w:tcPr>
            <w:tcW w:w="236" w:type="dxa"/>
            <w:tcBorders>
              <w:top w:val="nil"/>
              <w:left w:val="single" w:sz="4" w:space="0" w:color="auto"/>
              <w:bottom w:val="nil"/>
              <w:right w:val="nil"/>
            </w:tcBorders>
            <w:vAlign w:val="center"/>
          </w:tcPr>
          <w:p w14:paraId="146043D1" w14:textId="77777777" w:rsidR="00E42B18" w:rsidRDefault="00E42B18">
            <w:pPr>
              <w:spacing w:after="0" w:line="240" w:lineRule="auto"/>
              <w:rPr>
                <w:rFonts w:ascii="Times New Roman" w:eastAsia="Times New Roman" w:hAnsi="Times New Roman" w:cs="Times New Roman"/>
                <w:noProof/>
              </w:rPr>
            </w:pPr>
          </w:p>
        </w:tc>
      </w:tr>
      <w:tr w:rsidR="00E42B18" w14:paraId="20C06C56"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3C468E" w14:textId="77777777" w:rsidR="00E42B18" w:rsidRDefault="009629C4">
            <w:pPr>
              <w:pStyle w:val="P68B1DB1-Normal121"/>
              <w:spacing w:after="0" w:line="240" w:lineRule="auto"/>
              <w:jc w:val="center"/>
              <w:rPr>
                <w:noProof/>
              </w:rPr>
            </w:pPr>
            <w:r>
              <w:rPr>
                <w:noProof/>
              </w:rPr>
              <w:t>M1C1–2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6B6829" w14:textId="77777777" w:rsidR="00E42B18" w:rsidRDefault="009629C4">
            <w:pPr>
              <w:pStyle w:val="P68B1DB1-Normal121"/>
              <w:spacing w:after="0" w:line="240" w:lineRule="auto"/>
              <w:rPr>
                <w:noProof/>
              </w:rPr>
            </w:pPr>
            <w:r>
              <w:rPr>
                <w:noProof/>
              </w:rPr>
              <w:t>Uudistus 1.3: Pilvipalvelut etusijalle ja yhteentoimivuus</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87DE0A"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5DE3BF" w14:textId="77777777" w:rsidR="00E42B18" w:rsidRDefault="009629C4">
            <w:pPr>
              <w:pStyle w:val="P68B1DB1-Normal121"/>
              <w:spacing w:after="0" w:line="240" w:lineRule="auto"/>
              <w:rPr>
                <w:noProof/>
              </w:rPr>
            </w:pPr>
            <w:r>
              <w:rPr>
                <w:noProof/>
              </w:rPr>
              <w:t>Uudistusta 1.3 ”Pilvi ensin ja yhteentoimivuus” koskevien lakien voimaantulo</w:t>
            </w:r>
          </w:p>
        </w:tc>
        <w:tc>
          <w:tcPr>
            <w:tcW w:w="236" w:type="dxa"/>
            <w:tcBorders>
              <w:top w:val="nil"/>
              <w:left w:val="single" w:sz="4" w:space="0" w:color="auto"/>
              <w:bottom w:val="nil"/>
              <w:right w:val="nil"/>
            </w:tcBorders>
            <w:vAlign w:val="center"/>
          </w:tcPr>
          <w:p w14:paraId="75F7067A" w14:textId="77777777" w:rsidR="00E42B18" w:rsidRDefault="00E42B18">
            <w:pPr>
              <w:spacing w:after="0" w:line="240" w:lineRule="auto"/>
              <w:rPr>
                <w:rFonts w:ascii="Times New Roman" w:eastAsia="Times New Roman" w:hAnsi="Times New Roman" w:cs="Times New Roman"/>
                <w:noProof/>
              </w:rPr>
            </w:pPr>
          </w:p>
        </w:tc>
      </w:tr>
      <w:tr w:rsidR="00E42B18" w14:paraId="7FE9A94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08D605" w14:textId="77777777" w:rsidR="00E42B18" w:rsidRDefault="009629C4">
            <w:pPr>
              <w:pStyle w:val="P68B1DB1-Normal121"/>
              <w:spacing w:after="0" w:line="240" w:lineRule="auto"/>
              <w:jc w:val="center"/>
              <w:rPr>
                <w:noProof/>
              </w:rPr>
            </w:pPr>
            <w:r>
              <w:rPr>
                <w:noProof/>
              </w:rPr>
              <w:t>M1C1–29</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0728D4" w14:textId="77777777" w:rsidR="00E42B18" w:rsidRDefault="009629C4">
            <w:pPr>
              <w:pStyle w:val="P68B1DB1-Normal121"/>
              <w:spacing w:after="0" w:line="240" w:lineRule="auto"/>
              <w:rPr>
                <w:noProof/>
              </w:rPr>
            </w:pPr>
            <w:r>
              <w:rPr>
                <w:noProof/>
              </w:rPr>
              <w:t>Uudistus 1.4: Siviilioikeuden uudistaminen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B60A87"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BEE21D" w14:textId="77777777" w:rsidR="00E42B18" w:rsidRDefault="009629C4">
            <w:pPr>
              <w:pStyle w:val="P68B1DB1-Normal121"/>
              <w:spacing w:after="0" w:line="240" w:lineRule="auto"/>
              <w:rPr>
                <w:noProof/>
              </w:rPr>
            </w:pPr>
            <w:r>
              <w:rPr>
                <w:noProof/>
              </w:rPr>
              <w:t>Siviilioikeuden uudistusta koskevan mahdollistavan lainsäädännön voimaantulo</w:t>
            </w:r>
          </w:p>
        </w:tc>
        <w:tc>
          <w:tcPr>
            <w:tcW w:w="236" w:type="dxa"/>
            <w:tcBorders>
              <w:top w:val="nil"/>
              <w:left w:val="single" w:sz="4" w:space="0" w:color="auto"/>
              <w:bottom w:val="nil"/>
              <w:right w:val="nil"/>
            </w:tcBorders>
            <w:vAlign w:val="center"/>
          </w:tcPr>
          <w:p w14:paraId="2BF56327" w14:textId="77777777" w:rsidR="00E42B18" w:rsidRDefault="00E42B18">
            <w:pPr>
              <w:spacing w:after="0" w:line="240" w:lineRule="auto"/>
              <w:rPr>
                <w:rFonts w:ascii="Times New Roman" w:eastAsia="Times New Roman" w:hAnsi="Times New Roman" w:cs="Times New Roman"/>
                <w:noProof/>
              </w:rPr>
            </w:pPr>
          </w:p>
        </w:tc>
      </w:tr>
      <w:tr w:rsidR="00E42B18" w14:paraId="6294D8C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1102E2" w14:textId="77777777" w:rsidR="00E42B18" w:rsidRDefault="009629C4">
            <w:pPr>
              <w:pStyle w:val="P68B1DB1-Normal121"/>
              <w:spacing w:after="0" w:line="240" w:lineRule="auto"/>
              <w:jc w:val="center"/>
              <w:rPr>
                <w:noProof/>
              </w:rPr>
            </w:pPr>
            <w:r>
              <w:rPr>
                <w:noProof/>
              </w:rPr>
              <w:t>M1C1–30</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A86129" w14:textId="77777777" w:rsidR="00E42B18" w:rsidRDefault="009629C4">
            <w:pPr>
              <w:pStyle w:val="P68B1DB1-Normal121"/>
              <w:spacing w:after="0" w:line="240" w:lineRule="auto"/>
              <w:rPr>
                <w:noProof/>
              </w:rPr>
            </w:pPr>
            <w:r>
              <w:rPr>
                <w:noProof/>
              </w:rPr>
              <w:t>Uudistus 1.5: Rikosoikeuden uudistaminen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A41931"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674896" w14:textId="77777777" w:rsidR="00E42B18" w:rsidRDefault="009629C4">
            <w:pPr>
              <w:pStyle w:val="P68B1DB1-Normal121"/>
              <w:spacing w:after="0" w:line="240" w:lineRule="auto"/>
              <w:rPr>
                <w:noProof/>
              </w:rPr>
            </w:pPr>
            <w:r>
              <w:rPr>
                <w:noProof/>
              </w:rPr>
              <w:t>Rikosoikeusuudistusta koskevan mahdollistavan lainsäädännön voimaantulo</w:t>
            </w:r>
          </w:p>
        </w:tc>
        <w:tc>
          <w:tcPr>
            <w:tcW w:w="236" w:type="dxa"/>
            <w:tcBorders>
              <w:top w:val="nil"/>
              <w:left w:val="single" w:sz="4" w:space="0" w:color="auto"/>
              <w:bottom w:val="nil"/>
              <w:right w:val="nil"/>
            </w:tcBorders>
            <w:vAlign w:val="center"/>
          </w:tcPr>
          <w:p w14:paraId="6A588FE3" w14:textId="77777777" w:rsidR="00E42B18" w:rsidRDefault="00E42B18">
            <w:pPr>
              <w:spacing w:after="0" w:line="240" w:lineRule="auto"/>
              <w:rPr>
                <w:rFonts w:ascii="Times New Roman" w:eastAsia="Times New Roman" w:hAnsi="Times New Roman" w:cs="Times New Roman"/>
                <w:noProof/>
              </w:rPr>
            </w:pPr>
          </w:p>
        </w:tc>
      </w:tr>
      <w:tr w:rsidR="00E42B18" w14:paraId="6E82A47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4DE214" w14:textId="77777777" w:rsidR="00E42B18" w:rsidRDefault="009629C4">
            <w:pPr>
              <w:pStyle w:val="P68B1DB1-Normal121"/>
              <w:spacing w:after="0" w:line="240" w:lineRule="auto"/>
              <w:jc w:val="center"/>
              <w:rPr>
                <w:noProof/>
              </w:rPr>
            </w:pPr>
            <w:r>
              <w:rPr>
                <w:noProof/>
              </w:rPr>
              <w:t>M1C1–31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E6D62E" w14:textId="77777777" w:rsidR="00E42B18" w:rsidRDefault="009629C4">
            <w:pPr>
              <w:pStyle w:val="P68B1DB1-Normal121"/>
              <w:spacing w:after="0" w:line="240" w:lineRule="auto"/>
              <w:rPr>
                <w:noProof/>
              </w:rPr>
            </w:pPr>
            <w:r>
              <w:rPr>
                <w:noProof/>
              </w:rPr>
              <w:t>Uudistus 1.6: Maksukyvyttömyyskehyksen uudistaminen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B39666"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39DC948" w14:textId="77777777" w:rsidR="00E42B18" w:rsidRDefault="009629C4">
            <w:pPr>
              <w:pStyle w:val="P68B1DB1-Normal121"/>
              <w:spacing w:after="0" w:line="240" w:lineRule="auto"/>
              <w:rPr>
                <w:noProof/>
              </w:rPr>
            </w:pPr>
            <w:r>
              <w:rPr>
                <w:noProof/>
              </w:rPr>
              <w:t>Maksukyvyttömyyttä koskevan uudistuskehyksen mahdollistavan lainsäädännön voimaantulo</w:t>
            </w:r>
          </w:p>
        </w:tc>
        <w:tc>
          <w:tcPr>
            <w:tcW w:w="236" w:type="dxa"/>
            <w:tcBorders>
              <w:top w:val="nil"/>
              <w:left w:val="single" w:sz="4" w:space="0" w:color="auto"/>
              <w:bottom w:val="nil"/>
              <w:right w:val="nil"/>
            </w:tcBorders>
            <w:vAlign w:val="center"/>
          </w:tcPr>
          <w:p w14:paraId="473F9D4E" w14:textId="77777777" w:rsidR="00E42B18" w:rsidRDefault="00E42B18">
            <w:pPr>
              <w:spacing w:after="0" w:line="240" w:lineRule="auto"/>
              <w:rPr>
                <w:rFonts w:ascii="Times New Roman" w:eastAsia="Times New Roman" w:hAnsi="Times New Roman" w:cs="Times New Roman"/>
                <w:noProof/>
              </w:rPr>
            </w:pPr>
          </w:p>
        </w:tc>
      </w:tr>
      <w:tr w:rsidR="00E42B18" w14:paraId="76E332D6"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ECF926" w14:textId="77777777" w:rsidR="00E42B18" w:rsidRDefault="009629C4">
            <w:pPr>
              <w:pStyle w:val="P68B1DB1-Normal121"/>
              <w:spacing w:after="0" w:line="240" w:lineRule="auto"/>
              <w:jc w:val="center"/>
              <w:rPr>
                <w:noProof/>
              </w:rPr>
            </w:pPr>
            <w:r>
              <w:rPr>
                <w:noProof/>
              </w:rPr>
              <w:t>M1C1–32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1EE106" w14:textId="77777777" w:rsidR="00E42B18" w:rsidRDefault="009629C4">
            <w:pPr>
              <w:pStyle w:val="P68B1DB1-Normal121"/>
              <w:spacing w:after="0" w:line="240" w:lineRule="auto"/>
              <w:rPr>
                <w:noProof/>
              </w:rPr>
            </w:pPr>
            <w:r>
              <w:rPr>
                <w:noProof/>
              </w:rPr>
              <w:t>Investointi 1.8: Palvelukseenottomenettelyt siviili-, rikos- ja hallintotuomioistuimissa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5AB8230"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AE5190" w14:textId="77777777" w:rsidR="00E42B18" w:rsidRDefault="009629C4">
            <w:pPr>
              <w:pStyle w:val="P68B1DB1-Normal121"/>
              <w:spacing w:after="0" w:line="240" w:lineRule="auto"/>
              <w:rPr>
                <w:noProof/>
              </w:rPr>
            </w:pPr>
            <w:r>
              <w:rPr>
                <w:noProof/>
              </w:rPr>
              <w:t>Kansallisen elpymis- ja palautumissuunnitelman palvelukseen ottamista koskevan erityislainsäädännön voimaantulo</w:t>
            </w:r>
          </w:p>
        </w:tc>
        <w:tc>
          <w:tcPr>
            <w:tcW w:w="236" w:type="dxa"/>
            <w:tcBorders>
              <w:top w:val="nil"/>
              <w:left w:val="single" w:sz="4" w:space="0" w:color="auto"/>
              <w:bottom w:val="nil"/>
              <w:right w:val="nil"/>
            </w:tcBorders>
            <w:vAlign w:val="center"/>
          </w:tcPr>
          <w:p w14:paraId="5D7BF141" w14:textId="77777777" w:rsidR="00E42B18" w:rsidRDefault="00E42B18">
            <w:pPr>
              <w:spacing w:after="0" w:line="240" w:lineRule="auto"/>
              <w:rPr>
                <w:rFonts w:ascii="Times New Roman" w:eastAsia="Times New Roman" w:hAnsi="Times New Roman" w:cs="Times New Roman"/>
                <w:noProof/>
              </w:rPr>
            </w:pPr>
          </w:p>
        </w:tc>
      </w:tr>
      <w:tr w:rsidR="00E42B18" w14:paraId="12B5A3F8"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222EFC" w14:textId="77777777" w:rsidR="00E42B18" w:rsidRDefault="009629C4">
            <w:pPr>
              <w:pStyle w:val="P68B1DB1-Normal121"/>
              <w:spacing w:after="0" w:line="240" w:lineRule="auto"/>
              <w:jc w:val="center"/>
              <w:rPr>
                <w:noProof/>
              </w:rPr>
            </w:pPr>
            <w:r>
              <w:rPr>
                <w:noProof/>
              </w:rPr>
              <w:t>M1C1–54</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713B1D" w14:textId="77777777" w:rsidR="00E42B18" w:rsidRDefault="009629C4">
            <w:pPr>
              <w:pStyle w:val="P68B1DB1-Normal121"/>
              <w:spacing w:after="0" w:line="240" w:lineRule="auto"/>
              <w:rPr>
                <w:noProof/>
              </w:rPr>
            </w:pPr>
            <w:r>
              <w:rPr>
                <w:noProof/>
              </w:rPr>
              <w:t>Investointi 1.9: Antaa teknistä apua ja vahvistaa valmiuksien kehittämistä Italian elpymis- ja palautumissuunnitelman täytäntöönpanoa varten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F5788B" w14:textId="77777777" w:rsidR="00E42B18" w:rsidRDefault="009629C4">
            <w:pPr>
              <w:pStyle w:val="P68B1DB1-Normal121"/>
              <w:spacing w:after="0" w:line="240" w:lineRule="auto"/>
              <w:jc w:val="center"/>
              <w:rPr>
                <w:noProof/>
              </w:rPr>
            </w:pPr>
            <w:r>
              <w:rPr>
                <w:noProof/>
              </w:rPr>
              <w:t>Kohde</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1E1808" w14:textId="77777777" w:rsidR="00E42B18" w:rsidRDefault="009629C4">
            <w:pPr>
              <w:pStyle w:val="P68B1DB1-Normal121"/>
              <w:spacing w:after="0" w:line="240" w:lineRule="auto"/>
              <w:rPr>
                <w:noProof/>
              </w:rPr>
            </w:pPr>
            <w:r>
              <w:rPr>
                <w:noProof/>
              </w:rPr>
              <w:t>Saatettu päätökseen asiantuntijoiden rekrytointi Italian elpymis- ja palautumissuunnitelman täytäntöönpanoa varten</w:t>
            </w:r>
          </w:p>
        </w:tc>
        <w:tc>
          <w:tcPr>
            <w:tcW w:w="236" w:type="dxa"/>
            <w:tcBorders>
              <w:top w:val="nil"/>
              <w:left w:val="single" w:sz="4" w:space="0" w:color="auto"/>
              <w:bottom w:val="nil"/>
              <w:right w:val="nil"/>
            </w:tcBorders>
            <w:vAlign w:val="center"/>
          </w:tcPr>
          <w:p w14:paraId="4A8CB2D6" w14:textId="77777777" w:rsidR="00E42B18" w:rsidRDefault="00E42B18">
            <w:pPr>
              <w:spacing w:after="0" w:line="240" w:lineRule="auto"/>
              <w:rPr>
                <w:rFonts w:ascii="Times New Roman" w:eastAsia="Times New Roman" w:hAnsi="Times New Roman" w:cs="Times New Roman"/>
                <w:noProof/>
              </w:rPr>
            </w:pPr>
          </w:p>
        </w:tc>
      </w:tr>
      <w:tr w:rsidR="00E42B18" w14:paraId="4B10D174"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602DF8" w14:textId="77777777" w:rsidR="00E42B18" w:rsidRDefault="009629C4">
            <w:pPr>
              <w:pStyle w:val="P68B1DB1-Normal121"/>
              <w:spacing w:after="0" w:line="240" w:lineRule="auto"/>
              <w:jc w:val="center"/>
              <w:rPr>
                <w:noProof/>
              </w:rPr>
            </w:pPr>
            <w:r>
              <w:rPr>
                <w:noProof/>
              </w:rPr>
              <w:t>M1C1–55</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D06ADE" w14:textId="77777777" w:rsidR="00E42B18" w:rsidRDefault="009629C4">
            <w:pPr>
              <w:pStyle w:val="P68B1DB1-Normal121"/>
              <w:spacing w:after="0" w:line="240" w:lineRule="auto"/>
              <w:rPr>
                <w:noProof/>
              </w:rPr>
            </w:pPr>
            <w:r>
              <w:rPr>
                <w:noProof/>
              </w:rPr>
              <w:t>Uudistus 1.9: Julkishallinnon uudistaminen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A0B671"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83E730" w14:textId="77777777" w:rsidR="00E42B18" w:rsidRDefault="009629C4">
            <w:pPr>
              <w:pStyle w:val="P68B1DB1-Normal121"/>
              <w:spacing w:after="0" w:line="240" w:lineRule="auto"/>
              <w:rPr>
                <w:noProof/>
              </w:rPr>
            </w:pPr>
            <w:r>
              <w:rPr>
                <w:noProof/>
              </w:rPr>
              <w:t>Italian elpymis- ja palautumissuunnitelmaan sovellettavan menetelmän laajentaminen kansalliseen talousarvioon investointien käyttöasteen lisäämiseksi</w:t>
            </w:r>
          </w:p>
        </w:tc>
        <w:tc>
          <w:tcPr>
            <w:tcW w:w="236" w:type="dxa"/>
            <w:tcBorders>
              <w:top w:val="nil"/>
              <w:left w:val="single" w:sz="4" w:space="0" w:color="auto"/>
              <w:bottom w:val="nil"/>
              <w:right w:val="nil"/>
            </w:tcBorders>
            <w:vAlign w:val="center"/>
          </w:tcPr>
          <w:p w14:paraId="564909FB" w14:textId="77777777" w:rsidR="00E42B18" w:rsidRDefault="00E42B18">
            <w:pPr>
              <w:spacing w:after="0" w:line="240" w:lineRule="auto"/>
              <w:rPr>
                <w:rFonts w:ascii="Times New Roman" w:eastAsia="Times New Roman" w:hAnsi="Times New Roman" w:cs="Times New Roman"/>
                <w:noProof/>
              </w:rPr>
            </w:pPr>
          </w:p>
        </w:tc>
      </w:tr>
      <w:tr w:rsidR="00E42B18" w14:paraId="1186F102"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401EDD" w14:textId="77777777" w:rsidR="00E42B18" w:rsidRDefault="009629C4">
            <w:pPr>
              <w:pStyle w:val="P68B1DB1-Normal121"/>
              <w:spacing w:after="0" w:line="240" w:lineRule="auto"/>
              <w:jc w:val="center"/>
              <w:rPr>
                <w:noProof/>
              </w:rPr>
            </w:pPr>
            <w:r>
              <w:rPr>
                <w:noProof/>
              </w:rPr>
              <w:t>M1C1–68</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9ECE851" w14:textId="77777777" w:rsidR="00E42B18" w:rsidRDefault="009629C4">
            <w:pPr>
              <w:pStyle w:val="P68B1DB1-Normal121"/>
              <w:spacing w:after="0" w:line="240" w:lineRule="auto"/>
              <w:rPr>
                <w:noProof/>
              </w:rPr>
            </w:pPr>
            <w:r>
              <w:rPr>
                <w:noProof/>
              </w:rPr>
              <w:t>Uudistus 1.9: Julkishallinnon uudistaminen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9931B5"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14D522" w14:textId="77777777" w:rsidR="00E42B18" w:rsidRDefault="009629C4">
            <w:pPr>
              <w:pStyle w:val="P68B1DB1-Normal121"/>
              <w:spacing w:after="0" w:line="240" w:lineRule="auto"/>
              <w:rPr>
                <w:noProof/>
              </w:rPr>
            </w:pPr>
            <w:r>
              <w:rPr>
                <w:noProof/>
              </w:rPr>
              <w:t>Tarkastus- ja valvontatietojärjestelmä: elpymis- ja palautumistukivälineen täytäntöönpanon seurantaa koskevat tiedot</w:t>
            </w:r>
          </w:p>
        </w:tc>
        <w:tc>
          <w:tcPr>
            <w:tcW w:w="236" w:type="dxa"/>
            <w:tcBorders>
              <w:top w:val="nil"/>
              <w:left w:val="single" w:sz="4" w:space="0" w:color="auto"/>
              <w:bottom w:val="nil"/>
              <w:right w:val="nil"/>
            </w:tcBorders>
            <w:vAlign w:val="center"/>
          </w:tcPr>
          <w:p w14:paraId="5A412DCD" w14:textId="77777777" w:rsidR="00E42B18" w:rsidRDefault="00E42B18">
            <w:pPr>
              <w:spacing w:after="0" w:line="240" w:lineRule="auto"/>
              <w:rPr>
                <w:rFonts w:ascii="Times New Roman" w:eastAsia="Times New Roman" w:hAnsi="Times New Roman" w:cs="Times New Roman"/>
                <w:noProof/>
              </w:rPr>
            </w:pPr>
          </w:p>
        </w:tc>
      </w:tr>
      <w:tr w:rsidR="00E42B18" w14:paraId="2B23FCF3"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D8A3E9" w14:textId="77777777" w:rsidR="00E42B18" w:rsidRDefault="009629C4">
            <w:pPr>
              <w:pStyle w:val="P68B1DB1-Normal121"/>
              <w:spacing w:after="0" w:line="240" w:lineRule="auto"/>
              <w:jc w:val="center"/>
              <w:rPr>
                <w:noProof/>
              </w:rPr>
            </w:pPr>
            <w:r>
              <w:rPr>
                <w:noProof/>
              </w:rPr>
              <w:t>M1C1–71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14CE61"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3E2393"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E7968E" w14:textId="77777777" w:rsidR="00E42B18" w:rsidRDefault="009629C4">
            <w:pPr>
              <w:pStyle w:val="P68B1DB1-Normal121"/>
              <w:spacing w:after="0" w:line="240" w:lineRule="auto"/>
              <w:rPr>
                <w:noProof/>
              </w:rPr>
            </w:pPr>
            <w:r>
              <w:rPr>
                <w:noProof/>
              </w:rPr>
              <w:t>Julkisia hankintoja koskevan järjestelmän kannalta tarpeellisten lakien, asetusten ja täytäntöönpanosäädösten (myös johdetun oikeuden) voimaantulo</w:t>
            </w:r>
          </w:p>
        </w:tc>
        <w:tc>
          <w:tcPr>
            <w:tcW w:w="236" w:type="dxa"/>
            <w:tcBorders>
              <w:top w:val="nil"/>
              <w:left w:val="single" w:sz="4" w:space="0" w:color="auto"/>
              <w:bottom w:val="nil"/>
              <w:right w:val="nil"/>
            </w:tcBorders>
            <w:vAlign w:val="center"/>
          </w:tcPr>
          <w:p w14:paraId="6C87A724" w14:textId="77777777" w:rsidR="00E42B18" w:rsidRDefault="00E42B18">
            <w:pPr>
              <w:spacing w:after="0" w:line="240" w:lineRule="auto"/>
              <w:rPr>
                <w:rFonts w:ascii="Times New Roman" w:eastAsia="Times New Roman" w:hAnsi="Times New Roman" w:cs="Times New Roman"/>
                <w:noProof/>
              </w:rPr>
            </w:pPr>
          </w:p>
        </w:tc>
      </w:tr>
      <w:tr w:rsidR="00E42B18" w14:paraId="4277BA55"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ABCD45" w14:textId="77777777" w:rsidR="00E42B18" w:rsidRDefault="009629C4">
            <w:pPr>
              <w:pStyle w:val="P68B1DB1-Normal121"/>
              <w:spacing w:after="0" w:line="240" w:lineRule="auto"/>
              <w:jc w:val="center"/>
              <w:rPr>
                <w:noProof/>
              </w:rPr>
            </w:pPr>
            <w:r>
              <w:rPr>
                <w:noProof/>
              </w:rPr>
              <w:t>M1C1–100</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EEA57C" w14:textId="77777777" w:rsidR="00E42B18" w:rsidRDefault="009629C4">
            <w:pPr>
              <w:pStyle w:val="P68B1DB1-Normal121"/>
              <w:spacing w:after="0" w:line="240" w:lineRule="auto"/>
              <w:rPr>
                <w:noProof/>
              </w:rPr>
            </w:pPr>
            <w:r>
              <w:rPr>
                <w:noProof/>
              </w:rPr>
              <w:t>Uudistus 1.13: Menojen uudelleentarkastelua koskevan kehyksen uudistaminen</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4F6295"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85D47C" w14:textId="77777777" w:rsidR="00E42B18" w:rsidRDefault="009629C4">
            <w:pPr>
              <w:pStyle w:val="P68B1DB1-Normal121"/>
              <w:spacing w:after="0" w:line="240" w:lineRule="auto"/>
              <w:rPr>
                <w:noProof/>
              </w:rPr>
            </w:pPr>
            <w:r>
              <w:rPr>
                <w:noProof/>
              </w:rPr>
              <w:t>Menojen uudelleentarkastelun tehokkuutta parantavien säännösten voimaantulo – valtiovarainministeriön vahvistaminen</w:t>
            </w:r>
          </w:p>
        </w:tc>
        <w:tc>
          <w:tcPr>
            <w:tcW w:w="236" w:type="dxa"/>
            <w:tcBorders>
              <w:top w:val="nil"/>
              <w:left w:val="single" w:sz="4" w:space="0" w:color="auto"/>
              <w:bottom w:val="nil"/>
              <w:right w:val="nil"/>
            </w:tcBorders>
            <w:vAlign w:val="center"/>
          </w:tcPr>
          <w:p w14:paraId="3235512B" w14:textId="77777777" w:rsidR="00E42B18" w:rsidRDefault="00E42B18">
            <w:pPr>
              <w:spacing w:after="0" w:line="240" w:lineRule="auto"/>
              <w:rPr>
                <w:rFonts w:ascii="Times New Roman" w:eastAsia="Times New Roman" w:hAnsi="Times New Roman" w:cs="Times New Roman"/>
                <w:noProof/>
              </w:rPr>
            </w:pPr>
          </w:p>
        </w:tc>
      </w:tr>
      <w:tr w:rsidR="00E42B18" w14:paraId="51B8AFA1"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34354F" w14:textId="77777777" w:rsidR="00E42B18" w:rsidRDefault="009629C4">
            <w:pPr>
              <w:pStyle w:val="P68B1DB1-Normal121"/>
              <w:spacing w:after="0" w:line="240" w:lineRule="auto"/>
              <w:jc w:val="center"/>
              <w:rPr>
                <w:noProof/>
              </w:rPr>
            </w:pPr>
            <w:r>
              <w:rPr>
                <w:noProof/>
              </w:rPr>
              <w:t>M1C1–101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EDD6CB" w14:textId="77777777" w:rsidR="00E42B18" w:rsidRDefault="009629C4">
            <w:pPr>
              <w:pStyle w:val="P68B1DB1-Normal121"/>
              <w:spacing w:after="0" w:line="240" w:lineRule="auto"/>
              <w:rPr>
                <w:noProof/>
              </w:rPr>
            </w:pPr>
            <w:r>
              <w:rPr>
                <w:noProof/>
              </w:rPr>
              <w:t xml:space="preserve">Uudistus 1.12: Verohallinnon uudistaminen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55DAFA"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BE6943" w14:textId="77777777" w:rsidR="00E42B18" w:rsidRDefault="009629C4">
            <w:pPr>
              <w:pStyle w:val="P68B1DB1-Normal121"/>
              <w:spacing w:after="0" w:line="240" w:lineRule="auto"/>
              <w:rPr>
                <w:noProof/>
              </w:rPr>
            </w:pPr>
            <w:r>
              <w:rPr>
                <w:noProof/>
              </w:rPr>
              <w:t>Veronkierron vähentämiseen tähtäävien mahdollisten toimien uudelleentarkastelun hyväksyminen</w:t>
            </w:r>
          </w:p>
        </w:tc>
        <w:tc>
          <w:tcPr>
            <w:tcW w:w="236" w:type="dxa"/>
            <w:tcBorders>
              <w:top w:val="nil"/>
              <w:left w:val="single" w:sz="4" w:space="0" w:color="auto"/>
              <w:bottom w:val="nil"/>
              <w:right w:val="nil"/>
            </w:tcBorders>
            <w:vAlign w:val="center"/>
          </w:tcPr>
          <w:p w14:paraId="39D8EAE9" w14:textId="77777777" w:rsidR="00E42B18" w:rsidRDefault="00E42B18">
            <w:pPr>
              <w:spacing w:after="0" w:line="240" w:lineRule="auto"/>
              <w:rPr>
                <w:rFonts w:ascii="Times New Roman" w:eastAsia="Times New Roman" w:hAnsi="Times New Roman" w:cs="Times New Roman"/>
                <w:noProof/>
              </w:rPr>
            </w:pPr>
          </w:p>
        </w:tc>
      </w:tr>
      <w:tr w:rsidR="00E42B18" w14:paraId="12D63B53"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369C2A" w14:textId="77777777" w:rsidR="00E42B18" w:rsidRDefault="009629C4">
            <w:pPr>
              <w:pStyle w:val="P68B1DB1-Normal121"/>
              <w:spacing w:after="0" w:line="240" w:lineRule="auto"/>
              <w:jc w:val="center"/>
              <w:rPr>
                <w:noProof/>
              </w:rPr>
            </w:pPr>
            <w:r>
              <w:rPr>
                <w:noProof/>
              </w:rPr>
              <w:t>M1C2–1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11C796" w14:textId="77777777" w:rsidR="00E42B18" w:rsidRDefault="009629C4">
            <w:pPr>
              <w:pStyle w:val="P68B1DB1-Normal121"/>
              <w:spacing w:after="0" w:line="240" w:lineRule="auto"/>
              <w:rPr>
                <w:noProof/>
              </w:rPr>
            </w:pPr>
            <w:r>
              <w:rPr>
                <w:noProof/>
              </w:rPr>
              <w:t>Investointi 1: Siirtymä 4.0</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226E2E"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E9A663" w14:textId="77777777" w:rsidR="00E42B18" w:rsidRDefault="009629C4">
            <w:pPr>
              <w:pStyle w:val="P68B1DB1-Normal121"/>
              <w:spacing w:after="0" w:line="240" w:lineRule="auto"/>
              <w:rPr>
                <w:noProof/>
              </w:rPr>
            </w:pPr>
            <w:r>
              <w:rPr>
                <w:noProof/>
              </w:rPr>
              <w:t>Siirtymäkauden 4.0 verohyvitysten asettamista mahdollisten tuensaajien saataville koskevien säädösten voimaantulo ja tieteellisen komitean perustaminen</w:t>
            </w:r>
          </w:p>
        </w:tc>
        <w:tc>
          <w:tcPr>
            <w:tcW w:w="236" w:type="dxa"/>
            <w:tcBorders>
              <w:top w:val="nil"/>
              <w:left w:val="single" w:sz="4" w:space="0" w:color="auto"/>
              <w:bottom w:val="nil"/>
              <w:right w:val="nil"/>
            </w:tcBorders>
            <w:vAlign w:val="center"/>
          </w:tcPr>
          <w:p w14:paraId="59A10F56" w14:textId="77777777" w:rsidR="00E42B18" w:rsidRDefault="00E42B18">
            <w:pPr>
              <w:spacing w:after="0" w:line="240" w:lineRule="auto"/>
              <w:rPr>
                <w:rFonts w:ascii="Times New Roman" w:eastAsia="Times New Roman" w:hAnsi="Times New Roman" w:cs="Times New Roman"/>
                <w:noProof/>
              </w:rPr>
            </w:pPr>
          </w:p>
        </w:tc>
      </w:tr>
      <w:tr w:rsidR="00E42B18" w14:paraId="5EE0617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E93E7" w14:textId="77777777" w:rsidR="00E42B18" w:rsidRDefault="009629C4">
            <w:pPr>
              <w:pStyle w:val="P68B1DB1-Normal121"/>
              <w:spacing w:after="0" w:line="240" w:lineRule="auto"/>
              <w:jc w:val="center"/>
              <w:rPr>
                <w:noProof/>
              </w:rPr>
            </w:pPr>
            <w:r>
              <w:rPr>
                <w:noProof/>
              </w:rPr>
              <w:t>M1C3–8</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CD9F7" w14:textId="77777777" w:rsidR="00E42B18" w:rsidRDefault="009629C4">
            <w:pPr>
              <w:pStyle w:val="P68B1DB1-Normal121"/>
              <w:spacing w:after="0" w:line="240" w:lineRule="auto"/>
              <w:rPr>
                <w:noProof/>
              </w:rPr>
            </w:pPr>
            <w:r>
              <w:rPr>
                <w:noProof/>
              </w:rPr>
              <w:t>Investoinnit – 4.1 Digitaalisen matkailun keskus</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F2926E"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E83432" w14:textId="77777777" w:rsidR="00E42B18" w:rsidRDefault="009629C4">
            <w:pPr>
              <w:pStyle w:val="P68B1DB1-Normal121"/>
              <w:spacing w:after="0" w:line="240" w:lineRule="auto"/>
              <w:rPr>
                <w:noProof/>
              </w:rPr>
            </w:pPr>
            <w:r>
              <w:rPr>
                <w:noProof/>
              </w:rPr>
              <w:t>Sopimusten tekeminen matkailun digitaalisen portaalin kehittämiseksi</w:t>
            </w:r>
          </w:p>
        </w:tc>
        <w:tc>
          <w:tcPr>
            <w:tcW w:w="236" w:type="dxa"/>
            <w:tcBorders>
              <w:top w:val="nil"/>
              <w:left w:val="single" w:sz="4" w:space="0" w:color="auto"/>
              <w:bottom w:val="nil"/>
              <w:right w:val="nil"/>
            </w:tcBorders>
            <w:vAlign w:val="center"/>
          </w:tcPr>
          <w:p w14:paraId="0827186A" w14:textId="77777777" w:rsidR="00E42B18" w:rsidRDefault="00E42B18">
            <w:pPr>
              <w:spacing w:after="0" w:line="240" w:lineRule="auto"/>
              <w:rPr>
                <w:rFonts w:ascii="Times New Roman" w:eastAsia="Times New Roman" w:hAnsi="Times New Roman" w:cs="Times New Roman"/>
                <w:noProof/>
              </w:rPr>
            </w:pPr>
          </w:p>
        </w:tc>
      </w:tr>
      <w:tr w:rsidR="00E42B18" w14:paraId="04168E2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107EC98" w14:textId="77777777" w:rsidR="00E42B18" w:rsidRDefault="009629C4">
            <w:pPr>
              <w:pStyle w:val="P68B1DB1-Normal121"/>
              <w:spacing w:after="0" w:line="240" w:lineRule="auto"/>
              <w:jc w:val="center"/>
              <w:rPr>
                <w:noProof/>
              </w:rPr>
            </w:pPr>
            <w:r>
              <w:rPr>
                <w:noProof/>
              </w:rPr>
              <w:t>M2C2–7</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0C5F4F" w14:textId="77777777" w:rsidR="00E42B18" w:rsidRDefault="009629C4">
            <w:pPr>
              <w:pStyle w:val="P68B1DB1-Normal121"/>
              <w:spacing w:after="0" w:line="240" w:lineRule="auto"/>
              <w:rPr>
                <w:noProof/>
              </w:rPr>
            </w:pPr>
            <w:r>
              <w:rPr>
                <w:noProof/>
              </w:rPr>
              <w:t>Uudistus 2 Uusi lainsäädäntö uusiutuvan kaasun tuotannon ja kulutuksen edistämiseksi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B1163D"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AF195E" w14:textId="77777777" w:rsidR="00E42B18" w:rsidRDefault="009629C4">
            <w:pPr>
              <w:pStyle w:val="P68B1DB1-Normal121"/>
              <w:spacing w:after="0" w:line="240" w:lineRule="auto"/>
              <w:rPr>
                <w:noProof/>
              </w:rPr>
            </w:pPr>
            <w:r>
              <w:rPr>
                <w:noProof/>
              </w:rPr>
              <w:t>Voimaan tulee asetus, jolla edistetään uusiutuvan kaasun käyttöä biometaanin käytössä liikenteessä, teollisuudessa ja kotitalouksissa, sekä täytäntöönpanoasetus, jossa vahvistetaan sen käyttöä koskevat ehdot ja perusteet sekä uusi kannustinjärjestelmä.</w:t>
            </w:r>
          </w:p>
        </w:tc>
        <w:tc>
          <w:tcPr>
            <w:tcW w:w="236" w:type="dxa"/>
            <w:tcBorders>
              <w:top w:val="nil"/>
              <w:left w:val="single" w:sz="4" w:space="0" w:color="auto"/>
              <w:bottom w:val="nil"/>
              <w:right w:val="nil"/>
            </w:tcBorders>
            <w:vAlign w:val="center"/>
          </w:tcPr>
          <w:p w14:paraId="716D2AF9" w14:textId="77777777" w:rsidR="00E42B18" w:rsidRDefault="00E42B18">
            <w:pPr>
              <w:spacing w:after="0" w:line="240" w:lineRule="auto"/>
              <w:rPr>
                <w:rFonts w:ascii="Times New Roman" w:eastAsia="Times New Roman" w:hAnsi="Times New Roman" w:cs="Times New Roman"/>
                <w:noProof/>
              </w:rPr>
            </w:pPr>
          </w:p>
        </w:tc>
      </w:tr>
      <w:tr w:rsidR="00E42B18" w14:paraId="3D1F9BC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58B6E6" w14:textId="77777777" w:rsidR="00E42B18" w:rsidRDefault="009629C4">
            <w:pPr>
              <w:pStyle w:val="P68B1DB1-Normal121"/>
              <w:spacing w:after="0" w:line="240" w:lineRule="auto"/>
              <w:jc w:val="center"/>
              <w:rPr>
                <w:noProof/>
              </w:rPr>
            </w:pPr>
            <w:r>
              <w:rPr>
                <w:noProof/>
              </w:rPr>
              <w:t>M2C2–37</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6D8700" w14:textId="77777777" w:rsidR="00E42B18" w:rsidRDefault="009629C4">
            <w:pPr>
              <w:pStyle w:val="P68B1DB1-Normal121"/>
              <w:spacing w:after="0" w:line="240" w:lineRule="auto"/>
              <w:rPr>
                <w:noProof/>
              </w:rPr>
            </w:pPr>
            <w:r>
              <w:rPr>
                <w:noProof/>
              </w:rPr>
              <w:t>Uudistus 5: Älykkäämmät menettelyt hankkeiden arvioimiseksi paikallisissa julkisissa liikennejärjestelmissä, joissa on kiinteät laitteistot, ja nopean joukkoliikenteen alalla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E0BEC8"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039F7B" w14:textId="77777777" w:rsidR="00E42B18" w:rsidRDefault="009629C4">
            <w:pPr>
              <w:pStyle w:val="P68B1DB1-Normal121"/>
              <w:spacing w:after="0" w:line="240" w:lineRule="auto"/>
              <w:rPr>
                <w:noProof/>
              </w:rPr>
            </w:pPr>
            <w:r>
              <w:rPr>
                <w:noProof/>
              </w:rPr>
              <w:t>Asetuksen voimaantulo</w:t>
            </w:r>
          </w:p>
        </w:tc>
        <w:tc>
          <w:tcPr>
            <w:tcW w:w="236" w:type="dxa"/>
            <w:tcBorders>
              <w:top w:val="nil"/>
              <w:left w:val="single" w:sz="4" w:space="0" w:color="auto"/>
              <w:bottom w:val="nil"/>
              <w:right w:val="nil"/>
            </w:tcBorders>
            <w:vAlign w:val="center"/>
          </w:tcPr>
          <w:p w14:paraId="3D09D43A" w14:textId="77777777" w:rsidR="00E42B18" w:rsidRDefault="00E42B18">
            <w:pPr>
              <w:spacing w:after="0" w:line="240" w:lineRule="auto"/>
              <w:rPr>
                <w:rFonts w:ascii="Times New Roman" w:eastAsia="Times New Roman" w:hAnsi="Times New Roman" w:cs="Times New Roman"/>
                <w:noProof/>
              </w:rPr>
            </w:pPr>
          </w:p>
        </w:tc>
      </w:tr>
      <w:tr w:rsidR="00E42B18" w14:paraId="27D4385C"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A88E12" w14:textId="77777777" w:rsidR="00E42B18" w:rsidRDefault="009629C4">
            <w:pPr>
              <w:pStyle w:val="P68B1DB1-Normal121"/>
              <w:spacing w:after="0" w:line="240" w:lineRule="auto"/>
              <w:jc w:val="center"/>
              <w:rPr>
                <w:noProof/>
              </w:rPr>
            </w:pPr>
            <w:r>
              <w:rPr>
                <w:noProof/>
              </w:rPr>
              <w:t>M2C2–41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5EFB6A" w14:textId="77777777" w:rsidR="00E42B18" w:rsidRDefault="009629C4">
            <w:pPr>
              <w:pStyle w:val="P68B1DB1-Normal121"/>
              <w:spacing w:after="0" w:line="240" w:lineRule="auto"/>
              <w:rPr>
                <w:noProof/>
              </w:rPr>
            </w:pPr>
            <w:r>
              <w:rPr>
                <w:noProof/>
              </w:rPr>
              <w:t>Investointi 5.3: Sähkölinja-autot</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DFF82A"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401C5A" w14:textId="77777777" w:rsidR="00E42B18" w:rsidRDefault="009629C4">
            <w:pPr>
              <w:pStyle w:val="P68B1DB1-Normal121"/>
              <w:spacing w:after="0" w:line="240" w:lineRule="auto"/>
              <w:rPr>
                <w:noProof/>
              </w:rPr>
            </w:pPr>
            <w:r>
              <w:rPr>
                <w:noProof/>
              </w:rPr>
              <w:t>Voimaan tulee ministeriön asetus, jossa määritetään käytettävissä olevien resurssien määrä interventiotarkoitukseen (linja-autot)</w:t>
            </w:r>
          </w:p>
        </w:tc>
        <w:tc>
          <w:tcPr>
            <w:tcW w:w="236" w:type="dxa"/>
            <w:tcBorders>
              <w:top w:val="nil"/>
              <w:left w:val="single" w:sz="4" w:space="0" w:color="auto"/>
              <w:bottom w:val="nil"/>
              <w:right w:val="nil"/>
            </w:tcBorders>
            <w:vAlign w:val="center"/>
          </w:tcPr>
          <w:p w14:paraId="2C8C9245" w14:textId="77777777" w:rsidR="00E42B18" w:rsidRDefault="00E42B18">
            <w:pPr>
              <w:spacing w:after="0" w:line="240" w:lineRule="auto"/>
              <w:rPr>
                <w:rFonts w:ascii="Times New Roman" w:eastAsia="Times New Roman" w:hAnsi="Times New Roman" w:cs="Times New Roman"/>
                <w:noProof/>
              </w:rPr>
            </w:pPr>
          </w:p>
        </w:tc>
      </w:tr>
      <w:tr w:rsidR="00E42B18" w14:paraId="212FC3A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82EC5A" w14:textId="77777777" w:rsidR="00E42B18" w:rsidRDefault="009629C4">
            <w:pPr>
              <w:pStyle w:val="P68B1DB1-Normal121"/>
              <w:spacing w:after="0" w:line="240" w:lineRule="auto"/>
              <w:jc w:val="center"/>
              <w:rPr>
                <w:noProof/>
              </w:rPr>
            </w:pPr>
            <w:r>
              <w:rPr>
                <w:noProof/>
              </w:rPr>
              <w:t>M2C3–1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B204C0" w14:textId="77777777" w:rsidR="00E42B18" w:rsidRDefault="009629C4">
            <w:pPr>
              <w:pStyle w:val="P68B1DB1-Normal121"/>
              <w:spacing w:after="0" w:line="240" w:lineRule="auto"/>
              <w:rPr>
                <w:noProof/>
              </w:rPr>
            </w:pPr>
            <w:r>
              <w:rPr>
                <w:noProof/>
              </w:rPr>
              <w:t xml:space="preserve">Investointi 2.1 – Energiatehokkuuden ekobonuksen vahvistaminen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6CFB3C"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EF238F" w14:textId="77777777" w:rsidR="00E42B18" w:rsidRDefault="009629C4">
            <w:pPr>
              <w:pStyle w:val="P68B1DB1-Normal121"/>
              <w:spacing w:after="0" w:line="240" w:lineRule="auto"/>
              <w:rPr>
                <w:noProof/>
              </w:rPr>
            </w:pPr>
            <w:r>
              <w:rPr>
                <w:noProof/>
              </w:rPr>
              <w:t xml:space="preserve">Superbonuksen jatkamisen voimaantulo  </w:t>
            </w:r>
          </w:p>
        </w:tc>
        <w:tc>
          <w:tcPr>
            <w:tcW w:w="236" w:type="dxa"/>
            <w:tcBorders>
              <w:top w:val="nil"/>
              <w:left w:val="single" w:sz="4" w:space="0" w:color="auto"/>
              <w:bottom w:val="nil"/>
              <w:right w:val="nil"/>
            </w:tcBorders>
            <w:vAlign w:val="center"/>
          </w:tcPr>
          <w:p w14:paraId="6C33FAF7" w14:textId="77777777" w:rsidR="00E42B18" w:rsidRDefault="00E42B18">
            <w:pPr>
              <w:spacing w:after="0" w:line="240" w:lineRule="auto"/>
              <w:rPr>
                <w:rFonts w:ascii="Times New Roman" w:eastAsia="Times New Roman" w:hAnsi="Times New Roman" w:cs="Times New Roman"/>
                <w:noProof/>
              </w:rPr>
            </w:pPr>
          </w:p>
        </w:tc>
      </w:tr>
      <w:tr w:rsidR="00E42B18" w14:paraId="591B39C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71A320" w14:textId="77777777" w:rsidR="00E42B18" w:rsidRDefault="009629C4">
            <w:pPr>
              <w:pStyle w:val="P68B1DB1-Normal121"/>
              <w:spacing w:after="0" w:line="240" w:lineRule="auto"/>
              <w:jc w:val="center"/>
              <w:rPr>
                <w:noProof/>
              </w:rPr>
            </w:pPr>
            <w:r>
              <w:rPr>
                <w:noProof/>
              </w:rPr>
              <w:t>M2C4–3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8BEB13" w14:textId="77777777" w:rsidR="00E42B18" w:rsidRDefault="009629C4">
            <w:pPr>
              <w:pStyle w:val="P68B1DB1-Normal121"/>
              <w:spacing w:after="0" w:line="240" w:lineRule="auto"/>
              <w:rPr>
                <w:noProof/>
              </w:rPr>
            </w:pPr>
            <w:r>
              <w:rPr>
                <w:noProof/>
              </w:rPr>
              <w:t>Uudistus 4.2 ”Toimenpiteet integroitujen vesipalvelujen täydellisten johtamisvalmiuksien varmistamiseksi”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C619AF"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D429FD" w14:textId="77777777" w:rsidR="00E42B18" w:rsidRDefault="009629C4">
            <w:pPr>
              <w:pStyle w:val="P68B1DB1-Normal121"/>
              <w:spacing w:after="0" w:line="240" w:lineRule="auto"/>
              <w:rPr>
                <w:noProof/>
              </w:rPr>
            </w:pPr>
            <w:r>
              <w:rPr>
                <w:noProof/>
              </w:rPr>
              <w:t>Oikeudellisen kehyksen uudistaminen vesienhoidon ja kestävän käytön parantamiseksi</w:t>
            </w:r>
          </w:p>
        </w:tc>
        <w:tc>
          <w:tcPr>
            <w:tcW w:w="236" w:type="dxa"/>
            <w:tcBorders>
              <w:top w:val="nil"/>
              <w:left w:val="single" w:sz="4" w:space="0" w:color="auto"/>
              <w:bottom w:val="nil"/>
              <w:right w:val="nil"/>
            </w:tcBorders>
            <w:vAlign w:val="center"/>
          </w:tcPr>
          <w:p w14:paraId="545B9977" w14:textId="77777777" w:rsidR="00E42B18" w:rsidRDefault="00E42B18">
            <w:pPr>
              <w:spacing w:after="0" w:line="240" w:lineRule="auto"/>
              <w:rPr>
                <w:rFonts w:ascii="Times New Roman" w:eastAsia="Times New Roman" w:hAnsi="Times New Roman" w:cs="Times New Roman"/>
                <w:noProof/>
              </w:rPr>
            </w:pPr>
          </w:p>
        </w:tc>
      </w:tr>
      <w:tr w:rsidR="00E42B18" w14:paraId="5E0A78D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8569EF" w14:textId="77777777" w:rsidR="00E42B18" w:rsidRDefault="009629C4">
            <w:pPr>
              <w:pStyle w:val="P68B1DB1-Normal121"/>
              <w:spacing w:after="0" w:line="240" w:lineRule="auto"/>
              <w:jc w:val="center"/>
              <w:rPr>
                <w:noProof/>
              </w:rPr>
            </w:pPr>
            <w:r>
              <w:rPr>
                <w:noProof/>
              </w:rPr>
              <w:t>M3C2–3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3D9DFD" w14:textId="77777777" w:rsidR="00E42B18" w:rsidRDefault="009629C4">
            <w:pPr>
              <w:pStyle w:val="P68B1DB1-Normal121"/>
              <w:spacing w:after="0" w:line="240" w:lineRule="auto"/>
              <w:rPr>
                <w:noProof/>
              </w:rPr>
            </w:pPr>
            <w:r>
              <w:rPr>
                <w:noProof/>
              </w:rPr>
              <w:t xml:space="preserve">Uudistus 2.1 – Yhden tullialan palvelupisteen käyttöönotto (”Sportello Unico Doganale”)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E2B42D"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26DDD8" w14:textId="0A770B51" w:rsidR="00E42B18" w:rsidRDefault="009629C4">
            <w:pPr>
              <w:pStyle w:val="P68B1DB1-Normal121"/>
              <w:spacing w:after="0" w:line="240" w:lineRule="auto"/>
              <w:rPr>
                <w:noProof/>
              </w:rPr>
            </w:pPr>
            <w:r>
              <w:rPr>
                <w:noProof/>
              </w:rPr>
              <w:t xml:space="preserve">Asetus yhtenäisestä tullipalvelusta (Sportello Unico Doganale) tulee voimaan </w:t>
            </w:r>
          </w:p>
        </w:tc>
        <w:tc>
          <w:tcPr>
            <w:tcW w:w="236" w:type="dxa"/>
            <w:tcBorders>
              <w:top w:val="nil"/>
              <w:left w:val="single" w:sz="4" w:space="0" w:color="auto"/>
              <w:bottom w:val="nil"/>
              <w:right w:val="nil"/>
            </w:tcBorders>
            <w:vAlign w:val="center"/>
          </w:tcPr>
          <w:p w14:paraId="7919637C" w14:textId="77777777" w:rsidR="00E42B18" w:rsidRDefault="00E42B18">
            <w:pPr>
              <w:spacing w:after="0" w:line="240" w:lineRule="auto"/>
              <w:rPr>
                <w:rFonts w:ascii="Times New Roman" w:eastAsia="Times New Roman" w:hAnsi="Times New Roman" w:cs="Times New Roman"/>
                <w:noProof/>
              </w:rPr>
            </w:pPr>
          </w:p>
        </w:tc>
      </w:tr>
      <w:tr w:rsidR="00E42B18" w14:paraId="4410527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AC66B" w14:textId="77777777" w:rsidR="00E42B18" w:rsidRDefault="009629C4">
            <w:pPr>
              <w:pStyle w:val="P68B1DB1-Normal121"/>
              <w:spacing w:after="0" w:line="240" w:lineRule="auto"/>
              <w:jc w:val="center"/>
              <w:rPr>
                <w:noProof/>
              </w:rPr>
            </w:pPr>
            <w:r>
              <w:rPr>
                <w:noProof/>
              </w:rPr>
              <w:t>M4C1–1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2AC971" w14:textId="77777777" w:rsidR="00E42B18" w:rsidRDefault="009629C4">
            <w:pPr>
              <w:pStyle w:val="P68B1DB1-Normal121"/>
              <w:spacing w:after="0" w:line="240" w:lineRule="auto"/>
              <w:rPr>
                <w:noProof/>
              </w:rPr>
            </w:pPr>
            <w:r>
              <w:rPr>
                <w:noProof/>
              </w:rPr>
              <w:t>Uudistus 1.5: Korkeakoulututkintoryhmien uudistaminen; Uudistus 1.6: Korkeakoulututkintojen uudistamisen mahdollistaminen; Uudistus 4.1: Tohtorintutkinto: Ohjelmauudistus</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7ED456"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4AA61" w14:textId="77777777" w:rsidR="00E42B18" w:rsidRDefault="009629C4">
            <w:pPr>
              <w:pStyle w:val="P68B1DB1-Normal121"/>
              <w:spacing w:after="0" w:line="240" w:lineRule="auto"/>
              <w:rPr>
                <w:noProof/>
              </w:rPr>
            </w:pPr>
            <w:r>
              <w:rPr>
                <w:noProof/>
              </w:rPr>
              <w:t>Korkea-asteen koulutusjärjestelmän uudistusten voimaantulo koulutustulosten parantamiseksi (primaarilainsäädäntö) seuraavilla aloilla: a) korkeakoulututkintojen mahdollistaminen; b) korkeakoulututkintoryhmät; tohtorinkoulutusohjelmien uudistaminen</w:t>
            </w:r>
          </w:p>
        </w:tc>
        <w:tc>
          <w:tcPr>
            <w:tcW w:w="236" w:type="dxa"/>
            <w:tcBorders>
              <w:top w:val="nil"/>
              <w:left w:val="single" w:sz="4" w:space="0" w:color="auto"/>
              <w:bottom w:val="nil"/>
              <w:right w:val="nil"/>
            </w:tcBorders>
            <w:vAlign w:val="center"/>
          </w:tcPr>
          <w:p w14:paraId="00291B7E" w14:textId="77777777" w:rsidR="00E42B18" w:rsidRDefault="00E42B18">
            <w:pPr>
              <w:spacing w:after="0" w:line="240" w:lineRule="auto"/>
              <w:rPr>
                <w:rFonts w:ascii="Times New Roman" w:eastAsia="Times New Roman" w:hAnsi="Times New Roman" w:cs="Times New Roman"/>
                <w:noProof/>
              </w:rPr>
            </w:pPr>
          </w:p>
        </w:tc>
      </w:tr>
      <w:tr w:rsidR="00E42B18" w14:paraId="3E8C74BD"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397B93" w14:textId="77777777" w:rsidR="00E42B18" w:rsidRDefault="009629C4">
            <w:pPr>
              <w:pStyle w:val="P68B1DB1-Normal121"/>
              <w:spacing w:after="0" w:line="240" w:lineRule="auto"/>
              <w:jc w:val="center"/>
              <w:rPr>
                <w:noProof/>
              </w:rPr>
            </w:pPr>
            <w:r>
              <w:rPr>
                <w:noProof/>
              </w:rPr>
              <w:t>M4C1–2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46896C" w14:textId="77777777" w:rsidR="00E42B18" w:rsidRDefault="009629C4">
            <w:pPr>
              <w:pStyle w:val="P68B1DB1-Normal121"/>
              <w:spacing w:after="0" w:line="240" w:lineRule="auto"/>
              <w:rPr>
                <w:noProof/>
              </w:rPr>
            </w:pPr>
            <w:r>
              <w:rPr>
                <w:noProof/>
              </w:rPr>
              <w:t>Investointi 1.7: Yliopisto-opiskeluapurahat</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12D7F8"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F3EF82" w14:textId="77777777" w:rsidR="00E42B18" w:rsidRDefault="009629C4">
            <w:pPr>
              <w:pStyle w:val="P68B1DB1-Normal121"/>
              <w:spacing w:after="0" w:line="240" w:lineRule="auto"/>
              <w:rPr>
                <w:noProof/>
              </w:rPr>
            </w:pPr>
            <w:r>
              <w:rPr>
                <w:noProof/>
              </w:rPr>
              <w:t>Stipendien uudistamista koskevien ministeriöiden asetusten voimaantulo korkea-asteen koulutukseen pääsyn parantamiseksi</w:t>
            </w:r>
          </w:p>
        </w:tc>
        <w:tc>
          <w:tcPr>
            <w:tcW w:w="236" w:type="dxa"/>
            <w:tcBorders>
              <w:top w:val="nil"/>
              <w:left w:val="single" w:sz="4" w:space="0" w:color="auto"/>
              <w:bottom w:val="nil"/>
              <w:right w:val="nil"/>
            </w:tcBorders>
            <w:vAlign w:val="center"/>
          </w:tcPr>
          <w:p w14:paraId="4037FA5C" w14:textId="77777777" w:rsidR="00E42B18" w:rsidRDefault="00E42B18">
            <w:pPr>
              <w:spacing w:after="0" w:line="240" w:lineRule="auto"/>
              <w:rPr>
                <w:rFonts w:ascii="Times New Roman" w:eastAsia="Times New Roman" w:hAnsi="Times New Roman" w:cs="Times New Roman"/>
                <w:noProof/>
              </w:rPr>
            </w:pPr>
          </w:p>
        </w:tc>
      </w:tr>
      <w:tr w:rsidR="00E42B18" w14:paraId="4757F478"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673DEB" w14:textId="77777777" w:rsidR="00E42B18" w:rsidRDefault="009629C4">
            <w:pPr>
              <w:pStyle w:val="P68B1DB1-Normal121"/>
              <w:spacing w:after="0" w:line="240" w:lineRule="auto"/>
              <w:jc w:val="center"/>
              <w:rPr>
                <w:noProof/>
              </w:rPr>
            </w:pPr>
            <w:r>
              <w:rPr>
                <w:noProof/>
              </w:rPr>
              <w:t>M5C1–1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CBF303E" w14:textId="77777777" w:rsidR="00E42B18" w:rsidRDefault="009629C4">
            <w:pPr>
              <w:pStyle w:val="P68B1DB1-Normal121"/>
              <w:spacing w:after="0" w:line="240" w:lineRule="auto"/>
              <w:rPr>
                <w:noProof/>
              </w:rPr>
            </w:pPr>
            <w:r>
              <w:rPr>
                <w:noProof/>
              </w:rPr>
              <w:t>Uudistus 1 – Työvoimapolitiikka ja ammatillinen koulutus</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DAAAC7C"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A81BE4" w14:textId="77777777" w:rsidR="00E42B18" w:rsidRDefault="009629C4">
            <w:pPr>
              <w:pStyle w:val="P68B1DB1-Normal121"/>
              <w:spacing w:after="0" w:line="240" w:lineRule="auto"/>
              <w:rPr>
                <w:noProof/>
              </w:rPr>
            </w:pPr>
            <w:r>
              <w:rPr>
                <w:noProof/>
              </w:rPr>
              <w:t>Työntekijöiden taattua työllistettävyyttä koskevan kansallisen ohjelman (GOL) perustamisesta annetun ministeriöiden välisen asetuksen ja uuden osaamisen kansallisen suunnitelman vahvistamisesta annetun ministeriöiden välisen asetuksen voimaantulo</w:t>
            </w:r>
          </w:p>
        </w:tc>
        <w:tc>
          <w:tcPr>
            <w:tcW w:w="236" w:type="dxa"/>
            <w:tcBorders>
              <w:top w:val="nil"/>
              <w:left w:val="single" w:sz="4" w:space="0" w:color="auto"/>
              <w:bottom w:val="nil"/>
              <w:right w:val="nil"/>
            </w:tcBorders>
            <w:vAlign w:val="center"/>
          </w:tcPr>
          <w:p w14:paraId="2742C3A2" w14:textId="77777777" w:rsidR="00E42B18" w:rsidRDefault="00E42B18">
            <w:pPr>
              <w:spacing w:after="0" w:line="240" w:lineRule="auto"/>
              <w:rPr>
                <w:rFonts w:ascii="Times New Roman" w:eastAsia="Times New Roman" w:hAnsi="Times New Roman" w:cs="Times New Roman"/>
                <w:noProof/>
              </w:rPr>
            </w:pPr>
          </w:p>
        </w:tc>
      </w:tr>
      <w:tr w:rsidR="00E42B18" w14:paraId="2B22C1E4"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4A7889" w14:textId="77777777" w:rsidR="00E42B18" w:rsidRDefault="009629C4">
            <w:pPr>
              <w:pStyle w:val="P68B1DB1-Normal121"/>
              <w:spacing w:after="0" w:line="240" w:lineRule="auto"/>
              <w:jc w:val="center"/>
              <w:rPr>
                <w:noProof/>
              </w:rPr>
            </w:pPr>
            <w:r>
              <w:rPr>
                <w:noProof/>
              </w:rPr>
              <w:t>M5C2–1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FEEA8D" w14:textId="77777777" w:rsidR="00E42B18" w:rsidRDefault="009629C4">
            <w:pPr>
              <w:pStyle w:val="P68B1DB1-Normal121"/>
              <w:spacing w:after="0" w:line="240" w:lineRule="auto"/>
              <w:rPr>
                <w:noProof/>
              </w:rPr>
            </w:pPr>
            <w:r>
              <w:rPr>
                <w:noProof/>
              </w:rPr>
              <w:t>Uudistus 1 – Vammaisuutta koskeva puitelaki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78E156"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699057" w14:textId="77777777" w:rsidR="00E42B18" w:rsidRDefault="009629C4">
            <w:pPr>
              <w:pStyle w:val="P68B1DB1-Normal121"/>
              <w:spacing w:after="0" w:line="240" w:lineRule="auto"/>
              <w:rPr>
                <w:noProof/>
              </w:rPr>
            </w:pPr>
            <w:r>
              <w:rPr>
                <w:noProof/>
              </w:rPr>
              <w:t>Vammaisten itsenäisyyttä vahvistava puitelaki tulee voimaan.</w:t>
            </w:r>
          </w:p>
        </w:tc>
        <w:tc>
          <w:tcPr>
            <w:tcW w:w="236" w:type="dxa"/>
            <w:tcBorders>
              <w:top w:val="nil"/>
              <w:left w:val="single" w:sz="4" w:space="0" w:color="auto"/>
              <w:bottom w:val="nil"/>
              <w:right w:val="nil"/>
            </w:tcBorders>
            <w:vAlign w:val="center"/>
          </w:tcPr>
          <w:p w14:paraId="25D302E5" w14:textId="77777777" w:rsidR="00E42B18" w:rsidRDefault="00E42B18">
            <w:pPr>
              <w:spacing w:after="0" w:line="240" w:lineRule="auto"/>
              <w:rPr>
                <w:rFonts w:ascii="Times New Roman" w:eastAsia="Times New Roman" w:hAnsi="Times New Roman" w:cs="Times New Roman"/>
                <w:noProof/>
              </w:rPr>
            </w:pPr>
          </w:p>
        </w:tc>
      </w:tr>
      <w:tr w:rsidR="00E42B18" w14:paraId="0ABC477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75123B" w14:textId="77777777" w:rsidR="00E42B18" w:rsidRDefault="009629C4">
            <w:pPr>
              <w:pStyle w:val="P68B1DB1-Normal121"/>
              <w:spacing w:after="0" w:line="240" w:lineRule="auto"/>
              <w:jc w:val="center"/>
              <w:rPr>
                <w:noProof/>
              </w:rPr>
            </w:pPr>
            <w:r>
              <w:rPr>
                <w:noProof/>
              </w:rPr>
              <w:t>M5C2–5</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49496E" w14:textId="77777777" w:rsidR="00E42B18" w:rsidRDefault="009629C4">
            <w:pPr>
              <w:pStyle w:val="P68B1DB1-Normal121"/>
              <w:spacing w:after="0" w:line="240" w:lineRule="auto"/>
              <w:rPr>
                <w:noProof/>
              </w:rPr>
            </w:pPr>
            <w:r>
              <w:rPr>
                <w:noProof/>
              </w:rPr>
              <w:t>Investointi 1 – Tuetaan haavoittuvassa asemassa olevia ihmisiä ja ehkäistään laitoshoitoa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9305AA" w14:textId="77777777" w:rsidR="00E42B18" w:rsidRDefault="009629C4">
            <w:pPr>
              <w:pStyle w:val="P68B1DB1-Normal121"/>
              <w:spacing w:after="0" w:line="240" w:lineRule="auto"/>
              <w:jc w:val="center"/>
              <w:rPr>
                <w:noProof/>
              </w:rPr>
            </w:pPr>
            <w:r>
              <w:rPr>
                <w:noProof/>
              </w:rPr>
              <w:t>Virstanpylväs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4CF23F" w14:textId="77777777" w:rsidR="00E42B18" w:rsidRDefault="009629C4">
            <w:pPr>
              <w:pStyle w:val="P68B1DB1-Normal121"/>
              <w:spacing w:after="0" w:line="240" w:lineRule="auto"/>
              <w:rPr>
                <w:noProof/>
              </w:rPr>
            </w:pPr>
            <w:r>
              <w:rPr>
                <w:noProof/>
              </w:rPr>
              <w:t>Toimintasuunnitelman voimaantulo</w:t>
            </w:r>
          </w:p>
        </w:tc>
        <w:tc>
          <w:tcPr>
            <w:tcW w:w="236" w:type="dxa"/>
            <w:tcBorders>
              <w:top w:val="nil"/>
              <w:left w:val="single" w:sz="4" w:space="0" w:color="auto"/>
              <w:bottom w:val="nil"/>
              <w:right w:val="nil"/>
            </w:tcBorders>
            <w:vAlign w:val="center"/>
          </w:tcPr>
          <w:p w14:paraId="7CF62A28" w14:textId="77777777" w:rsidR="00E42B18" w:rsidRDefault="00E42B18">
            <w:pPr>
              <w:spacing w:after="0" w:line="240" w:lineRule="auto"/>
              <w:rPr>
                <w:rFonts w:ascii="Times New Roman" w:eastAsia="Times New Roman" w:hAnsi="Times New Roman" w:cs="Times New Roman"/>
                <w:noProof/>
              </w:rPr>
            </w:pPr>
          </w:p>
        </w:tc>
      </w:tr>
      <w:tr w:rsidR="00E42B18" w14:paraId="1A72554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0EF267" w14:textId="77777777" w:rsidR="00E42B18" w:rsidRDefault="00E42B18">
            <w:pPr>
              <w:spacing w:after="0" w:line="240" w:lineRule="auto"/>
              <w:jc w:val="center"/>
              <w:rPr>
                <w:rFonts w:ascii="Times New Roman" w:eastAsia="Times New Roman" w:hAnsi="Times New Roman" w:cs="Times New Roman"/>
                <w:noProof/>
              </w:rPr>
            </w:pP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764683" w14:textId="77777777" w:rsidR="00E42B18" w:rsidRDefault="009629C4">
            <w:pPr>
              <w:pStyle w:val="P68B1DB1-Normal121"/>
              <w:spacing w:after="0" w:line="240" w:lineRule="auto"/>
              <w:rPr>
                <w:noProof/>
              </w:rPr>
            </w:pPr>
            <w:r>
              <w:rPr>
                <w:noProof/>
              </w:rPr>
              <w:t xml:space="preserve">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7BFB69" w14:textId="77777777" w:rsidR="00E42B18" w:rsidRDefault="009629C4">
            <w:pPr>
              <w:pStyle w:val="P68B1DB1-Normal121"/>
              <w:spacing w:after="0" w:line="240" w:lineRule="auto"/>
              <w:jc w:val="center"/>
              <w:rPr>
                <w:noProof/>
              </w:rPr>
            </w:pPr>
            <w:r>
              <w:rPr>
                <w:noProof/>
              </w:rPr>
              <w:t>Maksuerän määrä</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68D3AC"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11494252874</w:t>
            </w:r>
            <w:r>
              <w:rPr>
                <w:noProof/>
                <w:sz w:val="23"/>
                <w:szCs w:val="23"/>
              </w:rPr>
              <w:t xml:space="preserve">  </w:t>
            </w:r>
            <w:r>
              <w:rPr>
                <w:noProof/>
                <w:color w:val="006100"/>
                <w:sz w:val="20"/>
                <w:szCs w:val="20"/>
              </w:rPr>
              <w:t xml:space="preserve">EUROA </w:t>
            </w:r>
          </w:p>
        </w:tc>
        <w:tc>
          <w:tcPr>
            <w:tcW w:w="236" w:type="dxa"/>
            <w:tcBorders>
              <w:top w:val="nil"/>
              <w:left w:val="single" w:sz="4" w:space="0" w:color="auto"/>
              <w:bottom w:val="nil"/>
              <w:right w:val="nil"/>
            </w:tcBorders>
            <w:vAlign w:val="center"/>
          </w:tcPr>
          <w:p w14:paraId="438D2FDF" w14:textId="77777777" w:rsidR="00E42B18" w:rsidRDefault="00E42B18">
            <w:pPr>
              <w:spacing w:after="0" w:line="240" w:lineRule="auto"/>
              <w:rPr>
                <w:rFonts w:ascii="Times New Roman" w:eastAsia="Times New Roman" w:hAnsi="Times New Roman" w:cs="Times New Roman"/>
                <w:noProof/>
              </w:rPr>
            </w:pPr>
          </w:p>
        </w:tc>
      </w:tr>
    </w:tbl>
    <w:p w14:paraId="2CC368C2" w14:textId="27BD79C6" w:rsidR="00E42B18" w:rsidRDefault="009629C4">
      <w:pPr>
        <w:pStyle w:val="P68B1DB1-Normal8"/>
        <w:spacing w:before="120" w:after="120" w:line="240" w:lineRule="auto"/>
        <w:ind w:left="850"/>
        <w:jc w:val="both"/>
        <w:rPr>
          <w:noProof/>
        </w:rPr>
      </w:pPr>
      <w:r>
        <w:rPr>
          <w:noProof/>
        </w:rPr>
        <w:t xml:space="preserve"> </w:t>
      </w:r>
    </w:p>
    <w:p w14:paraId="5F969BF6" w14:textId="77777777" w:rsidR="00E42B18" w:rsidRDefault="009629C4">
      <w:pPr>
        <w:pStyle w:val="P68B1DB1-Heading4119"/>
        <w:numPr>
          <w:ilvl w:val="1"/>
          <w:numId w:val="180"/>
        </w:numPr>
        <w:tabs>
          <w:tab w:val="num" w:pos="1440"/>
        </w:tabs>
        <w:ind w:left="1440" w:hanging="360"/>
        <w:rPr>
          <w:noProof/>
        </w:rPr>
      </w:pPr>
      <w:r>
        <w:rPr>
          <w:noProof/>
        </w:rPr>
        <w:t>Toinen erä (tuki, jota ei makseta takaisin):</w:t>
      </w:r>
    </w:p>
    <w:tbl>
      <w:tblPr>
        <w:tblW w:w="9593" w:type="dxa"/>
        <w:tblInd w:w="120" w:type="dxa"/>
        <w:tblLayout w:type="fixed"/>
        <w:tblLook w:val="04A0" w:firstRow="1" w:lastRow="0" w:firstColumn="1" w:lastColumn="0" w:noHBand="0" w:noVBand="1"/>
      </w:tblPr>
      <w:tblGrid>
        <w:gridCol w:w="1288"/>
        <w:gridCol w:w="2268"/>
        <w:gridCol w:w="1276"/>
        <w:gridCol w:w="4525"/>
        <w:gridCol w:w="236"/>
      </w:tblGrid>
      <w:tr w:rsidR="00E42B18" w14:paraId="6CC981F4" w14:textId="77777777">
        <w:trPr>
          <w:trHeight w:val="900"/>
          <w:tblHeader/>
        </w:trPr>
        <w:tc>
          <w:tcPr>
            <w:tcW w:w="128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FEA2321" w14:textId="77777777" w:rsidR="00E42B18" w:rsidRDefault="009629C4">
            <w:pPr>
              <w:pStyle w:val="P68B1DB1-Normal120"/>
              <w:spacing w:after="0" w:line="240" w:lineRule="auto"/>
              <w:jc w:val="center"/>
              <w:rPr>
                <w:bCs/>
                <w:noProof/>
              </w:rPr>
            </w:pPr>
            <w:r>
              <w:rPr>
                <w:noProof/>
              </w:rPr>
              <w:t>Juokseva numero</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44527F02" w14:textId="77777777" w:rsidR="00E42B18" w:rsidRDefault="009629C4">
            <w:pPr>
              <w:pStyle w:val="P68B1DB1-Normal120"/>
              <w:spacing w:after="0" w:line="240" w:lineRule="auto"/>
              <w:jc w:val="center"/>
              <w:rPr>
                <w:noProof/>
              </w:rPr>
            </w:pPr>
            <w:r>
              <w:rPr>
                <w:noProof/>
              </w:rPr>
              <w:t>Toimenpide (uudistus tai investointi)</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BDF3749" w14:textId="77777777" w:rsidR="00E42B18" w:rsidRDefault="009629C4">
            <w:pPr>
              <w:pStyle w:val="P68B1DB1-Normal120"/>
              <w:spacing w:after="0" w:line="240" w:lineRule="auto"/>
              <w:jc w:val="center"/>
              <w:rPr>
                <w:noProof/>
              </w:rPr>
            </w:pPr>
            <w:r>
              <w:rPr>
                <w:noProof/>
              </w:rPr>
              <w:t>Välitavoite/tavoite</w:t>
            </w:r>
          </w:p>
        </w:tc>
        <w:tc>
          <w:tcPr>
            <w:tcW w:w="452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D58B0E8" w14:textId="77777777" w:rsidR="00E42B18" w:rsidRDefault="009629C4">
            <w:pPr>
              <w:pStyle w:val="P68B1DB1-Normal120"/>
              <w:spacing w:after="0" w:line="240" w:lineRule="auto"/>
              <w:jc w:val="center"/>
              <w:rPr>
                <w:noProof/>
              </w:rPr>
            </w:pPr>
            <w:r>
              <w:rPr>
                <w:noProof/>
              </w:rPr>
              <w:t>Nimi</w:t>
            </w:r>
          </w:p>
        </w:tc>
        <w:tc>
          <w:tcPr>
            <w:tcW w:w="236" w:type="dxa"/>
            <w:tcBorders>
              <w:top w:val="nil"/>
              <w:left w:val="single" w:sz="4" w:space="0" w:color="auto"/>
              <w:bottom w:val="nil"/>
              <w:right w:val="nil"/>
            </w:tcBorders>
            <w:vAlign w:val="center"/>
          </w:tcPr>
          <w:p w14:paraId="3E876F66" w14:textId="77777777" w:rsidR="00E42B18" w:rsidRDefault="00E42B18">
            <w:pPr>
              <w:spacing w:after="0" w:line="240" w:lineRule="auto"/>
              <w:rPr>
                <w:rFonts w:ascii="Times New Roman" w:eastAsia="Times New Roman" w:hAnsi="Times New Roman" w:cs="Times New Roman"/>
                <w:noProof/>
              </w:rPr>
            </w:pPr>
          </w:p>
        </w:tc>
      </w:tr>
      <w:tr w:rsidR="00E42B18" w14:paraId="25F04BD9" w14:textId="77777777">
        <w:trPr>
          <w:trHeight w:val="510"/>
        </w:trPr>
        <w:tc>
          <w:tcPr>
            <w:tcW w:w="1288" w:type="dxa"/>
            <w:vMerge/>
            <w:tcBorders>
              <w:top w:val="single" w:sz="4" w:space="0" w:color="auto"/>
              <w:left w:val="single" w:sz="4" w:space="0" w:color="auto"/>
              <w:bottom w:val="single" w:sz="4" w:space="0" w:color="auto"/>
              <w:right w:val="single" w:sz="4" w:space="0" w:color="auto"/>
            </w:tcBorders>
            <w:vAlign w:val="center"/>
          </w:tcPr>
          <w:p w14:paraId="098B6F0C" w14:textId="77777777" w:rsidR="00E42B18" w:rsidRDefault="00E42B18">
            <w:pPr>
              <w:spacing w:after="0" w:line="240" w:lineRule="auto"/>
              <w:jc w:val="center"/>
              <w:rPr>
                <w:rFonts w:ascii="Times New Roman" w:eastAsia="Times New Roman" w:hAnsi="Times New Roman" w:cs="Times New Roman"/>
                <w:noProof/>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452FC725" w14:textId="77777777" w:rsidR="00E42B18" w:rsidRDefault="00E42B18">
            <w:pPr>
              <w:spacing w:after="0" w:line="240" w:lineRule="auto"/>
              <w:rPr>
                <w:rFonts w:ascii="Times New Roman" w:eastAsia="Times New Roman" w:hAnsi="Times New Roman" w:cs="Times New Roman"/>
                <w:noProof/>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54F7C197" w14:textId="77777777" w:rsidR="00E42B18" w:rsidRDefault="00E42B18">
            <w:pPr>
              <w:spacing w:after="0" w:line="240" w:lineRule="auto"/>
              <w:jc w:val="center"/>
              <w:rPr>
                <w:rFonts w:ascii="Times New Roman" w:eastAsia="Times New Roman" w:hAnsi="Times New Roman" w:cs="Times New Roman"/>
                <w:noProof/>
              </w:rPr>
            </w:pPr>
          </w:p>
        </w:tc>
        <w:tc>
          <w:tcPr>
            <w:tcW w:w="4525" w:type="dxa"/>
            <w:vMerge/>
            <w:tcBorders>
              <w:top w:val="single" w:sz="4" w:space="0" w:color="auto"/>
              <w:left w:val="single" w:sz="4" w:space="0" w:color="auto"/>
              <w:bottom w:val="single" w:sz="4" w:space="0" w:color="auto"/>
              <w:right w:val="single" w:sz="4" w:space="0" w:color="auto"/>
            </w:tcBorders>
            <w:vAlign w:val="center"/>
          </w:tcPr>
          <w:p w14:paraId="3FCA8DF4" w14:textId="77777777" w:rsidR="00E42B18" w:rsidRDefault="00E42B18">
            <w:pPr>
              <w:spacing w:after="0" w:line="240" w:lineRule="auto"/>
              <w:rPr>
                <w:rFonts w:ascii="Times New Roman" w:eastAsia="Times New Roman" w:hAnsi="Times New Roman" w:cs="Times New Roman"/>
                <w:noProof/>
              </w:rPr>
            </w:pPr>
          </w:p>
        </w:tc>
        <w:tc>
          <w:tcPr>
            <w:tcW w:w="236" w:type="dxa"/>
            <w:tcBorders>
              <w:top w:val="nil"/>
              <w:left w:val="single" w:sz="4" w:space="0" w:color="auto"/>
              <w:bottom w:val="nil"/>
              <w:right w:val="nil"/>
            </w:tcBorders>
            <w:vAlign w:val="center"/>
          </w:tcPr>
          <w:p w14:paraId="58B4AA26" w14:textId="77777777" w:rsidR="00E42B18" w:rsidRDefault="00E42B18">
            <w:pPr>
              <w:spacing w:after="0" w:line="240" w:lineRule="auto"/>
              <w:rPr>
                <w:rFonts w:ascii="Times New Roman" w:eastAsia="Times New Roman" w:hAnsi="Times New Roman" w:cs="Times New Roman"/>
                <w:noProof/>
              </w:rPr>
            </w:pPr>
          </w:p>
        </w:tc>
      </w:tr>
      <w:tr w:rsidR="00E42B18" w14:paraId="6827A9A6"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9A87B8" w14:textId="77777777" w:rsidR="00E42B18" w:rsidRDefault="009629C4">
            <w:pPr>
              <w:pStyle w:val="P68B1DB1-Normal121"/>
              <w:spacing w:after="0" w:line="240" w:lineRule="auto"/>
              <w:jc w:val="center"/>
              <w:rPr>
                <w:noProof/>
              </w:rPr>
            </w:pPr>
            <w:r>
              <w:rPr>
                <w:noProof/>
              </w:rPr>
              <w:t>M2C4–5</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55670C" w14:textId="77777777" w:rsidR="00E42B18" w:rsidRDefault="009629C4">
            <w:pPr>
              <w:pStyle w:val="P68B1DB1-Normal121"/>
              <w:spacing w:after="0" w:line="240" w:lineRule="auto"/>
              <w:rPr>
                <w:noProof/>
              </w:rPr>
            </w:pPr>
            <w:r>
              <w:rPr>
                <w:noProof/>
              </w:rPr>
              <w:t>Investointi 3.2: Kansallispuistojen digitalisointi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5F22F5"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8CCE48D" w14:textId="77777777" w:rsidR="00E42B18" w:rsidRDefault="009629C4">
            <w:pPr>
              <w:pStyle w:val="P68B1DB1-Normal121"/>
              <w:spacing w:after="0" w:line="240" w:lineRule="auto"/>
              <w:rPr>
                <w:noProof/>
              </w:rPr>
            </w:pPr>
            <w:r>
              <w:rPr>
                <w:noProof/>
              </w:rPr>
              <w:t>Kansallispuistojen ja suojeltujen merialueiden vierailijoille tarkoitettujen digitaalisten palvelujen hallinnollisen yksinkertaistamisen ja kehittämisen voimaantulo</w:t>
            </w:r>
          </w:p>
        </w:tc>
        <w:tc>
          <w:tcPr>
            <w:tcW w:w="236" w:type="dxa"/>
            <w:tcBorders>
              <w:top w:val="nil"/>
              <w:left w:val="single" w:sz="4" w:space="0" w:color="auto"/>
              <w:bottom w:val="nil"/>
              <w:right w:val="nil"/>
            </w:tcBorders>
            <w:vAlign w:val="center"/>
          </w:tcPr>
          <w:p w14:paraId="5768BD01" w14:textId="77777777" w:rsidR="00E42B18" w:rsidRDefault="00E42B18">
            <w:pPr>
              <w:spacing w:after="0" w:line="240" w:lineRule="auto"/>
              <w:rPr>
                <w:rFonts w:ascii="Times New Roman" w:eastAsia="Times New Roman" w:hAnsi="Times New Roman" w:cs="Times New Roman"/>
                <w:noProof/>
              </w:rPr>
            </w:pPr>
          </w:p>
        </w:tc>
      </w:tr>
      <w:tr w:rsidR="00E42B18" w14:paraId="4BAD4F40"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A440C9" w14:textId="77777777" w:rsidR="00E42B18" w:rsidRDefault="009629C4">
            <w:pPr>
              <w:pStyle w:val="P68B1DB1-Normal121"/>
              <w:spacing w:after="0" w:line="240" w:lineRule="auto"/>
              <w:jc w:val="center"/>
              <w:rPr>
                <w:noProof/>
              </w:rPr>
            </w:pPr>
            <w:r>
              <w:rPr>
                <w:noProof/>
              </w:rPr>
              <w:t>M5C2–9</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56460C" w14:textId="77777777" w:rsidR="00E42B18" w:rsidRDefault="009629C4">
            <w:pPr>
              <w:pStyle w:val="P68B1DB1-Normal121"/>
              <w:spacing w:after="0" w:line="240" w:lineRule="auto"/>
              <w:rPr>
                <w:noProof/>
              </w:rPr>
            </w:pPr>
            <w:r>
              <w:rPr>
                <w:noProof/>
              </w:rPr>
              <w:t>Investointi 3 – Asuminen ensimmäisessä asunnossa ja sen jälkeen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CA0AD5"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0E6A5D" w14:textId="77777777" w:rsidR="00E42B18" w:rsidRDefault="009629C4">
            <w:pPr>
              <w:pStyle w:val="P68B1DB1-Normal121"/>
              <w:spacing w:after="0" w:line="240" w:lineRule="auto"/>
              <w:rPr>
                <w:noProof/>
              </w:rPr>
            </w:pPr>
            <w:r>
              <w:rPr>
                <w:noProof/>
              </w:rPr>
              <w:t>Asunto ensin- ja jälkiasemia koskevia hankkeita koskevan toimintasuunnitelman voimaantulo, paikallisten yksiköiden esittämien hankkeiden vaatimusten määrittely ja ehdotuspyynnön käynnistäminen</w:t>
            </w:r>
          </w:p>
        </w:tc>
        <w:tc>
          <w:tcPr>
            <w:tcW w:w="236" w:type="dxa"/>
            <w:tcBorders>
              <w:top w:val="nil"/>
              <w:left w:val="single" w:sz="4" w:space="0" w:color="auto"/>
              <w:bottom w:val="nil"/>
              <w:right w:val="nil"/>
            </w:tcBorders>
            <w:vAlign w:val="center"/>
          </w:tcPr>
          <w:p w14:paraId="52135B95" w14:textId="77777777" w:rsidR="00E42B18" w:rsidRDefault="00E42B18">
            <w:pPr>
              <w:spacing w:after="0" w:line="240" w:lineRule="auto"/>
              <w:rPr>
                <w:rFonts w:ascii="Times New Roman" w:eastAsia="Times New Roman" w:hAnsi="Times New Roman" w:cs="Times New Roman"/>
                <w:noProof/>
              </w:rPr>
            </w:pPr>
          </w:p>
        </w:tc>
      </w:tr>
      <w:tr w:rsidR="00E42B18" w14:paraId="6DE6A226"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62836" w14:textId="77777777" w:rsidR="00E42B18" w:rsidRDefault="009629C4">
            <w:pPr>
              <w:pStyle w:val="P68B1DB1-Normal121"/>
              <w:spacing w:after="0" w:line="240" w:lineRule="auto"/>
              <w:jc w:val="center"/>
              <w:rPr>
                <w:noProof/>
              </w:rPr>
            </w:pPr>
            <w:r>
              <w:rPr>
                <w:noProof/>
              </w:rPr>
              <w:t>M1C1–33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0170EB" w14:textId="77777777" w:rsidR="00E42B18" w:rsidRDefault="009629C4">
            <w:pPr>
              <w:pStyle w:val="P68B1DB1-Normal121"/>
              <w:spacing w:after="0" w:line="240" w:lineRule="auto"/>
              <w:rPr>
                <w:noProof/>
              </w:rPr>
            </w:pPr>
            <w:r>
              <w:rPr>
                <w:noProof/>
              </w:rPr>
              <w:t>Investointi 1.8: Hallintotuomioistuinten palvelukseenottomenettelyt</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559DEC" w14:textId="77777777" w:rsidR="00E42B18" w:rsidRDefault="009629C4">
            <w:pPr>
              <w:pStyle w:val="P68B1DB1-Normal121"/>
              <w:spacing w:after="0" w:line="240" w:lineRule="auto"/>
              <w:jc w:val="center"/>
              <w:rPr>
                <w:noProof/>
              </w:rPr>
            </w:pPr>
            <w:r>
              <w:rPr>
                <w:noProof/>
              </w:rPr>
              <w:t>Kohde</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982334" w14:textId="77777777" w:rsidR="00E42B18" w:rsidRDefault="009629C4">
            <w:pPr>
              <w:pStyle w:val="P68B1DB1-Normal121"/>
              <w:spacing w:after="0" w:line="240" w:lineRule="auto"/>
              <w:rPr>
                <w:noProof/>
              </w:rPr>
            </w:pPr>
            <w:r>
              <w:rPr>
                <w:noProof/>
              </w:rPr>
              <w:t>Hallintotuomioistuinten palvelukseenottomenettelyjen aloittaminen</w:t>
            </w:r>
          </w:p>
        </w:tc>
        <w:tc>
          <w:tcPr>
            <w:tcW w:w="236" w:type="dxa"/>
            <w:tcBorders>
              <w:top w:val="nil"/>
              <w:left w:val="single" w:sz="4" w:space="0" w:color="auto"/>
              <w:bottom w:val="nil"/>
              <w:right w:val="nil"/>
            </w:tcBorders>
            <w:vAlign w:val="center"/>
          </w:tcPr>
          <w:p w14:paraId="0F8B4BC6" w14:textId="77777777" w:rsidR="00E42B18" w:rsidRDefault="00E42B18">
            <w:pPr>
              <w:spacing w:after="0" w:line="240" w:lineRule="auto"/>
              <w:rPr>
                <w:rFonts w:ascii="Times New Roman" w:eastAsia="Times New Roman" w:hAnsi="Times New Roman" w:cs="Times New Roman"/>
                <w:noProof/>
              </w:rPr>
            </w:pPr>
          </w:p>
        </w:tc>
      </w:tr>
      <w:tr w:rsidR="00E42B18" w14:paraId="7E22881F"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E786FD" w14:textId="77777777" w:rsidR="00E42B18" w:rsidRDefault="009629C4">
            <w:pPr>
              <w:pStyle w:val="P68B1DB1-Normal121"/>
              <w:spacing w:after="0" w:line="240" w:lineRule="auto"/>
              <w:jc w:val="center"/>
              <w:rPr>
                <w:noProof/>
              </w:rPr>
            </w:pPr>
            <w:r>
              <w:rPr>
                <w:noProof/>
              </w:rPr>
              <w:t>M1C1–56</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326311" w14:textId="77777777" w:rsidR="00E42B18" w:rsidRDefault="009629C4">
            <w:pPr>
              <w:pStyle w:val="P68B1DB1-Normal121"/>
              <w:spacing w:after="0" w:line="240" w:lineRule="auto"/>
              <w:rPr>
                <w:noProof/>
              </w:rPr>
            </w:pPr>
            <w:r>
              <w:rPr>
                <w:noProof/>
              </w:rPr>
              <w:t>Uudistus 1.9: Julkishallinnon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0F3DC5"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C18A0E" w14:textId="77777777" w:rsidR="00E42B18" w:rsidRDefault="009629C4">
            <w:pPr>
              <w:pStyle w:val="P68B1DB1-Normal121"/>
              <w:spacing w:after="0" w:line="240" w:lineRule="auto"/>
              <w:rPr>
                <w:noProof/>
              </w:rPr>
            </w:pPr>
            <w:r>
              <w:rPr>
                <w:noProof/>
              </w:rPr>
              <w:t>Julkisen sektorin työllisyyden uudistamista koskevan mahdollistavan lainsäädännön voimaantulo</w:t>
            </w:r>
          </w:p>
        </w:tc>
        <w:tc>
          <w:tcPr>
            <w:tcW w:w="236" w:type="dxa"/>
            <w:tcBorders>
              <w:top w:val="nil"/>
              <w:left w:val="single" w:sz="4" w:space="0" w:color="auto"/>
              <w:bottom w:val="nil"/>
              <w:right w:val="nil"/>
            </w:tcBorders>
            <w:vAlign w:val="center"/>
          </w:tcPr>
          <w:p w14:paraId="2EDA0C9C" w14:textId="77777777" w:rsidR="00E42B18" w:rsidRDefault="00E42B18">
            <w:pPr>
              <w:spacing w:after="0" w:line="240" w:lineRule="auto"/>
              <w:rPr>
                <w:rFonts w:ascii="Times New Roman" w:eastAsia="Times New Roman" w:hAnsi="Times New Roman" w:cs="Times New Roman"/>
                <w:noProof/>
              </w:rPr>
            </w:pPr>
          </w:p>
        </w:tc>
      </w:tr>
      <w:tr w:rsidR="00E42B18" w14:paraId="6B3EBC1E"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CD0A18" w14:textId="77777777" w:rsidR="00E42B18" w:rsidRDefault="009629C4">
            <w:pPr>
              <w:pStyle w:val="P68B1DB1-Normal121"/>
              <w:spacing w:after="0" w:line="240" w:lineRule="auto"/>
              <w:jc w:val="center"/>
              <w:rPr>
                <w:noProof/>
              </w:rPr>
            </w:pPr>
            <w:r>
              <w:rPr>
                <w:noProof/>
              </w:rPr>
              <w:t>M1C1–70</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0905E0"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331CF9"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EB3195" w14:textId="77777777" w:rsidR="00E42B18" w:rsidRDefault="009629C4">
            <w:pPr>
              <w:pStyle w:val="P68B1DB1-Normal121"/>
              <w:spacing w:after="0" w:line="240" w:lineRule="auto"/>
              <w:rPr>
                <w:noProof/>
              </w:rPr>
            </w:pPr>
            <w:r>
              <w:rPr>
                <w:noProof/>
              </w:rPr>
              <w:t>Julkisia hankintoja koskevan lain tarkistuksen voimaantulo (D.Lgs. n. 50/2016)</w:t>
            </w:r>
          </w:p>
        </w:tc>
        <w:tc>
          <w:tcPr>
            <w:tcW w:w="236" w:type="dxa"/>
            <w:tcBorders>
              <w:top w:val="nil"/>
              <w:left w:val="single" w:sz="4" w:space="0" w:color="auto"/>
              <w:bottom w:val="nil"/>
              <w:right w:val="nil"/>
            </w:tcBorders>
            <w:vAlign w:val="center"/>
          </w:tcPr>
          <w:p w14:paraId="53D9F2A6" w14:textId="77777777" w:rsidR="00E42B18" w:rsidRDefault="00E42B18">
            <w:pPr>
              <w:spacing w:after="0" w:line="240" w:lineRule="auto"/>
              <w:rPr>
                <w:rFonts w:ascii="Times New Roman" w:eastAsia="Times New Roman" w:hAnsi="Times New Roman" w:cs="Times New Roman"/>
                <w:noProof/>
              </w:rPr>
            </w:pPr>
          </w:p>
        </w:tc>
      </w:tr>
      <w:tr w:rsidR="00E42B18" w14:paraId="34BA0006"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C3C7BA" w14:textId="77777777" w:rsidR="00E42B18" w:rsidRDefault="009629C4">
            <w:pPr>
              <w:pStyle w:val="P68B1DB1-Normal121"/>
              <w:spacing w:after="0" w:line="240" w:lineRule="auto"/>
              <w:jc w:val="center"/>
              <w:rPr>
                <w:noProof/>
              </w:rPr>
            </w:pPr>
            <w:r>
              <w:rPr>
                <w:noProof/>
              </w:rPr>
              <w:t>M1C1–103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D21C16" w14:textId="77777777" w:rsidR="00E42B18" w:rsidRDefault="009629C4">
            <w:pPr>
              <w:pStyle w:val="P68B1DB1-Normal121"/>
              <w:spacing w:after="0" w:line="240" w:lineRule="auto"/>
              <w:rPr>
                <w:noProof/>
              </w:rPr>
            </w:pPr>
            <w:r>
              <w:rPr>
                <w:noProof/>
              </w:rPr>
              <w:t>Uudistus 1.12: Verohallinnon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8C58F4"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3D3DC5" w14:textId="77777777" w:rsidR="00E42B18" w:rsidRDefault="009629C4">
            <w:pPr>
              <w:pStyle w:val="P68B1DB1-Normal121"/>
              <w:spacing w:after="0" w:line="240" w:lineRule="auto"/>
              <w:rPr>
                <w:noProof/>
              </w:rPr>
            </w:pPr>
            <w:r>
              <w:rPr>
                <w:noProof/>
              </w:rPr>
              <w:t>Primaari- ja sekundaarilainsäädännön sekä säännösten voimaantulo ja hallinnollisten prosessien loppuun saattaminen verosäännösten noudattamisen edistämiseksi sekä tarkastusten ja valvonnan parantamiseksi</w:t>
            </w:r>
          </w:p>
        </w:tc>
        <w:tc>
          <w:tcPr>
            <w:tcW w:w="236" w:type="dxa"/>
            <w:tcBorders>
              <w:top w:val="nil"/>
              <w:left w:val="single" w:sz="4" w:space="0" w:color="auto"/>
              <w:bottom w:val="nil"/>
              <w:right w:val="nil"/>
            </w:tcBorders>
            <w:vAlign w:val="center"/>
          </w:tcPr>
          <w:p w14:paraId="237759BA" w14:textId="77777777" w:rsidR="00E42B18" w:rsidRDefault="00E42B18">
            <w:pPr>
              <w:spacing w:after="0" w:line="240" w:lineRule="auto"/>
              <w:rPr>
                <w:rFonts w:ascii="Times New Roman" w:eastAsia="Times New Roman" w:hAnsi="Times New Roman" w:cs="Times New Roman"/>
                <w:noProof/>
              </w:rPr>
            </w:pPr>
          </w:p>
        </w:tc>
      </w:tr>
      <w:tr w:rsidR="00E42B18" w14:paraId="56B0A2D8"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9FBCA5" w14:textId="77777777" w:rsidR="00E42B18" w:rsidRDefault="009629C4">
            <w:pPr>
              <w:pStyle w:val="P68B1DB1-Normal121"/>
              <w:spacing w:after="0" w:line="240" w:lineRule="auto"/>
              <w:jc w:val="center"/>
              <w:rPr>
                <w:noProof/>
              </w:rPr>
            </w:pPr>
            <w:r>
              <w:rPr>
                <w:noProof/>
              </w:rPr>
              <w:t>M1C1–104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14F74F" w14:textId="77777777" w:rsidR="00E42B18" w:rsidRDefault="009629C4">
            <w:pPr>
              <w:pStyle w:val="P68B1DB1-Normal121"/>
              <w:spacing w:after="0" w:line="240" w:lineRule="auto"/>
              <w:rPr>
                <w:noProof/>
              </w:rPr>
            </w:pPr>
            <w:r>
              <w:rPr>
                <w:noProof/>
              </w:rPr>
              <w:t>Uudistus 1.13: Menojen uudelleentarkastelua koskevan kehyksen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6064B9"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04CA92" w14:textId="77777777" w:rsidR="00E42B18" w:rsidRDefault="009629C4">
            <w:pPr>
              <w:pStyle w:val="P68B1DB1-Normal121"/>
              <w:spacing w:after="0" w:line="240" w:lineRule="auto"/>
              <w:rPr>
                <w:noProof/>
              </w:rPr>
            </w:pPr>
            <w:r>
              <w:rPr>
                <w:noProof/>
              </w:rPr>
              <w:t>Säästötavoitteiden hyväksyminen menojen uudelleentarkastelua varten vuosina 2023–2025</w:t>
            </w:r>
          </w:p>
        </w:tc>
        <w:tc>
          <w:tcPr>
            <w:tcW w:w="236" w:type="dxa"/>
            <w:tcBorders>
              <w:top w:val="nil"/>
              <w:left w:val="single" w:sz="4" w:space="0" w:color="auto"/>
              <w:bottom w:val="nil"/>
              <w:right w:val="nil"/>
            </w:tcBorders>
            <w:vAlign w:val="center"/>
          </w:tcPr>
          <w:p w14:paraId="77DC3A2C" w14:textId="77777777" w:rsidR="00E42B18" w:rsidRDefault="00E42B18">
            <w:pPr>
              <w:spacing w:after="0" w:line="240" w:lineRule="auto"/>
              <w:rPr>
                <w:rFonts w:ascii="Times New Roman" w:eastAsia="Times New Roman" w:hAnsi="Times New Roman" w:cs="Times New Roman"/>
                <w:noProof/>
              </w:rPr>
            </w:pPr>
          </w:p>
        </w:tc>
      </w:tr>
      <w:tr w:rsidR="00E42B18" w14:paraId="02BF5AB5"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6411DC" w14:textId="77777777" w:rsidR="00E42B18" w:rsidRDefault="009629C4">
            <w:pPr>
              <w:pStyle w:val="P68B1DB1-Normal121"/>
              <w:spacing w:after="0" w:line="240" w:lineRule="auto"/>
              <w:jc w:val="center"/>
              <w:rPr>
                <w:noProof/>
              </w:rPr>
            </w:pPr>
            <w:r>
              <w:rPr>
                <w:noProof/>
              </w:rPr>
              <w:t>M1C3–11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0DF327" w14:textId="77777777" w:rsidR="00E42B18" w:rsidRDefault="009629C4">
            <w:pPr>
              <w:pStyle w:val="P68B1DB1-Normal121"/>
              <w:spacing w:after="0" w:line="240" w:lineRule="auto"/>
              <w:rPr>
                <w:noProof/>
              </w:rPr>
            </w:pPr>
            <w:r>
              <w:rPr>
                <w:noProof/>
              </w:rPr>
              <w:t>Investointi 1.3 – Teatterien, teatterien ja museoiden energiatehokkuuden parantaminen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35C48F"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26DED" w14:textId="77777777" w:rsidR="00E42B18" w:rsidRDefault="009629C4">
            <w:pPr>
              <w:pStyle w:val="P68B1DB1-Normal121"/>
              <w:spacing w:after="0" w:line="240" w:lineRule="auto"/>
              <w:rPr>
                <w:noProof/>
              </w:rPr>
            </w:pPr>
            <w:r>
              <w:rPr>
                <w:noProof/>
              </w:rPr>
              <w:t xml:space="preserve">Kulttuuriministeriön asetus varojen jakamisesta tulee voimaan: parantaa kulttuuripaikkojen energiatehokkuutta </w:t>
            </w:r>
          </w:p>
        </w:tc>
        <w:tc>
          <w:tcPr>
            <w:tcW w:w="236" w:type="dxa"/>
            <w:tcBorders>
              <w:top w:val="nil"/>
              <w:left w:val="single" w:sz="4" w:space="0" w:color="auto"/>
              <w:bottom w:val="nil"/>
              <w:right w:val="nil"/>
            </w:tcBorders>
            <w:vAlign w:val="center"/>
          </w:tcPr>
          <w:p w14:paraId="07FFFDFC" w14:textId="77777777" w:rsidR="00E42B18" w:rsidRDefault="00E42B18">
            <w:pPr>
              <w:spacing w:after="0" w:line="240" w:lineRule="auto"/>
              <w:rPr>
                <w:rFonts w:ascii="Times New Roman" w:eastAsia="Times New Roman" w:hAnsi="Times New Roman" w:cs="Times New Roman"/>
                <w:noProof/>
              </w:rPr>
            </w:pPr>
          </w:p>
        </w:tc>
      </w:tr>
      <w:tr w:rsidR="00E42B18" w14:paraId="4B140707"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07810A" w14:textId="77777777" w:rsidR="00E42B18" w:rsidRDefault="009629C4">
            <w:pPr>
              <w:pStyle w:val="P68B1DB1-Normal121"/>
              <w:spacing w:after="0" w:line="240" w:lineRule="auto"/>
              <w:jc w:val="center"/>
              <w:rPr>
                <w:noProof/>
              </w:rPr>
            </w:pPr>
            <w:r>
              <w:rPr>
                <w:noProof/>
              </w:rPr>
              <w:t>M2C1–1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EE0159" w14:textId="77777777" w:rsidR="00E42B18" w:rsidRDefault="009629C4">
            <w:pPr>
              <w:pStyle w:val="P68B1DB1-Normal121"/>
              <w:spacing w:after="0" w:line="240" w:lineRule="auto"/>
              <w:rPr>
                <w:noProof/>
              </w:rPr>
            </w:pPr>
            <w:r>
              <w:rPr>
                <w:noProof/>
              </w:rPr>
              <w:t>Uudistus 1.1 – Kiertotalousstrategia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B6A451"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CAACD7" w14:textId="77777777" w:rsidR="00E42B18" w:rsidRDefault="009629C4">
            <w:pPr>
              <w:pStyle w:val="P68B1DB1-Normal121"/>
              <w:spacing w:after="0" w:line="240" w:lineRule="auto"/>
              <w:rPr>
                <w:noProof/>
              </w:rPr>
            </w:pPr>
            <w:r>
              <w:rPr>
                <w:noProof/>
              </w:rPr>
              <w:t>Kansallisen kiertotalousstrategian hyväksymistä koskevan ministerin asetuksen voimaantulo</w:t>
            </w:r>
          </w:p>
        </w:tc>
        <w:tc>
          <w:tcPr>
            <w:tcW w:w="236" w:type="dxa"/>
            <w:tcBorders>
              <w:top w:val="nil"/>
              <w:left w:val="single" w:sz="4" w:space="0" w:color="auto"/>
              <w:bottom w:val="nil"/>
              <w:right w:val="nil"/>
            </w:tcBorders>
            <w:vAlign w:val="center"/>
          </w:tcPr>
          <w:p w14:paraId="60557FC8" w14:textId="77777777" w:rsidR="00E42B18" w:rsidRDefault="00E42B18">
            <w:pPr>
              <w:spacing w:after="0" w:line="240" w:lineRule="auto"/>
              <w:rPr>
                <w:rFonts w:ascii="Times New Roman" w:eastAsia="Times New Roman" w:hAnsi="Times New Roman" w:cs="Times New Roman"/>
                <w:noProof/>
              </w:rPr>
            </w:pPr>
          </w:p>
        </w:tc>
      </w:tr>
      <w:tr w:rsidR="00E42B18" w14:paraId="54BCA992"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5E7C8C" w14:textId="77777777" w:rsidR="00E42B18" w:rsidRDefault="009629C4">
            <w:pPr>
              <w:pStyle w:val="P68B1DB1-Normal121"/>
              <w:spacing w:after="0" w:line="240" w:lineRule="auto"/>
              <w:jc w:val="center"/>
              <w:rPr>
                <w:noProof/>
              </w:rPr>
            </w:pPr>
            <w:r>
              <w:rPr>
                <w:noProof/>
              </w:rPr>
              <w:t>M2C1–2</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DCDB00" w14:textId="77777777" w:rsidR="00E42B18" w:rsidRDefault="009629C4">
            <w:pPr>
              <w:pStyle w:val="P68B1DB1-Normal121"/>
              <w:spacing w:after="0" w:line="240" w:lineRule="auto"/>
              <w:rPr>
                <w:noProof/>
              </w:rPr>
            </w:pPr>
            <w:r>
              <w:rPr>
                <w:noProof/>
              </w:rPr>
              <w:t>Uudistus 1.3 – Tekninen tuki paikallisviranomaisille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CA8E87"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CAB0E0" w14:textId="77777777" w:rsidR="00E42B18" w:rsidRDefault="009629C4">
            <w:pPr>
              <w:pStyle w:val="P68B1DB1-Normal121"/>
              <w:spacing w:after="0" w:line="240" w:lineRule="auto"/>
              <w:rPr>
                <w:noProof/>
              </w:rPr>
            </w:pPr>
            <w:r>
              <w:rPr>
                <w:noProof/>
              </w:rPr>
              <w:t>Paikallisten viranomaisten tukemiseen tähtäävän valmiuksien kehittämistä koskevan toimintasuunnitelman kehittämistä koskevan sopimuksen hyväksyminen</w:t>
            </w:r>
          </w:p>
        </w:tc>
        <w:tc>
          <w:tcPr>
            <w:tcW w:w="236" w:type="dxa"/>
            <w:tcBorders>
              <w:top w:val="nil"/>
              <w:left w:val="single" w:sz="4" w:space="0" w:color="auto"/>
              <w:bottom w:val="nil"/>
              <w:right w:val="nil"/>
            </w:tcBorders>
            <w:vAlign w:val="center"/>
          </w:tcPr>
          <w:p w14:paraId="4FF0676D" w14:textId="77777777" w:rsidR="00E42B18" w:rsidRDefault="00E42B18">
            <w:pPr>
              <w:spacing w:after="0" w:line="240" w:lineRule="auto"/>
              <w:rPr>
                <w:rFonts w:ascii="Times New Roman" w:eastAsia="Times New Roman" w:hAnsi="Times New Roman" w:cs="Times New Roman"/>
                <w:noProof/>
              </w:rPr>
            </w:pPr>
          </w:p>
        </w:tc>
      </w:tr>
      <w:tr w:rsidR="00E42B18" w14:paraId="4A4B9C54"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C2323C" w14:textId="77777777" w:rsidR="00E42B18" w:rsidRDefault="009629C4">
            <w:pPr>
              <w:pStyle w:val="P68B1DB1-Normal121"/>
              <w:spacing w:after="0" w:line="240" w:lineRule="auto"/>
              <w:jc w:val="center"/>
              <w:rPr>
                <w:noProof/>
              </w:rPr>
            </w:pPr>
            <w:r>
              <w:rPr>
                <w:noProof/>
              </w:rPr>
              <w:t>M2C1–11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0E0CBB" w14:textId="77777777" w:rsidR="00E42B18" w:rsidRDefault="009629C4">
            <w:pPr>
              <w:pStyle w:val="P68B1DB1-Normal121"/>
              <w:spacing w:after="0" w:line="240" w:lineRule="auto"/>
              <w:rPr>
                <w:noProof/>
              </w:rPr>
            </w:pPr>
            <w:r>
              <w:rPr>
                <w:noProof/>
              </w:rPr>
              <w:t>Investointi 3.3: Kulttuuri ja tietoisuus ympäristöaiheista ja -haasteista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0B08BE"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5B64AB" w14:textId="77777777" w:rsidR="00E42B18" w:rsidRDefault="009629C4">
            <w:pPr>
              <w:pStyle w:val="P68B1DB1-Normal121"/>
              <w:spacing w:after="0" w:line="240" w:lineRule="auto"/>
              <w:rPr>
                <w:noProof/>
              </w:rPr>
            </w:pPr>
            <w:r>
              <w:rPr>
                <w:noProof/>
              </w:rPr>
              <w:t>Verkkofoorumin ja kirjailijoiden kanssa tehtävien sopimusten käynnistäminen</w:t>
            </w:r>
          </w:p>
        </w:tc>
        <w:tc>
          <w:tcPr>
            <w:tcW w:w="236" w:type="dxa"/>
            <w:tcBorders>
              <w:top w:val="nil"/>
              <w:left w:val="single" w:sz="4" w:space="0" w:color="auto"/>
              <w:bottom w:val="nil"/>
              <w:right w:val="nil"/>
            </w:tcBorders>
            <w:vAlign w:val="center"/>
          </w:tcPr>
          <w:p w14:paraId="5A31F9DE" w14:textId="77777777" w:rsidR="00E42B18" w:rsidRDefault="00E42B18">
            <w:pPr>
              <w:spacing w:after="0" w:line="240" w:lineRule="auto"/>
              <w:rPr>
                <w:rFonts w:ascii="Times New Roman" w:eastAsia="Times New Roman" w:hAnsi="Times New Roman" w:cs="Times New Roman"/>
                <w:noProof/>
              </w:rPr>
            </w:pPr>
          </w:p>
        </w:tc>
      </w:tr>
      <w:tr w:rsidR="00E42B18" w14:paraId="4C8B91AE"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B924D2" w14:textId="77777777" w:rsidR="00E42B18" w:rsidRDefault="009629C4">
            <w:pPr>
              <w:pStyle w:val="P68B1DB1-Normal121"/>
              <w:spacing w:after="0" w:line="240" w:lineRule="auto"/>
              <w:jc w:val="center"/>
              <w:rPr>
                <w:noProof/>
              </w:rPr>
            </w:pPr>
            <w:r>
              <w:rPr>
                <w:noProof/>
              </w:rPr>
              <w:t>M2C2–18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C6721E" w14:textId="77777777" w:rsidR="00E42B18" w:rsidRDefault="009629C4">
            <w:pPr>
              <w:pStyle w:val="P68B1DB1-Normal121"/>
              <w:spacing w:after="0" w:line="240" w:lineRule="auto"/>
              <w:rPr>
                <w:noProof/>
              </w:rPr>
            </w:pPr>
            <w:r>
              <w:rPr>
                <w:noProof/>
              </w:rPr>
              <w:t>Investointi 3.5 Vetytutkimus ja -kehitys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14BCF8"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A2484B" w14:textId="77777777" w:rsidR="00E42B18" w:rsidRDefault="009629C4">
            <w:pPr>
              <w:pStyle w:val="P68B1DB1-Normal121"/>
              <w:spacing w:after="0" w:line="240" w:lineRule="auto"/>
              <w:rPr>
                <w:noProof/>
              </w:rPr>
            </w:pPr>
            <w:r>
              <w:rPr>
                <w:noProof/>
              </w:rPr>
              <w:t>Kaikkien julkisten t &amp; k-sopimusten tekeminen vetyalan tutkimushankkeille</w:t>
            </w:r>
          </w:p>
        </w:tc>
        <w:tc>
          <w:tcPr>
            <w:tcW w:w="236" w:type="dxa"/>
            <w:tcBorders>
              <w:top w:val="nil"/>
              <w:left w:val="single" w:sz="4" w:space="0" w:color="auto"/>
              <w:bottom w:val="nil"/>
              <w:right w:val="nil"/>
            </w:tcBorders>
            <w:vAlign w:val="center"/>
          </w:tcPr>
          <w:p w14:paraId="00BC22B1" w14:textId="77777777" w:rsidR="00E42B18" w:rsidRDefault="00E42B18">
            <w:pPr>
              <w:spacing w:after="0" w:line="240" w:lineRule="auto"/>
              <w:rPr>
                <w:rFonts w:ascii="Times New Roman" w:eastAsia="Times New Roman" w:hAnsi="Times New Roman" w:cs="Times New Roman"/>
                <w:noProof/>
              </w:rPr>
            </w:pPr>
          </w:p>
        </w:tc>
      </w:tr>
      <w:tr w:rsidR="00E42B18" w14:paraId="67C4D9E2"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608E97" w14:textId="77777777" w:rsidR="00E42B18" w:rsidRDefault="009629C4">
            <w:pPr>
              <w:pStyle w:val="P68B1DB1-Normal121"/>
              <w:spacing w:after="0" w:line="240" w:lineRule="auto"/>
              <w:jc w:val="center"/>
              <w:rPr>
                <w:noProof/>
              </w:rPr>
            </w:pPr>
            <w:r>
              <w:rPr>
                <w:noProof/>
              </w:rPr>
              <w:t>M2C2–21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4AF5A6" w14:textId="77777777" w:rsidR="00E42B18" w:rsidRDefault="009629C4">
            <w:pPr>
              <w:pStyle w:val="P68B1DB1-Normal121"/>
              <w:spacing w:after="0" w:line="240" w:lineRule="auto"/>
              <w:rPr>
                <w:noProof/>
              </w:rPr>
            </w:pPr>
            <w:r>
              <w:rPr>
                <w:noProof/>
              </w:rPr>
              <w:t>Uudistus 4 Vetyalan kilpailukykyä edistävät toimenpiteet</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BE9D06"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9AC019" w14:textId="77777777" w:rsidR="00E42B18" w:rsidRDefault="009629C4">
            <w:pPr>
              <w:pStyle w:val="P68B1DB1-Normal121"/>
              <w:spacing w:after="0" w:line="240" w:lineRule="auto"/>
              <w:rPr>
                <w:noProof/>
              </w:rPr>
            </w:pPr>
            <w:r>
              <w:rPr>
                <w:noProof/>
              </w:rPr>
              <w:t>Verokannustimien voimaantulo</w:t>
            </w:r>
          </w:p>
        </w:tc>
        <w:tc>
          <w:tcPr>
            <w:tcW w:w="236" w:type="dxa"/>
            <w:tcBorders>
              <w:top w:val="nil"/>
              <w:left w:val="single" w:sz="4" w:space="0" w:color="auto"/>
              <w:bottom w:val="nil"/>
              <w:right w:val="nil"/>
            </w:tcBorders>
            <w:vAlign w:val="center"/>
          </w:tcPr>
          <w:p w14:paraId="40C885E1" w14:textId="77777777" w:rsidR="00E42B18" w:rsidRDefault="00E42B18">
            <w:pPr>
              <w:spacing w:after="0" w:line="240" w:lineRule="auto"/>
              <w:rPr>
                <w:rFonts w:ascii="Times New Roman" w:eastAsia="Times New Roman" w:hAnsi="Times New Roman" w:cs="Times New Roman"/>
                <w:noProof/>
              </w:rPr>
            </w:pPr>
          </w:p>
        </w:tc>
      </w:tr>
      <w:tr w:rsidR="00E42B18" w14:paraId="27A256C9"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E7A871" w14:textId="77777777" w:rsidR="00E42B18" w:rsidRDefault="009629C4">
            <w:pPr>
              <w:pStyle w:val="P68B1DB1-Normal121"/>
              <w:spacing w:after="0" w:line="240" w:lineRule="auto"/>
              <w:jc w:val="center"/>
              <w:rPr>
                <w:noProof/>
              </w:rPr>
            </w:pPr>
            <w:r>
              <w:rPr>
                <w:noProof/>
              </w:rPr>
              <w:t>M2C2–38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35BBC3" w14:textId="77777777" w:rsidR="00E42B18" w:rsidRDefault="009629C4">
            <w:pPr>
              <w:pStyle w:val="P68B1DB1-Normal121"/>
              <w:spacing w:after="0" w:line="240" w:lineRule="auto"/>
              <w:rPr>
                <w:noProof/>
              </w:rPr>
            </w:pPr>
            <w:r>
              <w:rPr>
                <w:noProof/>
              </w:rPr>
              <w:t>Investointi 5.1: Uusiutuvat energialähteet ja akut</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70F0F8"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D93EBA" w14:textId="77777777" w:rsidR="00E42B18" w:rsidRDefault="009629C4">
            <w:pPr>
              <w:pStyle w:val="P68B1DB1-Normal121"/>
              <w:spacing w:after="0" w:line="240" w:lineRule="auto"/>
              <w:rPr>
                <w:noProof/>
              </w:rPr>
            </w:pPr>
            <w:r>
              <w:rPr>
                <w:noProof/>
              </w:rPr>
              <w:t>Ministeriön asetuksen voimaantulo</w:t>
            </w:r>
          </w:p>
        </w:tc>
        <w:tc>
          <w:tcPr>
            <w:tcW w:w="236" w:type="dxa"/>
            <w:tcBorders>
              <w:top w:val="nil"/>
              <w:left w:val="single" w:sz="4" w:space="0" w:color="auto"/>
              <w:bottom w:val="nil"/>
              <w:right w:val="nil"/>
            </w:tcBorders>
            <w:vAlign w:val="center"/>
          </w:tcPr>
          <w:p w14:paraId="4B4816DF" w14:textId="77777777" w:rsidR="00E42B18" w:rsidRDefault="00E42B18">
            <w:pPr>
              <w:spacing w:after="0" w:line="240" w:lineRule="auto"/>
              <w:rPr>
                <w:rFonts w:ascii="Times New Roman" w:eastAsia="Times New Roman" w:hAnsi="Times New Roman" w:cs="Times New Roman"/>
                <w:noProof/>
              </w:rPr>
            </w:pPr>
          </w:p>
        </w:tc>
      </w:tr>
      <w:tr w:rsidR="00E42B18" w14:paraId="145B2C68"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E81478" w14:textId="77777777" w:rsidR="00E42B18" w:rsidRDefault="009629C4">
            <w:pPr>
              <w:pStyle w:val="P68B1DB1-Normal121"/>
              <w:spacing w:after="0" w:line="240" w:lineRule="auto"/>
              <w:jc w:val="center"/>
              <w:rPr>
                <w:noProof/>
              </w:rPr>
            </w:pPr>
            <w:r>
              <w:rPr>
                <w:noProof/>
              </w:rPr>
              <w:t>M2C2–42</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6602F4" w14:textId="77777777" w:rsidR="00E42B18" w:rsidRDefault="009629C4">
            <w:pPr>
              <w:pStyle w:val="P68B1DB1-Normal121"/>
              <w:spacing w:after="0" w:line="240" w:lineRule="auto"/>
              <w:rPr>
                <w:noProof/>
              </w:rPr>
            </w:pPr>
            <w:r>
              <w:rPr>
                <w:noProof/>
              </w:rPr>
              <w:t>Investointi 5.4: Pääomanlisäys vihreän siirtymän rahastoon (GTF)</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8C2FCC"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1260FA" w14:textId="77777777" w:rsidR="00E42B18" w:rsidRDefault="009629C4">
            <w:pPr>
              <w:pStyle w:val="P68B1DB1-Normal121"/>
              <w:spacing w:after="0" w:line="240" w:lineRule="auto"/>
              <w:rPr>
                <w:noProof/>
              </w:rPr>
            </w:pPr>
            <w:r>
              <w:rPr>
                <w:noProof/>
              </w:rPr>
              <w:t>Rahoitussopimuksen allekirjoittaminen</w:t>
            </w:r>
          </w:p>
        </w:tc>
        <w:tc>
          <w:tcPr>
            <w:tcW w:w="236" w:type="dxa"/>
            <w:tcBorders>
              <w:top w:val="nil"/>
              <w:left w:val="single" w:sz="4" w:space="0" w:color="auto"/>
              <w:bottom w:val="nil"/>
              <w:right w:val="nil"/>
            </w:tcBorders>
            <w:vAlign w:val="center"/>
          </w:tcPr>
          <w:p w14:paraId="3C1F35AE" w14:textId="77777777" w:rsidR="00E42B18" w:rsidRDefault="00E42B18">
            <w:pPr>
              <w:spacing w:after="0" w:line="240" w:lineRule="auto"/>
              <w:rPr>
                <w:rFonts w:ascii="Times New Roman" w:eastAsia="Times New Roman" w:hAnsi="Times New Roman" w:cs="Times New Roman"/>
                <w:noProof/>
              </w:rPr>
            </w:pPr>
          </w:p>
        </w:tc>
      </w:tr>
      <w:tr w:rsidR="00E42B18" w14:paraId="731D941D"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C33D3E" w14:textId="77777777" w:rsidR="00E42B18" w:rsidRDefault="009629C4">
            <w:pPr>
              <w:pStyle w:val="P68B1DB1-Normal121"/>
              <w:spacing w:after="0" w:line="240" w:lineRule="auto"/>
              <w:jc w:val="center"/>
              <w:rPr>
                <w:noProof/>
              </w:rPr>
            </w:pPr>
            <w:r>
              <w:rPr>
                <w:noProof/>
              </w:rPr>
              <w:t>M2C3–4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11347C" w14:textId="77777777" w:rsidR="00E42B18" w:rsidRDefault="009629C4">
            <w:pPr>
              <w:pStyle w:val="P68B1DB1-Normal121"/>
              <w:spacing w:after="0" w:line="240" w:lineRule="auto"/>
              <w:rPr>
                <w:noProof/>
              </w:rPr>
            </w:pPr>
            <w:r>
              <w:rPr>
                <w:noProof/>
              </w:rPr>
              <w:t>Uudistus 1.1: Energiatehokkuustoimia koskevien menettelyjen yksinkertaistaminen ja nopeuttaminen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176565"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99A031" w14:textId="77777777" w:rsidR="00E42B18" w:rsidRDefault="009629C4">
            <w:pPr>
              <w:pStyle w:val="P68B1DB1-Normal121"/>
              <w:spacing w:after="0" w:line="240" w:lineRule="auto"/>
              <w:rPr>
                <w:noProof/>
              </w:rPr>
            </w:pPr>
            <w:r>
              <w:rPr>
                <w:noProof/>
              </w:rPr>
              <w:t>Energiatehokkuustoimia koskevien menettelyjen yksinkertaistaminen ja nopeuttaminen</w:t>
            </w:r>
          </w:p>
        </w:tc>
        <w:tc>
          <w:tcPr>
            <w:tcW w:w="236" w:type="dxa"/>
            <w:tcBorders>
              <w:top w:val="nil"/>
              <w:left w:val="single" w:sz="4" w:space="0" w:color="auto"/>
              <w:bottom w:val="nil"/>
              <w:right w:val="nil"/>
            </w:tcBorders>
            <w:vAlign w:val="center"/>
          </w:tcPr>
          <w:p w14:paraId="0CA3631A" w14:textId="77777777" w:rsidR="00E42B18" w:rsidRDefault="00E42B18">
            <w:pPr>
              <w:spacing w:after="0" w:line="240" w:lineRule="auto"/>
              <w:rPr>
                <w:rFonts w:ascii="Times New Roman" w:eastAsia="Times New Roman" w:hAnsi="Times New Roman" w:cs="Times New Roman"/>
                <w:noProof/>
              </w:rPr>
            </w:pPr>
          </w:p>
        </w:tc>
      </w:tr>
      <w:tr w:rsidR="00E42B18" w14:paraId="3E0D8DAE"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C81B2A" w14:textId="77777777" w:rsidR="00E42B18" w:rsidRDefault="009629C4">
            <w:pPr>
              <w:pStyle w:val="P68B1DB1-Normal121"/>
              <w:spacing w:after="0" w:line="240" w:lineRule="auto"/>
              <w:jc w:val="center"/>
              <w:rPr>
                <w:noProof/>
              </w:rPr>
            </w:pPr>
            <w:r>
              <w:rPr>
                <w:noProof/>
              </w:rPr>
              <w:t>M2C4–1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C6F333" w14:textId="77777777" w:rsidR="00E42B18" w:rsidRDefault="009629C4">
            <w:pPr>
              <w:pStyle w:val="P68B1DB1-Normal121"/>
              <w:spacing w:after="0" w:line="240" w:lineRule="auto"/>
              <w:rPr>
                <w:noProof/>
              </w:rPr>
            </w:pPr>
            <w:r>
              <w:rPr>
                <w:noProof/>
              </w:rPr>
              <w:t>Uudistus 2.1. Hydrogeologisen epävakauden torjuntatoimien täytäntöönpanomenettelyjen yksinkertaistaminen ja nopeuttaminen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6CB64F"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9AB2D0" w14:textId="77777777" w:rsidR="00E42B18" w:rsidRDefault="009629C4">
            <w:pPr>
              <w:pStyle w:val="P68B1DB1-Normal121"/>
              <w:spacing w:after="0" w:line="240" w:lineRule="auto"/>
              <w:rPr>
                <w:noProof/>
              </w:rPr>
            </w:pPr>
            <w:r>
              <w:rPr>
                <w:noProof/>
              </w:rPr>
              <w:t>Oikeudellisen kehyksen yksinkertaistaminen hydrologisten riskien hallinnan parantamiseksi tulee voimaan</w:t>
            </w:r>
          </w:p>
        </w:tc>
        <w:tc>
          <w:tcPr>
            <w:tcW w:w="236" w:type="dxa"/>
            <w:tcBorders>
              <w:top w:val="nil"/>
              <w:left w:val="single" w:sz="4" w:space="0" w:color="auto"/>
              <w:bottom w:val="nil"/>
              <w:right w:val="nil"/>
            </w:tcBorders>
            <w:vAlign w:val="center"/>
          </w:tcPr>
          <w:p w14:paraId="40CAC5A8" w14:textId="77777777" w:rsidR="00E42B18" w:rsidRDefault="00E42B18">
            <w:pPr>
              <w:spacing w:after="0" w:line="240" w:lineRule="auto"/>
              <w:rPr>
                <w:rFonts w:ascii="Times New Roman" w:eastAsia="Times New Roman" w:hAnsi="Times New Roman" w:cs="Times New Roman"/>
                <w:noProof/>
              </w:rPr>
            </w:pPr>
          </w:p>
        </w:tc>
      </w:tr>
      <w:tr w:rsidR="00E42B18" w14:paraId="7E60F803"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012946" w14:textId="77777777" w:rsidR="00E42B18" w:rsidRDefault="009629C4">
            <w:pPr>
              <w:pStyle w:val="P68B1DB1-Normal121"/>
              <w:spacing w:after="0" w:line="240" w:lineRule="auto"/>
              <w:jc w:val="center"/>
              <w:rPr>
                <w:noProof/>
              </w:rPr>
            </w:pPr>
            <w:r>
              <w:rPr>
                <w:noProof/>
              </w:rPr>
              <w:t>M2C4–4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992CD6" w14:textId="77777777" w:rsidR="00E42B18" w:rsidRDefault="009629C4">
            <w:pPr>
              <w:pStyle w:val="P68B1DB1-Normal121"/>
              <w:spacing w:after="0" w:line="240" w:lineRule="auto"/>
              <w:rPr>
                <w:noProof/>
              </w:rPr>
            </w:pPr>
            <w:r>
              <w:rPr>
                <w:noProof/>
              </w:rPr>
              <w:t>Uudistus 4.2 ”Toimenpiteet integroitujen vesipalvelujen täydellisten johtamisvalmiuksien varmistamiseksi”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59CF62"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759A94" w14:textId="13F9D348" w:rsidR="00E42B18" w:rsidRDefault="009629C4">
            <w:pPr>
              <w:pStyle w:val="P68B1DB1-Normal121"/>
              <w:spacing w:after="0" w:line="240" w:lineRule="auto"/>
              <w:rPr>
                <w:noProof/>
              </w:rPr>
            </w:pPr>
            <w:r>
              <w:rPr>
                <w:noProof/>
              </w:rPr>
              <w:t>Kastelua koskevan uuden oikeudellisen kehyksen voimaantulo</w:t>
            </w:r>
          </w:p>
        </w:tc>
        <w:tc>
          <w:tcPr>
            <w:tcW w:w="236" w:type="dxa"/>
            <w:tcBorders>
              <w:top w:val="nil"/>
              <w:left w:val="single" w:sz="4" w:space="0" w:color="auto"/>
              <w:bottom w:val="nil"/>
              <w:right w:val="nil"/>
            </w:tcBorders>
            <w:vAlign w:val="center"/>
          </w:tcPr>
          <w:p w14:paraId="2DB7C72E" w14:textId="77777777" w:rsidR="00E42B18" w:rsidRDefault="00E42B18">
            <w:pPr>
              <w:spacing w:after="0" w:line="240" w:lineRule="auto"/>
              <w:rPr>
                <w:rFonts w:ascii="Times New Roman" w:eastAsia="Times New Roman" w:hAnsi="Times New Roman" w:cs="Times New Roman"/>
                <w:noProof/>
              </w:rPr>
            </w:pPr>
          </w:p>
        </w:tc>
      </w:tr>
      <w:tr w:rsidR="00E42B18" w14:paraId="2C58E2E0"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179628" w14:textId="77777777" w:rsidR="00E42B18" w:rsidRDefault="009629C4">
            <w:pPr>
              <w:pStyle w:val="P68B1DB1-Normal121"/>
              <w:spacing w:after="0" w:line="240" w:lineRule="auto"/>
              <w:jc w:val="center"/>
              <w:rPr>
                <w:noProof/>
              </w:rPr>
            </w:pPr>
            <w:r>
              <w:rPr>
                <w:noProof/>
              </w:rPr>
              <w:t>M4C1–3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E85B2A" w14:textId="77777777" w:rsidR="00E42B18" w:rsidRDefault="009629C4">
            <w:pPr>
              <w:pStyle w:val="P68B1DB1-Normal121"/>
              <w:spacing w:after="0" w:line="240" w:lineRule="auto"/>
              <w:rPr>
                <w:noProof/>
              </w:rPr>
            </w:pPr>
            <w:r>
              <w:rPr>
                <w:noProof/>
              </w:rPr>
              <w:t>Uudistus 2.1: Opettajien rekrytointi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FE43E9"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7FF977" w14:textId="77777777" w:rsidR="00E42B18" w:rsidRDefault="009629C4">
            <w:pPr>
              <w:pStyle w:val="P68B1DB1-Normal121"/>
              <w:spacing w:after="0" w:line="240" w:lineRule="auto"/>
              <w:rPr>
                <w:noProof/>
              </w:rPr>
            </w:pPr>
            <w:r>
              <w:rPr>
                <w:noProof/>
              </w:rPr>
              <w:t>Opettajan ammattia koskevan uudistuksen voimaantulo.</w:t>
            </w:r>
          </w:p>
        </w:tc>
        <w:tc>
          <w:tcPr>
            <w:tcW w:w="236" w:type="dxa"/>
            <w:tcBorders>
              <w:top w:val="nil"/>
              <w:left w:val="single" w:sz="4" w:space="0" w:color="auto"/>
              <w:bottom w:val="nil"/>
              <w:right w:val="nil"/>
            </w:tcBorders>
            <w:vAlign w:val="center"/>
          </w:tcPr>
          <w:p w14:paraId="3D92306F" w14:textId="77777777" w:rsidR="00E42B18" w:rsidRDefault="00E42B18">
            <w:pPr>
              <w:spacing w:after="0" w:line="240" w:lineRule="auto"/>
              <w:rPr>
                <w:rFonts w:ascii="Times New Roman" w:eastAsia="Times New Roman" w:hAnsi="Times New Roman" w:cs="Times New Roman"/>
                <w:noProof/>
              </w:rPr>
            </w:pPr>
          </w:p>
        </w:tc>
      </w:tr>
      <w:tr w:rsidR="00E42B18" w14:paraId="4C292558"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0468F7" w14:textId="77777777" w:rsidR="00E42B18" w:rsidRDefault="009629C4">
            <w:pPr>
              <w:pStyle w:val="P68B1DB1-Normal121"/>
              <w:spacing w:after="0" w:line="240" w:lineRule="auto"/>
              <w:jc w:val="center"/>
              <w:rPr>
                <w:noProof/>
              </w:rPr>
            </w:pPr>
            <w:r>
              <w:rPr>
                <w:noProof/>
              </w:rPr>
              <w:t>M4C1–4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3BB168" w14:textId="77777777" w:rsidR="00E42B18" w:rsidRDefault="009629C4">
            <w:pPr>
              <w:pStyle w:val="P68B1DB1-Normal121"/>
              <w:spacing w:after="0" w:line="240" w:lineRule="auto"/>
              <w:rPr>
                <w:noProof/>
              </w:rPr>
            </w:pPr>
            <w:r>
              <w:rPr>
                <w:noProof/>
              </w:rPr>
              <w:t>Investointi 3.2: Koulu 4.0: innovatiiviset koulut, kaapelointi, uudet luokkahuoneet ja työpajat</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11CF47"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49B13B" w14:textId="77777777" w:rsidR="00E42B18" w:rsidRDefault="009629C4">
            <w:pPr>
              <w:pStyle w:val="P68B1DB1-Normal121"/>
              <w:spacing w:after="0" w:line="240" w:lineRule="auto"/>
              <w:rPr>
                <w:noProof/>
              </w:rPr>
            </w:pPr>
            <w:r>
              <w:rPr>
                <w:noProof/>
              </w:rPr>
              <w:t>Koulu 4.0 Suunnitelma Italian koulujärjestelmän digitaalisen siirtymän edistämiseksi hyväksytään</w:t>
            </w:r>
          </w:p>
        </w:tc>
        <w:tc>
          <w:tcPr>
            <w:tcW w:w="236" w:type="dxa"/>
            <w:tcBorders>
              <w:top w:val="nil"/>
              <w:left w:val="single" w:sz="4" w:space="0" w:color="auto"/>
              <w:bottom w:val="nil"/>
              <w:right w:val="nil"/>
            </w:tcBorders>
            <w:vAlign w:val="center"/>
          </w:tcPr>
          <w:p w14:paraId="5621077D" w14:textId="77777777" w:rsidR="00E42B18" w:rsidRDefault="00E42B18">
            <w:pPr>
              <w:spacing w:after="0" w:line="240" w:lineRule="auto"/>
              <w:rPr>
                <w:rFonts w:ascii="Times New Roman" w:eastAsia="Times New Roman" w:hAnsi="Times New Roman" w:cs="Times New Roman"/>
                <w:noProof/>
              </w:rPr>
            </w:pPr>
          </w:p>
        </w:tc>
      </w:tr>
      <w:tr w:rsidR="00E42B18" w14:paraId="78CE38FF"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18A8020" w14:textId="77777777" w:rsidR="00E42B18" w:rsidRDefault="009629C4">
            <w:pPr>
              <w:pStyle w:val="P68B1DB1-Normal121"/>
              <w:spacing w:after="0" w:line="240" w:lineRule="auto"/>
              <w:jc w:val="center"/>
              <w:rPr>
                <w:noProof/>
              </w:rPr>
            </w:pPr>
            <w:r>
              <w:rPr>
                <w:noProof/>
              </w:rPr>
              <w:t>M4C2–4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623FB1" w14:textId="77777777" w:rsidR="00E42B18" w:rsidRDefault="009629C4">
            <w:pPr>
              <w:pStyle w:val="P68B1DB1-Normal121"/>
              <w:spacing w:after="0" w:line="240" w:lineRule="auto"/>
              <w:rPr>
                <w:noProof/>
              </w:rPr>
            </w:pPr>
            <w:r>
              <w:rPr>
                <w:noProof/>
              </w:rPr>
              <w:t>Uudistus 1.1: T &amp; K-tukitoimenpiteiden toteuttaminen yksinkertaistamisen ja liikkuvuuden edistämiseksi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322AA3" w14:textId="77777777" w:rsidR="00E42B18" w:rsidRDefault="009629C4">
            <w:pPr>
              <w:pStyle w:val="P68B1DB1-Normal121"/>
              <w:spacing w:after="0" w:line="240" w:lineRule="auto"/>
              <w:jc w:val="center"/>
              <w:rPr>
                <w:noProof/>
              </w:rPr>
            </w:pPr>
            <w:r>
              <w:rPr>
                <w:noProof/>
              </w:rPr>
              <w:t>Virstanpylväs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9A980A" w14:textId="77777777" w:rsidR="00E42B18" w:rsidRDefault="009629C4">
            <w:pPr>
              <w:pStyle w:val="P68B1DB1-Normal121"/>
              <w:spacing w:after="0" w:line="240" w:lineRule="auto"/>
              <w:rPr>
                <w:noProof/>
              </w:rPr>
            </w:pPr>
            <w:r>
              <w:rPr>
                <w:noProof/>
              </w:rPr>
              <w:t>Tavalliseen rahoitusrahastoon liittyvää T &amp; K-toiminnan yksinkertaistamista ja liikkuvuutta koskevien ministeriön asetusten voimaantulo.</w:t>
            </w:r>
          </w:p>
        </w:tc>
        <w:tc>
          <w:tcPr>
            <w:tcW w:w="236" w:type="dxa"/>
            <w:tcBorders>
              <w:top w:val="nil"/>
              <w:left w:val="single" w:sz="4" w:space="0" w:color="auto"/>
              <w:bottom w:val="nil"/>
              <w:right w:val="nil"/>
            </w:tcBorders>
            <w:vAlign w:val="center"/>
          </w:tcPr>
          <w:p w14:paraId="79C795E4" w14:textId="77777777" w:rsidR="00E42B18" w:rsidRDefault="00E42B18">
            <w:pPr>
              <w:spacing w:after="0" w:line="240" w:lineRule="auto"/>
              <w:rPr>
                <w:rFonts w:ascii="Times New Roman" w:eastAsia="Times New Roman" w:hAnsi="Times New Roman" w:cs="Times New Roman"/>
                <w:noProof/>
              </w:rPr>
            </w:pPr>
          </w:p>
        </w:tc>
      </w:tr>
      <w:tr w:rsidR="00E42B18" w14:paraId="26576812"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6D8181" w14:textId="77777777" w:rsidR="00E42B18" w:rsidRDefault="00E42B18">
            <w:pPr>
              <w:spacing w:after="0" w:line="240" w:lineRule="auto"/>
              <w:jc w:val="center"/>
              <w:rPr>
                <w:rFonts w:ascii="Times New Roman" w:eastAsia="Times New Roman" w:hAnsi="Times New Roman" w:cs="Times New Roman"/>
                <w:noProof/>
              </w:rPr>
            </w:pP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60DF6DF" w14:textId="77777777" w:rsidR="00E42B18" w:rsidRDefault="009629C4">
            <w:pPr>
              <w:pStyle w:val="P68B1DB1-Normal121"/>
              <w:spacing w:after="0" w:line="240" w:lineRule="auto"/>
              <w:rPr>
                <w:noProof/>
              </w:rPr>
            </w:pPr>
            <w:r>
              <w:rPr>
                <w:noProof/>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C4AE05" w14:textId="77777777" w:rsidR="00E42B18" w:rsidRDefault="009629C4">
            <w:pPr>
              <w:pStyle w:val="P68B1DB1-Normal121"/>
              <w:spacing w:after="0" w:line="240" w:lineRule="auto"/>
              <w:jc w:val="center"/>
              <w:rPr>
                <w:noProof/>
              </w:rPr>
            </w:pPr>
            <w:r>
              <w:rPr>
                <w:noProof/>
              </w:rPr>
              <w:t>Maksuerän määrä</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54A399"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11494252874</w:t>
            </w:r>
            <w:r>
              <w:rPr>
                <w:noProof/>
                <w:sz w:val="23"/>
                <w:szCs w:val="23"/>
              </w:rPr>
              <w:t xml:space="preserve">  </w:t>
            </w:r>
            <w:r>
              <w:rPr>
                <w:noProof/>
                <w:color w:val="006100"/>
                <w:sz w:val="20"/>
                <w:szCs w:val="20"/>
              </w:rPr>
              <w:t xml:space="preserve">EUROA </w:t>
            </w:r>
          </w:p>
        </w:tc>
        <w:tc>
          <w:tcPr>
            <w:tcW w:w="236" w:type="dxa"/>
            <w:tcBorders>
              <w:top w:val="nil"/>
              <w:left w:val="single" w:sz="4" w:space="0" w:color="auto"/>
              <w:bottom w:val="nil"/>
              <w:right w:val="nil"/>
            </w:tcBorders>
            <w:vAlign w:val="center"/>
          </w:tcPr>
          <w:p w14:paraId="1E14FDC0" w14:textId="77777777" w:rsidR="00E42B18" w:rsidRDefault="00E42B18">
            <w:pPr>
              <w:spacing w:after="0" w:line="240" w:lineRule="auto"/>
              <w:rPr>
                <w:rFonts w:ascii="Times New Roman" w:eastAsia="Times New Roman" w:hAnsi="Times New Roman" w:cs="Times New Roman"/>
                <w:noProof/>
              </w:rPr>
            </w:pPr>
          </w:p>
        </w:tc>
      </w:tr>
    </w:tbl>
    <w:p w14:paraId="024052A9" w14:textId="77777777" w:rsidR="00E42B18" w:rsidRDefault="009629C4">
      <w:pPr>
        <w:pStyle w:val="P68B1DB1-Normal8"/>
        <w:spacing w:after="0" w:line="257" w:lineRule="auto"/>
        <w:rPr>
          <w:noProof/>
        </w:rPr>
      </w:pPr>
      <w:r>
        <w:rPr>
          <w:noProof/>
        </w:rPr>
        <w:t xml:space="preserve"> </w:t>
      </w:r>
    </w:p>
    <w:p w14:paraId="78AFC1E2" w14:textId="77777777" w:rsidR="00E42B18" w:rsidRDefault="009629C4">
      <w:pPr>
        <w:pStyle w:val="P68B1DB1-Normal8"/>
        <w:rPr>
          <w:noProof/>
        </w:rPr>
      </w:pPr>
      <w:r>
        <w:rPr>
          <w:noProof/>
        </w:rPr>
        <w:br w:type="page"/>
      </w:r>
    </w:p>
    <w:p w14:paraId="09ADE68E" w14:textId="77777777" w:rsidR="00E42B18" w:rsidRDefault="009629C4">
      <w:pPr>
        <w:pStyle w:val="P68B1DB1-Heading4119"/>
        <w:numPr>
          <w:ilvl w:val="1"/>
          <w:numId w:val="180"/>
        </w:numPr>
        <w:tabs>
          <w:tab w:val="num" w:pos="1440"/>
        </w:tabs>
        <w:ind w:left="1440" w:hanging="360"/>
        <w:rPr>
          <w:noProof/>
        </w:rPr>
      </w:pPr>
      <w:r>
        <w:rPr>
          <w:noProof/>
        </w:rPr>
        <w:t>Kolmas vaihe (tuki, jota ei makseta takaisin):</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5"/>
        <w:gridCol w:w="3541"/>
        <w:gridCol w:w="1260"/>
        <w:gridCol w:w="3162"/>
      </w:tblGrid>
      <w:tr w:rsidR="00E42B18" w14:paraId="57DB9CC8" w14:textId="77777777">
        <w:trPr>
          <w:trHeight w:val="900"/>
          <w:tblHeader/>
        </w:trPr>
        <w:tc>
          <w:tcPr>
            <w:tcW w:w="1395" w:type="dxa"/>
            <w:vMerge w:val="restart"/>
            <w:shd w:val="clear" w:color="auto" w:fill="BDD7EE"/>
            <w:tcMar>
              <w:left w:w="108" w:type="dxa"/>
              <w:right w:w="108" w:type="dxa"/>
            </w:tcMar>
            <w:vAlign w:val="center"/>
          </w:tcPr>
          <w:p w14:paraId="6F728BE8" w14:textId="77777777" w:rsidR="00E42B18" w:rsidRDefault="009629C4">
            <w:pPr>
              <w:pStyle w:val="P68B1DB1-Normal120"/>
              <w:spacing w:after="0" w:line="240" w:lineRule="auto"/>
              <w:jc w:val="center"/>
              <w:rPr>
                <w:noProof/>
              </w:rPr>
            </w:pPr>
            <w:r>
              <w:rPr>
                <w:noProof/>
              </w:rPr>
              <w:t>Juokseva numero</w:t>
            </w:r>
          </w:p>
        </w:tc>
        <w:tc>
          <w:tcPr>
            <w:tcW w:w="3541" w:type="dxa"/>
            <w:vMerge w:val="restart"/>
            <w:shd w:val="clear" w:color="auto" w:fill="BDD7EE"/>
            <w:tcMar>
              <w:left w:w="108" w:type="dxa"/>
              <w:right w:w="108" w:type="dxa"/>
            </w:tcMar>
            <w:vAlign w:val="center"/>
          </w:tcPr>
          <w:p w14:paraId="186E3793" w14:textId="77777777" w:rsidR="00E42B18" w:rsidRDefault="009629C4">
            <w:pPr>
              <w:pStyle w:val="P68B1DB1-Normal120"/>
              <w:spacing w:after="0" w:line="240" w:lineRule="auto"/>
              <w:jc w:val="center"/>
              <w:rPr>
                <w:noProof/>
              </w:rPr>
            </w:pPr>
            <w:r>
              <w:rPr>
                <w:noProof/>
              </w:rPr>
              <w:t>Toimenpide (uudistus tai investointi)</w:t>
            </w:r>
          </w:p>
        </w:tc>
        <w:tc>
          <w:tcPr>
            <w:tcW w:w="1260" w:type="dxa"/>
            <w:vMerge w:val="restart"/>
            <w:shd w:val="clear" w:color="auto" w:fill="BDD7EE"/>
            <w:tcMar>
              <w:left w:w="108" w:type="dxa"/>
              <w:right w:w="108" w:type="dxa"/>
            </w:tcMar>
            <w:vAlign w:val="center"/>
          </w:tcPr>
          <w:p w14:paraId="5756B248" w14:textId="77777777" w:rsidR="00E42B18" w:rsidRDefault="009629C4">
            <w:pPr>
              <w:pStyle w:val="P68B1DB1-Normal120"/>
              <w:spacing w:after="0" w:line="240" w:lineRule="auto"/>
              <w:jc w:val="center"/>
              <w:rPr>
                <w:noProof/>
              </w:rPr>
            </w:pPr>
            <w:r>
              <w:rPr>
                <w:noProof/>
              </w:rPr>
              <w:t>Välitavoite/tavoite</w:t>
            </w:r>
          </w:p>
        </w:tc>
        <w:tc>
          <w:tcPr>
            <w:tcW w:w="3162" w:type="dxa"/>
            <w:vMerge w:val="restart"/>
            <w:shd w:val="clear" w:color="auto" w:fill="BDD7EE"/>
            <w:tcMar>
              <w:left w:w="108" w:type="dxa"/>
              <w:right w:w="108" w:type="dxa"/>
            </w:tcMar>
            <w:vAlign w:val="center"/>
          </w:tcPr>
          <w:p w14:paraId="3402509E" w14:textId="77777777" w:rsidR="00E42B18" w:rsidRDefault="009629C4">
            <w:pPr>
              <w:pStyle w:val="P68B1DB1-Normal120"/>
              <w:spacing w:after="0" w:line="240" w:lineRule="auto"/>
              <w:jc w:val="center"/>
              <w:rPr>
                <w:noProof/>
              </w:rPr>
            </w:pPr>
            <w:r>
              <w:rPr>
                <w:noProof/>
              </w:rPr>
              <w:t>Nimi</w:t>
            </w:r>
          </w:p>
        </w:tc>
      </w:tr>
      <w:tr w:rsidR="00E42B18" w14:paraId="2CBD1B8E" w14:textId="77777777">
        <w:trPr>
          <w:trHeight w:val="510"/>
        </w:trPr>
        <w:tc>
          <w:tcPr>
            <w:tcW w:w="1395" w:type="dxa"/>
            <w:vMerge/>
            <w:vAlign w:val="center"/>
          </w:tcPr>
          <w:p w14:paraId="1F1A8744" w14:textId="77777777" w:rsidR="00E42B18" w:rsidRDefault="00E42B18">
            <w:pPr>
              <w:spacing w:after="0" w:line="240" w:lineRule="auto"/>
              <w:jc w:val="center"/>
              <w:rPr>
                <w:rFonts w:ascii="Times New Roman" w:eastAsia="Times New Roman" w:hAnsi="Times New Roman" w:cs="Times New Roman"/>
                <w:noProof/>
              </w:rPr>
            </w:pPr>
          </w:p>
        </w:tc>
        <w:tc>
          <w:tcPr>
            <w:tcW w:w="3541" w:type="dxa"/>
            <w:vMerge/>
            <w:vAlign w:val="center"/>
          </w:tcPr>
          <w:p w14:paraId="57C3F0AD" w14:textId="77777777" w:rsidR="00E42B18" w:rsidRDefault="00E42B18">
            <w:pPr>
              <w:spacing w:after="0" w:line="240" w:lineRule="auto"/>
              <w:rPr>
                <w:rFonts w:ascii="Times New Roman" w:eastAsia="Times New Roman" w:hAnsi="Times New Roman" w:cs="Times New Roman"/>
                <w:noProof/>
              </w:rPr>
            </w:pPr>
          </w:p>
        </w:tc>
        <w:tc>
          <w:tcPr>
            <w:tcW w:w="1260" w:type="dxa"/>
            <w:vMerge/>
            <w:vAlign w:val="center"/>
          </w:tcPr>
          <w:p w14:paraId="12F506CD" w14:textId="77777777" w:rsidR="00E42B18" w:rsidRDefault="00E42B18">
            <w:pPr>
              <w:spacing w:after="0" w:line="240" w:lineRule="auto"/>
              <w:jc w:val="center"/>
              <w:rPr>
                <w:rFonts w:ascii="Times New Roman" w:eastAsia="Times New Roman" w:hAnsi="Times New Roman" w:cs="Times New Roman"/>
                <w:noProof/>
              </w:rPr>
            </w:pPr>
          </w:p>
        </w:tc>
        <w:tc>
          <w:tcPr>
            <w:tcW w:w="3162" w:type="dxa"/>
            <w:vMerge/>
            <w:vAlign w:val="center"/>
          </w:tcPr>
          <w:p w14:paraId="5D1293CE" w14:textId="77777777" w:rsidR="00E42B18" w:rsidRDefault="00E42B18">
            <w:pPr>
              <w:spacing w:after="0" w:line="240" w:lineRule="auto"/>
              <w:rPr>
                <w:rFonts w:ascii="Times New Roman" w:eastAsia="Times New Roman" w:hAnsi="Times New Roman" w:cs="Times New Roman"/>
                <w:noProof/>
              </w:rPr>
            </w:pPr>
          </w:p>
        </w:tc>
      </w:tr>
      <w:tr w:rsidR="00E42B18" w14:paraId="6EDFC83D" w14:textId="77777777">
        <w:trPr>
          <w:trHeight w:val="300"/>
        </w:trPr>
        <w:tc>
          <w:tcPr>
            <w:tcW w:w="1395" w:type="dxa"/>
            <w:shd w:val="clear" w:color="auto" w:fill="C6EFCE"/>
            <w:tcMar>
              <w:left w:w="108" w:type="dxa"/>
              <w:right w:w="108" w:type="dxa"/>
            </w:tcMar>
            <w:vAlign w:val="center"/>
          </w:tcPr>
          <w:p w14:paraId="6DD6E8A1" w14:textId="77777777" w:rsidR="00E42B18" w:rsidRDefault="009629C4">
            <w:pPr>
              <w:pStyle w:val="P68B1DB1-Normal121"/>
              <w:spacing w:after="0" w:line="240" w:lineRule="auto"/>
              <w:jc w:val="center"/>
              <w:rPr>
                <w:noProof/>
              </w:rPr>
            </w:pPr>
            <w:r>
              <w:rPr>
                <w:noProof/>
              </w:rPr>
              <w:t>M2C4–2</w:t>
            </w:r>
          </w:p>
        </w:tc>
        <w:tc>
          <w:tcPr>
            <w:tcW w:w="3541" w:type="dxa"/>
            <w:shd w:val="clear" w:color="auto" w:fill="C6EFCE"/>
            <w:tcMar>
              <w:left w:w="108" w:type="dxa"/>
              <w:right w:w="108" w:type="dxa"/>
            </w:tcMar>
            <w:vAlign w:val="center"/>
          </w:tcPr>
          <w:p w14:paraId="68A764B8" w14:textId="77777777" w:rsidR="00E42B18" w:rsidRDefault="009629C4">
            <w:pPr>
              <w:pStyle w:val="P68B1DB1-Normal121"/>
              <w:spacing w:after="0" w:line="240" w:lineRule="auto"/>
              <w:rPr>
                <w:noProof/>
              </w:rPr>
            </w:pPr>
            <w:r>
              <w:rPr>
                <w:noProof/>
              </w:rPr>
              <w:t>Uudistus 4.2 ”Toimenpiteet integroitujen vesipalvelujen täydellisten johtamisvalmiuksien varmistamiseksi”</w:t>
            </w:r>
          </w:p>
        </w:tc>
        <w:tc>
          <w:tcPr>
            <w:tcW w:w="1260" w:type="dxa"/>
            <w:shd w:val="clear" w:color="auto" w:fill="C6EFCE"/>
            <w:tcMar>
              <w:left w:w="108" w:type="dxa"/>
              <w:right w:w="108" w:type="dxa"/>
            </w:tcMar>
            <w:vAlign w:val="center"/>
          </w:tcPr>
          <w:p w14:paraId="78CFC6F9"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56114062" w14:textId="77777777" w:rsidR="00E42B18" w:rsidRDefault="009629C4">
            <w:pPr>
              <w:pStyle w:val="P68B1DB1-Normal121"/>
              <w:spacing w:after="0" w:line="240" w:lineRule="auto"/>
              <w:rPr>
                <w:noProof/>
              </w:rPr>
            </w:pPr>
            <w:r>
              <w:rPr>
                <w:noProof/>
              </w:rPr>
              <w:t xml:space="preserve">Uudistus, jolla varmistetaan integroitujen vesipalvelujen täydet johtamisvalmiudet, tulee voimaan </w:t>
            </w:r>
          </w:p>
        </w:tc>
      </w:tr>
      <w:tr w:rsidR="00E42B18" w14:paraId="767AE098" w14:textId="77777777">
        <w:trPr>
          <w:trHeight w:val="300"/>
        </w:trPr>
        <w:tc>
          <w:tcPr>
            <w:tcW w:w="1395" w:type="dxa"/>
            <w:shd w:val="clear" w:color="auto" w:fill="C6EFCE"/>
            <w:tcMar>
              <w:left w:w="108" w:type="dxa"/>
              <w:right w:w="108" w:type="dxa"/>
            </w:tcMar>
            <w:vAlign w:val="center"/>
          </w:tcPr>
          <w:p w14:paraId="1A11C7CB" w14:textId="77777777" w:rsidR="00E42B18" w:rsidRDefault="009629C4">
            <w:pPr>
              <w:pStyle w:val="P68B1DB1-Normal121"/>
              <w:spacing w:after="0" w:line="240" w:lineRule="auto"/>
              <w:jc w:val="center"/>
              <w:rPr>
                <w:noProof/>
              </w:rPr>
            </w:pPr>
            <w:r>
              <w:rPr>
                <w:noProof/>
              </w:rPr>
              <w:t>M1C1–3</w:t>
            </w:r>
          </w:p>
        </w:tc>
        <w:tc>
          <w:tcPr>
            <w:tcW w:w="3541" w:type="dxa"/>
            <w:shd w:val="clear" w:color="auto" w:fill="C6EFCE"/>
            <w:tcMar>
              <w:left w:w="108" w:type="dxa"/>
              <w:right w:w="108" w:type="dxa"/>
            </w:tcMar>
            <w:vAlign w:val="center"/>
          </w:tcPr>
          <w:p w14:paraId="372A857F" w14:textId="77777777" w:rsidR="00E42B18" w:rsidRDefault="009629C4">
            <w:pPr>
              <w:pStyle w:val="P68B1DB1-Normal121"/>
              <w:spacing w:after="0" w:line="240" w:lineRule="auto"/>
              <w:rPr>
                <w:noProof/>
              </w:rPr>
            </w:pPr>
            <w:r>
              <w:rPr>
                <w:noProof/>
              </w:rPr>
              <w:t>Investointi 1.1: Digitaalinen infrastruktuuri</w:t>
            </w:r>
          </w:p>
        </w:tc>
        <w:tc>
          <w:tcPr>
            <w:tcW w:w="1260" w:type="dxa"/>
            <w:shd w:val="clear" w:color="auto" w:fill="C6EFCE"/>
            <w:tcMar>
              <w:left w:w="108" w:type="dxa"/>
              <w:right w:w="108" w:type="dxa"/>
            </w:tcMar>
            <w:vAlign w:val="center"/>
          </w:tcPr>
          <w:p w14:paraId="75502F4D"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203398D5" w14:textId="77777777" w:rsidR="00E42B18" w:rsidRDefault="009629C4">
            <w:pPr>
              <w:pStyle w:val="P68B1DB1-Normal121"/>
              <w:spacing w:after="0" w:line="240" w:lineRule="auto"/>
              <w:rPr>
                <w:noProof/>
              </w:rPr>
            </w:pPr>
            <w:r>
              <w:rPr>
                <w:noProof/>
              </w:rPr>
              <w:t>Polo Strategico Nazionalen (PSN) loppuun saattaminen</w:t>
            </w:r>
          </w:p>
        </w:tc>
      </w:tr>
      <w:tr w:rsidR="00E42B18" w14:paraId="2AA5AB97" w14:textId="77777777">
        <w:trPr>
          <w:trHeight w:val="300"/>
        </w:trPr>
        <w:tc>
          <w:tcPr>
            <w:tcW w:w="1395" w:type="dxa"/>
            <w:shd w:val="clear" w:color="auto" w:fill="C6EFCE"/>
            <w:tcMar>
              <w:left w:w="108" w:type="dxa"/>
              <w:right w:w="108" w:type="dxa"/>
            </w:tcMar>
            <w:vAlign w:val="center"/>
          </w:tcPr>
          <w:p w14:paraId="6307106B" w14:textId="77777777" w:rsidR="00E42B18" w:rsidRDefault="009629C4">
            <w:pPr>
              <w:pStyle w:val="P68B1DB1-Normal121"/>
              <w:spacing w:after="0" w:line="240" w:lineRule="auto"/>
              <w:jc w:val="center"/>
              <w:rPr>
                <w:noProof/>
              </w:rPr>
            </w:pPr>
            <w:r>
              <w:rPr>
                <w:noProof/>
              </w:rPr>
              <w:t>M1C1–4</w:t>
            </w:r>
          </w:p>
        </w:tc>
        <w:tc>
          <w:tcPr>
            <w:tcW w:w="3541" w:type="dxa"/>
            <w:shd w:val="clear" w:color="auto" w:fill="C6EFCE"/>
            <w:tcMar>
              <w:left w:w="108" w:type="dxa"/>
              <w:right w:w="108" w:type="dxa"/>
            </w:tcMar>
            <w:vAlign w:val="center"/>
          </w:tcPr>
          <w:p w14:paraId="210DB39D" w14:textId="77777777" w:rsidR="00E42B18" w:rsidRDefault="009629C4">
            <w:pPr>
              <w:pStyle w:val="P68B1DB1-Normal121"/>
              <w:spacing w:after="0" w:line="240" w:lineRule="auto"/>
              <w:rPr>
                <w:noProof/>
              </w:rPr>
            </w:pPr>
            <w:r>
              <w:rPr>
                <w:noProof/>
              </w:rPr>
              <w:t>Investointi 1.3.1: Kansallinen digitaalidata-alusta</w:t>
            </w:r>
          </w:p>
        </w:tc>
        <w:tc>
          <w:tcPr>
            <w:tcW w:w="1260" w:type="dxa"/>
            <w:shd w:val="clear" w:color="auto" w:fill="C6EFCE"/>
            <w:tcMar>
              <w:left w:w="108" w:type="dxa"/>
              <w:right w:w="108" w:type="dxa"/>
            </w:tcMar>
            <w:vAlign w:val="center"/>
          </w:tcPr>
          <w:p w14:paraId="25B0403D"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759D3275" w14:textId="77777777" w:rsidR="00E42B18" w:rsidRDefault="009629C4">
            <w:pPr>
              <w:pStyle w:val="P68B1DB1-Normal121"/>
              <w:spacing w:after="0" w:line="240" w:lineRule="auto"/>
              <w:rPr>
                <w:noProof/>
              </w:rPr>
            </w:pPr>
            <w:r>
              <w:rPr>
                <w:noProof/>
              </w:rPr>
              <w:t>Kansallinen digitaalisten tietojen alusta toiminnassa</w:t>
            </w:r>
          </w:p>
        </w:tc>
      </w:tr>
      <w:tr w:rsidR="00E42B18" w14:paraId="16127E76" w14:textId="77777777">
        <w:trPr>
          <w:trHeight w:val="300"/>
        </w:trPr>
        <w:tc>
          <w:tcPr>
            <w:tcW w:w="1395" w:type="dxa"/>
            <w:shd w:val="clear" w:color="auto" w:fill="C6EFCE"/>
            <w:tcMar>
              <w:left w:w="108" w:type="dxa"/>
              <w:right w:w="108" w:type="dxa"/>
            </w:tcMar>
            <w:vAlign w:val="center"/>
          </w:tcPr>
          <w:p w14:paraId="30B487B7" w14:textId="77777777" w:rsidR="00E42B18" w:rsidRDefault="009629C4">
            <w:pPr>
              <w:pStyle w:val="P68B1DB1-Normal121"/>
              <w:spacing w:after="0" w:line="240" w:lineRule="auto"/>
              <w:jc w:val="center"/>
              <w:rPr>
                <w:noProof/>
              </w:rPr>
            </w:pPr>
            <w:r>
              <w:rPr>
                <w:noProof/>
              </w:rPr>
              <w:t>M1C1–5</w:t>
            </w:r>
          </w:p>
        </w:tc>
        <w:tc>
          <w:tcPr>
            <w:tcW w:w="3541" w:type="dxa"/>
            <w:shd w:val="clear" w:color="auto" w:fill="C6EFCE"/>
            <w:tcMar>
              <w:left w:w="108" w:type="dxa"/>
              <w:right w:w="108" w:type="dxa"/>
            </w:tcMar>
            <w:vAlign w:val="center"/>
          </w:tcPr>
          <w:p w14:paraId="18C73260" w14:textId="77777777" w:rsidR="00E42B18" w:rsidRDefault="009629C4">
            <w:pPr>
              <w:pStyle w:val="P68B1DB1-Normal121"/>
              <w:spacing w:after="0" w:line="240" w:lineRule="auto"/>
              <w:rPr>
                <w:noProof/>
              </w:rPr>
            </w:pPr>
            <w:r>
              <w:rPr>
                <w:noProof/>
              </w:rPr>
              <w:t>Investointi 1.5: Kyberturvallisuus</w:t>
            </w:r>
          </w:p>
        </w:tc>
        <w:tc>
          <w:tcPr>
            <w:tcW w:w="1260" w:type="dxa"/>
            <w:shd w:val="clear" w:color="auto" w:fill="C6EFCE"/>
            <w:tcMar>
              <w:left w:w="108" w:type="dxa"/>
              <w:right w:w="108" w:type="dxa"/>
            </w:tcMar>
            <w:vAlign w:val="center"/>
          </w:tcPr>
          <w:p w14:paraId="2CE45DE0"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4FF21B6A" w14:textId="77777777" w:rsidR="00E42B18" w:rsidRDefault="009629C4">
            <w:pPr>
              <w:pStyle w:val="P68B1DB1-Normal121"/>
              <w:spacing w:after="0" w:line="240" w:lineRule="auto"/>
              <w:rPr>
                <w:noProof/>
              </w:rPr>
            </w:pPr>
            <w:r>
              <w:rPr>
                <w:noProof/>
              </w:rPr>
              <w:t>Uuden kansallisen kyberturvallisuusviraston perustaminen</w:t>
            </w:r>
          </w:p>
        </w:tc>
      </w:tr>
      <w:tr w:rsidR="00E42B18" w14:paraId="15A55E7F" w14:textId="77777777">
        <w:trPr>
          <w:trHeight w:val="300"/>
        </w:trPr>
        <w:tc>
          <w:tcPr>
            <w:tcW w:w="1395" w:type="dxa"/>
            <w:shd w:val="clear" w:color="auto" w:fill="C6EFCE"/>
            <w:tcMar>
              <w:left w:w="108" w:type="dxa"/>
              <w:right w:w="108" w:type="dxa"/>
            </w:tcMar>
            <w:vAlign w:val="center"/>
          </w:tcPr>
          <w:p w14:paraId="5E8A3D3F" w14:textId="77777777" w:rsidR="00E42B18" w:rsidRDefault="009629C4">
            <w:pPr>
              <w:pStyle w:val="P68B1DB1-Normal121"/>
              <w:spacing w:after="0" w:line="240" w:lineRule="auto"/>
              <w:jc w:val="center"/>
              <w:rPr>
                <w:noProof/>
              </w:rPr>
            </w:pPr>
            <w:r>
              <w:rPr>
                <w:noProof/>
              </w:rPr>
              <w:t>M1C1–6</w:t>
            </w:r>
          </w:p>
        </w:tc>
        <w:tc>
          <w:tcPr>
            <w:tcW w:w="3541" w:type="dxa"/>
            <w:shd w:val="clear" w:color="auto" w:fill="C6EFCE"/>
            <w:tcMar>
              <w:left w:w="108" w:type="dxa"/>
              <w:right w:w="108" w:type="dxa"/>
            </w:tcMar>
            <w:vAlign w:val="center"/>
          </w:tcPr>
          <w:p w14:paraId="785C858E" w14:textId="77777777" w:rsidR="00E42B18" w:rsidRDefault="009629C4">
            <w:pPr>
              <w:pStyle w:val="P68B1DB1-Normal121"/>
              <w:spacing w:after="0" w:line="240" w:lineRule="auto"/>
              <w:rPr>
                <w:noProof/>
              </w:rPr>
            </w:pPr>
            <w:r>
              <w:rPr>
                <w:noProof/>
              </w:rPr>
              <w:t>Investointi 1.5: Kyberturvallisuus</w:t>
            </w:r>
          </w:p>
        </w:tc>
        <w:tc>
          <w:tcPr>
            <w:tcW w:w="1260" w:type="dxa"/>
            <w:shd w:val="clear" w:color="auto" w:fill="C6EFCE"/>
            <w:tcMar>
              <w:left w:w="108" w:type="dxa"/>
              <w:right w:w="108" w:type="dxa"/>
            </w:tcMar>
            <w:vAlign w:val="center"/>
          </w:tcPr>
          <w:p w14:paraId="107C9977"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17182DE5" w14:textId="77777777" w:rsidR="00E42B18" w:rsidRDefault="009629C4">
            <w:pPr>
              <w:pStyle w:val="P68B1DB1-Normal121"/>
              <w:spacing w:after="0" w:line="240" w:lineRule="auto"/>
              <w:rPr>
                <w:noProof/>
              </w:rPr>
            </w:pPr>
            <w:r>
              <w:rPr>
                <w:noProof/>
              </w:rPr>
              <w:t>Kansallisten kyberturvallisuuspalvelujen alustava käyttöönotto</w:t>
            </w:r>
          </w:p>
        </w:tc>
      </w:tr>
      <w:tr w:rsidR="00E42B18" w14:paraId="09DC204A" w14:textId="77777777">
        <w:trPr>
          <w:trHeight w:val="300"/>
        </w:trPr>
        <w:tc>
          <w:tcPr>
            <w:tcW w:w="1395" w:type="dxa"/>
            <w:shd w:val="clear" w:color="auto" w:fill="C6EFCE"/>
            <w:tcMar>
              <w:left w:w="108" w:type="dxa"/>
              <w:right w:w="108" w:type="dxa"/>
            </w:tcMar>
            <w:vAlign w:val="center"/>
          </w:tcPr>
          <w:p w14:paraId="0426D960" w14:textId="77777777" w:rsidR="00E42B18" w:rsidRDefault="009629C4">
            <w:pPr>
              <w:pStyle w:val="P68B1DB1-Normal121"/>
              <w:spacing w:after="0" w:line="240" w:lineRule="auto"/>
              <w:jc w:val="center"/>
              <w:rPr>
                <w:noProof/>
              </w:rPr>
            </w:pPr>
            <w:r>
              <w:rPr>
                <w:noProof/>
              </w:rPr>
              <w:t>M1C1–7</w:t>
            </w:r>
          </w:p>
        </w:tc>
        <w:tc>
          <w:tcPr>
            <w:tcW w:w="3541" w:type="dxa"/>
            <w:shd w:val="clear" w:color="auto" w:fill="C6EFCE"/>
            <w:tcMar>
              <w:left w:w="108" w:type="dxa"/>
              <w:right w:w="108" w:type="dxa"/>
            </w:tcMar>
            <w:vAlign w:val="center"/>
          </w:tcPr>
          <w:p w14:paraId="616DE3EE" w14:textId="77777777" w:rsidR="00E42B18" w:rsidRDefault="009629C4">
            <w:pPr>
              <w:pStyle w:val="P68B1DB1-Normal121"/>
              <w:spacing w:after="0" w:line="240" w:lineRule="auto"/>
              <w:rPr>
                <w:noProof/>
              </w:rPr>
            </w:pPr>
            <w:r>
              <w:rPr>
                <w:noProof/>
              </w:rPr>
              <w:t>Investointi 1.5: Kyberturvallisuus</w:t>
            </w:r>
          </w:p>
        </w:tc>
        <w:tc>
          <w:tcPr>
            <w:tcW w:w="1260" w:type="dxa"/>
            <w:shd w:val="clear" w:color="auto" w:fill="C6EFCE"/>
            <w:tcMar>
              <w:left w:w="108" w:type="dxa"/>
              <w:right w:w="108" w:type="dxa"/>
            </w:tcMar>
            <w:vAlign w:val="center"/>
          </w:tcPr>
          <w:p w14:paraId="4FCE1A2B"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30CED55D" w14:textId="77777777" w:rsidR="00E42B18" w:rsidRDefault="009629C4">
            <w:pPr>
              <w:pStyle w:val="P68B1DB1-Normal121"/>
              <w:spacing w:after="0" w:line="240" w:lineRule="auto"/>
              <w:rPr>
                <w:noProof/>
              </w:rPr>
            </w:pPr>
            <w:r>
              <w:rPr>
                <w:noProof/>
              </w:rPr>
              <w:t>Kyberturvallisuuden seulonta- ja sertifiointilaboratorioiden verkoston perustaminen</w:t>
            </w:r>
          </w:p>
        </w:tc>
      </w:tr>
      <w:tr w:rsidR="00E42B18" w14:paraId="3F1CDA0B" w14:textId="77777777">
        <w:trPr>
          <w:trHeight w:val="300"/>
        </w:trPr>
        <w:tc>
          <w:tcPr>
            <w:tcW w:w="1395" w:type="dxa"/>
            <w:shd w:val="clear" w:color="auto" w:fill="C6EFCE"/>
            <w:tcMar>
              <w:left w:w="108" w:type="dxa"/>
              <w:right w:w="108" w:type="dxa"/>
            </w:tcMar>
            <w:vAlign w:val="center"/>
          </w:tcPr>
          <w:p w14:paraId="5CCF5FA4" w14:textId="77777777" w:rsidR="00E42B18" w:rsidRDefault="009629C4">
            <w:pPr>
              <w:pStyle w:val="P68B1DB1-Normal121"/>
              <w:spacing w:after="0" w:line="240" w:lineRule="auto"/>
              <w:jc w:val="center"/>
              <w:rPr>
                <w:noProof/>
              </w:rPr>
            </w:pPr>
            <w:r>
              <w:rPr>
                <w:noProof/>
              </w:rPr>
              <w:t>M1C1–8</w:t>
            </w:r>
          </w:p>
        </w:tc>
        <w:tc>
          <w:tcPr>
            <w:tcW w:w="3541" w:type="dxa"/>
            <w:shd w:val="clear" w:color="auto" w:fill="C6EFCE"/>
            <w:tcMar>
              <w:left w:w="108" w:type="dxa"/>
              <w:right w:w="108" w:type="dxa"/>
            </w:tcMar>
            <w:vAlign w:val="center"/>
          </w:tcPr>
          <w:p w14:paraId="1A950F97" w14:textId="77777777" w:rsidR="00E42B18" w:rsidRDefault="009629C4">
            <w:pPr>
              <w:pStyle w:val="P68B1DB1-Normal121"/>
              <w:spacing w:after="0" w:line="240" w:lineRule="auto"/>
              <w:rPr>
                <w:noProof/>
              </w:rPr>
            </w:pPr>
            <w:r>
              <w:rPr>
                <w:noProof/>
              </w:rPr>
              <w:t>Investointi 1.5: Kyberturvallisuus</w:t>
            </w:r>
          </w:p>
        </w:tc>
        <w:tc>
          <w:tcPr>
            <w:tcW w:w="1260" w:type="dxa"/>
            <w:shd w:val="clear" w:color="auto" w:fill="C6EFCE"/>
            <w:tcMar>
              <w:left w:w="108" w:type="dxa"/>
              <w:right w:w="108" w:type="dxa"/>
            </w:tcMar>
            <w:vAlign w:val="center"/>
          </w:tcPr>
          <w:p w14:paraId="6383D4BE"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53856267" w14:textId="77777777" w:rsidR="00E42B18" w:rsidRDefault="009629C4">
            <w:pPr>
              <w:pStyle w:val="P68B1DB1-Normal121"/>
              <w:spacing w:after="0" w:line="240" w:lineRule="auto"/>
              <w:rPr>
                <w:noProof/>
              </w:rPr>
            </w:pPr>
            <w:r>
              <w:rPr>
                <w:noProof/>
              </w:rPr>
              <w:t>Keskitetyn tarkastusyksikön aktivointi PSNC- ja NIS-turvatoimenpiteitä varten</w:t>
            </w:r>
          </w:p>
        </w:tc>
      </w:tr>
      <w:tr w:rsidR="00E42B18" w14:paraId="71B8AB9C" w14:textId="77777777">
        <w:trPr>
          <w:trHeight w:val="300"/>
        </w:trPr>
        <w:tc>
          <w:tcPr>
            <w:tcW w:w="1395" w:type="dxa"/>
            <w:shd w:val="clear" w:color="auto" w:fill="C6EFCE"/>
            <w:tcMar>
              <w:left w:w="108" w:type="dxa"/>
              <w:right w:w="108" w:type="dxa"/>
            </w:tcMar>
            <w:vAlign w:val="center"/>
          </w:tcPr>
          <w:p w14:paraId="50E59C8E" w14:textId="77777777" w:rsidR="00E42B18" w:rsidRDefault="009629C4">
            <w:pPr>
              <w:pStyle w:val="P68B1DB1-Normal121"/>
              <w:spacing w:after="0" w:line="240" w:lineRule="auto"/>
              <w:jc w:val="center"/>
              <w:rPr>
                <w:noProof/>
              </w:rPr>
            </w:pPr>
            <w:r>
              <w:rPr>
                <w:noProof/>
              </w:rPr>
              <w:t>M1C1–9</w:t>
            </w:r>
          </w:p>
        </w:tc>
        <w:tc>
          <w:tcPr>
            <w:tcW w:w="3541" w:type="dxa"/>
            <w:shd w:val="clear" w:color="auto" w:fill="C6EFCE"/>
            <w:tcMar>
              <w:left w:w="108" w:type="dxa"/>
              <w:right w:w="108" w:type="dxa"/>
            </w:tcMar>
            <w:vAlign w:val="center"/>
          </w:tcPr>
          <w:p w14:paraId="13B3D525" w14:textId="77777777" w:rsidR="00E42B18" w:rsidRDefault="009629C4">
            <w:pPr>
              <w:pStyle w:val="P68B1DB1-Normal121"/>
              <w:spacing w:after="0" w:line="240" w:lineRule="auto"/>
              <w:rPr>
                <w:noProof/>
              </w:rPr>
            </w:pPr>
            <w:r>
              <w:rPr>
                <w:noProof/>
              </w:rPr>
              <w:t>Investointi 1.5: Kyberturvallisuus</w:t>
            </w:r>
          </w:p>
        </w:tc>
        <w:tc>
          <w:tcPr>
            <w:tcW w:w="1260" w:type="dxa"/>
            <w:shd w:val="clear" w:color="auto" w:fill="C6EFCE"/>
            <w:tcMar>
              <w:left w:w="108" w:type="dxa"/>
              <w:right w:w="108" w:type="dxa"/>
            </w:tcMar>
            <w:vAlign w:val="center"/>
          </w:tcPr>
          <w:p w14:paraId="7504B2F2" w14:textId="77777777" w:rsidR="00E42B18" w:rsidRDefault="009629C4">
            <w:pPr>
              <w:pStyle w:val="P68B1DB1-Normal121"/>
              <w:spacing w:after="0" w:line="240" w:lineRule="auto"/>
              <w:jc w:val="center"/>
              <w:rPr>
                <w:noProof/>
              </w:rPr>
            </w:pPr>
            <w:r>
              <w:rPr>
                <w:noProof/>
              </w:rPr>
              <w:t>Kohde</w:t>
            </w:r>
          </w:p>
        </w:tc>
        <w:tc>
          <w:tcPr>
            <w:tcW w:w="3162" w:type="dxa"/>
            <w:shd w:val="clear" w:color="auto" w:fill="C6EFCE"/>
            <w:tcMar>
              <w:left w:w="108" w:type="dxa"/>
              <w:right w:w="108" w:type="dxa"/>
            </w:tcMar>
            <w:vAlign w:val="center"/>
          </w:tcPr>
          <w:p w14:paraId="5051EB32" w14:textId="77777777" w:rsidR="00E42B18" w:rsidRDefault="009629C4">
            <w:pPr>
              <w:pStyle w:val="P68B1DB1-Normal121"/>
              <w:spacing w:after="0" w:line="240" w:lineRule="auto"/>
              <w:rPr>
                <w:noProof/>
              </w:rPr>
            </w:pPr>
            <w:r>
              <w:rPr>
                <w:noProof/>
              </w:rPr>
              <w:t>Tuki turvallisuusrakenteiden parantamiseen T1</w:t>
            </w:r>
          </w:p>
        </w:tc>
      </w:tr>
      <w:tr w:rsidR="00E42B18" w14:paraId="7951038E" w14:textId="77777777">
        <w:trPr>
          <w:trHeight w:val="300"/>
        </w:trPr>
        <w:tc>
          <w:tcPr>
            <w:tcW w:w="1395" w:type="dxa"/>
            <w:shd w:val="clear" w:color="auto" w:fill="C6EFCE"/>
            <w:tcMar>
              <w:left w:w="108" w:type="dxa"/>
              <w:right w:w="108" w:type="dxa"/>
            </w:tcMar>
            <w:vAlign w:val="center"/>
          </w:tcPr>
          <w:p w14:paraId="549C86B1" w14:textId="77777777" w:rsidR="00E42B18" w:rsidRDefault="009629C4">
            <w:pPr>
              <w:pStyle w:val="P68B1DB1-Normal121"/>
              <w:spacing w:after="0" w:line="240" w:lineRule="auto"/>
              <w:jc w:val="center"/>
              <w:rPr>
                <w:noProof/>
              </w:rPr>
            </w:pPr>
            <w:r>
              <w:rPr>
                <w:noProof/>
              </w:rPr>
              <w:t>M1C1–10</w:t>
            </w:r>
          </w:p>
        </w:tc>
        <w:tc>
          <w:tcPr>
            <w:tcW w:w="3541" w:type="dxa"/>
            <w:shd w:val="clear" w:color="auto" w:fill="C6EFCE"/>
            <w:tcMar>
              <w:left w:w="108" w:type="dxa"/>
              <w:right w:w="108" w:type="dxa"/>
            </w:tcMar>
            <w:vAlign w:val="center"/>
          </w:tcPr>
          <w:p w14:paraId="13E81A6E" w14:textId="77777777" w:rsidR="00E42B18" w:rsidRDefault="009629C4">
            <w:pPr>
              <w:pStyle w:val="P68B1DB1-Normal121"/>
              <w:spacing w:after="0" w:line="240" w:lineRule="auto"/>
              <w:rPr>
                <w:noProof/>
              </w:rPr>
            </w:pPr>
            <w:r>
              <w:rPr>
                <w:noProof/>
              </w:rPr>
              <w:t>Uudistus 1.2: Muutostuki</w:t>
            </w:r>
          </w:p>
        </w:tc>
        <w:tc>
          <w:tcPr>
            <w:tcW w:w="1260" w:type="dxa"/>
            <w:shd w:val="clear" w:color="auto" w:fill="C6EFCE"/>
            <w:tcMar>
              <w:left w:w="108" w:type="dxa"/>
              <w:right w:w="108" w:type="dxa"/>
            </w:tcMar>
            <w:vAlign w:val="center"/>
          </w:tcPr>
          <w:p w14:paraId="4A4AB78A"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2F701136" w14:textId="77777777" w:rsidR="00E42B18" w:rsidRDefault="009629C4">
            <w:pPr>
              <w:pStyle w:val="P68B1DB1-Normal121"/>
              <w:spacing w:after="0" w:line="240" w:lineRule="auto"/>
              <w:rPr>
                <w:noProof/>
              </w:rPr>
            </w:pPr>
            <w:r>
              <w:rPr>
                <w:noProof/>
              </w:rPr>
              <w:t>Muutosryhmän ja uuden koordinointiryhmän perustaminen tulee voimaan</w:t>
            </w:r>
          </w:p>
        </w:tc>
      </w:tr>
      <w:tr w:rsidR="00E42B18" w14:paraId="243D901D" w14:textId="77777777">
        <w:trPr>
          <w:trHeight w:val="300"/>
        </w:trPr>
        <w:tc>
          <w:tcPr>
            <w:tcW w:w="1395" w:type="dxa"/>
            <w:shd w:val="clear" w:color="auto" w:fill="C6EFCE"/>
            <w:tcMar>
              <w:left w:w="108" w:type="dxa"/>
              <w:right w:w="108" w:type="dxa"/>
            </w:tcMar>
            <w:vAlign w:val="center"/>
          </w:tcPr>
          <w:p w14:paraId="34024E9B" w14:textId="77777777" w:rsidR="00E42B18" w:rsidRDefault="009629C4">
            <w:pPr>
              <w:pStyle w:val="P68B1DB1-Normal121"/>
              <w:spacing w:after="0" w:line="240" w:lineRule="auto"/>
              <w:jc w:val="center"/>
              <w:rPr>
                <w:noProof/>
              </w:rPr>
            </w:pPr>
            <w:r>
              <w:rPr>
                <w:noProof/>
              </w:rPr>
              <w:t>M1C1–34</w:t>
            </w:r>
          </w:p>
        </w:tc>
        <w:tc>
          <w:tcPr>
            <w:tcW w:w="3541" w:type="dxa"/>
            <w:shd w:val="clear" w:color="auto" w:fill="C6EFCE"/>
            <w:tcMar>
              <w:left w:w="108" w:type="dxa"/>
              <w:right w:w="108" w:type="dxa"/>
            </w:tcMar>
            <w:vAlign w:val="center"/>
          </w:tcPr>
          <w:p w14:paraId="578E5910" w14:textId="77777777" w:rsidR="00E42B18" w:rsidRDefault="009629C4">
            <w:pPr>
              <w:pStyle w:val="P68B1DB1-Normal121"/>
              <w:spacing w:after="0" w:line="240" w:lineRule="auto"/>
              <w:rPr>
                <w:noProof/>
              </w:rPr>
            </w:pPr>
            <w:r>
              <w:rPr>
                <w:noProof/>
              </w:rPr>
              <w:t>Investointi 1.8: Palvelukseenottomenettelyt siviili- ja rikostuomioistuinten oikeudenkäyntivirastoa varten</w:t>
            </w:r>
          </w:p>
        </w:tc>
        <w:tc>
          <w:tcPr>
            <w:tcW w:w="1260" w:type="dxa"/>
            <w:shd w:val="clear" w:color="auto" w:fill="C6EFCE"/>
            <w:tcMar>
              <w:left w:w="108" w:type="dxa"/>
              <w:right w:w="108" w:type="dxa"/>
            </w:tcMar>
            <w:vAlign w:val="center"/>
          </w:tcPr>
          <w:p w14:paraId="0AFBA2F7" w14:textId="77777777" w:rsidR="00E42B18" w:rsidRDefault="009629C4">
            <w:pPr>
              <w:pStyle w:val="P68B1DB1-Normal121"/>
              <w:spacing w:after="0" w:line="240" w:lineRule="auto"/>
              <w:jc w:val="center"/>
              <w:rPr>
                <w:noProof/>
              </w:rPr>
            </w:pPr>
            <w:r>
              <w:rPr>
                <w:noProof/>
              </w:rPr>
              <w:t>Kohde</w:t>
            </w:r>
          </w:p>
        </w:tc>
        <w:tc>
          <w:tcPr>
            <w:tcW w:w="3162" w:type="dxa"/>
            <w:shd w:val="clear" w:color="auto" w:fill="C6EFCE"/>
            <w:tcMar>
              <w:left w:w="108" w:type="dxa"/>
              <w:right w:w="108" w:type="dxa"/>
            </w:tcMar>
            <w:vAlign w:val="center"/>
          </w:tcPr>
          <w:p w14:paraId="72A7A3A3" w14:textId="77777777" w:rsidR="00E42B18" w:rsidRDefault="009629C4">
            <w:pPr>
              <w:pStyle w:val="P68B1DB1-Normal121"/>
              <w:spacing w:after="0" w:line="240" w:lineRule="auto"/>
              <w:rPr>
                <w:noProof/>
              </w:rPr>
            </w:pPr>
            <w:r>
              <w:rPr>
                <w:noProof/>
              </w:rPr>
              <w:t>Palvelukseenottomenettelyjen aloittaminen siviili- ja rikostuomioistuimissa</w:t>
            </w:r>
          </w:p>
        </w:tc>
      </w:tr>
      <w:tr w:rsidR="00E42B18" w14:paraId="76A4EC6A" w14:textId="77777777">
        <w:trPr>
          <w:trHeight w:val="300"/>
        </w:trPr>
        <w:tc>
          <w:tcPr>
            <w:tcW w:w="1395" w:type="dxa"/>
            <w:shd w:val="clear" w:color="auto" w:fill="C6EFCE"/>
            <w:tcMar>
              <w:left w:w="108" w:type="dxa"/>
              <w:right w:w="108" w:type="dxa"/>
            </w:tcMar>
            <w:vAlign w:val="center"/>
          </w:tcPr>
          <w:p w14:paraId="68CE7197" w14:textId="77777777" w:rsidR="00E42B18" w:rsidRDefault="009629C4">
            <w:pPr>
              <w:pStyle w:val="P68B1DB1-Normal121"/>
              <w:spacing w:after="0" w:line="240" w:lineRule="auto"/>
              <w:jc w:val="center"/>
              <w:rPr>
                <w:noProof/>
              </w:rPr>
            </w:pPr>
            <w:r>
              <w:rPr>
                <w:noProof/>
              </w:rPr>
              <w:t>M1C1–35</w:t>
            </w:r>
          </w:p>
        </w:tc>
        <w:tc>
          <w:tcPr>
            <w:tcW w:w="3541" w:type="dxa"/>
            <w:shd w:val="clear" w:color="auto" w:fill="C6EFCE"/>
            <w:tcMar>
              <w:left w:w="108" w:type="dxa"/>
              <w:right w:w="108" w:type="dxa"/>
            </w:tcMar>
            <w:vAlign w:val="center"/>
          </w:tcPr>
          <w:p w14:paraId="52E88B84" w14:textId="77777777" w:rsidR="00E42B18" w:rsidRDefault="009629C4">
            <w:pPr>
              <w:pStyle w:val="P68B1DB1-Normal121"/>
              <w:spacing w:after="0" w:line="240" w:lineRule="auto"/>
              <w:rPr>
                <w:noProof/>
              </w:rPr>
            </w:pPr>
            <w:r>
              <w:rPr>
                <w:noProof/>
              </w:rPr>
              <w:t>Uudistus 1.7: Verotuomioistuinten uudistaminen</w:t>
            </w:r>
          </w:p>
        </w:tc>
        <w:tc>
          <w:tcPr>
            <w:tcW w:w="1260" w:type="dxa"/>
            <w:shd w:val="clear" w:color="auto" w:fill="C6EFCE"/>
            <w:tcMar>
              <w:left w:w="108" w:type="dxa"/>
              <w:right w:w="108" w:type="dxa"/>
            </w:tcMar>
            <w:vAlign w:val="center"/>
          </w:tcPr>
          <w:p w14:paraId="3E3D22BE"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4A6A9A0E" w14:textId="77777777" w:rsidR="00E42B18" w:rsidRDefault="009629C4">
            <w:pPr>
              <w:pStyle w:val="P68B1DB1-Normal121"/>
              <w:spacing w:after="0" w:line="240" w:lineRule="auto"/>
              <w:rPr>
                <w:noProof/>
              </w:rPr>
            </w:pPr>
            <w:r>
              <w:rPr>
                <w:noProof/>
              </w:rPr>
              <w:t>Ensimmäisen ja toisen oikeusasteen verotuomioistuinten kattava uudistus</w:t>
            </w:r>
          </w:p>
        </w:tc>
      </w:tr>
      <w:tr w:rsidR="00E42B18" w14:paraId="60C2B376" w14:textId="77777777">
        <w:trPr>
          <w:trHeight w:val="300"/>
        </w:trPr>
        <w:tc>
          <w:tcPr>
            <w:tcW w:w="1395" w:type="dxa"/>
            <w:shd w:val="clear" w:color="auto" w:fill="C6EFCE"/>
            <w:tcMar>
              <w:left w:w="108" w:type="dxa"/>
              <w:right w:w="108" w:type="dxa"/>
            </w:tcMar>
            <w:vAlign w:val="center"/>
          </w:tcPr>
          <w:p w14:paraId="300E9CD7" w14:textId="77777777" w:rsidR="00E42B18" w:rsidRDefault="009629C4">
            <w:pPr>
              <w:pStyle w:val="P68B1DB1-Normal121"/>
              <w:spacing w:after="0" w:line="240" w:lineRule="auto"/>
              <w:jc w:val="center"/>
              <w:rPr>
                <w:noProof/>
              </w:rPr>
            </w:pPr>
            <w:r>
              <w:rPr>
                <w:noProof/>
              </w:rPr>
              <w:t>M1C1–36</w:t>
            </w:r>
          </w:p>
        </w:tc>
        <w:tc>
          <w:tcPr>
            <w:tcW w:w="3541" w:type="dxa"/>
            <w:shd w:val="clear" w:color="auto" w:fill="C6EFCE"/>
            <w:tcMar>
              <w:left w:w="108" w:type="dxa"/>
              <w:right w:w="108" w:type="dxa"/>
            </w:tcMar>
            <w:vAlign w:val="center"/>
          </w:tcPr>
          <w:p w14:paraId="3BA3A12C" w14:textId="77777777" w:rsidR="00E42B18" w:rsidRDefault="009629C4">
            <w:pPr>
              <w:pStyle w:val="P68B1DB1-Normal121"/>
              <w:spacing w:after="0" w:line="240" w:lineRule="auto"/>
              <w:rPr>
                <w:noProof/>
              </w:rPr>
            </w:pPr>
            <w:r>
              <w:rPr>
                <w:noProof/>
              </w:rPr>
              <w:t>Uudistukset 1.4, 1.5 ja 1.6: Siviili- ja rikosoikeuden uudistus ja maksukyvyttömyysuudistus</w:t>
            </w:r>
          </w:p>
        </w:tc>
        <w:tc>
          <w:tcPr>
            <w:tcW w:w="1260" w:type="dxa"/>
            <w:shd w:val="clear" w:color="auto" w:fill="C6EFCE"/>
            <w:tcMar>
              <w:left w:w="108" w:type="dxa"/>
              <w:right w:w="108" w:type="dxa"/>
            </w:tcMar>
            <w:vAlign w:val="center"/>
          </w:tcPr>
          <w:p w14:paraId="0F6AF040"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148F83DF" w14:textId="77777777" w:rsidR="00E42B18" w:rsidRDefault="009629C4">
            <w:pPr>
              <w:pStyle w:val="P68B1DB1-Normal121"/>
              <w:spacing w:after="0" w:line="240" w:lineRule="auto"/>
              <w:rPr>
                <w:noProof/>
              </w:rPr>
            </w:pPr>
            <w:r>
              <w:rPr>
                <w:noProof/>
              </w:rPr>
              <w:t>Siviili- ja rikosoikeudellisia uudistuksia ja maksukyvyttömyysuudistusta koskevien delegoitujen säädösten voimaantulo</w:t>
            </w:r>
          </w:p>
        </w:tc>
      </w:tr>
      <w:tr w:rsidR="00E42B18" w14:paraId="6412B740" w14:textId="77777777">
        <w:trPr>
          <w:trHeight w:val="300"/>
        </w:trPr>
        <w:tc>
          <w:tcPr>
            <w:tcW w:w="1395" w:type="dxa"/>
            <w:shd w:val="clear" w:color="auto" w:fill="C6EFCE"/>
            <w:tcMar>
              <w:left w:w="108" w:type="dxa"/>
              <w:right w:w="108" w:type="dxa"/>
            </w:tcMar>
            <w:vAlign w:val="center"/>
          </w:tcPr>
          <w:p w14:paraId="286BB193" w14:textId="77777777" w:rsidR="00E42B18" w:rsidRDefault="009629C4">
            <w:pPr>
              <w:pStyle w:val="P68B1DB1-Normal121"/>
              <w:spacing w:after="0" w:line="240" w:lineRule="auto"/>
              <w:jc w:val="center"/>
              <w:rPr>
                <w:noProof/>
              </w:rPr>
            </w:pPr>
            <w:r>
              <w:rPr>
                <w:noProof/>
              </w:rPr>
              <w:t>M1C1–57</w:t>
            </w:r>
          </w:p>
        </w:tc>
        <w:tc>
          <w:tcPr>
            <w:tcW w:w="3541" w:type="dxa"/>
            <w:shd w:val="clear" w:color="auto" w:fill="C6EFCE"/>
            <w:tcMar>
              <w:left w:w="108" w:type="dxa"/>
              <w:right w:w="108" w:type="dxa"/>
            </w:tcMar>
            <w:vAlign w:val="center"/>
          </w:tcPr>
          <w:p w14:paraId="468829F8" w14:textId="77777777" w:rsidR="00E42B18" w:rsidRDefault="009629C4">
            <w:pPr>
              <w:pStyle w:val="P68B1DB1-Normal121"/>
              <w:spacing w:after="0" w:line="240" w:lineRule="auto"/>
              <w:rPr>
                <w:noProof/>
              </w:rPr>
            </w:pPr>
            <w:r>
              <w:rPr>
                <w:noProof/>
              </w:rPr>
              <w:t>Uudistus 1.9: Julkishallinnon uudistaminen</w:t>
            </w:r>
          </w:p>
        </w:tc>
        <w:tc>
          <w:tcPr>
            <w:tcW w:w="1260" w:type="dxa"/>
            <w:shd w:val="clear" w:color="auto" w:fill="C6EFCE"/>
            <w:tcMar>
              <w:left w:w="108" w:type="dxa"/>
              <w:right w:w="108" w:type="dxa"/>
            </w:tcMar>
            <w:vAlign w:val="center"/>
          </w:tcPr>
          <w:p w14:paraId="70BEF990"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69790DC9" w14:textId="77777777" w:rsidR="00E42B18" w:rsidRDefault="009629C4">
            <w:pPr>
              <w:pStyle w:val="P68B1DB1-Normal121"/>
              <w:spacing w:after="0" w:line="240" w:lineRule="auto"/>
              <w:rPr>
                <w:noProof/>
              </w:rPr>
            </w:pPr>
            <w:r>
              <w:rPr>
                <w:noProof/>
              </w:rPr>
              <w:t>Elpymis- ja palautumistukivälineen täytäntöönpanoon tähtäävää yksinkertaistamisuudistusta koskevien hallinnollisten menettelyjen voimaantulo</w:t>
            </w:r>
          </w:p>
        </w:tc>
      </w:tr>
      <w:tr w:rsidR="00E42B18" w14:paraId="5992FEF0" w14:textId="77777777">
        <w:trPr>
          <w:trHeight w:val="300"/>
        </w:trPr>
        <w:tc>
          <w:tcPr>
            <w:tcW w:w="1395" w:type="dxa"/>
            <w:shd w:val="clear" w:color="auto" w:fill="C6EFCE"/>
            <w:tcMar>
              <w:left w:w="108" w:type="dxa"/>
              <w:right w:w="108" w:type="dxa"/>
            </w:tcMar>
            <w:vAlign w:val="center"/>
          </w:tcPr>
          <w:p w14:paraId="3D0D0D48" w14:textId="77777777" w:rsidR="00E42B18" w:rsidRDefault="009629C4">
            <w:pPr>
              <w:pStyle w:val="P68B1DB1-Normal121"/>
              <w:spacing w:after="0" w:line="240" w:lineRule="auto"/>
              <w:jc w:val="center"/>
              <w:rPr>
                <w:noProof/>
              </w:rPr>
            </w:pPr>
            <w:r>
              <w:rPr>
                <w:noProof/>
              </w:rPr>
              <w:t>M1C1–102</w:t>
            </w:r>
          </w:p>
        </w:tc>
        <w:tc>
          <w:tcPr>
            <w:tcW w:w="3541" w:type="dxa"/>
            <w:shd w:val="clear" w:color="auto" w:fill="C6EFCE"/>
            <w:tcMar>
              <w:left w:w="108" w:type="dxa"/>
              <w:right w:w="108" w:type="dxa"/>
            </w:tcMar>
            <w:vAlign w:val="center"/>
          </w:tcPr>
          <w:p w14:paraId="38C366BD" w14:textId="77777777" w:rsidR="00E42B18" w:rsidRDefault="009629C4">
            <w:pPr>
              <w:pStyle w:val="P68B1DB1-Normal121"/>
              <w:spacing w:after="0" w:line="240" w:lineRule="auto"/>
              <w:rPr>
                <w:noProof/>
              </w:rPr>
            </w:pPr>
            <w:r>
              <w:rPr>
                <w:noProof/>
              </w:rPr>
              <w:t>Uudistus 1.13: Menojen uudelleentarkastelua koskevan kehyksen uudistaminen</w:t>
            </w:r>
          </w:p>
        </w:tc>
        <w:tc>
          <w:tcPr>
            <w:tcW w:w="1260" w:type="dxa"/>
            <w:shd w:val="clear" w:color="auto" w:fill="C6EFCE"/>
            <w:tcMar>
              <w:left w:w="108" w:type="dxa"/>
              <w:right w:w="108" w:type="dxa"/>
            </w:tcMar>
            <w:vAlign w:val="center"/>
          </w:tcPr>
          <w:p w14:paraId="3B49237F"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7FE399DF" w14:textId="77777777" w:rsidR="00E42B18" w:rsidRDefault="009629C4">
            <w:pPr>
              <w:pStyle w:val="P68B1DB1-Normal121"/>
              <w:spacing w:after="0" w:line="240" w:lineRule="auto"/>
              <w:rPr>
                <w:noProof/>
              </w:rPr>
            </w:pPr>
            <w:r>
              <w:rPr>
                <w:noProof/>
              </w:rPr>
              <w:t>Kertomuksen hyväksyminen valikoitujen julkishallintojen säästösuunnitelmien laatimisessa ja täytäntöönpanossa käyttämien käytäntöjen vaikuttavuudesta</w:t>
            </w:r>
          </w:p>
        </w:tc>
      </w:tr>
      <w:tr w:rsidR="00E42B18" w14:paraId="76019D08" w14:textId="77777777">
        <w:trPr>
          <w:trHeight w:val="300"/>
        </w:trPr>
        <w:tc>
          <w:tcPr>
            <w:tcW w:w="1395" w:type="dxa"/>
            <w:shd w:val="clear" w:color="auto" w:fill="C6EFCE"/>
            <w:tcMar>
              <w:left w:w="108" w:type="dxa"/>
              <w:right w:w="108" w:type="dxa"/>
            </w:tcMar>
            <w:vAlign w:val="center"/>
          </w:tcPr>
          <w:p w14:paraId="774B31FF" w14:textId="77777777" w:rsidR="00E42B18" w:rsidRDefault="009629C4">
            <w:pPr>
              <w:pStyle w:val="P68B1DB1-Normal121"/>
              <w:spacing w:after="0" w:line="240" w:lineRule="auto"/>
              <w:jc w:val="center"/>
              <w:rPr>
                <w:noProof/>
              </w:rPr>
            </w:pPr>
            <w:r>
              <w:rPr>
                <w:noProof/>
              </w:rPr>
              <w:t>M1C1–105</w:t>
            </w:r>
          </w:p>
        </w:tc>
        <w:tc>
          <w:tcPr>
            <w:tcW w:w="3541" w:type="dxa"/>
            <w:shd w:val="clear" w:color="auto" w:fill="C6EFCE"/>
            <w:tcMar>
              <w:left w:w="108" w:type="dxa"/>
              <w:right w:w="108" w:type="dxa"/>
            </w:tcMar>
            <w:vAlign w:val="center"/>
          </w:tcPr>
          <w:p w14:paraId="1ACA0AA9" w14:textId="77777777" w:rsidR="00E42B18" w:rsidRDefault="009629C4">
            <w:pPr>
              <w:pStyle w:val="P68B1DB1-Normal121"/>
              <w:spacing w:after="0" w:line="240" w:lineRule="auto"/>
              <w:rPr>
                <w:noProof/>
              </w:rPr>
            </w:pPr>
            <w:r>
              <w:rPr>
                <w:noProof/>
              </w:rPr>
              <w:t>Uudistus 1.12: Verohallinnon uudistaminen</w:t>
            </w:r>
          </w:p>
        </w:tc>
        <w:tc>
          <w:tcPr>
            <w:tcW w:w="1260" w:type="dxa"/>
            <w:shd w:val="clear" w:color="auto" w:fill="C6EFCE"/>
            <w:tcMar>
              <w:left w:w="108" w:type="dxa"/>
              <w:right w:w="108" w:type="dxa"/>
            </w:tcMar>
            <w:vAlign w:val="center"/>
          </w:tcPr>
          <w:p w14:paraId="5407B528" w14:textId="77777777" w:rsidR="00E42B18" w:rsidRDefault="009629C4">
            <w:pPr>
              <w:pStyle w:val="P68B1DB1-Normal121"/>
              <w:spacing w:after="0" w:line="240" w:lineRule="auto"/>
              <w:jc w:val="center"/>
              <w:rPr>
                <w:noProof/>
              </w:rPr>
            </w:pPr>
            <w:r>
              <w:rPr>
                <w:noProof/>
              </w:rPr>
              <w:t>Kohde</w:t>
            </w:r>
          </w:p>
        </w:tc>
        <w:tc>
          <w:tcPr>
            <w:tcW w:w="3162" w:type="dxa"/>
            <w:shd w:val="clear" w:color="auto" w:fill="C6EFCE"/>
            <w:tcMar>
              <w:left w:w="108" w:type="dxa"/>
              <w:right w:w="108" w:type="dxa"/>
            </w:tcMar>
            <w:vAlign w:val="center"/>
          </w:tcPr>
          <w:p w14:paraId="46BDAF79" w14:textId="77777777" w:rsidR="00E42B18" w:rsidRDefault="009629C4">
            <w:pPr>
              <w:pStyle w:val="P68B1DB1-Normal121"/>
              <w:spacing w:after="0" w:line="240" w:lineRule="auto"/>
              <w:rPr>
                <w:noProof/>
              </w:rPr>
            </w:pPr>
            <w:r>
              <w:rPr>
                <w:noProof/>
              </w:rPr>
              <w:t>Suurempi ”vaatimustenmukaisuuskirjeiden” määrä</w:t>
            </w:r>
          </w:p>
        </w:tc>
      </w:tr>
      <w:tr w:rsidR="00E42B18" w14:paraId="5838B717" w14:textId="77777777">
        <w:trPr>
          <w:trHeight w:val="300"/>
        </w:trPr>
        <w:tc>
          <w:tcPr>
            <w:tcW w:w="1395" w:type="dxa"/>
            <w:shd w:val="clear" w:color="auto" w:fill="C6EFCE"/>
            <w:tcMar>
              <w:left w:w="108" w:type="dxa"/>
              <w:right w:w="108" w:type="dxa"/>
            </w:tcMar>
            <w:vAlign w:val="center"/>
          </w:tcPr>
          <w:p w14:paraId="36F22136" w14:textId="77777777" w:rsidR="00E42B18" w:rsidRDefault="009629C4">
            <w:pPr>
              <w:pStyle w:val="P68B1DB1-Normal121"/>
              <w:spacing w:after="0" w:line="240" w:lineRule="auto"/>
              <w:jc w:val="center"/>
              <w:rPr>
                <w:noProof/>
              </w:rPr>
            </w:pPr>
            <w:r>
              <w:rPr>
                <w:noProof/>
              </w:rPr>
              <w:t>M1C1–106</w:t>
            </w:r>
          </w:p>
        </w:tc>
        <w:tc>
          <w:tcPr>
            <w:tcW w:w="3541" w:type="dxa"/>
            <w:shd w:val="clear" w:color="auto" w:fill="C6EFCE"/>
            <w:tcMar>
              <w:left w:w="108" w:type="dxa"/>
              <w:right w:w="108" w:type="dxa"/>
            </w:tcMar>
            <w:vAlign w:val="center"/>
          </w:tcPr>
          <w:p w14:paraId="01F0DE47" w14:textId="77777777" w:rsidR="00E42B18" w:rsidRDefault="009629C4">
            <w:pPr>
              <w:pStyle w:val="P68B1DB1-Normal121"/>
              <w:spacing w:after="0" w:line="240" w:lineRule="auto"/>
              <w:rPr>
                <w:noProof/>
              </w:rPr>
            </w:pPr>
            <w:r>
              <w:rPr>
                <w:noProof/>
              </w:rPr>
              <w:t>Uudistus 1.12: Verohallinnon uudistaminen</w:t>
            </w:r>
          </w:p>
        </w:tc>
        <w:tc>
          <w:tcPr>
            <w:tcW w:w="1260" w:type="dxa"/>
            <w:shd w:val="clear" w:color="auto" w:fill="C6EFCE"/>
            <w:tcMar>
              <w:left w:w="108" w:type="dxa"/>
              <w:right w:w="108" w:type="dxa"/>
            </w:tcMar>
            <w:vAlign w:val="center"/>
          </w:tcPr>
          <w:p w14:paraId="108BEC1D" w14:textId="77777777" w:rsidR="00E42B18" w:rsidRDefault="009629C4">
            <w:pPr>
              <w:pStyle w:val="P68B1DB1-Normal121"/>
              <w:spacing w:after="0" w:line="240" w:lineRule="auto"/>
              <w:jc w:val="center"/>
              <w:rPr>
                <w:noProof/>
              </w:rPr>
            </w:pPr>
            <w:r>
              <w:rPr>
                <w:noProof/>
              </w:rPr>
              <w:t>Kohde</w:t>
            </w:r>
          </w:p>
        </w:tc>
        <w:tc>
          <w:tcPr>
            <w:tcW w:w="3162" w:type="dxa"/>
            <w:shd w:val="clear" w:color="auto" w:fill="C6EFCE"/>
            <w:tcMar>
              <w:left w:w="108" w:type="dxa"/>
              <w:right w:w="108" w:type="dxa"/>
            </w:tcMar>
            <w:vAlign w:val="center"/>
          </w:tcPr>
          <w:p w14:paraId="62EDCF5B" w14:textId="77777777" w:rsidR="00E42B18" w:rsidRDefault="009629C4">
            <w:pPr>
              <w:pStyle w:val="P68B1DB1-Normal121"/>
              <w:spacing w:after="0" w:line="240" w:lineRule="auto"/>
              <w:rPr>
                <w:noProof/>
              </w:rPr>
            </w:pPr>
            <w:r>
              <w:rPr>
                <w:noProof/>
              </w:rPr>
              <w:t>Väärien positiivisten vaatimusten noudattamista koskevien kirjeiden määrän vähentäminen</w:t>
            </w:r>
          </w:p>
        </w:tc>
      </w:tr>
      <w:tr w:rsidR="00E42B18" w14:paraId="45B0CBF4" w14:textId="77777777">
        <w:trPr>
          <w:trHeight w:val="300"/>
        </w:trPr>
        <w:tc>
          <w:tcPr>
            <w:tcW w:w="1395" w:type="dxa"/>
            <w:shd w:val="clear" w:color="auto" w:fill="C6EFCE"/>
            <w:tcMar>
              <w:left w:w="108" w:type="dxa"/>
              <w:right w:w="108" w:type="dxa"/>
            </w:tcMar>
            <w:vAlign w:val="center"/>
          </w:tcPr>
          <w:p w14:paraId="12D4CFD0" w14:textId="77777777" w:rsidR="00E42B18" w:rsidRDefault="009629C4">
            <w:pPr>
              <w:pStyle w:val="P68B1DB1-Normal121"/>
              <w:spacing w:after="0" w:line="240" w:lineRule="auto"/>
              <w:jc w:val="center"/>
              <w:rPr>
                <w:noProof/>
              </w:rPr>
            </w:pPr>
            <w:r>
              <w:rPr>
                <w:noProof/>
              </w:rPr>
              <w:t>M1C1–107</w:t>
            </w:r>
          </w:p>
        </w:tc>
        <w:tc>
          <w:tcPr>
            <w:tcW w:w="3541" w:type="dxa"/>
            <w:shd w:val="clear" w:color="auto" w:fill="C6EFCE"/>
            <w:tcMar>
              <w:left w:w="108" w:type="dxa"/>
              <w:right w:w="108" w:type="dxa"/>
            </w:tcMar>
            <w:vAlign w:val="center"/>
          </w:tcPr>
          <w:p w14:paraId="09352BF8" w14:textId="77777777" w:rsidR="00E42B18" w:rsidRDefault="009629C4">
            <w:pPr>
              <w:pStyle w:val="P68B1DB1-Normal121"/>
              <w:spacing w:after="0" w:line="240" w:lineRule="auto"/>
              <w:rPr>
                <w:noProof/>
              </w:rPr>
            </w:pPr>
            <w:r>
              <w:rPr>
                <w:noProof/>
              </w:rPr>
              <w:t>Uudistus 1.12: Verohallinnon uudistaminen</w:t>
            </w:r>
          </w:p>
        </w:tc>
        <w:tc>
          <w:tcPr>
            <w:tcW w:w="1260" w:type="dxa"/>
            <w:shd w:val="clear" w:color="auto" w:fill="C6EFCE"/>
            <w:tcMar>
              <w:left w:w="108" w:type="dxa"/>
              <w:right w:w="108" w:type="dxa"/>
            </w:tcMar>
            <w:vAlign w:val="center"/>
          </w:tcPr>
          <w:p w14:paraId="57E46E8F" w14:textId="77777777" w:rsidR="00E42B18" w:rsidRDefault="009629C4">
            <w:pPr>
              <w:pStyle w:val="P68B1DB1-Normal121"/>
              <w:spacing w:after="0" w:line="240" w:lineRule="auto"/>
              <w:jc w:val="center"/>
              <w:rPr>
                <w:noProof/>
              </w:rPr>
            </w:pPr>
            <w:r>
              <w:rPr>
                <w:noProof/>
              </w:rPr>
              <w:t>Kohde</w:t>
            </w:r>
          </w:p>
        </w:tc>
        <w:tc>
          <w:tcPr>
            <w:tcW w:w="3162" w:type="dxa"/>
            <w:shd w:val="clear" w:color="auto" w:fill="C6EFCE"/>
            <w:tcMar>
              <w:left w:w="108" w:type="dxa"/>
              <w:right w:w="108" w:type="dxa"/>
            </w:tcMar>
            <w:vAlign w:val="center"/>
          </w:tcPr>
          <w:p w14:paraId="717236E4" w14:textId="77777777" w:rsidR="00E42B18" w:rsidRDefault="009629C4">
            <w:pPr>
              <w:pStyle w:val="P68B1DB1-Normal121"/>
              <w:spacing w:after="0" w:line="240" w:lineRule="auto"/>
              <w:rPr>
                <w:noProof/>
              </w:rPr>
            </w:pPr>
            <w:r>
              <w:rPr>
                <w:noProof/>
              </w:rPr>
              <w:t>Sääntöjen noudattamista koskevien kirjeiden tuottamien verotulojen kasvu</w:t>
            </w:r>
          </w:p>
        </w:tc>
      </w:tr>
      <w:tr w:rsidR="00E42B18" w14:paraId="75EDD17F" w14:textId="77777777">
        <w:trPr>
          <w:trHeight w:val="300"/>
        </w:trPr>
        <w:tc>
          <w:tcPr>
            <w:tcW w:w="1395" w:type="dxa"/>
            <w:shd w:val="clear" w:color="auto" w:fill="C6EFCE"/>
            <w:tcMar>
              <w:left w:w="108" w:type="dxa"/>
              <w:right w:w="108" w:type="dxa"/>
            </w:tcMar>
            <w:vAlign w:val="center"/>
          </w:tcPr>
          <w:p w14:paraId="2A8D24B0" w14:textId="77777777" w:rsidR="00E42B18" w:rsidRDefault="009629C4">
            <w:pPr>
              <w:pStyle w:val="P68B1DB1-Normal121"/>
              <w:spacing w:after="0" w:line="240" w:lineRule="auto"/>
              <w:jc w:val="center"/>
              <w:rPr>
                <w:noProof/>
              </w:rPr>
            </w:pPr>
            <w:r>
              <w:rPr>
                <w:noProof/>
              </w:rPr>
              <w:t>M1C2–6</w:t>
            </w:r>
          </w:p>
        </w:tc>
        <w:tc>
          <w:tcPr>
            <w:tcW w:w="3541" w:type="dxa"/>
            <w:shd w:val="clear" w:color="auto" w:fill="C6EFCE"/>
            <w:tcMar>
              <w:left w:w="108" w:type="dxa"/>
              <w:right w:w="108" w:type="dxa"/>
            </w:tcMar>
            <w:vAlign w:val="center"/>
          </w:tcPr>
          <w:p w14:paraId="03C52DA3" w14:textId="77777777" w:rsidR="00E42B18" w:rsidRDefault="009629C4">
            <w:pPr>
              <w:pStyle w:val="P68B1DB1-Normal121"/>
              <w:spacing w:after="0" w:line="240" w:lineRule="auto"/>
              <w:rPr>
                <w:noProof/>
              </w:rPr>
            </w:pPr>
            <w:r>
              <w:rPr>
                <w:noProof/>
              </w:rPr>
              <w:t>Uudistuksen 2: Vuosittaiset kilpailulait</w:t>
            </w:r>
          </w:p>
        </w:tc>
        <w:tc>
          <w:tcPr>
            <w:tcW w:w="1260" w:type="dxa"/>
            <w:shd w:val="clear" w:color="auto" w:fill="C6EFCE"/>
            <w:tcMar>
              <w:left w:w="108" w:type="dxa"/>
              <w:right w:w="108" w:type="dxa"/>
            </w:tcMar>
            <w:vAlign w:val="center"/>
          </w:tcPr>
          <w:p w14:paraId="3E747472"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14A41607" w14:textId="77777777" w:rsidR="00E42B18" w:rsidRDefault="009629C4">
            <w:pPr>
              <w:pStyle w:val="P68B1DB1-Normal121"/>
              <w:spacing w:after="0" w:line="240" w:lineRule="auto"/>
              <w:rPr>
                <w:noProof/>
              </w:rPr>
            </w:pPr>
            <w:r>
              <w:rPr>
                <w:noProof/>
              </w:rPr>
              <w:t>Vuoden 2021 kilpailulain voimaantulo</w:t>
            </w:r>
          </w:p>
        </w:tc>
      </w:tr>
      <w:tr w:rsidR="00E42B18" w14:paraId="1CDB1FB7" w14:textId="77777777">
        <w:trPr>
          <w:trHeight w:val="300"/>
        </w:trPr>
        <w:tc>
          <w:tcPr>
            <w:tcW w:w="1395" w:type="dxa"/>
            <w:shd w:val="clear" w:color="auto" w:fill="C6EFCE"/>
            <w:tcMar>
              <w:left w:w="108" w:type="dxa"/>
              <w:right w:w="108" w:type="dxa"/>
            </w:tcMar>
            <w:vAlign w:val="center"/>
          </w:tcPr>
          <w:p w14:paraId="3F8AF5DD" w14:textId="77777777" w:rsidR="00E42B18" w:rsidRDefault="009629C4">
            <w:pPr>
              <w:pStyle w:val="P68B1DB1-Normal121"/>
              <w:spacing w:after="0" w:line="240" w:lineRule="auto"/>
              <w:jc w:val="center"/>
              <w:rPr>
                <w:noProof/>
              </w:rPr>
            </w:pPr>
            <w:r>
              <w:rPr>
                <w:noProof/>
              </w:rPr>
              <w:t>M1C2–7</w:t>
            </w:r>
          </w:p>
        </w:tc>
        <w:tc>
          <w:tcPr>
            <w:tcW w:w="3541" w:type="dxa"/>
            <w:shd w:val="clear" w:color="auto" w:fill="C6EFCE"/>
            <w:tcMar>
              <w:left w:w="108" w:type="dxa"/>
              <w:right w:w="108" w:type="dxa"/>
            </w:tcMar>
            <w:vAlign w:val="center"/>
          </w:tcPr>
          <w:p w14:paraId="5106FB85" w14:textId="77777777" w:rsidR="00E42B18" w:rsidRDefault="009629C4">
            <w:pPr>
              <w:pStyle w:val="P68B1DB1-Normal121"/>
              <w:spacing w:after="0" w:line="240" w:lineRule="auto"/>
              <w:rPr>
                <w:noProof/>
              </w:rPr>
            </w:pPr>
            <w:r>
              <w:rPr>
                <w:noProof/>
              </w:rPr>
              <w:t>Uudistuksen 2: Vuosittaiset kilpailulait</w:t>
            </w:r>
          </w:p>
        </w:tc>
        <w:tc>
          <w:tcPr>
            <w:tcW w:w="1260" w:type="dxa"/>
            <w:shd w:val="clear" w:color="auto" w:fill="C6EFCE"/>
            <w:tcMar>
              <w:left w:w="108" w:type="dxa"/>
              <w:right w:w="108" w:type="dxa"/>
            </w:tcMar>
            <w:vAlign w:val="center"/>
          </w:tcPr>
          <w:p w14:paraId="13EC0E29"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61E80380" w14:textId="77777777" w:rsidR="00E42B18" w:rsidRDefault="009629C4">
            <w:pPr>
              <w:pStyle w:val="P68B1DB1-Normal121"/>
              <w:spacing w:after="0" w:line="240" w:lineRule="auto"/>
              <w:rPr>
                <w:noProof/>
              </w:rPr>
            </w:pPr>
            <w:r>
              <w:rPr>
                <w:noProof/>
              </w:rPr>
              <w:t>Kaikkien energiaan liittyvien täytäntöönpanotoimenpiteiden ja johdetun oikeuden voimaantulo (tarvittaessa)</w:t>
            </w:r>
          </w:p>
        </w:tc>
      </w:tr>
      <w:tr w:rsidR="00E42B18" w14:paraId="4D5D3972" w14:textId="77777777">
        <w:trPr>
          <w:trHeight w:val="300"/>
        </w:trPr>
        <w:tc>
          <w:tcPr>
            <w:tcW w:w="1395" w:type="dxa"/>
            <w:shd w:val="clear" w:color="auto" w:fill="C6EFCE"/>
            <w:tcMar>
              <w:left w:w="108" w:type="dxa"/>
              <w:right w:w="108" w:type="dxa"/>
            </w:tcMar>
            <w:vAlign w:val="center"/>
          </w:tcPr>
          <w:p w14:paraId="1D5C7DA2" w14:textId="77777777" w:rsidR="00E42B18" w:rsidRDefault="009629C4">
            <w:pPr>
              <w:pStyle w:val="P68B1DB1-Normal121"/>
              <w:spacing w:after="0" w:line="240" w:lineRule="auto"/>
              <w:jc w:val="center"/>
              <w:rPr>
                <w:noProof/>
              </w:rPr>
            </w:pPr>
            <w:r>
              <w:rPr>
                <w:noProof/>
              </w:rPr>
              <w:t>M1C2–8</w:t>
            </w:r>
          </w:p>
        </w:tc>
        <w:tc>
          <w:tcPr>
            <w:tcW w:w="3541" w:type="dxa"/>
            <w:shd w:val="clear" w:color="auto" w:fill="C6EFCE"/>
            <w:tcMar>
              <w:left w:w="108" w:type="dxa"/>
              <w:right w:w="108" w:type="dxa"/>
            </w:tcMar>
            <w:vAlign w:val="center"/>
          </w:tcPr>
          <w:p w14:paraId="004C74A4" w14:textId="77777777" w:rsidR="00E42B18" w:rsidRDefault="009629C4">
            <w:pPr>
              <w:pStyle w:val="P68B1DB1-Normal121"/>
              <w:spacing w:after="0" w:line="240" w:lineRule="auto"/>
              <w:rPr>
                <w:noProof/>
              </w:rPr>
            </w:pPr>
            <w:r>
              <w:rPr>
                <w:noProof/>
              </w:rPr>
              <w:t>Uudistuksen 2: Vuosittaiset kilpailulait</w:t>
            </w:r>
          </w:p>
        </w:tc>
        <w:tc>
          <w:tcPr>
            <w:tcW w:w="1260" w:type="dxa"/>
            <w:shd w:val="clear" w:color="auto" w:fill="C6EFCE"/>
            <w:tcMar>
              <w:left w:w="108" w:type="dxa"/>
              <w:right w:w="108" w:type="dxa"/>
            </w:tcMar>
            <w:vAlign w:val="center"/>
          </w:tcPr>
          <w:p w14:paraId="10236151"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38591A93" w14:textId="77777777" w:rsidR="00E42B18" w:rsidRDefault="009629C4">
            <w:pPr>
              <w:pStyle w:val="P68B1DB1-Normal121"/>
              <w:spacing w:after="0" w:line="240" w:lineRule="auto"/>
              <w:rPr>
                <w:noProof/>
              </w:rPr>
            </w:pPr>
            <w:r>
              <w:rPr>
                <w:noProof/>
              </w:rPr>
              <w:t>Kaikkien täytäntöönpanotoimenpiteiden (tarvittaessa myös johdetun oikeuden) voimaantulo vuoden 2021 kilpailulaista johtuvien toimenpiteiden tehokasta täytäntöönpanoa ja soveltamista varten</w:t>
            </w:r>
          </w:p>
        </w:tc>
      </w:tr>
      <w:tr w:rsidR="00E42B18" w14:paraId="7E2C562A" w14:textId="77777777">
        <w:trPr>
          <w:trHeight w:val="300"/>
        </w:trPr>
        <w:tc>
          <w:tcPr>
            <w:tcW w:w="1395" w:type="dxa"/>
            <w:shd w:val="clear" w:color="auto" w:fill="C6EFCE"/>
            <w:tcMar>
              <w:left w:w="108" w:type="dxa"/>
              <w:right w:w="108" w:type="dxa"/>
            </w:tcMar>
            <w:vAlign w:val="center"/>
          </w:tcPr>
          <w:p w14:paraId="0C71B7BD" w14:textId="77777777" w:rsidR="00E42B18" w:rsidRDefault="009629C4">
            <w:pPr>
              <w:pStyle w:val="P68B1DB1-Normal121"/>
              <w:spacing w:after="0" w:line="240" w:lineRule="auto"/>
              <w:jc w:val="center"/>
              <w:rPr>
                <w:noProof/>
              </w:rPr>
            </w:pPr>
            <w:r>
              <w:rPr>
                <w:noProof/>
              </w:rPr>
              <w:t>M1C3–6</w:t>
            </w:r>
          </w:p>
        </w:tc>
        <w:tc>
          <w:tcPr>
            <w:tcW w:w="3541" w:type="dxa"/>
            <w:shd w:val="clear" w:color="auto" w:fill="C6EFCE"/>
            <w:tcMar>
              <w:left w:w="108" w:type="dxa"/>
              <w:right w:w="108" w:type="dxa"/>
            </w:tcMar>
            <w:vAlign w:val="center"/>
          </w:tcPr>
          <w:p w14:paraId="01A281AA" w14:textId="722B351D" w:rsidR="00E42B18" w:rsidRDefault="009629C4">
            <w:pPr>
              <w:pStyle w:val="P68B1DB1-Normal121"/>
              <w:spacing w:after="0" w:line="240" w:lineRule="auto"/>
              <w:rPr>
                <w:noProof/>
              </w:rPr>
            </w:pPr>
            <w:r>
              <w:rPr>
                <w:noProof/>
              </w:rPr>
              <w:t>Uudistus – 3.1 Kulttuuritapahtumia koskevat vähimmäisympäristökriteerit</w:t>
            </w:r>
          </w:p>
        </w:tc>
        <w:tc>
          <w:tcPr>
            <w:tcW w:w="1260" w:type="dxa"/>
            <w:shd w:val="clear" w:color="auto" w:fill="C6EFCE"/>
            <w:tcMar>
              <w:left w:w="108" w:type="dxa"/>
              <w:right w:w="108" w:type="dxa"/>
            </w:tcMar>
            <w:vAlign w:val="center"/>
          </w:tcPr>
          <w:p w14:paraId="52550C7B"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23CCAD98" w14:textId="77777777" w:rsidR="00E42B18" w:rsidRDefault="009629C4">
            <w:pPr>
              <w:pStyle w:val="P68B1DB1-Normal121"/>
              <w:spacing w:after="0" w:line="240" w:lineRule="auto"/>
              <w:rPr>
                <w:noProof/>
              </w:rPr>
            </w:pPr>
            <w:r>
              <w:rPr>
                <w:noProof/>
              </w:rPr>
              <w:t>Julkisin varoin rahoitettuja kulttuuritapahtumia koskevien julkisten tarjouskilpailujen sosiaalisia ja ympäristöön liittyviä perusteita koskevan asetuksen voimaantulo</w:t>
            </w:r>
          </w:p>
        </w:tc>
      </w:tr>
      <w:tr w:rsidR="00E42B18" w14:paraId="275318E9" w14:textId="77777777">
        <w:trPr>
          <w:trHeight w:val="300"/>
        </w:trPr>
        <w:tc>
          <w:tcPr>
            <w:tcW w:w="1395" w:type="dxa"/>
            <w:shd w:val="clear" w:color="auto" w:fill="C6EFCE"/>
            <w:tcMar>
              <w:left w:w="108" w:type="dxa"/>
              <w:right w:w="108" w:type="dxa"/>
            </w:tcMar>
            <w:vAlign w:val="center"/>
          </w:tcPr>
          <w:p w14:paraId="05F28112" w14:textId="77777777" w:rsidR="00E42B18" w:rsidRDefault="009629C4">
            <w:pPr>
              <w:pStyle w:val="P68B1DB1-Normal121"/>
              <w:spacing w:after="0" w:line="240" w:lineRule="auto"/>
              <w:jc w:val="center"/>
              <w:rPr>
                <w:noProof/>
              </w:rPr>
            </w:pPr>
            <w:r>
              <w:rPr>
                <w:noProof/>
              </w:rPr>
              <w:t>M2C1–3</w:t>
            </w:r>
          </w:p>
        </w:tc>
        <w:tc>
          <w:tcPr>
            <w:tcW w:w="3541" w:type="dxa"/>
            <w:shd w:val="clear" w:color="auto" w:fill="C6EFCE"/>
            <w:tcMar>
              <w:left w:w="108" w:type="dxa"/>
              <w:right w:w="108" w:type="dxa"/>
            </w:tcMar>
            <w:vAlign w:val="center"/>
          </w:tcPr>
          <w:p w14:paraId="434E5419" w14:textId="77777777" w:rsidR="00E42B18" w:rsidRDefault="009629C4">
            <w:pPr>
              <w:pStyle w:val="P68B1DB1-Normal121"/>
              <w:spacing w:after="0" w:line="240" w:lineRule="auto"/>
              <w:rPr>
                <w:noProof/>
              </w:rPr>
            </w:pPr>
            <w:r>
              <w:rPr>
                <w:noProof/>
              </w:rPr>
              <w:t>Investointi 2.1: Maatalous-, kalastus- ja vesiviljelyalan, metsätalouden, kukkaviljelyn ja taimitarhan logistiikkasuunnitelma</w:t>
            </w:r>
          </w:p>
        </w:tc>
        <w:tc>
          <w:tcPr>
            <w:tcW w:w="1260" w:type="dxa"/>
            <w:shd w:val="clear" w:color="auto" w:fill="C6EFCE"/>
            <w:tcMar>
              <w:left w:w="108" w:type="dxa"/>
              <w:right w:w="108" w:type="dxa"/>
            </w:tcMar>
            <w:vAlign w:val="center"/>
          </w:tcPr>
          <w:p w14:paraId="2EFD24A4"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40736E16" w14:textId="77777777" w:rsidR="00E42B18" w:rsidRDefault="009629C4">
            <w:pPr>
              <w:pStyle w:val="P68B1DB1-Normal121"/>
              <w:spacing w:after="0" w:line="240" w:lineRule="auto"/>
              <w:rPr>
                <w:noProof/>
              </w:rPr>
            </w:pPr>
            <w:r>
              <w:rPr>
                <w:noProof/>
              </w:rPr>
              <w:t>Logistisen kannustinjärjestelmän mukaisen lopullisen järjestyksen julkaiseminen</w:t>
            </w:r>
          </w:p>
        </w:tc>
      </w:tr>
      <w:tr w:rsidR="00E42B18" w14:paraId="45EEF3D8" w14:textId="77777777">
        <w:trPr>
          <w:trHeight w:val="300"/>
        </w:trPr>
        <w:tc>
          <w:tcPr>
            <w:tcW w:w="1395" w:type="dxa"/>
            <w:shd w:val="clear" w:color="auto" w:fill="C6EFCE"/>
            <w:tcMar>
              <w:left w:w="108" w:type="dxa"/>
              <w:right w:w="108" w:type="dxa"/>
            </w:tcMar>
            <w:vAlign w:val="center"/>
          </w:tcPr>
          <w:p w14:paraId="39EF7118" w14:textId="77777777" w:rsidR="00E42B18" w:rsidRDefault="009629C4">
            <w:pPr>
              <w:pStyle w:val="P68B1DB1-Normal121"/>
              <w:spacing w:after="0" w:line="240" w:lineRule="auto"/>
              <w:jc w:val="center"/>
              <w:rPr>
                <w:noProof/>
              </w:rPr>
            </w:pPr>
            <w:r>
              <w:rPr>
                <w:noProof/>
              </w:rPr>
              <w:t>M2C1–4</w:t>
            </w:r>
          </w:p>
        </w:tc>
        <w:tc>
          <w:tcPr>
            <w:tcW w:w="3541" w:type="dxa"/>
            <w:shd w:val="clear" w:color="auto" w:fill="C6EFCE"/>
            <w:tcMar>
              <w:left w:w="108" w:type="dxa"/>
              <w:right w:w="108" w:type="dxa"/>
            </w:tcMar>
            <w:vAlign w:val="center"/>
          </w:tcPr>
          <w:p w14:paraId="31D28661" w14:textId="77777777" w:rsidR="00E42B18" w:rsidRDefault="009629C4">
            <w:pPr>
              <w:pStyle w:val="P68B1DB1-Normal121"/>
              <w:spacing w:after="0" w:line="240" w:lineRule="auto"/>
              <w:rPr>
                <w:noProof/>
              </w:rPr>
            </w:pPr>
            <w:r>
              <w:rPr>
                <w:noProof/>
              </w:rPr>
              <w:t>Investointi 2.2: Maatalouden aurinkopuisto</w:t>
            </w:r>
          </w:p>
        </w:tc>
        <w:tc>
          <w:tcPr>
            <w:tcW w:w="1260" w:type="dxa"/>
            <w:shd w:val="clear" w:color="auto" w:fill="C6EFCE"/>
            <w:tcMar>
              <w:left w:w="108" w:type="dxa"/>
              <w:right w:w="108" w:type="dxa"/>
            </w:tcMar>
            <w:vAlign w:val="center"/>
          </w:tcPr>
          <w:p w14:paraId="7479F6D9" w14:textId="77777777" w:rsidR="00E42B18" w:rsidRDefault="009629C4">
            <w:pPr>
              <w:pStyle w:val="P68B1DB1-Normal121"/>
              <w:spacing w:after="0" w:line="240" w:lineRule="auto"/>
              <w:jc w:val="center"/>
              <w:rPr>
                <w:noProof/>
              </w:rPr>
            </w:pPr>
            <w:r>
              <w:rPr>
                <w:noProof/>
              </w:rPr>
              <w:t>Kohde</w:t>
            </w:r>
          </w:p>
        </w:tc>
        <w:tc>
          <w:tcPr>
            <w:tcW w:w="3162" w:type="dxa"/>
            <w:shd w:val="clear" w:color="auto" w:fill="C6EFCE"/>
            <w:tcMar>
              <w:left w:w="108" w:type="dxa"/>
              <w:right w:w="108" w:type="dxa"/>
            </w:tcMar>
            <w:vAlign w:val="center"/>
          </w:tcPr>
          <w:p w14:paraId="05FFEB35" w14:textId="77777777" w:rsidR="00E42B18" w:rsidRDefault="009629C4">
            <w:pPr>
              <w:pStyle w:val="P68B1DB1-Normal121"/>
              <w:spacing w:after="0" w:line="240" w:lineRule="auto"/>
              <w:rPr>
                <w:noProof/>
              </w:rPr>
            </w:pPr>
            <w:r>
              <w:rPr>
                <w:noProof/>
              </w:rPr>
              <w:t>Varojen kohdentaminen tuensaajille prosentteina investoinnille osoitetuista kokonaismäärärahoista</w:t>
            </w:r>
          </w:p>
        </w:tc>
      </w:tr>
      <w:tr w:rsidR="00E42B18" w14:paraId="2010BEDA" w14:textId="77777777">
        <w:trPr>
          <w:trHeight w:val="300"/>
        </w:trPr>
        <w:tc>
          <w:tcPr>
            <w:tcW w:w="1395" w:type="dxa"/>
            <w:shd w:val="clear" w:color="auto" w:fill="C6EFCE"/>
            <w:tcMar>
              <w:left w:w="108" w:type="dxa"/>
              <w:right w:w="108" w:type="dxa"/>
            </w:tcMar>
            <w:vAlign w:val="center"/>
          </w:tcPr>
          <w:p w14:paraId="7B0D8A05" w14:textId="77777777" w:rsidR="00E42B18" w:rsidRDefault="009629C4">
            <w:pPr>
              <w:pStyle w:val="P68B1DB1-Normal121"/>
              <w:spacing w:after="0" w:line="240" w:lineRule="auto"/>
              <w:jc w:val="center"/>
              <w:rPr>
                <w:noProof/>
              </w:rPr>
            </w:pPr>
            <w:r>
              <w:rPr>
                <w:noProof/>
              </w:rPr>
              <w:t>M2C2–8</w:t>
            </w:r>
          </w:p>
        </w:tc>
        <w:tc>
          <w:tcPr>
            <w:tcW w:w="3541" w:type="dxa"/>
            <w:shd w:val="clear" w:color="auto" w:fill="C6EFCE"/>
            <w:tcMar>
              <w:left w:w="108" w:type="dxa"/>
              <w:right w:w="108" w:type="dxa"/>
            </w:tcMar>
            <w:vAlign w:val="center"/>
          </w:tcPr>
          <w:p w14:paraId="5174D8E0" w14:textId="77777777" w:rsidR="00E42B18" w:rsidRDefault="009629C4">
            <w:pPr>
              <w:pStyle w:val="P68B1DB1-Normal121"/>
              <w:spacing w:after="0" w:line="240" w:lineRule="auto"/>
              <w:rPr>
                <w:noProof/>
              </w:rPr>
            </w:pPr>
            <w:r>
              <w:rPr>
                <w:noProof/>
              </w:rPr>
              <w:t>Investointi 2.1 Älykkään verkon vahvistaminen</w:t>
            </w:r>
          </w:p>
        </w:tc>
        <w:tc>
          <w:tcPr>
            <w:tcW w:w="1260" w:type="dxa"/>
            <w:shd w:val="clear" w:color="auto" w:fill="C6EFCE"/>
            <w:tcMar>
              <w:left w:w="108" w:type="dxa"/>
              <w:right w:w="108" w:type="dxa"/>
            </w:tcMar>
            <w:vAlign w:val="center"/>
          </w:tcPr>
          <w:p w14:paraId="0AB0FB58"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42A71D02" w14:textId="77777777" w:rsidR="00E42B18" w:rsidRDefault="009629C4">
            <w:pPr>
              <w:pStyle w:val="P68B1DB1-Normal121"/>
              <w:spacing w:after="0" w:line="240" w:lineRule="auto"/>
              <w:rPr>
                <w:noProof/>
              </w:rPr>
            </w:pPr>
            <w:r>
              <w:rPr>
                <w:noProof/>
              </w:rPr>
              <w:t>(Kaikkien) verkkokapasiteetin lisäämistä koskevien julkisten hankintasopimusten tekeminen</w:t>
            </w:r>
          </w:p>
        </w:tc>
      </w:tr>
      <w:tr w:rsidR="00E42B18" w14:paraId="24C84B29" w14:textId="77777777">
        <w:trPr>
          <w:trHeight w:val="300"/>
        </w:trPr>
        <w:tc>
          <w:tcPr>
            <w:tcW w:w="1395" w:type="dxa"/>
            <w:shd w:val="clear" w:color="auto" w:fill="C6EFCE"/>
            <w:tcMar>
              <w:left w:w="108" w:type="dxa"/>
              <w:right w:w="108" w:type="dxa"/>
            </w:tcMar>
            <w:vAlign w:val="center"/>
          </w:tcPr>
          <w:p w14:paraId="3D7684F7" w14:textId="77777777" w:rsidR="00E42B18" w:rsidRDefault="009629C4">
            <w:pPr>
              <w:pStyle w:val="P68B1DB1-Normal121"/>
              <w:spacing w:after="0" w:line="240" w:lineRule="auto"/>
              <w:jc w:val="center"/>
              <w:rPr>
                <w:noProof/>
              </w:rPr>
            </w:pPr>
            <w:r>
              <w:rPr>
                <w:noProof/>
              </w:rPr>
              <w:t>M2C2–12</w:t>
            </w:r>
          </w:p>
        </w:tc>
        <w:tc>
          <w:tcPr>
            <w:tcW w:w="3541" w:type="dxa"/>
            <w:shd w:val="clear" w:color="auto" w:fill="C6EFCE"/>
            <w:tcMar>
              <w:left w:w="108" w:type="dxa"/>
              <w:right w:w="108" w:type="dxa"/>
            </w:tcMar>
            <w:vAlign w:val="center"/>
          </w:tcPr>
          <w:p w14:paraId="06D7D46C" w14:textId="77777777" w:rsidR="00E42B18" w:rsidRDefault="009629C4">
            <w:pPr>
              <w:pStyle w:val="P68B1DB1-Normal121"/>
              <w:spacing w:after="0" w:line="240" w:lineRule="auto"/>
              <w:rPr>
                <w:noProof/>
              </w:rPr>
            </w:pPr>
            <w:r>
              <w:rPr>
                <w:noProof/>
              </w:rPr>
              <w:t>Investointi 2.2 Toimenpiteet sähköverkon häiriönsietokyvyn parantamiseksi</w:t>
            </w:r>
          </w:p>
        </w:tc>
        <w:tc>
          <w:tcPr>
            <w:tcW w:w="1260" w:type="dxa"/>
            <w:shd w:val="clear" w:color="auto" w:fill="C6EFCE"/>
            <w:tcMar>
              <w:left w:w="108" w:type="dxa"/>
              <w:right w:w="108" w:type="dxa"/>
            </w:tcMar>
            <w:vAlign w:val="center"/>
          </w:tcPr>
          <w:p w14:paraId="20FCDACC"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1F629A5B" w14:textId="77777777" w:rsidR="00E42B18" w:rsidRDefault="009629C4">
            <w:pPr>
              <w:pStyle w:val="P68B1DB1-Normal121"/>
              <w:spacing w:after="0" w:line="240" w:lineRule="auto"/>
              <w:rPr>
                <w:noProof/>
              </w:rPr>
            </w:pPr>
            <w:r>
              <w:rPr>
                <w:noProof/>
              </w:rPr>
              <w:t>Sähköverkkoverkon häiriönsietokyvyn parantamiseen tähtäävien hankkeiden myöntäminen</w:t>
            </w:r>
          </w:p>
        </w:tc>
      </w:tr>
      <w:tr w:rsidR="00E42B18" w14:paraId="7C27BD6E" w14:textId="77777777">
        <w:trPr>
          <w:trHeight w:val="300"/>
        </w:trPr>
        <w:tc>
          <w:tcPr>
            <w:tcW w:w="1395" w:type="dxa"/>
            <w:shd w:val="clear" w:color="auto" w:fill="C6EFCE"/>
            <w:tcMar>
              <w:left w:w="108" w:type="dxa"/>
              <w:right w:w="108" w:type="dxa"/>
            </w:tcMar>
            <w:vAlign w:val="center"/>
          </w:tcPr>
          <w:p w14:paraId="32F81CEB" w14:textId="77777777" w:rsidR="00E42B18" w:rsidRDefault="009629C4">
            <w:pPr>
              <w:pStyle w:val="P68B1DB1-Normal121"/>
              <w:spacing w:after="0" w:line="240" w:lineRule="auto"/>
              <w:jc w:val="center"/>
              <w:rPr>
                <w:noProof/>
              </w:rPr>
            </w:pPr>
            <w:r>
              <w:rPr>
                <w:noProof/>
              </w:rPr>
              <w:t>M3C2–1</w:t>
            </w:r>
          </w:p>
        </w:tc>
        <w:tc>
          <w:tcPr>
            <w:tcW w:w="3541" w:type="dxa"/>
            <w:shd w:val="clear" w:color="auto" w:fill="C6EFCE"/>
            <w:tcMar>
              <w:left w:w="108" w:type="dxa"/>
              <w:right w:w="108" w:type="dxa"/>
            </w:tcMar>
            <w:vAlign w:val="center"/>
          </w:tcPr>
          <w:p w14:paraId="737A1F9C" w14:textId="77777777" w:rsidR="00E42B18" w:rsidRDefault="009629C4">
            <w:pPr>
              <w:pStyle w:val="P68B1DB1-Normal121"/>
              <w:spacing w:after="0" w:line="240" w:lineRule="auto"/>
              <w:rPr>
                <w:noProof/>
              </w:rPr>
            </w:pPr>
            <w:r>
              <w:rPr>
                <w:noProof/>
              </w:rPr>
              <w:t xml:space="preserve">Uudistus 1.1 – Strategisen suunnitteluprosessin menettelyjen yksinkertaistaminen </w:t>
            </w:r>
          </w:p>
        </w:tc>
        <w:tc>
          <w:tcPr>
            <w:tcW w:w="1260" w:type="dxa"/>
            <w:shd w:val="clear" w:color="auto" w:fill="C6EFCE"/>
            <w:tcMar>
              <w:left w:w="108" w:type="dxa"/>
              <w:right w:w="108" w:type="dxa"/>
            </w:tcMar>
            <w:vAlign w:val="center"/>
          </w:tcPr>
          <w:p w14:paraId="2F1BA560"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52A41789" w14:textId="77777777" w:rsidR="00E42B18" w:rsidRDefault="009629C4">
            <w:pPr>
              <w:pStyle w:val="P68B1DB1-Normal121"/>
              <w:spacing w:after="0" w:line="240" w:lineRule="auto"/>
              <w:rPr>
                <w:noProof/>
              </w:rPr>
            </w:pPr>
            <w:r>
              <w:rPr>
                <w:noProof/>
              </w:rPr>
              <w:t>Strategisen suunnitteluprosessin menettelyjen yksinkertaistamiseen liittyvien lainsäädäntömuutosten voimaantulo</w:t>
            </w:r>
          </w:p>
        </w:tc>
      </w:tr>
      <w:tr w:rsidR="00E42B18" w14:paraId="6A615199" w14:textId="77777777">
        <w:trPr>
          <w:trHeight w:val="300"/>
        </w:trPr>
        <w:tc>
          <w:tcPr>
            <w:tcW w:w="1395" w:type="dxa"/>
            <w:shd w:val="clear" w:color="auto" w:fill="C6EFCE"/>
            <w:tcMar>
              <w:left w:w="108" w:type="dxa"/>
              <w:right w:w="108" w:type="dxa"/>
            </w:tcMar>
            <w:vAlign w:val="center"/>
          </w:tcPr>
          <w:p w14:paraId="1B9B1CEC" w14:textId="77777777" w:rsidR="00E42B18" w:rsidRDefault="009629C4">
            <w:pPr>
              <w:pStyle w:val="P68B1DB1-Normal121"/>
              <w:spacing w:after="0" w:line="240" w:lineRule="auto"/>
              <w:jc w:val="center"/>
              <w:rPr>
                <w:noProof/>
              </w:rPr>
            </w:pPr>
            <w:r>
              <w:rPr>
                <w:noProof/>
              </w:rPr>
              <w:t>M3C2–2</w:t>
            </w:r>
          </w:p>
        </w:tc>
        <w:tc>
          <w:tcPr>
            <w:tcW w:w="3541" w:type="dxa"/>
            <w:shd w:val="clear" w:color="auto" w:fill="C6EFCE"/>
            <w:tcMar>
              <w:left w:w="108" w:type="dxa"/>
              <w:right w:w="108" w:type="dxa"/>
            </w:tcMar>
            <w:vAlign w:val="center"/>
          </w:tcPr>
          <w:p w14:paraId="28B15C3B" w14:textId="77777777" w:rsidR="00E42B18" w:rsidRDefault="009629C4">
            <w:pPr>
              <w:pStyle w:val="P68B1DB1-Normal121"/>
              <w:spacing w:after="0" w:line="240" w:lineRule="auto"/>
              <w:rPr>
                <w:noProof/>
              </w:rPr>
            </w:pPr>
            <w:r>
              <w:rPr>
                <w:noProof/>
              </w:rPr>
              <w:t>Uudistus 1.2 – Kilpailullinen käyttöoikeussopimusten myöntäminen Italian satamissa</w:t>
            </w:r>
          </w:p>
        </w:tc>
        <w:tc>
          <w:tcPr>
            <w:tcW w:w="1260" w:type="dxa"/>
            <w:shd w:val="clear" w:color="auto" w:fill="C6EFCE"/>
            <w:tcMar>
              <w:left w:w="108" w:type="dxa"/>
              <w:right w:w="108" w:type="dxa"/>
            </w:tcMar>
            <w:vAlign w:val="center"/>
          </w:tcPr>
          <w:p w14:paraId="372C1CC0"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3257B902" w14:textId="77777777" w:rsidR="00E42B18" w:rsidRDefault="009629C4">
            <w:pPr>
              <w:pStyle w:val="P68B1DB1-Normal121"/>
              <w:spacing w:after="0" w:line="240" w:lineRule="auto"/>
              <w:rPr>
                <w:noProof/>
              </w:rPr>
            </w:pPr>
            <w:r>
              <w:rPr>
                <w:noProof/>
              </w:rPr>
              <w:t>Satamatoimilupia koskevan asetuksen voimaantulo</w:t>
            </w:r>
          </w:p>
        </w:tc>
      </w:tr>
      <w:tr w:rsidR="00E42B18" w14:paraId="492973B0" w14:textId="77777777">
        <w:trPr>
          <w:trHeight w:val="300"/>
        </w:trPr>
        <w:tc>
          <w:tcPr>
            <w:tcW w:w="1395" w:type="dxa"/>
            <w:shd w:val="clear" w:color="auto" w:fill="C6EFCE"/>
            <w:tcMar>
              <w:left w:w="108" w:type="dxa"/>
              <w:right w:w="108" w:type="dxa"/>
            </w:tcMar>
            <w:vAlign w:val="center"/>
          </w:tcPr>
          <w:p w14:paraId="32844C8D" w14:textId="77777777" w:rsidR="00E42B18" w:rsidRDefault="009629C4">
            <w:pPr>
              <w:pStyle w:val="P68B1DB1-Normal121"/>
              <w:spacing w:after="0" w:line="240" w:lineRule="auto"/>
              <w:jc w:val="center"/>
              <w:rPr>
                <w:noProof/>
              </w:rPr>
            </w:pPr>
            <w:r>
              <w:rPr>
                <w:noProof/>
              </w:rPr>
              <w:t>M3C2–4</w:t>
            </w:r>
          </w:p>
        </w:tc>
        <w:tc>
          <w:tcPr>
            <w:tcW w:w="3541" w:type="dxa"/>
            <w:shd w:val="clear" w:color="auto" w:fill="C6EFCE"/>
            <w:tcMar>
              <w:left w:w="108" w:type="dxa"/>
              <w:right w:w="108" w:type="dxa"/>
            </w:tcMar>
            <w:vAlign w:val="center"/>
          </w:tcPr>
          <w:p w14:paraId="18797B44" w14:textId="77777777" w:rsidR="00E42B18" w:rsidRDefault="009629C4">
            <w:pPr>
              <w:pStyle w:val="P68B1DB1-Normal121"/>
              <w:spacing w:after="0" w:line="240" w:lineRule="auto"/>
              <w:rPr>
                <w:noProof/>
              </w:rPr>
            </w:pPr>
            <w:r>
              <w:rPr>
                <w:noProof/>
              </w:rPr>
              <w:t>Uudistus 1.3 – Kylmäsilityslaitosten lupamenettelyjen yksinkertaistaminen</w:t>
            </w:r>
          </w:p>
        </w:tc>
        <w:tc>
          <w:tcPr>
            <w:tcW w:w="1260" w:type="dxa"/>
            <w:shd w:val="clear" w:color="auto" w:fill="C6EFCE"/>
            <w:tcMar>
              <w:left w:w="108" w:type="dxa"/>
              <w:right w:w="108" w:type="dxa"/>
            </w:tcMar>
            <w:vAlign w:val="center"/>
          </w:tcPr>
          <w:p w14:paraId="077AA278"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06B78301" w14:textId="77777777" w:rsidR="00E42B18" w:rsidRDefault="009629C4">
            <w:pPr>
              <w:pStyle w:val="P68B1DB1-Normal121"/>
              <w:spacing w:after="0" w:line="240" w:lineRule="auto"/>
              <w:rPr>
                <w:noProof/>
              </w:rPr>
            </w:pPr>
            <w:r>
              <w:rPr>
                <w:noProof/>
              </w:rPr>
              <w:t>Kylmäsilityslaitosten lupamenettelyjen yksinkertaistaminen tulee voimaan</w:t>
            </w:r>
          </w:p>
        </w:tc>
      </w:tr>
      <w:tr w:rsidR="00E42B18" w14:paraId="0FE73E7F" w14:textId="77777777">
        <w:trPr>
          <w:trHeight w:val="300"/>
        </w:trPr>
        <w:tc>
          <w:tcPr>
            <w:tcW w:w="1395" w:type="dxa"/>
            <w:shd w:val="clear" w:color="auto" w:fill="C6EFCE"/>
            <w:tcMar>
              <w:left w:w="108" w:type="dxa"/>
              <w:right w:w="108" w:type="dxa"/>
            </w:tcMar>
            <w:vAlign w:val="center"/>
          </w:tcPr>
          <w:p w14:paraId="5647F4DD" w14:textId="77777777" w:rsidR="00E42B18" w:rsidRDefault="009629C4">
            <w:pPr>
              <w:pStyle w:val="P68B1DB1-Normal121"/>
              <w:spacing w:after="0" w:line="240" w:lineRule="auto"/>
              <w:jc w:val="center"/>
              <w:rPr>
                <w:noProof/>
              </w:rPr>
            </w:pPr>
            <w:r>
              <w:rPr>
                <w:noProof/>
              </w:rPr>
              <w:t>M4C1–5</w:t>
            </w:r>
          </w:p>
        </w:tc>
        <w:tc>
          <w:tcPr>
            <w:tcW w:w="3541" w:type="dxa"/>
            <w:shd w:val="clear" w:color="auto" w:fill="C6EFCE"/>
            <w:tcMar>
              <w:left w:w="108" w:type="dxa"/>
              <w:right w:w="108" w:type="dxa"/>
            </w:tcMar>
            <w:vAlign w:val="center"/>
          </w:tcPr>
          <w:p w14:paraId="21899888" w14:textId="77777777" w:rsidR="00E42B18" w:rsidRDefault="009629C4">
            <w:pPr>
              <w:pStyle w:val="P68B1DB1-Normal121"/>
              <w:spacing w:after="0" w:line="240" w:lineRule="auto"/>
              <w:rPr>
                <w:noProof/>
              </w:rPr>
            </w:pPr>
            <w:r>
              <w:rPr>
                <w:noProof/>
              </w:rPr>
              <w:t>Uudistus 1.3: Koulujärjestelmän uudelleenorganisointi; Uudistus 1.2: Korkea-asteen ammatillisen koulutuksen järjestelmän (ITS) uudistaminen; Uudistus 1.1: Teknisten ja ammatillisten instituuttien uudistaminen; Uudistus 1.4: Suuntaviivajärjestelmän uudistaminen</w:t>
            </w:r>
          </w:p>
        </w:tc>
        <w:tc>
          <w:tcPr>
            <w:tcW w:w="1260" w:type="dxa"/>
            <w:shd w:val="clear" w:color="auto" w:fill="C6EFCE"/>
            <w:tcMar>
              <w:left w:w="108" w:type="dxa"/>
              <w:right w:w="108" w:type="dxa"/>
            </w:tcMar>
            <w:vAlign w:val="center"/>
          </w:tcPr>
          <w:p w14:paraId="36AD4F81" w14:textId="77777777" w:rsidR="00E42B18" w:rsidRDefault="009629C4">
            <w:pPr>
              <w:pStyle w:val="P68B1DB1-Normal121"/>
              <w:spacing w:after="0" w:line="240" w:lineRule="auto"/>
              <w:jc w:val="center"/>
              <w:rPr>
                <w:noProof/>
              </w:rPr>
            </w:pPr>
            <w:r>
              <w:rPr>
                <w:noProof/>
              </w:rPr>
              <w:t>Välitavoitteet</w:t>
            </w:r>
          </w:p>
        </w:tc>
        <w:tc>
          <w:tcPr>
            <w:tcW w:w="3162" w:type="dxa"/>
            <w:shd w:val="clear" w:color="auto" w:fill="C6EFCE"/>
            <w:tcMar>
              <w:left w:w="108" w:type="dxa"/>
              <w:right w:w="108" w:type="dxa"/>
            </w:tcMar>
            <w:vAlign w:val="center"/>
          </w:tcPr>
          <w:p w14:paraId="31CFE740" w14:textId="77777777" w:rsidR="00E42B18" w:rsidRDefault="009629C4">
            <w:pPr>
              <w:pStyle w:val="P68B1DB1-Normal121"/>
              <w:spacing w:after="0" w:line="240" w:lineRule="auto"/>
              <w:rPr>
                <w:noProof/>
              </w:rPr>
            </w:pPr>
            <w:r>
              <w:rPr>
                <w:noProof/>
              </w:rPr>
              <w:t>Perus- ja keskiasteen koulutusjärjestelmän uudistusten voimaantulo koulutustulosten parantamiseksi</w:t>
            </w:r>
          </w:p>
        </w:tc>
      </w:tr>
      <w:tr w:rsidR="00E42B18" w14:paraId="3705DE41" w14:textId="77777777">
        <w:trPr>
          <w:trHeight w:val="300"/>
        </w:trPr>
        <w:tc>
          <w:tcPr>
            <w:tcW w:w="1395" w:type="dxa"/>
            <w:shd w:val="clear" w:color="auto" w:fill="C6EFCE"/>
            <w:tcMar>
              <w:left w:w="108" w:type="dxa"/>
              <w:right w:w="108" w:type="dxa"/>
            </w:tcMar>
            <w:vAlign w:val="center"/>
          </w:tcPr>
          <w:p w14:paraId="3555431D" w14:textId="77777777" w:rsidR="00E42B18" w:rsidRDefault="009629C4">
            <w:pPr>
              <w:pStyle w:val="P68B1DB1-Normal121"/>
              <w:spacing w:after="0" w:line="240" w:lineRule="auto"/>
              <w:jc w:val="center"/>
              <w:rPr>
                <w:noProof/>
              </w:rPr>
            </w:pPr>
            <w:r>
              <w:rPr>
                <w:noProof/>
              </w:rPr>
              <w:t>M4C1–6</w:t>
            </w:r>
          </w:p>
        </w:tc>
        <w:tc>
          <w:tcPr>
            <w:tcW w:w="3541" w:type="dxa"/>
            <w:shd w:val="clear" w:color="auto" w:fill="C6EFCE"/>
            <w:tcMar>
              <w:left w:w="108" w:type="dxa"/>
              <w:right w:w="108" w:type="dxa"/>
            </w:tcMar>
            <w:vAlign w:val="center"/>
          </w:tcPr>
          <w:p w14:paraId="22FC731F" w14:textId="77777777" w:rsidR="00E42B18" w:rsidRDefault="009629C4">
            <w:pPr>
              <w:pStyle w:val="P68B1DB1-Normal121"/>
              <w:spacing w:after="0" w:line="240" w:lineRule="auto"/>
              <w:rPr>
                <w:noProof/>
              </w:rPr>
            </w:pPr>
            <w:r>
              <w:rPr>
                <w:noProof/>
              </w:rPr>
              <w:t>Uudistus 2.2: Korkea-asteen koulutus ja jatkokoulutus koulujen johtajille, opettajille sekä hallinto- ja tekniselle henkilöstölle</w:t>
            </w:r>
          </w:p>
        </w:tc>
        <w:tc>
          <w:tcPr>
            <w:tcW w:w="1260" w:type="dxa"/>
            <w:shd w:val="clear" w:color="auto" w:fill="C6EFCE"/>
            <w:tcMar>
              <w:left w:w="108" w:type="dxa"/>
              <w:right w:w="108" w:type="dxa"/>
            </w:tcMar>
            <w:vAlign w:val="center"/>
          </w:tcPr>
          <w:p w14:paraId="49D93FF5"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2E776FB9" w14:textId="77777777" w:rsidR="00E42B18" w:rsidRDefault="009629C4">
            <w:pPr>
              <w:pStyle w:val="P68B1DB1-Normal121"/>
              <w:spacing w:after="0" w:line="240" w:lineRule="auto"/>
              <w:rPr>
                <w:noProof/>
              </w:rPr>
            </w:pPr>
            <w:r>
              <w:rPr>
                <w:noProof/>
              </w:rPr>
              <w:t>Laadukkaan koulutusjärjestelmän kehittämistä koulua varten koskevan lainsäädännön voimaantulo.</w:t>
            </w:r>
          </w:p>
        </w:tc>
      </w:tr>
      <w:tr w:rsidR="00E42B18" w14:paraId="0FA8D99C" w14:textId="77777777">
        <w:trPr>
          <w:trHeight w:val="300"/>
        </w:trPr>
        <w:tc>
          <w:tcPr>
            <w:tcW w:w="1395" w:type="dxa"/>
            <w:shd w:val="clear" w:color="auto" w:fill="C6EFCE"/>
            <w:tcMar>
              <w:left w:w="108" w:type="dxa"/>
              <w:right w:w="108" w:type="dxa"/>
            </w:tcMar>
            <w:vAlign w:val="center"/>
          </w:tcPr>
          <w:p w14:paraId="772C397A" w14:textId="77777777" w:rsidR="00E42B18" w:rsidRDefault="009629C4">
            <w:pPr>
              <w:pStyle w:val="P68B1DB1-Normal121"/>
              <w:spacing w:after="0" w:line="240" w:lineRule="auto"/>
              <w:jc w:val="center"/>
              <w:rPr>
                <w:noProof/>
              </w:rPr>
            </w:pPr>
            <w:r>
              <w:rPr>
                <w:noProof/>
              </w:rPr>
              <w:t>M4C2–1</w:t>
            </w:r>
          </w:p>
        </w:tc>
        <w:tc>
          <w:tcPr>
            <w:tcW w:w="3541" w:type="dxa"/>
            <w:shd w:val="clear" w:color="auto" w:fill="C6EFCE"/>
            <w:tcMar>
              <w:left w:w="108" w:type="dxa"/>
              <w:right w:w="108" w:type="dxa"/>
            </w:tcMar>
            <w:vAlign w:val="center"/>
          </w:tcPr>
          <w:p w14:paraId="76A603AA" w14:textId="77777777" w:rsidR="00E42B18" w:rsidRDefault="009629C4">
            <w:pPr>
              <w:pStyle w:val="P68B1DB1-Normal121"/>
              <w:spacing w:after="0" w:line="240" w:lineRule="auto"/>
              <w:rPr>
                <w:noProof/>
              </w:rPr>
            </w:pPr>
            <w:r>
              <w:rPr>
                <w:noProof/>
              </w:rPr>
              <w:t>Investointi 1.2: Nuorten tutkijoiden esittämien hankkeiden rahoittaminen</w:t>
            </w:r>
          </w:p>
        </w:tc>
        <w:tc>
          <w:tcPr>
            <w:tcW w:w="1260" w:type="dxa"/>
            <w:shd w:val="clear" w:color="auto" w:fill="C6EFCE"/>
            <w:tcMar>
              <w:left w:w="108" w:type="dxa"/>
              <w:right w:w="108" w:type="dxa"/>
            </w:tcMar>
            <w:vAlign w:val="center"/>
          </w:tcPr>
          <w:p w14:paraId="59E784D2" w14:textId="77777777" w:rsidR="00E42B18" w:rsidRDefault="009629C4">
            <w:pPr>
              <w:pStyle w:val="P68B1DB1-Normal121"/>
              <w:spacing w:after="0" w:line="240" w:lineRule="auto"/>
              <w:jc w:val="center"/>
              <w:rPr>
                <w:noProof/>
              </w:rPr>
            </w:pPr>
            <w:r>
              <w:rPr>
                <w:noProof/>
              </w:rPr>
              <w:t>Kohde</w:t>
            </w:r>
          </w:p>
        </w:tc>
        <w:tc>
          <w:tcPr>
            <w:tcW w:w="3162" w:type="dxa"/>
            <w:shd w:val="clear" w:color="auto" w:fill="C6EFCE"/>
            <w:tcMar>
              <w:left w:w="108" w:type="dxa"/>
              <w:right w:w="108" w:type="dxa"/>
            </w:tcMar>
            <w:vAlign w:val="center"/>
          </w:tcPr>
          <w:p w14:paraId="21DF5411" w14:textId="77777777" w:rsidR="00E42B18" w:rsidRDefault="009629C4">
            <w:pPr>
              <w:pStyle w:val="P68B1DB1-Normal121"/>
              <w:spacing w:after="0" w:line="240" w:lineRule="auto"/>
              <w:rPr>
                <w:noProof/>
              </w:rPr>
            </w:pPr>
            <w:r>
              <w:rPr>
                <w:noProof/>
              </w:rPr>
              <w:t>Tutkimusapurahan saaneiden opiskelijoiden lukumäärä</w:t>
            </w:r>
          </w:p>
        </w:tc>
      </w:tr>
      <w:tr w:rsidR="00E42B18" w14:paraId="0BD44E33" w14:textId="77777777">
        <w:trPr>
          <w:trHeight w:val="300"/>
        </w:trPr>
        <w:tc>
          <w:tcPr>
            <w:tcW w:w="1395" w:type="dxa"/>
            <w:shd w:val="clear" w:color="auto" w:fill="C6EFCE"/>
            <w:tcMar>
              <w:left w:w="108" w:type="dxa"/>
              <w:right w:w="108" w:type="dxa"/>
            </w:tcMar>
            <w:vAlign w:val="center"/>
          </w:tcPr>
          <w:p w14:paraId="5BB0E972" w14:textId="77777777" w:rsidR="00E42B18" w:rsidRDefault="009629C4">
            <w:pPr>
              <w:pStyle w:val="P68B1DB1-Normal121"/>
              <w:spacing w:after="0" w:line="240" w:lineRule="auto"/>
              <w:jc w:val="center"/>
              <w:rPr>
                <w:noProof/>
              </w:rPr>
            </w:pPr>
            <w:r>
              <w:rPr>
                <w:noProof/>
              </w:rPr>
              <w:t>M5C1–2</w:t>
            </w:r>
          </w:p>
        </w:tc>
        <w:tc>
          <w:tcPr>
            <w:tcW w:w="3541" w:type="dxa"/>
            <w:shd w:val="clear" w:color="auto" w:fill="C6EFCE"/>
            <w:tcMar>
              <w:left w:w="108" w:type="dxa"/>
              <w:right w:w="108" w:type="dxa"/>
            </w:tcMar>
            <w:vAlign w:val="center"/>
          </w:tcPr>
          <w:p w14:paraId="2CF8A7F6" w14:textId="77777777" w:rsidR="00E42B18" w:rsidRDefault="009629C4">
            <w:pPr>
              <w:pStyle w:val="P68B1DB1-Normal121"/>
              <w:spacing w:after="0" w:line="240" w:lineRule="auto"/>
              <w:rPr>
                <w:noProof/>
              </w:rPr>
            </w:pPr>
            <w:r>
              <w:rPr>
                <w:noProof/>
              </w:rPr>
              <w:t>Uudistus 1 – Työvoimapolitiikka ja ammatillinen koulutus</w:t>
            </w:r>
          </w:p>
        </w:tc>
        <w:tc>
          <w:tcPr>
            <w:tcW w:w="1260" w:type="dxa"/>
            <w:shd w:val="clear" w:color="auto" w:fill="C6EFCE"/>
            <w:tcMar>
              <w:left w:w="108" w:type="dxa"/>
              <w:right w:w="108" w:type="dxa"/>
            </w:tcMar>
            <w:vAlign w:val="center"/>
          </w:tcPr>
          <w:p w14:paraId="5A505145"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564ABA27" w14:textId="77777777" w:rsidR="00E42B18" w:rsidRDefault="009629C4">
            <w:pPr>
              <w:pStyle w:val="P68B1DB1-Normal121"/>
              <w:spacing w:after="0" w:line="240" w:lineRule="auto"/>
              <w:rPr>
                <w:noProof/>
              </w:rPr>
            </w:pPr>
            <w:r>
              <w:rPr>
                <w:noProof/>
              </w:rPr>
              <w:t xml:space="preserve">Kaikkien julkisia työvoimapalveluja koskevien suunnitelmien voimaantulo aluetasolla  </w:t>
            </w:r>
          </w:p>
        </w:tc>
      </w:tr>
      <w:tr w:rsidR="00E42B18" w14:paraId="52C65806" w14:textId="77777777">
        <w:trPr>
          <w:trHeight w:val="300"/>
        </w:trPr>
        <w:tc>
          <w:tcPr>
            <w:tcW w:w="1395" w:type="dxa"/>
            <w:shd w:val="clear" w:color="auto" w:fill="C6EFCE"/>
            <w:tcMar>
              <w:left w:w="108" w:type="dxa"/>
              <w:right w:w="108" w:type="dxa"/>
            </w:tcMar>
            <w:vAlign w:val="center"/>
          </w:tcPr>
          <w:p w14:paraId="6AC8C0CF" w14:textId="77777777" w:rsidR="00E42B18" w:rsidRDefault="009629C4">
            <w:pPr>
              <w:pStyle w:val="P68B1DB1-Normal121"/>
              <w:spacing w:after="0" w:line="240" w:lineRule="auto"/>
              <w:jc w:val="center"/>
              <w:rPr>
                <w:noProof/>
              </w:rPr>
            </w:pPr>
            <w:r>
              <w:rPr>
                <w:noProof/>
              </w:rPr>
              <w:t>M5C1–6</w:t>
            </w:r>
          </w:p>
        </w:tc>
        <w:tc>
          <w:tcPr>
            <w:tcW w:w="3541" w:type="dxa"/>
            <w:shd w:val="clear" w:color="auto" w:fill="C6EFCE"/>
            <w:tcMar>
              <w:left w:w="108" w:type="dxa"/>
              <w:right w:w="108" w:type="dxa"/>
            </w:tcMar>
            <w:vAlign w:val="center"/>
          </w:tcPr>
          <w:p w14:paraId="3299AD93" w14:textId="77777777" w:rsidR="00E42B18" w:rsidRDefault="009629C4">
            <w:pPr>
              <w:pStyle w:val="P68B1DB1-Normal121"/>
              <w:spacing w:after="0" w:line="240" w:lineRule="auto"/>
              <w:rPr>
                <w:noProof/>
              </w:rPr>
            </w:pPr>
            <w:r>
              <w:rPr>
                <w:noProof/>
              </w:rPr>
              <w:t xml:space="preserve">Investointi 1 – Julkisten työvoimapalvelujen vahvistaminen </w:t>
            </w:r>
          </w:p>
        </w:tc>
        <w:tc>
          <w:tcPr>
            <w:tcW w:w="1260" w:type="dxa"/>
            <w:shd w:val="clear" w:color="auto" w:fill="C6EFCE"/>
            <w:tcMar>
              <w:left w:w="108" w:type="dxa"/>
              <w:right w:w="108" w:type="dxa"/>
            </w:tcMar>
            <w:vAlign w:val="center"/>
          </w:tcPr>
          <w:p w14:paraId="4CA4BB4A" w14:textId="77777777" w:rsidR="00E42B18" w:rsidRDefault="009629C4">
            <w:pPr>
              <w:pStyle w:val="P68B1DB1-Normal121"/>
              <w:spacing w:after="0" w:line="240" w:lineRule="auto"/>
              <w:jc w:val="center"/>
              <w:rPr>
                <w:noProof/>
              </w:rPr>
            </w:pPr>
            <w:r>
              <w:rPr>
                <w:noProof/>
              </w:rPr>
              <w:t>Kohde</w:t>
            </w:r>
          </w:p>
        </w:tc>
        <w:tc>
          <w:tcPr>
            <w:tcW w:w="3162" w:type="dxa"/>
            <w:shd w:val="clear" w:color="auto" w:fill="C6EFCE"/>
            <w:tcMar>
              <w:left w:w="108" w:type="dxa"/>
              <w:right w:w="108" w:type="dxa"/>
            </w:tcMar>
            <w:vAlign w:val="center"/>
          </w:tcPr>
          <w:p w14:paraId="66B1EC62" w14:textId="77777777" w:rsidR="00E42B18" w:rsidRDefault="009629C4">
            <w:pPr>
              <w:pStyle w:val="P68B1DB1-Normal121"/>
              <w:spacing w:after="0" w:line="240" w:lineRule="auto"/>
              <w:rPr>
                <w:noProof/>
              </w:rPr>
            </w:pPr>
            <w:r>
              <w:rPr>
                <w:noProof/>
              </w:rPr>
              <w:t>Julkiset työvoimapalvelut toteuttavat vahvistamissuunnitelmassa suunniteltuja toimia kolmivuotiskaudella 2021–2023.</w:t>
            </w:r>
          </w:p>
        </w:tc>
      </w:tr>
      <w:tr w:rsidR="00E42B18" w14:paraId="20C80B6B" w14:textId="77777777">
        <w:trPr>
          <w:trHeight w:val="300"/>
        </w:trPr>
        <w:tc>
          <w:tcPr>
            <w:tcW w:w="1395" w:type="dxa"/>
            <w:shd w:val="clear" w:color="auto" w:fill="C6EFCE"/>
            <w:tcMar>
              <w:left w:w="108" w:type="dxa"/>
              <w:right w:w="108" w:type="dxa"/>
            </w:tcMar>
            <w:vAlign w:val="center"/>
          </w:tcPr>
          <w:p w14:paraId="1E2BB1A7" w14:textId="77777777" w:rsidR="00E42B18" w:rsidRDefault="009629C4">
            <w:pPr>
              <w:pStyle w:val="P68B1DB1-Normal121"/>
              <w:spacing w:after="0" w:line="240" w:lineRule="auto"/>
              <w:jc w:val="center"/>
              <w:rPr>
                <w:noProof/>
              </w:rPr>
            </w:pPr>
            <w:r>
              <w:rPr>
                <w:noProof/>
              </w:rPr>
              <w:t>M5C1–8</w:t>
            </w:r>
          </w:p>
        </w:tc>
        <w:tc>
          <w:tcPr>
            <w:tcW w:w="3541" w:type="dxa"/>
            <w:shd w:val="clear" w:color="auto" w:fill="C6EFCE"/>
            <w:tcMar>
              <w:left w:w="108" w:type="dxa"/>
              <w:right w:w="108" w:type="dxa"/>
            </w:tcMar>
            <w:vAlign w:val="center"/>
          </w:tcPr>
          <w:p w14:paraId="0D4B147C" w14:textId="77777777" w:rsidR="00E42B18" w:rsidRDefault="009629C4">
            <w:pPr>
              <w:pStyle w:val="P68B1DB1-Normal121"/>
              <w:spacing w:after="0" w:line="240" w:lineRule="auto"/>
              <w:rPr>
                <w:noProof/>
              </w:rPr>
            </w:pPr>
            <w:r>
              <w:rPr>
                <w:noProof/>
              </w:rPr>
              <w:t>Uudistus 2 – Ilmoittamaton työ</w:t>
            </w:r>
          </w:p>
        </w:tc>
        <w:tc>
          <w:tcPr>
            <w:tcW w:w="1260" w:type="dxa"/>
            <w:shd w:val="clear" w:color="auto" w:fill="C6EFCE"/>
            <w:tcMar>
              <w:left w:w="108" w:type="dxa"/>
              <w:right w:w="108" w:type="dxa"/>
            </w:tcMar>
            <w:vAlign w:val="center"/>
          </w:tcPr>
          <w:p w14:paraId="145D9119"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64941A76" w14:textId="77777777" w:rsidR="00E42B18" w:rsidRDefault="009629C4">
            <w:pPr>
              <w:pStyle w:val="P68B1DB1-Normal121"/>
              <w:spacing w:after="0" w:line="240" w:lineRule="auto"/>
              <w:rPr>
                <w:noProof/>
              </w:rPr>
            </w:pPr>
            <w:r>
              <w:rPr>
                <w:noProof/>
              </w:rPr>
              <w:t>Kansallisen suunnitelman ja täytäntöönpanosuunnitelman voimaantulo pimeän työn torjumiseksi kaikilla talouden aloilla.</w:t>
            </w:r>
          </w:p>
        </w:tc>
      </w:tr>
      <w:tr w:rsidR="00E42B18" w14:paraId="7FB642B4" w14:textId="77777777">
        <w:trPr>
          <w:trHeight w:val="300"/>
        </w:trPr>
        <w:tc>
          <w:tcPr>
            <w:tcW w:w="1395" w:type="dxa"/>
            <w:shd w:val="clear" w:color="auto" w:fill="C6EFCE"/>
            <w:tcMar>
              <w:left w:w="108" w:type="dxa"/>
              <w:right w:w="108" w:type="dxa"/>
            </w:tcMar>
            <w:vAlign w:val="center"/>
          </w:tcPr>
          <w:p w14:paraId="356AC696" w14:textId="77777777" w:rsidR="00E42B18" w:rsidRDefault="009629C4">
            <w:pPr>
              <w:pStyle w:val="P68B1DB1-Normal121"/>
              <w:spacing w:after="0" w:line="240" w:lineRule="auto"/>
              <w:jc w:val="center"/>
              <w:rPr>
                <w:noProof/>
              </w:rPr>
            </w:pPr>
            <w:r>
              <w:rPr>
                <w:noProof/>
              </w:rPr>
              <w:t>M5C1–12</w:t>
            </w:r>
          </w:p>
        </w:tc>
        <w:tc>
          <w:tcPr>
            <w:tcW w:w="3541" w:type="dxa"/>
            <w:shd w:val="clear" w:color="auto" w:fill="C6EFCE"/>
            <w:tcMar>
              <w:left w:w="108" w:type="dxa"/>
              <w:right w:w="108" w:type="dxa"/>
            </w:tcMar>
            <w:vAlign w:val="center"/>
          </w:tcPr>
          <w:p w14:paraId="5C51439B" w14:textId="77777777" w:rsidR="00E42B18" w:rsidRDefault="009629C4">
            <w:pPr>
              <w:pStyle w:val="P68B1DB1-Normal121"/>
              <w:spacing w:after="0" w:line="240" w:lineRule="auto"/>
              <w:rPr>
                <w:noProof/>
              </w:rPr>
            </w:pPr>
            <w:r>
              <w:rPr>
                <w:noProof/>
              </w:rPr>
              <w:t>Investointi 2 – Sukupuolten tasa-arvon sertifiointijärjestelmä</w:t>
            </w:r>
          </w:p>
        </w:tc>
        <w:tc>
          <w:tcPr>
            <w:tcW w:w="1260" w:type="dxa"/>
            <w:shd w:val="clear" w:color="auto" w:fill="C6EFCE"/>
            <w:tcMar>
              <w:left w:w="108" w:type="dxa"/>
              <w:right w:w="108" w:type="dxa"/>
            </w:tcMar>
            <w:vAlign w:val="center"/>
          </w:tcPr>
          <w:p w14:paraId="349B665A"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48B26AC1" w14:textId="77777777" w:rsidR="00E42B18" w:rsidRDefault="009629C4">
            <w:pPr>
              <w:pStyle w:val="P68B1DB1-Normal121"/>
              <w:spacing w:after="0" w:line="240" w:lineRule="auto"/>
              <w:rPr>
                <w:noProof/>
              </w:rPr>
            </w:pPr>
            <w:r>
              <w:rPr>
                <w:noProof/>
              </w:rPr>
              <w:t xml:space="preserve">Sukupuolten tasa-arvon sertifiointijärjestelmän ja siihen liittyvien yritysten kannustinmekanismien voimaantulo </w:t>
            </w:r>
          </w:p>
        </w:tc>
      </w:tr>
      <w:tr w:rsidR="00E42B18" w14:paraId="05DB3631" w14:textId="77777777">
        <w:trPr>
          <w:trHeight w:val="300"/>
        </w:trPr>
        <w:tc>
          <w:tcPr>
            <w:tcW w:w="1395" w:type="dxa"/>
            <w:shd w:val="clear" w:color="auto" w:fill="C6EFCE"/>
            <w:tcMar>
              <w:left w:w="108" w:type="dxa"/>
              <w:right w:w="108" w:type="dxa"/>
            </w:tcMar>
            <w:vAlign w:val="center"/>
          </w:tcPr>
          <w:p w14:paraId="0E29F65E" w14:textId="77777777" w:rsidR="00E42B18" w:rsidRDefault="009629C4">
            <w:pPr>
              <w:pStyle w:val="P68B1DB1-Normal121"/>
              <w:spacing w:after="0" w:line="240" w:lineRule="auto"/>
              <w:jc w:val="center"/>
              <w:rPr>
                <w:noProof/>
              </w:rPr>
            </w:pPr>
            <w:r>
              <w:rPr>
                <w:noProof/>
              </w:rPr>
              <w:t>M5C2–7</w:t>
            </w:r>
          </w:p>
        </w:tc>
        <w:tc>
          <w:tcPr>
            <w:tcW w:w="3541" w:type="dxa"/>
            <w:shd w:val="clear" w:color="auto" w:fill="C6EFCE"/>
            <w:tcMar>
              <w:left w:w="108" w:type="dxa"/>
              <w:right w:w="108" w:type="dxa"/>
            </w:tcMar>
            <w:vAlign w:val="center"/>
          </w:tcPr>
          <w:p w14:paraId="7ADD3B1A" w14:textId="77777777" w:rsidR="00E42B18" w:rsidRDefault="009629C4">
            <w:pPr>
              <w:pStyle w:val="P68B1DB1-Normal121"/>
              <w:spacing w:after="0" w:line="240" w:lineRule="auto"/>
              <w:rPr>
                <w:noProof/>
              </w:rPr>
            </w:pPr>
            <w:r>
              <w:rPr>
                <w:noProof/>
              </w:rPr>
              <w:t>Investointi 2 – Vammaisten itsehallintomallit</w:t>
            </w:r>
          </w:p>
        </w:tc>
        <w:tc>
          <w:tcPr>
            <w:tcW w:w="1260" w:type="dxa"/>
            <w:shd w:val="clear" w:color="auto" w:fill="C6EFCE"/>
            <w:tcMar>
              <w:left w:w="108" w:type="dxa"/>
              <w:right w:w="108" w:type="dxa"/>
            </w:tcMar>
            <w:vAlign w:val="center"/>
          </w:tcPr>
          <w:p w14:paraId="1431552D" w14:textId="77777777" w:rsidR="00E42B18" w:rsidRDefault="009629C4">
            <w:pPr>
              <w:pStyle w:val="P68B1DB1-Normal121"/>
              <w:spacing w:after="0" w:line="240" w:lineRule="auto"/>
              <w:jc w:val="center"/>
              <w:rPr>
                <w:noProof/>
              </w:rPr>
            </w:pPr>
            <w:r>
              <w:rPr>
                <w:noProof/>
              </w:rPr>
              <w:t>Kohde</w:t>
            </w:r>
          </w:p>
        </w:tc>
        <w:tc>
          <w:tcPr>
            <w:tcW w:w="3162" w:type="dxa"/>
            <w:shd w:val="clear" w:color="auto" w:fill="C6EFCE"/>
            <w:tcMar>
              <w:left w:w="108" w:type="dxa"/>
              <w:right w:w="108" w:type="dxa"/>
            </w:tcMar>
            <w:vAlign w:val="center"/>
          </w:tcPr>
          <w:p w14:paraId="439D5539" w14:textId="77777777" w:rsidR="00E42B18" w:rsidRDefault="009629C4">
            <w:pPr>
              <w:pStyle w:val="P68B1DB1-Normal121"/>
              <w:spacing w:after="0" w:line="240" w:lineRule="auto"/>
              <w:rPr>
                <w:noProof/>
              </w:rPr>
            </w:pPr>
            <w:r>
              <w:rPr>
                <w:noProof/>
              </w:rPr>
              <w:t>Sosiaalipiirit ovat toteuttaneet vähintään yhden hankkeen, joka liittyy kotitilojen kunnostamiseen ja/tai tieto- ja viestintäteknisten laitteiden tarjoamiseen vammaisille, sekä digitaalisia taitoja koskevan koulutuksen.</w:t>
            </w:r>
          </w:p>
        </w:tc>
      </w:tr>
      <w:tr w:rsidR="00E42B18" w14:paraId="27B293CC" w14:textId="77777777">
        <w:trPr>
          <w:trHeight w:val="300"/>
        </w:trPr>
        <w:tc>
          <w:tcPr>
            <w:tcW w:w="1395" w:type="dxa"/>
            <w:shd w:val="clear" w:color="auto" w:fill="C6EFCE"/>
            <w:tcMar>
              <w:left w:w="108" w:type="dxa"/>
              <w:right w:w="108" w:type="dxa"/>
            </w:tcMar>
            <w:vAlign w:val="center"/>
          </w:tcPr>
          <w:p w14:paraId="45BA980B" w14:textId="77777777" w:rsidR="00E42B18" w:rsidRDefault="009629C4">
            <w:pPr>
              <w:pStyle w:val="P68B1DB1-Normal121"/>
              <w:spacing w:after="0" w:line="240" w:lineRule="auto"/>
              <w:jc w:val="center"/>
              <w:rPr>
                <w:noProof/>
              </w:rPr>
            </w:pPr>
            <w:r>
              <w:rPr>
                <w:noProof/>
              </w:rPr>
              <w:t>M5C3–1</w:t>
            </w:r>
          </w:p>
        </w:tc>
        <w:tc>
          <w:tcPr>
            <w:tcW w:w="3541" w:type="dxa"/>
            <w:shd w:val="clear" w:color="auto" w:fill="C6EFCE"/>
            <w:tcMar>
              <w:left w:w="108" w:type="dxa"/>
              <w:right w:w="108" w:type="dxa"/>
            </w:tcMar>
            <w:vAlign w:val="center"/>
          </w:tcPr>
          <w:p w14:paraId="2267B836" w14:textId="77777777" w:rsidR="00E42B18" w:rsidRDefault="009629C4">
            <w:pPr>
              <w:pStyle w:val="P68B1DB1-Normal121"/>
              <w:spacing w:after="0" w:line="240" w:lineRule="auto"/>
              <w:rPr>
                <w:noProof/>
              </w:rPr>
            </w:pPr>
            <w:r>
              <w:rPr>
                <w:noProof/>
              </w:rPr>
              <w:t>Investointi 1.1.1: Sisäalueet – Yhteisöllisten sosiaalipalvelujen ja -infrastruktuurien parantaminen</w:t>
            </w:r>
          </w:p>
        </w:tc>
        <w:tc>
          <w:tcPr>
            <w:tcW w:w="1260" w:type="dxa"/>
            <w:shd w:val="clear" w:color="auto" w:fill="C6EFCE"/>
            <w:tcMar>
              <w:left w:w="108" w:type="dxa"/>
              <w:right w:w="108" w:type="dxa"/>
            </w:tcMar>
            <w:vAlign w:val="center"/>
          </w:tcPr>
          <w:p w14:paraId="0012BDC6"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6A06F359" w14:textId="77777777" w:rsidR="00E42B18" w:rsidRDefault="009629C4">
            <w:pPr>
              <w:pStyle w:val="P68B1DB1-Normal8"/>
              <w:spacing w:after="0" w:line="240" w:lineRule="auto"/>
              <w:rPr>
                <w:noProof/>
              </w:rPr>
            </w:pPr>
            <w:r>
              <w:rPr>
                <w:noProof/>
                <w:color w:val="006100"/>
                <w:sz w:val="20"/>
                <w:szCs w:val="20"/>
              </w:rPr>
              <w:t>Tarjouskilpailun myöntäminen toimenpiteistä sosiaalipalvelujen ja -infrastruktuurien parantamiseksi sisäalueilla sekä apteekkien tukemisesta alle 3000 asukkaan kunnissa</w:t>
            </w:r>
          </w:p>
        </w:tc>
      </w:tr>
      <w:tr w:rsidR="00E42B18" w14:paraId="17F18C29" w14:textId="77777777">
        <w:trPr>
          <w:trHeight w:val="300"/>
        </w:trPr>
        <w:tc>
          <w:tcPr>
            <w:tcW w:w="1395" w:type="dxa"/>
            <w:shd w:val="clear" w:color="auto" w:fill="C6EFCE"/>
            <w:tcMar>
              <w:left w:w="108" w:type="dxa"/>
              <w:right w:w="108" w:type="dxa"/>
            </w:tcMar>
            <w:vAlign w:val="center"/>
          </w:tcPr>
          <w:p w14:paraId="08DCC0E5" w14:textId="77777777" w:rsidR="00E42B18" w:rsidRDefault="009629C4">
            <w:pPr>
              <w:pStyle w:val="P68B1DB1-Normal121"/>
              <w:spacing w:after="0" w:line="240" w:lineRule="auto"/>
              <w:jc w:val="center"/>
              <w:rPr>
                <w:noProof/>
              </w:rPr>
            </w:pPr>
            <w:r>
              <w:rPr>
                <w:noProof/>
              </w:rPr>
              <w:t>M6C2–1</w:t>
            </w:r>
          </w:p>
        </w:tc>
        <w:tc>
          <w:tcPr>
            <w:tcW w:w="3541" w:type="dxa"/>
            <w:shd w:val="clear" w:color="auto" w:fill="C6EFCE"/>
            <w:tcMar>
              <w:left w:w="108" w:type="dxa"/>
              <w:right w:w="108" w:type="dxa"/>
            </w:tcMar>
            <w:vAlign w:val="center"/>
          </w:tcPr>
          <w:p w14:paraId="17E0C51F" w14:textId="77777777" w:rsidR="00E42B18" w:rsidRDefault="009629C4">
            <w:pPr>
              <w:pStyle w:val="P68B1DB1-Normal121"/>
              <w:spacing w:after="0" w:line="240" w:lineRule="auto"/>
              <w:rPr>
                <w:noProof/>
              </w:rPr>
            </w:pPr>
            <w:r>
              <w:rPr>
                <w:noProof/>
              </w:rPr>
              <w:t>Uudistus 1: Tarkistetaan ja päivitetään sairaala- ja hoitoalan tiedelaitosten (IRCCS) nykyistä oikeudellista kehystä ja terveysministeriön tutkimuspolitiikkaa tutkimuksen, innovoinnin ja terveydenhuollon välisen yhteyden vahvistamiseksi</w:t>
            </w:r>
          </w:p>
        </w:tc>
        <w:tc>
          <w:tcPr>
            <w:tcW w:w="1260" w:type="dxa"/>
            <w:shd w:val="clear" w:color="auto" w:fill="C6EFCE"/>
            <w:tcMar>
              <w:left w:w="108" w:type="dxa"/>
              <w:right w:w="108" w:type="dxa"/>
            </w:tcMar>
            <w:vAlign w:val="center"/>
          </w:tcPr>
          <w:p w14:paraId="24F6E505" w14:textId="77777777" w:rsidR="00E42B18" w:rsidRDefault="009629C4">
            <w:pPr>
              <w:pStyle w:val="P68B1DB1-Normal121"/>
              <w:spacing w:after="0" w:line="240" w:lineRule="auto"/>
              <w:jc w:val="center"/>
              <w:rPr>
                <w:noProof/>
              </w:rPr>
            </w:pPr>
            <w:r>
              <w:rPr>
                <w:noProof/>
              </w:rPr>
              <w:t>Virstanpylväs</w:t>
            </w:r>
          </w:p>
        </w:tc>
        <w:tc>
          <w:tcPr>
            <w:tcW w:w="3162" w:type="dxa"/>
            <w:shd w:val="clear" w:color="auto" w:fill="C6EFCE"/>
            <w:tcMar>
              <w:left w:w="108" w:type="dxa"/>
              <w:right w:w="108" w:type="dxa"/>
            </w:tcMar>
            <w:vAlign w:val="center"/>
          </w:tcPr>
          <w:p w14:paraId="2EBCB17B" w14:textId="77777777" w:rsidR="00E42B18" w:rsidRDefault="009629C4">
            <w:pPr>
              <w:pStyle w:val="P68B1DB1-Normal121"/>
              <w:spacing w:after="0" w:line="240" w:lineRule="auto"/>
              <w:rPr>
                <w:noProof/>
              </w:rPr>
            </w:pPr>
            <w:r>
              <w:rPr>
                <w:noProof/>
              </w:rPr>
              <w:t>Sairaalahoitoa ja hoitoa suorittavia tieteellisiä laitoksia (IRCSS) koskevien asetusten uudelleenjärjestelyä koskevan asetuksen voimaantulo</w:t>
            </w:r>
          </w:p>
        </w:tc>
      </w:tr>
      <w:tr w:rsidR="00E42B18" w14:paraId="3EF71EE8" w14:textId="77777777">
        <w:trPr>
          <w:trHeight w:val="300"/>
        </w:trPr>
        <w:tc>
          <w:tcPr>
            <w:tcW w:w="1395" w:type="dxa"/>
            <w:shd w:val="clear" w:color="auto" w:fill="C6EFCE"/>
            <w:tcMar>
              <w:left w:w="108" w:type="dxa"/>
              <w:right w:w="108" w:type="dxa"/>
            </w:tcMar>
            <w:vAlign w:val="center"/>
          </w:tcPr>
          <w:p w14:paraId="289AB785" w14:textId="77777777" w:rsidR="00E42B18" w:rsidRDefault="00E42B18">
            <w:pPr>
              <w:spacing w:after="0" w:line="240" w:lineRule="auto"/>
              <w:jc w:val="center"/>
              <w:rPr>
                <w:rFonts w:ascii="Times New Roman" w:eastAsia="Times New Roman" w:hAnsi="Times New Roman" w:cs="Times New Roman"/>
                <w:noProof/>
              </w:rPr>
            </w:pPr>
          </w:p>
        </w:tc>
        <w:tc>
          <w:tcPr>
            <w:tcW w:w="3541" w:type="dxa"/>
            <w:shd w:val="clear" w:color="auto" w:fill="C6EFCE"/>
            <w:tcMar>
              <w:left w:w="108" w:type="dxa"/>
              <w:right w:w="108" w:type="dxa"/>
            </w:tcMar>
            <w:vAlign w:val="center"/>
          </w:tcPr>
          <w:p w14:paraId="527F2CC0" w14:textId="77777777" w:rsidR="00E42B18" w:rsidRDefault="009629C4">
            <w:pPr>
              <w:pStyle w:val="P68B1DB1-Normal121"/>
              <w:spacing w:after="0" w:line="240" w:lineRule="auto"/>
              <w:rPr>
                <w:noProof/>
              </w:rPr>
            </w:pPr>
            <w:r>
              <w:rPr>
                <w:noProof/>
              </w:rPr>
              <w:t xml:space="preserve"> </w:t>
            </w:r>
          </w:p>
        </w:tc>
        <w:tc>
          <w:tcPr>
            <w:tcW w:w="1260" w:type="dxa"/>
            <w:shd w:val="clear" w:color="auto" w:fill="C6EFCE"/>
            <w:tcMar>
              <w:left w:w="108" w:type="dxa"/>
              <w:right w:w="108" w:type="dxa"/>
            </w:tcMar>
            <w:vAlign w:val="center"/>
          </w:tcPr>
          <w:p w14:paraId="73E4ADDE" w14:textId="77777777" w:rsidR="00E42B18" w:rsidRDefault="009629C4">
            <w:pPr>
              <w:pStyle w:val="P68B1DB1-Normal121"/>
              <w:spacing w:after="0" w:line="240" w:lineRule="auto"/>
              <w:jc w:val="center"/>
              <w:rPr>
                <w:noProof/>
              </w:rPr>
            </w:pPr>
            <w:r>
              <w:rPr>
                <w:noProof/>
              </w:rPr>
              <w:t>Maksuerän määrä</w:t>
            </w:r>
          </w:p>
        </w:tc>
        <w:tc>
          <w:tcPr>
            <w:tcW w:w="3162" w:type="dxa"/>
            <w:shd w:val="clear" w:color="auto" w:fill="C6EFCE"/>
            <w:tcMar>
              <w:left w:w="108" w:type="dxa"/>
              <w:right w:w="108" w:type="dxa"/>
            </w:tcMar>
            <w:vAlign w:val="center"/>
          </w:tcPr>
          <w:p w14:paraId="26EF21F9"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11494252874</w:t>
            </w:r>
            <w:r>
              <w:rPr>
                <w:noProof/>
                <w:sz w:val="23"/>
                <w:szCs w:val="23"/>
              </w:rPr>
              <w:t xml:space="preserve">  </w:t>
            </w:r>
            <w:r>
              <w:rPr>
                <w:noProof/>
                <w:color w:val="006100"/>
                <w:sz w:val="20"/>
                <w:szCs w:val="20"/>
              </w:rPr>
              <w:t>EUROA</w:t>
            </w:r>
          </w:p>
        </w:tc>
      </w:tr>
    </w:tbl>
    <w:p w14:paraId="29696EC4" w14:textId="77777777" w:rsidR="00E42B18" w:rsidRDefault="00E42B18">
      <w:pPr>
        <w:spacing w:after="0"/>
        <w:ind w:left="850"/>
        <w:contextualSpacing/>
        <w:jc w:val="both"/>
        <w:rPr>
          <w:rFonts w:ascii="Times New Roman" w:eastAsia="Times New Roman" w:hAnsi="Times New Roman" w:cs="Times New Roman"/>
          <w:noProof/>
        </w:rPr>
      </w:pPr>
    </w:p>
    <w:p w14:paraId="4CCB2FCA" w14:textId="77777777" w:rsidR="00E42B18" w:rsidRDefault="009629C4">
      <w:pPr>
        <w:pStyle w:val="P68B1DB1-Heading4119"/>
        <w:numPr>
          <w:ilvl w:val="1"/>
          <w:numId w:val="180"/>
        </w:numPr>
        <w:tabs>
          <w:tab w:val="num" w:pos="1440"/>
        </w:tabs>
        <w:ind w:left="1440" w:hanging="360"/>
        <w:rPr>
          <w:noProof/>
        </w:rPr>
      </w:pPr>
      <w:r>
        <w:rPr>
          <w:noProof/>
        </w:rPr>
        <w:t>Neljäs erä (tuki, jota ei makseta takaisin):</w:t>
      </w:r>
    </w:p>
    <w:tbl>
      <w:tblPr>
        <w:tblW w:w="935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276"/>
        <w:gridCol w:w="3103"/>
      </w:tblGrid>
      <w:tr w:rsidR="00E42B18" w14:paraId="447B3354" w14:textId="77777777">
        <w:trPr>
          <w:trHeight w:val="900"/>
          <w:tblHeader/>
        </w:trPr>
        <w:tc>
          <w:tcPr>
            <w:tcW w:w="1435" w:type="dxa"/>
            <w:vMerge w:val="restart"/>
            <w:shd w:val="clear" w:color="auto" w:fill="BDD7EE"/>
            <w:tcMar>
              <w:left w:w="108" w:type="dxa"/>
              <w:right w:w="108" w:type="dxa"/>
            </w:tcMar>
            <w:vAlign w:val="center"/>
          </w:tcPr>
          <w:p w14:paraId="29F54960" w14:textId="77777777" w:rsidR="00E42B18" w:rsidRDefault="009629C4">
            <w:pPr>
              <w:pStyle w:val="P68B1DB1-Normal120"/>
              <w:spacing w:after="0" w:line="240" w:lineRule="auto"/>
              <w:jc w:val="center"/>
              <w:rPr>
                <w:bCs/>
                <w:noProof/>
              </w:rPr>
            </w:pPr>
            <w:r>
              <w:rPr>
                <w:noProof/>
              </w:rPr>
              <w:t>Juokseva numero</w:t>
            </w:r>
          </w:p>
        </w:tc>
        <w:tc>
          <w:tcPr>
            <w:tcW w:w="3543" w:type="dxa"/>
            <w:vMerge w:val="restart"/>
            <w:shd w:val="clear" w:color="auto" w:fill="BDD7EE"/>
            <w:tcMar>
              <w:left w:w="108" w:type="dxa"/>
              <w:right w:w="108" w:type="dxa"/>
            </w:tcMar>
            <w:vAlign w:val="center"/>
          </w:tcPr>
          <w:p w14:paraId="420CBE6B" w14:textId="77777777" w:rsidR="00E42B18" w:rsidRDefault="009629C4">
            <w:pPr>
              <w:pStyle w:val="P68B1DB1-Normal120"/>
              <w:spacing w:after="0" w:line="240" w:lineRule="auto"/>
              <w:jc w:val="center"/>
              <w:rPr>
                <w:noProof/>
              </w:rPr>
            </w:pPr>
            <w:r>
              <w:rPr>
                <w:noProof/>
              </w:rPr>
              <w:t>Toimenpide (uudistus tai investointi)</w:t>
            </w:r>
          </w:p>
        </w:tc>
        <w:tc>
          <w:tcPr>
            <w:tcW w:w="1276" w:type="dxa"/>
            <w:vMerge w:val="restart"/>
            <w:shd w:val="clear" w:color="auto" w:fill="BDD7EE"/>
            <w:tcMar>
              <w:left w:w="108" w:type="dxa"/>
              <w:right w:w="108" w:type="dxa"/>
            </w:tcMar>
            <w:vAlign w:val="center"/>
          </w:tcPr>
          <w:p w14:paraId="7DF1E0D7" w14:textId="77777777" w:rsidR="00E42B18" w:rsidRDefault="009629C4">
            <w:pPr>
              <w:pStyle w:val="P68B1DB1-Normal120"/>
              <w:spacing w:after="0" w:line="240" w:lineRule="auto"/>
              <w:jc w:val="center"/>
              <w:rPr>
                <w:noProof/>
              </w:rPr>
            </w:pPr>
            <w:r>
              <w:rPr>
                <w:noProof/>
              </w:rPr>
              <w:t>Välitavoite/tavoite</w:t>
            </w:r>
          </w:p>
        </w:tc>
        <w:tc>
          <w:tcPr>
            <w:tcW w:w="3103" w:type="dxa"/>
            <w:vMerge w:val="restart"/>
            <w:shd w:val="clear" w:color="auto" w:fill="BDD7EE"/>
            <w:tcMar>
              <w:left w:w="108" w:type="dxa"/>
              <w:right w:w="108" w:type="dxa"/>
            </w:tcMar>
            <w:vAlign w:val="center"/>
          </w:tcPr>
          <w:p w14:paraId="434B8D5E" w14:textId="77777777" w:rsidR="00E42B18" w:rsidRDefault="009629C4">
            <w:pPr>
              <w:pStyle w:val="P68B1DB1-Normal120"/>
              <w:spacing w:after="0" w:line="240" w:lineRule="auto"/>
              <w:jc w:val="center"/>
              <w:rPr>
                <w:noProof/>
              </w:rPr>
            </w:pPr>
            <w:r>
              <w:rPr>
                <w:noProof/>
              </w:rPr>
              <w:t>Nimi</w:t>
            </w:r>
          </w:p>
        </w:tc>
      </w:tr>
      <w:tr w:rsidR="00E42B18" w14:paraId="5596840E" w14:textId="77777777">
        <w:trPr>
          <w:trHeight w:val="510"/>
        </w:trPr>
        <w:tc>
          <w:tcPr>
            <w:tcW w:w="1435" w:type="dxa"/>
            <w:vMerge/>
            <w:vAlign w:val="center"/>
          </w:tcPr>
          <w:p w14:paraId="456CF1BC" w14:textId="77777777" w:rsidR="00E42B18" w:rsidRDefault="00E42B18">
            <w:pPr>
              <w:spacing w:after="0" w:line="240" w:lineRule="auto"/>
              <w:jc w:val="center"/>
              <w:rPr>
                <w:rFonts w:ascii="Times New Roman" w:eastAsia="Times New Roman" w:hAnsi="Times New Roman" w:cs="Times New Roman"/>
                <w:noProof/>
              </w:rPr>
            </w:pPr>
          </w:p>
        </w:tc>
        <w:tc>
          <w:tcPr>
            <w:tcW w:w="3543" w:type="dxa"/>
            <w:vMerge/>
            <w:vAlign w:val="center"/>
          </w:tcPr>
          <w:p w14:paraId="7F82996D" w14:textId="77777777" w:rsidR="00E42B18" w:rsidRDefault="00E42B18">
            <w:pPr>
              <w:spacing w:after="0" w:line="240" w:lineRule="auto"/>
              <w:rPr>
                <w:rFonts w:ascii="Times New Roman" w:eastAsia="Times New Roman" w:hAnsi="Times New Roman" w:cs="Times New Roman"/>
                <w:noProof/>
              </w:rPr>
            </w:pPr>
          </w:p>
        </w:tc>
        <w:tc>
          <w:tcPr>
            <w:tcW w:w="1276" w:type="dxa"/>
            <w:vMerge/>
            <w:vAlign w:val="center"/>
          </w:tcPr>
          <w:p w14:paraId="5044EC86" w14:textId="77777777" w:rsidR="00E42B18" w:rsidRDefault="00E42B18">
            <w:pPr>
              <w:spacing w:after="0" w:line="240" w:lineRule="auto"/>
              <w:jc w:val="center"/>
              <w:rPr>
                <w:rFonts w:ascii="Times New Roman" w:eastAsia="Times New Roman" w:hAnsi="Times New Roman" w:cs="Times New Roman"/>
                <w:noProof/>
              </w:rPr>
            </w:pPr>
          </w:p>
        </w:tc>
        <w:tc>
          <w:tcPr>
            <w:tcW w:w="3103" w:type="dxa"/>
            <w:vMerge/>
            <w:vAlign w:val="center"/>
          </w:tcPr>
          <w:p w14:paraId="7F32A951" w14:textId="77777777" w:rsidR="00E42B18" w:rsidRDefault="00E42B18">
            <w:pPr>
              <w:spacing w:after="0" w:line="240" w:lineRule="auto"/>
              <w:rPr>
                <w:rFonts w:ascii="Times New Roman" w:eastAsia="Times New Roman" w:hAnsi="Times New Roman" w:cs="Times New Roman"/>
                <w:noProof/>
              </w:rPr>
            </w:pPr>
          </w:p>
        </w:tc>
      </w:tr>
      <w:tr w:rsidR="00E42B18" w14:paraId="31634B5F" w14:textId="77777777">
        <w:trPr>
          <w:trHeight w:val="300"/>
        </w:trPr>
        <w:tc>
          <w:tcPr>
            <w:tcW w:w="1435" w:type="dxa"/>
            <w:shd w:val="clear" w:color="auto" w:fill="C6EFCE"/>
            <w:tcMar>
              <w:left w:w="108" w:type="dxa"/>
              <w:right w:w="108" w:type="dxa"/>
            </w:tcMar>
            <w:vAlign w:val="center"/>
          </w:tcPr>
          <w:p w14:paraId="0A550234" w14:textId="77777777" w:rsidR="00E42B18" w:rsidRDefault="009629C4">
            <w:pPr>
              <w:pStyle w:val="P68B1DB1-Normal121"/>
              <w:spacing w:after="0" w:line="240" w:lineRule="auto"/>
              <w:jc w:val="center"/>
              <w:rPr>
                <w:noProof/>
              </w:rPr>
            </w:pPr>
            <w:r>
              <w:rPr>
                <w:noProof/>
              </w:rPr>
              <w:t>M1C1–11</w:t>
            </w:r>
          </w:p>
        </w:tc>
        <w:tc>
          <w:tcPr>
            <w:tcW w:w="3543" w:type="dxa"/>
            <w:shd w:val="clear" w:color="auto" w:fill="C6EFCE"/>
            <w:tcMar>
              <w:left w:w="108" w:type="dxa"/>
              <w:right w:w="108" w:type="dxa"/>
            </w:tcMar>
            <w:vAlign w:val="center"/>
          </w:tcPr>
          <w:p w14:paraId="7A4234B1" w14:textId="77777777" w:rsidR="00E42B18" w:rsidRDefault="009629C4">
            <w:pPr>
              <w:pStyle w:val="P68B1DB1-Normal121"/>
              <w:spacing w:after="0" w:line="240" w:lineRule="auto"/>
              <w:rPr>
                <w:noProof/>
              </w:rPr>
            </w:pPr>
            <w:r>
              <w:rPr>
                <w:noProof/>
              </w:rPr>
              <w:t>Investointi 1.6.6: Valtiovarainpoliisin digitalisointi</w:t>
            </w:r>
          </w:p>
        </w:tc>
        <w:tc>
          <w:tcPr>
            <w:tcW w:w="1276" w:type="dxa"/>
            <w:shd w:val="clear" w:color="auto" w:fill="C6EFCE"/>
            <w:tcMar>
              <w:left w:w="108" w:type="dxa"/>
              <w:right w:w="108" w:type="dxa"/>
            </w:tcMar>
            <w:vAlign w:val="center"/>
          </w:tcPr>
          <w:p w14:paraId="58EC6628" w14:textId="77777777" w:rsidR="00E42B18" w:rsidRDefault="009629C4">
            <w:pPr>
              <w:pStyle w:val="P68B1DB1-Normal121"/>
              <w:spacing w:after="0" w:line="240" w:lineRule="auto"/>
              <w:jc w:val="center"/>
              <w:rPr>
                <w:noProof/>
              </w:rPr>
            </w:pPr>
            <w:r>
              <w:rPr>
                <w:noProof/>
              </w:rPr>
              <w:t>Kohde</w:t>
            </w:r>
          </w:p>
        </w:tc>
        <w:tc>
          <w:tcPr>
            <w:tcW w:w="3103" w:type="dxa"/>
            <w:shd w:val="clear" w:color="auto" w:fill="C6EFCE"/>
            <w:tcMar>
              <w:left w:w="108" w:type="dxa"/>
              <w:right w:w="108" w:type="dxa"/>
            </w:tcMar>
            <w:vAlign w:val="center"/>
          </w:tcPr>
          <w:p w14:paraId="0017F01D" w14:textId="77777777" w:rsidR="00E42B18" w:rsidRDefault="009629C4">
            <w:pPr>
              <w:pStyle w:val="P68B1DB1-Normal121"/>
              <w:spacing w:after="0" w:line="240" w:lineRule="auto"/>
              <w:rPr>
                <w:noProof/>
              </w:rPr>
            </w:pPr>
            <w:r>
              <w:rPr>
                <w:noProof/>
              </w:rPr>
              <w:t>Finanssipoliisi – T1-ammattimaisten datatieteen palvelujen hankinta</w:t>
            </w:r>
          </w:p>
        </w:tc>
      </w:tr>
      <w:tr w:rsidR="00E42B18" w14:paraId="557B5081" w14:textId="77777777">
        <w:trPr>
          <w:trHeight w:val="300"/>
        </w:trPr>
        <w:tc>
          <w:tcPr>
            <w:tcW w:w="1435" w:type="dxa"/>
            <w:shd w:val="clear" w:color="auto" w:fill="C6EFCE"/>
            <w:tcMar>
              <w:left w:w="108" w:type="dxa"/>
              <w:right w:w="108" w:type="dxa"/>
            </w:tcMar>
            <w:vAlign w:val="center"/>
          </w:tcPr>
          <w:p w14:paraId="494F5640" w14:textId="77777777" w:rsidR="00E42B18" w:rsidRDefault="009629C4">
            <w:pPr>
              <w:pStyle w:val="P68B1DB1-Normal121"/>
              <w:spacing w:after="0" w:line="240" w:lineRule="auto"/>
              <w:jc w:val="center"/>
              <w:rPr>
                <w:noProof/>
              </w:rPr>
            </w:pPr>
            <w:r>
              <w:rPr>
                <w:noProof/>
              </w:rPr>
              <w:t>M1C1–72</w:t>
            </w:r>
          </w:p>
        </w:tc>
        <w:tc>
          <w:tcPr>
            <w:tcW w:w="3543" w:type="dxa"/>
            <w:shd w:val="clear" w:color="auto" w:fill="C6EFCE"/>
            <w:tcMar>
              <w:left w:w="108" w:type="dxa"/>
              <w:right w:w="108" w:type="dxa"/>
            </w:tcMar>
            <w:vAlign w:val="center"/>
          </w:tcPr>
          <w:p w14:paraId="03ACBB75"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276" w:type="dxa"/>
            <w:shd w:val="clear" w:color="auto" w:fill="C6EFCE"/>
            <w:tcMar>
              <w:left w:w="108" w:type="dxa"/>
              <w:right w:w="108" w:type="dxa"/>
            </w:tcMar>
            <w:vAlign w:val="center"/>
          </w:tcPr>
          <w:p w14:paraId="14A021B1"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5E3940E4" w14:textId="77777777" w:rsidR="00E42B18" w:rsidRDefault="009629C4">
            <w:pPr>
              <w:pStyle w:val="P68B1DB1-Normal121"/>
              <w:spacing w:after="0" w:line="240" w:lineRule="auto"/>
              <w:rPr>
                <w:noProof/>
              </w:rPr>
            </w:pPr>
            <w:r>
              <w:rPr>
                <w:noProof/>
              </w:rPr>
              <w:t>Hyväksytään toimenpiteitä, joilla vähennetään julkishallinnon yrityksille suorittamia maksuviivästyksiä</w:t>
            </w:r>
          </w:p>
        </w:tc>
      </w:tr>
      <w:tr w:rsidR="00E42B18" w14:paraId="3B85D092" w14:textId="77777777">
        <w:trPr>
          <w:trHeight w:val="300"/>
        </w:trPr>
        <w:tc>
          <w:tcPr>
            <w:tcW w:w="1435" w:type="dxa"/>
            <w:shd w:val="clear" w:color="auto" w:fill="C6EFCE"/>
            <w:tcMar>
              <w:left w:w="108" w:type="dxa"/>
              <w:right w:w="108" w:type="dxa"/>
            </w:tcMar>
            <w:vAlign w:val="center"/>
          </w:tcPr>
          <w:p w14:paraId="76CC515B" w14:textId="77777777" w:rsidR="00E42B18" w:rsidRDefault="009629C4">
            <w:pPr>
              <w:pStyle w:val="P68B1DB1-Normal121"/>
              <w:spacing w:after="0" w:line="240" w:lineRule="auto"/>
              <w:jc w:val="center"/>
              <w:rPr>
                <w:noProof/>
              </w:rPr>
            </w:pPr>
            <w:r>
              <w:rPr>
                <w:noProof/>
              </w:rPr>
              <w:t>M1C1–73</w:t>
            </w:r>
          </w:p>
        </w:tc>
        <w:tc>
          <w:tcPr>
            <w:tcW w:w="3543" w:type="dxa"/>
            <w:shd w:val="clear" w:color="auto" w:fill="C6EFCE"/>
            <w:tcMar>
              <w:left w:w="108" w:type="dxa"/>
              <w:right w:w="108" w:type="dxa"/>
            </w:tcMar>
            <w:vAlign w:val="center"/>
          </w:tcPr>
          <w:p w14:paraId="175A10DD"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shd w:val="clear" w:color="auto" w:fill="C6EFCE"/>
            <w:tcMar>
              <w:left w:w="108" w:type="dxa"/>
              <w:right w:w="108" w:type="dxa"/>
            </w:tcMar>
            <w:vAlign w:val="center"/>
          </w:tcPr>
          <w:p w14:paraId="7545AB0D"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0CBFF77B" w14:textId="77777777" w:rsidR="00E42B18" w:rsidRDefault="009629C4">
            <w:pPr>
              <w:pStyle w:val="P68B1DB1-Normal121"/>
              <w:spacing w:after="0" w:line="240" w:lineRule="auto"/>
              <w:rPr>
                <w:noProof/>
              </w:rPr>
            </w:pPr>
            <w:r>
              <w:rPr>
                <w:noProof/>
              </w:rPr>
              <w:t>Julkisia hankintoja koskevan koodeksin uudistuksen voimaantulo</w:t>
            </w:r>
          </w:p>
        </w:tc>
      </w:tr>
      <w:tr w:rsidR="00E42B18" w14:paraId="7E75E7AD" w14:textId="77777777">
        <w:trPr>
          <w:trHeight w:val="300"/>
        </w:trPr>
        <w:tc>
          <w:tcPr>
            <w:tcW w:w="1435" w:type="dxa"/>
            <w:shd w:val="clear" w:color="auto" w:fill="C6EFCE"/>
            <w:tcMar>
              <w:left w:w="108" w:type="dxa"/>
              <w:right w:w="108" w:type="dxa"/>
            </w:tcMar>
            <w:vAlign w:val="center"/>
          </w:tcPr>
          <w:p w14:paraId="179F554C" w14:textId="77777777" w:rsidR="00E42B18" w:rsidRDefault="009629C4">
            <w:pPr>
              <w:pStyle w:val="P68B1DB1-Normal121"/>
              <w:spacing w:after="0" w:line="240" w:lineRule="auto"/>
              <w:jc w:val="center"/>
              <w:rPr>
                <w:noProof/>
              </w:rPr>
            </w:pPr>
            <w:r>
              <w:rPr>
                <w:noProof/>
              </w:rPr>
              <w:t>M2C2–14</w:t>
            </w:r>
          </w:p>
        </w:tc>
        <w:tc>
          <w:tcPr>
            <w:tcW w:w="3543" w:type="dxa"/>
            <w:shd w:val="clear" w:color="auto" w:fill="C6EFCE"/>
            <w:tcMar>
              <w:left w:w="108" w:type="dxa"/>
              <w:right w:w="108" w:type="dxa"/>
            </w:tcMar>
            <w:vAlign w:val="center"/>
          </w:tcPr>
          <w:p w14:paraId="5697F96F" w14:textId="77777777" w:rsidR="00E42B18" w:rsidRDefault="009629C4">
            <w:pPr>
              <w:pStyle w:val="P68B1DB1-Normal121"/>
              <w:spacing w:after="0" w:line="240" w:lineRule="auto"/>
              <w:rPr>
                <w:noProof/>
              </w:rPr>
            </w:pPr>
            <w:r>
              <w:rPr>
                <w:noProof/>
              </w:rPr>
              <w:t>Investointi 3.3 Maantieliikenteen vetytestaus</w:t>
            </w:r>
          </w:p>
        </w:tc>
        <w:tc>
          <w:tcPr>
            <w:tcW w:w="1276" w:type="dxa"/>
            <w:shd w:val="clear" w:color="auto" w:fill="C6EFCE"/>
            <w:tcMar>
              <w:left w:w="108" w:type="dxa"/>
              <w:right w:w="108" w:type="dxa"/>
            </w:tcMar>
            <w:vAlign w:val="center"/>
          </w:tcPr>
          <w:p w14:paraId="1F48F357"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4CAC062E" w14:textId="77777777" w:rsidR="00E42B18" w:rsidRDefault="009629C4">
            <w:pPr>
              <w:pStyle w:val="P68B1DB1-Normal121"/>
              <w:spacing w:after="0" w:line="240" w:lineRule="auto"/>
              <w:rPr>
                <w:noProof/>
              </w:rPr>
            </w:pPr>
            <w:r>
              <w:rPr>
                <w:noProof/>
              </w:rPr>
              <w:t>(Kaikkien) vetypohjaisten latausasemien kehittämistä koskevien julkisten hankintasopimusten tekeminen</w:t>
            </w:r>
          </w:p>
        </w:tc>
      </w:tr>
      <w:tr w:rsidR="00E42B18" w14:paraId="406AD2D3" w14:textId="77777777">
        <w:trPr>
          <w:trHeight w:val="300"/>
        </w:trPr>
        <w:tc>
          <w:tcPr>
            <w:tcW w:w="1435" w:type="dxa"/>
            <w:shd w:val="clear" w:color="auto" w:fill="C6EFCE"/>
            <w:tcMar>
              <w:left w:w="108" w:type="dxa"/>
              <w:right w:w="108" w:type="dxa"/>
            </w:tcMar>
            <w:vAlign w:val="center"/>
          </w:tcPr>
          <w:p w14:paraId="0C45D74E" w14:textId="77777777" w:rsidR="00E42B18" w:rsidRDefault="009629C4">
            <w:pPr>
              <w:pStyle w:val="P68B1DB1-Normal121"/>
              <w:spacing w:after="0" w:line="240" w:lineRule="auto"/>
              <w:jc w:val="center"/>
              <w:rPr>
                <w:noProof/>
              </w:rPr>
            </w:pPr>
            <w:r>
              <w:rPr>
                <w:noProof/>
              </w:rPr>
              <w:t>M2C2–16</w:t>
            </w:r>
          </w:p>
        </w:tc>
        <w:tc>
          <w:tcPr>
            <w:tcW w:w="3543" w:type="dxa"/>
            <w:shd w:val="clear" w:color="auto" w:fill="C6EFCE"/>
            <w:tcMar>
              <w:left w:w="108" w:type="dxa"/>
              <w:right w:w="108" w:type="dxa"/>
            </w:tcMar>
            <w:vAlign w:val="center"/>
          </w:tcPr>
          <w:p w14:paraId="6E617DC3" w14:textId="77777777" w:rsidR="00E42B18" w:rsidRDefault="009629C4">
            <w:pPr>
              <w:pStyle w:val="P68B1DB1-Normal121"/>
              <w:spacing w:after="0" w:line="240" w:lineRule="auto"/>
              <w:rPr>
                <w:noProof/>
              </w:rPr>
            </w:pPr>
            <w:r>
              <w:rPr>
                <w:noProof/>
              </w:rPr>
              <w:t>Investointi 3.4 Vedyn testaus rautateiden liikkuvuutta varten</w:t>
            </w:r>
          </w:p>
        </w:tc>
        <w:tc>
          <w:tcPr>
            <w:tcW w:w="1276" w:type="dxa"/>
            <w:shd w:val="clear" w:color="auto" w:fill="C6EFCE"/>
            <w:tcMar>
              <w:left w:w="108" w:type="dxa"/>
              <w:right w:w="108" w:type="dxa"/>
            </w:tcMar>
            <w:vAlign w:val="center"/>
          </w:tcPr>
          <w:p w14:paraId="2D22850C"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2056E3B8" w14:textId="77777777" w:rsidR="00E42B18" w:rsidRDefault="009629C4">
            <w:pPr>
              <w:pStyle w:val="P68B1DB1-Normal121"/>
              <w:spacing w:after="0" w:line="240" w:lineRule="auto"/>
              <w:rPr>
                <w:noProof/>
              </w:rPr>
            </w:pPr>
            <w:r>
              <w:rPr>
                <w:noProof/>
              </w:rPr>
              <w:t>Resurssien osoittaminen vedyn testaukseen rautateiden liikkuvuutta varten</w:t>
            </w:r>
          </w:p>
        </w:tc>
      </w:tr>
      <w:tr w:rsidR="00E42B18" w14:paraId="0D967412" w14:textId="77777777">
        <w:trPr>
          <w:trHeight w:val="300"/>
        </w:trPr>
        <w:tc>
          <w:tcPr>
            <w:tcW w:w="1435" w:type="dxa"/>
            <w:shd w:val="clear" w:color="auto" w:fill="C6EFCE"/>
            <w:tcMar>
              <w:left w:w="108" w:type="dxa"/>
              <w:right w:w="108" w:type="dxa"/>
            </w:tcMar>
            <w:vAlign w:val="center"/>
          </w:tcPr>
          <w:p w14:paraId="5D26BF58" w14:textId="77777777" w:rsidR="00E42B18" w:rsidRDefault="009629C4">
            <w:pPr>
              <w:pStyle w:val="P68B1DB1-Normal121"/>
              <w:spacing w:after="0" w:line="240" w:lineRule="auto"/>
              <w:jc w:val="center"/>
              <w:rPr>
                <w:noProof/>
              </w:rPr>
            </w:pPr>
            <w:r>
              <w:rPr>
                <w:noProof/>
              </w:rPr>
              <w:t>M2C2–20</w:t>
            </w:r>
          </w:p>
        </w:tc>
        <w:tc>
          <w:tcPr>
            <w:tcW w:w="3543" w:type="dxa"/>
            <w:shd w:val="clear" w:color="auto" w:fill="C6EFCE"/>
            <w:tcMar>
              <w:left w:w="108" w:type="dxa"/>
              <w:right w:w="108" w:type="dxa"/>
            </w:tcMar>
            <w:vAlign w:val="center"/>
          </w:tcPr>
          <w:p w14:paraId="328772E1" w14:textId="77777777" w:rsidR="00E42B18" w:rsidRDefault="009629C4">
            <w:pPr>
              <w:pStyle w:val="P68B1DB1-Normal121"/>
              <w:spacing w:after="0" w:line="240" w:lineRule="auto"/>
              <w:rPr>
                <w:noProof/>
              </w:rPr>
            </w:pPr>
            <w:r>
              <w:rPr>
                <w:noProof/>
              </w:rPr>
              <w:t>Uudistus 3 Hallinnon yksinkertaistaminen ja vedyn käyttöönoton sääntelyesteiden vähentäminen</w:t>
            </w:r>
          </w:p>
        </w:tc>
        <w:tc>
          <w:tcPr>
            <w:tcW w:w="1276" w:type="dxa"/>
            <w:shd w:val="clear" w:color="auto" w:fill="C6EFCE"/>
            <w:tcMar>
              <w:left w:w="108" w:type="dxa"/>
              <w:right w:w="108" w:type="dxa"/>
            </w:tcMar>
            <w:vAlign w:val="center"/>
          </w:tcPr>
          <w:p w14:paraId="114EE866"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1B364F8C" w14:textId="77777777" w:rsidR="00E42B18" w:rsidRDefault="009629C4">
            <w:pPr>
              <w:pStyle w:val="P68B1DB1-Normal121"/>
              <w:spacing w:after="0" w:line="240" w:lineRule="auto"/>
              <w:rPr>
                <w:noProof/>
              </w:rPr>
            </w:pPr>
            <w:r>
              <w:rPr>
                <w:noProof/>
              </w:rPr>
              <w:t>Tarvittavien lainsäädäntötoimien voimaantulo</w:t>
            </w:r>
          </w:p>
        </w:tc>
      </w:tr>
      <w:tr w:rsidR="00E42B18" w14:paraId="1360903C" w14:textId="77777777">
        <w:trPr>
          <w:trHeight w:val="300"/>
        </w:trPr>
        <w:tc>
          <w:tcPr>
            <w:tcW w:w="1435" w:type="dxa"/>
            <w:shd w:val="clear" w:color="auto" w:fill="C6EFCE"/>
            <w:tcMar>
              <w:left w:w="108" w:type="dxa"/>
              <w:right w:w="108" w:type="dxa"/>
            </w:tcMar>
            <w:vAlign w:val="center"/>
          </w:tcPr>
          <w:p w14:paraId="5FEF9195" w14:textId="77777777" w:rsidR="00E42B18" w:rsidRDefault="009629C4">
            <w:pPr>
              <w:pStyle w:val="P68B1DB1-Normal121"/>
              <w:spacing w:after="0" w:line="240" w:lineRule="auto"/>
              <w:jc w:val="center"/>
              <w:rPr>
                <w:noProof/>
              </w:rPr>
            </w:pPr>
            <w:r>
              <w:rPr>
                <w:noProof/>
              </w:rPr>
              <w:t>M5C2–3</w:t>
            </w:r>
          </w:p>
        </w:tc>
        <w:tc>
          <w:tcPr>
            <w:tcW w:w="3543" w:type="dxa"/>
            <w:shd w:val="clear" w:color="auto" w:fill="C6EFCE"/>
            <w:tcMar>
              <w:left w:w="108" w:type="dxa"/>
              <w:right w:w="108" w:type="dxa"/>
            </w:tcMar>
            <w:vAlign w:val="center"/>
          </w:tcPr>
          <w:p w14:paraId="04B0E011" w14:textId="77777777" w:rsidR="00E42B18" w:rsidRDefault="009629C4">
            <w:pPr>
              <w:pStyle w:val="P68B1DB1-Normal121"/>
              <w:spacing w:after="0" w:line="240" w:lineRule="auto"/>
              <w:rPr>
                <w:noProof/>
              </w:rPr>
            </w:pPr>
            <w:r>
              <w:rPr>
                <w:noProof/>
              </w:rPr>
              <w:t>Uudistus 2 – Uudistus muita kuin omavaraisia ikääntyneitä varten</w:t>
            </w:r>
          </w:p>
        </w:tc>
        <w:tc>
          <w:tcPr>
            <w:tcW w:w="1276" w:type="dxa"/>
            <w:shd w:val="clear" w:color="auto" w:fill="C6EFCE"/>
            <w:tcMar>
              <w:left w:w="108" w:type="dxa"/>
              <w:right w:w="108" w:type="dxa"/>
            </w:tcMar>
            <w:vAlign w:val="center"/>
          </w:tcPr>
          <w:p w14:paraId="1090A4FA"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1815B229" w14:textId="77777777" w:rsidR="00E42B18" w:rsidRDefault="009629C4">
            <w:pPr>
              <w:pStyle w:val="P68B1DB1-Normal121"/>
              <w:spacing w:after="0" w:line="240" w:lineRule="auto"/>
              <w:rPr>
                <w:noProof/>
              </w:rPr>
            </w:pPr>
            <w:r>
              <w:rPr>
                <w:noProof/>
              </w:rPr>
              <w:t>Sellaisen puitelain voimaantulo, jolla vahvistetaan omavaraisten vanhusten hyväksi toteutettavia toimia</w:t>
            </w:r>
          </w:p>
        </w:tc>
      </w:tr>
      <w:tr w:rsidR="00E42B18" w14:paraId="1777986E" w14:textId="77777777">
        <w:trPr>
          <w:trHeight w:val="300"/>
        </w:trPr>
        <w:tc>
          <w:tcPr>
            <w:tcW w:w="1435" w:type="dxa"/>
            <w:shd w:val="clear" w:color="auto" w:fill="C6EFCE"/>
            <w:tcMar>
              <w:left w:w="108" w:type="dxa"/>
              <w:right w:w="108" w:type="dxa"/>
            </w:tcMar>
            <w:vAlign w:val="center"/>
          </w:tcPr>
          <w:p w14:paraId="7A8A1041" w14:textId="77777777" w:rsidR="00E42B18" w:rsidRDefault="009629C4">
            <w:pPr>
              <w:pStyle w:val="P68B1DB1-Normal121"/>
              <w:spacing w:after="0" w:line="240" w:lineRule="auto"/>
              <w:jc w:val="center"/>
              <w:rPr>
                <w:noProof/>
              </w:rPr>
            </w:pPr>
            <w:r>
              <w:rPr>
                <w:noProof/>
              </w:rPr>
              <w:t>M1C1–37</w:t>
            </w:r>
          </w:p>
        </w:tc>
        <w:tc>
          <w:tcPr>
            <w:tcW w:w="3543" w:type="dxa"/>
            <w:shd w:val="clear" w:color="auto" w:fill="C6EFCE"/>
            <w:tcMar>
              <w:left w:w="108" w:type="dxa"/>
              <w:right w:w="108" w:type="dxa"/>
            </w:tcMar>
            <w:vAlign w:val="center"/>
          </w:tcPr>
          <w:p w14:paraId="1D9E923D" w14:textId="77777777" w:rsidR="00E42B18" w:rsidRDefault="009629C4">
            <w:pPr>
              <w:pStyle w:val="P68B1DB1-Normal121"/>
              <w:spacing w:after="0" w:line="240" w:lineRule="auto"/>
              <w:rPr>
                <w:noProof/>
              </w:rPr>
            </w:pPr>
            <w:r>
              <w:rPr>
                <w:noProof/>
              </w:rPr>
              <w:t>Uudistukset 1.4 ja 1.5: Siviili- ja rikosoikeuden uudistus</w:t>
            </w:r>
          </w:p>
        </w:tc>
        <w:tc>
          <w:tcPr>
            <w:tcW w:w="1276" w:type="dxa"/>
            <w:shd w:val="clear" w:color="auto" w:fill="C6EFCE"/>
            <w:tcMar>
              <w:left w:w="108" w:type="dxa"/>
              <w:right w:w="108" w:type="dxa"/>
            </w:tcMar>
            <w:vAlign w:val="center"/>
          </w:tcPr>
          <w:p w14:paraId="675CF51D"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74345A42" w14:textId="77777777" w:rsidR="00E42B18" w:rsidRDefault="009629C4">
            <w:pPr>
              <w:pStyle w:val="P68B1DB1-Normal121"/>
              <w:spacing w:after="0" w:line="240" w:lineRule="auto"/>
              <w:rPr>
                <w:noProof/>
              </w:rPr>
            </w:pPr>
            <w:r>
              <w:rPr>
                <w:noProof/>
              </w:rPr>
              <w:t>Siviili- ja rikosoikeuden uudistuksen voimaantulo</w:t>
            </w:r>
          </w:p>
        </w:tc>
      </w:tr>
      <w:tr w:rsidR="00E42B18" w14:paraId="2D3F541A" w14:textId="77777777">
        <w:trPr>
          <w:trHeight w:val="300"/>
        </w:trPr>
        <w:tc>
          <w:tcPr>
            <w:tcW w:w="1435" w:type="dxa"/>
            <w:shd w:val="clear" w:color="auto" w:fill="C6EFCE"/>
            <w:tcMar>
              <w:left w:w="108" w:type="dxa"/>
              <w:right w:w="108" w:type="dxa"/>
            </w:tcMar>
            <w:vAlign w:val="center"/>
          </w:tcPr>
          <w:p w14:paraId="621F7094" w14:textId="77777777" w:rsidR="00E42B18" w:rsidRDefault="009629C4">
            <w:pPr>
              <w:pStyle w:val="P68B1DB1-Normal121"/>
              <w:spacing w:after="0" w:line="240" w:lineRule="auto"/>
              <w:jc w:val="center"/>
              <w:rPr>
                <w:noProof/>
              </w:rPr>
            </w:pPr>
            <w:r>
              <w:rPr>
                <w:noProof/>
              </w:rPr>
              <w:t>M1C1–58</w:t>
            </w:r>
          </w:p>
        </w:tc>
        <w:tc>
          <w:tcPr>
            <w:tcW w:w="3543" w:type="dxa"/>
            <w:shd w:val="clear" w:color="auto" w:fill="C6EFCE"/>
            <w:tcMar>
              <w:left w:w="108" w:type="dxa"/>
              <w:right w:w="108" w:type="dxa"/>
            </w:tcMar>
            <w:vAlign w:val="center"/>
          </w:tcPr>
          <w:p w14:paraId="6B2EB594" w14:textId="77777777" w:rsidR="00E42B18" w:rsidRDefault="009629C4">
            <w:pPr>
              <w:pStyle w:val="P68B1DB1-Normal121"/>
              <w:spacing w:after="0" w:line="240" w:lineRule="auto"/>
              <w:rPr>
                <w:noProof/>
              </w:rPr>
            </w:pPr>
            <w:r>
              <w:rPr>
                <w:noProof/>
              </w:rPr>
              <w:t>Uudistus 1.9: Julkishallinnon uudistaminen</w:t>
            </w:r>
          </w:p>
        </w:tc>
        <w:tc>
          <w:tcPr>
            <w:tcW w:w="1276" w:type="dxa"/>
            <w:shd w:val="clear" w:color="auto" w:fill="C6EFCE"/>
            <w:tcMar>
              <w:left w:w="108" w:type="dxa"/>
              <w:right w:w="108" w:type="dxa"/>
            </w:tcMar>
            <w:vAlign w:val="center"/>
          </w:tcPr>
          <w:p w14:paraId="79F8EA78"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5D47F999" w14:textId="77777777" w:rsidR="00E42B18" w:rsidRDefault="009629C4">
            <w:pPr>
              <w:pStyle w:val="P68B1DB1-Normal121"/>
              <w:spacing w:after="0" w:line="240" w:lineRule="auto"/>
              <w:rPr>
                <w:noProof/>
              </w:rPr>
            </w:pPr>
            <w:r>
              <w:rPr>
                <w:noProof/>
              </w:rPr>
              <w:t>Julkisen sektorin työllisyyden uudistamista koskevien säädösten voimaantulo</w:t>
            </w:r>
          </w:p>
        </w:tc>
      </w:tr>
      <w:tr w:rsidR="00E42B18" w14:paraId="7B2F3550" w14:textId="77777777">
        <w:trPr>
          <w:trHeight w:val="300"/>
        </w:trPr>
        <w:tc>
          <w:tcPr>
            <w:tcW w:w="1435" w:type="dxa"/>
            <w:shd w:val="clear" w:color="auto" w:fill="C6EFCE"/>
            <w:tcMar>
              <w:left w:w="108" w:type="dxa"/>
              <w:right w:w="108" w:type="dxa"/>
            </w:tcMar>
            <w:vAlign w:val="center"/>
          </w:tcPr>
          <w:p w14:paraId="718A2409" w14:textId="77777777" w:rsidR="00E42B18" w:rsidRDefault="009629C4">
            <w:pPr>
              <w:pStyle w:val="P68B1DB1-Normal121"/>
              <w:spacing w:after="0" w:line="240" w:lineRule="auto"/>
              <w:jc w:val="center"/>
              <w:rPr>
                <w:noProof/>
              </w:rPr>
            </w:pPr>
            <w:r>
              <w:rPr>
                <w:noProof/>
              </w:rPr>
              <w:t>M1C1–74</w:t>
            </w:r>
          </w:p>
        </w:tc>
        <w:tc>
          <w:tcPr>
            <w:tcW w:w="3543" w:type="dxa"/>
            <w:shd w:val="clear" w:color="auto" w:fill="C6EFCE"/>
            <w:tcMar>
              <w:left w:w="108" w:type="dxa"/>
              <w:right w:w="108" w:type="dxa"/>
            </w:tcMar>
            <w:vAlign w:val="center"/>
          </w:tcPr>
          <w:p w14:paraId="5B956F1E"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shd w:val="clear" w:color="auto" w:fill="C6EFCE"/>
            <w:tcMar>
              <w:left w:w="108" w:type="dxa"/>
              <w:right w:w="108" w:type="dxa"/>
            </w:tcMar>
            <w:vAlign w:val="center"/>
          </w:tcPr>
          <w:p w14:paraId="0ED4C9DD"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1450CF59" w14:textId="77777777" w:rsidR="00E42B18" w:rsidRDefault="009629C4">
            <w:pPr>
              <w:pStyle w:val="P68B1DB1-Normal121"/>
              <w:spacing w:after="0" w:line="240" w:lineRule="auto"/>
              <w:rPr>
                <w:noProof/>
              </w:rPr>
            </w:pPr>
            <w:r>
              <w:rPr>
                <w:noProof/>
              </w:rPr>
              <w:t>Kaikkien tarvittavien täytäntöönpanotoimenpiteiden ja sekundaarilainsäädännön voimaantulo julkisia hankintoja koskevan säännöstön yksinkertaistamiseksi</w:t>
            </w:r>
          </w:p>
        </w:tc>
      </w:tr>
      <w:tr w:rsidR="00E42B18" w14:paraId="3B17C267" w14:textId="77777777">
        <w:trPr>
          <w:trHeight w:val="300"/>
        </w:trPr>
        <w:tc>
          <w:tcPr>
            <w:tcW w:w="1435" w:type="dxa"/>
            <w:shd w:val="clear" w:color="auto" w:fill="C6EFCE"/>
            <w:tcMar>
              <w:left w:w="108" w:type="dxa"/>
              <w:right w:w="108" w:type="dxa"/>
            </w:tcMar>
            <w:vAlign w:val="center"/>
          </w:tcPr>
          <w:p w14:paraId="5D1D2FCD" w14:textId="77777777" w:rsidR="00E42B18" w:rsidRDefault="009629C4">
            <w:pPr>
              <w:pStyle w:val="P68B1DB1-Normal121"/>
              <w:spacing w:after="0" w:line="240" w:lineRule="auto"/>
              <w:jc w:val="center"/>
              <w:rPr>
                <w:noProof/>
              </w:rPr>
            </w:pPr>
            <w:r>
              <w:rPr>
                <w:noProof/>
              </w:rPr>
              <w:t>M1C1–109</w:t>
            </w:r>
          </w:p>
        </w:tc>
        <w:tc>
          <w:tcPr>
            <w:tcW w:w="3543" w:type="dxa"/>
            <w:shd w:val="clear" w:color="auto" w:fill="C6EFCE"/>
            <w:tcMar>
              <w:left w:w="108" w:type="dxa"/>
              <w:right w:w="108" w:type="dxa"/>
            </w:tcMar>
            <w:vAlign w:val="center"/>
          </w:tcPr>
          <w:p w14:paraId="43BFC17C" w14:textId="77777777" w:rsidR="00E42B18" w:rsidRDefault="009629C4">
            <w:pPr>
              <w:pStyle w:val="P68B1DB1-Normal121"/>
              <w:spacing w:after="0" w:line="240" w:lineRule="auto"/>
              <w:rPr>
                <w:noProof/>
              </w:rPr>
            </w:pPr>
            <w:r>
              <w:rPr>
                <w:noProof/>
              </w:rPr>
              <w:t>Uudistus 1.12: Verohallinnon uudistaminen</w:t>
            </w:r>
          </w:p>
        </w:tc>
        <w:tc>
          <w:tcPr>
            <w:tcW w:w="1276" w:type="dxa"/>
            <w:shd w:val="clear" w:color="auto" w:fill="C6EFCE"/>
            <w:tcMar>
              <w:left w:w="108" w:type="dxa"/>
              <w:right w:w="108" w:type="dxa"/>
            </w:tcMar>
            <w:vAlign w:val="center"/>
          </w:tcPr>
          <w:p w14:paraId="2E6E8F1C" w14:textId="77777777" w:rsidR="00E42B18" w:rsidRDefault="009629C4">
            <w:pPr>
              <w:pStyle w:val="P68B1DB1-Normal121"/>
              <w:spacing w:after="0" w:line="240" w:lineRule="auto"/>
              <w:jc w:val="center"/>
              <w:rPr>
                <w:noProof/>
              </w:rPr>
            </w:pPr>
            <w:r>
              <w:rPr>
                <w:noProof/>
              </w:rPr>
              <w:t>Kohde</w:t>
            </w:r>
          </w:p>
        </w:tc>
        <w:tc>
          <w:tcPr>
            <w:tcW w:w="3103" w:type="dxa"/>
            <w:shd w:val="clear" w:color="auto" w:fill="C6EFCE"/>
            <w:tcMar>
              <w:left w:w="108" w:type="dxa"/>
              <w:right w:w="108" w:type="dxa"/>
            </w:tcMar>
            <w:vAlign w:val="center"/>
          </w:tcPr>
          <w:p w14:paraId="6274EF93" w14:textId="77777777" w:rsidR="00E42B18" w:rsidRDefault="009629C4">
            <w:pPr>
              <w:pStyle w:val="P68B1DB1-Normal121"/>
              <w:spacing w:after="0" w:line="240" w:lineRule="auto"/>
              <w:rPr>
                <w:noProof/>
              </w:rPr>
            </w:pPr>
            <w:r>
              <w:rPr>
                <w:noProof/>
              </w:rPr>
              <w:t>Ensimmäisten ennakkoon koottujen alv-ilmoitusten lähettäminen</w:t>
            </w:r>
          </w:p>
        </w:tc>
      </w:tr>
      <w:tr w:rsidR="00E42B18" w14:paraId="2E4EBFB9" w14:textId="77777777">
        <w:trPr>
          <w:trHeight w:val="300"/>
        </w:trPr>
        <w:tc>
          <w:tcPr>
            <w:tcW w:w="1435" w:type="dxa"/>
            <w:shd w:val="clear" w:color="auto" w:fill="C6EFCE"/>
            <w:tcMar>
              <w:left w:w="108" w:type="dxa"/>
              <w:right w:w="108" w:type="dxa"/>
            </w:tcMar>
            <w:vAlign w:val="center"/>
          </w:tcPr>
          <w:p w14:paraId="1989C7C1" w14:textId="77777777" w:rsidR="00E42B18" w:rsidRDefault="009629C4">
            <w:pPr>
              <w:pStyle w:val="P68B1DB1-Normal121"/>
              <w:spacing w:after="0" w:line="240" w:lineRule="auto"/>
              <w:jc w:val="center"/>
              <w:rPr>
                <w:noProof/>
              </w:rPr>
            </w:pPr>
            <w:r>
              <w:rPr>
                <w:noProof/>
              </w:rPr>
              <w:t>M2C2–27</w:t>
            </w:r>
          </w:p>
        </w:tc>
        <w:tc>
          <w:tcPr>
            <w:tcW w:w="3543" w:type="dxa"/>
            <w:shd w:val="clear" w:color="auto" w:fill="C6EFCE"/>
            <w:tcMar>
              <w:left w:w="108" w:type="dxa"/>
              <w:right w:w="108" w:type="dxa"/>
            </w:tcMar>
            <w:vAlign w:val="center"/>
          </w:tcPr>
          <w:p w14:paraId="55C104E3" w14:textId="77777777" w:rsidR="00E42B18" w:rsidRDefault="009629C4">
            <w:pPr>
              <w:pStyle w:val="P68B1DB1-Normal121"/>
              <w:spacing w:after="0" w:line="240" w:lineRule="auto"/>
              <w:rPr>
                <w:noProof/>
              </w:rPr>
            </w:pPr>
            <w:r>
              <w:rPr>
                <w:noProof/>
              </w:rPr>
              <w:t>Investointi 4.3 Latausinfrastruktuurien asentaminen</w:t>
            </w:r>
          </w:p>
        </w:tc>
        <w:tc>
          <w:tcPr>
            <w:tcW w:w="1276" w:type="dxa"/>
            <w:shd w:val="clear" w:color="auto" w:fill="C6EFCE"/>
            <w:tcMar>
              <w:left w:w="108" w:type="dxa"/>
              <w:right w:w="108" w:type="dxa"/>
            </w:tcMar>
            <w:vAlign w:val="center"/>
          </w:tcPr>
          <w:p w14:paraId="68E56722"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43B2680E" w14:textId="77777777" w:rsidR="00E42B18" w:rsidRDefault="009629C4">
            <w:pPr>
              <w:pStyle w:val="P68B1DB1-Normal121"/>
              <w:spacing w:after="0" w:line="240" w:lineRule="auto"/>
              <w:rPr>
                <w:noProof/>
              </w:rPr>
            </w:pPr>
            <w:r>
              <w:rPr>
                <w:noProof/>
              </w:rPr>
              <w:t>Kaikkien latausinfrastruktuurien (M1) asentamista koskevien julkisten hankintasopimusten tekeminen</w:t>
            </w:r>
          </w:p>
        </w:tc>
      </w:tr>
      <w:tr w:rsidR="00E42B18" w14:paraId="612BC86D" w14:textId="77777777">
        <w:trPr>
          <w:trHeight w:val="300"/>
        </w:trPr>
        <w:tc>
          <w:tcPr>
            <w:tcW w:w="1435" w:type="dxa"/>
            <w:shd w:val="clear" w:color="auto" w:fill="C6EFCE"/>
            <w:tcMar>
              <w:left w:w="108" w:type="dxa"/>
              <w:right w:w="108" w:type="dxa"/>
            </w:tcMar>
            <w:vAlign w:val="center"/>
          </w:tcPr>
          <w:p w14:paraId="1E1DDF7F" w14:textId="77777777" w:rsidR="00E42B18" w:rsidRDefault="009629C4">
            <w:pPr>
              <w:pStyle w:val="P68B1DB1-Normal121"/>
              <w:spacing w:after="0" w:line="240" w:lineRule="auto"/>
              <w:jc w:val="center"/>
              <w:rPr>
                <w:noProof/>
              </w:rPr>
            </w:pPr>
            <w:r>
              <w:rPr>
                <w:noProof/>
              </w:rPr>
              <w:t>M2C2–33</w:t>
            </w:r>
          </w:p>
        </w:tc>
        <w:tc>
          <w:tcPr>
            <w:tcW w:w="3543" w:type="dxa"/>
            <w:shd w:val="clear" w:color="auto" w:fill="C6EFCE"/>
            <w:tcMar>
              <w:left w:w="108" w:type="dxa"/>
              <w:right w:w="108" w:type="dxa"/>
            </w:tcMar>
            <w:vAlign w:val="center"/>
          </w:tcPr>
          <w:p w14:paraId="7B13C2F4" w14:textId="77777777" w:rsidR="00E42B18" w:rsidRDefault="009629C4">
            <w:pPr>
              <w:pStyle w:val="P68B1DB1-Normal122"/>
              <w:spacing w:after="0" w:line="240" w:lineRule="auto"/>
              <w:rPr>
                <w:noProof/>
              </w:rPr>
            </w:pPr>
            <w:r>
              <w:rPr>
                <w:noProof/>
                <w:color w:val="006100"/>
              </w:rPr>
              <w:t xml:space="preserve">Investointi 4.4.2: Alueellisen julkisen liikenteen rautatiekaluston </w:t>
            </w:r>
            <w:r>
              <w:rPr>
                <w:noProof/>
                <w:color w:val="000000"/>
              </w:rPr>
              <w:t xml:space="preserve"> </w:t>
            </w:r>
            <w:r>
              <w:rPr>
                <w:noProof/>
                <w:color w:val="006100"/>
              </w:rPr>
              <w:t>vahvistaminen päästöttömillä junilla ja yleispalvelulla</w:t>
            </w:r>
          </w:p>
        </w:tc>
        <w:tc>
          <w:tcPr>
            <w:tcW w:w="1276" w:type="dxa"/>
            <w:shd w:val="clear" w:color="auto" w:fill="C6EFCE"/>
            <w:tcMar>
              <w:left w:w="108" w:type="dxa"/>
              <w:right w:w="108" w:type="dxa"/>
            </w:tcMar>
            <w:vAlign w:val="center"/>
          </w:tcPr>
          <w:p w14:paraId="402B1735"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50261CCD" w14:textId="77777777" w:rsidR="00E42B18" w:rsidRDefault="009629C4">
            <w:pPr>
              <w:pStyle w:val="P68B1DB1-Normal121"/>
              <w:spacing w:after="0" w:line="240" w:lineRule="auto"/>
              <w:rPr>
                <w:noProof/>
              </w:rPr>
            </w:pPr>
            <w:r>
              <w:rPr>
                <w:noProof/>
              </w:rPr>
              <w:t>Kaikkien julkisten hankintasopimusten tekeminen alueellisen julkisen liikenteen rautatiekaluston vahvistamiseksi päästöttömillä junilla ja yleispalvelulla</w:t>
            </w:r>
          </w:p>
        </w:tc>
      </w:tr>
      <w:tr w:rsidR="00E42B18" w14:paraId="4AEB2D70" w14:textId="77777777">
        <w:trPr>
          <w:trHeight w:val="300"/>
        </w:trPr>
        <w:tc>
          <w:tcPr>
            <w:tcW w:w="1435" w:type="dxa"/>
            <w:shd w:val="clear" w:color="auto" w:fill="C6EFCE"/>
            <w:tcMar>
              <w:left w:w="108" w:type="dxa"/>
              <w:right w:w="108" w:type="dxa"/>
            </w:tcMar>
            <w:vAlign w:val="center"/>
          </w:tcPr>
          <w:p w14:paraId="67B4E346" w14:textId="77777777" w:rsidR="00E42B18" w:rsidRDefault="009629C4">
            <w:pPr>
              <w:pStyle w:val="P68B1DB1-Normal121"/>
              <w:spacing w:after="0" w:line="240" w:lineRule="auto"/>
              <w:jc w:val="center"/>
              <w:rPr>
                <w:noProof/>
              </w:rPr>
            </w:pPr>
            <w:r>
              <w:rPr>
                <w:noProof/>
              </w:rPr>
              <w:t>M2C3–2</w:t>
            </w:r>
          </w:p>
        </w:tc>
        <w:tc>
          <w:tcPr>
            <w:tcW w:w="3543" w:type="dxa"/>
            <w:shd w:val="clear" w:color="auto" w:fill="C6EFCE"/>
            <w:tcMar>
              <w:left w:w="108" w:type="dxa"/>
              <w:right w:w="108" w:type="dxa"/>
            </w:tcMar>
            <w:vAlign w:val="center"/>
          </w:tcPr>
          <w:p w14:paraId="217FE0EE" w14:textId="64C42F30" w:rsidR="00E42B18" w:rsidRDefault="009629C4">
            <w:pPr>
              <w:pStyle w:val="P68B1DB1-Normal121"/>
              <w:spacing w:after="0" w:line="240" w:lineRule="auto"/>
              <w:rPr>
                <w:noProof/>
              </w:rPr>
            </w:pPr>
            <w:r>
              <w:rPr>
                <w:noProof/>
              </w:rPr>
              <w:t xml:space="preserve">Investointi 2.1 – Energiatehokkuuden ekobonuksen vahvistaminen </w:t>
            </w:r>
          </w:p>
        </w:tc>
        <w:tc>
          <w:tcPr>
            <w:tcW w:w="1276" w:type="dxa"/>
            <w:shd w:val="clear" w:color="auto" w:fill="C6EFCE"/>
            <w:tcMar>
              <w:left w:w="108" w:type="dxa"/>
              <w:right w:w="108" w:type="dxa"/>
            </w:tcMar>
            <w:vAlign w:val="center"/>
          </w:tcPr>
          <w:p w14:paraId="41E4BE89" w14:textId="77777777" w:rsidR="00E42B18" w:rsidRDefault="009629C4">
            <w:pPr>
              <w:pStyle w:val="P68B1DB1-Normal121"/>
              <w:spacing w:after="0" w:line="240" w:lineRule="auto"/>
              <w:jc w:val="center"/>
              <w:rPr>
                <w:noProof/>
              </w:rPr>
            </w:pPr>
            <w:r>
              <w:rPr>
                <w:noProof/>
              </w:rPr>
              <w:t>Kohde</w:t>
            </w:r>
          </w:p>
        </w:tc>
        <w:tc>
          <w:tcPr>
            <w:tcW w:w="3103" w:type="dxa"/>
            <w:shd w:val="clear" w:color="auto" w:fill="C6EFCE"/>
            <w:tcMar>
              <w:left w:w="108" w:type="dxa"/>
              <w:right w:w="108" w:type="dxa"/>
            </w:tcMar>
            <w:vAlign w:val="center"/>
          </w:tcPr>
          <w:p w14:paraId="7F6E70D2" w14:textId="77777777" w:rsidR="00E42B18" w:rsidRDefault="009629C4">
            <w:pPr>
              <w:pStyle w:val="P68B1DB1-Normal121"/>
              <w:spacing w:after="0" w:line="240" w:lineRule="auto"/>
              <w:rPr>
                <w:noProof/>
              </w:rPr>
            </w:pPr>
            <w:r>
              <w:rPr>
                <w:noProof/>
              </w:rPr>
              <w:t>Rakennusten perusparannus Superbonus T1</w:t>
            </w:r>
          </w:p>
        </w:tc>
      </w:tr>
      <w:tr w:rsidR="00E42B18" w14:paraId="1F6F10D9" w14:textId="77777777">
        <w:trPr>
          <w:trHeight w:val="300"/>
        </w:trPr>
        <w:tc>
          <w:tcPr>
            <w:tcW w:w="1435" w:type="dxa"/>
            <w:shd w:val="clear" w:color="auto" w:fill="C6EFCE"/>
            <w:tcMar>
              <w:left w:w="108" w:type="dxa"/>
              <w:right w:w="108" w:type="dxa"/>
            </w:tcMar>
            <w:vAlign w:val="center"/>
          </w:tcPr>
          <w:p w14:paraId="3B3AF2FC" w14:textId="77777777" w:rsidR="00E42B18" w:rsidRDefault="009629C4">
            <w:pPr>
              <w:pStyle w:val="P68B1DB1-Normal121"/>
              <w:spacing w:after="0" w:line="240" w:lineRule="auto"/>
              <w:jc w:val="center"/>
              <w:rPr>
                <w:noProof/>
              </w:rPr>
            </w:pPr>
            <w:r>
              <w:rPr>
                <w:noProof/>
              </w:rPr>
              <w:t>M4C1–9</w:t>
            </w:r>
          </w:p>
        </w:tc>
        <w:tc>
          <w:tcPr>
            <w:tcW w:w="3543" w:type="dxa"/>
            <w:shd w:val="clear" w:color="auto" w:fill="C6EFCE"/>
            <w:tcMar>
              <w:left w:w="108" w:type="dxa"/>
              <w:right w:w="108" w:type="dxa"/>
            </w:tcMar>
            <w:vAlign w:val="center"/>
          </w:tcPr>
          <w:p w14:paraId="5F888A75" w14:textId="77777777" w:rsidR="00E42B18" w:rsidRDefault="009629C4">
            <w:pPr>
              <w:pStyle w:val="P68B1DB1-Normal121"/>
              <w:spacing w:after="0" w:line="240" w:lineRule="auto"/>
              <w:rPr>
                <w:noProof/>
              </w:rPr>
            </w:pPr>
            <w:r>
              <w:rPr>
                <w:noProof/>
              </w:rPr>
              <w:t>Investointi 1.1: Päiväkoteja ja esikouluja sekä varhaiskasvatuspalveluja koskeva suunnitelma</w:t>
            </w:r>
          </w:p>
        </w:tc>
        <w:tc>
          <w:tcPr>
            <w:tcW w:w="1276" w:type="dxa"/>
            <w:shd w:val="clear" w:color="auto" w:fill="C6EFCE"/>
            <w:tcMar>
              <w:left w:w="108" w:type="dxa"/>
              <w:right w:w="108" w:type="dxa"/>
            </w:tcMar>
            <w:vAlign w:val="center"/>
          </w:tcPr>
          <w:p w14:paraId="14348D56" w14:textId="77777777" w:rsidR="00E42B18" w:rsidRDefault="009629C4">
            <w:pPr>
              <w:pStyle w:val="P68B1DB1-Normal121"/>
              <w:spacing w:after="0" w:line="240" w:lineRule="auto"/>
              <w:jc w:val="center"/>
              <w:rPr>
                <w:noProof/>
              </w:rPr>
            </w:pPr>
            <w:r>
              <w:rPr>
                <w:noProof/>
              </w:rPr>
              <w:t>Virstanpylväs</w:t>
            </w:r>
          </w:p>
        </w:tc>
        <w:tc>
          <w:tcPr>
            <w:tcW w:w="3103" w:type="dxa"/>
            <w:shd w:val="clear" w:color="auto" w:fill="C6EFCE"/>
            <w:tcMar>
              <w:left w:w="108" w:type="dxa"/>
              <w:right w:w="108" w:type="dxa"/>
            </w:tcMar>
            <w:vAlign w:val="center"/>
          </w:tcPr>
          <w:p w14:paraId="3F1EE61F" w14:textId="7EA19011" w:rsidR="00E42B18" w:rsidRDefault="009629C4">
            <w:pPr>
              <w:pStyle w:val="P68B1DB1-Normal121"/>
              <w:spacing w:after="0" w:line="240" w:lineRule="auto"/>
              <w:rPr>
                <w:noProof/>
              </w:rPr>
            </w:pPr>
            <w:r>
              <w:rPr>
                <w:noProof/>
              </w:rPr>
              <w:t>Lastentarhojen, esikoulujen ja varhaiskasvatuspalvelujen rakentamista, kunnostamista ja turvallisuuden varmistamista koskevien sopimusten tekeminen</w:t>
            </w:r>
          </w:p>
        </w:tc>
      </w:tr>
      <w:tr w:rsidR="00E42B18" w14:paraId="2DE1B7B2" w14:textId="77777777">
        <w:trPr>
          <w:trHeight w:val="300"/>
        </w:trPr>
        <w:tc>
          <w:tcPr>
            <w:tcW w:w="1435" w:type="dxa"/>
            <w:shd w:val="clear" w:color="auto" w:fill="C6EFCE"/>
            <w:tcMar>
              <w:left w:w="108" w:type="dxa"/>
              <w:right w:w="108" w:type="dxa"/>
            </w:tcMar>
            <w:vAlign w:val="center"/>
          </w:tcPr>
          <w:p w14:paraId="02E629A8" w14:textId="77777777" w:rsidR="00E42B18" w:rsidRDefault="009629C4">
            <w:pPr>
              <w:pStyle w:val="P68B1DB1-Normal121"/>
              <w:spacing w:after="0" w:line="240" w:lineRule="auto"/>
              <w:jc w:val="center"/>
              <w:rPr>
                <w:noProof/>
              </w:rPr>
            </w:pPr>
            <w:r>
              <w:rPr>
                <w:noProof/>
              </w:rPr>
              <w:t>M5C3–8</w:t>
            </w:r>
          </w:p>
        </w:tc>
        <w:tc>
          <w:tcPr>
            <w:tcW w:w="3543" w:type="dxa"/>
            <w:shd w:val="clear" w:color="auto" w:fill="C6EFCE"/>
            <w:tcMar>
              <w:left w:w="108" w:type="dxa"/>
              <w:right w:w="108" w:type="dxa"/>
            </w:tcMar>
            <w:vAlign w:val="center"/>
          </w:tcPr>
          <w:p w14:paraId="52D8B6D2" w14:textId="77777777" w:rsidR="00E42B18" w:rsidRDefault="009629C4">
            <w:pPr>
              <w:pStyle w:val="P68B1DB1-Normal121"/>
              <w:spacing w:after="0" w:line="240" w:lineRule="auto"/>
              <w:rPr>
                <w:noProof/>
              </w:rPr>
            </w:pPr>
            <w:r>
              <w:rPr>
                <w:noProof/>
              </w:rPr>
              <w:t>Investointi 1.3: Rakenteelliset sosiaalipedagogiset toimet koulutusköyhyyden torjumiseksi etelässä kolmannen sektorin tukemiseksi</w:t>
            </w:r>
          </w:p>
        </w:tc>
        <w:tc>
          <w:tcPr>
            <w:tcW w:w="1276" w:type="dxa"/>
            <w:shd w:val="clear" w:color="auto" w:fill="C6EFCE"/>
            <w:tcMar>
              <w:left w:w="108" w:type="dxa"/>
              <w:right w:w="108" w:type="dxa"/>
            </w:tcMar>
            <w:vAlign w:val="center"/>
          </w:tcPr>
          <w:p w14:paraId="5EEA773F" w14:textId="77777777" w:rsidR="00E42B18" w:rsidRDefault="009629C4">
            <w:pPr>
              <w:pStyle w:val="P68B1DB1-Normal121"/>
              <w:spacing w:after="0" w:line="240" w:lineRule="auto"/>
              <w:jc w:val="center"/>
              <w:rPr>
                <w:noProof/>
              </w:rPr>
            </w:pPr>
            <w:r>
              <w:rPr>
                <w:noProof/>
              </w:rPr>
              <w:t>Kohde</w:t>
            </w:r>
          </w:p>
        </w:tc>
        <w:tc>
          <w:tcPr>
            <w:tcW w:w="3103" w:type="dxa"/>
            <w:shd w:val="clear" w:color="auto" w:fill="C6EFCE"/>
            <w:tcMar>
              <w:left w:w="108" w:type="dxa"/>
              <w:right w:w="108" w:type="dxa"/>
            </w:tcMar>
            <w:vAlign w:val="center"/>
          </w:tcPr>
          <w:p w14:paraId="63ED9E60" w14:textId="77777777" w:rsidR="00E42B18" w:rsidRDefault="009629C4">
            <w:pPr>
              <w:pStyle w:val="P68B1DB1-Normal121"/>
              <w:spacing w:after="0" w:line="240" w:lineRule="auto"/>
              <w:rPr>
                <w:noProof/>
              </w:rPr>
            </w:pPr>
            <w:r>
              <w:rPr>
                <w:noProof/>
              </w:rPr>
              <w:t>Koulutustuki alaikäisille (ensimmäinen erä)</w:t>
            </w:r>
          </w:p>
        </w:tc>
      </w:tr>
      <w:tr w:rsidR="00E42B18" w14:paraId="49F92A3A" w14:textId="77777777">
        <w:trPr>
          <w:trHeight w:val="300"/>
        </w:trPr>
        <w:tc>
          <w:tcPr>
            <w:tcW w:w="1435" w:type="dxa"/>
            <w:shd w:val="clear" w:color="auto" w:fill="C6EFCE"/>
            <w:tcMar>
              <w:left w:w="108" w:type="dxa"/>
              <w:right w:w="108" w:type="dxa"/>
            </w:tcMar>
            <w:vAlign w:val="center"/>
          </w:tcPr>
          <w:p w14:paraId="4750F3F1" w14:textId="77777777" w:rsidR="00E42B18" w:rsidRDefault="00E42B18">
            <w:pPr>
              <w:spacing w:after="0" w:line="240" w:lineRule="auto"/>
              <w:jc w:val="center"/>
              <w:rPr>
                <w:rFonts w:ascii="Times New Roman" w:eastAsia="Times New Roman" w:hAnsi="Times New Roman" w:cs="Times New Roman"/>
                <w:noProof/>
              </w:rPr>
            </w:pPr>
          </w:p>
        </w:tc>
        <w:tc>
          <w:tcPr>
            <w:tcW w:w="3543" w:type="dxa"/>
            <w:shd w:val="clear" w:color="auto" w:fill="C6EFCE"/>
            <w:tcMar>
              <w:left w:w="108" w:type="dxa"/>
              <w:right w:w="108" w:type="dxa"/>
            </w:tcMar>
            <w:vAlign w:val="center"/>
          </w:tcPr>
          <w:p w14:paraId="07AB3AF2" w14:textId="77777777" w:rsidR="00E42B18" w:rsidRDefault="009629C4">
            <w:pPr>
              <w:pStyle w:val="P68B1DB1-Normal121"/>
              <w:spacing w:after="0" w:line="240" w:lineRule="auto"/>
              <w:rPr>
                <w:noProof/>
              </w:rPr>
            </w:pPr>
            <w:r>
              <w:rPr>
                <w:noProof/>
              </w:rPr>
              <w:t xml:space="preserve"> </w:t>
            </w:r>
          </w:p>
        </w:tc>
        <w:tc>
          <w:tcPr>
            <w:tcW w:w="1276" w:type="dxa"/>
            <w:shd w:val="clear" w:color="auto" w:fill="C6EFCE"/>
            <w:tcMar>
              <w:left w:w="108" w:type="dxa"/>
              <w:right w:w="108" w:type="dxa"/>
            </w:tcMar>
            <w:vAlign w:val="center"/>
          </w:tcPr>
          <w:p w14:paraId="4F0119F3" w14:textId="77777777" w:rsidR="00E42B18" w:rsidRDefault="009629C4">
            <w:pPr>
              <w:pStyle w:val="P68B1DB1-Normal121"/>
              <w:spacing w:after="0" w:line="240" w:lineRule="auto"/>
              <w:jc w:val="center"/>
              <w:rPr>
                <w:noProof/>
              </w:rPr>
            </w:pPr>
            <w:r>
              <w:rPr>
                <w:noProof/>
              </w:rPr>
              <w:t>Maksuerän määrä</w:t>
            </w:r>
          </w:p>
        </w:tc>
        <w:tc>
          <w:tcPr>
            <w:tcW w:w="3103" w:type="dxa"/>
            <w:shd w:val="clear" w:color="auto" w:fill="C6EFCE"/>
            <w:tcMar>
              <w:left w:w="108" w:type="dxa"/>
              <w:right w:w="108" w:type="dxa"/>
            </w:tcMar>
            <w:vAlign w:val="center"/>
          </w:tcPr>
          <w:p w14:paraId="784D566A"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2315646882</w:t>
            </w:r>
            <w:r>
              <w:rPr>
                <w:noProof/>
                <w:sz w:val="23"/>
                <w:szCs w:val="23"/>
              </w:rPr>
              <w:t xml:space="preserve">  </w:t>
            </w:r>
            <w:r>
              <w:rPr>
                <w:noProof/>
                <w:color w:val="006100"/>
                <w:sz w:val="20"/>
                <w:szCs w:val="20"/>
              </w:rPr>
              <w:t>EUROA</w:t>
            </w:r>
          </w:p>
        </w:tc>
      </w:tr>
    </w:tbl>
    <w:p w14:paraId="0253E1A2" w14:textId="2AF57A8C" w:rsidR="00E42B18" w:rsidRDefault="00E42B18">
      <w:pPr>
        <w:rPr>
          <w:rFonts w:ascii="Times New Roman" w:eastAsiaTheme="majorEastAsia" w:hAnsi="Times New Roman" w:cs="Times New Roman"/>
          <w:noProof/>
          <w:highlight w:val="lightGray"/>
        </w:rPr>
      </w:pPr>
    </w:p>
    <w:p w14:paraId="6703ACD6" w14:textId="77777777" w:rsidR="00E42B18" w:rsidRDefault="009629C4">
      <w:pPr>
        <w:pStyle w:val="P68B1DB1-Heading4119"/>
        <w:numPr>
          <w:ilvl w:val="1"/>
          <w:numId w:val="180"/>
        </w:numPr>
        <w:tabs>
          <w:tab w:val="num" w:pos="1440"/>
        </w:tabs>
        <w:ind w:left="1440" w:hanging="360"/>
        <w:rPr>
          <w:noProof/>
        </w:rPr>
      </w:pPr>
      <w:r>
        <w:rPr>
          <w:noProof/>
        </w:rPr>
        <w:t>Viides erä (tuki, jota ei makseta takaisin):</w:t>
      </w:r>
    </w:p>
    <w:tbl>
      <w:tblPr>
        <w:tblW w:w="936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0"/>
        <w:gridCol w:w="3543"/>
        <w:gridCol w:w="1276"/>
        <w:gridCol w:w="3112"/>
      </w:tblGrid>
      <w:tr w:rsidR="00E42B18" w14:paraId="421DF51F" w14:textId="77777777">
        <w:trPr>
          <w:trHeight w:val="1425"/>
          <w:tblHeader/>
        </w:trPr>
        <w:tc>
          <w:tcPr>
            <w:tcW w:w="1430" w:type="dxa"/>
            <w:shd w:val="clear" w:color="auto" w:fill="BDD7EE"/>
            <w:tcMar>
              <w:left w:w="108" w:type="dxa"/>
              <w:right w:w="108" w:type="dxa"/>
            </w:tcMar>
            <w:vAlign w:val="center"/>
          </w:tcPr>
          <w:p w14:paraId="130A754C" w14:textId="77777777" w:rsidR="00E42B18" w:rsidRDefault="009629C4">
            <w:pPr>
              <w:pStyle w:val="P68B1DB1-Normal120"/>
              <w:spacing w:after="0" w:line="240" w:lineRule="auto"/>
              <w:jc w:val="center"/>
              <w:rPr>
                <w:noProof/>
              </w:rPr>
            </w:pPr>
            <w:r>
              <w:rPr>
                <w:noProof/>
              </w:rPr>
              <w:t>Juokseva numero</w:t>
            </w:r>
          </w:p>
        </w:tc>
        <w:tc>
          <w:tcPr>
            <w:tcW w:w="3543" w:type="dxa"/>
            <w:shd w:val="clear" w:color="auto" w:fill="BDD7EE"/>
            <w:tcMar>
              <w:left w:w="108" w:type="dxa"/>
              <w:right w:w="108" w:type="dxa"/>
            </w:tcMar>
            <w:vAlign w:val="center"/>
          </w:tcPr>
          <w:p w14:paraId="1342B024" w14:textId="77777777" w:rsidR="00E42B18" w:rsidRDefault="009629C4">
            <w:pPr>
              <w:pStyle w:val="P68B1DB1-Normal120"/>
              <w:spacing w:after="0" w:line="240" w:lineRule="auto"/>
              <w:jc w:val="center"/>
              <w:rPr>
                <w:noProof/>
              </w:rPr>
            </w:pPr>
            <w:r>
              <w:rPr>
                <w:noProof/>
              </w:rPr>
              <w:t>Toimenpide (uudistus tai investointi)</w:t>
            </w:r>
          </w:p>
        </w:tc>
        <w:tc>
          <w:tcPr>
            <w:tcW w:w="1276" w:type="dxa"/>
            <w:shd w:val="clear" w:color="auto" w:fill="BDD7EE"/>
            <w:tcMar>
              <w:left w:w="108" w:type="dxa"/>
              <w:right w:w="108" w:type="dxa"/>
            </w:tcMar>
            <w:vAlign w:val="center"/>
          </w:tcPr>
          <w:p w14:paraId="006C0C28" w14:textId="77777777" w:rsidR="00E42B18" w:rsidRDefault="009629C4">
            <w:pPr>
              <w:pStyle w:val="P68B1DB1-Normal120"/>
              <w:spacing w:after="0" w:line="240" w:lineRule="auto"/>
              <w:jc w:val="center"/>
              <w:rPr>
                <w:noProof/>
              </w:rPr>
            </w:pPr>
            <w:r>
              <w:rPr>
                <w:noProof/>
              </w:rPr>
              <w:t>Välitavoite/tavoite</w:t>
            </w:r>
          </w:p>
        </w:tc>
        <w:tc>
          <w:tcPr>
            <w:tcW w:w="3112" w:type="dxa"/>
            <w:shd w:val="clear" w:color="auto" w:fill="BDD7EE"/>
            <w:tcMar>
              <w:left w:w="108" w:type="dxa"/>
              <w:right w:w="108" w:type="dxa"/>
            </w:tcMar>
            <w:vAlign w:val="center"/>
          </w:tcPr>
          <w:p w14:paraId="4C1AFB0D" w14:textId="77777777" w:rsidR="00E42B18" w:rsidRDefault="009629C4">
            <w:pPr>
              <w:pStyle w:val="P68B1DB1-Normal120"/>
              <w:spacing w:after="0" w:line="240" w:lineRule="auto"/>
              <w:jc w:val="center"/>
              <w:rPr>
                <w:noProof/>
              </w:rPr>
            </w:pPr>
            <w:r>
              <w:rPr>
                <w:noProof/>
              </w:rPr>
              <w:t>Nimi</w:t>
            </w:r>
          </w:p>
        </w:tc>
      </w:tr>
      <w:tr w:rsidR="00E42B18" w14:paraId="4781D6F8" w14:textId="77777777">
        <w:trPr>
          <w:trHeight w:val="300"/>
        </w:trPr>
        <w:tc>
          <w:tcPr>
            <w:tcW w:w="1430" w:type="dxa"/>
            <w:shd w:val="clear" w:color="auto" w:fill="C6EFCE"/>
            <w:tcMar>
              <w:left w:w="108" w:type="dxa"/>
              <w:right w:w="108" w:type="dxa"/>
            </w:tcMar>
            <w:vAlign w:val="center"/>
          </w:tcPr>
          <w:p w14:paraId="12516B93" w14:textId="77777777" w:rsidR="00E42B18" w:rsidRDefault="009629C4">
            <w:pPr>
              <w:pStyle w:val="P68B1DB1-Normal121"/>
              <w:spacing w:after="0" w:line="240" w:lineRule="auto"/>
              <w:jc w:val="center"/>
              <w:rPr>
                <w:noProof/>
              </w:rPr>
            </w:pPr>
            <w:r>
              <w:rPr>
                <w:noProof/>
              </w:rPr>
              <w:t>M1C2–4</w:t>
            </w:r>
          </w:p>
        </w:tc>
        <w:tc>
          <w:tcPr>
            <w:tcW w:w="3543" w:type="dxa"/>
            <w:shd w:val="clear" w:color="auto" w:fill="C6EFCE"/>
            <w:tcMar>
              <w:left w:w="108" w:type="dxa"/>
              <w:right w:w="108" w:type="dxa"/>
            </w:tcMar>
            <w:vAlign w:val="center"/>
          </w:tcPr>
          <w:p w14:paraId="58989A8D" w14:textId="77777777" w:rsidR="00E42B18" w:rsidRDefault="009629C4">
            <w:pPr>
              <w:pStyle w:val="P68B1DB1-Normal121"/>
              <w:spacing w:after="0" w:line="240" w:lineRule="auto"/>
              <w:rPr>
                <w:noProof/>
              </w:rPr>
            </w:pPr>
            <w:r>
              <w:rPr>
                <w:noProof/>
              </w:rPr>
              <w:t>Uudistus 1: Teollisoikeusjärjestelmän uudistus</w:t>
            </w:r>
          </w:p>
        </w:tc>
        <w:tc>
          <w:tcPr>
            <w:tcW w:w="1276" w:type="dxa"/>
            <w:shd w:val="clear" w:color="auto" w:fill="C6EFCE"/>
            <w:tcMar>
              <w:left w:w="108" w:type="dxa"/>
              <w:right w:w="108" w:type="dxa"/>
            </w:tcMar>
            <w:vAlign w:val="center"/>
          </w:tcPr>
          <w:p w14:paraId="716DFD3E"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2399348D" w14:textId="77777777" w:rsidR="00E42B18" w:rsidRDefault="009629C4">
            <w:pPr>
              <w:pStyle w:val="P68B1DB1-Normal121"/>
              <w:spacing w:after="0" w:line="240" w:lineRule="auto"/>
              <w:rPr>
                <w:noProof/>
              </w:rPr>
            </w:pPr>
            <w:r>
              <w:rPr>
                <w:noProof/>
              </w:rPr>
              <w:t>Italian teollisoikeuksia koskevan lain ja asiaa koskevien täytäntöönpanosäädösten uudistamista koskevan asetuksen voimaantulo</w:t>
            </w:r>
          </w:p>
        </w:tc>
      </w:tr>
      <w:tr w:rsidR="00E42B18" w14:paraId="1222FCED" w14:textId="77777777">
        <w:trPr>
          <w:trHeight w:val="300"/>
        </w:trPr>
        <w:tc>
          <w:tcPr>
            <w:tcW w:w="1430" w:type="dxa"/>
            <w:shd w:val="clear" w:color="auto" w:fill="C6EFCE"/>
            <w:tcMar>
              <w:left w:w="108" w:type="dxa"/>
              <w:right w:w="108" w:type="dxa"/>
            </w:tcMar>
            <w:vAlign w:val="center"/>
          </w:tcPr>
          <w:p w14:paraId="5B20C873" w14:textId="77777777" w:rsidR="00E42B18" w:rsidRDefault="009629C4">
            <w:pPr>
              <w:pStyle w:val="P68B1DB1-Normal121"/>
              <w:spacing w:after="0" w:line="240" w:lineRule="auto"/>
              <w:jc w:val="center"/>
              <w:rPr>
                <w:noProof/>
              </w:rPr>
            </w:pPr>
            <w:r>
              <w:rPr>
                <w:noProof/>
              </w:rPr>
              <w:t>M1C3–4</w:t>
            </w:r>
          </w:p>
        </w:tc>
        <w:tc>
          <w:tcPr>
            <w:tcW w:w="3543" w:type="dxa"/>
            <w:shd w:val="clear" w:color="auto" w:fill="C6EFCE"/>
            <w:tcMar>
              <w:left w:w="108" w:type="dxa"/>
              <w:right w:w="108" w:type="dxa"/>
            </w:tcMar>
            <w:vAlign w:val="center"/>
          </w:tcPr>
          <w:p w14:paraId="13B6D43F" w14:textId="77777777" w:rsidR="00E42B18" w:rsidRDefault="009629C4">
            <w:pPr>
              <w:pStyle w:val="P68B1DB1-Normal121"/>
              <w:spacing w:after="0" w:line="240" w:lineRule="auto"/>
              <w:rPr>
                <w:noProof/>
              </w:rPr>
            </w:pPr>
            <w:r>
              <w:rPr>
                <w:noProof/>
              </w:rPr>
              <w:t>Investoinnit – 1.3 Teatterien, teatterien ja museoiden energiatehokkuuden parantaminen</w:t>
            </w:r>
          </w:p>
        </w:tc>
        <w:tc>
          <w:tcPr>
            <w:tcW w:w="1276" w:type="dxa"/>
            <w:shd w:val="clear" w:color="auto" w:fill="C6EFCE"/>
            <w:tcMar>
              <w:left w:w="108" w:type="dxa"/>
              <w:right w:w="108" w:type="dxa"/>
            </w:tcMar>
            <w:vAlign w:val="center"/>
          </w:tcPr>
          <w:p w14:paraId="67F94103" w14:textId="77777777" w:rsidR="00E42B18" w:rsidRDefault="009629C4">
            <w:pPr>
              <w:pStyle w:val="P68B1DB1-Normal121"/>
              <w:spacing w:after="0" w:line="240" w:lineRule="auto"/>
              <w:jc w:val="center"/>
              <w:rPr>
                <w:noProof/>
              </w:rPr>
            </w:pPr>
            <w:r>
              <w:rPr>
                <w:noProof/>
              </w:rPr>
              <w:t>Kohde</w:t>
            </w:r>
          </w:p>
        </w:tc>
        <w:tc>
          <w:tcPr>
            <w:tcW w:w="3112" w:type="dxa"/>
            <w:shd w:val="clear" w:color="auto" w:fill="C6EFCE"/>
            <w:tcMar>
              <w:left w:w="108" w:type="dxa"/>
              <w:right w:w="108" w:type="dxa"/>
            </w:tcMar>
            <w:vAlign w:val="center"/>
          </w:tcPr>
          <w:p w14:paraId="603FFEE8" w14:textId="731060B1" w:rsidR="00E42B18" w:rsidRDefault="009629C4">
            <w:pPr>
              <w:pStyle w:val="P68B1DB1-Normal121"/>
              <w:spacing w:after="0" w:line="240" w:lineRule="auto"/>
              <w:rPr>
                <w:noProof/>
              </w:rPr>
            </w:pPr>
            <w:r>
              <w:rPr>
                <w:noProof/>
              </w:rPr>
              <w:t>Valtion museoita ja kulttuurikohteita, teatterihalleja ja elokuvateattereita koskevat toimet saatiin päätökseen (ensimmäinen erä)</w:t>
            </w:r>
          </w:p>
        </w:tc>
      </w:tr>
      <w:tr w:rsidR="00E42B18" w14:paraId="4F7A6BBC" w14:textId="77777777">
        <w:trPr>
          <w:trHeight w:val="300"/>
        </w:trPr>
        <w:tc>
          <w:tcPr>
            <w:tcW w:w="1430" w:type="dxa"/>
            <w:shd w:val="clear" w:color="auto" w:fill="C6EFCE"/>
            <w:tcMar>
              <w:left w:w="108" w:type="dxa"/>
              <w:right w:w="108" w:type="dxa"/>
            </w:tcMar>
            <w:vAlign w:val="center"/>
          </w:tcPr>
          <w:p w14:paraId="634DC020" w14:textId="77777777" w:rsidR="00E42B18" w:rsidRDefault="009629C4">
            <w:pPr>
              <w:pStyle w:val="P68B1DB1-Normal121"/>
              <w:spacing w:after="0" w:line="240" w:lineRule="auto"/>
              <w:jc w:val="center"/>
              <w:rPr>
                <w:noProof/>
              </w:rPr>
            </w:pPr>
            <w:r>
              <w:rPr>
                <w:noProof/>
              </w:rPr>
              <w:t>M1C1–12</w:t>
            </w:r>
          </w:p>
        </w:tc>
        <w:tc>
          <w:tcPr>
            <w:tcW w:w="3543" w:type="dxa"/>
            <w:shd w:val="clear" w:color="auto" w:fill="C6EFCE"/>
            <w:tcMar>
              <w:left w:w="108" w:type="dxa"/>
              <w:right w:w="108" w:type="dxa"/>
            </w:tcMar>
            <w:vAlign w:val="center"/>
          </w:tcPr>
          <w:p w14:paraId="38D07606" w14:textId="55532DC9" w:rsidR="00E42B18" w:rsidRDefault="009629C4">
            <w:pPr>
              <w:pStyle w:val="P68B1DB1-Normal121"/>
              <w:spacing w:after="0" w:line="240" w:lineRule="auto"/>
              <w:rPr>
                <w:noProof/>
              </w:rPr>
            </w:pPr>
            <w:r>
              <w:rPr>
                <w:noProof/>
              </w:rPr>
              <w:t>Investointi 1.3.2: Yhteinen digitaalinen palveluväylä</w:t>
            </w:r>
          </w:p>
        </w:tc>
        <w:tc>
          <w:tcPr>
            <w:tcW w:w="1276" w:type="dxa"/>
            <w:shd w:val="clear" w:color="auto" w:fill="C6EFCE"/>
            <w:tcMar>
              <w:left w:w="108" w:type="dxa"/>
              <w:right w:w="108" w:type="dxa"/>
            </w:tcMar>
            <w:vAlign w:val="center"/>
          </w:tcPr>
          <w:p w14:paraId="304C9B53" w14:textId="77777777" w:rsidR="00E42B18" w:rsidRDefault="009629C4">
            <w:pPr>
              <w:pStyle w:val="P68B1DB1-Normal121"/>
              <w:spacing w:after="0" w:line="240" w:lineRule="auto"/>
              <w:jc w:val="center"/>
              <w:rPr>
                <w:noProof/>
              </w:rPr>
            </w:pPr>
            <w:r>
              <w:rPr>
                <w:noProof/>
              </w:rPr>
              <w:t>Kohde</w:t>
            </w:r>
          </w:p>
        </w:tc>
        <w:tc>
          <w:tcPr>
            <w:tcW w:w="3112" w:type="dxa"/>
            <w:shd w:val="clear" w:color="auto" w:fill="C6EFCE"/>
            <w:tcMar>
              <w:left w:w="108" w:type="dxa"/>
              <w:right w:w="108" w:type="dxa"/>
            </w:tcMar>
            <w:vAlign w:val="center"/>
          </w:tcPr>
          <w:p w14:paraId="05EF7C26" w14:textId="77777777" w:rsidR="00E42B18" w:rsidRDefault="009629C4">
            <w:pPr>
              <w:pStyle w:val="P68B1DB1-Normal121"/>
              <w:spacing w:after="0" w:line="240" w:lineRule="auto"/>
              <w:rPr>
                <w:noProof/>
              </w:rPr>
            </w:pPr>
            <w:r>
              <w:rPr>
                <w:noProof/>
              </w:rPr>
              <w:t>Yhteinen digitaalinen palveluväylä</w:t>
            </w:r>
          </w:p>
        </w:tc>
      </w:tr>
      <w:tr w:rsidR="00E42B18" w14:paraId="36485D96" w14:textId="77777777">
        <w:trPr>
          <w:trHeight w:val="300"/>
        </w:trPr>
        <w:tc>
          <w:tcPr>
            <w:tcW w:w="1430" w:type="dxa"/>
            <w:shd w:val="clear" w:color="auto" w:fill="C6EFCE"/>
            <w:tcMar>
              <w:left w:w="108" w:type="dxa"/>
              <w:right w:w="108" w:type="dxa"/>
            </w:tcMar>
            <w:vAlign w:val="center"/>
          </w:tcPr>
          <w:p w14:paraId="2683F266" w14:textId="77777777" w:rsidR="00E42B18" w:rsidRDefault="009629C4">
            <w:pPr>
              <w:pStyle w:val="P68B1DB1-Normal121"/>
              <w:spacing w:after="0" w:line="240" w:lineRule="auto"/>
              <w:jc w:val="center"/>
              <w:rPr>
                <w:noProof/>
              </w:rPr>
            </w:pPr>
            <w:r>
              <w:rPr>
                <w:noProof/>
              </w:rPr>
              <w:t>M1C1–13</w:t>
            </w:r>
          </w:p>
        </w:tc>
        <w:tc>
          <w:tcPr>
            <w:tcW w:w="3543" w:type="dxa"/>
            <w:shd w:val="clear" w:color="auto" w:fill="C6EFCE"/>
            <w:tcMar>
              <w:left w:w="108" w:type="dxa"/>
              <w:right w:w="108" w:type="dxa"/>
            </w:tcMar>
            <w:vAlign w:val="center"/>
          </w:tcPr>
          <w:p w14:paraId="2EF70A7F" w14:textId="77777777" w:rsidR="00E42B18" w:rsidRDefault="009629C4">
            <w:pPr>
              <w:pStyle w:val="P68B1DB1-Normal121"/>
              <w:spacing w:after="0" w:line="240" w:lineRule="auto"/>
              <w:rPr>
                <w:noProof/>
              </w:rPr>
            </w:pPr>
            <w:r>
              <w:rPr>
                <w:noProof/>
              </w:rPr>
              <w:t>Investointi 1.4.6: Liikkuvuus palveluna Italialle</w:t>
            </w:r>
          </w:p>
        </w:tc>
        <w:tc>
          <w:tcPr>
            <w:tcW w:w="1276" w:type="dxa"/>
            <w:shd w:val="clear" w:color="auto" w:fill="C6EFCE"/>
            <w:tcMar>
              <w:left w:w="108" w:type="dxa"/>
              <w:right w:w="108" w:type="dxa"/>
            </w:tcMar>
            <w:vAlign w:val="center"/>
          </w:tcPr>
          <w:p w14:paraId="565A8300"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6960812C" w14:textId="77777777" w:rsidR="00E42B18" w:rsidRDefault="009629C4">
            <w:pPr>
              <w:pStyle w:val="P68B1DB1-Normal121"/>
              <w:spacing w:after="0" w:line="240" w:lineRule="auto"/>
              <w:rPr>
                <w:noProof/>
              </w:rPr>
            </w:pPr>
            <w:r>
              <w:rPr>
                <w:noProof/>
              </w:rPr>
              <w:t>Liikkuvuus palveluratkaisuina M1</w:t>
            </w:r>
          </w:p>
        </w:tc>
      </w:tr>
      <w:tr w:rsidR="00E42B18" w14:paraId="154B5EEB" w14:textId="77777777">
        <w:trPr>
          <w:trHeight w:val="300"/>
        </w:trPr>
        <w:tc>
          <w:tcPr>
            <w:tcW w:w="1430" w:type="dxa"/>
            <w:shd w:val="clear" w:color="auto" w:fill="C6EFCE"/>
            <w:tcMar>
              <w:left w:w="108" w:type="dxa"/>
              <w:right w:w="108" w:type="dxa"/>
            </w:tcMar>
            <w:vAlign w:val="center"/>
          </w:tcPr>
          <w:p w14:paraId="113B0CDA" w14:textId="77777777" w:rsidR="00E42B18" w:rsidRDefault="009629C4">
            <w:pPr>
              <w:pStyle w:val="P68B1DB1-Normal121"/>
              <w:spacing w:after="0" w:line="240" w:lineRule="auto"/>
              <w:jc w:val="center"/>
              <w:rPr>
                <w:noProof/>
              </w:rPr>
            </w:pPr>
            <w:r>
              <w:rPr>
                <w:noProof/>
              </w:rPr>
              <w:t>M1C1–38</w:t>
            </w:r>
          </w:p>
        </w:tc>
        <w:tc>
          <w:tcPr>
            <w:tcW w:w="3543" w:type="dxa"/>
            <w:shd w:val="clear" w:color="auto" w:fill="C6EFCE"/>
            <w:tcMar>
              <w:left w:w="108" w:type="dxa"/>
              <w:right w:w="108" w:type="dxa"/>
            </w:tcMar>
            <w:vAlign w:val="center"/>
          </w:tcPr>
          <w:p w14:paraId="2168B401" w14:textId="77777777" w:rsidR="00E42B18" w:rsidRDefault="009629C4">
            <w:pPr>
              <w:pStyle w:val="P68B1DB1-Normal121"/>
              <w:spacing w:after="0" w:line="240" w:lineRule="auto"/>
              <w:rPr>
                <w:noProof/>
              </w:rPr>
            </w:pPr>
            <w:r>
              <w:rPr>
                <w:noProof/>
              </w:rPr>
              <w:t>Uudistus 1.8: Oikeudenkäytön digitalisointi</w:t>
            </w:r>
          </w:p>
        </w:tc>
        <w:tc>
          <w:tcPr>
            <w:tcW w:w="1276" w:type="dxa"/>
            <w:shd w:val="clear" w:color="auto" w:fill="C6EFCE"/>
            <w:tcMar>
              <w:left w:w="108" w:type="dxa"/>
              <w:right w:w="108" w:type="dxa"/>
            </w:tcMar>
            <w:vAlign w:val="center"/>
          </w:tcPr>
          <w:p w14:paraId="48CE55AA"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2EB949A7" w14:textId="77777777" w:rsidR="00E42B18" w:rsidRDefault="009629C4">
            <w:pPr>
              <w:pStyle w:val="P68B1DB1-Normal121"/>
              <w:spacing w:after="0" w:line="240" w:lineRule="auto"/>
              <w:rPr>
                <w:noProof/>
              </w:rPr>
            </w:pPr>
            <w:r>
              <w:rPr>
                <w:noProof/>
              </w:rPr>
              <w:t>Oikeuslaitoksen digitalisointi</w:t>
            </w:r>
          </w:p>
        </w:tc>
      </w:tr>
      <w:tr w:rsidR="00E42B18" w14:paraId="0FE96698" w14:textId="77777777">
        <w:trPr>
          <w:trHeight w:val="300"/>
        </w:trPr>
        <w:tc>
          <w:tcPr>
            <w:tcW w:w="1430" w:type="dxa"/>
            <w:shd w:val="clear" w:color="auto" w:fill="C6EFCE"/>
            <w:tcMar>
              <w:left w:w="108" w:type="dxa"/>
              <w:right w:w="108" w:type="dxa"/>
            </w:tcMar>
            <w:vAlign w:val="center"/>
          </w:tcPr>
          <w:p w14:paraId="07850948" w14:textId="77777777" w:rsidR="00E42B18" w:rsidRDefault="009629C4">
            <w:pPr>
              <w:pStyle w:val="P68B1DB1-Normal121"/>
              <w:spacing w:after="0" w:line="240" w:lineRule="auto"/>
              <w:jc w:val="center"/>
              <w:rPr>
                <w:noProof/>
              </w:rPr>
            </w:pPr>
            <w:r>
              <w:rPr>
                <w:noProof/>
              </w:rPr>
              <w:t>M1C1–59</w:t>
            </w:r>
          </w:p>
        </w:tc>
        <w:tc>
          <w:tcPr>
            <w:tcW w:w="3543" w:type="dxa"/>
            <w:shd w:val="clear" w:color="auto" w:fill="C6EFCE"/>
            <w:tcMar>
              <w:left w:w="108" w:type="dxa"/>
              <w:right w:w="108" w:type="dxa"/>
            </w:tcMar>
            <w:vAlign w:val="center"/>
          </w:tcPr>
          <w:p w14:paraId="15C1D392" w14:textId="77777777" w:rsidR="00E42B18" w:rsidRDefault="009629C4">
            <w:pPr>
              <w:pStyle w:val="P68B1DB1-Normal121"/>
              <w:spacing w:after="0" w:line="240" w:lineRule="auto"/>
              <w:rPr>
                <w:noProof/>
              </w:rPr>
            </w:pPr>
            <w:r>
              <w:rPr>
                <w:noProof/>
              </w:rPr>
              <w:t>Uudistus 1.9: Julkishallinnon uudistaminen</w:t>
            </w:r>
          </w:p>
        </w:tc>
        <w:tc>
          <w:tcPr>
            <w:tcW w:w="1276" w:type="dxa"/>
            <w:shd w:val="clear" w:color="auto" w:fill="C6EFCE"/>
            <w:tcMar>
              <w:left w:w="108" w:type="dxa"/>
              <w:right w:w="108" w:type="dxa"/>
            </w:tcMar>
            <w:vAlign w:val="center"/>
          </w:tcPr>
          <w:p w14:paraId="47DE354C"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32AF735C" w14:textId="77777777" w:rsidR="00E42B18" w:rsidRDefault="009629C4">
            <w:pPr>
              <w:pStyle w:val="P68B1DB1-Normal121"/>
              <w:spacing w:after="0" w:line="240" w:lineRule="auto"/>
              <w:rPr>
                <w:noProof/>
              </w:rPr>
            </w:pPr>
            <w:r>
              <w:rPr>
                <w:noProof/>
              </w:rPr>
              <w:t>Julkishallinnon strategisen henkilöstöhallinnon voimaantulo</w:t>
            </w:r>
          </w:p>
        </w:tc>
      </w:tr>
      <w:tr w:rsidR="00E42B18" w14:paraId="6373BA9D" w14:textId="77777777">
        <w:trPr>
          <w:trHeight w:val="300"/>
        </w:trPr>
        <w:tc>
          <w:tcPr>
            <w:tcW w:w="1430" w:type="dxa"/>
            <w:shd w:val="clear" w:color="auto" w:fill="C6EFCE"/>
            <w:tcMar>
              <w:left w:w="108" w:type="dxa"/>
              <w:right w:w="108" w:type="dxa"/>
            </w:tcMar>
            <w:vAlign w:val="center"/>
          </w:tcPr>
          <w:p w14:paraId="0811845A" w14:textId="77777777" w:rsidR="00E42B18" w:rsidRDefault="009629C4">
            <w:pPr>
              <w:pStyle w:val="P68B1DB1-Normal121"/>
              <w:spacing w:after="0" w:line="240" w:lineRule="auto"/>
              <w:jc w:val="center"/>
              <w:rPr>
                <w:noProof/>
              </w:rPr>
            </w:pPr>
            <w:r>
              <w:rPr>
                <w:noProof/>
              </w:rPr>
              <w:t>M1C1–73quater</w:t>
            </w:r>
          </w:p>
        </w:tc>
        <w:tc>
          <w:tcPr>
            <w:tcW w:w="3543" w:type="dxa"/>
            <w:shd w:val="clear" w:color="auto" w:fill="C6EFCE"/>
            <w:tcMar>
              <w:left w:w="108" w:type="dxa"/>
              <w:right w:w="108" w:type="dxa"/>
            </w:tcMar>
            <w:vAlign w:val="center"/>
          </w:tcPr>
          <w:p w14:paraId="230F2DD7"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shd w:val="clear" w:color="auto" w:fill="C6EFCE"/>
            <w:tcMar>
              <w:left w:w="108" w:type="dxa"/>
              <w:right w:w="108" w:type="dxa"/>
            </w:tcMar>
            <w:vAlign w:val="center"/>
          </w:tcPr>
          <w:p w14:paraId="185E4CFA"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74BBCB50" w14:textId="77777777" w:rsidR="00E42B18" w:rsidRDefault="009629C4">
            <w:pPr>
              <w:pStyle w:val="P68B1DB1-Normal121"/>
              <w:spacing w:after="0" w:line="240" w:lineRule="auto"/>
              <w:rPr>
                <w:noProof/>
              </w:rPr>
            </w:pPr>
            <w:r>
              <w:rPr>
                <w:noProof/>
              </w:rPr>
              <w:t>EU:n kynnysarvon alittavia hankintoja koskevien suuntaviivojen voimaantulo</w:t>
            </w:r>
          </w:p>
        </w:tc>
      </w:tr>
      <w:tr w:rsidR="00E42B18" w14:paraId="75D24762" w14:textId="77777777">
        <w:trPr>
          <w:trHeight w:val="300"/>
        </w:trPr>
        <w:tc>
          <w:tcPr>
            <w:tcW w:w="1430" w:type="dxa"/>
            <w:shd w:val="clear" w:color="auto" w:fill="C6EFCE"/>
            <w:tcMar>
              <w:left w:w="108" w:type="dxa"/>
              <w:right w:w="108" w:type="dxa"/>
            </w:tcMar>
            <w:vAlign w:val="center"/>
          </w:tcPr>
          <w:p w14:paraId="69CB114B" w14:textId="77777777" w:rsidR="00E42B18" w:rsidRDefault="009629C4">
            <w:pPr>
              <w:pStyle w:val="P68B1DB1-Normal121"/>
              <w:spacing w:after="0" w:line="240" w:lineRule="auto"/>
              <w:jc w:val="center"/>
              <w:rPr>
                <w:noProof/>
              </w:rPr>
            </w:pPr>
            <w:r>
              <w:rPr>
                <w:noProof/>
              </w:rPr>
              <w:t>M1C1–75</w:t>
            </w:r>
          </w:p>
        </w:tc>
        <w:tc>
          <w:tcPr>
            <w:tcW w:w="3543" w:type="dxa"/>
            <w:shd w:val="clear" w:color="auto" w:fill="C6EFCE"/>
            <w:tcMar>
              <w:left w:w="108" w:type="dxa"/>
              <w:right w:w="108" w:type="dxa"/>
            </w:tcMar>
            <w:vAlign w:val="center"/>
          </w:tcPr>
          <w:p w14:paraId="2E63588B"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shd w:val="clear" w:color="auto" w:fill="C6EFCE"/>
            <w:tcMar>
              <w:left w:w="108" w:type="dxa"/>
              <w:right w:w="108" w:type="dxa"/>
            </w:tcMar>
            <w:vAlign w:val="center"/>
          </w:tcPr>
          <w:p w14:paraId="34488E5C"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5E8A2C4C" w14:textId="77777777" w:rsidR="00E42B18" w:rsidRDefault="009629C4">
            <w:pPr>
              <w:pStyle w:val="P68B1DB1-Normal121"/>
              <w:spacing w:after="0" w:line="240" w:lineRule="auto"/>
              <w:rPr>
                <w:noProof/>
              </w:rPr>
            </w:pPr>
            <w:r>
              <w:rPr>
                <w:noProof/>
              </w:rPr>
              <w:t>Kansallisen sähköisen hankintajärjestelmän täysi toiminta</w:t>
            </w:r>
          </w:p>
        </w:tc>
      </w:tr>
      <w:tr w:rsidR="00E42B18" w14:paraId="2CA23512" w14:textId="77777777">
        <w:trPr>
          <w:trHeight w:val="300"/>
        </w:trPr>
        <w:tc>
          <w:tcPr>
            <w:tcW w:w="1430" w:type="dxa"/>
            <w:shd w:val="clear" w:color="auto" w:fill="C6EFCE"/>
            <w:tcMar>
              <w:left w:w="108" w:type="dxa"/>
              <w:right w:w="108" w:type="dxa"/>
            </w:tcMar>
            <w:vAlign w:val="center"/>
          </w:tcPr>
          <w:p w14:paraId="1F096A66" w14:textId="77777777" w:rsidR="00E42B18" w:rsidRDefault="009629C4">
            <w:pPr>
              <w:pStyle w:val="P68B1DB1-Normal121"/>
              <w:spacing w:after="0" w:line="240" w:lineRule="auto"/>
              <w:jc w:val="center"/>
              <w:rPr>
                <w:noProof/>
              </w:rPr>
            </w:pPr>
            <w:r>
              <w:rPr>
                <w:noProof/>
              </w:rPr>
              <w:t>M1C1–84</w:t>
            </w:r>
          </w:p>
        </w:tc>
        <w:tc>
          <w:tcPr>
            <w:tcW w:w="3543" w:type="dxa"/>
            <w:shd w:val="clear" w:color="auto" w:fill="C6EFCE"/>
            <w:tcMar>
              <w:left w:w="108" w:type="dxa"/>
              <w:right w:w="108" w:type="dxa"/>
            </w:tcMar>
            <w:vAlign w:val="center"/>
          </w:tcPr>
          <w:p w14:paraId="47437ED4"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shd w:val="clear" w:color="auto" w:fill="C6EFCE"/>
            <w:tcMar>
              <w:left w:w="108" w:type="dxa"/>
              <w:right w:w="108" w:type="dxa"/>
            </w:tcMar>
            <w:vAlign w:val="center"/>
          </w:tcPr>
          <w:p w14:paraId="03657891" w14:textId="77777777" w:rsidR="00E42B18" w:rsidRDefault="009629C4">
            <w:pPr>
              <w:pStyle w:val="P68B1DB1-Normal121"/>
              <w:spacing w:after="0" w:line="240" w:lineRule="auto"/>
              <w:jc w:val="center"/>
              <w:rPr>
                <w:noProof/>
              </w:rPr>
            </w:pPr>
            <w:r>
              <w:rPr>
                <w:noProof/>
              </w:rPr>
              <w:t>Kohde</w:t>
            </w:r>
          </w:p>
        </w:tc>
        <w:tc>
          <w:tcPr>
            <w:tcW w:w="3112" w:type="dxa"/>
            <w:shd w:val="clear" w:color="auto" w:fill="C6EFCE"/>
            <w:tcMar>
              <w:left w:w="108" w:type="dxa"/>
              <w:right w:w="108" w:type="dxa"/>
            </w:tcMar>
            <w:vAlign w:val="center"/>
          </w:tcPr>
          <w:p w14:paraId="66CEF537" w14:textId="77777777" w:rsidR="00E42B18" w:rsidRDefault="009629C4">
            <w:pPr>
              <w:pStyle w:val="P68B1DB1-Normal121"/>
              <w:spacing w:after="0" w:line="240" w:lineRule="auto"/>
              <w:rPr>
                <w:noProof/>
              </w:rPr>
            </w:pPr>
            <w:r>
              <w:rPr>
                <w:noProof/>
              </w:rPr>
              <w:t>Julkaisun ja sopimuksen tekemisen välinen keskimääräinen aika</w:t>
            </w:r>
          </w:p>
        </w:tc>
      </w:tr>
      <w:tr w:rsidR="00E42B18" w14:paraId="08FBAF27" w14:textId="77777777">
        <w:trPr>
          <w:trHeight w:val="300"/>
        </w:trPr>
        <w:tc>
          <w:tcPr>
            <w:tcW w:w="1430" w:type="dxa"/>
            <w:shd w:val="clear" w:color="auto" w:fill="C6EFCE"/>
            <w:tcMar>
              <w:left w:w="108" w:type="dxa"/>
              <w:right w:w="108" w:type="dxa"/>
            </w:tcMar>
            <w:vAlign w:val="center"/>
          </w:tcPr>
          <w:p w14:paraId="65DAB134" w14:textId="77777777" w:rsidR="00E42B18" w:rsidRDefault="009629C4">
            <w:pPr>
              <w:pStyle w:val="P68B1DB1-Normal121"/>
              <w:spacing w:after="0" w:line="240" w:lineRule="auto"/>
              <w:jc w:val="center"/>
              <w:rPr>
                <w:noProof/>
              </w:rPr>
            </w:pPr>
            <w:r>
              <w:rPr>
                <w:noProof/>
              </w:rPr>
              <w:t>M1C1–86</w:t>
            </w:r>
          </w:p>
        </w:tc>
        <w:tc>
          <w:tcPr>
            <w:tcW w:w="3543" w:type="dxa"/>
            <w:shd w:val="clear" w:color="auto" w:fill="C6EFCE"/>
            <w:tcMar>
              <w:left w:w="108" w:type="dxa"/>
              <w:right w:w="108" w:type="dxa"/>
            </w:tcMar>
            <w:vAlign w:val="center"/>
          </w:tcPr>
          <w:p w14:paraId="11CD048A"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shd w:val="clear" w:color="auto" w:fill="C6EFCE"/>
            <w:tcMar>
              <w:left w:w="108" w:type="dxa"/>
              <w:right w:w="108" w:type="dxa"/>
            </w:tcMar>
            <w:vAlign w:val="center"/>
          </w:tcPr>
          <w:p w14:paraId="0133E426" w14:textId="77777777" w:rsidR="00E42B18" w:rsidRDefault="009629C4">
            <w:pPr>
              <w:pStyle w:val="P68B1DB1-Normal121"/>
              <w:spacing w:after="0" w:line="240" w:lineRule="auto"/>
              <w:jc w:val="center"/>
              <w:rPr>
                <w:noProof/>
              </w:rPr>
            </w:pPr>
            <w:r>
              <w:rPr>
                <w:noProof/>
              </w:rPr>
              <w:t>Kohde</w:t>
            </w:r>
          </w:p>
        </w:tc>
        <w:tc>
          <w:tcPr>
            <w:tcW w:w="3112" w:type="dxa"/>
            <w:shd w:val="clear" w:color="auto" w:fill="C6EFCE"/>
            <w:tcMar>
              <w:left w:w="108" w:type="dxa"/>
              <w:right w:w="108" w:type="dxa"/>
            </w:tcMar>
            <w:vAlign w:val="center"/>
          </w:tcPr>
          <w:p w14:paraId="3EC43A41" w14:textId="77777777" w:rsidR="00E42B18" w:rsidRDefault="009629C4">
            <w:pPr>
              <w:pStyle w:val="P68B1DB1-Normal121"/>
              <w:spacing w:after="0" w:line="240" w:lineRule="auto"/>
              <w:rPr>
                <w:noProof/>
              </w:rPr>
            </w:pPr>
            <w:r>
              <w:rPr>
                <w:noProof/>
              </w:rPr>
              <w:t>Julkisten ostajien ammatillistamista koskevan strategian kautta koulutetut virkamiehet</w:t>
            </w:r>
          </w:p>
        </w:tc>
      </w:tr>
      <w:tr w:rsidR="00E42B18" w14:paraId="141D99BE" w14:textId="77777777">
        <w:trPr>
          <w:trHeight w:val="300"/>
        </w:trPr>
        <w:tc>
          <w:tcPr>
            <w:tcW w:w="1430" w:type="dxa"/>
            <w:shd w:val="clear" w:color="auto" w:fill="C6EFCE"/>
            <w:tcMar>
              <w:left w:w="108" w:type="dxa"/>
              <w:right w:w="108" w:type="dxa"/>
            </w:tcMar>
            <w:vAlign w:val="center"/>
          </w:tcPr>
          <w:p w14:paraId="3A7B1A73" w14:textId="77777777" w:rsidR="00E42B18" w:rsidRDefault="009629C4">
            <w:pPr>
              <w:pStyle w:val="P68B1DB1-Normal121"/>
              <w:spacing w:after="0" w:line="240" w:lineRule="auto"/>
              <w:jc w:val="center"/>
              <w:rPr>
                <w:noProof/>
              </w:rPr>
            </w:pPr>
            <w:r>
              <w:rPr>
                <w:noProof/>
              </w:rPr>
              <w:t>M1C1–87</w:t>
            </w:r>
          </w:p>
        </w:tc>
        <w:tc>
          <w:tcPr>
            <w:tcW w:w="3543" w:type="dxa"/>
            <w:shd w:val="clear" w:color="auto" w:fill="C6EFCE"/>
            <w:tcMar>
              <w:left w:w="108" w:type="dxa"/>
              <w:right w:w="108" w:type="dxa"/>
            </w:tcMar>
            <w:vAlign w:val="center"/>
          </w:tcPr>
          <w:p w14:paraId="1FB278DC"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shd w:val="clear" w:color="auto" w:fill="C6EFCE"/>
            <w:tcMar>
              <w:left w:w="108" w:type="dxa"/>
              <w:right w:w="108" w:type="dxa"/>
            </w:tcMar>
            <w:vAlign w:val="center"/>
          </w:tcPr>
          <w:p w14:paraId="1CD3438D" w14:textId="77777777" w:rsidR="00E42B18" w:rsidRDefault="009629C4">
            <w:pPr>
              <w:pStyle w:val="P68B1DB1-Normal121"/>
              <w:spacing w:after="0" w:line="240" w:lineRule="auto"/>
              <w:jc w:val="center"/>
              <w:rPr>
                <w:noProof/>
              </w:rPr>
            </w:pPr>
            <w:r>
              <w:rPr>
                <w:noProof/>
              </w:rPr>
              <w:t>Kohde</w:t>
            </w:r>
          </w:p>
        </w:tc>
        <w:tc>
          <w:tcPr>
            <w:tcW w:w="3112" w:type="dxa"/>
            <w:shd w:val="clear" w:color="auto" w:fill="C6EFCE"/>
            <w:tcMar>
              <w:left w:w="108" w:type="dxa"/>
              <w:right w:w="108" w:type="dxa"/>
            </w:tcMar>
            <w:vAlign w:val="center"/>
          </w:tcPr>
          <w:p w14:paraId="6FD33177" w14:textId="77777777" w:rsidR="00E42B18" w:rsidRDefault="009629C4">
            <w:pPr>
              <w:pStyle w:val="P68B1DB1-Normal121"/>
              <w:spacing w:after="0" w:line="240" w:lineRule="auto"/>
              <w:rPr>
                <w:noProof/>
              </w:rPr>
            </w:pPr>
            <w:r>
              <w:rPr>
                <w:noProof/>
              </w:rPr>
              <w:t>Dynaamisia hankintajärjestelmiä käyttävät hankintaviranomaiset</w:t>
            </w:r>
          </w:p>
        </w:tc>
      </w:tr>
      <w:tr w:rsidR="00E42B18" w14:paraId="0ED15FFE" w14:textId="77777777">
        <w:trPr>
          <w:trHeight w:val="300"/>
        </w:trPr>
        <w:tc>
          <w:tcPr>
            <w:tcW w:w="1430" w:type="dxa"/>
            <w:shd w:val="clear" w:color="auto" w:fill="C6EFCE"/>
            <w:tcMar>
              <w:left w:w="108" w:type="dxa"/>
              <w:right w:w="108" w:type="dxa"/>
            </w:tcMar>
            <w:vAlign w:val="center"/>
          </w:tcPr>
          <w:p w14:paraId="4E9FDD12" w14:textId="77777777" w:rsidR="00E42B18" w:rsidRDefault="009629C4">
            <w:pPr>
              <w:pStyle w:val="P68B1DB1-Normal121"/>
              <w:spacing w:after="0" w:line="240" w:lineRule="auto"/>
              <w:jc w:val="center"/>
              <w:rPr>
                <w:noProof/>
              </w:rPr>
            </w:pPr>
            <w:r>
              <w:rPr>
                <w:noProof/>
              </w:rPr>
              <w:t>M1C1–110</w:t>
            </w:r>
          </w:p>
        </w:tc>
        <w:tc>
          <w:tcPr>
            <w:tcW w:w="3543" w:type="dxa"/>
            <w:shd w:val="clear" w:color="auto" w:fill="C6EFCE"/>
            <w:tcMar>
              <w:left w:w="108" w:type="dxa"/>
              <w:right w:w="108" w:type="dxa"/>
            </w:tcMar>
            <w:vAlign w:val="center"/>
          </w:tcPr>
          <w:p w14:paraId="65F0ED94" w14:textId="77777777" w:rsidR="00E42B18" w:rsidRDefault="009629C4">
            <w:pPr>
              <w:pStyle w:val="P68B1DB1-Normal121"/>
              <w:spacing w:after="0" w:line="240" w:lineRule="auto"/>
              <w:rPr>
                <w:noProof/>
              </w:rPr>
            </w:pPr>
            <w:r>
              <w:rPr>
                <w:noProof/>
              </w:rPr>
              <w:t>Uudistus 1.13: Menojen uudelleentarkastelua koskevan kehyksen uudistaminen</w:t>
            </w:r>
          </w:p>
        </w:tc>
        <w:tc>
          <w:tcPr>
            <w:tcW w:w="1276" w:type="dxa"/>
            <w:shd w:val="clear" w:color="auto" w:fill="C6EFCE"/>
            <w:tcMar>
              <w:left w:w="108" w:type="dxa"/>
              <w:right w:w="108" w:type="dxa"/>
            </w:tcMar>
            <w:vAlign w:val="center"/>
          </w:tcPr>
          <w:p w14:paraId="66D73223"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68AB4DB7" w14:textId="77777777" w:rsidR="00E42B18" w:rsidRDefault="009629C4">
            <w:pPr>
              <w:pStyle w:val="P68B1DB1-Normal121"/>
              <w:spacing w:after="0" w:line="240" w:lineRule="auto"/>
              <w:rPr>
                <w:noProof/>
              </w:rPr>
            </w:pPr>
            <w:r>
              <w:rPr>
                <w:noProof/>
              </w:rPr>
              <w:t>Valtion yleisen talousarvion uudelleenluokittelu ympäristömenojen ja sukupuolten tasa-arvoa edistävien menojen perusteella</w:t>
            </w:r>
          </w:p>
        </w:tc>
      </w:tr>
      <w:tr w:rsidR="00E42B18" w14:paraId="6979BF20" w14:textId="77777777">
        <w:trPr>
          <w:trHeight w:val="300"/>
        </w:trPr>
        <w:tc>
          <w:tcPr>
            <w:tcW w:w="1430" w:type="dxa"/>
            <w:shd w:val="clear" w:color="auto" w:fill="C6EFCE"/>
            <w:tcMar>
              <w:left w:w="108" w:type="dxa"/>
              <w:right w:w="108" w:type="dxa"/>
            </w:tcMar>
            <w:vAlign w:val="center"/>
          </w:tcPr>
          <w:p w14:paraId="115C4614" w14:textId="77777777" w:rsidR="00E42B18" w:rsidRDefault="009629C4">
            <w:pPr>
              <w:pStyle w:val="P68B1DB1-Normal121"/>
              <w:spacing w:after="0" w:line="240" w:lineRule="auto"/>
              <w:jc w:val="center"/>
              <w:rPr>
                <w:noProof/>
              </w:rPr>
            </w:pPr>
            <w:r>
              <w:rPr>
                <w:noProof/>
              </w:rPr>
              <w:t>M1C2–9</w:t>
            </w:r>
          </w:p>
        </w:tc>
        <w:tc>
          <w:tcPr>
            <w:tcW w:w="3543" w:type="dxa"/>
            <w:shd w:val="clear" w:color="auto" w:fill="C6EFCE"/>
            <w:tcMar>
              <w:left w:w="108" w:type="dxa"/>
              <w:right w:w="108" w:type="dxa"/>
            </w:tcMar>
            <w:vAlign w:val="center"/>
          </w:tcPr>
          <w:p w14:paraId="1BF92697" w14:textId="77777777" w:rsidR="00E42B18" w:rsidRDefault="009629C4">
            <w:pPr>
              <w:pStyle w:val="P68B1DB1-Normal121"/>
              <w:spacing w:after="0" w:line="240" w:lineRule="auto"/>
              <w:rPr>
                <w:noProof/>
              </w:rPr>
            </w:pPr>
            <w:r>
              <w:rPr>
                <w:noProof/>
              </w:rPr>
              <w:t>Uudistuksen 2: Vuosittaiset kilpailulait</w:t>
            </w:r>
          </w:p>
        </w:tc>
        <w:tc>
          <w:tcPr>
            <w:tcW w:w="1276" w:type="dxa"/>
            <w:shd w:val="clear" w:color="auto" w:fill="C6EFCE"/>
            <w:tcMar>
              <w:left w:w="108" w:type="dxa"/>
              <w:right w:w="108" w:type="dxa"/>
            </w:tcMar>
            <w:vAlign w:val="center"/>
          </w:tcPr>
          <w:p w14:paraId="404A209C"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76D1CB86" w14:textId="77777777" w:rsidR="00E42B18" w:rsidRDefault="009629C4">
            <w:pPr>
              <w:pStyle w:val="P68B1DB1-Normal121"/>
              <w:spacing w:after="0" w:line="240" w:lineRule="auto"/>
              <w:rPr>
                <w:noProof/>
              </w:rPr>
            </w:pPr>
            <w:r>
              <w:rPr>
                <w:noProof/>
              </w:rPr>
              <w:t>Vuoden 2022 kilpailulain voimaantulo</w:t>
            </w:r>
          </w:p>
        </w:tc>
      </w:tr>
      <w:tr w:rsidR="00E42B18" w14:paraId="738332AA" w14:textId="77777777">
        <w:trPr>
          <w:trHeight w:val="300"/>
        </w:trPr>
        <w:tc>
          <w:tcPr>
            <w:tcW w:w="1430" w:type="dxa"/>
            <w:shd w:val="clear" w:color="auto" w:fill="C6EFCE"/>
            <w:tcMar>
              <w:left w:w="108" w:type="dxa"/>
              <w:right w:w="108" w:type="dxa"/>
            </w:tcMar>
            <w:vAlign w:val="center"/>
          </w:tcPr>
          <w:p w14:paraId="7EA61ABE" w14:textId="77777777" w:rsidR="00E42B18" w:rsidRDefault="009629C4">
            <w:pPr>
              <w:pStyle w:val="P68B1DB1-Normal121"/>
              <w:spacing w:after="0" w:line="240" w:lineRule="auto"/>
              <w:jc w:val="center"/>
              <w:rPr>
                <w:noProof/>
              </w:rPr>
            </w:pPr>
            <w:r>
              <w:rPr>
                <w:noProof/>
              </w:rPr>
              <w:t>M1C2–10</w:t>
            </w:r>
          </w:p>
        </w:tc>
        <w:tc>
          <w:tcPr>
            <w:tcW w:w="3543" w:type="dxa"/>
            <w:shd w:val="clear" w:color="auto" w:fill="C6EFCE"/>
            <w:tcMar>
              <w:left w:w="108" w:type="dxa"/>
              <w:right w:w="108" w:type="dxa"/>
            </w:tcMar>
            <w:vAlign w:val="center"/>
          </w:tcPr>
          <w:p w14:paraId="455CEF59" w14:textId="77777777" w:rsidR="00E42B18" w:rsidRDefault="009629C4">
            <w:pPr>
              <w:pStyle w:val="P68B1DB1-Normal121"/>
              <w:spacing w:after="0" w:line="240" w:lineRule="auto"/>
              <w:rPr>
                <w:noProof/>
              </w:rPr>
            </w:pPr>
            <w:r>
              <w:rPr>
                <w:noProof/>
              </w:rPr>
              <w:t>Uudistuksen 2: Vuosittaiset kilpailulait</w:t>
            </w:r>
          </w:p>
        </w:tc>
        <w:tc>
          <w:tcPr>
            <w:tcW w:w="1276" w:type="dxa"/>
            <w:shd w:val="clear" w:color="auto" w:fill="C6EFCE"/>
            <w:tcMar>
              <w:left w:w="108" w:type="dxa"/>
              <w:right w:w="108" w:type="dxa"/>
            </w:tcMar>
            <w:vAlign w:val="center"/>
          </w:tcPr>
          <w:p w14:paraId="1956FAC8"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38DF8F24" w14:textId="77777777" w:rsidR="00E42B18" w:rsidRDefault="009629C4">
            <w:pPr>
              <w:pStyle w:val="P68B1DB1-Normal121"/>
              <w:spacing w:after="0" w:line="240" w:lineRule="auto"/>
              <w:rPr>
                <w:noProof/>
              </w:rPr>
            </w:pPr>
            <w:r>
              <w:rPr>
                <w:noProof/>
              </w:rPr>
              <w:t>Kaikkien täytäntöönpanotoimenpiteiden (tarvittaessa myös johdetun oikeuden) voimaantulo vuoden 2022 kilpailulaista johtuvien toimenpiteiden tehokasta täytäntöönpanoa ja soveltamista varten</w:t>
            </w:r>
          </w:p>
        </w:tc>
      </w:tr>
      <w:tr w:rsidR="00E42B18" w14:paraId="13325CA1" w14:textId="77777777">
        <w:trPr>
          <w:trHeight w:val="300"/>
        </w:trPr>
        <w:tc>
          <w:tcPr>
            <w:tcW w:w="1430" w:type="dxa"/>
            <w:shd w:val="clear" w:color="auto" w:fill="C6EFCE"/>
            <w:tcMar>
              <w:left w:w="108" w:type="dxa"/>
              <w:right w:w="108" w:type="dxa"/>
            </w:tcMar>
            <w:vAlign w:val="center"/>
          </w:tcPr>
          <w:p w14:paraId="0B3B94C1" w14:textId="77777777" w:rsidR="00E42B18" w:rsidRDefault="009629C4">
            <w:pPr>
              <w:pStyle w:val="P68B1DB1-Normal121"/>
              <w:spacing w:after="0" w:line="240" w:lineRule="auto"/>
              <w:jc w:val="center"/>
              <w:rPr>
                <w:noProof/>
              </w:rPr>
            </w:pPr>
            <w:r>
              <w:rPr>
                <w:noProof/>
              </w:rPr>
              <w:t>M1C3–7</w:t>
            </w:r>
          </w:p>
        </w:tc>
        <w:tc>
          <w:tcPr>
            <w:tcW w:w="3543" w:type="dxa"/>
            <w:shd w:val="clear" w:color="auto" w:fill="C6EFCE"/>
            <w:tcMar>
              <w:left w:w="108" w:type="dxa"/>
              <w:right w:w="108" w:type="dxa"/>
            </w:tcMar>
            <w:vAlign w:val="center"/>
          </w:tcPr>
          <w:p w14:paraId="07C6604C" w14:textId="77777777" w:rsidR="00E42B18" w:rsidRDefault="009629C4">
            <w:pPr>
              <w:pStyle w:val="P68B1DB1-Normal121"/>
              <w:spacing w:after="0" w:line="240" w:lineRule="auto"/>
              <w:rPr>
                <w:noProof/>
              </w:rPr>
            </w:pPr>
            <w:r>
              <w:rPr>
                <w:noProof/>
              </w:rPr>
              <w:t>Investoinnit – 3.3 Kulttuurialan toimijoiden valmiuksien kehittäminen digitaalisen ja vihreän siirtymän hallitsemiseksi.</w:t>
            </w:r>
          </w:p>
        </w:tc>
        <w:tc>
          <w:tcPr>
            <w:tcW w:w="1276" w:type="dxa"/>
            <w:shd w:val="clear" w:color="auto" w:fill="C6EFCE"/>
            <w:tcMar>
              <w:left w:w="108" w:type="dxa"/>
              <w:right w:w="108" w:type="dxa"/>
            </w:tcMar>
            <w:vAlign w:val="center"/>
          </w:tcPr>
          <w:p w14:paraId="6068EF37"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34AE063F" w14:textId="77777777" w:rsidR="00E42B18" w:rsidRDefault="009629C4">
            <w:pPr>
              <w:pStyle w:val="P68B1DB1-Normal121"/>
              <w:spacing w:after="0" w:line="240" w:lineRule="auto"/>
              <w:rPr>
                <w:noProof/>
              </w:rPr>
            </w:pPr>
            <w:r>
              <w:rPr>
                <w:noProof/>
              </w:rPr>
              <w:t>Kaikkien julkisten hankintasopimusten tekeminen täytäntöönpanevan organisaation/tuensaajien kanssa kaikista toimista, joilla hallinnoidaan kulttuurialan toimijoiden digitaalista ja vihreää siirtymää</w:t>
            </w:r>
          </w:p>
        </w:tc>
      </w:tr>
      <w:tr w:rsidR="00E42B18" w14:paraId="6E5E4F48" w14:textId="77777777">
        <w:trPr>
          <w:trHeight w:val="300"/>
        </w:trPr>
        <w:tc>
          <w:tcPr>
            <w:tcW w:w="1430" w:type="dxa"/>
            <w:shd w:val="clear" w:color="auto" w:fill="C6EFCE"/>
            <w:tcMar>
              <w:left w:w="108" w:type="dxa"/>
              <w:right w:w="108" w:type="dxa"/>
            </w:tcMar>
            <w:vAlign w:val="center"/>
          </w:tcPr>
          <w:p w14:paraId="0E1859BE" w14:textId="77777777" w:rsidR="00E42B18" w:rsidRDefault="009629C4">
            <w:pPr>
              <w:pStyle w:val="P68B1DB1-Normal121"/>
              <w:spacing w:after="0" w:line="240" w:lineRule="auto"/>
              <w:jc w:val="center"/>
              <w:rPr>
                <w:noProof/>
              </w:rPr>
            </w:pPr>
            <w:r>
              <w:rPr>
                <w:noProof/>
              </w:rPr>
              <w:t>M2C1–5</w:t>
            </w:r>
          </w:p>
        </w:tc>
        <w:tc>
          <w:tcPr>
            <w:tcW w:w="3543" w:type="dxa"/>
            <w:shd w:val="clear" w:color="auto" w:fill="C6EFCE"/>
            <w:tcMar>
              <w:left w:w="108" w:type="dxa"/>
              <w:right w:w="108" w:type="dxa"/>
            </w:tcMar>
            <w:vAlign w:val="center"/>
          </w:tcPr>
          <w:p w14:paraId="57378BEA" w14:textId="77777777" w:rsidR="00E42B18" w:rsidRDefault="009629C4">
            <w:pPr>
              <w:pStyle w:val="P68B1DB1-Normal121"/>
              <w:spacing w:after="0" w:line="240" w:lineRule="auto"/>
              <w:rPr>
                <w:noProof/>
              </w:rPr>
            </w:pPr>
            <w:r>
              <w:rPr>
                <w:noProof/>
              </w:rPr>
              <w:t>Investointi 2.2: Maatalouden aurinkopuisto</w:t>
            </w:r>
          </w:p>
        </w:tc>
        <w:tc>
          <w:tcPr>
            <w:tcW w:w="1276" w:type="dxa"/>
            <w:shd w:val="clear" w:color="auto" w:fill="C6EFCE"/>
            <w:tcMar>
              <w:left w:w="108" w:type="dxa"/>
              <w:right w:w="108" w:type="dxa"/>
            </w:tcMar>
            <w:vAlign w:val="center"/>
          </w:tcPr>
          <w:p w14:paraId="08FF6B33" w14:textId="77777777" w:rsidR="00E42B18" w:rsidRDefault="009629C4">
            <w:pPr>
              <w:pStyle w:val="P68B1DB1-Normal121"/>
              <w:spacing w:after="0" w:line="240" w:lineRule="auto"/>
              <w:jc w:val="center"/>
              <w:rPr>
                <w:noProof/>
              </w:rPr>
            </w:pPr>
            <w:r>
              <w:rPr>
                <w:noProof/>
              </w:rPr>
              <w:t>Kohde</w:t>
            </w:r>
          </w:p>
        </w:tc>
        <w:tc>
          <w:tcPr>
            <w:tcW w:w="3112" w:type="dxa"/>
            <w:shd w:val="clear" w:color="auto" w:fill="C6EFCE"/>
            <w:tcMar>
              <w:left w:w="108" w:type="dxa"/>
              <w:right w:w="108" w:type="dxa"/>
            </w:tcMar>
            <w:vAlign w:val="center"/>
          </w:tcPr>
          <w:p w14:paraId="49C0392D" w14:textId="77777777" w:rsidR="00E42B18" w:rsidRDefault="009629C4">
            <w:pPr>
              <w:pStyle w:val="P68B1DB1-Normal121"/>
              <w:spacing w:after="0" w:line="240" w:lineRule="auto"/>
              <w:rPr>
                <w:noProof/>
              </w:rPr>
            </w:pPr>
            <w:r>
              <w:rPr>
                <w:noProof/>
              </w:rPr>
              <w:t>Varojen kohdentaminen tuensaajille prosentteina investoinnille osoitetuista kokonaismäärärahoista</w:t>
            </w:r>
          </w:p>
        </w:tc>
      </w:tr>
      <w:tr w:rsidR="00E42B18" w14:paraId="63C09C3A" w14:textId="77777777">
        <w:trPr>
          <w:trHeight w:val="300"/>
        </w:trPr>
        <w:tc>
          <w:tcPr>
            <w:tcW w:w="1430" w:type="dxa"/>
            <w:shd w:val="clear" w:color="auto" w:fill="C6EFCE"/>
            <w:tcMar>
              <w:left w:w="108" w:type="dxa"/>
              <w:right w:w="108" w:type="dxa"/>
            </w:tcMar>
            <w:vAlign w:val="center"/>
          </w:tcPr>
          <w:p w14:paraId="3314787D" w14:textId="77777777" w:rsidR="00E42B18" w:rsidRDefault="009629C4">
            <w:pPr>
              <w:pStyle w:val="P68B1DB1-Normal121"/>
              <w:spacing w:after="0" w:line="240" w:lineRule="auto"/>
              <w:jc w:val="center"/>
              <w:rPr>
                <w:noProof/>
              </w:rPr>
            </w:pPr>
            <w:r>
              <w:rPr>
                <w:noProof/>
              </w:rPr>
              <w:t>M2C2–22</w:t>
            </w:r>
          </w:p>
        </w:tc>
        <w:tc>
          <w:tcPr>
            <w:tcW w:w="3543" w:type="dxa"/>
            <w:shd w:val="clear" w:color="auto" w:fill="C6EFCE"/>
            <w:tcMar>
              <w:left w:w="108" w:type="dxa"/>
              <w:right w:w="108" w:type="dxa"/>
            </w:tcMar>
            <w:vAlign w:val="center"/>
          </w:tcPr>
          <w:p w14:paraId="335F2CA7" w14:textId="77777777" w:rsidR="00E42B18" w:rsidRDefault="009629C4">
            <w:pPr>
              <w:pStyle w:val="P68B1DB1-Normal121"/>
              <w:spacing w:after="0" w:line="240" w:lineRule="auto"/>
              <w:rPr>
                <w:noProof/>
              </w:rPr>
            </w:pPr>
            <w:r>
              <w:rPr>
                <w:noProof/>
              </w:rPr>
              <w:t>Investointi 4.1 Investoinnit pehmeään liikkuvuuteen (kansallinen pyörätiesuunnitelma)</w:t>
            </w:r>
          </w:p>
        </w:tc>
        <w:tc>
          <w:tcPr>
            <w:tcW w:w="1276" w:type="dxa"/>
            <w:shd w:val="clear" w:color="auto" w:fill="C6EFCE"/>
            <w:tcMar>
              <w:left w:w="108" w:type="dxa"/>
              <w:right w:w="108" w:type="dxa"/>
            </w:tcMar>
            <w:vAlign w:val="center"/>
          </w:tcPr>
          <w:p w14:paraId="6540C2F4" w14:textId="77777777" w:rsidR="00E42B18" w:rsidRDefault="009629C4">
            <w:pPr>
              <w:pStyle w:val="P68B1DB1-Normal121"/>
              <w:spacing w:after="0" w:line="240" w:lineRule="auto"/>
              <w:jc w:val="center"/>
              <w:rPr>
                <w:noProof/>
              </w:rPr>
            </w:pPr>
            <w:r>
              <w:rPr>
                <w:noProof/>
              </w:rPr>
              <w:t>Tavoite:</w:t>
            </w:r>
          </w:p>
        </w:tc>
        <w:tc>
          <w:tcPr>
            <w:tcW w:w="3112" w:type="dxa"/>
            <w:shd w:val="clear" w:color="auto" w:fill="C6EFCE"/>
            <w:tcMar>
              <w:left w:w="108" w:type="dxa"/>
              <w:right w:w="108" w:type="dxa"/>
            </w:tcMar>
            <w:vAlign w:val="center"/>
          </w:tcPr>
          <w:p w14:paraId="00840501" w14:textId="77777777" w:rsidR="00E42B18" w:rsidRDefault="009629C4">
            <w:pPr>
              <w:pStyle w:val="P68B1DB1-Normal121"/>
              <w:spacing w:after="0" w:line="240" w:lineRule="auto"/>
              <w:rPr>
                <w:noProof/>
              </w:rPr>
            </w:pPr>
            <w:r>
              <w:rPr>
                <w:noProof/>
              </w:rPr>
              <w:t>T1-pyöräkaistat</w:t>
            </w:r>
          </w:p>
        </w:tc>
      </w:tr>
      <w:tr w:rsidR="00E42B18" w14:paraId="2A4F6435" w14:textId="77777777">
        <w:trPr>
          <w:trHeight w:val="300"/>
        </w:trPr>
        <w:tc>
          <w:tcPr>
            <w:tcW w:w="1430" w:type="dxa"/>
            <w:shd w:val="clear" w:color="auto" w:fill="C6EFCE"/>
            <w:tcMar>
              <w:left w:w="108" w:type="dxa"/>
              <w:right w:w="108" w:type="dxa"/>
            </w:tcMar>
            <w:vAlign w:val="center"/>
          </w:tcPr>
          <w:p w14:paraId="6F3644FF" w14:textId="77777777" w:rsidR="00E42B18" w:rsidRDefault="009629C4">
            <w:pPr>
              <w:pStyle w:val="P68B1DB1-Normal121"/>
              <w:spacing w:after="0" w:line="240" w:lineRule="auto"/>
              <w:jc w:val="center"/>
              <w:rPr>
                <w:noProof/>
              </w:rPr>
            </w:pPr>
            <w:r>
              <w:rPr>
                <w:noProof/>
              </w:rPr>
              <w:t>M4C1–10</w:t>
            </w:r>
          </w:p>
        </w:tc>
        <w:tc>
          <w:tcPr>
            <w:tcW w:w="3543" w:type="dxa"/>
            <w:shd w:val="clear" w:color="auto" w:fill="C6EFCE"/>
            <w:tcMar>
              <w:left w:w="108" w:type="dxa"/>
              <w:right w:w="108" w:type="dxa"/>
            </w:tcMar>
            <w:vAlign w:val="center"/>
          </w:tcPr>
          <w:p w14:paraId="1001CD78" w14:textId="77777777" w:rsidR="00E42B18" w:rsidRDefault="009629C4">
            <w:pPr>
              <w:pStyle w:val="P68B1DB1-Normal121"/>
              <w:spacing w:after="0" w:line="240" w:lineRule="auto"/>
              <w:rPr>
                <w:noProof/>
              </w:rPr>
            </w:pPr>
            <w:r>
              <w:rPr>
                <w:noProof/>
              </w:rPr>
              <w:t>Uudistus 2.1: Opettajien rekrytointi; Uudistus 1.3: Koulujärjestelmän uudelleenorganisointi; Uudistus 1.2: Korkea-asteen ammatillisen koulutuksen järjestelmän (ITS) uudistaminen; Uudistus 1.4: ”Suuntaviivajärjestelmän” uudistaminen; Uudistus 1.5: Korkeakoulututkintoryhmien uudistaminen; Uudistus 1.6: Korkeakoulututkintojen uudistamisen mahdollistaminen</w:t>
            </w:r>
          </w:p>
        </w:tc>
        <w:tc>
          <w:tcPr>
            <w:tcW w:w="1276" w:type="dxa"/>
            <w:shd w:val="clear" w:color="auto" w:fill="C6EFCE"/>
            <w:tcMar>
              <w:left w:w="108" w:type="dxa"/>
              <w:right w:w="108" w:type="dxa"/>
            </w:tcMar>
            <w:vAlign w:val="center"/>
          </w:tcPr>
          <w:p w14:paraId="30343E8D" w14:textId="77777777" w:rsidR="00E42B18" w:rsidRDefault="009629C4">
            <w:pPr>
              <w:pStyle w:val="P68B1DB1-Normal121"/>
              <w:spacing w:after="0" w:line="240" w:lineRule="auto"/>
              <w:jc w:val="center"/>
              <w:rPr>
                <w:noProof/>
              </w:rPr>
            </w:pPr>
            <w:r>
              <w:rPr>
                <w:noProof/>
              </w:rPr>
              <w:t>Virstanpylväs</w:t>
            </w:r>
          </w:p>
        </w:tc>
        <w:tc>
          <w:tcPr>
            <w:tcW w:w="3112" w:type="dxa"/>
            <w:shd w:val="clear" w:color="auto" w:fill="C6EFCE"/>
            <w:tcMar>
              <w:left w:w="108" w:type="dxa"/>
              <w:right w:w="108" w:type="dxa"/>
            </w:tcMar>
            <w:vAlign w:val="center"/>
          </w:tcPr>
          <w:p w14:paraId="5F506569" w14:textId="77777777" w:rsidR="00E42B18" w:rsidRDefault="009629C4">
            <w:pPr>
              <w:pStyle w:val="P68B1DB1-Normal121"/>
              <w:spacing w:after="0" w:line="240" w:lineRule="auto"/>
              <w:rPr>
                <w:noProof/>
              </w:rPr>
            </w:pPr>
            <w:r>
              <w:rPr>
                <w:noProof/>
              </w:rPr>
              <w:t>Kaikkien perus-, keski- ja korkea-asteen koulutuksen uudistuksia koskevien toimenpiteiden tehokasta täytäntöönpanoa ja soveltamista koskevien asetusten voimaantulo tarvittaessa</w:t>
            </w:r>
          </w:p>
        </w:tc>
      </w:tr>
      <w:tr w:rsidR="00E42B18" w14:paraId="47F969A1" w14:textId="77777777">
        <w:trPr>
          <w:trHeight w:val="300"/>
        </w:trPr>
        <w:tc>
          <w:tcPr>
            <w:tcW w:w="1430" w:type="dxa"/>
            <w:shd w:val="clear" w:color="auto" w:fill="C6EFCE"/>
            <w:tcMar>
              <w:left w:w="108" w:type="dxa"/>
              <w:right w:w="108" w:type="dxa"/>
            </w:tcMar>
            <w:vAlign w:val="center"/>
          </w:tcPr>
          <w:p w14:paraId="42C410C8" w14:textId="77777777" w:rsidR="00E42B18" w:rsidRDefault="009629C4">
            <w:pPr>
              <w:pStyle w:val="P68B1DB1-Normal121"/>
              <w:spacing w:after="0" w:line="240" w:lineRule="auto"/>
              <w:jc w:val="center"/>
              <w:rPr>
                <w:noProof/>
              </w:rPr>
            </w:pPr>
            <w:r>
              <w:rPr>
                <w:noProof/>
              </w:rPr>
              <w:t>M4C1–11</w:t>
            </w:r>
          </w:p>
        </w:tc>
        <w:tc>
          <w:tcPr>
            <w:tcW w:w="3543" w:type="dxa"/>
            <w:shd w:val="clear" w:color="auto" w:fill="C6EFCE"/>
            <w:tcMar>
              <w:left w:w="108" w:type="dxa"/>
              <w:right w:w="108" w:type="dxa"/>
            </w:tcMar>
            <w:vAlign w:val="center"/>
          </w:tcPr>
          <w:p w14:paraId="76C4A617" w14:textId="77777777" w:rsidR="00E42B18" w:rsidRDefault="009629C4">
            <w:pPr>
              <w:pStyle w:val="P68B1DB1-Normal121"/>
              <w:spacing w:after="0" w:line="240" w:lineRule="auto"/>
              <w:rPr>
                <w:noProof/>
              </w:rPr>
            </w:pPr>
            <w:r>
              <w:rPr>
                <w:noProof/>
              </w:rPr>
              <w:t>Investointi 1.7: Yliopisto-opiskeluapurahat</w:t>
            </w:r>
          </w:p>
        </w:tc>
        <w:tc>
          <w:tcPr>
            <w:tcW w:w="1276" w:type="dxa"/>
            <w:shd w:val="clear" w:color="auto" w:fill="C6EFCE"/>
            <w:tcMar>
              <w:left w:w="108" w:type="dxa"/>
              <w:right w:w="108" w:type="dxa"/>
            </w:tcMar>
            <w:vAlign w:val="center"/>
          </w:tcPr>
          <w:p w14:paraId="7124AD99" w14:textId="77777777" w:rsidR="00E42B18" w:rsidRDefault="009629C4">
            <w:pPr>
              <w:pStyle w:val="P68B1DB1-Normal121"/>
              <w:spacing w:after="0" w:line="240" w:lineRule="auto"/>
              <w:jc w:val="center"/>
              <w:rPr>
                <w:noProof/>
              </w:rPr>
            </w:pPr>
            <w:r>
              <w:rPr>
                <w:noProof/>
              </w:rPr>
              <w:t>Kohde</w:t>
            </w:r>
          </w:p>
        </w:tc>
        <w:tc>
          <w:tcPr>
            <w:tcW w:w="3112" w:type="dxa"/>
            <w:shd w:val="clear" w:color="auto" w:fill="C6EFCE"/>
            <w:tcMar>
              <w:left w:w="108" w:type="dxa"/>
              <w:right w:w="108" w:type="dxa"/>
            </w:tcMar>
            <w:vAlign w:val="center"/>
          </w:tcPr>
          <w:p w14:paraId="2724C07E" w14:textId="77777777" w:rsidR="00E42B18" w:rsidRDefault="009629C4">
            <w:pPr>
              <w:pStyle w:val="P68B1DB1-Normal121"/>
              <w:spacing w:after="0" w:line="240" w:lineRule="auto"/>
              <w:rPr>
                <w:noProof/>
              </w:rPr>
            </w:pPr>
            <w:r>
              <w:rPr>
                <w:noProof/>
              </w:rPr>
              <w:t>Yliopiston myöntämä stipendi</w:t>
            </w:r>
          </w:p>
        </w:tc>
      </w:tr>
      <w:tr w:rsidR="00E42B18" w14:paraId="37F1F7CF" w14:textId="77777777">
        <w:trPr>
          <w:trHeight w:val="300"/>
        </w:trPr>
        <w:tc>
          <w:tcPr>
            <w:tcW w:w="1430" w:type="dxa"/>
            <w:shd w:val="clear" w:color="auto" w:fill="C6EFCE"/>
            <w:tcMar>
              <w:left w:w="108" w:type="dxa"/>
              <w:right w:w="108" w:type="dxa"/>
            </w:tcMar>
            <w:vAlign w:val="center"/>
          </w:tcPr>
          <w:p w14:paraId="465626BF" w14:textId="77777777" w:rsidR="00E42B18" w:rsidRDefault="009629C4">
            <w:pPr>
              <w:pStyle w:val="P68B1DB1-Normal121"/>
              <w:spacing w:after="0" w:line="240" w:lineRule="auto"/>
              <w:jc w:val="center"/>
              <w:rPr>
                <w:noProof/>
              </w:rPr>
            </w:pPr>
            <w:r>
              <w:rPr>
                <w:noProof/>
              </w:rPr>
              <w:t>M5C3–3</w:t>
            </w:r>
          </w:p>
        </w:tc>
        <w:tc>
          <w:tcPr>
            <w:tcW w:w="3543" w:type="dxa"/>
            <w:shd w:val="clear" w:color="auto" w:fill="C6EFCE"/>
            <w:tcMar>
              <w:left w:w="108" w:type="dxa"/>
              <w:right w:w="108" w:type="dxa"/>
            </w:tcMar>
            <w:vAlign w:val="center"/>
          </w:tcPr>
          <w:p w14:paraId="72193E62" w14:textId="77777777" w:rsidR="00E42B18" w:rsidRDefault="009629C4">
            <w:pPr>
              <w:pStyle w:val="P68B1DB1-Normal121"/>
              <w:spacing w:after="0" w:line="240" w:lineRule="auto"/>
              <w:rPr>
                <w:noProof/>
              </w:rPr>
            </w:pPr>
            <w:r>
              <w:rPr>
                <w:noProof/>
              </w:rPr>
              <w:t>Investointi 2: Terveydenhuollon alueellinen läheisyys</w:t>
            </w:r>
          </w:p>
        </w:tc>
        <w:tc>
          <w:tcPr>
            <w:tcW w:w="1276" w:type="dxa"/>
            <w:shd w:val="clear" w:color="auto" w:fill="C6EFCE"/>
            <w:tcMar>
              <w:left w:w="108" w:type="dxa"/>
              <w:right w:w="108" w:type="dxa"/>
            </w:tcMar>
            <w:vAlign w:val="center"/>
          </w:tcPr>
          <w:p w14:paraId="4D7B1D01" w14:textId="77777777" w:rsidR="00E42B18" w:rsidRDefault="009629C4">
            <w:pPr>
              <w:pStyle w:val="P68B1DB1-Normal121"/>
              <w:spacing w:after="0" w:line="240" w:lineRule="auto"/>
              <w:jc w:val="center"/>
              <w:rPr>
                <w:noProof/>
              </w:rPr>
            </w:pPr>
            <w:r>
              <w:rPr>
                <w:noProof/>
              </w:rPr>
              <w:t>Kohde</w:t>
            </w:r>
          </w:p>
        </w:tc>
        <w:tc>
          <w:tcPr>
            <w:tcW w:w="3112" w:type="dxa"/>
            <w:shd w:val="clear" w:color="auto" w:fill="C6EFCE"/>
            <w:tcMar>
              <w:left w:w="108" w:type="dxa"/>
              <w:right w:w="108" w:type="dxa"/>
            </w:tcMar>
            <w:vAlign w:val="center"/>
          </w:tcPr>
          <w:p w14:paraId="07147C52" w14:textId="77777777" w:rsidR="00E42B18" w:rsidRDefault="009629C4">
            <w:pPr>
              <w:pStyle w:val="P68B1DB1-Normal8"/>
              <w:spacing w:after="0" w:line="240" w:lineRule="auto"/>
              <w:rPr>
                <w:noProof/>
              </w:rPr>
            </w:pPr>
            <w:r>
              <w:rPr>
                <w:noProof/>
                <w:color w:val="006100"/>
                <w:sz w:val="20"/>
                <w:szCs w:val="20"/>
              </w:rPr>
              <w:t>Tuki alle 5000 asukkaan kuntien, hamletien tai asutusalueiden maaseutuapteekeille (ensimmäinen erä)</w:t>
            </w:r>
          </w:p>
        </w:tc>
      </w:tr>
      <w:tr w:rsidR="00E42B18" w14:paraId="126193C3" w14:textId="77777777">
        <w:trPr>
          <w:trHeight w:val="300"/>
        </w:trPr>
        <w:tc>
          <w:tcPr>
            <w:tcW w:w="1430" w:type="dxa"/>
            <w:shd w:val="clear" w:color="auto" w:fill="C6EFCE"/>
            <w:tcMar>
              <w:left w:w="108" w:type="dxa"/>
              <w:right w:w="108" w:type="dxa"/>
            </w:tcMar>
            <w:vAlign w:val="center"/>
          </w:tcPr>
          <w:p w14:paraId="58BC8582" w14:textId="77777777" w:rsidR="00E42B18" w:rsidRDefault="009629C4">
            <w:pPr>
              <w:pStyle w:val="P68B1DB1-Normal121"/>
              <w:spacing w:after="0" w:line="240" w:lineRule="auto"/>
              <w:jc w:val="center"/>
              <w:rPr>
                <w:noProof/>
              </w:rPr>
            </w:pPr>
            <w:r>
              <w:rPr>
                <w:noProof/>
              </w:rPr>
              <w:t>M1C1–113</w:t>
            </w:r>
          </w:p>
        </w:tc>
        <w:tc>
          <w:tcPr>
            <w:tcW w:w="3543" w:type="dxa"/>
            <w:shd w:val="clear" w:color="auto" w:fill="C6EFCE"/>
            <w:tcMar>
              <w:left w:w="108" w:type="dxa"/>
              <w:right w:w="108" w:type="dxa"/>
            </w:tcMar>
            <w:vAlign w:val="center"/>
          </w:tcPr>
          <w:p w14:paraId="535AA6BD" w14:textId="77777777" w:rsidR="00E42B18" w:rsidRDefault="009629C4">
            <w:pPr>
              <w:pStyle w:val="P68B1DB1-Normal121"/>
              <w:spacing w:after="0" w:line="240" w:lineRule="auto"/>
              <w:rPr>
                <w:noProof/>
              </w:rPr>
            </w:pPr>
            <w:r>
              <w:rPr>
                <w:noProof/>
              </w:rPr>
              <w:t>Uudistus 1.12: Verohallinnon uudistaminen</w:t>
            </w:r>
          </w:p>
        </w:tc>
        <w:tc>
          <w:tcPr>
            <w:tcW w:w="1276" w:type="dxa"/>
            <w:shd w:val="clear" w:color="auto" w:fill="C6EFCE"/>
            <w:tcMar>
              <w:left w:w="108" w:type="dxa"/>
              <w:right w:w="108" w:type="dxa"/>
            </w:tcMar>
            <w:vAlign w:val="center"/>
          </w:tcPr>
          <w:p w14:paraId="57BB8AAF" w14:textId="77777777" w:rsidR="00E42B18" w:rsidRDefault="009629C4">
            <w:pPr>
              <w:pStyle w:val="P68B1DB1-Normal121"/>
              <w:spacing w:after="0" w:line="240" w:lineRule="auto"/>
              <w:jc w:val="center"/>
              <w:rPr>
                <w:noProof/>
              </w:rPr>
            </w:pPr>
            <w:r>
              <w:rPr>
                <w:noProof/>
              </w:rPr>
              <w:t>Kohde</w:t>
            </w:r>
          </w:p>
        </w:tc>
        <w:tc>
          <w:tcPr>
            <w:tcW w:w="3112" w:type="dxa"/>
            <w:shd w:val="clear" w:color="auto" w:fill="C6EFCE"/>
            <w:tcMar>
              <w:left w:w="108" w:type="dxa"/>
              <w:right w:w="108" w:type="dxa"/>
            </w:tcMar>
            <w:vAlign w:val="center"/>
          </w:tcPr>
          <w:p w14:paraId="50C4363D" w14:textId="77777777" w:rsidR="00E42B18" w:rsidRDefault="009629C4">
            <w:pPr>
              <w:pStyle w:val="P68B1DB1-Normal121"/>
              <w:spacing w:after="0" w:line="240" w:lineRule="auto"/>
              <w:rPr>
                <w:noProof/>
              </w:rPr>
            </w:pPr>
            <w:r>
              <w:rPr>
                <w:noProof/>
              </w:rPr>
              <w:t>Suurempi ”vaatimustenmukaisuuskirjeiden” määrä</w:t>
            </w:r>
          </w:p>
        </w:tc>
      </w:tr>
      <w:tr w:rsidR="00E42B18" w14:paraId="7C58A14B" w14:textId="77777777">
        <w:trPr>
          <w:trHeight w:val="300"/>
        </w:trPr>
        <w:tc>
          <w:tcPr>
            <w:tcW w:w="1430" w:type="dxa"/>
            <w:shd w:val="clear" w:color="auto" w:fill="C6EFCE"/>
            <w:tcMar>
              <w:left w:w="108" w:type="dxa"/>
              <w:right w:w="108" w:type="dxa"/>
            </w:tcMar>
            <w:vAlign w:val="center"/>
          </w:tcPr>
          <w:p w14:paraId="446E4BE6" w14:textId="77777777" w:rsidR="00E42B18" w:rsidRDefault="009629C4">
            <w:pPr>
              <w:pStyle w:val="P68B1DB1-Normal121"/>
              <w:spacing w:after="0" w:line="240" w:lineRule="auto"/>
              <w:jc w:val="center"/>
              <w:rPr>
                <w:noProof/>
              </w:rPr>
            </w:pPr>
            <w:r>
              <w:rPr>
                <w:noProof/>
              </w:rPr>
              <w:t>M1C1–114</w:t>
            </w:r>
          </w:p>
        </w:tc>
        <w:tc>
          <w:tcPr>
            <w:tcW w:w="3543" w:type="dxa"/>
            <w:shd w:val="clear" w:color="auto" w:fill="C6EFCE"/>
            <w:tcMar>
              <w:left w:w="108" w:type="dxa"/>
              <w:right w:w="108" w:type="dxa"/>
            </w:tcMar>
            <w:vAlign w:val="center"/>
          </w:tcPr>
          <w:p w14:paraId="566288E6" w14:textId="77777777" w:rsidR="00E42B18" w:rsidRDefault="009629C4">
            <w:pPr>
              <w:pStyle w:val="P68B1DB1-Normal121"/>
              <w:spacing w:after="0" w:line="240" w:lineRule="auto"/>
              <w:rPr>
                <w:noProof/>
              </w:rPr>
            </w:pPr>
            <w:r>
              <w:rPr>
                <w:noProof/>
              </w:rPr>
              <w:t>Uudistus 1.12: Verohallinnon uudistaminen</w:t>
            </w:r>
          </w:p>
        </w:tc>
        <w:tc>
          <w:tcPr>
            <w:tcW w:w="1276" w:type="dxa"/>
            <w:shd w:val="clear" w:color="auto" w:fill="C6EFCE"/>
            <w:tcMar>
              <w:left w:w="108" w:type="dxa"/>
              <w:right w:w="108" w:type="dxa"/>
            </w:tcMar>
            <w:vAlign w:val="center"/>
          </w:tcPr>
          <w:p w14:paraId="1D2AD14C" w14:textId="77777777" w:rsidR="00E42B18" w:rsidRDefault="009629C4">
            <w:pPr>
              <w:pStyle w:val="P68B1DB1-Normal121"/>
              <w:spacing w:after="0" w:line="240" w:lineRule="auto"/>
              <w:jc w:val="center"/>
              <w:rPr>
                <w:noProof/>
              </w:rPr>
            </w:pPr>
            <w:r>
              <w:rPr>
                <w:noProof/>
              </w:rPr>
              <w:t>Kohde</w:t>
            </w:r>
          </w:p>
        </w:tc>
        <w:tc>
          <w:tcPr>
            <w:tcW w:w="3112" w:type="dxa"/>
            <w:shd w:val="clear" w:color="auto" w:fill="C6EFCE"/>
            <w:tcMar>
              <w:left w:w="108" w:type="dxa"/>
              <w:right w:w="108" w:type="dxa"/>
            </w:tcMar>
            <w:vAlign w:val="center"/>
          </w:tcPr>
          <w:p w14:paraId="0EAC201D" w14:textId="77777777" w:rsidR="00E42B18" w:rsidRDefault="009629C4">
            <w:pPr>
              <w:pStyle w:val="P68B1DB1-Normal121"/>
              <w:spacing w:after="0" w:line="240" w:lineRule="auto"/>
              <w:rPr>
                <w:noProof/>
              </w:rPr>
            </w:pPr>
            <w:r>
              <w:rPr>
                <w:noProof/>
              </w:rPr>
              <w:t>Sääntöjen noudattamista koskevien kirjeiden tuottamien verotulojen kasvu</w:t>
            </w:r>
          </w:p>
        </w:tc>
      </w:tr>
      <w:tr w:rsidR="00E42B18" w14:paraId="4742C241" w14:textId="77777777">
        <w:trPr>
          <w:trHeight w:val="300"/>
        </w:trPr>
        <w:tc>
          <w:tcPr>
            <w:tcW w:w="1430" w:type="dxa"/>
            <w:shd w:val="clear" w:color="auto" w:fill="C6EFCE"/>
            <w:tcMar>
              <w:left w:w="108" w:type="dxa"/>
              <w:right w:w="108" w:type="dxa"/>
            </w:tcMar>
            <w:vAlign w:val="bottom"/>
          </w:tcPr>
          <w:p w14:paraId="6F30B341" w14:textId="77777777" w:rsidR="00E42B18" w:rsidRDefault="009629C4">
            <w:pPr>
              <w:pStyle w:val="P68B1DB1-Normal121"/>
              <w:spacing w:after="0" w:line="240" w:lineRule="auto"/>
              <w:jc w:val="center"/>
              <w:rPr>
                <w:noProof/>
              </w:rPr>
            </w:pPr>
            <w:r>
              <w:rPr>
                <w:noProof/>
              </w:rPr>
              <w:t xml:space="preserve"> </w:t>
            </w:r>
          </w:p>
        </w:tc>
        <w:tc>
          <w:tcPr>
            <w:tcW w:w="3543" w:type="dxa"/>
            <w:shd w:val="clear" w:color="auto" w:fill="C6EFCE"/>
            <w:tcMar>
              <w:left w:w="108" w:type="dxa"/>
              <w:right w:w="108" w:type="dxa"/>
            </w:tcMar>
            <w:vAlign w:val="center"/>
          </w:tcPr>
          <w:p w14:paraId="3A59ABF1" w14:textId="77777777" w:rsidR="00E42B18" w:rsidRDefault="009629C4">
            <w:pPr>
              <w:pStyle w:val="P68B1DB1-Normal121"/>
              <w:spacing w:after="0" w:line="240" w:lineRule="auto"/>
              <w:rPr>
                <w:noProof/>
              </w:rPr>
            </w:pPr>
            <w:r>
              <w:rPr>
                <w:noProof/>
              </w:rPr>
              <w:t xml:space="preserve"> </w:t>
            </w:r>
          </w:p>
        </w:tc>
        <w:tc>
          <w:tcPr>
            <w:tcW w:w="1276" w:type="dxa"/>
            <w:shd w:val="clear" w:color="auto" w:fill="C6EFCE"/>
            <w:tcMar>
              <w:left w:w="108" w:type="dxa"/>
              <w:right w:w="108" w:type="dxa"/>
            </w:tcMar>
            <w:vAlign w:val="center"/>
          </w:tcPr>
          <w:p w14:paraId="1D26029C" w14:textId="77777777" w:rsidR="00E42B18" w:rsidRDefault="009629C4">
            <w:pPr>
              <w:pStyle w:val="P68B1DB1-Normal121"/>
              <w:spacing w:after="0" w:line="240" w:lineRule="auto"/>
              <w:jc w:val="center"/>
              <w:rPr>
                <w:noProof/>
              </w:rPr>
            </w:pPr>
            <w:r>
              <w:rPr>
                <w:noProof/>
              </w:rPr>
              <w:t>Maksuerän määrä</w:t>
            </w:r>
          </w:p>
        </w:tc>
        <w:tc>
          <w:tcPr>
            <w:tcW w:w="3112" w:type="dxa"/>
            <w:shd w:val="clear" w:color="auto" w:fill="C6EFCE"/>
            <w:tcMar>
              <w:left w:w="108" w:type="dxa"/>
              <w:right w:w="108" w:type="dxa"/>
            </w:tcMar>
            <w:vAlign w:val="center"/>
          </w:tcPr>
          <w:p w14:paraId="563EEE24" w14:textId="77777777" w:rsidR="00E42B18" w:rsidRDefault="009629C4">
            <w:pPr>
              <w:spacing w:after="0" w:line="240" w:lineRule="auto"/>
              <w:rPr>
                <w:rFonts w:ascii="Times New Roman" w:eastAsia="Times New Roman" w:hAnsi="Times New Roman" w:cs="Times New Roman"/>
                <w:noProof/>
              </w:rPr>
            </w:pPr>
            <w:r>
              <w:rPr>
                <w:rFonts w:ascii="Times New Roman" w:eastAsia="Times New Roman" w:hAnsi="Times New Roman" w:cs="Times New Roman"/>
                <w:noProof/>
                <w:color w:val="006100"/>
                <w:sz w:val="20"/>
                <w:szCs w:val="20"/>
              </w:rPr>
              <w:t>YHTEENSÄ</w:t>
            </w:r>
            <w:r>
              <w:rPr>
                <w:rFonts w:ascii="Times New Roman" w:eastAsia="Times New Roman" w:hAnsi="Times New Roman" w:cs="Times New Roman"/>
                <w:noProof/>
                <w:sz w:val="23"/>
                <w:szCs w:val="23"/>
              </w:rPr>
              <w:t xml:space="preserve"> </w:t>
            </w:r>
            <w:r>
              <w:rPr>
                <w:rFonts w:ascii="Times New Roman" w:eastAsia="Times New Roman" w:hAnsi="Times New Roman" w:cs="Times New Roman"/>
                <w:noProof/>
                <w:color w:val="006100"/>
                <w:sz w:val="20"/>
                <w:szCs w:val="20"/>
              </w:rPr>
              <w:t>3621492701</w:t>
            </w:r>
            <w:r>
              <w:rPr>
                <w:rFonts w:ascii="Times New Roman" w:eastAsia="Times New Roman" w:hAnsi="Times New Roman" w:cs="Times New Roman"/>
                <w:noProof/>
                <w:sz w:val="23"/>
                <w:szCs w:val="23"/>
              </w:rPr>
              <w:t xml:space="preserve">  </w:t>
            </w:r>
            <w:r>
              <w:rPr>
                <w:rFonts w:ascii="Times New Roman" w:eastAsia="Times New Roman" w:hAnsi="Times New Roman" w:cs="Times New Roman"/>
                <w:noProof/>
                <w:color w:val="006100"/>
                <w:sz w:val="20"/>
                <w:szCs w:val="20"/>
              </w:rPr>
              <w:t>EUROA</w:t>
            </w:r>
            <w:r>
              <w:rPr>
                <w:rFonts w:ascii="Arial Narrow" w:eastAsia="Arial Narrow" w:hAnsi="Arial Narrow" w:cs="Arial Narrow"/>
                <w:noProof/>
                <w:color w:val="006100"/>
                <w:sz w:val="20"/>
                <w:szCs w:val="20"/>
              </w:rPr>
              <w:t xml:space="preserve"> </w:t>
            </w:r>
          </w:p>
        </w:tc>
      </w:tr>
    </w:tbl>
    <w:p w14:paraId="67231605" w14:textId="77777777" w:rsidR="00E42B18" w:rsidRDefault="00E42B18">
      <w:pPr>
        <w:spacing w:after="0"/>
        <w:ind w:left="850"/>
        <w:contextualSpacing/>
        <w:jc w:val="both"/>
        <w:rPr>
          <w:rFonts w:ascii="Times New Roman" w:eastAsia="Times New Roman" w:hAnsi="Times New Roman" w:cs="Times New Roman"/>
          <w:noProof/>
        </w:rPr>
      </w:pPr>
    </w:p>
    <w:p w14:paraId="44932048" w14:textId="77777777" w:rsidR="00E42B18" w:rsidRDefault="009629C4">
      <w:pPr>
        <w:pStyle w:val="P68B1DB1-Heading4119"/>
        <w:numPr>
          <w:ilvl w:val="1"/>
          <w:numId w:val="180"/>
        </w:numPr>
        <w:tabs>
          <w:tab w:val="num" w:pos="1440"/>
        </w:tabs>
        <w:ind w:left="1440" w:hanging="360"/>
        <w:rPr>
          <w:noProof/>
        </w:rPr>
      </w:pPr>
      <w:r>
        <w:rPr>
          <w:noProof/>
        </w:rPr>
        <w:t>Kuudes erä (tuki, jota ei makseta takaisin):</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38"/>
        <w:gridCol w:w="1185"/>
        <w:gridCol w:w="3200"/>
      </w:tblGrid>
      <w:tr w:rsidR="00E42B18" w14:paraId="52EF9C3B" w14:textId="77777777">
        <w:trPr>
          <w:trHeight w:val="900"/>
          <w:tblHeader/>
        </w:trPr>
        <w:tc>
          <w:tcPr>
            <w:tcW w:w="1435" w:type="dxa"/>
            <w:vMerge w:val="restart"/>
            <w:shd w:val="clear" w:color="auto" w:fill="BDD7EE"/>
            <w:tcMar>
              <w:left w:w="108" w:type="dxa"/>
              <w:right w:w="108" w:type="dxa"/>
            </w:tcMar>
            <w:vAlign w:val="center"/>
          </w:tcPr>
          <w:p w14:paraId="5B4A4F3C" w14:textId="77777777" w:rsidR="00E42B18" w:rsidRDefault="009629C4">
            <w:pPr>
              <w:pStyle w:val="P68B1DB1-Normal120"/>
              <w:spacing w:after="0" w:line="240" w:lineRule="auto"/>
              <w:jc w:val="center"/>
              <w:rPr>
                <w:bCs/>
                <w:noProof/>
              </w:rPr>
            </w:pPr>
            <w:r>
              <w:rPr>
                <w:noProof/>
              </w:rPr>
              <w:t>Juokseva numero</w:t>
            </w:r>
          </w:p>
        </w:tc>
        <w:tc>
          <w:tcPr>
            <w:tcW w:w="3538" w:type="dxa"/>
            <w:vMerge w:val="restart"/>
            <w:shd w:val="clear" w:color="auto" w:fill="BDD7EE"/>
            <w:tcMar>
              <w:left w:w="108" w:type="dxa"/>
              <w:right w:w="108" w:type="dxa"/>
            </w:tcMar>
            <w:vAlign w:val="center"/>
          </w:tcPr>
          <w:p w14:paraId="4CCE8BE9" w14:textId="77777777" w:rsidR="00E42B18" w:rsidRDefault="009629C4">
            <w:pPr>
              <w:pStyle w:val="P68B1DB1-Normal120"/>
              <w:spacing w:after="0" w:line="240" w:lineRule="auto"/>
              <w:jc w:val="center"/>
              <w:rPr>
                <w:noProof/>
              </w:rPr>
            </w:pPr>
            <w:r>
              <w:rPr>
                <w:noProof/>
              </w:rPr>
              <w:t>Toimenpide (uudistus tai investointi)</w:t>
            </w:r>
          </w:p>
        </w:tc>
        <w:tc>
          <w:tcPr>
            <w:tcW w:w="1185" w:type="dxa"/>
            <w:vMerge w:val="restart"/>
            <w:shd w:val="clear" w:color="auto" w:fill="BDD7EE"/>
            <w:tcMar>
              <w:left w:w="108" w:type="dxa"/>
              <w:right w:w="108" w:type="dxa"/>
            </w:tcMar>
            <w:vAlign w:val="center"/>
          </w:tcPr>
          <w:p w14:paraId="2ADA3EB1" w14:textId="77777777" w:rsidR="00E42B18" w:rsidRDefault="009629C4">
            <w:pPr>
              <w:pStyle w:val="P68B1DB1-Normal120"/>
              <w:spacing w:after="0" w:line="240" w:lineRule="auto"/>
              <w:jc w:val="center"/>
              <w:rPr>
                <w:noProof/>
              </w:rPr>
            </w:pPr>
            <w:r>
              <w:rPr>
                <w:noProof/>
              </w:rPr>
              <w:t>Välitavoite/tavoite</w:t>
            </w:r>
          </w:p>
        </w:tc>
        <w:tc>
          <w:tcPr>
            <w:tcW w:w="3200" w:type="dxa"/>
            <w:vMerge w:val="restart"/>
            <w:shd w:val="clear" w:color="auto" w:fill="BDD7EE"/>
            <w:tcMar>
              <w:left w:w="108" w:type="dxa"/>
              <w:right w:w="108" w:type="dxa"/>
            </w:tcMar>
            <w:vAlign w:val="center"/>
          </w:tcPr>
          <w:p w14:paraId="11A3C600" w14:textId="77777777" w:rsidR="00E42B18" w:rsidRDefault="009629C4">
            <w:pPr>
              <w:pStyle w:val="P68B1DB1-Normal120"/>
              <w:spacing w:after="0" w:line="240" w:lineRule="auto"/>
              <w:jc w:val="center"/>
              <w:rPr>
                <w:noProof/>
              </w:rPr>
            </w:pPr>
            <w:r>
              <w:rPr>
                <w:noProof/>
              </w:rPr>
              <w:t>Nimi</w:t>
            </w:r>
          </w:p>
        </w:tc>
      </w:tr>
      <w:tr w:rsidR="00E42B18" w14:paraId="0EBFBF81" w14:textId="77777777">
        <w:trPr>
          <w:trHeight w:val="510"/>
        </w:trPr>
        <w:tc>
          <w:tcPr>
            <w:tcW w:w="1435" w:type="dxa"/>
            <w:vMerge/>
            <w:vAlign w:val="center"/>
          </w:tcPr>
          <w:p w14:paraId="4D49600B" w14:textId="77777777" w:rsidR="00E42B18" w:rsidRDefault="00E42B18">
            <w:pPr>
              <w:spacing w:after="0" w:line="240" w:lineRule="auto"/>
              <w:jc w:val="center"/>
              <w:rPr>
                <w:rFonts w:ascii="Times New Roman" w:eastAsia="Times New Roman" w:hAnsi="Times New Roman" w:cs="Times New Roman"/>
                <w:noProof/>
              </w:rPr>
            </w:pPr>
          </w:p>
        </w:tc>
        <w:tc>
          <w:tcPr>
            <w:tcW w:w="3538" w:type="dxa"/>
            <w:vMerge/>
            <w:vAlign w:val="center"/>
          </w:tcPr>
          <w:p w14:paraId="12F67352" w14:textId="77777777" w:rsidR="00E42B18" w:rsidRDefault="00E42B18">
            <w:pPr>
              <w:spacing w:after="0" w:line="240" w:lineRule="auto"/>
              <w:rPr>
                <w:rFonts w:ascii="Times New Roman" w:eastAsia="Times New Roman" w:hAnsi="Times New Roman" w:cs="Times New Roman"/>
                <w:noProof/>
              </w:rPr>
            </w:pPr>
          </w:p>
        </w:tc>
        <w:tc>
          <w:tcPr>
            <w:tcW w:w="1185" w:type="dxa"/>
            <w:vMerge/>
            <w:vAlign w:val="center"/>
          </w:tcPr>
          <w:p w14:paraId="13B2C4CB" w14:textId="77777777" w:rsidR="00E42B18" w:rsidRDefault="00E42B18">
            <w:pPr>
              <w:spacing w:after="0" w:line="240" w:lineRule="auto"/>
              <w:jc w:val="center"/>
              <w:rPr>
                <w:rFonts w:ascii="Times New Roman" w:eastAsia="Times New Roman" w:hAnsi="Times New Roman" w:cs="Times New Roman"/>
                <w:noProof/>
              </w:rPr>
            </w:pPr>
          </w:p>
        </w:tc>
        <w:tc>
          <w:tcPr>
            <w:tcW w:w="3200" w:type="dxa"/>
            <w:vMerge/>
            <w:vAlign w:val="center"/>
          </w:tcPr>
          <w:p w14:paraId="4C345578" w14:textId="77777777" w:rsidR="00E42B18" w:rsidRDefault="00E42B18">
            <w:pPr>
              <w:spacing w:after="0" w:line="240" w:lineRule="auto"/>
              <w:rPr>
                <w:rFonts w:ascii="Times New Roman" w:eastAsia="Times New Roman" w:hAnsi="Times New Roman" w:cs="Times New Roman"/>
                <w:noProof/>
              </w:rPr>
            </w:pPr>
          </w:p>
        </w:tc>
      </w:tr>
      <w:tr w:rsidR="00E42B18" w14:paraId="1225D13B" w14:textId="77777777">
        <w:trPr>
          <w:trHeight w:val="300"/>
        </w:trPr>
        <w:tc>
          <w:tcPr>
            <w:tcW w:w="1435" w:type="dxa"/>
            <w:shd w:val="clear" w:color="auto" w:fill="C6EFCE"/>
            <w:tcMar>
              <w:left w:w="108" w:type="dxa"/>
              <w:right w:w="108" w:type="dxa"/>
            </w:tcMar>
            <w:vAlign w:val="center"/>
          </w:tcPr>
          <w:p w14:paraId="6D226258" w14:textId="77777777" w:rsidR="00E42B18" w:rsidRDefault="009629C4">
            <w:pPr>
              <w:pStyle w:val="P68B1DB1-Normal121"/>
              <w:spacing w:after="0" w:line="240" w:lineRule="auto"/>
              <w:jc w:val="center"/>
              <w:rPr>
                <w:noProof/>
              </w:rPr>
            </w:pPr>
            <w:r>
              <w:rPr>
                <w:noProof/>
              </w:rPr>
              <w:t>M1C1–14a</w:t>
            </w:r>
          </w:p>
        </w:tc>
        <w:tc>
          <w:tcPr>
            <w:tcW w:w="3538" w:type="dxa"/>
            <w:shd w:val="clear" w:color="auto" w:fill="C6EFCE"/>
            <w:tcMar>
              <w:left w:w="108" w:type="dxa"/>
              <w:right w:w="108" w:type="dxa"/>
            </w:tcMar>
            <w:vAlign w:val="center"/>
          </w:tcPr>
          <w:p w14:paraId="5B23C9CC" w14:textId="77777777" w:rsidR="00E42B18" w:rsidRDefault="009629C4">
            <w:pPr>
              <w:pStyle w:val="P68B1DB1-Normal121"/>
              <w:spacing w:after="0" w:line="240" w:lineRule="auto"/>
              <w:rPr>
                <w:noProof/>
              </w:rPr>
            </w:pPr>
            <w:r>
              <w:rPr>
                <w:noProof/>
              </w:rPr>
              <w:t>Uudistus 1.9 a: Uudistus koheesiopolitiikan täytäntöönpanon nopeuttamiseksi</w:t>
            </w:r>
          </w:p>
        </w:tc>
        <w:tc>
          <w:tcPr>
            <w:tcW w:w="1185" w:type="dxa"/>
            <w:shd w:val="clear" w:color="auto" w:fill="C6EFCE"/>
            <w:tcMar>
              <w:left w:w="108" w:type="dxa"/>
              <w:right w:w="108" w:type="dxa"/>
            </w:tcMar>
            <w:vAlign w:val="center"/>
          </w:tcPr>
          <w:p w14:paraId="07016C75"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5CAA73B5" w14:textId="77777777" w:rsidR="00E42B18" w:rsidRDefault="009629C4">
            <w:pPr>
              <w:pStyle w:val="P68B1DB1-Normal121"/>
              <w:spacing w:after="0" w:line="240" w:lineRule="auto"/>
              <w:rPr>
                <w:noProof/>
              </w:rPr>
            </w:pPr>
            <w:r>
              <w:rPr>
                <w:noProof/>
              </w:rPr>
              <w:t>Koheesiopolitiikan täytäntöönpanon nopeuttamista koskevan kansallisen lainsäädännön voimaantulo</w:t>
            </w:r>
          </w:p>
        </w:tc>
      </w:tr>
      <w:tr w:rsidR="00E42B18" w14:paraId="2BBCE6F4" w14:textId="77777777">
        <w:trPr>
          <w:trHeight w:val="300"/>
        </w:trPr>
        <w:tc>
          <w:tcPr>
            <w:tcW w:w="1435" w:type="dxa"/>
            <w:shd w:val="clear" w:color="auto" w:fill="C6EFCE"/>
            <w:tcMar>
              <w:left w:w="108" w:type="dxa"/>
              <w:right w:w="108" w:type="dxa"/>
            </w:tcMar>
            <w:vAlign w:val="center"/>
          </w:tcPr>
          <w:p w14:paraId="4FD87C2E" w14:textId="77777777" w:rsidR="00E42B18" w:rsidRDefault="009629C4">
            <w:pPr>
              <w:pStyle w:val="P68B1DB1-Normal121"/>
              <w:spacing w:after="0" w:line="240" w:lineRule="auto"/>
              <w:jc w:val="center"/>
              <w:rPr>
                <w:noProof/>
              </w:rPr>
            </w:pPr>
            <w:r>
              <w:rPr>
                <w:noProof/>
              </w:rPr>
              <w:t>M1C1–15</w:t>
            </w:r>
          </w:p>
        </w:tc>
        <w:tc>
          <w:tcPr>
            <w:tcW w:w="3538" w:type="dxa"/>
            <w:shd w:val="clear" w:color="auto" w:fill="C6EFCE"/>
            <w:tcMar>
              <w:left w:w="108" w:type="dxa"/>
              <w:right w:w="108" w:type="dxa"/>
            </w:tcMar>
            <w:vAlign w:val="center"/>
          </w:tcPr>
          <w:p w14:paraId="3F20CFF2" w14:textId="77777777" w:rsidR="00E42B18" w:rsidRDefault="009629C4">
            <w:pPr>
              <w:pStyle w:val="P68B1DB1-Normal121"/>
              <w:spacing w:after="0" w:line="240" w:lineRule="auto"/>
              <w:rPr>
                <w:noProof/>
              </w:rPr>
            </w:pPr>
            <w:r>
              <w:rPr>
                <w:noProof/>
              </w:rPr>
              <w:t>Investointi 1.6.6: Valtiovarainpoliisin digitalisointi</w:t>
            </w:r>
          </w:p>
        </w:tc>
        <w:tc>
          <w:tcPr>
            <w:tcW w:w="1185" w:type="dxa"/>
            <w:shd w:val="clear" w:color="auto" w:fill="C6EFCE"/>
            <w:tcMar>
              <w:left w:w="108" w:type="dxa"/>
              <w:right w:w="108" w:type="dxa"/>
            </w:tcMar>
            <w:vAlign w:val="center"/>
          </w:tcPr>
          <w:p w14:paraId="68D64B95"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001E76B6" w14:textId="77777777" w:rsidR="00E42B18" w:rsidRDefault="009629C4">
            <w:pPr>
              <w:pStyle w:val="P68B1DB1-Normal121"/>
              <w:spacing w:after="0" w:line="240" w:lineRule="auto"/>
              <w:rPr>
                <w:noProof/>
              </w:rPr>
            </w:pPr>
            <w:r>
              <w:rPr>
                <w:noProof/>
              </w:rPr>
              <w:t>Valtiovarainpoliisi – tietotieteen ammattimaisten palvelujen hankinta T2</w:t>
            </w:r>
          </w:p>
        </w:tc>
      </w:tr>
      <w:tr w:rsidR="00E42B18" w14:paraId="1DF2E77A" w14:textId="77777777">
        <w:trPr>
          <w:trHeight w:val="300"/>
        </w:trPr>
        <w:tc>
          <w:tcPr>
            <w:tcW w:w="1435" w:type="dxa"/>
            <w:shd w:val="clear" w:color="auto" w:fill="C6EFCE"/>
            <w:tcMar>
              <w:left w:w="108" w:type="dxa"/>
              <w:right w:w="108" w:type="dxa"/>
            </w:tcMar>
            <w:vAlign w:val="center"/>
          </w:tcPr>
          <w:p w14:paraId="08F4F962" w14:textId="77777777" w:rsidR="00E42B18" w:rsidRDefault="009629C4">
            <w:pPr>
              <w:pStyle w:val="P68B1DB1-Normal121"/>
              <w:spacing w:after="0" w:line="240" w:lineRule="auto"/>
              <w:jc w:val="center"/>
              <w:rPr>
                <w:noProof/>
              </w:rPr>
            </w:pPr>
            <w:r>
              <w:rPr>
                <w:noProof/>
              </w:rPr>
              <w:t>M1C1–37a</w:t>
            </w:r>
          </w:p>
        </w:tc>
        <w:tc>
          <w:tcPr>
            <w:tcW w:w="3538" w:type="dxa"/>
            <w:shd w:val="clear" w:color="auto" w:fill="C6EFCE"/>
            <w:tcMar>
              <w:left w:w="108" w:type="dxa"/>
              <w:right w:w="108" w:type="dxa"/>
            </w:tcMar>
            <w:vAlign w:val="center"/>
          </w:tcPr>
          <w:p w14:paraId="390FE531" w14:textId="77777777" w:rsidR="00E42B18" w:rsidRDefault="009629C4">
            <w:pPr>
              <w:pStyle w:val="P68B1DB1-Normal121"/>
              <w:spacing w:after="0" w:line="240" w:lineRule="auto"/>
              <w:rPr>
                <w:noProof/>
              </w:rPr>
            </w:pPr>
            <w:r>
              <w:rPr>
                <w:noProof/>
              </w:rPr>
              <w:t>Uudistus 1.4: Siviilioikeuden uudistaminen</w:t>
            </w:r>
          </w:p>
        </w:tc>
        <w:tc>
          <w:tcPr>
            <w:tcW w:w="1185" w:type="dxa"/>
            <w:shd w:val="clear" w:color="auto" w:fill="C6EFCE"/>
            <w:tcMar>
              <w:left w:w="108" w:type="dxa"/>
              <w:right w:w="108" w:type="dxa"/>
            </w:tcMar>
            <w:vAlign w:val="center"/>
          </w:tcPr>
          <w:p w14:paraId="31D8524E"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52DA5B71" w14:textId="77777777" w:rsidR="00E42B18" w:rsidRDefault="009629C4">
            <w:pPr>
              <w:pStyle w:val="P68B1DB1-Normal121"/>
              <w:spacing w:after="0" w:line="240" w:lineRule="auto"/>
              <w:rPr>
                <w:noProof/>
              </w:rPr>
            </w:pPr>
            <w:r>
              <w:rPr>
                <w:noProof/>
              </w:rPr>
              <w:t>Ruuhkan vähentämiseen tähtäävien toimenpiteiden voimaantulo</w:t>
            </w:r>
          </w:p>
        </w:tc>
      </w:tr>
      <w:tr w:rsidR="00E42B18" w14:paraId="61C79FB2" w14:textId="77777777">
        <w:trPr>
          <w:trHeight w:val="300"/>
        </w:trPr>
        <w:tc>
          <w:tcPr>
            <w:tcW w:w="1435" w:type="dxa"/>
            <w:shd w:val="clear" w:color="auto" w:fill="C6EFCE"/>
            <w:tcMar>
              <w:left w:w="108" w:type="dxa"/>
              <w:right w:w="108" w:type="dxa"/>
            </w:tcMar>
            <w:vAlign w:val="center"/>
          </w:tcPr>
          <w:p w14:paraId="0AA6FC9B" w14:textId="77777777" w:rsidR="00E42B18" w:rsidRDefault="009629C4">
            <w:pPr>
              <w:pStyle w:val="P68B1DB1-Normal121"/>
              <w:spacing w:after="0" w:line="240" w:lineRule="auto"/>
              <w:jc w:val="center"/>
              <w:rPr>
                <w:noProof/>
              </w:rPr>
            </w:pPr>
            <w:r>
              <w:rPr>
                <w:noProof/>
              </w:rPr>
              <w:t>M1C1–72a</w:t>
            </w:r>
          </w:p>
        </w:tc>
        <w:tc>
          <w:tcPr>
            <w:tcW w:w="3538" w:type="dxa"/>
            <w:shd w:val="clear" w:color="auto" w:fill="C6EFCE"/>
            <w:tcMar>
              <w:left w:w="108" w:type="dxa"/>
              <w:right w:w="108" w:type="dxa"/>
            </w:tcMar>
            <w:vAlign w:val="center"/>
          </w:tcPr>
          <w:p w14:paraId="43356C26"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185" w:type="dxa"/>
            <w:shd w:val="clear" w:color="auto" w:fill="C6EFCE"/>
            <w:tcMar>
              <w:left w:w="108" w:type="dxa"/>
              <w:right w:w="108" w:type="dxa"/>
            </w:tcMar>
            <w:vAlign w:val="center"/>
          </w:tcPr>
          <w:p w14:paraId="7382BD3A"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79A24896" w14:textId="77777777" w:rsidR="00E42B18" w:rsidRDefault="009629C4">
            <w:pPr>
              <w:pStyle w:val="P68B1DB1-Normal121"/>
              <w:spacing w:after="0" w:line="240" w:lineRule="auto"/>
              <w:rPr>
                <w:noProof/>
              </w:rPr>
            </w:pPr>
            <w:r>
              <w:rPr>
                <w:noProof/>
              </w:rPr>
              <w:t>Lainsäädäntö- ja erityistoimet maksuviivästysten vähentämiseksi keskus- ja paikallistasolla</w:t>
            </w:r>
          </w:p>
        </w:tc>
      </w:tr>
      <w:tr w:rsidR="00E42B18" w14:paraId="7C4AAEE7" w14:textId="77777777">
        <w:trPr>
          <w:trHeight w:val="300"/>
        </w:trPr>
        <w:tc>
          <w:tcPr>
            <w:tcW w:w="1435" w:type="dxa"/>
            <w:shd w:val="clear" w:color="auto" w:fill="C6EFCE"/>
            <w:tcMar>
              <w:left w:w="108" w:type="dxa"/>
              <w:right w:w="108" w:type="dxa"/>
            </w:tcMar>
            <w:vAlign w:val="center"/>
          </w:tcPr>
          <w:p w14:paraId="42465D96" w14:textId="77777777" w:rsidR="00E42B18" w:rsidRDefault="009629C4">
            <w:pPr>
              <w:pStyle w:val="P68B1DB1-Normal121"/>
              <w:spacing w:after="0" w:line="240" w:lineRule="auto"/>
              <w:jc w:val="center"/>
              <w:rPr>
                <w:noProof/>
              </w:rPr>
            </w:pPr>
            <w:r>
              <w:rPr>
                <w:noProof/>
              </w:rPr>
              <w:t>M1C1–85</w:t>
            </w:r>
          </w:p>
        </w:tc>
        <w:tc>
          <w:tcPr>
            <w:tcW w:w="3538" w:type="dxa"/>
            <w:shd w:val="clear" w:color="auto" w:fill="C6EFCE"/>
            <w:tcMar>
              <w:left w:w="108" w:type="dxa"/>
              <w:right w:w="108" w:type="dxa"/>
            </w:tcMar>
            <w:vAlign w:val="center"/>
          </w:tcPr>
          <w:p w14:paraId="208108E1"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185" w:type="dxa"/>
            <w:shd w:val="clear" w:color="auto" w:fill="C6EFCE"/>
            <w:tcMar>
              <w:left w:w="108" w:type="dxa"/>
              <w:right w:w="108" w:type="dxa"/>
            </w:tcMar>
            <w:vAlign w:val="center"/>
          </w:tcPr>
          <w:p w14:paraId="113E5ADC"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20306977" w14:textId="77777777" w:rsidR="00E42B18" w:rsidRDefault="009629C4">
            <w:pPr>
              <w:pStyle w:val="P68B1DB1-Normal121"/>
              <w:spacing w:after="0" w:line="240" w:lineRule="auto"/>
              <w:rPr>
                <w:noProof/>
              </w:rPr>
            </w:pPr>
            <w:r>
              <w:rPr>
                <w:noProof/>
              </w:rPr>
              <w:t>Sopimuksen tekemisen ja infrastruktuurin toteuttamisen välinen keskimääräinen aika</w:t>
            </w:r>
          </w:p>
        </w:tc>
      </w:tr>
      <w:tr w:rsidR="00E42B18" w14:paraId="5912808E" w14:textId="77777777">
        <w:trPr>
          <w:trHeight w:val="300"/>
        </w:trPr>
        <w:tc>
          <w:tcPr>
            <w:tcW w:w="1435" w:type="dxa"/>
            <w:shd w:val="clear" w:color="auto" w:fill="C6EFCE"/>
            <w:tcMar>
              <w:left w:w="108" w:type="dxa"/>
              <w:right w:w="108" w:type="dxa"/>
            </w:tcMar>
            <w:vAlign w:val="center"/>
          </w:tcPr>
          <w:p w14:paraId="5824C85B" w14:textId="77777777" w:rsidR="00E42B18" w:rsidRDefault="009629C4">
            <w:pPr>
              <w:pStyle w:val="P68B1DB1-Normal121"/>
              <w:spacing w:after="0" w:line="240" w:lineRule="auto"/>
              <w:jc w:val="center"/>
              <w:rPr>
                <w:noProof/>
              </w:rPr>
            </w:pPr>
            <w:r>
              <w:rPr>
                <w:noProof/>
              </w:rPr>
              <w:t>M1C1–99</w:t>
            </w:r>
          </w:p>
        </w:tc>
        <w:tc>
          <w:tcPr>
            <w:tcW w:w="3538" w:type="dxa"/>
            <w:shd w:val="clear" w:color="auto" w:fill="C6EFCE"/>
            <w:tcMar>
              <w:left w:w="108" w:type="dxa"/>
              <w:right w:w="108" w:type="dxa"/>
            </w:tcMar>
            <w:vAlign w:val="center"/>
          </w:tcPr>
          <w:p w14:paraId="16272F64" w14:textId="77777777" w:rsidR="00E42B18" w:rsidRDefault="009629C4">
            <w:pPr>
              <w:pStyle w:val="P68B1DB1-Normal121"/>
              <w:spacing w:after="0" w:line="240" w:lineRule="auto"/>
              <w:rPr>
                <w:noProof/>
              </w:rPr>
            </w:pPr>
            <w:r>
              <w:rPr>
                <w:noProof/>
              </w:rPr>
              <w:t>Uudistus 1.10: Julkisia hankintoja koskevan lainsäädäntökehyksen uudistaminen </w:t>
            </w:r>
          </w:p>
        </w:tc>
        <w:tc>
          <w:tcPr>
            <w:tcW w:w="1185" w:type="dxa"/>
            <w:shd w:val="clear" w:color="auto" w:fill="C6EFCE"/>
            <w:tcMar>
              <w:left w:w="108" w:type="dxa"/>
              <w:right w:w="108" w:type="dxa"/>
            </w:tcMar>
            <w:vAlign w:val="center"/>
          </w:tcPr>
          <w:p w14:paraId="7851CB1E"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74EA3C26" w14:textId="77777777" w:rsidR="00E42B18" w:rsidRDefault="009629C4">
            <w:pPr>
              <w:pStyle w:val="P68B1DB1-Normal121"/>
              <w:spacing w:after="0" w:line="240" w:lineRule="auto"/>
              <w:rPr>
                <w:noProof/>
              </w:rPr>
            </w:pPr>
            <w:r>
              <w:rPr>
                <w:noProof/>
              </w:rPr>
              <w:t>Dynaamisia hankintajärjestelmiä käyttävät hankintaviranomaiset </w:t>
            </w:r>
          </w:p>
        </w:tc>
      </w:tr>
      <w:tr w:rsidR="00E42B18" w14:paraId="3395CF0C" w14:textId="77777777">
        <w:trPr>
          <w:trHeight w:val="300"/>
        </w:trPr>
        <w:tc>
          <w:tcPr>
            <w:tcW w:w="1435" w:type="dxa"/>
            <w:shd w:val="clear" w:color="auto" w:fill="C6EFCE"/>
            <w:tcMar>
              <w:left w:w="108" w:type="dxa"/>
              <w:right w:w="108" w:type="dxa"/>
            </w:tcMar>
            <w:vAlign w:val="center"/>
          </w:tcPr>
          <w:p w14:paraId="35DAA014" w14:textId="77777777" w:rsidR="00E42B18" w:rsidRDefault="009629C4">
            <w:pPr>
              <w:pStyle w:val="P68B1DB1-Normal121"/>
              <w:spacing w:after="0" w:line="240" w:lineRule="auto"/>
              <w:jc w:val="center"/>
              <w:rPr>
                <w:noProof/>
              </w:rPr>
            </w:pPr>
            <w:r>
              <w:rPr>
                <w:noProof/>
              </w:rPr>
              <w:t>M2C2–6</w:t>
            </w:r>
          </w:p>
        </w:tc>
        <w:tc>
          <w:tcPr>
            <w:tcW w:w="3538" w:type="dxa"/>
            <w:shd w:val="clear" w:color="auto" w:fill="C6EFCE"/>
            <w:tcMar>
              <w:left w:w="108" w:type="dxa"/>
              <w:right w:w="108" w:type="dxa"/>
            </w:tcMar>
            <w:vAlign w:val="center"/>
          </w:tcPr>
          <w:p w14:paraId="1F3BE69A" w14:textId="77777777" w:rsidR="00E42B18" w:rsidRDefault="009629C4">
            <w:pPr>
              <w:pStyle w:val="P68B1DB1-Normal121"/>
              <w:spacing w:after="0" w:line="240" w:lineRule="auto"/>
              <w:rPr>
                <w:noProof/>
              </w:rPr>
            </w:pPr>
            <w:r>
              <w:rPr>
                <w:noProof/>
              </w:rPr>
              <w:t>Uudistus 1 Maalla ja merellä sijaitsevien uusiutuvan energian tuotantolaitosten lupamenettelyjen yksinkertaistaminen ja uusi oikeudellinen kehys uusiutuvista lähteistä peräisin olevan tuotannon ylläpitämiseksi sekä nykyisten tukijärjestelmien ajan ja tukikelpoisuuden jatkaminen</w:t>
            </w:r>
          </w:p>
        </w:tc>
        <w:tc>
          <w:tcPr>
            <w:tcW w:w="1185" w:type="dxa"/>
            <w:shd w:val="clear" w:color="auto" w:fill="C6EFCE"/>
            <w:tcMar>
              <w:left w:w="108" w:type="dxa"/>
              <w:right w:w="108" w:type="dxa"/>
            </w:tcMar>
            <w:vAlign w:val="center"/>
          </w:tcPr>
          <w:p w14:paraId="580A526C"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1F08E715" w14:textId="77777777" w:rsidR="00E42B18" w:rsidRDefault="009629C4">
            <w:pPr>
              <w:pStyle w:val="P68B1DB1-Normal121"/>
              <w:spacing w:after="0" w:line="240" w:lineRule="auto"/>
              <w:rPr>
                <w:noProof/>
              </w:rPr>
            </w:pPr>
            <w:r>
              <w:rPr>
                <w:noProof/>
              </w:rPr>
              <w:t>Maalla ja merellä tuotettavan uusiutuvan energian rakenteiden rakentamista koskevien lupamenettelyjen yksinkertaistamista koskevan oikeudellisen kehyksen voimaantulo</w:t>
            </w:r>
          </w:p>
        </w:tc>
      </w:tr>
      <w:tr w:rsidR="00E42B18" w14:paraId="0AB27E58" w14:textId="77777777">
        <w:trPr>
          <w:trHeight w:val="300"/>
        </w:trPr>
        <w:tc>
          <w:tcPr>
            <w:tcW w:w="1435" w:type="dxa"/>
            <w:shd w:val="clear" w:color="auto" w:fill="C6EFCE"/>
            <w:tcMar>
              <w:left w:w="108" w:type="dxa"/>
              <w:right w:w="108" w:type="dxa"/>
            </w:tcMar>
            <w:vAlign w:val="center"/>
          </w:tcPr>
          <w:p w14:paraId="1534BE9A" w14:textId="77777777" w:rsidR="00E42B18" w:rsidRDefault="009629C4">
            <w:pPr>
              <w:pStyle w:val="P68B1DB1-Normal121"/>
              <w:spacing w:after="0" w:line="240" w:lineRule="auto"/>
              <w:jc w:val="center"/>
              <w:rPr>
                <w:noProof/>
              </w:rPr>
            </w:pPr>
            <w:r>
              <w:rPr>
                <w:noProof/>
              </w:rPr>
              <w:t>M4C1–8</w:t>
            </w:r>
          </w:p>
        </w:tc>
        <w:tc>
          <w:tcPr>
            <w:tcW w:w="3538" w:type="dxa"/>
            <w:shd w:val="clear" w:color="auto" w:fill="C6EFCE"/>
            <w:tcMar>
              <w:left w:w="108" w:type="dxa"/>
              <w:right w:w="108" w:type="dxa"/>
            </w:tcMar>
            <w:vAlign w:val="center"/>
          </w:tcPr>
          <w:p w14:paraId="2380D91D" w14:textId="77777777" w:rsidR="00E42B18" w:rsidRDefault="009629C4">
            <w:pPr>
              <w:pStyle w:val="P68B1DB1-Normal121"/>
              <w:spacing w:after="0" w:line="240" w:lineRule="auto"/>
              <w:rPr>
                <w:noProof/>
              </w:rPr>
            </w:pPr>
            <w:r>
              <w:rPr>
                <w:noProof/>
              </w:rPr>
              <w:t>Investointi 1.3: Koulujen urheiluinfrastruktuurin kehittämissuunnitelma</w:t>
            </w:r>
          </w:p>
        </w:tc>
        <w:tc>
          <w:tcPr>
            <w:tcW w:w="1185" w:type="dxa"/>
            <w:shd w:val="clear" w:color="auto" w:fill="C6EFCE"/>
            <w:tcMar>
              <w:left w:w="108" w:type="dxa"/>
              <w:right w:w="108" w:type="dxa"/>
            </w:tcMar>
            <w:vAlign w:val="center"/>
          </w:tcPr>
          <w:p w14:paraId="2115E5BC"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601B199D" w14:textId="77777777" w:rsidR="00E42B18" w:rsidRDefault="009629C4">
            <w:pPr>
              <w:pStyle w:val="P68B1DB1-Normal121"/>
              <w:spacing w:after="0" w:line="240" w:lineRule="auto"/>
              <w:rPr>
                <w:noProof/>
              </w:rPr>
            </w:pPr>
            <w:r>
              <w:rPr>
                <w:noProof/>
              </w:rPr>
              <w:t>Hankintasopimusten tekeminen urheilutilojen ja voimistelujen rakentamiseksi ja kunnostamiseksi koulukäyttöön</w:t>
            </w:r>
          </w:p>
        </w:tc>
      </w:tr>
      <w:tr w:rsidR="00E42B18" w14:paraId="2316D176" w14:textId="77777777">
        <w:trPr>
          <w:trHeight w:val="300"/>
        </w:trPr>
        <w:tc>
          <w:tcPr>
            <w:tcW w:w="1435" w:type="dxa"/>
            <w:shd w:val="clear" w:color="auto" w:fill="C6EFCE"/>
            <w:tcMar>
              <w:left w:w="108" w:type="dxa"/>
              <w:right w:w="108" w:type="dxa"/>
            </w:tcMar>
            <w:vAlign w:val="center"/>
          </w:tcPr>
          <w:p w14:paraId="7CA5B56E" w14:textId="77777777" w:rsidR="00E42B18" w:rsidRDefault="009629C4">
            <w:pPr>
              <w:pStyle w:val="P68B1DB1-Normal121"/>
              <w:spacing w:after="0" w:line="240" w:lineRule="auto"/>
              <w:jc w:val="center"/>
              <w:rPr>
                <w:noProof/>
              </w:rPr>
            </w:pPr>
            <w:r>
              <w:rPr>
                <w:noProof/>
              </w:rPr>
              <w:t>M5C1–9</w:t>
            </w:r>
          </w:p>
        </w:tc>
        <w:tc>
          <w:tcPr>
            <w:tcW w:w="3538" w:type="dxa"/>
            <w:shd w:val="clear" w:color="auto" w:fill="C6EFCE"/>
            <w:tcMar>
              <w:left w:w="108" w:type="dxa"/>
              <w:right w:w="108" w:type="dxa"/>
            </w:tcMar>
            <w:vAlign w:val="center"/>
          </w:tcPr>
          <w:p w14:paraId="7C2E3764" w14:textId="77777777" w:rsidR="00E42B18" w:rsidRDefault="009629C4">
            <w:pPr>
              <w:pStyle w:val="P68B1DB1-Normal121"/>
              <w:spacing w:after="0" w:line="240" w:lineRule="auto"/>
              <w:rPr>
                <w:noProof/>
              </w:rPr>
            </w:pPr>
            <w:r>
              <w:rPr>
                <w:noProof/>
              </w:rPr>
              <w:t>Uudistus 2 – Ilmoittamaton työ</w:t>
            </w:r>
          </w:p>
        </w:tc>
        <w:tc>
          <w:tcPr>
            <w:tcW w:w="1185" w:type="dxa"/>
            <w:shd w:val="clear" w:color="auto" w:fill="C6EFCE"/>
            <w:tcMar>
              <w:left w:w="108" w:type="dxa"/>
              <w:right w:w="108" w:type="dxa"/>
            </w:tcMar>
            <w:vAlign w:val="center"/>
          </w:tcPr>
          <w:p w14:paraId="140FF00A"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42787B16" w14:textId="77777777" w:rsidR="00E42B18" w:rsidRDefault="009629C4">
            <w:pPr>
              <w:pStyle w:val="P68B1DB1-Normal121"/>
              <w:spacing w:after="0" w:line="240" w:lineRule="auto"/>
              <w:rPr>
                <w:noProof/>
              </w:rPr>
            </w:pPr>
            <w:r>
              <w:rPr>
                <w:noProof/>
              </w:rPr>
              <w:t>Toteutetaan toimia pimeän työn torjumiseksi</w:t>
            </w:r>
          </w:p>
        </w:tc>
      </w:tr>
      <w:tr w:rsidR="00E42B18" w14:paraId="2197A769" w14:textId="77777777">
        <w:trPr>
          <w:trHeight w:val="300"/>
        </w:trPr>
        <w:tc>
          <w:tcPr>
            <w:tcW w:w="1435" w:type="dxa"/>
            <w:shd w:val="clear" w:color="auto" w:fill="C6EFCE"/>
            <w:tcMar>
              <w:left w:w="108" w:type="dxa"/>
              <w:right w:w="108" w:type="dxa"/>
            </w:tcMar>
            <w:vAlign w:val="center"/>
          </w:tcPr>
          <w:p w14:paraId="3D6E66DF" w14:textId="77777777" w:rsidR="00E42B18" w:rsidRDefault="009629C4">
            <w:pPr>
              <w:pStyle w:val="P68B1DB1-Normal121"/>
              <w:spacing w:after="0" w:line="240" w:lineRule="auto"/>
              <w:jc w:val="center"/>
              <w:rPr>
                <w:noProof/>
              </w:rPr>
            </w:pPr>
            <w:r>
              <w:rPr>
                <w:noProof/>
              </w:rPr>
              <w:t>M5C2–4</w:t>
            </w:r>
          </w:p>
        </w:tc>
        <w:tc>
          <w:tcPr>
            <w:tcW w:w="3538" w:type="dxa"/>
            <w:shd w:val="clear" w:color="auto" w:fill="C6EFCE"/>
            <w:tcMar>
              <w:left w:w="108" w:type="dxa"/>
              <w:right w:w="108" w:type="dxa"/>
            </w:tcMar>
            <w:vAlign w:val="center"/>
          </w:tcPr>
          <w:p w14:paraId="4F6D4C08" w14:textId="77777777" w:rsidR="00E42B18" w:rsidRDefault="009629C4">
            <w:pPr>
              <w:pStyle w:val="P68B1DB1-Normal121"/>
              <w:spacing w:after="0" w:line="240" w:lineRule="auto"/>
              <w:rPr>
                <w:noProof/>
              </w:rPr>
            </w:pPr>
            <w:r>
              <w:rPr>
                <w:noProof/>
              </w:rPr>
              <w:t>Uudistus 2 – Uudistus muita kuin omavaraisia ikääntyneitä varten</w:t>
            </w:r>
          </w:p>
        </w:tc>
        <w:tc>
          <w:tcPr>
            <w:tcW w:w="1185" w:type="dxa"/>
            <w:shd w:val="clear" w:color="auto" w:fill="C6EFCE"/>
            <w:tcMar>
              <w:left w:w="108" w:type="dxa"/>
              <w:right w:w="108" w:type="dxa"/>
            </w:tcMar>
            <w:vAlign w:val="center"/>
          </w:tcPr>
          <w:p w14:paraId="2F0AB2A3"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4873E7FD" w14:textId="77777777" w:rsidR="00E42B18" w:rsidRDefault="009629C4">
            <w:pPr>
              <w:pStyle w:val="P68B1DB1-Normal121"/>
              <w:spacing w:after="0" w:line="240" w:lineRule="auto"/>
              <w:rPr>
                <w:noProof/>
              </w:rPr>
            </w:pPr>
            <w:r>
              <w:rPr>
                <w:noProof/>
              </w:rPr>
              <w:t>Sellaisten asetusten voimaantulo, joilla kehitetään puitelain säännöksiä omavaraisten vanhusten hyväksi toteutettavien toimien tehostamiseksi</w:t>
            </w:r>
          </w:p>
        </w:tc>
      </w:tr>
      <w:tr w:rsidR="00E42B18" w14:paraId="2A781FED" w14:textId="77777777">
        <w:trPr>
          <w:trHeight w:val="300"/>
        </w:trPr>
        <w:tc>
          <w:tcPr>
            <w:tcW w:w="1435" w:type="dxa"/>
            <w:shd w:val="clear" w:color="auto" w:fill="C6EFCE"/>
            <w:tcMar>
              <w:left w:w="108" w:type="dxa"/>
              <w:right w:w="108" w:type="dxa"/>
            </w:tcMar>
            <w:vAlign w:val="center"/>
          </w:tcPr>
          <w:p w14:paraId="51FE1A18" w14:textId="77777777" w:rsidR="00E42B18" w:rsidRDefault="009629C4">
            <w:pPr>
              <w:pStyle w:val="P68B1DB1-Normal121"/>
              <w:spacing w:after="0" w:line="240" w:lineRule="auto"/>
              <w:jc w:val="center"/>
              <w:rPr>
                <w:noProof/>
              </w:rPr>
            </w:pPr>
            <w:r>
              <w:rPr>
                <w:noProof/>
              </w:rPr>
              <w:t>M7–9</w:t>
            </w:r>
          </w:p>
        </w:tc>
        <w:tc>
          <w:tcPr>
            <w:tcW w:w="3538" w:type="dxa"/>
            <w:shd w:val="clear" w:color="auto" w:fill="C6EFCE"/>
            <w:tcMar>
              <w:left w:w="108" w:type="dxa"/>
              <w:right w:w="108" w:type="dxa"/>
            </w:tcMar>
            <w:vAlign w:val="center"/>
          </w:tcPr>
          <w:p w14:paraId="1C3BF857" w14:textId="77777777" w:rsidR="00E42B18" w:rsidRDefault="009629C4">
            <w:pPr>
              <w:pStyle w:val="P68B1DB1-Normal121"/>
              <w:spacing w:after="0" w:line="240" w:lineRule="auto"/>
              <w:rPr>
                <w:noProof/>
              </w:rPr>
            </w:pPr>
            <w:r>
              <w:rPr>
                <w:noProof/>
              </w:rPr>
              <w:t>Uudistus 5: Uuden osaamisen suunnitelma – Siirtymät</w:t>
            </w:r>
          </w:p>
        </w:tc>
        <w:tc>
          <w:tcPr>
            <w:tcW w:w="1185" w:type="dxa"/>
            <w:shd w:val="clear" w:color="auto" w:fill="C6EFCE"/>
            <w:tcMar>
              <w:left w:w="108" w:type="dxa"/>
              <w:right w:w="108" w:type="dxa"/>
            </w:tcMar>
            <w:vAlign w:val="center"/>
          </w:tcPr>
          <w:p w14:paraId="43B2F17B"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42E6C749" w14:textId="77777777" w:rsidR="00E42B18" w:rsidRDefault="009629C4">
            <w:pPr>
              <w:pStyle w:val="P68B1DB1-Normal121"/>
              <w:spacing w:after="0" w:line="240" w:lineRule="auto"/>
              <w:rPr>
                <w:noProof/>
              </w:rPr>
            </w:pPr>
            <w:r>
              <w:rPr>
                <w:noProof/>
              </w:rPr>
              <w:t>Uuden osaamissuunnitelman ja täytäntöönpanoa koskevan etenemissuunnitelman hyväksyminen ja julkaiseminen</w:t>
            </w:r>
          </w:p>
        </w:tc>
      </w:tr>
      <w:tr w:rsidR="00E42B18" w14:paraId="1F1224FD" w14:textId="77777777">
        <w:trPr>
          <w:trHeight w:val="300"/>
        </w:trPr>
        <w:tc>
          <w:tcPr>
            <w:tcW w:w="1435" w:type="dxa"/>
            <w:shd w:val="clear" w:color="auto" w:fill="C6EFCE"/>
            <w:tcMar>
              <w:left w:w="108" w:type="dxa"/>
              <w:right w:w="108" w:type="dxa"/>
            </w:tcMar>
            <w:vAlign w:val="center"/>
          </w:tcPr>
          <w:p w14:paraId="5D6D89DB" w14:textId="77777777" w:rsidR="00E42B18" w:rsidRDefault="009629C4">
            <w:pPr>
              <w:pStyle w:val="P68B1DB1-Normal121"/>
              <w:spacing w:after="0" w:line="240" w:lineRule="auto"/>
              <w:jc w:val="center"/>
              <w:rPr>
                <w:noProof/>
              </w:rPr>
            </w:pPr>
            <w:r>
              <w:rPr>
                <w:noProof/>
              </w:rPr>
              <w:t>M7–32</w:t>
            </w:r>
          </w:p>
        </w:tc>
        <w:tc>
          <w:tcPr>
            <w:tcW w:w="3538" w:type="dxa"/>
            <w:shd w:val="clear" w:color="auto" w:fill="C6EFCE"/>
            <w:tcMar>
              <w:left w:w="108" w:type="dxa"/>
              <w:right w:w="108" w:type="dxa"/>
            </w:tcMar>
            <w:vAlign w:val="center"/>
          </w:tcPr>
          <w:p w14:paraId="4E4E90B1" w14:textId="77777777" w:rsidR="00E42B18" w:rsidRDefault="009629C4">
            <w:pPr>
              <w:pStyle w:val="P68B1DB1-Normal121"/>
              <w:spacing w:after="0" w:line="240" w:lineRule="auto"/>
              <w:rPr>
                <w:noProof/>
              </w:rPr>
            </w:pPr>
            <w:r>
              <w:rPr>
                <w:noProof/>
              </w:rPr>
              <w:t>Investointi 12 Rahoitusväline kansainvälisen, teollisen ja t &amp; k-johtajuuden kehittämiseksi päästöttömien linja-autojen alalla</w:t>
            </w:r>
          </w:p>
        </w:tc>
        <w:tc>
          <w:tcPr>
            <w:tcW w:w="1185" w:type="dxa"/>
            <w:shd w:val="clear" w:color="auto" w:fill="C6EFCE"/>
            <w:tcMar>
              <w:left w:w="108" w:type="dxa"/>
              <w:right w:w="108" w:type="dxa"/>
            </w:tcMar>
            <w:vAlign w:val="center"/>
          </w:tcPr>
          <w:p w14:paraId="3711B2FD"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3D0C61D6" w14:textId="77777777" w:rsidR="00E42B18" w:rsidRDefault="009629C4">
            <w:pPr>
              <w:pStyle w:val="P68B1DB1-Normal121"/>
              <w:spacing w:after="0" w:line="240" w:lineRule="auto"/>
              <w:rPr>
                <w:noProof/>
              </w:rPr>
            </w:pPr>
            <w:r>
              <w:rPr>
                <w:noProof/>
              </w:rPr>
              <w:t>Täytäntöönpanosopimus</w:t>
            </w:r>
          </w:p>
        </w:tc>
      </w:tr>
      <w:tr w:rsidR="00E42B18" w14:paraId="4E126783" w14:textId="77777777">
        <w:trPr>
          <w:trHeight w:val="300"/>
        </w:trPr>
        <w:tc>
          <w:tcPr>
            <w:tcW w:w="1435" w:type="dxa"/>
            <w:shd w:val="clear" w:color="auto" w:fill="C6EFCE"/>
            <w:tcMar>
              <w:left w:w="108" w:type="dxa"/>
              <w:right w:w="108" w:type="dxa"/>
            </w:tcMar>
            <w:vAlign w:val="center"/>
          </w:tcPr>
          <w:p w14:paraId="1621B403" w14:textId="77777777" w:rsidR="00E42B18" w:rsidRDefault="009629C4">
            <w:pPr>
              <w:pStyle w:val="P68B1DB1-Normal121"/>
              <w:spacing w:after="0" w:line="240" w:lineRule="auto"/>
              <w:jc w:val="center"/>
              <w:rPr>
                <w:noProof/>
              </w:rPr>
            </w:pPr>
            <w:r>
              <w:rPr>
                <w:noProof/>
              </w:rPr>
              <w:t>M1C1–39</w:t>
            </w:r>
          </w:p>
        </w:tc>
        <w:tc>
          <w:tcPr>
            <w:tcW w:w="3538" w:type="dxa"/>
            <w:shd w:val="clear" w:color="auto" w:fill="C6EFCE"/>
            <w:tcMar>
              <w:left w:w="108" w:type="dxa"/>
              <w:right w:w="108" w:type="dxa"/>
            </w:tcMar>
            <w:vAlign w:val="center"/>
          </w:tcPr>
          <w:p w14:paraId="2603901D" w14:textId="77777777" w:rsidR="00E42B18" w:rsidRDefault="009629C4">
            <w:pPr>
              <w:pStyle w:val="P68B1DB1-Normal121"/>
              <w:spacing w:after="0" w:line="240" w:lineRule="auto"/>
              <w:rPr>
                <w:noProof/>
              </w:rPr>
            </w:pPr>
            <w:r>
              <w:rPr>
                <w:noProof/>
              </w:rPr>
              <w:t>Investointi 1.8: Palvelukseenottomenettelyt siviili- ja rikostuomioistuimissa</w:t>
            </w:r>
          </w:p>
        </w:tc>
        <w:tc>
          <w:tcPr>
            <w:tcW w:w="1185" w:type="dxa"/>
            <w:shd w:val="clear" w:color="auto" w:fill="C6EFCE"/>
            <w:tcMar>
              <w:left w:w="108" w:type="dxa"/>
              <w:right w:w="108" w:type="dxa"/>
            </w:tcMar>
            <w:vAlign w:val="center"/>
          </w:tcPr>
          <w:p w14:paraId="71BC64C6"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637301A1" w14:textId="77777777" w:rsidR="00E42B18" w:rsidRDefault="009629C4">
            <w:pPr>
              <w:pStyle w:val="P68B1DB1-Normal121"/>
              <w:spacing w:after="0" w:line="240" w:lineRule="auto"/>
              <w:rPr>
                <w:noProof/>
              </w:rPr>
            </w:pPr>
            <w:r>
              <w:rPr>
                <w:noProof/>
              </w:rPr>
              <w:t>Elpymis- ja palautumissuunnitelman täytäntöönpanosta vastaavien siviili- ja rikostuomioistuinten sekä oikeusministeriön alue- ja keskusyksiköiden palvelukseenottomenettelyjen päättäminen</w:t>
            </w:r>
          </w:p>
        </w:tc>
      </w:tr>
      <w:tr w:rsidR="00E42B18" w14:paraId="61D8F18F" w14:textId="77777777">
        <w:trPr>
          <w:trHeight w:val="300"/>
        </w:trPr>
        <w:tc>
          <w:tcPr>
            <w:tcW w:w="1435" w:type="dxa"/>
            <w:shd w:val="clear" w:color="auto" w:fill="C6EFCE"/>
            <w:tcMar>
              <w:left w:w="108" w:type="dxa"/>
              <w:right w:w="108" w:type="dxa"/>
            </w:tcMar>
            <w:vAlign w:val="center"/>
          </w:tcPr>
          <w:p w14:paraId="3319E741" w14:textId="77777777" w:rsidR="00E42B18" w:rsidRDefault="009629C4">
            <w:pPr>
              <w:pStyle w:val="P68B1DB1-Normal121"/>
              <w:spacing w:after="0" w:line="240" w:lineRule="auto"/>
              <w:jc w:val="center"/>
              <w:rPr>
                <w:noProof/>
              </w:rPr>
            </w:pPr>
            <w:r>
              <w:rPr>
                <w:noProof/>
              </w:rPr>
              <w:t>M1C1–40</w:t>
            </w:r>
          </w:p>
        </w:tc>
        <w:tc>
          <w:tcPr>
            <w:tcW w:w="3538" w:type="dxa"/>
            <w:shd w:val="clear" w:color="auto" w:fill="C6EFCE"/>
            <w:tcMar>
              <w:left w:w="108" w:type="dxa"/>
              <w:right w:w="108" w:type="dxa"/>
            </w:tcMar>
            <w:vAlign w:val="center"/>
          </w:tcPr>
          <w:p w14:paraId="03C97A37" w14:textId="77777777" w:rsidR="00E42B18" w:rsidRDefault="009629C4">
            <w:pPr>
              <w:pStyle w:val="P68B1DB1-Normal121"/>
              <w:spacing w:after="0" w:line="240" w:lineRule="auto"/>
              <w:rPr>
                <w:noProof/>
              </w:rPr>
            </w:pPr>
            <w:r>
              <w:rPr>
                <w:noProof/>
              </w:rPr>
              <w:t>Investointi 1.8: Hallintotuomioistuinten palvelukseenottomenettelyt</w:t>
            </w:r>
          </w:p>
        </w:tc>
        <w:tc>
          <w:tcPr>
            <w:tcW w:w="1185" w:type="dxa"/>
            <w:shd w:val="clear" w:color="auto" w:fill="C6EFCE"/>
            <w:tcMar>
              <w:left w:w="108" w:type="dxa"/>
              <w:right w:w="108" w:type="dxa"/>
            </w:tcMar>
            <w:vAlign w:val="center"/>
          </w:tcPr>
          <w:p w14:paraId="63623C09"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4AA61DFB" w14:textId="77777777" w:rsidR="00E42B18" w:rsidRDefault="009629C4">
            <w:pPr>
              <w:pStyle w:val="P68B1DB1-Normal121"/>
              <w:spacing w:after="0" w:line="240" w:lineRule="auto"/>
              <w:rPr>
                <w:noProof/>
              </w:rPr>
            </w:pPr>
            <w:r>
              <w:rPr>
                <w:noProof/>
              </w:rPr>
              <w:t>Hallintotuomioistuinten palvelukseenottomenettelyjen päättäminen</w:t>
            </w:r>
          </w:p>
        </w:tc>
      </w:tr>
      <w:tr w:rsidR="00E42B18" w14:paraId="4440F19E" w14:textId="77777777">
        <w:trPr>
          <w:trHeight w:val="300"/>
        </w:trPr>
        <w:tc>
          <w:tcPr>
            <w:tcW w:w="1435" w:type="dxa"/>
            <w:shd w:val="clear" w:color="auto" w:fill="C6EFCE"/>
            <w:tcMar>
              <w:left w:w="108" w:type="dxa"/>
              <w:right w:w="108" w:type="dxa"/>
            </w:tcMar>
            <w:vAlign w:val="center"/>
          </w:tcPr>
          <w:p w14:paraId="5AB7F0CF" w14:textId="77777777" w:rsidR="00E42B18" w:rsidRDefault="009629C4">
            <w:pPr>
              <w:pStyle w:val="P68B1DB1-Normal121"/>
              <w:spacing w:after="0" w:line="240" w:lineRule="auto"/>
              <w:jc w:val="center"/>
              <w:rPr>
                <w:noProof/>
              </w:rPr>
            </w:pPr>
            <w:r>
              <w:rPr>
                <w:noProof/>
              </w:rPr>
              <w:t>M1C1–41</w:t>
            </w:r>
          </w:p>
        </w:tc>
        <w:tc>
          <w:tcPr>
            <w:tcW w:w="3538" w:type="dxa"/>
            <w:shd w:val="clear" w:color="auto" w:fill="C6EFCE"/>
            <w:tcMar>
              <w:left w:w="108" w:type="dxa"/>
              <w:right w:w="108" w:type="dxa"/>
            </w:tcMar>
            <w:vAlign w:val="center"/>
          </w:tcPr>
          <w:p w14:paraId="5D9E2AAF" w14:textId="77777777" w:rsidR="00E42B18" w:rsidRDefault="009629C4">
            <w:pPr>
              <w:pStyle w:val="P68B1DB1-Normal121"/>
              <w:spacing w:after="0" w:line="240" w:lineRule="auto"/>
              <w:rPr>
                <w:noProof/>
              </w:rPr>
            </w:pPr>
            <w:r>
              <w:rPr>
                <w:noProof/>
              </w:rPr>
              <w:t>Investointi 1.8: Hallintotuomioistuinten palvelukseenottomenettelyt</w:t>
            </w:r>
          </w:p>
        </w:tc>
        <w:tc>
          <w:tcPr>
            <w:tcW w:w="1185" w:type="dxa"/>
            <w:shd w:val="clear" w:color="auto" w:fill="C6EFCE"/>
            <w:tcMar>
              <w:left w:w="108" w:type="dxa"/>
              <w:right w:w="108" w:type="dxa"/>
            </w:tcMar>
            <w:vAlign w:val="center"/>
          </w:tcPr>
          <w:p w14:paraId="17D87496"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65FD5F61" w14:textId="77777777" w:rsidR="00E42B18" w:rsidRDefault="009629C4">
            <w:pPr>
              <w:pStyle w:val="P68B1DB1-Normal121"/>
              <w:spacing w:after="0" w:line="240" w:lineRule="auto"/>
              <w:rPr>
                <w:noProof/>
              </w:rPr>
            </w:pPr>
            <w:r>
              <w:rPr>
                <w:noProof/>
              </w:rPr>
              <w:t>Hallinnollisten aluetuomioistuinten käsittelyruuhkan vähentäminen</w:t>
            </w:r>
          </w:p>
        </w:tc>
      </w:tr>
      <w:tr w:rsidR="00E42B18" w14:paraId="3983E530" w14:textId="77777777">
        <w:trPr>
          <w:trHeight w:val="300"/>
        </w:trPr>
        <w:tc>
          <w:tcPr>
            <w:tcW w:w="1435" w:type="dxa"/>
            <w:shd w:val="clear" w:color="auto" w:fill="C6EFCE"/>
            <w:tcMar>
              <w:left w:w="108" w:type="dxa"/>
              <w:right w:w="108" w:type="dxa"/>
            </w:tcMar>
            <w:vAlign w:val="center"/>
          </w:tcPr>
          <w:p w14:paraId="0A820B06" w14:textId="77777777" w:rsidR="00E42B18" w:rsidRDefault="009629C4">
            <w:pPr>
              <w:pStyle w:val="P68B1DB1-Normal121"/>
              <w:spacing w:after="0" w:line="240" w:lineRule="auto"/>
              <w:jc w:val="center"/>
              <w:rPr>
                <w:noProof/>
              </w:rPr>
            </w:pPr>
            <w:r>
              <w:rPr>
                <w:noProof/>
              </w:rPr>
              <w:t>M1C1–42</w:t>
            </w:r>
          </w:p>
        </w:tc>
        <w:tc>
          <w:tcPr>
            <w:tcW w:w="3538" w:type="dxa"/>
            <w:shd w:val="clear" w:color="auto" w:fill="C6EFCE"/>
            <w:tcMar>
              <w:left w:w="108" w:type="dxa"/>
              <w:right w:w="108" w:type="dxa"/>
            </w:tcMar>
            <w:vAlign w:val="center"/>
          </w:tcPr>
          <w:p w14:paraId="39EDA9BD" w14:textId="77777777" w:rsidR="00E42B18" w:rsidRDefault="009629C4">
            <w:pPr>
              <w:pStyle w:val="P68B1DB1-Normal121"/>
              <w:spacing w:after="0" w:line="240" w:lineRule="auto"/>
              <w:rPr>
                <w:noProof/>
              </w:rPr>
            </w:pPr>
            <w:r>
              <w:rPr>
                <w:noProof/>
              </w:rPr>
              <w:t>Investointi 1.8: Hallintotuomioistuinten palvelukseenottomenettelyt</w:t>
            </w:r>
          </w:p>
        </w:tc>
        <w:tc>
          <w:tcPr>
            <w:tcW w:w="1185" w:type="dxa"/>
            <w:shd w:val="clear" w:color="auto" w:fill="C6EFCE"/>
            <w:tcMar>
              <w:left w:w="108" w:type="dxa"/>
              <w:right w:w="108" w:type="dxa"/>
            </w:tcMar>
            <w:vAlign w:val="center"/>
          </w:tcPr>
          <w:p w14:paraId="6D959937"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1F23BFDB" w14:textId="77777777" w:rsidR="00E42B18" w:rsidRDefault="009629C4">
            <w:pPr>
              <w:pStyle w:val="P68B1DB1-Normal121"/>
              <w:spacing w:after="0" w:line="240" w:lineRule="auto"/>
              <w:rPr>
                <w:noProof/>
              </w:rPr>
            </w:pPr>
            <w:r>
              <w:rPr>
                <w:noProof/>
              </w:rPr>
              <w:t>Kasaantuneiden asioiden suman vähentäminen korkeimman hallinto-oikeuden osalta</w:t>
            </w:r>
          </w:p>
        </w:tc>
      </w:tr>
      <w:tr w:rsidR="00E42B18" w14:paraId="3AD072E4" w14:textId="77777777">
        <w:trPr>
          <w:trHeight w:val="300"/>
        </w:trPr>
        <w:tc>
          <w:tcPr>
            <w:tcW w:w="1435" w:type="dxa"/>
            <w:shd w:val="clear" w:color="auto" w:fill="C6EFCE"/>
            <w:tcMar>
              <w:left w:w="108" w:type="dxa"/>
              <w:right w:w="108" w:type="dxa"/>
            </w:tcMar>
            <w:vAlign w:val="center"/>
          </w:tcPr>
          <w:p w14:paraId="13FC37DC" w14:textId="77777777" w:rsidR="00E42B18" w:rsidRDefault="009629C4">
            <w:pPr>
              <w:pStyle w:val="P68B1DB1-Normal121"/>
              <w:spacing w:after="0" w:line="240" w:lineRule="auto"/>
              <w:jc w:val="center"/>
              <w:rPr>
                <w:noProof/>
              </w:rPr>
            </w:pPr>
            <w:r>
              <w:rPr>
                <w:noProof/>
              </w:rPr>
              <w:t>M1C1–59 A</w:t>
            </w:r>
          </w:p>
        </w:tc>
        <w:tc>
          <w:tcPr>
            <w:tcW w:w="3538" w:type="dxa"/>
            <w:shd w:val="clear" w:color="auto" w:fill="C6EFCE"/>
            <w:tcMar>
              <w:left w:w="108" w:type="dxa"/>
              <w:right w:w="108" w:type="dxa"/>
            </w:tcMar>
            <w:vAlign w:val="center"/>
          </w:tcPr>
          <w:p w14:paraId="4DF7A918" w14:textId="77777777" w:rsidR="00E42B18" w:rsidRDefault="009629C4">
            <w:pPr>
              <w:pStyle w:val="P68B1DB1-Normal121"/>
              <w:spacing w:after="0" w:line="240" w:lineRule="auto"/>
              <w:rPr>
                <w:noProof/>
              </w:rPr>
            </w:pPr>
            <w:r>
              <w:rPr>
                <w:noProof/>
              </w:rPr>
              <w:t xml:space="preserve">Uudistus 1.9: Julkishallinnon uudistaminen </w:t>
            </w:r>
          </w:p>
        </w:tc>
        <w:tc>
          <w:tcPr>
            <w:tcW w:w="1185" w:type="dxa"/>
            <w:shd w:val="clear" w:color="auto" w:fill="C6EFCE"/>
            <w:tcMar>
              <w:left w:w="108" w:type="dxa"/>
              <w:right w:w="108" w:type="dxa"/>
            </w:tcMar>
            <w:vAlign w:val="center"/>
          </w:tcPr>
          <w:p w14:paraId="311EE412"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09206507" w14:textId="77777777" w:rsidR="00E42B18" w:rsidRDefault="009629C4">
            <w:pPr>
              <w:pStyle w:val="P68B1DB1-Normal121"/>
              <w:spacing w:after="0" w:line="240" w:lineRule="auto"/>
              <w:rPr>
                <w:noProof/>
              </w:rPr>
            </w:pPr>
            <w:r>
              <w:rPr>
                <w:noProof/>
              </w:rPr>
              <w:t>Strategisen henkilöstöhallinnon täytäntöönpano julkishallinnossa</w:t>
            </w:r>
          </w:p>
        </w:tc>
      </w:tr>
      <w:tr w:rsidR="00E42B18" w14:paraId="0BB6CB4C" w14:textId="77777777">
        <w:trPr>
          <w:trHeight w:val="300"/>
        </w:trPr>
        <w:tc>
          <w:tcPr>
            <w:tcW w:w="1435" w:type="dxa"/>
            <w:shd w:val="clear" w:color="auto" w:fill="C6EFCE"/>
            <w:tcMar>
              <w:left w:w="108" w:type="dxa"/>
              <w:right w:w="108" w:type="dxa"/>
            </w:tcMar>
            <w:vAlign w:val="center"/>
          </w:tcPr>
          <w:p w14:paraId="69D47B41" w14:textId="77777777" w:rsidR="00E42B18" w:rsidRDefault="009629C4">
            <w:pPr>
              <w:pStyle w:val="P68B1DB1-Normal121"/>
              <w:spacing w:after="0" w:line="240" w:lineRule="auto"/>
              <w:jc w:val="center"/>
              <w:rPr>
                <w:noProof/>
              </w:rPr>
            </w:pPr>
            <w:r>
              <w:rPr>
                <w:noProof/>
              </w:rPr>
              <w:t>M1C1–73a</w:t>
            </w:r>
          </w:p>
        </w:tc>
        <w:tc>
          <w:tcPr>
            <w:tcW w:w="3538" w:type="dxa"/>
            <w:shd w:val="clear" w:color="auto" w:fill="C6EFCE"/>
            <w:tcMar>
              <w:left w:w="108" w:type="dxa"/>
              <w:right w:w="108" w:type="dxa"/>
            </w:tcMar>
            <w:vAlign w:val="center"/>
          </w:tcPr>
          <w:p w14:paraId="17895212"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185" w:type="dxa"/>
            <w:shd w:val="clear" w:color="auto" w:fill="C6EFCE"/>
            <w:tcMar>
              <w:left w:w="108" w:type="dxa"/>
              <w:right w:w="108" w:type="dxa"/>
            </w:tcMar>
            <w:vAlign w:val="center"/>
          </w:tcPr>
          <w:p w14:paraId="0A1E2DC5"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42CE9F01" w14:textId="77777777" w:rsidR="00E42B18" w:rsidRDefault="009629C4">
            <w:pPr>
              <w:pStyle w:val="P68B1DB1-Normal121"/>
              <w:spacing w:after="0" w:line="240" w:lineRule="auto"/>
              <w:rPr>
                <w:noProof/>
              </w:rPr>
            </w:pPr>
            <w:r>
              <w:rPr>
                <w:noProof/>
              </w:rPr>
              <w:t>Hankintaviranomaisten kelpuuttamisjärjestelmää koskevan yleiskirjeen hyväksyminen</w:t>
            </w:r>
          </w:p>
        </w:tc>
      </w:tr>
      <w:tr w:rsidR="00E42B18" w14:paraId="47AB7FEE" w14:textId="77777777">
        <w:trPr>
          <w:trHeight w:val="300"/>
        </w:trPr>
        <w:tc>
          <w:tcPr>
            <w:tcW w:w="1435" w:type="dxa"/>
            <w:shd w:val="clear" w:color="auto" w:fill="C6EFCE"/>
            <w:tcMar>
              <w:left w:w="108" w:type="dxa"/>
              <w:right w:w="108" w:type="dxa"/>
            </w:tcMar>
            <w:vAlign w:val="center"/>
          </w:tcPr>
          <w:p w14:paraId="7EA1E597" w14:textId="77777777" w:rsidR="00E42B18" w:rsidRDefault="009629C4">
            <w:pPr>
              <w:pStyle w:val="P68B1DB1-Normal121"/>
              <w:spacing w:after="0" w:line="240" w:lineRule="auto"/>
              <w:jc w:val="center"/>
              <w:rPr>
                <w:noProof/>
              </w:rPr>
            </w:pPr>
            <w:r>
              <w:rPr>
                <w:noProof/>
              </w:rPr>
              <w:t>M1C1–108</w:t>
            </w:r>
          </w:p>
        </w:tc>
        <w:tc>
          <w:tcPr>
            <w:tcW w:w="3538" w:type="dxa"/>
            <w:shd w:val="clear" w:color="auto" w:fill="C6EFCE"/>
            <w:tcMar>
              <w:left w:w="108" w:type="dxa"/>
              <w:right w:w="108" w:type="dxa"/>
            </w:tcMar>
            <w:vAlign w:val="center"/>
          </w:tcPr>
          <w:p w14:paraId="23F1E0E5" w14:textId="77777777" w:rsidR="00E42B18" w:rsidRDefault="009629C4">
            <w:pPr>
              <w:pStyle w:val="P68B1DB1-Normal121"/>
              <w:spacing w:after="0" w:line="240" w:lineRule="auto"/>
              <w:rPr>
                <w:noProof/>
              </w:rPr>
            </w:pPr>
            <w:r>
              <w:rPr>
                <w:noProof/>
              </w:rPr>
              <w:t>Uudistus 1.15: Julkisen tilinpidon sääntöjen uudistaminen</w:t>
            </w:r>
          </w:p>
        </w:tc>
        <w:tc>
          <w:tcPr>
            <w:tcW w:w="1185" w:type="dxa"/>
            <w:shd w:val="clear" w:color="auto" w:fill="C6EFCE"/>
            <w:tcMar>
              <w:left w:w="108" w:type="dxa"/>
              <w:right w:w="108" w:type="dxa"/>
            </w:tcMar>
            <w:vAlign w:val="center"/>
          </w:tcPr>
          <w:p w14:paraId="114D8198"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657153DF" w14:textId="77777777" w:rsidR="00E42B18" w:rsidRDefault="009629C4">
            <w:pPr>
              <w:pStyle w:val="P68B1DB1-Normal121"/>
              <w:spacing w:after="0" w:line="240" w:lineRule="auto"/>
              <w:rPr>
                <w:noProof/>
              </w:rPr>
            </w:pPr>
            <w:r>
              <w:rPr>
                <w:noProof/>
              </w:rPr>
              <w:t>Käsitteellisen viitekehyksen, suoriteperusteisen kirjanpidon standardien ja moniulotteisen tililuettelon hyväksyminen</w:t>
            </w:r>
          </w:p>
        </w:tc>
      </w:tr>
      <w:tr w:rsidR="00E42B18" w14:paraId="0D7CF0C1" w14:textId="77777777">
        <w:trPr>
          <w:trHeight w:val="300"/>
        </w:trPr>
        <w:tc>
          <w:tcPr>
            <w:tcW w:w="1435" w:type="dxa"/>
            <w:shd w:val="clear" w:color="auto" w:fill="C6EFCE"/>
            <w:tcMar>
              <w:left w:w="108" w:type="dxa"/>
              <w:right w:w="108" w:type="dxa"/>
            </w:tcMar>
            <w:vAlign w:val="center"/>
          </w:tcPr>
          <w:p w14:paraId="1957B936" w14:textId="77777777" w:rsidR="00E42B18" w:rsidRDefault="009629C4">
            <w:pPr>
              <w:pStyle w:val="P68B1DB1-Normal121"/>
              <w:spacing w:after="0" w:line="240" w:lineRule="auto"/>
              <w:jc w:val="center"/>
              <w:rPr>
                <w:noProof/>
              </w:rPr>
            </w:pPr>
            <w:r>
              <w:rPr>
                <w:noProof/>
              </w:rPr>
              <w:t>M1C1–111</w:t>
            </w:r>
          </w:p>
        </w:tc>
        <w:tc>
          <w:tcPr>
            <w:tcW w:w="3538" w:type="dxa"/>
            <w:shd w:val="clear" w:color="auto" w:fill="C6EFCE"/>
            <w:tcMar>
              <w:left w:w="108" w:type="dxa"/>
              <w:right w:w="108" w:type="dxa"/>
            </w:tcMar>
            <w:vAlign w:val="center"/>
          </w:tcPr>
          <w:p w14:paraId="556907BC" w14:textId="77777777" w:rsidR="00E42B18" w:rsidRDefault="009629C4">
            <w:pPr>
              <w:pStyle w:val="P68B1DB1-Normal121"/>
              <w:spacing w:after="0" w:line="240" w:lineRule="auto"/>
              <w:rPr>
                <w:noProof/>
              </w:rPr>
            </w:pPr>
            <w:r>
              <w:rPr>
                <w:noProof/>
              </w:rPr>
              <w:t>Uudistus 1.13: Menojen uudelleentarkastelua koskevan kehyksen uudistaminen</w:t>
            </w:r>
          </w:p>
        </w:tc>
        <w:tc>
          <w:tcPr>
            <w:tcW w:w="1185" w:type="dxa"/>
            <w:shd w:val="clear" w:color="auto" w:fill="C6EFCE"/>
            <w:tcMar>
              <w:left w:w="108" w:type="dxa"/>
              <w:right w:w="108" w:type="dxa"/>
            </w:tcMar>
            <w:vAlign w:val="center"/>
          </w:tcPr>
          <w:p w14:paraId="395A9D33"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644D8890" w14:textId="77777777" w:rsidR="00E42B18" w:rsidRDefault="009629C4">
            <w:pPr>
              <w:pStyle w:val="P68B1DB1-Normal121"/>
              <w:spacing w:after="0" w:line="240" w:lineRule="auto"/>
              <w:rPr>
                <w:noProof/>
              </w:rPr>
            </w:pPr>
            <w:r>
              <w:rPr>
                <w:noProof/>
              </w:rPr>
              <w:t>Vuotta 2023 koskevan vuotuisen menoarvion loppuun saattaminen ottaen huomioon vuonna 2022 vuodelle 2023 asetettu säästötavoite</w:t>
            </w:r>
          </w:p>
        </w:tc>
      </w:tr>
      <w:tr w:rsidR="00E42B18" w14:paraId="6283A2E5" w14:textId="77777777">
        <w:trPr>
          <w:trHeight w:val="300"/>
        </w:trPr>
        <w:tc>
          <w:tcPr>
            <w:tcW w:w="1435" w:type="dxa"/>
            <w:shd w:val="clear" w:color="auto" w:fill="C6EFCE"/>
            <w:tcMar>
              <w:left w:w="108" w:type="dxa"/>
              <w:right w:w="108" w:type="dxa"/>
            </w:tcMar>
            <w:vAlign w:val="center"/>
          </w:tcPr>
          <w:p w14:paraId="0D2CD9EF" w14:textId="77777777" w:rsidR="00E42B18" w:rsidRDefault="009629C4">
            <w:pPr>
              <w:pStyle w:val="P68B1DB1-Normal121"/>
              <w:spacing w:after="0" w:line="240" w:lineRule="auto"/>
              <w:jc w:val="center"/>
              <w:rPr>
                <w:noProof/>
              </w:rPr>
            </w:pPr>
            <w:r>
              <w:rPr>
                <w:noProof/>
              </w:rPr>
              <w:t>M1C1–112</w:t>
            </w:r>
          </w:p>
        </w:tc>
        <w:tc>
          <w:tcPr>
            <w:tcW w:w="3538" w:type="dxa"/>
            <w:shd w:val="clear" w:color="auto" w:fill="C6EFCE"/>
            <w:tcMar>
              <w:left w:w="108" w:type="dxa"/>
              <w:right w:w="108" w:type="dxa"/>
            </w:tcMar>
            <w:vAlign w:val="center"/>
          </w:tcPr>
          <w:p w14:paraId="0CB153AF" w14:textId="77777777" w:rsidR="00E42B18" w:rsidRDefault="009629C4">
            <w:pPr>
              <w:pStyle w:val="P68B1DB1-Normal121"/>
              <w:spacing w:after="0" w:line="240" w:lineRule="auto"/>
              <w:rPr>
                <w:noProof/>
              </w:rPr>
            </w:pPr>
            <w:r>
              <w:rPr>
                <w:noProof/>
              </w:rPr>
              <w:t>Uudistus 1.12: Verohallinnon uudistaminen</w:t>
            </w:r>
          </w:p>
        </w:tc>
        <w:tc>
          <w:tcPr>
            <w:tcW w:w="1185" w:type="dxa"/>
            <w:shd w:val="clear" w:color="auto" w:fill="C6EFCE"/>
            <w:tcMar>
              <w:left w:w="108" w:type="dxa"/>
              <w:right w:w="108" w:type="dxa"/>
            </w:tcMar>
            <w:vAlign w:val="center"/>
          </w:tcPr>
          <w:p w14:paraId="09E41A59"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0ED37D89" w14:textId="77777777" w:rsidR="00E42B18" w:rsidRDefault="009629C4">
            <w:pPr>
              <w:pStyle w:val="P68B1DB1-Normal121"/>
              <w:spacing w:after="0" w:line="240" w:lineRule="auto"/>
              <w:rPr>
                <w:noProof/>
              </w:rPr>
            </w:pPr>
            <w:r>
              <w:rPr>
                <w:noProof/>
              </w:rPr>
              <w:t>Verohallinnon operatiivisten valmiuksien parantaminen verohallinnon vuosia 2021–2023 koskevassa suoritussuunnitelmassa esitettyjen työhönottotavoitteiden mukaisesti</w:t>
            </w:r>
          </w:p>
        </w:tc>
      </w:tr>
      <w:tr w:rsidR="00E42B18" w14:paraId="36C0FCE8" w14:textId="77777777">
        <w:trPr>
          <w:trHeight w:val="300"/>
        </w:trPr>
        <w:tc>
          <w:tcPr>
            <w:tcW w:w="1435" w:type="dxa"/>
            <w:shd w:val="clear" w:color="auto" w:fill="C6EFCE"/>
            <w:tcMar>
              <w:left w:w="108" w:type="dxa"/>
              <w:right w:w="108" w:type="dxa"/>
            </w:tcMar>
            <w:vAlign w:val="center"/>
          </w:tcPr>
          <w:p w14:paraId="6F0D18E2" w14:textId="77777777" w:rsidR="00E42B18" w:rsidRDefault="009629C4">
            <w:pPr>
              <w:pStyle w:val="P68B1DB1-Normal121"/>
              <w:spacing w:after="0" w:line="240" w:lineRule="auto"/>
              <w:jc w:val="center"/>
              <w:rPr>
                <w:noProof/>
              </w:rPr>
            </w:pPr>
            <w:r>
              <w:rPr>
                <w:noProof/>
              </w:rPr>
              <w:t>M1C2–2</w:t>
            </w:r>
          </w:p>
        </w:tc>
        <w:tc>
          <w:tcPr>
            <w:tcW w:w="3538" w:type="dxa"/>
            <w:shd w:val="clear" w:color="auto" w:fill="C6EFCE"/>
            <w:tcMar>
              <w:left w:w="108" w:type="dxa"/>
              <w:right w:w="108" w:type="dxa"/>
            </w:tcMar>
            <w:vAlign w:val="center"/>
          </w:tcPr>
          <w:p w14:paraId="6480934E" w14:textId="77777777" w:rsidR="00E42B18" w:rsidRDefault="009629C4">
            <w:pPr>
              <w:pStyle w:val="P68B1DB1-Normal121"/>
              <w:spacing w:after="0" w:line="240" w:lineRule="auto"/>
              <w:rPr>
                <w:noProof/>
              </w:rPr>
            </w:pPr>
            <w:r>
              <w:rPr>
                <w:noProof/>
              </w:rPr>
              <w:t>Investointi 1: Siirtymä 4.0</w:t>
            </w:r>
          </w:p>
        </w:tc>
        <w:tc>
          <w:tcPr>
            <w:tcW w:w="1185" w:type="dxa"/>
            <w:shd w:val="clear" w:color="auto" w:fill="C6EFCE"/>
            <w:tcMar>
              <w:left w:w="108" w:type="dxa"/>
              <w:right w:w="108" w:type="dxa"/>
            </w:tcMar>
            <w:vAlign w:val="center"/>
          </w:tcPr>
          <w:p w14:paraId="33A00542"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1CF67A5D" w14:textId="77777777" w:rsidR="00E42B18" w:rsidRDefault="009629C4">
            <w:pPr>
              <w:pStyle w:val="P68B1DB1-Normal121"/>
              <w:spacing w:after="0" w:line="240" w:lineRule="auto"/>
              <w:rPr>
                <w:noProof/>
              </w:rPr>
            </w:pPr>
            <w:r>
              <w:rPr>
                <w:noProof/>
              </w:rPr>
              <w:t>Siirtymä 4.0 yrityksille vuosina 2021–2022 esitettyjen veroilmoitusten perusteella myönnetyt verohyvitykset</w:t>
            </w:r>
          </w:p>
        </w:tc>
      </w:tr>
      <w:tr w:rsidR="00E42B18" w14:paraId="5164E07D" w14:textId="77777777">
        <w:trPr>
          <w:trHeight w:val="300"/>
        </w:trPr>
        <w:tc>
          <w:tcPr>
            <w:tcW w:w="1435" w:type="dxa"/>
            <w:shd w:val="clear" w:color="auto" w:fill="C6EFCE"/>
            <w:tcMar>
              <w:left w:w="108" w:type="dxa"/>
              <w:right w:w="108" w:type="dxa"/>
            </w:tcMar>
            <w:vAlign w:val="center"/>
          </w:tcPr>
          <w:p w14:paraId="24B30FD3" w14:textId="77777777" w:rsidR="00E42B18" w:rsidRDefault="009629C4">
            <w:pPr>
              <w:pStyle w:val="P68B1DB1-Normal121"/>
              <w:spacing w:after="0" w:line="240" w:lineRule="auto"/>
              <w:jc w:val="center"/>
              <w:rPr>
                <w:noProof/>
              </w:rPr>
            </w:pPr>
            <w:r>
              <w:rPr>
                <w:noProof/>
              </w:rPr>
              <w:t>M1C3–9</w:t>
            </w:r>
          </w:p>
        </w:tc>
        <w:tc>
          <w:tcPr>
            <w:tcW w:w="3538" w:type="dxa"/>
            <w:shd w:val="clear" w:color="auto" w:fill="C6EFCE"/>
            <w:tcMar>
              <w:left w:w="108" w:type="dxa"/>
              <w:right w:w="108" w:type="dxa"/>
            </w:tcMar>
            <w:vAlign w:val="center"/>
          </w:tcPr>
          <w:p w14:paraId="0472C655" w14:textId="77777777" w:rsidR="00E42B18" w:rsidRDefault="009629C4">
            <w:pPr>
              <w:pStyle w:val="P68B1DB1-Normal121"/>
              <w:spacing w:after="0" w:line="240" w:lineRule="auto"/>
              <w:rPr>
                <w:noProof/>
              </w:rPr>
            </w:pPr>
            <w:r>
              <w:rPr>
                <w:noProof/>
              </w:rPr>
              <w:t>Investointi 4.1 Digitaalisen matkailun keskus</w:t>
            </w:r>
          </w:p>
        </w:tc>
        <w:tc>
          <w:tcPr>
            <w:tcW w:w="1185" w:type="dxa"/>
            <w:shd w:val="clear" w:color="auto" w:fill="C6EFCE"/>
            <w:tcMar>
              <w:left w:w="108" w:type="dxa"/>
              <w:right w:w="108" w:type="dxa"/>
            </w:tcMar>
            <w:vAlign w:val="center"/>
          </w:tcPr>
          <w:p w14:paraId="422F5297"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2C804F09" w14:textId="77777777" w:rsidR="00E42B18" w:rsidRDefault="009629C4">
            <w:pPr>
              <w:pStyle w:val="P68B1DB1-Normal121"/>
              <w:spacing w:after="0" w:line="240" w:lineRule="auto"/>
              <w:rPr>
                <w:noProof/>
              </w:rPr>
            </w:pPr>
            <w:r>
              <w:rPr>
                <w:noProof/>
              </w:rPr>
              <w:t>Matkailualan toimijoiden osallistuminen digitaalisen matkailun keskukseen</w:t>
            </w:r>
          </w:p>
        </w:tc>
      </w:tr>
      <w:tr w:rsidR="00E42B18" w14:paraId="1DD3F2F2" w14:textId="77777777">
        <w:trPr>
          <w:trHeight w:val="300"/>
        </w:trPr>
        <w:tc>
          <w:tcPr>
            <w:tcW w:w="1435" w:type="dxa"/>
            <w:shd w:val="clear" w:color="auto" w:fill="C6EFCE"/>
            <w:tcMar>
              <w:left w:w="108" w:type="dxa"/>
              <w:right w:w="108" w:type="dxa"/>
            </w:tcMar>
            <w:vAlign w:val="center"/>
          </w:tcPr>
          <w:p w14:paraId="2604FB8C" w14:textId="77777777" w:rsidR="00E42B18" w:rsidRDefault="009629C4">
            <w:pPr>
              <w:pStyle w:val="P68B1DB1-Normal121"/>
              <w:spacing w:after="0" w:line="240" w:lineRule="auto"/>
              <w:jc w:val="center"/>
              <w:rPr>
                <w:noProof/>
              </w:rPr>
            </w:pPr>
            <w:r>
              <w:rPr>
                <w:noProof/>
              </w:rPr>
              <w:t>M1C3–10</w:t>
            </w:r>
          </w:p>
        </w:tc>
        <w:tc>
          <w:tcPr>
            <w:tcW w:w="3538" w:type="dxa"/>
            <w:shd w:val="clear" w:color="auto" w:fill="C6EFCE"/>
            <w:tcMar>
              <w:left w:w="108" w:type="dxa"/>
              <w:right w:w="108" w:type="dxa"/>
            </w:tcMar>
            <w:vAlign w:val="center"/>
          </w:tcPr>
          <w:p w14:paraId="2832DF0F" w14:textId="77777777" w:rsidR="00E42B18" w:rsidRDefault="009629C4">
            <w:pPr>
              <w:pStyle w:val="P68B1DB1-Normal121"/>
              <w:spacing w:after="0" w:line="240" w:lineRule="auto"/>
              <w:rPr>
                <w:noProof/>
              </w:rPr>
            </w:pPr>
            <w:r>
              <w:rPr>
                <w:noProof/>
              </w:rPr>
              <w:t xml:space="preserve">Uudistus 4.1 Matkaoppaiden ammatteja koskeva sääntely. </w:t>
            </w:r>
          </w:p>
        </w:tc>
        <w:tc>
          <w:tcPr>
            <w:tcW w:w="1185" w:type="dxa"/>
            <w:shd w:val="clear" w:color="auto" w:fill="C6EFCE"/>
            <w:tcMar>
              <w:left w:w="108" w:type="dxa"/>
              <w:right w:w="108" w:type="dxa"/>
            </w:tcMar>
            <w:vAlign w:val="center"/>
          </w:tcPr>
          <w:p w14:paraId="42A41AF1"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2CAA56E2" w14:textId="77777777" w:rsidR="00E42B18" w:rsidRDefault="009629C4">
            <w:pPr>
              <w:pStyle w:val="P68B1DB1-Normal121"/>
              <w:spacing w:after="0" w:line="240" w:lineRule="auto"/>
              <w:rPr>
                <w:noProof/>
              </w:rPr>
            </w:pPr>
            <w:r>
              <w:rPr>
                <w:noProof/>
              </w:rPr>
              <w:t>Matkaoppaita koskevan kansallisen standardin määrittely</w:t>
            </w:r>
          </w:p>
        </w:tc>
      </w:tr>
      <w:tr w:rsidR="00E42B18" w14:paraId="2E072CDD" w14:textId="77777777">
        <w:trPr>
          <w:trHeight w:val="300"/>
        </w:trPr>
        <w:tc>
          <w:tcPr>
            <w:tcW w:w="1435" w:type="dxa"/>
            <w:shd w:val="clear" w:color="auto" w:fill="C6EFCE"/>
            <w:tcMar>
              <w:left w:w="108" w:type="dxa"/>
              <w:right w:w="108" w:type="dxa"/>
            </w:tcMar>
            <w:vAlign w:val="center"/>
          </w:tcPr>
          <w:p w14:paraId="671BF565" w14:textId="77777777" w:rsidR="00E42B18" w:rsidRDefault="009629C4">
            <w:pPr>
              <w:pStyle w:val="P68B1DB1-Normal121"/>
              <w:spacing w:after="0" w:line="240" w:lineRule="auto"/>
              <w:jc w:val="center"/>
              <w:rPr>
                <w:noProof/>
              </w:rPr>
            </w:pPr>
            <w:r>
              <w:rPr>
                <w:noProof/>
              </w:rPr>
              <w:t>M2C1–6</w:t>
            </w:r>
          </w:p>
        </w:tc>
        <w:tc>
          <w:tcPr>
            <w:tcW w:w="3538" w:type="dxa"/>
            <w:shd w:val="clear" w:color="auto" w:fill="C6EFCE"/>
            <w:tcMar>
              <w:left w:w="108" w:type="dxa"/>
              <w:right w:w="108" w:type="dxa"/>
            </w:tcMar>
            <w:vAlign w:val="center"/>
          </w:tcPr>
          <w:p w14:paraId="36A20879" w14:textId="77777777" w:rsidR="00E42B18" w:rsidRDefault="009629C4">
            <w:pPr>
              <w:pStyle w:val="P68B1DB1-Normal121"/>
              <w:spacing w:after="0" w:line="240" w:lineRule="auto"/>
              <w:rPr>
                <w:noProof/>
              </w:rPr>
            </w:pPr>
            <w:r>
              <w:rPr>
                <w:noProof/>
              </w:rPr>
              <w:t>Investointi 2.2: Maatalouden aurinkopuisto</w:t>
            </w:r>
          </w:p>
        </w:tc>
        <w:tc>
          <w:tcPr>
            <w:tcW w:w="1185" w:type="dxa"/>
            <w:shd w:val="clear" w:color="auto" w:fill="C6EFCE"/>
            <w:tcMar>
              <w:left w:w="108" w:type="dxa"/>
              <w:right w:w="108" w:type="dxa"/>
            </w:tcMar>
            <w:vAlign w:val="center"/>
          </w:tcPr>
          <w:p w14:paraId="012BC933"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07D268B2" w14:textId="77777777" w:rsidR="00E42B18" w:rsidRDefault="009629C4">
            <w:pPr>
              <w:pStyle w:val="P68B1DB1-Normal121"/>
              <w:spacing w:after="0" w:line="240" w:lineRule="auto"/>
              <w:rPr>
                <w:noProof/>
              </w:rPr>
            </w:pPr>
            <w:r>
              <w:rPr>
                <w:noProof/>
              </w:rPr>
              <w:t>Varojen kohdentaminen tuensaajille prosentteina investoinnille osoitetuista kokonaismäärärahoista</w:t>
            </w:r>
          </w:p>
        </w:tc>
      </w:tr>
      <w:tr w:rsidR="00E42B18" w14:paraId="3B66F3A2" w14:textId="77777777">
        <w:trPr>
          <w:trHeight w:val="300"/>
        </w:trPr>
        <w:tc>
          <w:tcPr>
            <w:tcW w:w="1435" w:type="dxa"/>
            <w:shd w:val="clear" w:color="auto" w:fill="C6EFCE"/>
            <w:tcMar>
              <w:left w:w="108" w:type="dxa"/>
              <w:right w:w="108" w:type="dxa"/>
            </w:tcMar>
            <w:vAlign w:val="center"/>
          </w:tcPr>
          <w:p w14:paraId="6450E21A" w14:textId="77777777" w:rsidR="00E42B18" w:rsidRDefault="009629C4">
            <w:pPr>
              <w:pStyle w:val="P68B1DB1-Normal121"/>
              <w:spacing w:after="0" w:line="240" w:lineRule="auto"/>
              <w:jc w:val="center"/>
              <w:rPr>
                <w:noProof/>
              </w:rPr>
            </w:pPr>
            <w:r>
              <w:rPr>
                <w:noProof/>
              </w:rPr>
              <w:t>M3C2–5</w:t>
            </w:r>
          </w:p>
        </w:tc>
        <w:tc>
          <w:tcPr>
            <w:tcW w:w="3538" w:type="dxa"/>
            <w:shd w:val="clear" w:color="auto" w:fill="C6EFCE"/>
            <w:tcMar>
              <w:left w:w="108" w:type="dxa"/>
              <w:right w:w="108" w:type="dxa"/>
            </w:tcMar>
            <w:vAlign w:val="center"/>
          </w:tcPr>
          <w:p w14:paraId="0DFEF067" w14:textId="77777777" w:rsidR="00E42B18" w:rsidRDefault="009629C4">
            <w:pPr>
              <w:pStyle w:val="P68B1DB1-Normal121"/>
              <w:spacing w:after="0" w:line="240" w:lineRule="auto"/>
              <w:rPr>
                <w:noProof/>
              </w:rPr>
            </w:pPr>
            <w:r>
              <w:rPr>
                <w:noProof/>
              </w:rPr>
              <w:t>Investointi 2.1 – Logistiikkaketjun digitalisointi</w:t>
            </w:r>
          </w:p>
        </w:tc>
        <w:tc>
          <w:tcPr>
            <w:tcW w:w="1185" w:type="dxa"/>
            <w:shd w:val="clear" w:color="auto" w:fill="C6EFCE"/>
            <w:tcMar>
              <w:left w:w="108" w:type="dxa"/>
              <w:right w:w="108" w:type="dxa"/>
            </w:tcMar>
            <w:vAlign w:val="center"/>
          </w:tcPr>
          <w:p w14:paraId="08595F43" w14:textId="77777777" w:rsidR="00E42B18" w:rsidRDefault="009629C4">
            <w:pPr>
              <w:pStyle w:val="P68B1DB1-Normal121"/>
              <w:spacing w:after="0" w:line="240" w:lineRule="auto"/>
              <w:jc w:val="center"/>
              <w:rPr>
                <w:noProof/>
              </w:rPr>
            </w:pPr>
            <w:r>
              <w:rPr>
                <w:noProof/>
              </w:rPr>
              <w:t>Kohde</w:t>
            </w:r>
          </w:p>
        </w:tc>
        <w:tc>
          <w:tcPr>
            <w:tcW w:w="3200" w:type="dxa"/>
            <w:shd w:val="clear" w:color="auto" w:fill="C6EFCE"/>
            <w:tcMar>
              <w:left w:w="108" w:type="dxa"/>
              <w:right w:w="108" w:type="dxa"/>
            </w:tcMar>
            <w:vAlign w:val="center"/>
          </w:tcPr>
          <w:p w14:paraId="67A83786" w14:textId="77777777" w:rsidR="00E42B18" w:rsidRDefault="009629C4">
            <w:pPr>
              <w:pStyle w:val="P68B1DB1-Normal121"/>
              <w:spacing w:after="0" w:line="240" w:lineRule="auto"/>
              <w:rPr>
                <w:noProof/>
              </w:rPr>
            </w:pPr>
            <w:r>
              <w:rPr>
                <w:noProof/>
              </w:rPr>
              <w:t>Logistiikkaketjun digitalisointi</w:t>
            </w:r>
          </w:p>
        </w:tc>
      </w:tr>
      <w:tr w:rsidR="00E42B18" w14:paraId="1A75F960" w14:textId="77777777">
        <w:trPr>
          <w:trHeight w:val="300"/>
        </w:trPr>
        <w:tc>
          <w:tcPr>
            <w:tcW w:w="1435" w:type="dxa"/>
            <w:shd w:val="clear" w:color="auto" w:fill="C6EFCE"/>
            <w:tcMar>
              <w:left w:w="108" w:type="dxa"/>
              <w:right w:w="108" w:type="dxa"/>
            </w:tcMar>
            <w:vAlign w:val="center"/>
          </w:tcPr>
          <w:p w14:paraId="779D7387" w14:textId="77777777" w:rsidR="00E42B18" w:rsidRDefault="009629C4">
            <w:pPr>
              <w:pStyle w:val="P68B1DB1-Normal121"/>
              <w:spacing w:after="0" w:line="240" w:lineRule="auto"/>
              <w:jc w:val="center"/>
              <w:rPr>
                <w:noProof/>
              </w:rPr>
            </w:pPr>
            <w:r>
              <w:rPr>
                <w:noProof/>
              </w:rPr>
              <w:t>M5C2–2</w:t>
            </w:r>
          </w:p>
        </w:tc>
        <w:tc>
          <w:tcPr>
            <w:tcW w:w="3538" w:type="dxa"/>
            <w:shd w:val="clear" w:color="auto" w:fill="C6EFCE"/>
            <w:tcMar>
              <w:left w:w="108" w:type="dxa"/>
              <w:right w:w="108" w:type="dxa"/>
            </w:tcMar>
            <w:vAlign w:val="center"/>
          </w:tcPr>
          <w:p w14:paraId="6E65EE89" w14:textId="77777777" w:rsidR="00E42B18" w:rsidRDefault="009629C4">
            <w:pPr>
              <w:pStyle w:val="P68B1DB1-Normal121"/>
              <w:spacing w:after="0" w:line="240" w:lineRule="auto"/>
              <w:rPr>
                <w:noProof/>
              </w:rPr>
            </w:pPr>
            <w:r>
              <w:rPr>
                <w:noProof/>
              </w:rPr>
              <w:t>Uudistus 1 – Vammaisuutta koskeva puitelaki</w:t>
            </w:r>
          </w:p>
        </w:tc>
        <w:tc>
          <w:tcPr>
            <w:tcW w:w="1185" w:type="dxa"/>
            <w:shd w:val="clear" w:color="auto" w:fill="C6EFCE"/>
            <w:tcMar>
              <w:left w:w="108" w:type="dxa"/>
              <w:right w:w="108" w:type="dxa"/>
            </w:tcMar>
            <w:vAlign w:val="center"/>
          </w:tcPr>
          <w:p w14:paraId="577CFE92" w14:textId="77777777" w:rsidR="00E42B18" w:rsidRDefault="009629C4">
            <w:pPr>
              <w:pStyle w:val="P68B1DB1-Normal121"/>
              <w:spacing w:after="0" w:line="240" w:lineRule="auto"/>
              <w:jc w:val="center"/>
              <w:rPr>
                <w:noProof/>
              </w:rPr>
            </w:pPr>
            <w:r>
              <w:rPr>
                <w:noProof/>
              </w:rPr>
              <w:t>Virstanpylväs</w:t>
            </w:r>
          </w:p>
        </w:tc>
        <w:tc>
          <w:tcPr>
            <w:tcW w:w="3200" w:type="dxa"/>
            <w:shd w:val="clear" w:color="auto" w:fill="C6EFCE"/>
            <w:tcMar>
              <w:left w:w="108" w:type="dxa"/>
              <w:right w:w="108" w:type="dxa"/>
            </w:tcMar>
            <w:vAlign w:val="center"/>
          </w:tcPr>
          <w:p w14:paraId="713F0A2B" w14:textId="77777777" w:rsidR="00E42B18" w:rsidRDefault="009629C4">
            <w:pPr>
              <w:pStyle w:val="P68B1DB1-Normal121"/>
              <w:spacing w:after="0" w:line="240" w:lineRule="auto"/>
              <w:rPr>
                <w:noProof/>
              </w:rPr>
            </w:pPr>
            <w:r>
              <w:rPr>
                <w:noProof/>
              </w:rPr>
              <w:t>Sellaisten asetusten voimaantulo, joilla kehitetään puitelain säännöksiä vammaisten henkilöiden itsenäisyyden vahvistamiseksi</w:t>
            </w:r>
          </w:p>
        </w:tc>
      </w:tr>
      <w:tr w:rsidR="00E42B18" w14:paraId="57E4B01C" w14:textId="77777777">
        <w:trPr>
          <w:trHeight w:val="300"/>
        </w:trPr>
        <w:tc>
          <w:tcPr>
            <w:tcW w:w="1435" w:type="dxa"/>
            <w:shd w:val="clear" w:color="auto" w:fill="C6EFCE"/>
            <w:tcMar>
              <w:left w:w="108" w:type="dxa"/>
              <w:right w:w="108" w:type="dxa"/>
            </w:tcMar>
            <w:vAlign w:val="center"/>
          </w:tcPr>
          <w:p w14:paraId="3AECA520" w14:textId="77777777" w:rsidR="00E42B18" w:rsidRDefault="00E42B18">
            <w:pPr>
              <w:spacing w:after="0" w:line="240" w:lineRule="auto"/>
              <w:jc w:val="center"/>
              <w:rPr>
                <w:rFonts w:ascii="Times New Roman" w:eastAsia="Times New Roman" w:hAnsi="Times New Roman" w:cs="Times New Roman"/>
                <w:noProof/>
              </w:rPr>
            </w:pPr>
          </w:p>
        </w:tc>
        <w:tc>
          <w:tcPr>
            <w:tcW w:w="3538" w:type="dxa"/>
            <w:shd w:val="clear" w:color="auto" w:fill="C6EFCE"/>
            <w:tcMar>
              <w:left w:w="108" w:type="dxa"/>
              <w:right w:w="108" w:type="dxa"/>
            </w:tcMar>
            <w:vAlign w:val="center"/>
          </w:tcPr>
          <w:p w14:paraId="2387A0E2" w14:textId="77777777" w:rsidR="00E42B18" w:rsidRDefault="009629C4">
            <w:pPr>
              <w:pStyle w:val="P68B1DB1-Normal121"/>
              <w:spacing w:after="0" w:line="240" w:lineRule="auto"/>
              <w:rPr>
                <w:noProof/>
              </w:rPr>
            </w:pPr>
            <w:r>
              <w:rPr>
                <w:noProof/>
              </w:rPr>
              <w:t xml:space="preserve"> </w:t>
            </w:r>
          </w:p>
        </w:tc>
        <w:tc>
          <w:tcPr>
            <w:tcW w:w="1185" w:type="dxa"/>
            <w:shd w:val="clear" w:color="auto" w:fill="C6EFCE"/>
            <w:tcMar>
              <w:left w:w="108" w:type="dxa"/>
              <w:right w:w="108" w:type="dxa"/>
            </w:tcMar>
            <w:vAlign w:val="center"/>
          </w:tcPr>
          <w:p w14:paraId="2533B2EE" w14:textId="77777777" w:rsidR="00E42B18" w:rsidRDefault="009629C4">
            <w:pPr>
              <w:pStyle w:val="P68B1DB1-Normal121"/>
              <w:spacing w:after="0" w:line="240" w:lineRule="auto"/>
              <w:jc w:val="center"/>
              <w:rPr>
                <w:noProof/>
              </w:rPr>
            </w:pPr>
            <w:r>
              <w:rPr>
                <w:noProof/>
              </w:rPr>
              <w:t>Maksuerän määrä</w:t>
            </w:r>
          </w:p>
        </w:tc>
        <w:tc>
          <w:tcPr>
            <w:tcW w:w="3200" w:type="dxa"/>
            <w:shd w:val="clear" w:color="auto" w:fill="C6EFCE"/>
            <w:tcMar>
              <w:left w:w="108" w:type="dxa"/>
              <w:right w:w="108" w:type="dxa"/>
            </w:tcMar>
            <w:vAlign w:val="center"/>
          </w:tcPr>
          <w:p w14:paraId="4B640A1C"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2053579667</w:t>
            </w:r>
            <w:r>
              <w:rPr>
                <w:noProof/>
                <w:sz w:val="23"/>
                <w:szCs w:val="23"/>
              </w:rPr>
              <w:t xml:space="preserve">  </w:t>
            </w:r>
            <w:r>
              <w:rPr>
                <w:noProof/>
                <w:color w:val="006100"/>
                <w:sz w:val="20"/>
                <w:szCs w:val="20"/>
              </w:rPr>
              <w:t>EUROA</w:t>
            </w:r>
          </w:p>
        </w:tc>
      </w:tr>
    </w:tbl>
    <w:p w14:paraId="7B44F723" w14:textId="77777777" w:rsidR="00E42B18" w:rsidRDefault="00E42B18">
      <w:pPr>
        <w:spacing w:after="0"/>
        <w:ind w:left="850"/>
        <w:contextualSpacing/>
        <w:jc w:val="both"/>
        <w:rPr>
          <w:rFonts w:ascii="Times New Roman" w:eastAsia="Times New Roman" w:hAnsi="Times New Roman" w:cs="Times New Roman"/>
          <w:noProof/>
        </w:rPr>
      </w:pPr>
    </w:p>
    <w:p w14:paraId="1FC9F92C" w14:textId="77777777" w:rsidR="00E42B18" w:rsidRDefault="009629C4">
      <w:pPr>
        <w:pStyle w:val="P68B1DB1-Heading4119"/>
        <w:numPr>
          <w:ilvl w:val="1"/>
          <w:numId w:val="180"/>
        </w:numPr>
        <w:tabs>
          <w:tab w:val="num" w:pos="1440"/>
        </w:tabs>
        <w:ind w:left="1440" w:hanging="360"/>
        <w:rPr>
          <w:noProof/>
        </w:rPr>
      </w:pPr>
      <w:r>
        <w:rPr>
          <w:noProof/>
        </w:rPr>
        <w:t>Seitsemäs erä (tuki, jota ei makseta takaisin):</w:t>
      </w:r>
    </w:p>
    <w:tbl>
      <w:tblPr>
        <w:tblW w:w="9357" w:type="dxa"/>
        <w:tblInd w:w="120" w:type="dxa"/>
        <w:tblLayout w:type="fixed"/>
        <w:tblLook w:val="04A0" w:firstRow="1" w:lastRow="0" w:firstColumn="1" w:lastColumn="0" w:noHBand="0" w:noVBand="1"/>
      </w:tblPr>
      <w:tblGrid>
        <w:gridCol w:w="1435"/>
        <w:gridCol w:w="3543"/>
        <w:gridCol w:w="1276"/>
        <w:gridCol w:w="3103"/>
      </w:tblGrid>
      <w:tr w:rsidR="00E42B18" w14:paraId="5A3D21DE" w14:textId="77777777">
        <w:trPr>
          <w:trHeight w:val="900"/>
          <w:tblHeader/>
        </w:trPr>
        <w:tc>
          <w:tcPr>
            <w:tcW w:w="143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268BF6A" w14:textId="77777777" w:rsidR="00E42B18" w:rsidRDefault="009629C4">
            <w:pPr>
              <w:pStyle w:val="P68B1DB1-Normal120"/>
              <w:spacing w:after="0" w:line="240" w:lineRule="auto"/>
              <w:jc w:val="center"/>
              <w:rPr>
                <w:noProof/>
              </w:rPr>
            </w:pPr>
            <w:r>
              <w:rPr>
                <w:noProof/>
              </w:rPr>
              <w:t>Juokseva numero</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784025A" w14:textId="77777777" w:rsidR="00E42B18" w:rsidRDefault="009629C4">
            <w:pPr>
              <w:pStyle w:val="P68B1DB1-Normal120"/>
              <w:spacing w:after="0" w:line="240" w:lineRule="auto"/>
              <w:jc w:val="center"/>
              <w:rPr>
                <w:noProof/>
              </w:rPr>
            </w:pPr>
            <w:r>
              <w:rPr>
                <w:noProof/>
              </w:rPr>
              <w:t>Toimenpide (uudistus tai investointi)</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E5AFD0E" w14:textId="77777777" w:rsidR="00E42B18" w:rsidRDefault="009629C4">
            <w:pPr>
              <w:pStyle w:val="P68B1DB1-Normal120"/>
              <w:spacing w:after="0" w:line="240" w:lineRule="auto"/>
              <w:jc w:val="center"/>
              <w:rPr>
                <w:noProof/>
              </w:rPr>
            </w:pPr>
            <w:r>
              <w:rPr>
                <w:noProof/>
              </w:rPr>
              <w:t>Välitavoite/tavoite</w:t>
            </w:r>
          </w:p>
        </w:tc>
        <w:tc>
          <w:tcPr>
            <w:tcW w:w="3103"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53AACB11" w14:textId="77777777" w:rsidR="00E42B18" w:rsidRDefault="009629C4">
            <w:pPr>
              <w:pStyle w:val="P68B1DB1-Normal120"/>
              <w:spacing w:after="0" w:line="240" w:lineRule="auto"/>
              <w:jc w:val="center"/>
              <w:rPr>
                <w:noProof/>
              </w:rPr>
            </w:pPr>
            <w:r>
              <w:rPr>
                <w:noProof/>
              </w:rPr>
              <w:t>Nimi</w:t>
            </w:r>
          </w:p>
        </w:tc>
      </w:tr>
      <w:tr w:rsidR="00E42B18" w14:paraId="09607967" w14:textId="77777777">
        <w:trPr>
          <w:trHeight w:val="510"/>
        </w:trPr>
        <w:tc>
          <w:tcPr>
            <w:tcW w:w="1435" w:type="dxa"/>
            <w:vMerge/>
            <w:tcBorders>
              <w:top w:val="single" w:sz="4" w:space="0" w:color="auto"/>
              <w:left w:val="single" w:sz="4" w:space="0" w:color="auto"/>
              <w:bottom w:val="single" w:sz="4" w:space="0" w:color="auto"/>
              <w:right w:val="single" w:sz="4" w:space="0" w:color="auto"/>
            </w:tcBorders>
            <w:vAlign w:val="center"/>
          </w:tcPr>
          <w:p w14:paraId="7649218E" w14:textId="77777777" w:rsidR="00E42B18" w:rsidRDefault="00E42B18">
            <w:pPr>
              <w:spacing w:after="0" w:line="240" w:lineRule="auto"/>
              <w:jc w:val="center"/>
              <w:rPr>
                <w:rFonts w:ascii="Times New Roman" w:eastAsia="Times New Roman" w:hAnsi="Times New Roman" w:cs="Times New Roman"/>
                <w:noProof/>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6E99319B" w14:textId="77777777" w:rsidR="00E42B18" w:rsidRDefault="00E42B18">
            <w:pPr>
              <w:spacing w:after="0" w:line="240" w:lineRule="auto"/>
              <w:rPr>
                <w:rFonts w:ascii="Times New Roman" w:eastAsia="Times New Roman" w:hAnsi="Times New Roman" w:cs="Times New Roman"/>
                <w:noProof/>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610EC3E" w14:textId="77777777" w:rsidR="00E42B18" w:rsidRDefault="00E42B18">
            <w:pPr>
              <w:spacing w:after="0" w:line="240" w:lineRule="auto"/>
              <w:jc w:val="center"/>
              <w:rPr>
                <w:rFonts w:ascii="Times New Roman" w:eastAsia="Times New Roman" w:hAnsi="Times New Roman" w:cs="Times New Roman"/>
                <w:noProof/>
              </w:rPr>
            </w:pPr>
          </w:p>
        </w:tc>
        <w:tc>
          <w:tcPr>
            <w:tcW w:w="3103" w:type="dxa"/>
            <w:vMerge/>
            <w:tcBorders>
              <w:top w:val="single" w:sz="4" w:space="0" w:color="auto"/>
              <w:left w:val="single" w:sz="4" w:space="0" w:color="auto"/>
              <w:bottom w:val="single" w:sz="4" w:space="0" w:color="auto"/>
              <w:right w:val="single" w:sz="4" w:space="0" w:color="auto"/>
            </w:tcBorders>
            <w:vAlign w:val="center"/>
          </w:tcPr>
          <w:p w14:paraId="5243AD69" w14:textId="77777777" w:rsidR="00E42B18" w:rsidRDefault="00E42B18">
            <w:pPr>
              <w:spacing w:after="0" w:line="240" w:lineRule="auto"/>
              <w:rPr>
                <w:rFonts w:ascii="Times New Roman" w:eastAsia="Times New Roman" w:hAnsi="Times New Roman" w:cs="Times New Roman"/>
                <w:noProof/>
              </w:rPr>
            </w:pPr>
          </w:p>
        </w:tc>
      </w:tr>
      <w:tr w:rsidR="00E42B18" w:rsidRPr="009629C4" w14:paraId="17F4F83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1E193E" w14:textId="77777777" w:rsidR="00E42B18" w:rsidRDefault="009629C4">
            <w:pPr>
              <w:pStyle w:val="P68B1DB1-Normal121"/>
              <w:spacing w:after="0" w:line="240" w:lineRule="auto"/>
              <w:jc w:val="center"/>
              <w:rPr>
                <w:noProof/>
              </w:rPr>
            </w:pPr>
            <w:r>
              <w:rPr>
                <w:noProof/>
              </w:rPr>
              <w:t>M1C1–17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BB3B88" w14:textId="77777777" w:rsidR="00E42B18" w:rsidRDefault="009629C4">
            <w:pPr>
              <w:pStyle w:val="P68B1DB1-Normal121"/>
              <w:spacing w:after="0" w:line="240" w:lineRule="auto"/>
              <w:rPr>
                <w:noProof/>
              </w:rPr>
            </w:pPr>
            <w:r>
              <w:rPr>
                <w:noProof/>
              </w:rPr>
              <w:t>Investointi 1.1: Digitaalinen infrastruktuuri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E7D2B4"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8B3ECD" w14:textId="77777777" w:rsidR="00E42B18" w:rsidRPr="007F4B94" w:rsidRDefault="009629C4">
            <w:pPr>
              <w:pStyle w:val="P68B1DB1-Normal121"/>
              <w:spacing w:after="0" w:line="240" w:lineRule="auto"/>
              <w:rPr>
                <w:noProof/>
                <w:lang w:val="fr-FR"/>
              </w:rPr>
            </w:pPr>
            <w:r w:rsidRPr="007F4B94">
              <w:rPr>
                <w:noProof/>
                <w:lang w:val="fr-FR"/>
              </w:rPr>
              <w:t>Muuttoliike Polo Strategico Nazionale T1:een</w:t>
            </w:r>
          </w:p>
        </w:tc>
      </w:tr>
      <w:tr w:rsidR="00E42B18" w14:paraId="54865B1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E43E16" w14:textId="77777777" w:rsidR="00E42B18" w:rsidRDefault="009629C4">
            <w:pPr>
              <w:pStyle w:val="P68B1DB1-Normal121"/>
              <w:spacing w:after="0" w:line="240" w:lineRule="auto"/>
              <w:jc w:val="center"/>
              <w:rPr>
                <w:noProof/>
              </w:rPr>
            </w:pPr>
            <w:r>
              <w:rPr>
                <w:noProof/>
              </w:rPr>
              <w:t>M7–7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2EAA7B" w14:textId="77777777" w:rsidR="00E42B18" w:rsidRDefault="009629C4">
            <w:pPr>
              <w:pStyle w:val="P68B1DB1-Normal121"/>
              <w:spacing w:after="0" w:line="240" w:lineRule="auto"/>
              <w:rPr>
                <w:noProof/>
              </w:rPr>
            </w:pPr>
            <w:r>
              <w:rPr>
                <w:noProof/>
              </w:rPr>
              <w:t>Uudistus 4: Uusiutuvia energialähteitä koskeviin sähkönhankintasopimuksiin liittyvien taloudellisten riskien vähentäminen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4F1E62"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4D4614" w14:textId="77777777" w:rsidR="00E42B18" w:rsidRDefault="009629C4">
            <w:pPr>
              <w:pStyle w:val="P68B1DB1-Normal121"/>
              <w:spacing w:after="0" w:line="240" w:lineRule="auto"/>
              <w:rPr>
                <w:noProof/>
              </w:rPr>
            </w:pPr>
            <w:r>
              <w:rPr>
                <w:noProof/>
              </w:rPr>
              <w:t>Primaarioikeuden ja johdetun oikeuden voimaantulo</w:t>
            </w:r>
          </w:p>
        </w:tc>
      </w:tr>
      <w:tr w:rsidR="00E42B18" w14:paraId="6BE844E4"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6225F3" w14:textId="77777777" w:rsidR="00E42B18" w:rsidRDefault="009629C4">
            <w:pPr>
              <w:pStyle w:val="P68B1DB1-Normal121"/>
              <w:spacing w:after="0" w:line="240" w:lineRule="auto"/>
              <w:jc w:val="center"/>
              <w:rPr>
                <w:noProof/>
              </w:rPr>
            </w:pPr>
            <w:r>
              <w:rPr>
                <w:noProof/>
              </w:rPr>
              <w:t>M7–14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56C0E1" w14:textId="77777777" w:rsidR="00E42B18" w:rsidRDefault="009629C4">
            <w:pPr>
              <w:pStyle w:val="P68B1DB1-Normal121"/>
              <w:spacing w:after="0" w:line="240" w:lineRule="auto"/>
              <w:rPr>
                <w:noProof/>
              </w:rPr>
            </w:pPr>
            <w:r>
              <w:rPr>
                <w:noProof/>
              </w:rPr>
              <w:t>Investointi 4: Tyrrhenian-linkki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325D44"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30D857" w14:textId="77777777" w:rsidR="00E42B18" w:rsidRDefault="009629C4">
            <w:pPr>
              <w:pStyle w:val="P68B1DB1-Normal121"/>
              <w:spacing w:after="0" w:line="240" w:lineRule="auto"/>
              <w:rPr>
                <w:noProof/>
              </w:rPr>
            </w:pPr>
            <w:r>
              <w:rPr>
                <w:noProof/>
              </w:rPr>
              <w:t>Hankintasopimukset</w:t>
            </w:r>
          </w:p>
        </w:tc>
      </w:tr>
      <w:tr w:rsidR="00E42B18" w14:paraId="632BFAE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A7BD03" w14:textId="77777777" w:rsidR="00E42B18" w:rsidRDefault="009629C4">
            <w:pPr>
              <w:pStyle w:val="P68B1DB1-Normal121"/>
              <w:spacing w:after="0" w:line="240" w:lineRule="auto"/>
              <w:jc w:val="center"/>
              <w:rPr>
                <w:noProof/>
              </w:rPr>
            </w:pPr>
            <w:r>
              <w:rPr>
                <w:noProof/>
              </w:rPr>
              <w:t>M3C2–7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0B025D" w14:textId="77777777" w:rsidR="00E42B18" w:rsidRDefault="009629C4">
            <w:pPr>
              <w:pStyle w:val="P68B1DB1-Normal121"/>
              <w:spacing w:after="0" w:line="240" w:lineRule="auto"/>
              <w:rPr>
                <w:noProof/>
              </w:rPr>
            </w:pPr>
            <w:r>
              <w:rPr>
                <w:noProof/>
              </w:rPr>
              <w:t xml:space="preserve">Investointi 2.3: Kylmäsilitys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66A7AA"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3B0498" w14:textId="77777777" w:rsidR="00E42B18" w:rsidRDefault="009629C4">
            <w:pPr>
              <w:pStyle w:val="P68B1DB1-Normal121"/>
              <w:spacing w:after="0" w:line="240" w:lineRule="auto"/>
              <w:rPr>
                <w:noProof/>
              </w:rPr>
            </w:pPr>
            <w:r>
              <w:rPr>
                <w:noProof/>
              </w:rPr>
              <w:t xml:space="preserve">Kaikkien julkisten hankintasopimusten tekeminen </w:t>
            </w:r>
          </w:p>
        </w:tc>
      </w:tr>
      <w:tr w:rsidR="00E42B18" w14:paraId="786B418A"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457F42" w14:textId="77777777" w:rsidR="00E42B18" w:rsidRDefault="009629C4">
            <w:pPr>
              <w:pStyle w:val="P68B1DB1-Normal121"/>
              <w:spacing w:after="0" w:line="240" w:lineRule="auto"/>
              <w:jc w:val="center"/>
              <w:rPr>
                <w:noProof/>
              </w:rPr>
            </w:pPr>
            <w:r>
              <w:rPr>
                <w:noProof/>
              </w:rPr>
              <w:t>M1C1–18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2FCCCF" w14:textId="77777777" w:rsidR="00E42B18" w:rsidRDefault="009629C4">
            <w:pPr>
              <w:pStyle w:val="P68B1DB1-Normal121"/>
              <w:spacing w:after="0" w:line="240" w:lineRule="auto"/>
              <w:rPr>
                <w:noProof/>
              </w:rPr>
            </w:pPr>
            <w:r>
              <w:rPr>
                <w:noProof/>
              </w:rPr>
              <w:t>Investointi 1.3.1: Kansallinen digitaalidata-alusta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D10621"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BE4ED2A" w14:textId="77777777" w:rsidR="00E42B18" w:rsidRDefault="009629C4">
            <w:pPr>
              <w:pStyle w:val="P68B1DB1-Normal121"/>
              <w:spacing w:after="0" w:line="240" w:lineRule="auto"/>
              <w:rPr>
                <w:noProof/>
              </w:rPr>
            </w:pPr>
            <w:r>
              <w:rPr>
                <w:noProof/>
              </w:rPr>
              <w:t>Sovellusrajapinnat kansallisessa digitaalisten tietojen alustassa T1</w:t>
            </w:r>
          </w:p>
        </w:tc>
      </w:tr>
      <w:tr w:rsidR="00E42B18" w14:paraId="2A9CD3E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BE50CE" w14:textId="77777777" w:rsidR="00E42B18" w:rsidRDefault="009629C4">
            <w:pPr>
              <w:pStyle w:val="P68B1DB1-Normal121"/>
              <w:spacing w:after="0" w:line="240" w:lineRule="auto"/>
              <w:jc w:val="center"/>
              <w:rPr>
                <w:noProof/>
              </w:rPr>
            </w:pPr>
            <w:r>
              <w:rPr>
                <w:noProof/>
              </w:rPr>
              <w:t>M1C1–19</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2ECA79" w14:textId="77777777" w:rsidR="00E42B18" w:rsidRDefault="009629C4">
            <w:pPr>
              <w:pStyle w:val="P68B1DB1-Normal121"/>
              <w:spacing w:after="0" w:line="240" w:lineRule="auto"/>
              <w:rPr>
                <w:noProof/>
              </w:rPr>
            </w:pPr>
            <w:r>
              <w:rPr>
                <w:noProof/>
              </w:rPr>
              <w:t>Investointi 1.5: Kyberturvallisuus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1A636A"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64C314" w14:textId="77777777" w:rsidR="00E42B18" w:rsidRDefault="009629C4">
            <w:pPr>
              <w:pStyle w:val="P68B1DB1-Normal121"/>
              <w:spacing w:after="0" w:line="240" w:lineRule="auto"/>
              <w:rPr>
                <w:noProof/>
              </w:rPr>
            </w:pPr>
            <w:r>
              <w:rPr>
                <w:noProof/>
              </w:rPr>
              <w:t>Tuki turvallisuusrakenteiden parantamiseen T2</w:t>
            </w:r>
          </w:p>
        </w:tc>
      </w:tr>
      <w:tr w:rsidR="00E42B18" w14:paraId="24AA96A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7ACFBC" w14:textId="77777777" w:rsidR="00E42B18" w:rsidRDefault="009629C4">
            <w:pPr>
              <w:pStyle w:val="P68B1DB1-Normal121"/>
              <w:spacing w:after="0" w:line="240" w:lineRule="auto"/>
              <w:jc w:val="center"/>
              <w:rPr>
                <w:noProof/>
              </w:rPr>
            </w:pPr>
            <w:r>
              <w:rPr>
                <w:noProof/>
              </w:rPr>
              <w:t>M1C1–20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8058AE" w14:textId="77777777" w:rsidR="00E42B18" w:rsidRDefault="009629C4">
            <w:pPr>
              <w:pStyle w:val="P68B1DB1-Normal121"/>
              <w:spacing w:after="0" w:line="240" w:lineRule="auto"/>
              <w:rPr>
                <w:noProof/>
              </w:rPr>
            </w:pPr>
            <w:r>
              <w:rPr>
                <w:noProof/>
              </w:rPr>
              <w:t>Investointi 1.5: Kyberturvallisuus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D6EEF2"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996452" w14:textId="77777777" w:rsidR="00E42B18" w:rsidRDefault="009629C4">
            <w:pPr>
              <w:pStyle w:val="P68B1DB1-Normal121"/>
              <w:spacing w:after="0" w:line="240" w:lineRule="auto"/>
              <w:rPr>
                <w:noProof/>
              </w:rPr>
            </w:pPr>
            <w:r>
              <w:rPr>
                <w:noProof/>
              </w:rPr>
              <w:t>Kansallisten kyberturvallisuuspalvelujen täysimääräinen käyttöönotto</w:t>
            </w:r>
          </w:p>
        </w:tc>
      </w:tr>
      <w:tr w:rsidR="00E42B18" w14:paraId="4B75FBB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6237B2" w14:textId="77777777" w:rsidR="00E42B18" w:rsidRDefault="009629C4">
            <w:pPr>
              <w:pStyle w:val="P68B1DB1-Normal121"/>
              <w:spacing w:after="0" w:line="240" w:lineRule="auto"/>
              <w:jc w:val="center"/>
              <w:rPr>
                <w:noProof/>
              </w:rPr>
            </w:pPr>
            <w:r>
              <w:rPr>
                <w:noProof/>
              </w:rPr>
              <w:t>M1C1–21</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FF75E4" w14:textId="77777777" w:rsidR="00E42B18" w:rsidRDefault="009629C4">
            <w:pPr>
              <w:pStyle w:val="P68B1DB1-Normal121"/>
              <w:spacing w:after="0" w:line="240" w:lineRule="auto"/>
              <w:rPr>
                <w:noProof/>
              </w:rPr>
            </w:pPr>
            <w:r>
              <w:rPr>
                <w:noProof/>
              </w:rPr>
              <w:t>Investointi 1.5: Kyberturvallisuus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5A7795"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AA5B1B" w14:textId="77777777" w:rsidR="00E42B18" w:rsidRDefault="009629C4">
            <w:pPr>
              <w:pStyle w:val="P68B1DB1-Normal121"/>
              <w:spacing w:after="0" w:line="240" w:lineRule="auto"/>
              <w:rPr>
                <w:noProof/>
              </w:rPr>
            </w:pPr>
            <w:r>
              <w:rPr>
                <w:noProof/>
              </w:rPr>
              <w:t>Kyberturvallisuuden seulonta- ja sertifiointilaboratorioiden verkoston ja arviointikeskusten loppuun saattaminen</w:t>
            </w:r>
          </w:p>
        </w:tc>
      </w:tr>
      <w:tr w:rsidR="00E42B18" w14:paraId="5D9FABA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4589D3" w14:textId="77777777" w:rsidR="00E42B18" w:rsidRDefault="009629C4">
            <w:pPr>
              <w:pStyle w:val="P68B1DB1-Normal121"/>
              <w:spacing w:after="0" w:line="240" w:lineRule="auto"/>
              <w:jc w:val="center"/>
              <w:rPr>
                <w:noProof/>
              </w:rPr>
            </w:pPr>
            <w:r>
              <w:rPr>
                <w:noProof/>
              </w:rPr>
              <w:t>M1C1–22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C512EE" w14:textId="77777777" w:rsidR="00E42B18" w:rsidRDefault="009629C4">
            <w:pPr>
              <w:pStyle w:val="P68B1DB1-Normal121"/>
              <w:spacing w:after="0" w:line="240" w:lineRule="auto"/>
              <w:rPr>
                <w:noProof/>
              </w:rPr>
            </w:pPr>
            <w:r>
              <w:rPr>
                <w:noProof/>
              </w:rPr>
              <w:t>Investointi 1.5: Kyberturvallisuus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7425E8"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DEE90F" w14:textId="77777777" w:rsidR="00E42B18" w:rsidRDefault="009629C4">
            <w:pPr>
              <w:pStyle w:val="P68B1DB1-Normal121"/>
              <w:spacing w:after="0" w:line="240" w:lineRule="auto"/>
              <w:rPr>
                <w:noProof/>
              </w:rPr>
            </w:pPr>
            <w:r>
              <w:rPr>
                <w:noProof/>
              </w:rPr>
              <w:t>PSNC- ja NIS-turvatoimien tarkastuksen keskusyksikön täysi toiminta siten, että vähintään 30 tarkastusta on saatettu päätökseen</w:t>
            </w:r>
          </w:p>
        </w:tc>
      </w:tr>
      <w:tr w:rsidR="00E42B18" w14:paraId="0ED543A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882EC2" w14:textId="77777777" w:rsidR="00E42B18" w:rsidRDefault="009629C4">
            <w:pPr>
              <w:pStyle w:val="P68B1DB1-Normal121"/>
              <w:spacing w:after="0" w:line="240" w:lineRule="auto"/>
              <w:jc w:val="center"/>
              <w:rPr>
                <w:noProof/>
              </w:rPr>
            </w:pPr>
            <w:r>
              <w:rPr>
                <w:noProof/>
              </w:rPr>
              <w:t>M1C1–43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769833" w14:textId="77777777" w:rsidR="00E42B18" w:rsidRDefault="009629C4">
            <w:pPr>
              <w:pStyle w:val="P68B1DB1-Normal121"/>
              <w:spacing w:after="0" w:line="240" w:lineRule="auto"/>
              <w:rPr>
                <w:noProof/>
              </w:rPr>
            </w:pPr>
            <w:r>
              <w:rPr>
                <w:noProof/>
              </w:rPr>
              <w:t>Uudistus 1.4: Siviilioikeuden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B9C08F"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1CF44F" w14:textId="77777777" w:rsidR="00E42B18" w:rsidRDefault="009629C4">
            <w:pPr>
              <w:pStyle w:val="P68B1DB1-Normal121"/>
              <w:spacing w:after="0" w:line="240" w:lineRule="auto"/>
              <w:rPr>
                <w:noProof/>
              </w:rPr>
            </w:pPr>
            <w:r>
              <w:rPr>
                <w:noProof/>
              </w:rPr>
              <w:t>Yleisten siviilituomioistuinten (ensimmäisen oikeusasteen) käsittelyruuhkan vähentäminen</w:t>
            </w:r>
          </w:p>
        </w:tc>
      </w:tr>
      <w:tr w:rsidR="00E42B18" w14:paraId="20DBC2D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9240E8" w14:textId="77777777" w:rsidR="00E42B18" w:rsidRDefault="009629C4">
            <w:pPr>
              <w:pStyle w:val="P68B1DB1-Normal121"/>
              <w:spacing w:after="0" w:line="240" w:lineRule="auto"/>
              <w:jc w:val="center"/>
              <w:rPr>
                <w:noProof/>
              </w:rPr>
            </w:pPr>
            <w:r>
              <w:rPr>
                <w:noProof/>
              </w:rPr>
              <w:t>M1C1–44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D0BDD3" w14:textId="77777777" w:rsidR="00E42B18" w:rsidRDefault="009629C4">
            <w:pPr>
              <w:pStyle w:val="P68B1DB1-Normal121"/>
              <w:spacing w:after="0" w:line="240" w:lineRule="auto"/>
              <w:rPr>
                <w:noProof/>
              </w:rPr>
            </w:pPr>
            <w:r>
              <w:rPr>
                <w:noProof/>
              </w:rPr>
              <w:t>Uudistus 1.4: Siviilioikeuden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0F34AD"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648F58" w14:textId="77777777" w:rsidR="00E42B18" w:rsidRDefault="009629C4">
            <w:pPr>
              <w:pStyle w:val="P68B1DB1-Normal121"/>
              <w:spacing w:after="0" w:line="240" w:lineRule="auto"/>
              <w:rPr>
                <w:noProof/>
              </w:rPr>
            </w:pPr>
            <w:r>
              <w:rPr>
                <w:noProof/>
              </w:rPr>
              <w:t>Siviiliasioita käsittelevän muutoksenhakutuomioistuimen (toinen oikeusaste) käsittelyruuhkan vähentäminen</w:t>
            </w:r>
          </w:p>
        </w:tc>
      </w:tr>
      <w:tr w:rsidR="00E42B18" w14:paraId="5530BB2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CD86F9" w14:textId="77777777" w:rsidR="00E42B18" w:rsidRDefault="009629C4">
            <w:pPr>
              <w:pStyle w:val="P68B1DB1-Normal121"/>
              <w:spacing w:after="0" w:line="240" w:lineRule="auto"/>
              <w:jc w:val="center"/>
              <w:rPr>
                <w:noProof/>
              </w:rPr>
            </w:pPr>
            <w:r>
              <w:rPr>
                <w:noProof/>
              </w:rPr>
              <w:t>M1C1–60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FB707" w14:textId="77777777" w:rsidR="00E42B18" w:rsidRDefault="009629C4">
            <w:pPr>
              <w:pStyle w:val="P68B1DB1-Normal121"/>
              <w:spacing w:after="0" w:line="240" w:lineRule="auto"/>
              <w:rPr>
                <w:noProof/>
              </w:rPr>
            </w:pPr>
            <w:r>
              <w:rPr>
                <w:noProof/>
              </w:rPr>
              <w:t>Uudistus 1.9: Julkishallinnon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DD66B3"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B9D517" w14:textId="77777777" w:rsidR="00E42B18" w:rsidRDefault="009629C4">
            <w:pPr>
              <w:pStyle w:val="P68B1DB1-Normal121"/>
              <w:spacing w:after="0" w:line="240" w:lineRule="auto"/>
              <w:rPr>
                <w:noProof/>
              </w:rPr>
            </w:pPr>
            <w:r>
              <w:rPr>
                <w:noProof/>
              </w:rPr>
              <w:t>Kansalaisiin ja yrityksiin vaikuttavien 200 kriittisen menettelyn yksinkertaistaminen ja/tai digitalisointi</w:t>
            </w:r>
          </w:p>
        </w:tc>
      </w:tr>
      <w:tr w:rsidR="00E42B18" w14:paraId="7EEB60A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87D0C8" w14:textId="77777777" w:rsidR="00E42B18" w:rsidRDefault="009629C4">
            <w:pPr>
              <w:pStyle w:val="P68B1DB1-Normal121"/>
              <w:spacing w:after="0" w:line="240" w:lineRule="auto"/>
              <w:jc w:val="center"/>
              <w:rPr>
                <w:noProof/>
              </w:rPr>
            </w:pPr>
            <w:r>
              <w:rPr>
                <w:noProof/>
              </w:rPr>
              <w:t>M1C1–72ter</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A6162CB"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17F34C"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DD4D4E" w14:textId="77777777" w:rsidR="00E42B18" w:rsidRDefault="009629C4">
            <w:pPr>
              <w:pStyle w:val="P68B1DB1-Normal121"/>
              <w:spacing w:after="0" w:line="240" w:lineRule="auto"/>
              <w:rPr>
                <w:noProof/>
              </w:rPr>
            </w:pPr>
            <w:r>
              <w:rPr>
                <w:noProof/>
              </w:rPr>
              <w:t>Lisätään maksumäärärahoja</w:t>
            </w:r>
          </w:p>
        </w:tc>
      </w:tr>
      <w:tr w:rsidR="00E42B18" w14:paraId="7BAD240B"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E702A5" w14:textId="77777777" w:rsidR="00E42B18" w:rsidRDefault="009629C4">
            <w:pPr>
              <w:pStyle w:val="P68B1DB1-Normal121"/>
              <w:spacing w:after="0" w:line="240" w:lineRule="auto"/>
              <w:jc w:val="center"/>
              <w:rPr>
                <w:noProof/>
              </w:rPr>
            </w:pPr>
            <w:r>
              <w:rPr>
                <w:noProof/>
              </w:rPr>
              <w:t>M1C1–72quater</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5D2B9E"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5EFE4E"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4EA8C4" w14:textId="77777777" w:rsidR="00E42B18" w:rsidRDefault="009629C4">
            <w:pPr>
              <w:pStyle w:val="P68B1DB1-Normal121"/>
              <w:spacing w:after="0" w:line="240" w:lineRule="auto"/>
              <w:rPr>
                <w:noProof/>
              </w:rPr>
            </w:pPr>
            <w:r>
              <w:rPr>
                <w:noProof/>
              </w:rPr>
              <w:t>Toimintasuunnitelman hyväksyminen</w:t>
            </w:r>
          </w:p>
        </w:tc>
      </w:tr>
      <w:tr w:rsidR="00E42B18" w14:paraId="1AEC49A6"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4CA6B8" w14:textId="77777777" w:rsidR="00E42B18" w:rsidRDefault="009629C4">
            <w:pPr>
              <w:pStyle w:val="P68B1DB1-Normal121"/>
              <w:spacing w:after="0" w:line="240" w:lineRule="auto"/>
              <w:jc w:val="center"/>
              <w:rPr>
                <w:noProof/>
              </w:rPr>
            </w:pPr>
            <w:r>
              <w:rPr>
                <w:noProof/>
              </w:rPr>
              <w:t>M1C1–73ter</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A4C0D3"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8652A4"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61D3E50" w14:textId="77777777" w:rsidR="00E42B18" w:rsidRDefault="009629C4">
            <w:pPr>
              <w:pStyle w:val="P68B1DB1-Normal121"/>
              <w:spacing w:after="0" w:line="240" w:lineRule="auto"/>
              <w:rPr>
                <w:noProof/>
              </w:rPr>
            </w:pPr>
            <w:r>
              <w:rPr>
                <w:noProof/>
              </w:rPr>
              <w:t xml:space="preserve">Kannustimet hankintaviranomaisten pätevöitymiseen ja ammattimaisuuteen. </w:t>
            </w:r>
          </w:p>
        </w:tc>
      </w:tr>
      <w:tr w:rsidR="00E42B18" w14:paraId="7BC06FE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D21CD3" w14:textId="77777777" w:rsidR="00E42B18" w:rsidRDefault="009629C4">
            <w:pPr>
              <w:pStyle w:val="P68B1DB1-Normal121"/>
              <w:spacing w:after="0" w:line="240" w:lineRule="auto"/>
              <w:jc w:val="center"/>
              <w:rPr>
                <w:noProof/>
              </w:rPr>
            </w:pPr>
            <w:r>
              <w:rPr>
                <w:noProof/>
              </w:rPr>
              <w:t>M1C1–73quinquies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8BB59"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280001"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94E275" w14:textId="77777777" w:rsidR="00E42B18" w:rsidRDefault="009629C4">
            <w:pPr>
              <w:pStyle w:val="P68B1DB1-Normal121"/>
              <w:spacing w:after="0" w:line="240" w:lineRule="auto"/>
              <w:rPr>
                <w:noProof/>
              </w:rPr>
            </w:pPr>
            <w:r>
              <w:rPr>
                <w:noProof/>
              </w:rPr>
              <w:t>Hankerahoitusta koskevien uusien säännösten voimaantulo</w:t>
            </w:r>
          </w:p>
        </w:tc>
      </w:tr>
      <w:tr w:rsidR="00E42B18" w14:paraId="3360500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1E31C" w14:textId="77777777" w:rsidR="00E42B18" w:rsidRDefault="009629C4">
            <w:pPr>
              <w:pStyle w:val="P68B1DB1-Normal121"/>
              <w:spacing w:after="0" w:line="240" w:lineRule="auto"/>
              <w:jc w:val="center"/>
              <w:rPr>
                <w:noProof/>
              </w:rPr>
            </w:pPr>
            <w:r>
              <w:rPr>
                <w:noProof/>
              </w:rPr>
              <w:t>M1C1–75a</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C27C1F" w14:textId="77777777" w:rsidR="00E42B18" w:rsidRDefault="009629C4">
            <w:pPr>
              <w:pStyle w:val="P68B1DB1-Normal121"/>
              <w:spacing w:after="0" w:line="240" w:lineRule="auto"/>
              <w:rPr>
                <w:noProof/>
              </w:rPr>
            </w:pPr>
            <w:r>
              <w:rPr>
                <w:noProof/>
              </w:rPr>
              <w:t xml:space="preserve">Investointi 1.10: Tuki pätevöitymiselle ja sähköisille hankinnoille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2067AA"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35934A" w14:textId="77777777" w:rsidR="00E42B18" w:rsidRDefault="009629C4">
            <w:pPr>
              <w:pStyle w:val="P68B1DB1-Normal121"/>
              <w:spacing w:after="0" w:line="240" w:lineRule="auto"/>
              <w:rPr>
                <w:noProof/>
              </w:rPr>
            </w:pPr>
            <w:r>
              <w:rPr>
                <w:noProof/>
              </w:rPr>
              <w:t>Tuki pätevöitymiselle ja sähköisille hankinnoille</w:t>
            </w:r>
          </w:p>
        </w:tc>
      </w:tr>
      <w:tr w:rsidR="00E42B18" w14:paraId="2594FBC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EA1334" w14:textId="77777777" w:rsidR="00E42B18" w:rsidRDefault="009629C4">
            <w:pPr>
              <w:pStyle w:val="P68B1DB1-Normal121"/>
              <w:spacing w:after="0" w:line="240" w:lineRule="auto"/>
              <w:jc w:val="center"/>
              <w:rPr>
                <w:noProof/>
              </w:rPr>
            </w:pPr>
            <w:r>
              <w:rPr>
                <w:noProof/>
              </w:rPr>
              <w:t>M1C1–84a</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EF6763"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5E3554"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30B4CD" w14:textId="77777777" w:rsidR="00E42B18" w:rsidRDefault="009629C4">
            <w:pPr>
              <w:pStyle w:val="P68B1DB1-Normal121"/>
              <w:spacing w:after="0" w:line="240" w:lineRule="auto"/>
              <w:rPr>
                <w:noProof/>
              </w:rPr>
            </w:pPr>
            <w:r>
              <w:rPr>
                <w:noProof/>
              </w:rPr>
              <w:t>Toimenpiteet, joilla nopeutetaan hankintaviranomaisten päätöksentekoa hankintasopimusten tekemisessä</w:t>
            </w:r>
          </w:p>
        </w:tc>
      </w:tr>
      <w:tr w:rsidR="00E42B18" w14:paraId="6CAFD13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8C034B" w14:textId="77777777" w:rsidR="00E42B18" w:rsidRDefault="009629C4">
            <w:pPr>
              <w:pStyle w:val="P68B1DB1-Normal121"/>
              <w:spacing w:after="0" w:line="240" w:lineRule="auto"/>
              <w:jc w:val="center"/>
              <w:rPr>
                <w:noProof/>
              </w:rPr>
            </w:pPr>
            <w:r>
              <w:rPr>
                <w:noProof/>
              </w:rPr>
              <w:t>M1C1–98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6733B5"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3769F7"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E8FFF3" w14:textId="77777777" w:rsidR="00E42B18" w:rsidRDefault="009629C4">
            <w:pPr>
              <w:pStyle w:val="P68B1DB1-Normal121"/>
              <w:spacing w:after="0" w:line="240" w:lineRule="auto"/>
              <w:rPr>
                <w:noProof/>
              </w:rPr>
            </w:pPr>
            <w:r>
              <w:rPr>
                <w:noProof/>
              </w:rPr>
              <w:t>Julkisten ostajien ammatillistamista koskevan strategian kautta koulutetut virkamiehet</w:t>
            </w:r>
          </w:p>
        </w:tc>
      </w:tr>
      <w:tr w:rsidR="00E42B18" w14:paraId="5047438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FAE156" w14:textId="77777777" w:rsidR="00E42B18" w:rsidRDefault="009629C4">
            <w:pPr>
              <w:pStyle w:val="P68B1DB1-Normal121"/>
              <w:spacing w:after="0" w:line="240" w:lineRule="auto"/>
              <w:jc w:val="center"/>
              <w:rPr>
                <w:noProof/>
              </w:rPr>
            </w:pPr>
            <w:r>
              <w:rPr>
                <w:noProof/>
              </w:rPr>
              <w:t>M1C2–11</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A36181" w14:textId="77777777" w:rsidR="00E42B18" w:rsidRDefault="009629C4">
            <w:pPr>
              <w:pStyle w:val="P68B1DB1-Normal121"/>
              <w:spacing w:after="0" w:line="240" w:lineRule="auto"/>
              <w:rPr>
                <w:noProof/>
              </w:rPr>
            </w:pPr>
            <w:r>
              <w:rPr>
                <w:noProof/>
              </w:rPr>
              <w:t>Uudistuksen 2: Vuosittaiset kilpailulait</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E073B9"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C43C3A" w14:textId="77777777" w:rsidR="00E42B18" w:rsidRDefault="009629C4">
            <w:pPr>
              <w:pStyle w:val="P68B1DB1-Normal121"/>
              <w:spacing w:after="0" w:line="240" w:lineRule="auto"/>
              <w:rPr>
                <w:noProof/>
              </w:rPr>
            </w:pPr>
            <w:r>
              <w:rPr>
                <w:noProof/>
              </w:rPr>
              <w:t>Vuoden 2023 kilpailulain voimaantulo</w:t>
            </w:r>
          </w:p>
        </w:tc>
      </w:tr>
      <w:tr w:rsidR="00E42B18" w14:paraId="0F22D5F2"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57BD0" w14:textId="77777777" w:rsidR="00E42B18" w:rsidRDefault="009629C4">
            <w:pPr>
              <w:pStyle w:val="P68B1DB1-Normal121"/>
              <w:spacing w:after="0" w:line="240" w:lineRule="auto"/>
              <w:jc w:val="center"/>
              <w:rPr>
                <w:noProof/>
              </w:rPr>
            </w:pPr>
            <w:r>
              <w:rPr>
                <w:noProof/>
              </w:rPr>
              <w:t>M1C2–12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9BAD22" w14:textId="77777777" w:rsidR="00E42B18" w:rsidRDefault="009629C4">
            <w:pPr>
              <w:pStyle w:val="P68B1DB1-Normal121"/>
              <w:spacing w:after="0" w:line="240" w:lineRule="auto"/>
              <w:rPr>
                <w:noProof/>
              </w:rPr>
            </w:pPr>
            <w:r>
              <w:rPr>
                <w:noProof/>
              </w:rPr>
              <w:t>Uudistuksen 2: Vuosittaiset kilpailulait</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B4DD1A2"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701D5A" w14:textId="77777777" w:rsidR="00E42B18" w:rsidRDefault="009629C4">
            <w:pPr>
              <w:pStyle w:val="P68B1DB1-Normal19"/>
              <w:spacing w:after="0" w:line="240" w:lineRule="auto"/>
              <w:rPr>
                <w:rFonts w:ascii="Times New Roman" w:eastAsia="Times New Roman" w:hAnsi="Times New Roman" w:cs="Times New Roman"/>
                <w:noProof/>
              </w:rPr>
            </w:pPr>
            <w:r>
              <w:rPr>
                <w:rFonts w:ascii="Times New Roman" w:eastAsia="Times New Roman" w:hAnsi="Times New Roman" w:cs="Times New Roman"/>
                <w:noProof/>
              </w:rPr>
              <w:t>Täytäntöönpanotoimenpiteiden (tarvittaessa myös johdetun oikeuden) voimaantulo vuoden</w:t>
            </w:r>
            <w:r>
              <w:rPr>
                <w:rFonts w:ascii="Arial Narrow" w:hAnsi="Arial Narrow"/>
                <w:noProof/>
              </w:rPr>
              <w:t xml:space="preserve"> </w:t>
            </w:r>
            <w:r>
              <w:rPr>
                <w:rFonts w:ascii="Times New Roman" w:eastAsia="Times New Roman" w:hAnsi="Times New Roman" w:cs="Times New Roman"/>
                <w:noProof/>
              </w:rPr>
              <w:t xml:space="preserve"> 2023 kilpailulaissa ja muussa primaarilainsäädännössä vahvistettujen toimenpiteiden täytäntöönpanemiseksi ja soveltamiseksi</w:t>
            </w:r>
          </w:p>
        </w:tc>
      </w:tr>
      <w:tr w:rsidR="00E42B18" w14:paraId="01CA0ED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766CFF" w14:textId="77777777" w:rsidR="00E42B18" w:rsidRDefault="009629C4">
            <w:pPr>
              <w:pStyle w:val="P68B1DB1-Normal121"/>
              <w:spacing w:after="0" w:line="240" w:lineRule="auto"/>
              <w:jc w:val="center"/>
              <w:rPr>
                <w:noProof/>
              </w:rPr>
            </w:pPr>
            <w:r>
              <w:rPr>
                <w:noProof/>
              </w:rPr>
              <w:t>M2C1–6a</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40426F" w14:textId="77777777" w:rsidR="00E42B18" w:rsidRDefault="009629C4">
            <w:pPr>
              <w:pStyle w:val="P68B1DB1-Normal121"/>
              <w:spacing w:after="0" w:line="240" w:lineRule="auto"/>
              <w:rPr>
                <w:noProof/>
              </w:rPr>
            </w:pPr>
            <w:r>
              <w:rPr>
                <w:noProof/>
              </w:rPr>
              <w:t>Investointi 2.2: Maatalouden aurinkopuisto</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418752"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F13D50" w14:textId="77777777" w:rsidR="00E42B18" w:rsidRDefault="009629C4">
            <w:pPr>
              <w:pStyle w:val="P68B1DB1-Normal121"/>
              <w:spacing w:after="0" w:line="240" w:lineRule="auto"/>
              <w:rPr>
                <w:noProof/>
              </w:rPr>
            </w:pPr>
            <w:r>
              <w:rPr>
                <w:noProof/>
              </w:rPr>
              <w:t>Varojen kohdentaminen tuensaajille prosentteina investoinnille osoitetuista kokonaismäärärahoista</w:t>
            </w:r>
          </w:p>
        </w:tc>
      </w:tr>
      <w:tr w:rsidR="00E42B18" w14:paraId="793C80B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718DB" w14:textId="77777777" w:rsidR="00E42B18" w:rsidRDefault="009629C4">
            <w:pPr>
              <w:pStyle w:val="P68B1DB1-Normal121"/>
              <w:spacing w:after="0" w:line="240" w:lineRule="auto"/>
              <w:jc w:val="center"/>
              <w:rPr>
                <w:noProof/>
              </w:rPr>
            </w:pPr>
            <w:r>
              <w:rPr>
                <w:noProof/>
              </w:rPr>
              <w:t>M2C1–7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71547E" w14:textId="77777777" w:rsidR="00E42B18" w:rsidRDefault="009629C4">
            <w:pPr>
              <w:pStyle w:val="P68B1DB1-Normal121"/>
              <w:spacing w:after="0" w:line="240" w:lineRule="auto"/>
              <w:rPr>
                <w:noProof/>
              </w:rPr>
            </w:pPr>
            <w:r>
              <w:rPr>
                <w:noProof/>
              </w:rPr>
              <w:t>Investointi 2.3: Innovointi ja koneistaminen maatalous- ja elintarvikealalla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C32276"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0E0E04" w14:textId="77777777" w:rsidR="00E42B18" w:rsidRDefault="009629C4">
            <w:pPr>
              <w:pStyle w:val="P68B1DB1-Normal121"/>
              <w:spacing w:after="0" w:line="240" w:lineRule="auto"/>
              <w:rPr>
                <w:noProof/>
              </w:rPr>
            </w:pPr>
            <w:r>
              <w:rPr>
                <w:noProof/>
              </w:rPr>
              <w:t>Lopullisten paremmuusjärjestysten julkaiseminen ja lopullisten vastaanottajien yksilöinti.</w:t>
            </w:r>
          </w:p>
        </w:tc>
      </w:tr>
      <w:tr w:rsidR="00E42B18" w14:paraId="2DAA6F1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2422AA" w14:textId="77777777" w:rsidR="00E42B18" w:rsidRDefault="009629C4">
            <w:pPr>
              <w:pStyle w:val="P68B1DB1-Normal121"/>
              <w:spacing w:after="0" w:line="240" w:lineRule="auto"/>
              <w:jc w:val="center"/>
              <w:rPr>
                <w:noProof/>
              </w:rPr>
            </w:pPr>
            <w:r>
              <w:rPr>
                <w:noProof/>
              </w:rPr>
              <w:t>M2C2–28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52903B" w14:textId="77777777" w:rsidR="00E42B18" w:rsidRDefault="009629C4">
            <w:pPr>
              <w:pStyle w:val="P68B1DB1-Normal121"/>
              <w:spacing w:after="0" w:line="240" w:lineRule="auto"/>
              <w:rPr>
                <w:noProof/>
              </w:rPr>
            </w:pPr>
            <w:r>
              <w:rPr>
                <w:noProof/>
              </w:rPr>
              <w:t>Investointi 4.3 Latausinfrastruktuurien asentaminen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73CAF3"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3DA9DD" w14:textId="77777777" w:rsidR="00E42B18" w:rsidRDefault="009629C4">
            <w:pPr>
              <w:pStyle w:val="P68B1DB1-Normal121"/>
              <w:spacing w:after="0" w:line="240" w:lineRule="auto"/>
              <w:rPr>
                <w:noProof/>
              </w:rPr>
            </w:pPr>
            <w:r>
              <w:rPr>
                <w:noProof/>
              </w:rPr>
              <w:t>Latausinfrastruktuurien asentamista koskevien julkisten hankintasopimusten tekeminen</w:t>
            </w:r>
          </w:p>
        </w:tc>
      </w:tr>
      <w:tr w:rsidR="00E42B18" w14:paraId="7A5FAEE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754741" w14:textId="77777777" w:rsidR="00E42B18" w:rsidRDefault="009629C4">
            <w:pPr>
              <w:pStyle w:val="P68B1DB1-Normal121"/>
              <w:spacing w:after="0" w:line="240" w:lineRule="auto"/>
              <w:jc w:val="center"/>
              <w:rPr>
                <w:noProof/>
              </w:rPr>
            </w:pPr>
            <w:r>
              <w:rPr>
                <w:noProof/>
              </w:rPr>
              <w:t>M4C1–12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3B90C1" w14:textId="77777777" w:rsidR="00E42B18" w:rsidRDefault="009629C4">
            <w:pPr>
              <w:pStyle w:val="P68B1DB1-Normal121"/>
              <w:spacing w:after="0" w:line="240" w:lineRule="auto"/>
              <w:rPr>
                <w:noProof/>
              </w:rPr>
            </w:pPr>
            <w:r>
              <w:rPr>
                <w:noProof/>
              </w:rPr>
              <w:t>Investointi 4.1: Tohtorintutkinnon suorittaneiden (tutkimukseen, julkishallintoon ja kulttuuriperintöön) lukumäärän ja uramahdollisuuksien lisääminen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2D3DF7"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AEFE53" w14:textId="77777777" w:rsidR="00E42B18" w:rsidRDefault="009629C4">
            <w:pPr>
              <w:pStyle w:val="P68B1DB1-Normal121"/>
              <w:spacing w:after="0" w:line="240" w:lineRule="auto"/>
              <w:rPr>
                <w:noProof/>
              </w:rPr>
            </w:pPr>
            <w:r>
              <w:rPr>
                <w:noProof/>
              </w:rPr>
              <w:t>Vuosittain myönnettävät tohtorinkoulutusapurahaohjelmat (kolmen vuoden aikana)</w:t>
            </w:r>
          </w:p>
        </w:tc>
      </w:tr>
      <w:tr w:rsidR="00E42B18" w14:paraId="027D0BB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C6FF89" w14:textId="77777777" w:rsidR="00E42B18" w:rsidRDefault="009629C4">
            <w:pPr>
              <w:pStyle w:val="P68B1DB1-Normal121"/>
              <w:spacing w:after="0" w:line="240" w:lineRule="auto"/>
              <w:jc w:val="center"/>
              <w:rPr>
                <w:noProof/>
              </w:rPr>
            </w:pPr>
            <w:r>
              <w:rPr>
                <w:noProof/>
              </w:rPr>
              <w:t>M4C1–14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45F639" w14:textId="77777777" w:rsidR="00E42B18" w:rsidRDefault="009629C4">
            <w:pPr>
              <w:pStyle w:val="P68B1DB1-Normal121"/>
              <w:spacing w:after="0" w:line="240" w:lineRule="auto"/>
              <w:rPr>
                <w:noProof/>
              </w:rPr>
            </w:pPr>
            <w:r>
              <w:rPr>
                <w:noProof/>
              </w:rPr>
              <w:t xml:space="preserve">Uudistus 2.1: Opettajien rekrytointi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03BF2D"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C9EC59" w14:textId="77777777" w:rsidR="00E42B18" w:rsidRDefault="009629C4">
            <w:pPr>
              <w:pStyle w:val="P68B1DB1-Normal121"/>
              <w:spacing w:after="0" w:line="240" w:lineRule="auto"/>
              <w:rPr>
                <w:noProof/>
              </w:rPr>
            </w:pPr>
            <w:r>
              <w:rPr>
                <w:noProof/>
              </w:rPr>
              <w:t>Uudistetussa rekrytointijärjestelmässä palvelukseen otetut opettajat</w:t>
            </w:r>
          </w:p>
        </w:tc>
      </w:tr>
      <w:tr w:rsidR="00E42B18" w14:paraId="68F7EDC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374F37" w14:textId="77777777" w:rsidR="00E42B18" w:rsidRDefault="009629C4">
            <w:pPr>
              <w:pStyle w:val="P68B1DB1-Normal121"/>
              <w:spacing w:after="0" w:line="240" w:lineRule="auto"/>
              <w:jc w:val="center"/>
              <w:rPr>
                <w:noProof/>
              </w:rPr>
            </w:pPr>
            <w:r>
              <w:rPr>
                <w:noProof/>
              </w:rPr>
              <w:t>M4C1–15</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E69B64" w14:textId="77777777" w:rsidR="00E42B18" w:rsidRDefault="009629C4">
            <w:pPr>
              <w:pStyle w:val="P68B1DB1-Normal121"/>
              <w:spacing w:after="0" w:line="240" w:lineRule="auto"/>
              <w:rPr>
                <w:noProof/>
              </w:rPr>
            </w:pPr>
            <w:r>
              <w:rPr>
                <w:noProof/>
              </w:rPr>
              <w:t>Investointi 1.7: Yliopisto-opiskeluapurahat</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E434D4"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CB7944" w14:textId="77777777" w:rsidR="00E42B18" w:rsidRDefault="009629C4">
            <w:pPr>
              <w:pStyle w:val="P68B1DB1-Normal121"/>
              <w:spacing w:after="0" w:line="240" w:lineRule="auto"/>
              <w:rPr>
                <w:noProof/>
              </w:rPr>
            </w:pPr>
            <w:r>
              <w:rPr>
                <w:noProof/>
              </w:rPr>
              <w:t>Korkeakouluopintoihin oikeuttavat apurahat</w:t>
            </w:r>
          </w:p>
        </w:tc>
      </w:tr>
      <w:tr w:rsidR="00E42B18" w14:paraId="1F6BABDD" w14:textId="77777777">
        <w:trPr>
          <w:trHeight w:val="114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6A07D2" w14:textId="77777777" w:rsidR="00E42B18" w:rsidRDefault="009629C4">
            <w:pPr>
              <w:pStyle w:val="P68B1DB1-Normal121"/>
              <w:spacing w:after="0" w:line="240" w:lineRule="auto"/>
              <w:jc w:val="center"/>
              <w:rPr>
                <w:noProof/>
              </w:rPr>
            </w:pPr>
            <w:r>
              <w:rPr>
                <w:noProof/>
              </w:rPr>
              <w:t>M4C2–3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BAC7ED" w14:textId="77777777" w:rsidR="00E42B18" w:rsidRDefault="009629C4">
            <w:pPr>
              <w:pStyle w:val="P68B1DB1-Normal19"/>
              <w:spacing w:after="0" w:line="240" w:lineRule="auto"/>
              <w:rPr>
                <w:rFonts w:ascii="Times New Roman" w:eastAsia="Times New Roman" w:hAnsi="Times New Roman" w:cs="Times New Roman"/>
                <w:noProof/>
              </w:rPr>
            </w:pPr>
            <w:r>
              <w:rPr>
                <w:rFonts w:ascii="Times New Roman" w:eastAsia="Times New Roman" w:hAnsi="Times New Roman" w:cs="Times New Roman"/>
                <w:noProof/>
              </w:rPr>
              <w:t>Investointi 3.3: Tohtorintutkinnon apurahojen myöntäminen yhteistyössä yritysten kanssa</w:t>
            </w:r>
            <w:r>
              <w:rPr>
                <w:rFonts w:ascii="Arial Narrow" w:hAnsi="Arial Narrow"/>
                <w:noProof/>
              </w:rPr>
              <w:t xml:space="preserve"> </w:t>
            </w:r>
            <w:r>
              <w:rPr>
                <w:rFonts w:ascii="Times New Roman" w:eastAsia="Times New Roman" w:hAnsi="Times New Roman" w:cs="Times New Roman"/>
                <w:noProof/>
              </w:rPr>
              <w:t>ja tutkijoiden palkkaamisen edistäminen yrityksissä</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949143" w14:textId="77777777" w:rsidR="00E42B18" w:rsidRDefault="009629C4">
            <w:pPr>
              <w:pStyle w:val="P68B1DB1-Normal121"/>
              <w:spacing w:after="0" w:line="240" w:lineRule="auto"/>
              <w:jc w:val="center"/>
              <w:rPr>
                <w:noProof/>
              </w:rPr>
            </w:pPr>
            <w:r>
              <w:rPr>
                <w:noProof/>
              </w:rPr>
              <w:t>Kohde</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69579BA" w14:textId="77777777" w:rsidR="00E42B18" w:rsidRDefault="009629C4">
            <w:pPr>
              <w:pStyle w:val="P68B1DB1-Normal121"/>
              <w:spacing w:after="0" w:line="240" w:lineRule="auto"/>
              <w:rPr>
                <w:noProof/>
              </w:rPr>
            </w:pPr>
            <w:r>
              <w:rPr>
                <w:noProof/>
              </w:rPr>
              <w:t>Tohtorintutkinnon suorittaneille myönnettyjen apurahojen määrä</w:t>
            </w:r>
          </w:p>
        </w:tc>
      </w:tr>
      <w:tr w:rsidR="00E42B18" w14:paraId="20A3E195"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AD0838" w14:textId="77777777" w:rsidR="00E42B18" w:rsidRDefault="009629C4">
            <w:pPr>
              <w:pStyle w:val="P68B1DB1-Normal121"/>
              <w:spacing w:after="0" w:line="240" w:lineRule="auto"/>
              <w:jc w:val="center"/>
              <w:rPr>
                <w:noProof/>
              </w:rPr>
            </w:pPr>
            <w:r>
              <w:rPr>
                <w:noProof/>
              </w:rPr>
              <w:t>M5C1–15a</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20F209" w14:textId="77777777" w:rsidR="00E42B18" w:rsidRDefault="009629C4">
            <w:pPr>
              <w:pStyle w:val="P68B1DB1-Normal121"/>
              <w:spacing w:after="0" w:line="240" w:lineRule="auto"/>
              <w:rPr>
                <w:noProof/>
              </w:rPr>
            </w:pPr>
            <w:r>
              <w:rPr>
                <w:noProof/>
              </w:rPr>
              <w:t>Investointi 4 – Yleinen julkishallinto</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F204C2"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AD6261" w14:textId="565A5CFC" w:rsidR="00E42B18" w:rsidRDefault="009629C4">
            <w:pPr>
              <w:pStyle w:val="P68B1DB1-Normal121"/>
              <w:spacing w:after="0" w:line="240" w:lineRule="auto"/>
              <w:rPr>
                <w:noProof/>
              </w:rPr>
            </w:pPr>
            <w:r>
              <w:rPr>
                <w:noProof/>
              </w:rPr>
              <w:t>Toteuttamaan toimia, joilla lisätään nuorten osallistumista, yksinkertaistetaan menettelyjä ja parannetaan yleisen virkamiespalvelun (UCS) hankkeiden laatua,</w:t>
            </w:r>
          </w:p>
        </w:tc>
      </w:tr>
      <w:tr w:rsidR="00E42B18" w14:paraId="500605DB"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11C966" w14:textId="77777777" w:rsidR="00E42B18" w:rsidRDefault="009629C4">
            <w:pPr>
              <w:pStyle w:val="P68B1DB1-Normal121"/>
              <w:spacing w:after="0" w:line="240" w:lineRule="auto"/>
              <w:jc w:val="center"/>
              <w:rPr>
                <w:noProof/>
              </w:rPr>
            </w:pPr>
            <w:r>
              <w:rPr>
                <w:noProof/>
              </w:rPr>
              <w:t>M7–1</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837B5" w14:textId="77777777" w:rsidR="00E42B18" w:rsidRDefault="009629C4">
            <w:pPr>
              <w:pStyle w:val="P68B1DB1-Normal121"/>
              <w:spacing w:after="0" w:line="240" w:lineRule="auto"/>
              <w:rPr>
                <w:noProof/>
              </w:rPr>
            </w:pPr>
            <w:r>
              <w:rPr>
                <w:noProof/>
              </w:rPr>
              <w:t>Uudistus 1: Uusiutuvan energian lupamenettelyjen yksinkertaistaminen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2DD293"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F4379B" w14:textId="77777777" w:rsidR="00E42B18" w:rsidRDefault="009629C4">
            <w:pPr>
              <w:pStyle w:val="P68B1DB1-Normal121"/>
              <w:spacing w:after="0" w:line="240" w:lineRule="auto"/>
              <w:rPr>
                <w:noProof/>
              </w:rPr>
            </w:pPr>
            <w:r>
              <w:rPr>
                <w:noProof/>
              </w:rPr>
              <w:t>”Uusiutuvan energian kiihdytysalueiden” määrittäminen</w:t>
            </w:r>
          </w:p>
        </w:tc>
      </w:tr>
      <w:tr w:rsidR="00E42B18" w14:paraId="46637AC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1B8684" w14:textId="77777777" w:rsidR="00E42B18" w:rsidRDefault="009629C4">
            <w:pPr>
              <w:pStyle w:val="P68B1DB1-Normal121"/>
              <w:spacing w:after="0" w:line="240" w:lineRule="auto"/>
              <w:jc w:val="center"/>
              <w:rPr>
                <w:noProof/>
              </w:rPr>
            </w:pPr>
            <w:r>
              <w:rPr>
                <w:noProof/>
              </w:rPr>
              <w:t>M7–4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043544" w14:textId="77777777" w:rsidR="00E42B18" w:rsidRDefault="009629C4">
            <w:pPr>
              <w:pStyle w:val="P68B1DB1-Normal121"/>
              <w:spacing w:after="0" w:line="240" w:lineRule="auto"/>
              <w:rPr>
                <w:noProof/>
              </w:rPr>
            </w:pPr>
            <w:r>
              <w:rPr>
                <w:noProof/>
              </w:rPr>
              <w:t>Uudistuksen 2: Ympäristölle haitallisten tukien vähentäminen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7C5E33"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36A4F7" w14:textId="77777777" w:rsidR="00E42B18" w:rsidRDefault="009629C4">
            <w:pPr>
              <w:pStyle w:val="P68B1DB1-Normal121"/>
              <w:spacing w:after="0" w:line="240" w:lineRule="auto"/>
              <w:rPr>
                <w:noProof/>
              </w:rPr>
            </w:pPr>
            <w:r>
              <w:rPr>
                <w:noProof/>
              </w:rPr>
              <w:t>Hallituksen raportti, jossa esitetään tulokset sidosryhmien kuulemisesta ympäristön kannalta haitallisten tukien vähentämistä koskevan etenemissuunnitelman määrittelemiseksi.</w:t>
            </w:r>
          </w:p>
        </w:tc>
      </w:tr>
      <w:tr w:rsidR="00E42B18" w14:paraId="1B3176D0"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6A4FCD" w14:textId="77777777" w:rsidR="00E42B18" w:rsidRDefault="009629C4">
            <w:pPr>
              <w:pStyle w:val="P68B1DB1-Normal121"/>
              <w:spacing w:after="0" w:line="240" w:lineRule="auto"/>
              <w:jc w:val="center"/>
              <w:rPr>
                <w:noProof/>
              </w:rPr>
            </w:pPr>
            <w:r>
              <w:rPr>
                <w:noProof/>
              </w:rPr>
              <w:t>M7–16</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846310" w14:textId="77777777" w:rsidR="00E42B18" w:rsidRDefault="009629C4">
            <w:pPr>
              <w:pStyle w:val="P68B1DB1-Normal121"/>
              <w:spacing w:after="0" w:line="240" w:lineRule="auto"/>
              <w:rPr>
                <w:noProof/>
              </w:rPr>
            </w:pPr>
            <w:r>
              <w:rPr>
                <w:noProof/>
              </w:rPr>
              <w:t>Investointi 5: SA.CO.I.3</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D90C64"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BD3F47" w14:textId="77777777" w:rsidR="00E42B18" w:rsidRDefault="009629C4">
            <w:pPr>
              <w:pStyle w:val="P68B1DB1-Normal121"/>
              <w:spacing w:after="0" w:line="240" w:lineRule="auto"/>
              <w:rPr>
                <w:noProof/>
              </w:rPr>
            </w:pPr>
            <w:r>
              <w:rPr>
                <w:noProof/>
              </w:rPr>
              <w:t>Hankintasopimukset</w:t>
            </w:r>
          </w:p>
        </w:tc>
      </w:tr>
      <w:tr w:rsidR="00E42B18" w14:paraId="5A0396A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A7D251" w14:textId="77777777" w:rsidR="00E42B18" w:rsidRDefault="009629C4">
            <w:pPr>
              <w:pStyle w:val="P68B1DB1-Normal121"/>
              <w:spacing w:after="0" w:line="240" w:lineRule="auto"/>
              <w:jc w:val="center"/>
              <w:rPr>
                <w:noProof/>
              </w:rPr>
            </w:pPr>
            <w:r>
              <w:rPr>
                <w:noProof/>
              </w:rPr>
              <w:t>M4C1–10 a</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3C5593" w14:textId="77777777" w:rsidR="00E42B18" w:rsidRDefault="009629C4">
            <w:pPr>
              <w:pStyle w:val="P68B1DB1-Normal121"/>
              <w:spacing w:after="0" w:line="240" w:lineRule="auto"/>
              <w:rPr>
                <w:noProof/>
              </w:rPr>
            </w:pPr>
            <w:r>
              <w:rPr>
                <w:noProof/>
              </w:rPr>
              <w:t>Uudistus 1.1: Teknisten ja ammatillisten instituutioiden uudistaminen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ABD4AC" w14:textId="77777777" w:rsidR="00E42B18" w:rsidRDefault="009629C4">
            <w:pPr>
              <w:pStyle w:val="P68B1DB1-Normal121"/>
              <w:spacing w:after="0" w:line="240" w:lineRule="auto"/>
              <w:jc w:val="center"/>
              <w:rPr>
                <w:noProof/>
              </w:rPr>
            </w:pPr>
            <w:r>
              <w:rPr>
                <w:noProof/>
              </w:rPr>
              <w:t>Virstanpylväs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0AB661" w14:textId="77777777" w:rsidR="00E42B18" w:rsidRDefault="009629C4">
            <w:pPr>
              <w:pStyle w:val="P68B1DB1-Normal121"/>
              <w:spacing w:after="0" w:line="240" w:lineRule="auto"/>
              <w:rPr>
                <w:noProof/>
              </w:rPr>
            </w:pPr>
            <w:r>
              <w:rPr>
                <w:noProof/>
              </w:rPr>
              <w:t>Johdetun oikeuden voimaantulo.</w:t>
            </w:r>
          </w:p>
        </w:tc>
      </w:tr>
      <w:tr w:rsidR="00E42B18" w14:paraId="0EA940F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B788C4" w14:textId="77777777" w:rsidR="00E42B18" w:rsidRDefault="00E42B18">
            <w:pPr>
              <w:spacing w:after="0" w:line="240" w:lineRule="auto"/>
              <w:jc w:val="center"/>
              <w:rPr>
                <w:rFonts w:ascii="Times New Roman" w:eastAsia="Times New Roman" w:hAnsi="Times New Roman" w:cs="Times New Roman"/>
                <w:noProof/>
              </w:rPr>
            </w:pP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06A9F5" w14:textId="77777777" w:rsidR="00E42B18" w:rsidRDefault="009629C4">
            <w:pPr>
              <w:pStyle w:val="P68B1DB1-Normal121"/>
              <w:spacing w:after="0" w:line="240" w:lineRule="auto"/>
              <w:rPr>
                <w:noProof/>
              </w:rPr>
            </w:pPr>
            <w:r>
              <w:rPr>
                <w:noProof/>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30547" w14:textId="77777777" w:rsidR="00E42B18" w:rsidRDefault="009629C4">
            <w:pPr>
              <w:pStyle w:val="P68B1DB1-Normal121"/>
              <w:spacing w:after="0" w:line="240" w:lineRule="auto"/>
              <w:jc w:val="center"/>
              <w:rPr>
                <w:noProof/>
              </w:rPr>
            </w:pPr>
            <w:r>
              <w:rPr>
                <w:noProof/>
              </w:rPr>
              <w:t>Maksuerän määrä</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DE5681"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5294563760</w:t>
            </w:r>
            <w:r>
              <w:rPr>
                <w:noProof/>
                <w:sz w:val="23"/>
                <w:szCs w:val="23"/>
              </w:rPr>
              <w:t xml:space="preserve">  </w:t>
            </w:r>
            <w:r>
              <w:rPr>
                <w:noProof/>
                <w:color w:val="006100"/>
                <w:sz w:val="20"/>
                <w:szCs w:val="20"/>
              </w:rPr>
              <w:t>EUROA</w:t>
            </w:r>
          </w:p>
        </w:tc>
      </w:tr>
    </w:tbl>
    <w:p w14:paraId="0E2D5298" w14:textId="16604680" w:rsidR="00E42B18" w:rsidRDefault="00E42B18">
      <w:pPr>
        <w:spacing w:after="0"/>
        <w:ind w:left="850"/>
        <w:contextualSpacing/>
        <w:jc w:val="both"/>
        <w:rPr>
          <w:rFonts w:ascii="Times New Roman" w:eastAsia="Times New Roman" w:hAnsi="Times New Roman" w:cs="Times New Roman"/>
          <w:noProof/>
        </w:rPr>
      </w:pPr>
    </w:p>
    <w:p w14:paraId="067D608A" w14:textId="77777777" w:rsidR="00E42B18" w:rsidRDefault="009629C4">
      <w:pPr>
        <w:pStyle w:val="P68B1DB1-Normal8"/>
        <w:rPr>
          <w:noProof/>
        </w:rPr>
      </w:pPr>
      <w:r>
        <w:rPr>
          <w:noProof/>
        </w:rPr>
        <w:br w:type="page"/>
      </w:r>
    </w:p>
    <w:p w14:paraId="7BC63A0D" w14:textId="77777777" w:rsidR="00E42B18" w:rsidRDefault="009629C4">
      <w:pPr>
        <w:pStyle w:val="P68B1DB1-Heading4119"/>
        <w:numPr>
          <w:ilvl w:val="1"/>
          <w:numId w:val="180"/>
        </w:numPr>
        <w:tabs>
          <w:tab w:val="num" w:pos="1440"/>
        </w:tabs>
        <w:ind w:left="1440" w:hanging="360"/>
        <w:rPr>
          <w:noProof/>
        </w:rPr>
      </w:pPr>
      <w:r>
        <w:rPr>
          <w:noProof/>
        </w:rPr>
        <w:t>Kahdeksas erä (tuki, jota ei makseta takaisin):</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4"/>
        <w:gridCol w:w="3543"/>
        <w:gridCol w:w="1277"/>
        <w:gridCol w:w="3105"/>
      </w:tblGrid>
      <w:tr w:rsidR="00E42B18" w14:paraId="36E872D7" w14:textId="77777777">
        <w:trPr>
          <w:trHeight w:val="900"/>
          <w:tblHeader/>
        </w:trPr>
        <w:tc>
          <w:tcPr>
            <w:tcW w:w="1434" w:type="dxa"/>
            <w:vMerge w:val="restart"/>
            <w:shd w:val="clear" w:color="auto" w:fill="BDD7EE"/>
            <w:tcMar>
              <w:left w:w="108" w:type="dxa"/>
              <w:right w:w="108" w:type="dxa"/>
            </w:tcMar>
            <w:vAlign w:val="center"/>
          </w:tcPr>
          <w:p w14:paraId="7EAE04B2" w14:textId="77777777" w:rsidR="00E42B18" w:rsidRDefault="009629C4">
            <w:pPr>
              <w:pStyle w:val="P68B1DB1-Normal120"/>
              <w:spacing w:after="0" w:line="240" w:lineRule="auto"/>
              <w:jc w:val="center"/>
              <w:rPr>
                <w:noProof/>
              </w:rPr>
            </w:pPr>
            <w:r>
              <w:rPr>
                <w:noProof/>
              </w:rPr>
              <w:t>Juokseva numero</w:t>
            </w:r>
          </w:p>
        </w:tc>
        <w:tc>
          <w:tcPr>
            <w:tcW w:w="3543" w:type="dxa"/>
            <w:vMerge w:val="restart"/>
            <w:shd w:val="clear" w:color="auto" w:fill="BDD7EE"/>
            <w:tcMar>
              <w:left w:w="108" w:type="dxa"/>
              <w:right w:w="108" w:type="dxa"/>
            </w:tcMar>
            <w:vAlign w:val="center"/>
          </w:tcPr>
          <w:p w14:paraId="74F72A28" w14:textId="77777777" w:rsidR="00E42B18" w:rsidRDefault="009629C4">
            <w:pPr>
              <w:pStyle w:val="P68B1DB1-Normal120"/>
              <w:spacing w:after="0" w:line="240" w:lineRule="auto"/>
              <w:jc w:val="center"/>
              <w:rPr>
                <w:noProof/>
              </w:rPr>
            </w:pPr>
            <w:r>
              <w:rPr>
                <w:noProof/>
              </w:rPr>
              <w:t>Toimenpide (uudistus tai investointi)</w:t>
            </w:r>
          </w:p>
        </w:tc>
        <w:tc>
          <w:tcPr>
            <w:tcW w:w="1277" w:type="dxa"/>
            <w:vMerge w:val="restart"/>
            <w:shd w:val="clear" w:color="auto" w:fill="BDD7EE"/>
            <w:tcMar>
              <w:left w:w="108" w:type="dxa"/>
              <w:right w:w="108" w:type="dxa"/>
            </w:tcMar>
            <w:vAlign w:val="center"/>
          </w:tcPr>
          <w:p w14:paraId="4919265C" w14:textId="77777777" w:rsidR="00E42B18" w:rsidRDefault="009629C4">
            <w:pPr>
              <w:pStyle w:val="P68B1DB1-Normal120"/>
              <w:spacing w:after="0" w:line="240" w:lineRule="auto"/>
              <w:jc w:val="center"/>
              <w:rPr>
                <w:noProof/>
              </w:rPr>
            </w:pPr>
            <w:r>
              <w:rPr>
                <w:noProof/>
              </w:rPr>
              <w:t>Välitavoite/tavoite</w:t>
            </w:r>
          </w:p>
        </w:tc>
        <w:tc>
          <w:tcPr>
            <w:tcW w:w="3105" w:type="dxa"/>
            <w:vMerge w:val="restart"/>
            <w:shd w:val="clear" w:color="auto" w:fill="BDD7EE"/>
            <w:tcMar>
              <w:left w:w="108" w:type="dxa"/>
              <w:right w:w="108" w:type="dxa"/>
            </w:tcMar>
            <w:vAlign w:val="center"/>
          </w:tcPr>
          <w:p w14:paraId="64E16B90" w14:textId="77777777" w:rsidR="00E42B18" w:rsidRDefault="009629C4">
            <w:pPr>
              <w:pStyle w:val="P68B1DB1-Normal120"/>
              <w:spacing w:after="0" w:line="240" w:lineRule="auto"/>
              <w:jc w:val="center"/>
              <w:rPr>
                <w:noProof/>
              </w:rPr>
            </w:pPr>
            <w:r>
              <w:rPr>
                <w:noProof/>
              </w:rPr>
              <w:t>Nimi</w:t>
            </w:r>
          </w:p>
        </w:tc>
      </w:tr>
      <w:tr w:rsidR="00E42B18" w14:paraId="63865BEB" w14:textId="77777777">
        <w:trPr>
          <w:trHeight w:val="510"/>
        </w:trPr>
        <w:tc>
          <w:tcPr>
            <w:tcW w:w="1434" w:type="dxa"/>
            <w:vMerge/>
            <w:vAlign w:val="center"/>
          </w:tcPr>
          <w:p w14:paraId="0E8A81CB" w14:textId="77777777" w:rsidR="00E42B18" w:rsidRDefault="00E42B18">
            <w:pPr>
              <w:spacing w:after="0" w:line="240" w:lineRule="auto"/>
              <w:jc w:val="center"/>
              <w:rPr>
                <w:rFonts w:ascii="Times New Roman" w:eastAsia="Times New Roman" w:hAnsi="Times New Roman" w:cs="Times New Roman"/>
                <w:noProof/>
              </w:rPr>
            </w:pPr>
          </w:p>
        </w:tc>
        <w:tc>
          <w:tcPr>
            <w:tcW w:w="3543" w:type="dxa"/>
            <w:vMerge/>
            <w:vAlign w:val="center"/>
          </w:tcPr>
          <w:p w14:paraId="72A1FA7F" w14:textId="77777777" w:rsidR="00E42B18" w:rsidRDefault="00E42B18">
            <w:pPr>
              <w:spacing w:after="0" w:line="240" w:lineRule="auto"/>
              <w:rPr>
                <w:rFonts w:ascii="Times New Roman" w:eastAsia="Times New Roman" w:hAnsi="Times New Roman" w:cs="Times New Roman"/>
                <w:noProof/>
              </w:rPr>
            </w:pPr>
          </w:p>
        </w:tc>
        <w:tc>
          <w:tcPr>
            <w:tcW w:w="1277" w:type="dxa"/>
            <w:vMerge/>
            <w:vAlign w:val="center"/>
          </w:tcPr>
          <w:p w14:paraId="4B13CB5A" w14:textId="77777777" w:rsidR="00E42B18" w:rsidRDefault="00E42B18">
            <w:pPr>
              <w:spacing w:after="0" w:line="240" w:lineRule="auto"/>
              <w:jc w:val="center"/>
              <w:rPr>
                <w:rFonts w:ascii="Times New Roman" w:eastAsia="Times New Roman" w:hAnsi="Times New Roman" w:cs="Times New Roman"/>
                <w:noProof/>
              </w:rPr>
            </w:pPr>
          </w:p>
        </w:tc>
        <w:tc>
          <w:tcPr>
            <w:tcW w:w="3105" w:type="dxa"/>
            <w:vMerge/>
            <w:vAlign w:val="center"/>
          </w:tcPr>
          <w:p w14:paraId="516D2737" w14:textId="77777777" w:rsidR="00E42B18" w:rsidRDefault="00E42B18">
            <w:pPr>
              <w:spacing w:after="0" w:line="240" w:lineRule="auto"/>
              <w:rPr>
                <w:rFonts w:ascii="Times New Roman" w:eastAsia="Times New Roman" w:hAnsi="Times New Roman" w:cs="Times New Roman"/>
                <w:noProof/>
              </w:rPr>
            </w:pPr>
          </w:p>
        </w:tc>
      </w:tr>
      <w:tr w:rsidR="00E42B18" w14:paraId="14479714" w14:textId="77777777">
        <w:trPr>
          <w:trHeight w:val="300"/>
        </w:trPr>
        <w:tc>
          <w:tcPr>
            <w:tcW w:w="1434" w:type="dxa"/>
            <w:shd w:val="clear" w:color="auto" w:fill="C6EFCE"/>
            <w:tcMar>
              <w:left w:w="108" w:type="dxa"/>
              <w:right w:w="108" w:type="dxa"/>
            </w:tcMar>
            <w:vAlign w:val="center"/>
          </w:tcPr>
          <w:p w14:paraId="348138A3" w14:textId="77777777" w:rsidR="00E42B18" w:rsidRDefault="009629C4">
            <w:pPr>
              <w:pStyle w:val="P68B1DB1-Normal121"/>
              <w:spacing w:after="0" w:line="240" w:lineRule="auto"/>
              <w:jc w:val="center"/>
              <w:rPr>
                <w:noProof/>
              </w:rPr>
            </w:pPr>
            <w:r>
              <w:rPr>
                <w:noProof/>
              </w:rPr>
              <w:t>M1C1–23</w:t>
            </w:r>
          </w:p>
        </w:tc>
        <w:tc>
          <w:tcPr>
            <w:tcW w:w="3543" w:type="dxa"/>
            <w:shd w:val="clear" w:color="auto" w:fill="C6EFCE"/>
            <w:tcMar>
              <w:left w:w="108" w:type="dxa"/>
              <w:right w:w="108" w:type="dxa"/>
            </w:tcMar>
            <w:vAlign w:val="center"/>
          </w:tcPr>
          <w:p w14:paraId="5C669F21" w14:textId="77777777" w:rsidR="00E42B18" w:rsidRDefault="009629C4">
            <w:pPr>
              <w:pStyle w:val="P68B1DB1-Normal121"/>
              <w:spacing w:after="0" w:line="240" w:lineRule="auto"/>
              <w:rPr>
                <w:noProof/>
              </w:rPr>
            </w:pPr>
            <w:r>
              <w:rPr>
                <w:noProof/>
              </w:rPr>
              <w:t>Investointi 1.4.6: Liikkuvuus palveluna Italialle</w:t>
            </w:r>
          </w:p>
        </w:tc>
        <w:tc>
          <w:tcPr>
            <w:tcW w:w="1277" w:type="dxa"/>
            <w:shd w:val="clear" w:color="auto" w:fill="C6EFCE"/>
            <w:tcMar>
              <w:left w:w="108" w:type="dxa"/>
              <w:right w:w="108" w:type="dxa"/>
            </w:tcMar>
            <w:vAlign w:val="center"/>
          </w:tcPr>
          <w:p w14:paraId="67F38DA0"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058D2EC3" w14:textId="77777777" w:rsidR="00E42B18" w:rsidRDefault="009629C4">
            <w:pPr>
              <w:pStyle w:val="P68B1DB1-Normal121"/>
              <w:spacing w:after="0" w:line="240" w:lineRule="auto"/>
              <w:rPr>
                <w:noProof/>
              </w:rPr>
            </w:pPr>
            <w:r>
              <w:rPr>
                <w:noProof/>
              </w:rPr>
              <w:t xml:space="preserve">Seitsemän pilottihankkeen toteuttaminen </w:t>
            </w:r>
          </w:p>
        </w:tc>
      </w:tr>
      <w:tr w:rsidR="00E42B18" w14:paraId="37038207" w14:textId="77777777">
        <w:trPr>
          <w:trHeight w:val="300"/>
        </w:trPr>
        <w:tc>
          <w:tcPr>
            <w:tcW w:w="1434" w:type="dxa"/>
            <w:shd w:val="clear" w:color="auto" w:fill="C6EFCE"/>
            <w:tcMar>
              <w:left w:w="108" w:type="dxa"/>
              <w:right w:w="108" w:type="dxa"/>
            </w:tcMar>
            <w:vAlign w:val="center"/>
          </w:tcPr>
          <w:p w14:paraId="197BA280" w14:textId="77777777" w:rsidR="00E42B18" w:rsidRDefault="009629C4">
            <w:pPr>
              <w:pStyle w:val="P68B1DB1-Normal121"/>
              <w:spacing w:after="0" w:line="240" w:lineRule="auto"/>
              <w:jc w:val="center"/>
              <w:rPr>
                <w:noProof/>
              </w:rPr>
            </w:pPr>
            <w:r>
              <w:rPr>
                <w:noProof/>
              </w:rPr>
              <w:t>M1C1–76</w:t>
            </w:r>
          </w:p>
        </w:tc>
        <w:tc>
          <w:tcPr>
            <w:tcW w:w="3543" w:type="dxa"/>
            <w:shd w:val="clear" w:color="auto" w:fill="C6EFCE"/>
            <w:tcMar>
              <w:left w:w="108" w:type="dxa"/>
              <w:right w:w="108" w:type="dxa"/>
            </w:tcMar>
            <w:vAlign w:val="center"/>
          </w:tcPr>
          <w:p w14:paraId="3715BFDF"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277" w:type="dxa"/>
            <w:shd w:val="clear" w:color="auto" w:fill="C6EFCE"/>
            <w:tcMar>
              <w:left w:w="108" w:type="dxa"/>
              <w:right w:w="108" w:type="dxa"/>
            </w:tcMar>
            <w:vAlign w:val="center"/>
          </w:tcPr>
          <w:p w14:paraId="586EB0C4"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2980387B" w14:textId="77777777" w:rsidR="00E42B18" w:rsidRDefault="009629C4">
            <w:pPr>
              <w:pStyle w:val="P68B1DB1-Normal121"/>
              <w:spacing w:after="0" w:line="240" w:lineRule="auto"/>
              <w:rPr>
                <w:noProof/>
              </w:rPr>
            </w:pPr>
            <w:r>
              <w:rPr>
                <w:noProof/>
              </w:rPr>
              <w:t>Keskusviranomaisten yrityksille maksamien päivien keskimäärä vähenee</w:t>
            </w:r>
          </w:p>
        </w:tc>
      </w:tr>
      <w:tr w:rsidR="00E42B18" w14:paraId="7C199A22" w14:textId="77777777">
        <w:trPr>
          <w:trHeight w:val="300"/>
        </w:trPr>
        <w:tc>
          <w:tcPr>
            <w:tcW w:w="1434" w:type="dxa"/>
            <w:shd w:val="clear" w:color="auto" w:fill="C6EFCE"/>
            <w:tcMar>
              <w:left w:w="108" w:type="dxa"/>
              <w:right w:w="108" w:type="dxa"/>
            </w:tcMar>
            <w:vAlign w:val="center"/>
          </w:tcPr>
          <w:p w14:paraId="1CA01AFD" w14:textId="77777777" w:rsidR="00E42B18" w:rsidRDefault="009629C4">
            <w:pPr>
              <w:pStyle w:val="P68B1DB1-Normal121"/>
              <w:spacing w:after="0" w:line="240" w:lineRule="auto"/>
              <w:jc w:val="center"/>
              <w:rPr>
                <w:noProof/>
              </w:rPr>
            </w:pPr>
            <w:r>
              <w:rPr>
                <w:noProof/>
              </w:rPr>
              <w:t>M1C1–77</w:t>
            </w:r>
          </w:p>
        </w:tc>
        <w:tc>
          <w:tcPr>
            <w:tcW w:w="3543" w:type="dxa"/>
            <w:shd w:val="clear" w:color="auto" w:fill="C6EFCE"/>
            <w:tcMar>
              <w:left w:w="108" w:type="dxa"/>
              <w:right w:w="108" w:type="dxa"/>
            </w:tcMar>
            <w:vAlign w:val="center"/>
          </w:tcPr>
          <w:p w14:paraId="45382A96"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277" w:type="dxa"/>
            <w:shd w:val="clear" w:color="auto" w:fill="C6EFCE"/>
            <w:tcMar>
              <w:left w:w="108" w:type="dxa"/>
              <w:right w:w="108" w:type="dxa"/>
            </w:tcMar>
            <w:vAlign w:val="center"/>
          </w:tcPr>
          <w:p w14:paraId="16C68BB2"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59E9DEEA" w14:textId="77777777" w:rsidR="00E42B18" w:rsidRDefault="009629C4">
            <w:pPr>
              <w:pStyle w:val="P68B1DB1-Normal121"/>
              <w:spacing w:after="0" w:line="240" w:lineRule="auto"/>
              <w:rPr>
                <w:noProof/>
              </w:rPr>
            </w:pPr>
            <w:r>
              <w:rPr>
                <w:noProof/>
              </w:rPr>
              <w:t>Alueellisten viranomaisten yrityksille maksamien päivien keskimäärä vähenee</w:t>
            </w:r>
          </w:p>
        </w:tc>
      </w:tr>
      <w:tr w:rsidR="00E42B18" w14:paraId="1A4BDC99" w14:textId="77777777">
        <w:trPr>
          <w:trHeight w:val="300"/>
        </w:trPr>
        <w:tc>
          <w:tcPr>
            <w:tcW w:w="1434" w:type="dxa"/>
            <w:shd w:val="clear" w:color="auto" w:fill="C6EFCE"/>
            <w:tcMar>
              <w:left w:w="108" w:type="dxa"/>
              <w:right w:w="108" w:type="dxa"/>
            </w:tcMar>
            <w:vAlign w:val="center"/>
          </w:tcPr>
          <w:p w14:paraId="7D3B1677" w14:textId="77777777" w:rsidR="00E42B18" w:rsidRDefault="009629C4">
            <w:pPr>
              <w:pStyle w:val="P68B1DB1-Normal121"/>
              <w:spacing w:after="0" w:line="240" w:lineRule="auto"/>
              <w:jc w:val="center"/>
              <w:rPr>
                <w:noProof/>
              </w:rPr>
            </w:pPr>
            <w:r>
              <w:rPr>
                <w:noProof/>
              </w:rPr>
              <w:t>M1C1–78</w:t>
            </w:r>
          </w:p>
        </w:tc>
        <w:tc>
          <w:tcPr>
            <w:tcW w:w="3543" w:type="dxa"/>
            <w:shd w:val="clear" w:color="auto" w:fill="C6EFCE"/>
            <w:tcMar>
              <w:left w:w="108" w:type="dxa"/>
              <w:right w:w="108" w:type="dxa"/>
            </w:tcMar>
            <w:vAlign w:val="center"/>
          </w:tcPr>
          <w:p w14:paraId="5ED9C6D8"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277" w:type="dxa"/>
            <w:shd w:val="clear" w:color="auto" w:fill="C6EFCE"/>
            <w:tcMar>
              <w:left w:w="108" w:type="dxa"/>
              <w:right w:w="108" w:type="dxa"/>
            </w:tcMar>
            <w:vAlign w:val="center"/>
          </w:tcPr>
          <w:p w14:paraId="63AE30CC"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2C92E444" w14:textId="77777777" w:rsidR="00E42B18" w:rsidRDefault="009629C4">
            <w:pPr>
              <w:pStyle w:val="P68B1DB1-Normal121"/>
              <w:spacing w:after="0" w:line="240" w:lineRule="auto"/>
              <w:rPr>
                <w:noProof/>
              </w:rPr>
            </w:pPr>
            <w:r>
              <w:rPr>
                <w:noProof/>
              </w:rPr>
              <w:t>Paikallisviranomaisten yrityksille maksamien päivien keskimäärä vähenee</w:t>
            </w:r>
          </w:p>
        </w:tc>
      </w:tr>
      <w:tr w:rsidR="00E42B18" w14:paraId="0E64AE04" w14:textId="77777777">
        <w:trPr>
          <w:trHeight w:val="300"/>
        </w:trPr>
        <w:tc>
          <w:tcPr>
            <w:tcW w:w="1434" w:type="dxa"/>
            <w:shd w:val="clear" w:color="auto" w:fill="C6EFCE"/>
            <w:tcMar>
              <w:left w:w="108" w:type="dxa"/>
              <w:right w:w="108" w:type="dxa"/>
            </w:tcMar>
            <w:vAlign w:val="center"/>
          </w:tcPr>
          <w:p w14:paraId="6B5A8F87" w14:textId="77777777" w:rsidR="00E42B18" w:rsidRDefault="009629C4">
            <w:pPr>
              <w:pStyle w:val="P68B1DB1-Normal121"/>
              <w:spacing w:after="0" w:line="240" w:lineRule="auto"/>
              <w:jc w:val="center"/>
              <w:rPr>
                <w:noProof/>
              </w:rPr>
            </w:pPr>
            <w:r>
              <w:rPr>
                <w:noProof/>
              </w:rPr>
              <w:t>M1C1–79</w:t>
            </w:r>
          </w:p>
        </w:tc>
        <w:tc>
          <w:tcPr>
            <w:tcW w:w="3543" w:type="dxa"/>
            <w:shd w:val="clear" w:color="auto" w:fill="C6EFCE"/>
            <w:tcMar>
              <w:left w:w="108" w:type="dxa"/>
              <w:right w:w="108" w:type="dxa"/>
            </w:tcMar>
            <w:vAlign w:val="center"/>
          </w:tcPr>
          <w:p w14:paraId="0C4125DB"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277" w:type="dxa"/>
            <w:shd w:val="clear" w:color="auto" w:fill="C6EFCE"/>
            <w:tcMar>
              <w:left w:w="108" w:type="dxa"/>
              <w:right w:w="108" w:type="dxa"/>
            </w:tcMar>
            <w:vAlign w:val="center"/>
          </w:tcPr>
          <w:p w14:paraId="3A56071E"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115BEB75" w14:textId="77777777" w:rsidR="00E42B18" w:rsidRDefault="009629C4">
            <w:pPr>
              <w:pStyle w:val="P68B1DB1-Normal121"/>
              <w:spacing w:after="0" w:line="240" w:lineRule="auto"/>
              <w:rPr>
                <w:noProof/>
              </w:rPr>
            </w:pPr>
            <w:r>
              <w:rPr>
                <w:noProof/>
              </w:rPr>
              <w:t>Kansanterveysviranomaisten yrityksille maksamien päivien keskimääräistä määrää vähennetään</w:t>
            </w:r>
          </w:p>
        </w:tc>
      </w:tr>
      <w:tr w:rsidR="00E42B18" w14:paraId="796025AF" w14:textId="77777777">
        <w:trPr>
          <w:trHeight w:val="300"/>
        </w:trPr>
        <w:tc>
          <w:tcPr>
            <w:tcW w:w="1434" w:type="dxa"/>
            <w:shd w:val="clear" w:color="auto" w:fill="C6EFCE"/>
            <w:tcMar>
              <w:left w:w="108" w:type="dxa"/>
              <w:right w:w="108" w:type="dxa"/>
            </w:tcMar>
            <w:vAlign w:val="center"/>
          </w:tcPr>
          <w:p w14:paraId="47748002" w14:textId="77777777" w:rsidR="00E42B18" w:rsidRDefault="009629C4">
            <w:pPr>
              <w:pStyle w:val="P68B1DB1-Normal121"/>
              <w:spacing w:after="0" w:line="240" w:lineRule="auto"/>
              <w:jc w:val="center"/>
              <w:rPr>
                <w:noProof/>
              </w:rPr>
            </w:pPr>
            <w:r>
              <w:rPr>
                <w:noProof/>
              </w:rPr>
              <w:t>M1C1–25</w:t>
            </w:r>
          </w:p>
        </w:tc>
        <w:tc>
          <w:tcPr>
            <w:tcW w:w="3543" w:type="dxa"/>
            <w:shd w:val="clear" w:color="auto" w:fill="C6EFCE"/>
            <w:tcMar>
              <w:left w:w="108" w:type="dxa"/>
              <w:right w:w="108" w:type="dxa"/>
            </w:tcMar>
            <w:vAlign w:val="center"/>
          </w:tcPr>
          <w:p w14:paraId="5B5F9B2D" w14:textId="77777777" w:rsidR="00E42B18" w:rsidRDefault="009629C4">
            <w:pPr>
              <w:pStyle w:val="P68B1DB1-Normal121"/>
              <w:spacing w:after="0" w:line="240" w:lineRule="auto"/>
              <w:rPr>
                <w:noProof/>
              </w:rPr>
            </w:pPr>
            <w:r>
              <w:rPr>
                <w:noProof/>
              </w:rPr>
              <w:t>Investointi 1.6.6: Valtiovarainpoliisin digitalisointi</w:t>
            </w:r>
          </w:p>
        </w:tc>
        <w:tc>
          <w:tcPr>
            <w:tcW w:w="1277" w:type="dxa"/>
            <w:shd w:val="clear" w:color="auto" w:fill="C6EFCE"/>
            <w:tcMar>
              <w:left w:w="108" w:type="dxa"/>
              <w:right w:w="108" w:type="dxa"/>
            </w:tcMar>
            <w:vAlign w:val="center"/>
          </w:tcPr>
          <w:p w14:paraId="7DD0EE00"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53478257" w14:textId="77777777" w:rsidR="00E42B18" w:rsidRDefault="009629C4">
            <w:pPr>
              <w:pStyle w:val="P68B1DB1-Normal121"/>
              <w:spacing w:after="0" w:line="240" w:lineRule="auto"/>
              <w:rPr>
                <w:noProof/>
              </w:rPr>
            </w:pPr>
            <w:r>
              <w:rPr>
                <w:noProof/>
              </w:rPr>
              <w:t>Talousrikollisuuden torjunnassa käytettävien tietojärjestelmien kehittäminen</w:t>
            </w:r>
          </w:p>
        </w:tc>
      </w:tr>
      <w:tr w:rsidR="00E42B18" w14:paraId="50AA1924" w14:textId="77777777">
        <w:trPr>
          <w:trHeight w:val="300"/>
        </w:trPr>
        <w:tc>
          <w:tcPr>
            <w:tcW w:w="1434" w:type="dxa"/>
            <w:shd w:val="clear" w:color="auto" w:fill="C6EFCE"/>
            <w:tcMar>
              <w:left w:w="108" w:type="dxa"/>
              <w:right w:w="108" w:type="dxa"/>
            </w:tcMar>
            <w:vAlign w:val="center"/>
          </w:tcPr>
          <w:p w14:paraId="7892A1DB" w14:textId="77777777" w:rsidR="00E42B18" w:rsidRDefault="009629C4">
            <w:pPr>
              <w:pStyle w:val="P68B1DB1-Normal121"/>
              <w:spacing w:after="0" w:line="240" w:lineRule="auto"/>
              <w:jc w:val="center"/>
              <w:rPr>
                <w:noProof/>
              </w:rPr>
            </w:pPr>
            <w:r>
              <w:rPr>
                <w:noProof/>
              </w:rPr>
              <w:t>M1C1–62</w:t>
            </w:r>
          </w:p>
        </w:tc>
        <w:tc>
          <w:tcPr>
            <w:tcW w:w="3543" w:type="dxa"/>
            <w:shd w:val="clear" w:color="auto" w:fill="C6EFCE"/>
            <w:tcMar>
              <w:left w:w="108" w:type="dxa"/>
              <w:right w:w="108" w:type="dxa"/>
            </w:tcMar>
            <w:vAlign w:val="center"/>
          </w:tcPr>
          <w:p w14:paraId="2C58555B" w14:textId="77777777" w:rsidR="00E42B18" w:rsidRDefault="009629C4">
            <w:pPr>
              <w:pStyle w:val="P68B1DB1-Normal121"/>
              <w:spacing w:after="0" w:line="240" w:lineRule="auto"/>
              <w:rPr>
                <w:noProof/>
              </w:rPr>
            </w:pPr>
            <w:r>
              <w:rPr>
                <w:noProof/>
              </w:rPr>
              <w:t>Uudistus 1.9: Julkishallinnon uudistaminen</w:t>
            </w:r>
          </w:p>
        </w:tc>
        <w:tc>
          <w:tcPr>
            <w:tcW w:w="1277" w:type="dxa"/>
            <w:shd w:val="clear" w:color="auto" w:fill="C6EFCE"/>
            <w:tcMar>
              <w:left w:w="108" w:type="dxa"/>
              <w:right w:w="108" w:type="dxa"/>
            </w:tcMar>
            <w:vAlign w:val="center"/>
          </w:tcPr>
          <w:p w14:paraId="53CF5534"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5404A13A" w14:textId="77777777" w:rsidR="00E42B18" w:rsidRDefault="009629C4">
            <w:pPr>
              <w:pStyle w:val="P68B1DB1-Normal121"/>
              <w:spacing w:after="0" w:line="240" w:lineRule="auto"/>
              <w:rPr>
                <w:noProof/>
              </w:rPr>
            </w:pPr>
            <w:r>
              <w:rPr>
                <w:noProof/>
              </w:rPr>
              <w:t>Lisätään investointien hyödyntämistä</w:t>
            </w:r>
          </w:p>
        </w:tc>
      </w:tr>
      <w:tr w:rsidR="00E42B18" w14:paraId="7DD28031" w14:textId="77777777">
        <w:trPr>
          <w:trHeight w:val="300"/>
        </w:trPr>
        <w:tc>
          <w:tcPr>
            <w:tcW w:w="1434" w:type="dxa"/>
            <w:shd w:val="clear" w:color="auto" w:fill="C6EFCE"/>
            <w:tcMar>
              <w:left w:w="108" w:type="dxa"/>
              <w:right w:w="108" w:type="dxa"/>
            </w:tcMar>
            <w:vAlign w:val="center"/>
          </w:tcPr>
          <w:p w14:paraId="28936993" w14:textId="77777777" w:rsidR="00E42B18" w:rsidRDefault="009629C4">
            <w:pPr>
              <w:pStyle w:val="P68B1DB1-Normal121"/>
              <w:spacing w:after="0" w:line="240" w:lineRule="auto"/>
              <w:jc w:val="center"/>
              <w:rPr>
                <w:noProof/>
              </w:rPr>
            </w:pPr>
            <w:r>
              <w:rPr>
                <w:noProof/>
              </w:rPr>
              <w:t>M1C1–115</w:t>
            </w:r>
          </w:p>
        </w:tc>
        <w:tc>
          <w:tcPr>
            <w:tcW w:w="3543" w:type="dxa"/>
            <w:shd w:val="clear" w:color="auto" w:fill="C6EFCE"/>
            <w:tcMar>
              <w:left w:w="108" w:type="dxa"/>
              <w:right w:w="108" w:type="dxa"/>
            </w:tcMar>
            <w:vAlign w:val="center"/>
          </w:tcPr>
          <w:p w14:paraId="3A45EAAB" w14:textId="77777777" w:rsidR="00E42B18" w:rsidRDefault="009629C4">
            <w:pPr>
              <w:pStyle w:val="P68B1DB1-Normal121"/>
              <w:spacing w:after="0" w:line="240" w:lineRule="auto"/>
              <w:rPr>
                <w:noProof/>
              </w:rPr>
            </w:pPr>
            <w:r>
              <w:rPr>
                <w:noProof/>
              </w:rPr>
              <w:t>Uudistus 1.13: Menojen uudelleentarkastelua koskevan kehyksen uudistaminen</w:t>
            </w:r>
          </w:p>
        </w:tc>
        <w:tc>
          <w:tcPr>
            <w:tcW w:w="1277" w:type="dxa"/>
            <w:shd w:val="clear" w:color="auto" w:fill="C6EFCE"/>
            <w:tcMar>
              <w:left w:w="108" w:type="dxa"/>
              <w:right w:w="108" w:type="dxa"/>
            </w:tcMar>
            <w:vAlign w:val="center"/>
          </w:tcPr>
          <w:p w14:paraId="274879CA"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227501CB" w14:textId="77777777" w:rsidR="00E42B18" w:rsidRDefault="009629C4">
            <w:pPr>
              <w:pStyle w:val="P68B1DB1-Normal121"/>
              <w:spacing w:after="0" w:line="240" w:lineRule="auto"/>
              <w:rPr>
                <w:noProof/>
              </w:rPr>
            </w:pPr>
            <w:r>
              <w:rPr>
                <w:noProof/>
              </w:rPr>
              <w:t>Vuotta 2024 koskevan vuotuisen menoarvion loppuun saattaminen vuosille 2022 ja 2023 vuodeksi 2024 asetetun säästötavoitteen osalta</w:t>
            </w:r>
          </w:p>
        </w:tc>
      </w:tr>
      <w:tr w:rsidR="00E42B18" w14:paraId="54A8FC18" w14:textId="77777777">
        <w:trPr>
          <w:trHeight w:val="300"/>
        </w:trPr>
        <w:tc>
          <w:tcPr>
            <w:tcW w:w="1434" w:type="dxa"/>
            <w:shd w:val="clear" w:color="auto" w:fill="C6EFCE"/>
            <w:tcMar>
              <w:left w:w="108" w:type="dxa"/>
              <w:right w:w="108" w:type="dxa"/>
            </w:tcMar>
            <w:vAlign w:val="center"/>
          </w:tcPr>
          <w:p w14:paraId="0F8CC187" w14:textId="77777777" w:rsidR="00E42B18" w:rsidRDefault="009629C4">
            <w:pPr>
              <w:pStyle w:val="P68B1DB1-Normal121"/>
              <w:spacing w:after="0" w:line="240" w:lineRule="auto"/>
              <w:jc w:val="center"/>
              <w:rPr>
                <w:noProof/>
              </w:rPr>
            </w:pPr>
            <w:r>
              <w:rPr>
                <w:noProof/>
              </w:rPr>
              <w:t>M1C2–3</w:t>
            </w:r>
          </w:p>
        </w:tc>
        <w:tc>
          <w:tcPr>
            <w:tcW w:w="3543" w:type="dxa"/>
            <w:shd w:val="clear" w:color="auto" w:fill="C6EFCE"/>
            <w:tcMar>
              <w:left w:w="108" w:type="dxa"/>
              <w:right w:w="108" w:type="dxa"/>
            </w:tcMar>
            <w:vAlign w:val="center"/>
          </w:tcPr>
          <w:p w14:paraId="25E916E9" w14:textId="77777777" w:rsidR="00E42B18" w:rsidRDefault="009629C4">
            <w:pPr>
              <w:pStyle w:val="P68B1DB1-Normal121"/>
              <w:spacing w:after="0" w:line="240" w:lineRule="auto"/>
              <w:rPr>
                <w:noProof/>
              </w:rPr>
            </w:pPr>
            <w:r>
              <w:rPr>
                <w:noProof/>
              </w:rPr>
              <w:t>Investointi 1: Siirtymä 4.0</w:t>
            </w:r>
          </w:p>
        </w:tc>
        <w:tc>
          <w:tcPr>
            <w:tcW w:w="1277" w:type="dxa"/>
            <w:shd w:val="clear" w:color="auto" w:fill="C6EFCE"/>
            <w:tcMar>
              <w:left w:w="108" w:type="dxa"/>
              <w:right w:w="108" w:type="dxa"/>
            </w:tcMar>
            <w:vAlign w:val="center"/>
          </w:tcPr>
          <w:p w14:paraId="7A20AB54"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5259A8AE" w14:textId="77777777" w:rsidR="00E42B18" w:rsidRDefault="009629C4">
            <w:pPr>
              <w:pStyle w:val="P68B1DB1-Normal121"/>
              <w:spacing w:after="0" w:line="240" w:lineRule="auto"/>
              <w:rPr>
                <w:noProof/>
              </w:rPr>
            </w:pPr>
            <w:r>
              <w:rPr>
                <w:noProof/>
              </w:rPr>
              <w:t>Siirtymä 4.0 yrityksille vuosina 2021–2023 esitettyjen veroilmoitusten perusteella myönnetyt verohyvitykset</w:t>
            </w:r>
          </w:p>
        </w:tc>
      </w:tr>
      <w:tr w:rsidR="00E42B18" w14:paraId="31655923" w14:textId="77777777">
        <w:trPr>
          <w:trHeight w:val="300"/>
        </w:trPr>
        <w:tc>
          <w:tcPr>
            <w:tcW w:w="1434" w:type="dxa"/>
            <w:shd w:val="clear" w:color="auto" w:fill="C6EFCE"/>
            <w:tcMar>
              <w:left w:w="108" w:type="dxa"/>
              <w:right w:w="108" w:type="dxa"/>
            </w:tcMar>
            <w:vAlign w:val="center"/>
          </w:tcPr>
          <w:p w14:paraId="71DBF93C" w14:textId="77777777" w:rsidR="00E42B18" w:rsidRDefault="009629C4">
            <w:pPr>
              <w:pStyle w:val="P68B1DB1-Normal121"/>
              <w:spacing w:after="0" w:line="240" w:lineRule="auto"/>
              <w:jc w:val="center"/>
              <w:rPr>
                <w:noProof/>
              </w:rPr>
            </w:pPr>
            <w:r>
              <w:rPr>
                <w:noProof/>
              </w:rPr>
              <w:t>M4C1–16</w:t>
            </w:r>
          </w:p>
        </w:tc>
        <w:tc>
          <w:tcPr>
            <w:tcW w:w="3543" w:type="dxa"/>
            <w:shd w:val="clear" w:color="auto" w:fill="C6EFCE"/>
            <w:tcMar>
              <w:left w:w="108" w:type="dxa"/>
              <w:right w:w="108" w:type="dxa"/>
            </w:tcMar>
            <w:vAlign w:val="center"/>
          </w:tcPr>
          <w:p w14:paraId="1EF56ECE" w14:textId="77777777" w:rsidR="00E42B18" w:rsidRDefault="009629C4">
            <w:pPr>
              <w:pStyle w:val="P68B1DB1-Normal121"/>
              <w:spacing w:after="0" w:line="240" w:lineRule="auto"/>
              <w:rPr>
                <w:noProof/>
              </w:rPr>
            </w:pPr>
            <w:r>
              <w:rPr>
                <w:noProof/>
              </w:rPr>
              <w:t>Investointi 3.1: Uudet taidot ja uudet kielet</w:t>
            </w:r>
          </w:p>
        </w:tc>
        <w:tc>
          <w:tcPr>
            <w:tcW w:w="1277" w:type="dxa"/>
            <w:shd w:val="clear" w:color="auto" w:fill="C6EFCE"/>
            <w:tcMar>
              <w:left w:w="108" w:type="dxa"/>
              <w:right w:w="108" w:type="dxa"/>
            </w:tcMar>
            <w:vAlign w:val="center"/>
          </w:tcPr>
          <w:p w14:paraId="48A89FFD"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080E8DDF" w14:textId="77777777" w:rsidR="00E42B18" w:rsidRDefault="009629C4">
            <w:pPr>
              <w:pStyle w:val="P68B1DB1-Normal121"/>
              <w:spacing w:after="0" w:line="240" w:lineRule="auto"/>
              <w:rPr>
                <w:noProof/>
              </w:rPr>
            </w:pPr>
            <w:r>
              <w:rPr>
                <w:noProof/>
              </w:rPr>
              <w:t xml:space="preserve">STEM-hankkeiden aktivointia koskevan avustuksen myöntämispäätöksen (-päätösten) hyväksyminen  </w:t>
            </w:r>
          </w:p>
        </w:tc>
      </w:tr>
      <w:tr w:rsidR="00E42B18" w14:paraId="712D7FAB" w14:textId="77777777">
        <w:trPr>
          <w:trHeight w:val="300"/>
        </w:trPr>
        <w:tc>
          <w:tcPr>
            <w:tcW w:w="1434" w:type="dxa"/>
            <w:shd w:val="clear" w:color="auto" w:fill="C6EFCE"/>
            <w:tcMar>
              <w:left w:w="108" w:type="dxa"/>
              <w:right w:w="108" w:type="dxa"/>
            </w:tcMar>
            <w:vAlign w:val="center"/>
          </w:tcPr>
          <w:p w14:paraId="1819653D" w14:textId="77777777" w:rsidR="00E42B18" w:rsidRDefault="009629C4">
            <w:pPr>
              <w:pStyle w:val="P68B1DB1-Normal121"/>
              <w:spacing w:after="0" w:line="240" w:lineRule="auto"/>
              <w:jc w:val="center"/>
              <w:rPr>
                <w:noProof/>
              </w:rPr>
            </w:pPr>
            <w:r>
              <w:rPr>
                <w:noProof/>
              </w:rPr>
              <w:t>M4C1–17</w:t>
            </w:r>
          </w:p>
        </w:tc>
        <w:tc>
          <w:tcPr>
            <w:tcW w:w="3543" w:type="dxa"/>
            <w:shd w:val="clear" w:color="auto" w:fill="C6EFCE"/>
            <w:tcMar>
              <w:left w:w="108" w:type="dxa"/>
              <w:right w:w="108" w:type="dxa"/>
            </w:tcMar>
            <w:vAlign w:val="center"/>
          </w:tcPr>
          <w:p w14:paraId="214DA09D" w14:textId="77777777" w:rsidR="00E42B18" w:rsidRDefault="009629C4">
            <w:pPr>
              <w:pStyle w:val="P68B1DB1-Normal121"/>
              <w:spacing w:after="0" w:line="240" w:lineRule="auto"/>
              <w:rPr>
                <w:noProof/>
              </w:rPr>
            </w:pPr>
            <w:r>
              <w:rPr>
                <w:noProof/>
              </w:rPr>
              <w:t>Investointi 3.1: Uudet taidot ja uudet kielet</w:t>
            </w:r>
          </w:p>
        </w:tc>
        <w:tc>
          <w:tcPr>
            <w:tcW w:w="1277" w:type="dxa"/>
            <w:shd w:val="clear" w:color="auto" w:fill="C6EFCE"/>
            <w:tcMar>
              <w:left w:w="108" w:type="dxa"/>
              <w:right w:w="108" w:type="dxa"/>
            </w:tcMar>
            <w:vAlign w:val="center"/>
          </w:tcPr>
          <w:p w14:paraId="3A177D81"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323688DE" w14:textId="77777777" w:rsidR="00E42B18" w:rsidRDefault="009629C4">
            <w:pPr>
              <w:pStyle w:val="P68B1DB1-Normal121"/>
              <w:spacing w:after="0" w:line="240" w:lineRule="auto"/>
              <w:rPr>
                <w:noProof/>
              </w:rPr>
            </w:pPr>
            <w:r>
              <w:rPr>
                <w:noProof/>
              </w:rPr>
              <w:t xml:space="preserve">Uudet taidot      </w:t>
            </w:r>
          </w:p>
        </w:tc>
      </w:tr>
      <w:tr w:rsidR="00E42B18" w14:paraId="6E743455" w14:textId="77777777">
        <w:trPr>
          <w:trHeight w:val="300"/>
        </w:trPr>
        <w:tc>
          <w:tcPr>
            <w:tcW w:w="1434" w:type="dxa"/>
            <w:shd w:val="clear" w:color="auto" w:fill="C6EFCE"/>
            <w:tcMar>
              <w:left w:w="108" w:type="dxa"/>
              <w:right w:w="108" w:type="dxa"/>
            </w:tcMar>
            <w:vAlign w:val="center"/>
          </w:tcPr>
          <w:p w14:paraId="7987A6D9" w14:textId="77777777" w:rsidR="00E42B18" w:rsidRDefault="009629C4">
            <w:pPr>
              <w:pStyle w:val="P68B1DB1-Normal121"/>
              <w:spacing w:after="0" w:line="240" w:lineRule="auto"/>
              <w:jc w:val="center"/>
              <w:rPr>
                <w:noProof/>
              </w:rPr>
            </w:pPr>
            <w:r>
              <w:rPr>
                <w:noProof/>
              </w:rPr>
              <w:t>M4C2–1 a</w:t>
            </w:r>
          </w:p>
        </w:tc>
        <w:tc>
          <w:tcPr>
            <w:tcW w:w="3543" w:type="dxa"/>
            <w:shd w:val="clear" w:color="auto" w:fill="C6EFCE"/>
            <w:tcMar>
              <w:left w:w="108" w:type="dxa"/>
              <w:right w:w="108" w:type="dxa"/>
            </w:tcMar>
            <w:vAlign w:val="center"/>
          </w:tcPr>
          <w:p w14:paraId="6418CA0B" w14:textId="77777777" w:rsidR="00E42B18" w:rsidRDefault="009629C4">
            <w:pPr>
              <w:pStyle w:val="P68B1DB1-Normal121"/>
              <w:spacing w:after="0" w:line="240" w:lineRule="auto"/>
              <w:rPr>
                <w:noProof/>
              </w:rPr>
            </w:pPr>
            <w:r>
              <w:rPr>
                <w:noProof/>
              </w:rPr>
              <w:t xml:space="preserve">Investointi 1.2: Nuorten tutkijoiden esittämien hankkeiden rahoittaminen </w:t>
            </w:r>
          </w:p>
        </w:tc>
        <w:tc>
          <w:tcPr>
            <w:tcW w:w="1277" w:type="dxa"/>
            <w:shd w:val="clear" w:color="auto" w:fill="C6EFCE"/>
            <w:tcMar>
              <w:left w:w="108" w:type="dxa"/>
              <w:right w:w="108" w:type="dxa"/>
            </w:tcMar>
            <w:vAlign w:val="center"/>
          </w:tcPr>
          <w:p w14:paraId="260BE18A"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30D820EF" w14:textId="77777777" w:rsidR="00E42B18" w:rsidRDefault="009629C4">
            <w:pPr>
              <w:pStyle w:val="P68B1DB1-Normal121"/>
              <w:spacing w:after="0" w:line="240" w:lineRule="auto"/>
              <w:rPr>
                <w:noProof/>
              </w:rPr>
            </w:pPr>
            <w:r>
              <w:rPr>
                <w:noProof/>
              </w:rPr>
              <w:t xml:space="preserve">Tuen myöntämistä nuorille tutkijoille koskevien asetusten julkaiseminen </w:t>
            </w:r>
          </w:p>
        </w:tc>
      </w:tr>
      <w:tr w:rsidR="00E42B18" w14:paraId="16A27429" w14:textId="77777777">
        <w:trPr>
          <w:trHeight w:val="300"/>
        </w:trPr>
        <w:tc>
          <w:tcPr>
            <w:tcW w:w="1434" w:type="dxa"/>
            <w:shd w:val="clear" w:color="auto" w:fill="C6EFCE"/>
            <w:tcMar>
              <w:left w:w="108" w:type="dxa"/>
              <w:right w:w="108" w:type="dxa"/>
            </w:tcMar>
            <w:vAlign w:val="center"/>
          </w:tcPr>
          <w:p w14:paraId="7B0893F7" w14:textId="77777777" w:rsidR="00E42B18" w:rsidRDefault="009629C4">
            <w:pPr>
              <w:pStyle w:val="P68B1DB1-Normal121"/>
              <w:spacing w:after="0" w:line="240" w:lineRule="auto"/>
              <w:jc w:val="center"/>
              <w:rPr>
                <w:noProof/>
              </w:rPr>
            </w:pPr>
            <w:r>
              <w:rPr>
                <w:noProof/>
              </w:rPr>
              <w:t>M6C2–2</w:t>
            </w:r>
          </w:p>
        </w:tc>
        <w:tc>
          <w:tcPr>
            <w:tcW w:w="3543" w:type="dxa"/>
            <w:shd w:val="clear" w:color="auto" w:fill="C6EFCE"/>
            <w:tcMar>
              <w:left w:w="108" w:type="dxa"/>
              <w:right w:w="108" w:type="dxa"/>
            </w:tcMar>
            <w:vAlign w:val="center"/>
          </w:tcPr>
          <w:p w14:paraId="13216AF0" w14:textId="77777777" w:rsidR="00E42B18" w:rsidRDefault="009629C4">
            <w:pPr>
              <w:pStyle w:val="P68B1DB1-Normal121"/>
              <w:spacing w:after="0" w:line="240" w:lineRule="auto"/>
              <w:rPr>
                <w:noProof/>
              </w:rPr>
            </w:pPr>
            <w:r>
              <w:rPr>
                <w:noProof/>
              </w:rPr>
              <w:t>Investointi 2.1: NHS:n biolääketieteellisen tutkimuksen vahvistaminen ja tehostaminen</w:t>
            </w:r>
          </w:p>
        </w:tc>
        <w:tc>
          <w:tcPr>
            <w:tcW w:w="1277" w:type="dxa"/>
            <w:shd w:val="clear" w:color="auto" w:fill="C6EFCE"/>
            <w:tcMar>
              <w:left w:w="108" w:type="dxa"/>
              <w:right w:w="108" w:type="dxa"/>
            </w:tcMar>
            <w:vAlign w:val="center"/>
          </w:tcPr>
          <w:p w14:paraId="04102493"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7A57D565" w14:textId="77777777" w:rsidR="00E42B18" w:rsidRDefault="009629C4">
            <w:pPr>
              <w:pStyle w:val="P68B1DB1-Normal121"/>
              <w:spacing w:after="0" w:line="240" w:lineRule="auto"/>
              <w:rPr>
                <w:noProof/>
              </w:rPr>
            </w:pPr>
            <w:r>
              <w:rPr>
                <w:noProof/>
              </w:rPr>
              <w:t>Tutkimushankkeet, jotka on rahoitettu konseptin toimivuuden osoittamisesta ja harvinaisista syövistä ja sairauksista</w:t>
            </w:r>
          </w:p>
        </w:tc>
      </w:tr>
      <w:tr w:rsidR="00E42B18" w14:paraId="18104808" w14:textId="77777777">
        <w:trPr>
          <w:trHeight w:val="300"/>
        </w:trPr>
        <w:tc>
          <w:tcPr>
            <w:tcW w:w="1434" w:type="dxa"/>
            <w:shd w:val="clear" w:color="auto" w:fill="C6EFCE"/>
            <w:tcMar>
              <w:left w:w="108" w:type="dxa"/>
              <w:right w:w="108" w:type="dxa"/>
            </w:tcMar>
            <w:vAlign w:val="center"/>
          </w:tcPr>
          <w:p w14:paraId="714F1518" w14:textId="77777777" w:rsidR="00E42B18" w:rsidRDefault="009629C4">
            <w:pPr>
              <w:pStyle w:val="P68B1DB1-Normal121"/>
              <w:spacing w:after="0" w:line="240" w:lineRule="auto"/>
              <w:jc w:val="center"/>
              <w:rPr>
                <w:noProof/>
              </w:rPr>
            </w:pPr>
            <w:r>
              <w:rPr>
                <w:noProof/>
              </w:rPr>
              <w:t>M6C2–3</w:t>
            </w:r>
          </w:p>
        </w:tc>
        <w:tc>
          <w:tcPr>
            <w:tcW w:w="3543" w:type="dxa"/>
            <w:shd w:val="clear" w:color="auto" w:fill="C6EFCE"/>
            <w:tcMar>
              <w:left w:w="108" w:type="dxa"/>
              <w:right w:w="108" w:type="dxa"/>
            </w:tcMar>
            <w:vAlign w:val="center"/>
          </w:tcPr>
          <w:p w14:paraId="01E92F83" w14:textId="77777777" w:rsidR="00E42B18" w:rsidRDefault="009629C4">
            <w:pPr>
              <w:pStyle w:val="P68B1DB1-Normal121"/>
              <w:spacing w:after="0" w:line="240" w:lineRule="auto"/>
              <w:rPr>
                <w:noProof/>
              </w:rPr>
            </w:pPr>
            <w:r>
              <w:rPr>
                <w:noProof/>
              </w:rPr>
              <w:t>Investointi 2.1: NHS:n biolääketieteellisen tutkimuksen vahvistaminen ja tehostaminen</w:t>
            </w:r>
          </w:p>
        </w:tc>
        <w:tc>
          <w:tcPr>
            <w:tcW w:w="1277" w:type="dxa"/>
            <w:shd w:val="clear" w:color="auto" w:fill="C6EFCE"/>
            <w:tcMar>
              <w:left w:w="108" w:type="dxa"/>
              <w:right w:w="108" w:type="dxa"/>
            </w:tcMar>
            <w:vAlign w:val="center"/>
          </w:tcPr>
          <w:p w14:paraId="69D05661"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788EC45E" w14:textId="77777777" w:rsidR="00E42B18" w:rsidRDefault="009629C4">
            <w:pPr>
              <w:pStyle w:val="P68B1DB1-Normal121"/>
              <w:spacing w:after="0" w:line="240" w:lineRule="auto"/>
              <w:rPr>
                <w:noProof/>
              </w:rPr>
            </w:pPr>
            <w:r>
              <w:rPr>
                <w:noProof/>
              </w:rPr>
              <w:t>Terveysvaikutuksiltaan merkittäviä sairauksia koskevat tutkimushankkeet</w:t>
            </w:r>
          </w:p>
        </w:tc>
      </w:tr>
      <w:tr w:rsidR="00E42B18" w14:paraId="39D4C83A" w14:textId="77777777">
        <w:trPr>
          <w:trHeight w:val="300"/>
        </w:trPr>
        <w:tc>
          <w:tcPr>
            <w:tcW w:w="1434" w:type="dxa"/>
            <w:shd w:val="clear" w:color="auto" w:fill="C6EFCE"/>
            <w:tcMar>
              <w:left w:w="108" w:type="dxa"/>
              <w:right w:w="108" w:type="dxa"/>
            </w:tcMar>
            <w:vAlign w:val="center"/>
          </w:tcPr>
          <w:p w14:paraId="43A81460" w14:textId="77777777" w:rsidR="00E42B18" w:rsidRDefault="009629C4">
            <w:pPr>
              <w:pStyle w:val="P68B1DB1-Normal121"/>
              <w:spacing w:after="0" w:line="240" w:lineRule="auto"/>
              <w:jc w:val="center"/>
              <w:rPr>
                <w:noProof/>
              </w:rPr>
            </w:pPr>
            <w:r>
              <w:rPr>
                <w:noProof/>
              </w:rPr>
              <w:t>M7–2</w:t>
            </w:r>
          </w:p>
        </w:tc>
        <w:tc>
          <w:tcPr>
            <w:tcW w:w="3543" w:type="dxa"/>
            <w:shd w:val="clear" w:color="auto" w:fill="C6EFCE"/>
            <w:tcMar>
              <w:left w:w="108" w:type="dxa"/>
              <w:right w:w="108" w:type="dxa"/>
            </w:tcMar>
            <w:vAlign w:val="center"/>
          </w:tcPr>
          <w:p w14:paraId="22228CEE" w14:textId="77777777" w:rsidR="00E42B18" w:rsidRDefault="009629C4">
            <w:pPr>
              <w:pStyle w:val="P68B1DB1-Normal121"/>
              <w:spacing w:after="0" w:line="240" w:lineRule="auto"/>
              <w:rPr>
                <w:noProof/>
              </w:rPr>
            </w:pPr>
            <w:r>
              <w:rPr>
                <w:noProof/>
              </w:rPr>
              <w:t>Uudistus 1: Uusiutuvan energian lupamenettelyjen yksinkertaistaminen</w:t>
            </w:r>
          </w:p>
        </w:tc>
        <w:tc>
          <w:tcPr>
            <w:tcW w:w="1277" w:type="dxa"/>
            <w:shd w:val="clear" w:color="auto" w:fill="C6EFCE"/>
            <w:tcMar>
              <w:left w:w="108" w:type="dxa"/>
              <w:right w:w="108" w:type="dxa"/>
            </w:tcMar>
            <w:vAlign w:val="center"/>
          </w:tcPr>
          <w:p w14:paraId="22854913"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6E5123BC" w14:textId="77777777" w:rsidR="00E42B18" w:rsidRDefault="009629C4">
            <w:pPr>
              <w:pStyle w:val="P68B1DB1-Normal121"/>
              <w:spacing w:after="0" w:line="240" w:lineRule="auto"/>
              <w:rPr>
                <w:noProof/>
              </w:rPr>
            </w:pPr>
            <w:r>
              <w:rPr>
                <w:noProof/>
              </w:rPr>
              <w:t xml:space="preserve">Säädöksen voimaantulo (Testo Unico) </w:t>
            </w:r>
          </w:p>
        </w:tc>
      </w:tr>
      <w:tr w:rsidR="00E42B18" w14:paraId="2A58F8FC" w14:textId="77777777">
        <w:trPr>
          <w:trHeight w:val="300"/>
        </w:trPr>
        <w:tc>
          <w:tcPr>
            <w:tcW w:w="1434" w:type="dxa"/>
            <w:shd w:val="clear" w:color="auto" w:fill="C6EFCE"/>
            <w:tcMar>
              <w:left w:w="108" w:type="dxa"/>
              <w:right w:w="108" w:type="dxa"/>
            </w:tcMar>
            <w:vAlign w:val="center"/>
          </w:tcPr>
          <w:p w14:paraId="42DA4A6E" w14:textId="77777777" w:rsidR="00E42B18" w:rsidRDefault="009629C4">
            <w:pPr>
              <w:pStyle w:val="P68B1DB1-Normal121"/>
              <w:spacing w:after="0" w:line="240" w:lineRule="auto"/>
              <w:jc w:val="center"/>
              <w:rPr>
                <w:noProof/>
              </w:rPr>
            </w:pPr>
            <w:r>
              <w:rPr>
                <w:noProof/>
              </w:rPr>
              <w:t>M7–25</w:t>
            </w:r>
          </w:p>
        </w:tc>
        <w:tc>
          <w:tcPr>
            <w:tcW w:w="3543" w:type="dxa"/>
            <w:shd w:val="clear" w:color="auto" w:fill="C6EFCE"/>
            <w:tcMar>
              <w:left w:w="108" w:type="dxa"/>
              <w:right w:w="108" w:type="dxa"/>
            </w:tcMar>
            <w:vAlign w:val="center"/>
          </w:tcPr>
          <w:p w14:paraId="4B663733" w14:textId="77777777" w:rsidR="00E42B18" w:rsidRDefault="009629C4">
            <w:pPr>
              <w:pStyle w:val="P68B1DB1-Normal121"/>
              <w:spacing w:after="0" w:line="240" w:lineRule="auto"/>
              <w:rPr>
                <w:noProof/>
              </w:rPr>
            </w:pPr>
            <w:r>
              <w:rPr>
                <w:noProof/>
              </w:rPr>
              <w:t>Investointi 8: Kriittisten raaka-aineiden kestävät, kiertotalouteen perustuvat ja turvatut toimitukset</w:t>
            </w:r>
          </w:p>
        </w:tc>
        <w:tc>
          <w:tcPr>
            <w:tcW w:w="1277" w:type="dxa"/>
            <w:shd w:val="clear" w:color="auto" w:fill="C6EFCE"/>
            <w:tcMar>
              <w:left w:w="108" w:type="dxa"/>
              <w:right w:w="108" w:type="dxa"/>
            </w:tcMar>
            <w:vAlign w:val="center"/>
          </w:tcPr>
          <w:p w14:paraId="2B60862E"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310866B5" w14:textId="77777777" w:rsidR="00E42B18" w:rsidRDefault="009629C4">
            <w:pPr>
              <w:pStyle w:val="P68B1DB1-Normal121"/>
              <w:spacing w:after="0" w:line="240" w:lineRule="auto"/>
              <w:rPr>
                <w:noProof/>
              </w:rPr>
            </w:pPr>
            <w:r>
              <w:rPr>
                <w:noProof/>
              </w:rPr>
              <w:t xml:space="preserve">Kriittisten raaka-aineiden tulevia tarpeita ja ekologisen suunnittelun mahdollisuuksia koskevan raportin julkaiseminen </w:t>
            </w:r>
          </w:p>
        </w:tc>
      </w:tr>
      <w:tr w:rsidR="00E42B18" w14:paraId="0EC985D7" w14:textId="77777777">
        <w:trPr>
          <w:trHeight w:val="300"/>
        </w:trPr>
        <w:tc>
          <w:tcPr>
            <w:tcW w:w="1434" w:type="dxa"/>
            <w:shd w:val="clear" w:color="auto" w:fill="C6EFCE"/>
            <w:tcMar>
              <w:left w:w="108" w:type="dxa"/>
              <w:right w:w="108" w:type="dxa"/>
            </w:tcMar>
            <w:vAlign w:val="center"/>
          </w:tcPr>
          <w:p w14:paraId="32549D1C" w14:textId="77777777" w:rsidR="00E42B18" w:rsidRDefault="009629C4">
            <w:pPr>
              <w:pStyle w:val="P68B1DB1-Normal121"/>
              <w:spacing w:after="0" w:line="240" w:lineRule="auto"/>
              <w:jc w:val="center"/>
              <w:rPr>
                <w:noProof/>
              </w:rPr>
            </w:pPr>
            <w:r>
              <w:rPr>
                <w:noProof/>
              </w:rPr>
              <w:t>M1C2–14a</w:t>
            </w:r>
          </w:p>
        </w:tc>
        <w:tc>
          <w:tcPr>
            <w:tcW w:w="3543" w:type="dxa"/>
            <w:shd w:val="clear" w:color="auto" w:fill="C6EFCE"/>
            <w:tcMar>
              <w:left w:w="108" w:type="dxa"/>
              <w:right w:w="108" w:type="dxa"/>
            </w:tcMar>
            <w:vAlign w:val="center"/>
          </w:tcPr>
          <w:p w14:paraId="731C1289" w14:textId="77777777" w:rsidR="00E42B18" w:rsidRDefault="009629C4">
            <w:pPr>
              <w:pStyle w:val="P68B1DB1-Normal121"/>
              <w:spacing w:after="0" w:line="240" w:lineRule="auto"/>
              <w:rPr>
                <w:noProof/>
              </w:rPr>
            </w:pPr>
            <w:r>
              <w:rPr>
                <w:noProof/>
              </w:rPr>
              <w:t>Uudistus 3: Yrityksille suunnattujen kannustimien järkeistäminen ja yksinkertaistaminen.</w:t>
            </w:r>
          </w:p>
        </w:tc>
        <w:tc>
          <w:tcPr>
            <w:tcW w:w="1277" w:type="dxa"/>
            <w:shd w:val="clear" w:color="auto" w:fill="C6EFCE"/>
            <w:tcMar>
              <w:left w:w="108" w:type="dxa"/>
              <w:right w:w="108" w:type="dxa"/>
            </w:tcMar>
            <w:vAlign w:val="center"/>
          </w:tcPr>
          <w:p w14:paraId="17000A08"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778D9CE9" w14:textId="77777777" w:rsidR="00E42B18" w:rsidRDefault="009629C4">
            <w:pPr>
              <w:pStyle w:val="P68B1DB1-Normal121"/>
              <w:spacing w:after="0" w:line="240" w:lineRule="auto"/>
              <w:rPr>
                <w:noProof/>
              </w:rPr>
            </w:pPr>
            <w:r>
              <w:rPr>
                <w:noProof/>
              </w:rPr>
              <w:t>Arviointiraportin julkaiseminen kaikki yrityksille suunnatut kannustimet</w:t>
            </w:r>
          </w:p>
        </w:tc>
      </w:tr>
      <w:tr w:rsidR="00E42B18" w14:paraId="0694A424" w14:textId="77777777">
        <w:trPr>
          <w:trHeight w:val="300"/>
        </w:trPr>
        <w:tc>
          <w:tcPr>
            <w:tcW w:w="1434" w:type="dxa"/>
            <w:shd w:val="clear" w:color="auto" w:fill="C6EFCE"/>
            <w:tcMar>
              <w:left w:w="108" w:type="dxa"/>
              <w:right w:w="108" w:type="dxa"/>
            </w:tcMar>
            <w:vAlign w:val="center"/>
          </w:tcPr>
          <w:p w14:paraId="642051DC" w14:textId="77777777" w:rsidR="00E42B18" w:rsidRDefault="009629C4">
            <w:pPr>
              <w:pStyle w:val="P68B1DB1-Normal121"/>
              <w:spacing w:after="0" w:line="240" w:lineRule="auto"/>
              <w:jc w:val="center"/>
              <w:rPr>
                <w:noProof/>
              </w:rPr>
            </w:pPr>
            <w:r>
              <w:rPr>
                <w:noProof/>
              </w:rPr>
              <w:t>M5C1–15</w:t>
            </w:r>
          </w:p>
        </w:tc>
        <w:tc>
          <w:tcPr>
            <w:tcW w:w="3543" w:type="dxa"/>
            <w:shd w:val="clear" w:color="auto" w:fill="C6EFCE"/>
            <w:tcMar>
              <w:left w:w="108" w:type="dxa"/>
              <w:right w:w="108" w:type="dxa"/>
            </w:tcMar>
            <w:vAlign w:val="center"/>
          </w:tcPr>
          <w:p w14:paraId="46F14D12" w14:textId="77777777" w:rsidR="00E42B18" w:rsidRDefault="009629C4">
            <w:pPr>
              <w:pStyle w:val="P68B1DB1-Normal121"/>
              <w:spacing w:after="0" w:line="240" w:lineRule="auto"/>
              <w:rPr>
                <w:noProof/>
              </w:rPr>
            </w:pPr>
            <w:r>
              <w:rPr>
                <w:noProof/>
              </w:rPr>
              <w:t>Investointi 3 – Kaksinkertaisen järjestelmän vahvistaminen</w:t>
            </w:r>
          </w:p>
        </w:tc>
        <w:tc>
          <w:tcPr>
            <w:tcW w:w="1277" w:type="dxa"/>
            <w:shd w:val="clear" w:color="auto" w:fill="C6EFCE"/>
            <w:tcMar>
              <w:left w:w="108" w:type="dxa"/>
              <w:right w:w="108" w:type="dxa"/>
            </w:tcMar>
            <w:vAlign w:val="center"/>
          </w:tcPr>
          <w:p w14:paraId="322697D0"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0D9ACC19" w14:textId="77777777" w:rsidR="00E42B18" w:rsidRDefault="009629C4">
            <w:pPr>
              <w:pStyle w:val="P68B1DB1-Normal121"/>
              <w:spacing w:after="0" w:line="240" w:lineRule="auto"/>
              <w:rPr>
                <w:noProof/>
              </w:rPr>
            </w:pPr>
            <w:r>
              <w:rPr>
                <w:noProof/>
              </w:rPr>
              <w:t>Harjoittelu- ja opiskelujaksoja yhdistelevän koulutusjärjestelmän kautta myönnetyt todistukset</w:t>
            </w:r>
          </w:p>
        </w:tc>
      </w:tr>
      <w:tr w:rsidR="00E42B18" w14:paraId="34D23886" w14:textId="77777777">
        <w:trPr>
          <w:trHeight w:val="300"/>
        </w:trPr>
        <w:tc>
          <w:tcPr>
            <w:tcW w:w="1434" w:type="dxa"/>
            <w:shd w:val="clear" w:color="auto" w:fill="C6EFCE"/>
            <w:tcMar>
              <w:left w:w="108" w:type="dxa"/>
              <w:right w:w="108" w:type="dxa"/>
            </w:tcMar>
            <w:vAlign w:val="center"/>
          </w:tcPr>
          <w:p w14:paraId="0F69B061" w14:textId="77777777" w:rsidR="00E42B18" w:rsidRDefault="009629C4">
            <w:pPr>
              <w:pStyle w:val="P68B1DB1-Normal121"/>
              <w:spacing w:after="0" w:line="240" w:lineRule="auto"/>
              <w:jc w:val="center"/>
              <w:rPr>
                <w:noProof/>
              </w:rPr>
            </w:pPr>
            <w:r>
              <w:rPr>
                <w:noProof/>
              </w:rPr>
              <w:t>M2C1–12</w:t>
            </w:r>
          </w:p>
        </w:tc>
        <w:tc>
          <w:tcPr>
            <w:tcW w:w="3543" w:type="dxa"/>
            <w:shd w:val="clear" w:color="auto" w:fill="C6EFCE"/>
            <w:tcMar>
              <w:left w:w="108" w:type="dxa"/>
              <w:right w:w="108" w:type="dxa"/>
            </w:tcMar>
            <w:vAlign w:val="center"/>
          </w:tcPr>
          <w:p w14:paraId="64A02EA9" w14:textId="77777777" w:rsidR="00E42B18" w:rsidRDefault="009629C4">
            <w:pPr>
              <w:pStyle w:val="P68B1DB1-Normal121"/>
              <w:spacing w:after="0" w:line="240" w:lineRule="auto"/>
              <w:rPr>
                <w:noProof/>
              </w:rPr>
            </w:pPr>
            <w:r>
              <w:rPr>
                <w:noProof/>
              </w:rPr>
              <w:t>Investointi 3.3: Kulttuuri ja tietoisuus ympäristöaiheista ja -haasteista</w:t>
            </w:r>
          </w:p>
        </w:tc>
        <w:tc>
          <w:tcPr>
            <w:tcW w:w="1277" w:type="dxa"/>
            <w:shd w:val="clear" w:color="auto" w:fill="C6EFCE"/>
            <w:tcMar>
              <w:left w:w="108" w:type="dxa"/>
              <w:right w:w="108" w:type="dxa"/>
            </w:tcMar>
            <w:vAlign w:val="center"/>
          </w:tcPr>
          <w:p w14:paraId="702AF6CA"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3B4A84B7" w14:textId="77777777" w:rsidR="00E42B18" w:rsidRDefault="009629C4">
            <w:pPr>
              <w:pStyle w:val="P68B1DB1-Normal121"/>
              <w:spacing w:after="0" w:line="240" w:lineRule="auto"/>
              <w:rPr>
                <w:noProof/>
              </w:rPr>
            </w:pPr>
            <w:r>
              <w:rPr>
                <w:noProof/>
              </w:rPr>
              <w:t>Podcasteja ympäristösiirtymästä</w:t>
            </w:r>
          </w:p>
        </w:tc>
      </w:tr>
      <w:tr w:rsidR="00E42B18" w14:paraId="413C4F0E" w14:textId="77777777">
        <w:trPr>
          <w:trHeight w:val="300"/>
        </w:trPr>
        <w:tc>
          <w:tcPr>
            <w:tcW w:w="1434" w:type="dxa"/>
            <w:shd w:val="clear" w:color="auto" w:fill="C6EFCE"/>
            <w:tcMar>
              <w:left w:w="108" w:type="dxa"/>
              <w:right w:w="108" w:type="dxa"/>
            </w:tcMar>
            <w:vAlign w:val="center"/>
          </w:tcPr>
          <w:p w14:paraId="7FCF3090" w14:textId="77777777" w:rsidR="00E42B18" w:rsidRDefault="009629C4">
            <w:pPr>
              <w:pStyle w:val="P68B1DB1-Normal121"/>
              <w:spacing w:after="0" w:line="240" w:lineRule="auto"/>
              <w:jc w:val="center"/>
              <w:rPr>
                <w:noProof/>
              </w:rPr>
            </w:pPr>
            <w:r>
              <w:rPr>
                <w:noProof/>
              </w:rPr>
              <w:t>M4C1–19</w:t>
            </w:r>
          </w:p>
        </w:tc>
        <w:tc>
          <w:tcPr>
            <w:tcW w:w="3543" w:type="dxa"/>
            <w:shd w:val="clear" w:color="auto" w:fill="C6EFCE"/>
            <w:tcMar>
              <w:left w:w="108" w:type="dxa"/>
              <w:right w:w="108" w:type="dxa"/>
            </w:tcMar>
            <w:vAlign w:val="center"/>
          </w:tcPr>
          <w:p w14:paraId="4A86F3E1" w14:textId="77777777" w:rsidR="00E42B18" w:rsidRDefault="009629C4">
            <w:pPr>
              <w:pStyle w:val="P68B1DB1-Normal121"/>
              <w:spacing w:after="0" w:line="240" w:lineRule="auto"/>
              <w:rPr>
                <w:noProof/>
              </w:rPr>
            </w:pPr>
            <w:r>
              <w:rPr>
                <w:noProof/>
              </w:rPr>
              <w:t>Investointi 3.2: Koulu 4.0: innovatiiviset koulut, kaapelointi, uudet luokkahuoneet ja työpajat</w:t>
            </w:r>
          </w:p>
        </w:tc>
        <w:tc>
          <w:tcPr>
            <w:tcW w:w="1277" w:type="dxa"/>
            <w:shd w:val="clear" w:color="auto" w:fill="C6EFCE"/>
            <w:tcMar>
              <w:left w:w="108" w:type="dxa"/>
              <w:right w:w="108" w:type="dxa"/>
            </w:tcMar>
            <w:vAlign w:val="center"/>
          </w:tcPr>
          <w:p w14:paraId="3646EA69"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599B98A8" w14:textId="77777777" w:rsidR="00E42B18" w:rsidRDefault="009629C4">
            <w:pPr>
              <w:pStyle w:val="P68B1DB1-Normal121"/>
              <w:spacing w:after="0" w:line="240" w:lineRule="auto"/>
              <w:rPr>
                <w:noProof/>
              </w:rPr>
            </w:pPr>
            <w:r>
              <w:rPr>
                <w:noProof/>
              </w:rPr>
              <w:t>Digitaalisten laitteiden hankintaa ja/tai digitaalisten laboratorioiden perustamista koskevien avustusten myöntämispäätösten hyväksyminen</w:t>
            </w:r>
          </w:p>
        </w:tc>
      </w:tr>
      <w:tr w:rsidR="00E42B18" w14:paraId="7128613E" w14:textId="77777777">
        <w:trPr>
          <w:trHeight w:val="300"/>
        </w:trPr>
        <w:tc>
          <w:tcPr>
            <w:tcW w:w="1434" w:type="dxa"/>
            <w:shd w:val="clear" w:color="auto" w:fill="C6EFCE"/>
            <w:tcMar>
              <w:left w:w="108" w:type="dxa"/>
              <w:right w:w="108" w:type="dxa"/>
            </w:tcMar>
            <w:vAlign w:val="center"/>
          </w:tcPr>
          <w:p w14:paraId="41B1A6C0" w14:textId="77777777" w:rsidR="00E42B18" w:rsidRDefault="009629C4">
            <w:pPr>
              <w:pStyle w:val="P68B1DB1-Normal121"/>
              <w:spacing w:after="0" w:line="240" w:lineRule="auto"/>
              <w:jc w:val="center"/>
              <w:rPr>
                <w:noProof/>
              </w:rPr>
            </w:pPr>
            <w:r>
              <w:rPr>
                <w:noProof/>
              </w:rPr>
              <w:t>M1C1–98a</w:t>
            </w:r>
          </w:p>
        </w:tc>
        <w:tc>
          <w:tcPr>
            <w:tcW w:w="3543" w:type="dxa"/>
            <w:shd w:val="clear" w:color="auto" w:fill="C6EFCE"/>
            <w:tcMar>
              <w:left w:w="108" w:type="dxa"/>
              <w:right w:w="108" w:type="dxa"/>
            </w:tcMar>
            <w:vAlign w:val="center"/>
          </w:tcPr>
          <w:p w14:paraId="5756E559"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7" w:type="dxa"/>
            <w:shd w:val="clear" w:color="auto" w:fill="C6EFCE"/>
            <w:tcMar>
              <w:left w:w="108" w:type="dxa"/>
              <w:right w:w="108" w:type="dxa"/>
            </w:tcMar>
            <w:vAlign w:val="center"/>
          </w:tcPr>
          <w:p w14:paraId="3BA959C1"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6AE51375" w14:textId="77777777" w:rsidR="00E42B18" w:rsidRDefault="009629C4">
            <w:pPr>
              <w:pStyle w:val="P68B1DB1-Normal121"/>
              <w:spacing w:after="0" w:line="240" w:lineRule="auto"/>
              <w:rPr>
                <w:noProof/>
              </w:rPr>
            </w:pPr>
            <w:r>
              <w:rPr>
                <w:noProof/>
              </w:rPr>
              <w:t>Julkisten ostajien ammatillistamista koskevan strategian kautta koulutetut virkamiehet</w:t>
            </w:r>
          </w:p>
        </w:tc>
      </w:tr>
      <w:tr w:rsidR="00E42B18" w14:paraId="2F4FD992" w14:textId="77777777">
        <w:trPr>
          <w:trHeight w:val="300"/>
        </w:trPr>
        <w:tc>
          <w:tcPr>
            <w:tcW w:w="1434" w:type="dxa"/>
            <w:shd w:val="clear" w:color="auto" w:fill="C6EFCE"/>
            <w:tcMar>
              <w:left w:w="108" w:type="dxa"/>
              <w:right w:w="108" w:type="dxa"/>
            </w:tcMar>
            <w:vAlign w:val="center"/>
          </w:tcPr>
          <w:p w14:paraId="35277D89" w14:textId="77777777" w:rsidR="00E42B18" w:rsidRDefault="00E42B18">
            <w:pPr>
              <w:spacing w:after="0" w:line="240" w:lineRule="auto"/>
              <w:jc w:val="center"/>
              <w:rPr>
                <w:rFonts w:ascii="Times New Roman" w:eastAsia="Times New Roman" w:hAnsi="Times New Roman" w:cs="Times New Roman"/>
                <w:noProof/>
              </w:rPr>
            </w:pPr>
          </w:p>
        </w:tc>
        <w:tc>
          <w:tcPr>
            <w:tcW w:w="3543" w:type="dxa"/>
            <w:shd w:val="clear" w:color="auto" w:fill="C6EFCE"/>
            <w:tcMar>
              <w:left w:w="108" w:type="dxa"/>
              <w:right w:w="108" w:type="dxa"/>
            </w:tcMar>
            <w:vAlign w:val="center"/>
          </w:tcPr>
          <w:p w14:paraId="4707CDE8" w14:textId="77777777" w:rsidR="00E42B18" w:rsidRDefault="009629C4">
            <w:pPr>
              <w:pStyle w:val="P68B1DB1-Normal121"/>
              <w:spacing w:after="0" w:line="240" w:lineRule="auto"/>
              <w:rPr>
                <w:noProof/>
              </w:rPr>
            </w:pPr>
            <w:r>
              <w:rPr>
                <w:noProof/>
              </w:rPr>
              <w:t xml:space="preserve"> </w:t>
            </w:r>
          </w:p>
        </w:tc>
        <w:tc>
          <w:tcPr>
            <w:tcW w:w="1277" w:type="dxa"/>
            <w:shd w:val="clear" w:color="auto" w:fill="C6EFCE"/>
            <w:tcMar>
              <w:left w:w="108" w:type="dxa"/>
              <w:right w:w="108" w:type="dxa"/>
            </w:tcMar>
            <w:vAlign w:val="center"/>
          </w:tcPr>
          <w:p w14:paraId="11730EA8" w14:textId="77777777" w:rsidR="00E42B18" w:rsidRDefault="009629C4">
            <w:pPr>
              <w:pStyle w:val="P68B1DB1-Normal121"/>
              <w:spacing w:after="0" w:line="240" w:lineRule="auto"/>
              <w:jc w:val="center"/>
              <w:rPr>
                <w:noProof/>
              </w:rPr>
            </w:pPr>
            <w:r>
              <w:rPr>
                <w:noProof/>
              </w:rPr>
              <w:t>Maksuerän määrä</w:t>
            </w:r>
          </w:p>
        </w:tc>
        <w:tc>
          <w:tcPr>
            <w:tcW w:w="3105" w:type="dxa"/>
            <w:shd w:val="clear" w:color="auto" w:fill="C6EFCE"/>
            <w:tcMar>
              <w:left w:w="108" w:type="dxa"/>
              <w:right w:w="108" w:type="dxa"/>
            </w:tcMar>
            <w:vAlign w:val="center"/>
          </w:tcPr>
          <w:p w14:paraId="0606008D"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3541589877</w:t>
            </w:r>
            <w:r>
              <w:rPr>
                <w:noProof/>
                <w:sz w:val="23"/>
                <w:szCs w:val="23"/>
              </w:rPr>
              <w:t xml:space="preserve">  </w:t>
            </w:r>
            <w:r>
              <w:rPr>
                <w:noProof/>
                <w:color w:val="006100"/>
                <w:sz w:val="20"/>
                <w:szCs w:val="20"/>
              </w:rPr>
              <w:t>EUROA</w:t>
            </w:r>
          </w:p>
        </w:tc>
      </w:tr>
    </w:tbl>
    <w:p w14:paraId="1BF89750" w14:textId="12ED3EEA" w:rsidR="00E42B18" w:rsidRDefault="00E42B18">
      <w:pPr>
        <w:rPr>
          <w:rFonts w:ascii="Times New Roman" w:eastAsia="Times New Roman" w:hAnsi="Times New Roman" w:cs="Times New Roman"/>
          <w:noProof/>
        </w:rPr>
      </w:pPr>
    </w:p>
    <w:p w14:paraId="2AD19847" w14:textId="77777777" w:rsidR="00E42B18" w:rsidRDefault="009629C4">
      <w:pPr>
        <w:pStyle w:val="P68B1DB1-Heading4119"/>
        <w:numPr>
          <w:ilvl w:val="1"/>
          <w:numId w:val="180"/>
        </w:numPr>
        <w:tabs>
          <w:tab w:val="num" w:pos="1440"/>
        </w:tabs>
        <w:ind w:left="1440" w:hanging="360"/>
        <w:rPr>
          <w:noProof/>
        </w:rPr>
      </w:pPr>
      <w:r>
        <w:rPr>
          <w:noProof/>
        </w:rPr>
        <w:t>Yhdeksäs erä (tuki, jota ei makseta takaisin):</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276"/>
        <w:gridCol w:w="3105"/>
      </w:tblGrid>
      <w:tr w:rsidR="00E42B18" w14:paraId="5987E9DB" w14:textId="77777777">
        <w:trPr>
          <w:trHeight w:val="1425"/>
          <w:tblHeader/>
        </w:trPr>
        <w:tc>
          <w:tcPr>
            <w:tcW w:w="1435" w:type="dxa"/>
            <w:shd w:val="clear" w:color="auto" w:fill="BDD7EE"/>
            <w:tcMar>
              <w:left w:w="108" w:type="dxa"/>
              <w:right w:w="108" w:type="dxa"/>
            </w:tcMar>
            <w:vAlign w:val="center"/>
          </w:tcPr>
          <w:p w14:paraId="45CBA8D2" w14:textId="77777777" w:rsidR="00E42B18" w:rsidRDefault="009629C4">
            <w:pPr>
              <w:pStyle w:val="P68B1DB1-Normal120"/>
              <w:spacing w:after="0" w:line="240" w:lineRule="auto"/>
              <w:jc w:val="center"/>
              <w:rPr>
                <w:noProof/>
              </w:rPr>
            </w:pPr>
            <w:r>
              <w:rPr>
                <w:noProof/>
              </w:rPr>
              <w:t>Juokseva numero</w:t>
            </w:r>
          </w:p>
        </w:tc>
        <w:tc>
          <w:tcPr>
            <w:tcW w:w="3543" w:type="dxa"/>
            <w:shd w:val="clear" w:color="auto" w:fill="BDD7EE"/>
            <w:tcMar>
              <w:left w:w="108" w:type="dxa"/>
              <w:right w:w="108" w:type="dxa"/>
            </w:tcMar>
            <w:vAlign w:val="center"/>
          </w:tcPr>
          <w:p w14:paraId="31184FA4" w14:textId="77777777" w:rsidR="00E42B18" w:rsidRDefault="009629C4">
            <w:pPr>
              <w:pStyle w:val="P68B1DB1-Normal120"/>
              <w:spacing w:after="0" w:line="240" w:lineRule="auto"/>
              <w:jc w:val="center"/>
              <w:rPr>
                <w:noProof/>
              </w:rPr>
            </w:pPr>
            <w:r>
              <w:rPr>
                <w:noProof/>
              </w:rPr>
              <w:t>Toimenpide (uudistus tai investointi)</w:t>
            </w:r>
          </w:p>
        </w:tc>
        <w:tc>
          <w:tcPr>
            <w:tcW w:w="1276" w:type="dxa"/>
            <w:shd w:val="clear" w:color="auto" w:fill="BDD7EE"/>
            <w:tcMar>
              <w:left w:w="108" w:type="dxa"/>
              <w:right w:w="108" w:type="dxa"/>
            </w:tcMar>
            <w:vAlign w:val="center"/>
          </w:tcPr>
          <w:p w14:paraId="0CB407C5" w14:textId="77777777" w:rsidR="00E42B18" w:rsidRDefault="009629C4">
            <w:pPr>
              <w:pStyle w:val="P68B1DB1-Normal120"/>
              <w:spacing w:after="0" w:line="240" w:lineRule="auto"/>
              <w:jc w:val="center"/>
              <w:rPr>
                <w:noProof/>
              </w:rPr>
            </w:pPr>
            <w:r>
              <w:rPr>
                <w:noProof/>
              </w:rPr>
              <w:t>Välitavoite/tavoite</w:t>
            </w:r>
          </w:p>
        </w:tc>
        <w:tc>
          <w:tcPr>
            <w:tcW w:w="3105" w:type="dxa"/>
            <w:shd w:val="clear" w:color="auto" w:fill="BDD7EE"/>
            <w:tcMar>
              <w:left w:w="108" w:type="dxa"/>
              <w:right w:w="108" w:type="dxa"/>
            </w:tcMar>
            <w:vAlign w:val="center"/>
          </w:tcPr>
          <w:p w14:paraId="719AC517" w14:textId="77777777" w:rsidR="00E42B18" w:rsidRDefault="009629C4">
            <w:pPr>
              <w:pStyle w:val="P68B1DB1-Normal120"/>
              <w:spacing w:after="0" w:line="240" w:lineRule="auto"/>
              <w:jc w:val="center"/>
              <w:rPr>
                <w:noProof/>
              </w:rPr>
            </w:pPr>
            <w:r>
              <w:rPr>
                <w:noProof/>
              </w:rPr>
              <w:t>Nimi</w:t>
            </w:r>
          </w:p>
        </w:tc>
      </w:tr>
      <w:tr w:rsidR="00E42B18" w14:paraId="5C129F7B" w14:textId="77777777">
        <w:trPr>
          <w:trHeight w:val="300"/>
        </w:trPr>
        <w:tc>
          <w:tcPr>
            <w:tcW w:w="1435" w:type="dxa"/>
            <w:shd w:val="clear" w:color="auto" w:fill="C6EFCE"/>
            <w:tcMar>
              <w:left w:w="108" w:type="dxa"/>
              <w:right w:w="108" w:type="dxa"/>
            </w:tcMar>
            <w:vAlign w:val="center"/>
          </w:tcPr>
          <w:p w14:paraId="4E2362FB" w14:textId="77777777" w:rsidR="00E42B18" w:rsidRDefault="009629C4">
            <w:pPr>
              <w:pStyle w:val="P68B1DB1-Normal121"/>
              <w:spacing w:after="0" w:line="240" w:lineRule="auto"/>
              <w:jc w:val="center"/>
              <w:rPr>
                <w:noProof/>
              </w:rPr>
            </w:pPr>
            <w:r>
              <w:rPr>
                <w:noProof/>
              </w:rPr>
              <w:t>M4C1–7</w:t>
            </w:r>
          </w:p>
        </w:tc>
        <w:tc>
          <w:tcPr>
            <w:tcW w:w="3543" w:type="dxa"/>
            <w:shd w:val="clear" w:color="auto" w:fill="C6EFCE"/>
            <w:tcMar>
              <w:left w:w="108" w:type="dxa"/>
              <w:right w:w="108" w:type="dxa"/>
            </w:tcMar>
            <w:vAlign w:val="center"/>
          </w:tcPr>
          <w:p w14:paraId="3E990AA7" w14:textId="77777777" w:rsidR="00E42B18" w:rsidRDefault="009629C4">
            <w:pPr>
              <w:pStyle w:val="P68B1DB1-Normal121"/>
              <w:spacing w:after="0" w:line="240" w:lineRule="auto"/>
              <w:rPr>
                <w:noProof/>
              </w:rPr>
            </w:pPr>
            <w:r>
              <w:rPr>
                <w:noProof/>
              </w:rPr>
              <w:t>Investointi 1.4: Poikkeukselliset toimet, joilla pyritään kaventamaan alueellisia eroja ylä- ja toisen asteen koulukierroissa ja puuttumaan koulunkäynnin keskeyttämiseen</w:t>
            </w:r>
          </w:p>
        </w:tc>
        <w:tc>
          <w:tcPr>
            <w:tcW w:w="1276" w:type="dxa"/>
            <w:shd w:val="clear" w:color="auto" w:fill="C6EFCE"/>
            <w:tcMar>
              <w:left w:w="108" w:type="dxa"/>
              <w:right w:w="108" w:type="dxa"/>
            </w:tcMar>
            <w:vAlign w:val="center"/>
          </w:tcPr>
          <w:p w14:paraId="103A8FD9"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31AD2FE1" w14:textId="63AE24F5" w:rsidR="00E42B18" w:rsidRDefault="009629C4">
            <w:pPr>
              <w:pStyle w:val="P68B1DB1-Normal121"/>
              <w:spacing w:after="0" w:line="240" w:lineRule="auto"/>
              <w:rPr>
                <w:noProof/>
              </w:rPr>
            </w:pPr>
            <w:r>
              <w:rPr>
                <w:noProof/>
              </w:rPr>
              <w:t>Opiskelijat tai nuoret, jotka ovat osallistuneet mentorointitoimintaan tai koulutuskursseille</w:t>
            </w:r>
          </w:p>
        </w:tc>
      </w:tr>
      <w:tr w:rsidR="00E42B18" w14:paraId="00E93C63" w14:textId="77777777">
        <w:trPr>
          <w:trHeight w:val="300"/>
        </w:trPr>
        <w:tc>
          <w:tcPr>
            <w:tcW w:w="1435" w:type="dxa"/>
            <w:shd w:val="clear" w:color="auto" w:fill="C6EFCE"/>
            <w:tcMar>
              <w:left w:w="108" w:type="dxa"/>
              <w:right w:w="108" w:type="dxa"/>
            </w:tcMar>
            <w:vAlign w:val="center"/>
          </w:tcPr>
          <w:p w14:paraId="517D1C3B" w14:textId="77777777" w:rsidR="00E42B18" w:rsidRDefault="009629C4">
            <w:pPr>
              <w:pStyle w:val="P68B1DB1-Normal121"/>
              <w:spacing w:after="0" w:line="240" w:lineRule="auto"/>
              <w:jc w:val="center"/>
              <w:rPr>
                <w:noProof/>
              </w:rPr>
            </w:pPr>
            <w:r>
              <w:rPr>
                <w:noProof/>
              </w:rPr>
              <w:t>M4C1–14 a</w:t>
            </w:r>
          </w:p>
        </w:tc>
        <w:tc>
          <w:tcPr>
            <w:tcW w:w="3543" w:type="dxa"/>
            <w:shd w:val="clear" w:color="auto" w:fill="C6EFCE"/>
            <w:tcMar>
              <w:left w:w="108" w:type="dxa"/>
              <w:right w:w="108" w:type="dxa"/>
            </w:tcMar>
            <w:vAlign w:val="center"/>
          </w:tcPr>
          <w:p w14:paraId="47B0E883" w14:textId="77777777" w:rsidR="00E42B18" w:rsidRDefault="009629C4">
            <w:pPr>
              <w:pStyle w:val="P68B1DB1-Normal121"/>
              <w:spacing w:after="0" w:line="240" w:lineRule="auto"/>
              <w:rPr>
                <w:noProof/>
              </w:rPr>
            </w:pPr>
            <w:r>
              <w:rPr>
                <w:noProof/>
              </w:rPr>
              <w:t xml:space="preserve">Uudistus 2.1: Opettajien rekrytointi   </w:t>
            </w:r>
          </w:p>
        </w:tc>
        <w:tc>
          <w:tcPr>
            <w:tcW w:w="1276" w:type="dxa"/>
            <w:shd w:val="clear" w:color="auto" w:fill="C6EFCE"/>
            <w:tcMar>
              <w:left w:w="108" w:type="dxa"/>
              <w:right w:w="108" w:type="dxa"/>
            </w:tcMar>
            <w:vAlign w:val="center"/>
          </w:tcPr>
          <w:p w14:paraId="68D4C4B3"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458B026F" w14:textId="77777777" w:rsidR="00E42B18" w:rsidRDefault="009629C4">
            <w:pPr>
              <w:pStyle w:val="P68B1DB1-Normal121"/>
              <w:spacing w:after="0" w:line="240" w:lineRule="auto"/>
              <w:rPr>
                <w:noProof/>
              </w:rPr>
            </w:pPr>
            <w:r>
              <w:rPr>
                <w:noProof/>
              </w:rPr>
              <w:t>Uudistetussa rekrytointijärjestelmässä palvelukseen otetut opettajat</w:t>
            </w:r>
          </w:p>
        </w:tc>
      </w:tr>
      <w:tr w:rsidR="00E42B18" w14:paraId="0BF79147" w14:textId="77777777">
        <w:trPr>
          <w:trHeight w:val="300"/>
        </w:trPr>
        <w:tc>
          <w:tcPr>
            <w:tcW w:w="1435" w:type="dxa"/>
            <w:shd w:val="clear" w:color="auto" w:fill="C6EFCE"/>
            <w:tcMar>
              <w:left w:w="108" w:type="dxa"/>
              <w:right w:w="108" w:type="dxa"/>
            </w:tcMar>
            <w:vAlign w:val="center"/>
          </w:tcPr>
          <w:p w14:paraId="0EBE5033" w14:textId="77777777" w:rsidR="00E42B18" w:rsidRDefault="009629C4">
            <w:pPr>
              <w:pStyle w:val="P68B1DB1-Normal121"/>
              <w:spacing w:after="0" w:line="240" w:lineRule="auto"/>
              <w:jc w:val="center"/>
              <w:rPr>
                <w:noProof/>
              </w:rPr>
            </w:pPr>
            <w:r>
              <w:rPr>
                <w:noProof/>
              </w:rPr>
              <w:t>M7–6</w:t>
            </w:r>
          </w:p>
        </w:tc>
        <w:tc>
          <w:tcPr>
            <w:tcW w:w="3543" w:type="dxa"/>
            <w:shd w:val="clear" w:color="auto" w:fill="C6EFCE"/>
            <w:tcMar>
              <w:left w:w="108" w:type="dxa"/>
              <w:right w:w="108" w:type="dxa"/>
            </w:tcMar>
            <w:vAlign w:val="center"/>
          </w:tcPr>
          <w:p w14:paraId="36176AC7" w14:textId="77777777" w:rsidR="00E42B18" w:rsidRDefault="009629C4">
            <w:pPr>
              <w:pStyle w:val="P68B1DB1-Normal121"/>
              <w:spacing w:after="0" w:line="240" w:lineRule="auto"/>
              <w:rPr>
                <w:noProof/>
              </w:rPr>
            </w:pPr>
            <w:r>
              <w:rPr>
                <w:noProof/>
              </w:rPr>
              <w:t>Uudistus 3: Biometaanin kaasuverkkoon liittämisestä aiheutuvien kustannusten alentaminen</w:t>
            </w:r>
          </w:p>
        </w:tc>
        <w:tc>
          <w:tcPr>
            <w:tcW w:w="1276" w:type="dxa"/>
            <w:shd w:val="clear" w:color="auto" w:fill="C6EFCE"/>
            <w:tcMar>
              <w:left w:w="108" w:type="dxa"/>
              <w:right w:w="108" w:type="dxa"/>
            </w:tcMar>
            <w:vAlign w:val="center"/>
          </w:tcPr>
          <w:p w14:paraId="3B6826C1"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25A37CCD" w14:textId="77777777" w:rsidR="00E42B18" w:rsidRDefault="009629C4">
            <w:pPr>
              <w:pStyle w:val="P68B1DB1-Normal121"/>
              <w:spacing w:after="0" w:line="240" w:lineRule="auto"/>
              <w:rPr>
                <w:noProof/>
              </w:rPr>
            </w:pPr>
            <w:r>
              <w:rPr>
                <w:noProof/>
              </w:rPr>
              <w:t xml:space="preserve">Biometaanin tuotantolaitosten kaasuverkkoon liittämisestä aiheutuvien kustannusten vähentämistä koskevan lainsäädännön voimaantulo </w:t>
            </w:r>
          </w:p>
        </w:tc>
      </w:tr>
      <w:tr w:rsidR="00E42B18" w14:paraId="7EBACB58" w14:textId="77777777">
        <w:trPr>
          <w:trHeight w:val="300"/>
        </w:trPr>
        <w:tc>
          <w:tcPr>
            <w:tcW w:w="1435" w:type="dxa"/>
            <w:shd w:val="clear" w:color="auto" w:fill="C6EFCE"/>
            <w:tcMar>
              <w:left w:w="108" w:type="dxa"/>
              <w:right w:w="108" w:type="dxa"/>
            </w:tcMar>
            <w:vAlign w:val="center"/>
          </w:tcPr>
          <w:p w14:paraId="338D0B3D" w14:textId="77777777" w:rsidR="00E42B18" w:rsidRDefault="009629C4">
            <w:pPr>
              <w:pStyle w:val="P68B1DB1-Normal121"/>
              <w:spacing w:after="0" w:line="240" w:lineRule="auto"/>
              <w:jc w:val="center"/>
              <w:rPr>
                <w:noProof/>
              </w:rPr>
            </w:pPr>
            <w:r>
              <w:rPr>
                <w:noProof/>
              </w:rPr>
              <w:t>M7–10</w:t>
            </w:r>
          </w:p>
        </w:tc>
        <w:tc>
          <w:tcPr>
            <w:tcW w:w="3543" w:type="dxa"/>
            <w:shd w:val="clear" w:color="auto" w:fill="C6EFCE"/>
            <w:tcMar>
              <w:left w:w="108" w:type="dxa"/>
              <w:right w:w="108" w:type="dxa"/>
            </w:tcMar>
            <w:vAlign w:val="center"/>
          </w:tcPr>
          <w:p w14:paraId="44F4F0B6" w14:textId="77777777" w:rsidR="00E42B18" w:rsidRDefault="009629C4">
            <w:pPr>
              <w:pStyle w:val="P68B1DB1-Normal121"/>
              <w:spacing w:after="0" w:line="240" w:lineRule="auto"/>
              <w:rPr>
                <w:noProof/>
              </w:rPr>
            </w:pPr>
            <w:r>
              <w:rPr>
                <w:noProof/>
              </w:rPr>
              <w:t>Uudistus 5: Uuden osaamisen suunnitelma – Siirtymät</w:t>
            </w:r>
          </w:p>
        </w:tc>
        <w:tc>
          <w:tcPr>
            <w:tcW w:w="1276" w:type="dxa"/>
            <w:shd w:val="clear" w:color="auto" w:fill="C6EFCE"/>
            <w:tcMar>
              <w:left w:w="108" w:type="dxa"/>
              <w:right w:w="108" w:type="dxa"/>
            </w:tcMar>
            <w:vAlign w:val="center"/>
          </w:tcPr>
          <w:p w14:paraId="03C34FE3"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76DC5BCD" w14:textId="77777777" w:rsidR="00E42B18" w:rsidRDefault="009629C4">
            <w:pPr>
              <w:pStyle w:val="P68B1DB1-Normal121"/>
              <w:spacing w:after="0" w:line="240" w:lineRule="auto"/>
              <w:rPr>
                <w:noProof/>
              </w:rPr>
            </w:pPr>
            <w:r>
              <w:rPr>
                <w:noProof/>
              </w:rPr>
              <w:t>Säädöksen (säädösten) voimaantulo alueilla ja autonomisissa maakunnissa</w:t>
            </w:r>
          </w:p>
        </w:tc>
      </w:tr>
      <w:tr w:rsidR="00E42B18" w14:paraId="523E2AAC" w14:textId="77777777">
        <w:trPr>
          <w:trHeight w:val="300"/>
        </w:trPr>
        <w:tc>
          <w:tcPr>
            <w:tcW w:w="1435" w:type="dxa"/>
            <w:shd w:val="clear" w:color="auto" w:fill="C6EFCE"/>
            <w:tcMar>
              <w:left w:w="108" w:type="dxa"/>
              <w:right w:w="108" w:type="dxa"/>
            </w:tcMar>
            <w:vAlign w:val="center"/>
          </w:tcPr>
          <w:p w14:paraId="7CC7B713" w14:textId="77777777" w:rsidR="00E42B18" w:rsidRDefault="009629C4">
            <w:pPr>
              <w:pStyle w:val="P68B1DB1-Normal121"/>
              <w:spacing w:after="0" w:line="240" w:lineRule="auto"/>
              <w:jc w:val="center"/>
              <w:rPr>
                <w:noProof/>
              </w:rPr>
            </w:pPr>
            <w:r>
              <w:rPr>
                <w:noProof/>
              </w:rPr>
              <w:t>M1C1–24</w:t>
            </w:r>
          </w:p>
        </w:tc>
        <w:tc>
          <w:tcPr>
            <w:tcW w:w="3543" w:type="dxa"/>
            <w:shd w:val="clear" w:color="auto" w:fill="C6EFCE"/>
            <w:tcMar>
              <w:left w:w="108" w:type="dxa"/>
              <w:right w:w="108" w:type="dxa"/>
            </w:tcMar>
            <w:vAlign w:val="center"/>
          </w:tcPr>
          <w:p w14:paraId="14C74DBD" w14:textId="77777777" w:rsidR="00E42B18" w:rsidRDefault="009629C4">
            <w:pPr>
              <w:pStyle w:val="P68B1DB1-Normal121"/>
              <w:spacing w:after="0" w:line="240" w:lineRule="auto"/>
              <w:rPr>
                <w:noProof/>
              </w:rPr>
            </w:pPr>
            <w:r>
              <w:rPr>
                <w:noProof/>
              </w:rPr>
              <w:t>Investointi 1.7.1: Digitaalinen julkishallinto</w:t>
            </w:r>
          </w:p>
        </w:tc>
        <w:tc>
          <w:tcPr>
            <w:tcW w:w="1276" w:type="dxa"/>
            <w:shd w:val="clear" w:color="auto" w:fill="C6EFCE"/>
            <w:tcMar>
              <w:left w:w="108" w:type="dxa"/>
              <w:right w:w="108" w:type="dxa"/>
            </w:tcMar>
            <w:vAlign w:val="center"/>
          </w:tcPr>
          <w:p w14:paraId="3CFE0CA0"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79371C1B" w14:textId="77777777" w:rsidR="00E42B18" w:rsidRDefault="009629C4">
            <w:pPr>
              <w:pStyle w:val="P68B1DB1-Normal121"/>
              <w:spacing w:after="0" w:line="240" w:lineRule="auto"/>
              <w:rPr>
                <w:noProof/>
              </w:rPr>
            </w:pPr>
            <w:r>
              <w:rPr>
                <w:noProof/>
              </w:rPr>
              <w:t xml:space="preserve">Vapaaehtoiset koulutetaan </w:t>
            </w:r>
          </w:p>
        </w:tc>
      </w:tr>
      <w:tr w:rsidR="00E42B18" w14:paraId="36A855F5" w14:textId="77777777">
        <w:trPr>
          <w:trHeight w:val="300"/>
        </w:trPr>
        <w:tc>
          <w:tcPr>
            <w:tcW w:w="1435" w:type="dxa"/>
            <w:shd w:val="clear" w:color="auto" w:fill="C6EFCE"/>
            <w:tcMar>
              <w:left w:w="108" w:type="dxa"/>
              <w:right w:w="108" w:type="dxa"/>
            </w:tcMar>
            <w:vAlign w:val="center"/>
          </w:tcPr>
          <w:p w14:paraId="35F7F3DC" w14:textId="77777777" w:rsidR="00E42B18" w:rsidRDefault="009629C4">
            <w:pPr>
              <w:pStyle w:val="P68B1DB1-Normal121"/>
              <w:spacing w:after="0" w:line="240" w:lineRule="auto"/>
              <w:jc w:val="center"/>
              <w:rPr>
                <w:noProof/>
              </w:rPr>
            </w:pPr>
            <w:r>
              <w:rPr>
                <w:noProof/>
              </w:rPr>
              <w:t>M1C1–96</w:t>
            </w:r>
          </w:p>
        </w:tc>
        <w:tc>
          <w:tcPr>
            <w:tcW w:w="3543" w:type="dxa"/>
            <w:shd w:val="clear" w:color="auto" w:fill="C6EFCE"/>
            <w:tcMar>
              <w:left w:w="108" w:type="dxa"/>
              <w:right w:w="108" w:type="dxa"/>
            </w:tcMar>
            <w:vAlign w:val="center"/>
          </w:tcPr>
          <w:p w14:paraId="0452FD91"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shd w:val="clear" w:color="auto" w:fill="C6EFCE"/>
            <w:tcMar>
              <w:left w:w="108" w:type="dxa"/>
              <w:right w:w="108" w:type="dxa"/>
            </w:tcMar>
            <w:vAlign w:val="center"/>
          </w:tcPr>
          <w:p w14:paraId="7ED65174"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7EFFCEAA" w14:textId="77777777" w:rsidR="00E42B18" w:rsidRDefault="009629C4">
            <w:pPr>
              <w:pStyle w:val="P68B1DB1-Normal121"/>
              <w:spacing w:after="0" w:line="240" w:lineRule="auto"/>
              <w:rPr>
                <w:noProof/>
              </w:rPr>
            </w:pPr>
            <w:r>
              <w:rPr>
                <w:noProof/>
              </w:rPr>
              <w:t>Keskimääräinen aika tarjousten jättämisen ja sopimuksen tekemisen välillä</w:t>
            </w:r>
          </w:p>
        </w:tc>
      </w:tr>
      <w:tr w:rsidR="00E42B18" w14:paraId="64401748" w14:textId="77777777">
        <w:trPr>
          <w:trHeight w:val="300"/>
        </w:trPr>
        <w:tc>
          <w:tcPr>
            <w:tcW w:w="1435" w:type="dxa"/>
            <w:shd w:val="clear" w:color="auto" w:fill="C6EFCE"/>
            <w:tcMar>
              <w:left w:w="108" w:type="dxa"/>
              <w:right w:w="108" w:type="dxa"/>
            </w:tcMar>
            <w:vAlign w:val="center"/>
          </w:tcPr>
          <w:p w14:paraId="72F657C4" w14:textId="77777777" w:rsidR="00E42B18" w:rsidRDefault="009629C4">
            <w:pPr>
              <w:pStyle w:val="P68B1DB1-Normal121"/>
              <w:spacing w:after="0" w:line="240" w:lineRule="auto"/>
              <w:jc w:val="center"/>
              <w:rPr>
                <w:noProof/>
              </w:rPr>
            </w:pPr>
            <w:r>
              <w:rPr>
                <w:noProof/>
              </w:rPr>
              <w:t>M1C1–116</w:t>
            </w:r>
          </w:p>
        </w:tc>
        <w:tc>
          <w:tcPr>
            <w:tcW w:w="3543" w:type="dxa"/>
            <w:shd w:val="clear" w:color="auto" w:fill="C6EFCE"/>
            <w:tcMar>
              <w:left w:w="108" w:type="dxa"/>
              <w:right w:w="108" w:type="dxa"/>
            </w:tcMar>
            <w:vAlign w:val="center"/>
          </w:tcPr>
          <w:p w14:paraId="6F91EA25" w14:textId="77777777" w:rsidR="00E42B18" w:rsidRDefault="009629C4">
            <w:pPr>
              <w:pStyle w:val="P68B1DB1-Normal121"/>
              <w:spacing w:after="0" w:line="240" w:lineRule="auto"/>
              <w:rPr>
                <w:noProof/>
              </w:rPr>
            </w:pPr>
            <w:r>
              <w:rPr>
                <w:noProof/>
              </w:rPr>
              <w:t>Uudistus 1.12: Verohallinnon uudistaminen</w:t>
            </w:r>
          </w:p>
        </w:tc>
        <w:tc>
          <w:tcPr>
            <w:tcW w:w="1276" w:type="dxa"/>
            <w:shd w:val="clear" w:color="auto" w:fill="C6EFCE"/>
            <w:tcMar>
              <w:left w:w="108" w:type="dxa"/>
              <w:right w:w="108" w:type="dxa"/>
            </w:tcMar>
            <w:vAlign w:val="center"/>
          </w:tcPr>
          <w:p w14:paraId="4BD075AB"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173EEE13" w14:textId="77777777" w:rsidR="00E42B18" w:rsidRDefault="009629C4">
            <w:pPr>
              <w:pStyle w:val="P68B1DB1-Normal121"/>
              <w:spacing w:after="0" w:line="240" w:lineRule="auto"/>
              <w:rPr>
                <w:noProof/>
              </w:rPr>
            </w:pPr>
            <w:r>
              <w:rPr>
                <w:noProof/>
              </w:rPr>
              <w:t>Veronkierron vähentäminen, sellaisena kuin se on määriteltynä veron kiertämishalukkuutta koskevassa indikaattorissa</w:t>
            </w:r>
          </w:p>
        </w:tc>
      </w:tr>
      <w:tr w:rsidR="00E42B18" w14:paraId="54BE4FB4" w14:textId="77777777">
        <w:trPr>
          <w:trHeight w:val="300"/>
        </w:trPr>
        <w:tc>
          <w:tcPr>
            <w:tcW w:w="1435" w:type="dxa"/>
            <w:shd w:val="clear" w:color="auto" w:fill="C6EFCE"/>
            <w:tcMar>
              <w:left w:w="108" w:type="dxa"/>
              <w:right w:w="108" w:type="dxa"/>
            </w:tcMar>
            <w:vAlign w:val="center"/>
          </w:tcPr>
          <w:p w14:paraId="09CA10D5" w14:textId="77777777" w:rsidR="00E42B18" w:rsidRDefault="009629C4">
            <w:pPr>
              <w:pStyle w:val="P68B1DB1-Normal121"/>
              <w:spacing w:after="0" w:line="240" w:lineRule="auto"/>
              <w:jc w:val="center"/>
              <w:rPr>
                <w:noProof/>
              </w:rPr>
            </w:pPr>
            <w:r>
              <w:rPr>
                <w:noProof/>
              </w:rPr>
              <w:t>M1C2–5</w:t>
            </w:r>
          </w:p>
        </w:tc>
        <w:tc>
          <w:tcPr>
            <w:tcW w:w="3543" w:type="dxa"/>
            <w:shd w:val="clear" w:color="auto" w:fill="C6EFCE"/>
            <w:tcMar>
              <w:left w:w="108" w:type="dxa"/>
              <w:right w:w="108" w:type="dxa"/>
            </w:tcMar>
            <w:vAlign w:val="center"/>
          </w:tcPr>
          <w:p w14:paraId="27F46F88" w14:textId="77777777" w:rsidR="00E42B18" w:rsidRDefault="009629C4">
            <w:pPr>
              <w:pStyle w:val="P68B1DB1-Normal121"/>
              <w:spacing w:after="0" w:line="240" w:lineRule="auto"/>
              <w:rPr>
                <w:noProof/>
              </w:rPr>
            </w:pPr>
            <w:r>
              <w:rPr>
                <w:noProof/>
              </w:rPr>
              <w:t>Investointi 6: Investoinnit teollisoikeusjärjestelmään</w:t>
            </w:r>
          </w:p>
        </w:tc>
        <w:tc>
          <w:tcPr>
            <w:tcW w:w="1276" w:type="dxa"/>
            <w:shd w:val="clear" w:color="auto" w:fill="C6EFCE"/>
            <w:tcMar>
              <w:left w:w="108" w:type="dxa"/>
              <w:right w:w="108" w:type="dxa"/>
            </w:tcMar>
            <w:vAlign w:val="center"/>
          </w:tcPr>
          <w:p w14:paraId="67677810"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0775FED8" w14:textId="77777777" w:rsidR="00E42B18" w:rsidRDefault="009629C4">
            <w:pPr>
              <w:pStyle w:val="P68B1DB1-Normal121"/>
              <w:spacing w:after="0" w:line="240" w:lineRule="auto"/>
              <w:rPr>
                <w:noProof/>
              </w:rPr>
            </w:pPr>
            <w:r>
              <w:rPr>
                <w:noProof/>
              </w:rPr>
              <w:t>Loppuraportin toimittaminen vähintään 254:stä teollis- ja tekijänoikeuksiin ja tutkimukseen liittyvästä hankkeesta</w:t>
            </w:r>
          </w:p>
        </w:tc>
      </w:tr>
      <w:tr w:rsidR="00E42B18" w14:paraId="36B45856" w14:textId="77777777">
        <w:trPr>
          <w:trHeight w:val="300"/>
        </w:trPr>
        <w:tc>
          <w:tcPr>
            <w:tcW w:w="1435" w:type="dxa"/>
            <w:shd w:val="clear" w:color="auto" w:fill="C6EFCE"/>
            <w:tcMar>
              <w:left w:w="108" w:type="dxa"/>
              <w:right w:w="108" w:type="dxa"/>
            </w:tcMar>
            <w:vAlign w:val="center"/>
          </w:tcPr>
          <w:p w14:paraId="24047ED0" w14:textId="77777777" w:rsidR="00E42B18" w:rsidRDefault="009629C4">
            <w:pPr>
              <w:pStyle w:val="P68B1DB1-Normal121"/>
              <w:spacing w:after="0" w:line="240" w:lineRule="auto"/>
              <w:jc w:val="center"/>
              <w:rPr>
                <w:noProof/>
              </w:rPr>
            </w:pPr>
            <w:r>
              <w:rPr>
                <w:noProof/>
              </w:rPr>
              <w:t>M1C2–13</w:t>
            </w:r>
          </w:p>
        </w:tc>
        <w:tc>
          <w:tcPr>
            <w:tcW w:w="3543" w:type="dxa"/>
            <w:shd w:val="clear" w:color="auto" w:fill="C6EFCE"/>
            <w:tcMar>
              <w:left w:w="108" w:type="dxa"/>
              <w:right w:w="108" w:type="dxa"/>
            </w:tcMar>
            <w:vAlign w:val="center"/>
          </w:tcPr>
          <w:p w14:paraId="5B81C3E8" w14:textId="77777777" w:rsidR="00E42B18" w:rsidRDefault="009629C4">
            <w:pPr>
              <w:pStyle w:val="P68B1DB1-Normal121"/>
              <w:spacing w:after="0" w:line="240" w:lineRule="auto"/>
              <w:rPr>
                <w:noProof/>
              </w:rPr>
            </w:pPr>
            <w:r>
              <w:rPr>
                <w:noProof/>
              </w:rPr>
              <w:t>Uudistuksen 2: Vuosittaiset kilpailulait</w:t>
            </w:r>
          </w:p>
        </w:tc>
        <w:tc>
          <w:tcPr>
            <w:tcW w:w="1276" w:type="dxa"/>
            <w:shd w:val="clear" w:color="auto" w:fill="C6EFCE"/>
            <w:tcMar>
              <w:left w:w="108" w:type="dxa"/>
              <w:right w:w="108" w:type="dxa"/>
            </w:tcMar>
            <w:vAlign w:val="center"/>
          </w:tcPr>
          <w:p w14:paraId="1C458D06"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333FEEAE" w14:textId="77777777" w:rsidR="00E42B18" w:rsidRDefault="009629C4">
            <w:pPr>
              <w:pStyle w:val="P68B1DB1-Normal121"/>
              <w:spacing w:after="0" w:line="240" w:lineRule="auto"/>
              <w:rPr>
                <w:noProof/>
              </w:rPr>
            </w:pPr>
            <w:r>
              <w:rPr>
                <w:noProof/>
              </w:rPr>
              <w:t>Vuoden 2025 kilpailulain voimaantulo</w:t>
            </w:r>
          </w:p>
        </w:tc>
      </w:tr>
      <w:tr w:rsidR="00E42B18" w14:paraId="29CFD46C" w14:textId="77777777">
        <w:trPr>
          <w:trHeight w:val="300"/>
        </w:trPr>
        <w:tc>
          <w:tcPr>
            <w:tcW w:w="1435" w:type="dxa"/>
            <w:shd w:val="clear" w:color="auto" w:fill="C6EFCE"/>
            <w:tcMar>
              <w:left w:w="108" w:type="dxa"/>
              <w:right w:w="108" w:type="dxa"/>
            </w:tcMar>
            <w:vAlign w:val="center"/>
          </w:tcPr>
          <w:p w14:paraId="3FADADE3" w14:textId="77777777" w:rsidR="00E42B18" w:rsidRDefault="009629C4">
            <w:pPr>
              <w:pStyle w:val="P68B1DB1-Normal121"/>
              <w:spacing w:after="0" w:line="240" w:lineRule="auto"/>
              <w:jc w:val="center"/>
              <w:rPr>
                <w:noProof/>
              </w:rPr>
            </w:pPr>
            <w:r>
              <w:rPr>
                <w:noProof/>
              </w:rPr>
              <w:t>M1C2–14</w:t>
            </w:r>
          </w:p>
        </w:tc>
        <w:tc>
          <w:tcPr>
            <w:tcW w:w="3543" w:type="dxa"/>
            <w:shd w:val="clear" w:color="auto" w:fill="C6EFCE"/>
            <w:tcMar>
              <w:left w:w="108" w:type="dxa"/>
              <w:right w:w="108" w:type="dxa"/>
            </w:tcMar>
            <w:vAlign w:val="center"/>
          </w:tcPr>
          <w:p w14:paraId="04F4C4B8" w14:textId="77777777" w:rsidR="00E42B18" w:rsidRDefault="009629C4">
            <w:pPr>
              <w:pStyle w:val="P68B1DB1-Normal121"/>
              <w:spacing w:after="0" w:line="240" w:lineRule="auto"/>
              <w:rPr>
                <w:noProof/>
              </w:rPr>
            </w:pPr>
            <w:r>
              <w:rPr>
                <w:noProof/>
              </w:rPr>
              <w:t>Uudistuksen 2: Vuosittaiset kilpailulait</w:t>
            </w:r>
          </w:p>
        </w:tc>
        <w:tc>
          <w:tcPr>
            <w:tcW w:w="1276" w:type="dxa"/>
            <w:shd w:val="clear" w:color="auto" w:fill="C6EFCE"/>
            <w:tcMar>
              <w:left w:w="108" w:type="dxa"/>
              <w:right w:w="108" w:type="dxa"/>
            </w:tcMar>
            <w:vAlign w:val="center"/>
          </w:tcPr>
          <w:p w14:paraId="3D2B85DC"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49BB198B" w14:textId="77777777" w:rsidR="00E42B18" w:rsidRDefault="009629C4">
            <w:pPr>
              <w:pStyle w:val="P68B1DB1-Normal121"/>
              <w:spacing w:after="0" w:line="240" w:lineRule="auto"/>
              <w:rPr>
                <w:noProof/>
              </w:rPr>
            </w:pPr>
            <w:r>
              <w:rPr>
                <w:noProof/>
              </w:rPr>
              <w:t>Käytössä on miljoonia älykkäitä 2G-mittareita.</w:t>
            </w:r>
          </w:p>
        </w:tc>
      </w:tr>
      <w:tr w:rsidR="00E42B18" w14:paraId="3BAE8A5E" w14:textId="77777777">
        <w:trPr>
          <w:trHeight w:val="300"/>
        </w:trPr>
        <w:tc>
          <w:tcPr>
            <w:tcW w:w="1435" w:type="dxa"/>
            <w:shd w:val="clear" w:color="auto" w:fill="C6EFCE"/>
            <w:tcMar>
              <w:left w:w="108" w:type="dxa"/>
              <w:right w:w="108" w:type="dxa"/>
            </w:tcMar>
            <w:vAlign w:val="center"/>
          </w:tcPr>
          <w:p w14:paraId="2514EE6E" w14:textId="77777777" w:rsidR="00E42B18" w:rsidRDefault="009629C4">
            <w:pPr>
              <w:pStyle w:val="P68B1DB1-Normal121"/>
              <w:spacing w:after="0" w:line="240" w:lineRule="auto"/>
              <w:jc w:val="center"/>
              <w:rPr>
                <w:noProof/>
              </w:rPr>
            </w:pPr>
            <w:r>
              <w:rPr>
                <w:noProof/>
              </w:rPr>
              <w:t>M1C3–2</w:t>
            </w:r>
          </w:p>
        </w:tc>
        <w:tc>
          <w:tcPr>
            <w:tcW w:w="3543" w:type="dxa"/>
            <w:shd w:val="clear" w:color="auto" w:fill="C6EFCE"/>
            <w:tcMar>
              <w:left w:w="108" w:type="dxa"/>
              <w:right w:w="108" w:type="dxa"/>
            </w:tcMar>
            <w:vAlign w:val="center"/>
          </w:tcPr>
          <w:p w14:paraId="2F0BB878" w14:textId="77777777" w:rsidR="00E42B18" w:rsidRDefault="009629C4">
            <w:pPr>
              <w:pStyle w:val="P68B1DB1-Normal121"/>
              <w:spacing w:after="0" w:line="240" w:lineRule="auto"/>
              <w:rPr>
                <w:noProof/>
              </w:rPr>
            </w:pPr>
            <w:r>
              <w:rPr>
                <w:noProof/>
              </w:rPr>
              <w:t>Investoinnit – 1.1 Digitaalistrategia ja kulttuuriperinnön foorumit</w:t>
            </w:r>
          </w:p>
        </w:tc>
        <w:tc>
          <w:tcPr>
            <w:tcW w:w="1276" w:type="dxa"/>
            <w:shd w:val="clear" w:color="auto" w:fill="C6EFCE"/>
            <w:tcMar>
              <w:left w:w="108" w:type="dxa"/>
              <w:right w:w="108" w:type="dxa"/>
            </w:tcMar>
            <w:vAlign w:val="center"/>
          </w:tcPr>
          <w:p w14:paraId="6FB0AA82"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678A320A" w14:textId="77777777" w:rsidR="00E42B18" w:rsidRDefault="009629C4">
            <w:pPr>
              <w:pStyle w:val="P68B1DB1-Normal121"/>
              <w:spacing w:after="0" w:line="240" w:lineRule="auto"/>
              <w:rPr>
                <w:noProof/>
              </w:rPr>
            </w:pPr>
            <w:r>
              <w:rPr>
                <w:noProof/>
              </w:rPr>
              <w:t>Julkaistut digitaaliset ja mediaresurssit</w:t>
            </w:r>
          </w:p>
        </w:tc>
      </w:tr>
      <w:tr w:rsidR="00E42B18" w14:paraId="6076936A" w14:textId="77777777">
        <w:trPr>
          <w:trHeight w:val="300"/>
        </w:trPr>
        <w:tc>
          <w:tcPr>
            <w:tcW w:w="1435" w:type="dxa"/>
            <w:shd w:val="clear" w:color="auto" w:fill="C6EFCE"/>
            <w:tcMar>
              <w:left w:w="108" w:type="dxa"/>
              <w:right w:w="108" w:type="dxa"/>
            </w:tcMar>
            <w:vAlign w:val="center"/>
          </w:tcPr>
          <w:p w14:paraId="31FEFEBB" w14:textId="77777777" w:rsidR="00E42B18" w:rsidRDefault="009629C4">
            <w:pPr>
              <w:pStyle w:val="P68B1DB1-Normal121"/>
              <w:spacing w:after="0" w:line="240" w:lineRule="auto"/>
              <w:jc w:val="center"/>
              <w:rPr>
                <w:noProof/>
              </w:rPr>
            </w:pPr>
            <w:r>
              <w:rPr>
                <w:noProof/>
              </w:rPr>
              <w:t>M1C3–5</w:t>
            </w:r>
          </w:p>
        </w:tc>
        <w:tc>
          <w:tcPr>
            <w:tcW w:w="3543" w:type="dxa"/>
            <w:shd w:val="clear" w:color="auto" w:fill="C6EFCE"/>
            <w:tcMar>
              <w:left w:w="108" w:type="dxa"/>
              <w:right w:w="108" w:type="dxa"/>
            </w:tcMar>
            <w:vAlign w:val="center"/>
          </w:tcPr>
          <w:p w14:paraId="1E7F29D2" w14:textId="77777777" w:rsidR="00E42B18" w:rsidRDefault="009629C4">
            <w:pPr>
              <w:pStyle w:val="P68B1DB1-Normal121"/>
              <w:spacing w:after="0" w:line="240" w:lineRule="auto"/>
              <w:rPr>
                <w:noProof/>
              </w:rPr>
            </w:pPr>
            <w:r>
              <w:rPr>
                <w:noProof/>
              </w:rPr>
              <w:t>Investoinnit – 1.3 Teatterien, teatterien ja museoiden energiatehokkuuden parantaminen</w:t>
            </w:r>
          </w:p>
        </w:tc>
        <w:tc>
          <w:tcPr>
            <w:tcW w:w="1276" w:type="dxa"/>
            <w:shd w:val="clear" w:color="auto" w:fill="C6EFCE"/>
            <w:tcMar>
              <w:left w:w="108" w:type="dxa"/>
              <w:right w:w="108" w:type="dxa"/>
            </w:tcMar>
            <w:vAlign w:val="center"/>
          </w:tcPr>
          <w:p w14:paraId="0F74279F"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7620B96D" w14:textId="77777777" w:rsidR="00E42B18" w:rsidRDefault="009629C4">
            <w:pPr>
              <w:pStyle w:val="P68B1DB1-Normal121"/>
              <w:spacing w:after="0" w:line="240" w:lineRule="auto"/>
              <w:rPr>
                <w:noProof/>
              </w:rPr>
            </w:pPr>
            <w:r>
              <w:rPr>
                <w:noProof/>
              </w:rPr>
              <w:t>Valtion museoita ja kulttuurikohteita, teatterihalleja ja elokuvateattereita koskevat toimet saatetaan päätökseen (toinen erä)</w:t>
            </w:r>
          </w:p>
        </w:tc>
      </w:tr>
      <w:tr w:rsidR="00E42B18" w14:paraId="3090BDC5" w14:textId="77777777">
        <w:trPr>
          <w:trHeight w:val="300"/>
        </w:trPr>
        <w:tc>
          <w:tcPr>
            <w:tcW w:w="1435" w:type="dxa"/>
            <w:shd w:val="clear" w:color="auto" w:fill="C6EFCE"/>
            <w:tcMar>
              <w:left w:w="108" w:type="dxa"/>
              <w:right w:w="108" w:type="dxa"/>
            </w:tcMar>
            <w:vAlign w:val="center"/>
          </w:tcPr>
          <w:p w14:paraId="40023D6C" w14:textId="77777777" w:rsidR="00E42B18" w:rsidRDefault="009629C4">
            <w:pPr>
              <w:pStyle w:val="P68B1DB1-Normal121"/>
              <w:spacing w:after="0" w:line="240" w:lineRule="auto"/>
              <w:jc w:val="center"/>
              <w:rPr>
                <w:noProof/>
              </w:rPr>
            </w:pPr>
            <w:r>
              <w:rPr>
                <w:noProof/>
              </w:rPr>
              <w:t>M2C3–3</w:t>
            </w:r>
          </w:p>
        </w:tc>
        <w:tc>
          <w:tcPr>
            <w:tcW w:w="3543" w:type="dxa"/>
            <w:shd w:val="clear" w:color="auto" w:fill="C6EFCE"/>
            <w:tcMar>
              <w:left w:w="108" w:type="dxa"/>
              <w:right w:w="108" w:type="dxa"/>
            </w:tcMar>
            <w:vAlign w:val="center"/>
          </w:tcPr>
          <w:p w14:paraId="30FB3200" w14:textId="77777777" w:rsidR="00E42B18" w:rsidRDefault="009629C4">
            <w:pPr>
              <w:pStyle w:val="P68B1DB1-Normal121"/>
              <w:spacing w:after="0" w:line="240" w:lineRule="auto"/>
              <w:rPr>
                <w:noProof/>
              </w:rPr>
            </w:pPr>
            <w:r>
              <w:rPr>
                <w:noProof/>
              </w:rPr>
              <w:t xml:space="preserve">Investointi 2.1 – Energiatehokkuuden ekobonuksen vahvistaminen </w:t>
            </w:r>
          </w:p>
        </w:tc>
        <w:tc>
          <w:tcPr>
            <w:tcW w:w="1276" w:type="dxa"/>
            <w:shd w:val="clear" w:color="auto" w:fill="C6EFCE"/>
            <w:tcMar>
              <w:left w:w="108" w:type="dxa"/>
              <w:right w:w="108" w:type="dxa"/>
            </w:tcMar>
            <w:vAlign w:val="center"/>
          </w:tcPr>
          <w:p w14:paraId="2FB9F4B4"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0BED7AE8" w14:textId="77777777" w:rsidR="00E42B18" w:rsidRDefault="009629C4">
            <w:pPr>
              <w:pStyle w:val="P68B1DB1-Normal121"/>
              <w:spacing w:after="0" w:line="240" w:lineRule="auto"/>
              <w:rPr>
                <w:noProof/>
              </w:rPr>
            </w:pPr>
            <w:r>
              <w:rPr>
                <w:noProof/>
              </w:rPr>
              <w:t>Rakennusten perusparannus Superbonus T2</w:t>
            </w:r>
          </w:p>
        </w:tc>
      </w:tr>
      <w:tr w:rsidR="00E42B18" w14:paraId="4B836493" w14:textId="77777777">
        <w:trPr>
          <w:trHeight w:val="300"/>
        </w:trPr>
        <w:tc>
          <w:tcPr>
            <w:tcW w:w="1435" w:type="dxa"/>
            <w:shd w:val="clear" w:color="auto" w:fill="C6EFCE"/>
            <w:tcMar>
              <w:left w:w="108" w:type="dxa"/>
              <w:right w:w="108" w:type="dxa"/>
            </w:tcMar>
            <w:vAlign w:val="center"/>
          </w:tcPr>
          <w:p w14:paraId="3BCCFDD7" w14:textId="77777777" w:rsidR="00E42B18" w:rsidRDefault="009629C4">
            <w:pPr>
              <w:pStyle w:val="P68B1DB1-Normal121"/>
              <w:spacing w:after="0" w:line="240" w:lineRule="auto"/>
              <w:jc w:val="center"/>
              <w:rPr>
                <w:noProof/>
              </w:rPr>
            </w:pPr>
            <w:r>
              <w:rPr>
                <w:noProof/>
              </w:rPr>
              <w:t>M4C1–13</w:t>
            </w:r>
          </w:p>
        </w:tc>
        <w:tc>
          <w:tcPr>
            <w:tcW w:w="3543" w:type="dxa"/>
            <w:shd w:val="clear" w:color="auto" w:fill="C6EFCE"/>
            <w:tcMar>
              <w:left w:w="108" w:type="dxa"/>
              <w:right w:w="108" w:type="dxa"/>
            </w:tcMar>
            <w:vAlign w:val="center"/>
          </w:tcPr>
          <w:p w14:paraId="423301B0" w14:textId="77777777" w:rsidR="00E42B18" w:rsidRDefault="009629C4">
            <w:pPr>
              <w:pStyle w:val="P68B1DB1-Normal121"/>
              <w:spacing w:after="0" w:line="240" w:lineRule="auto"/>
              <w:rPr>
                <w:noProof/>
              </w:rPr>
            </w:pPr>
            <w:r>
              <w:rPr>
                <w:noProof/>
              </w:rPr>
              <w:t>Investointi 2.1: Koulujen henkilöstön digitalisaatiota koskeva integroitu digitaalinen opetus ja koulutus;</w:t>
            </w:r>
          </w:p>
        </w:tc>
        <w:tc>
          <w:tcPr>
            <w:tcW w:w="1276" w:type="dxa"/>
            <w:shd w:val="clear" w:color="auto" w:fill="C6EFCE"/>
            <w:tcMar>
              <w:left w:w="108" w:type="dxa"/>
              <w:right w:w="108" w:type="dxa"/>
            </w:tcMar>
            <w:vAlign w:val="center"/>
          </w:tcPr>
          <w:p w14:paraId="39D49BF3"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2C6F790B" w14:textId="77777777" w:rsidR="00E42B18" w:rsidRDefault="009629C4">
            <w:pPr>
              <w:pStyle w:val="P68B1DB1-Normal121"/>
              <w:spacing w:after="0" w:line="240" w:lineRule="auto"/>
              <w:rPr>
                <w:noProof/>
              </w:rPr>
            </w:pPr>
            <w:r>
              <w:rPr>
                <w:noProof/>
              </w:rPr>
              <w:t xml:space="preserve">Koulunjohtajien, opettajien ja hallintohenkilöstön koulutus    </w:t>
            </w:r>
          </w:p>
        </w:tc>
      </w:tr>
      <w:tr w:rsidR="00E42B18" w14:paraId="30A1906D" w14:textId="77777777">
        <w:trPr>
          <w:trHeight w:val="300"/>
        </w:trPr>
        <w:tc>
          <w:tcPr>
            <w:tcW w:w="1435" w:type="dxa"/>
            <w:shd w:val="clear" w:color="auto" w:fill="C6EFCE"/>
            <w:tcMar>
              <w:left w:w="108" w:type="dxa"/>
              <w:right w:w="108" w:type="dxa"/>
            </w:tcMar>
            <w:vAlign w:val="center"/>
          </w:tcPr>
          <w:p w14:paraId="0AB6437B" w14:textId="77777777" w:rsidR="00E42B18" w:rsidRDefault="009629C4">
            <w:pPr>
              <w:pStyle w:val="P68B1DB1-Normal121"/>
              <w:spacing w:after="0" w:line="240" w:lineRule="auto"/>
              <w:jc w:val="center"/>
              <w:rPr>
                <w:noProof/>
              </w:rPr>
            </w:pPr>
            <w:r>
              <w:rPr>
                <w:noProof/>
              </w:rPr>
              <w:t>M4C2–2bis</w:t>
            </w:r>
          </w:p>
        </w:tc>
        <w:tc>
          <w:tcPr>
            <w:tcW w:w="3543" w:type="dxa"/>
            <w:shd w:val="clear" w:color="auto" w:fill="C6EFCE"/>
            <w:tcMar>
              <w:left w:w="108" w:type="dxa"/>
              <w:right w:w="108" w:type="dxa"/>
            </w:tcMar>
            <w:vAlign w:val="center"/>
          </w:tcPr>
          <w:p w14:paraId="0D4784A0" w14:textId="77777777" w:rsidR="00E42B18" w:rsidRDefault="009629C4">
            <w:pPr>
              <w:pStyle w:val="P68B1DB1-Normal121"/>
              <w:spacing w:after="0" w:line="240" w:lineRule="auto"/>
              <w:rPr>
                <w:noProof/>
              </w:rPr>
            </w:pPr>
            <w:r>
              <w:rPr>
                <w:noProof/>
              </w:rPr>
              <w:t>Investointi 2.2 a: Innovaatiosopimukset</w:t>
            </w:r>
          </w:p>
        </w:tc>
        <w:tc>
          <w:tcPr>
            <w:tcW w:w="1276" w:type="dxa"/>
            <w:shd w:val="clear" w:color="auto" w:fill="C6EFCE"/>
            <w:tcMar>
              <w:left w:w="108" w:type="dxa"/>
              <w:right w:w="108" w:type="dxa"/>
            </w:tcMar>
            <w:vAlign w:val="center"/>
          </w:tcPr>
          <w:p w14:paraId="0BB7B7C8"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22123C57" w14:textId="77777777" w:rsidR="00E42B18" w:rsidRDefault="009629C4">
            <w:pPr>
              <w:pStyle w:val="P68B1DB1-Normal121"/>
              <w:spacing w:after="0" w:line="240" w:lineRule="auto"/>
              <w:rPr>
                <w:noProof/>
              </w:rPr>
            </w:pPr>
            <w:r>
              <w:rPr>
                <w:noProof/>
              </w:rPr>
              <w:t xml:space="preserve">Innovaatiosopimukset valmis  </w:t>
            </w:r>
          </w:p>
        </w:tc>
      </w:tr>
      <w:tr w:rsidR="00E42B18" w14:paraId="3BFEE647" w14:textId="77777777">
        <w:trPr>
          <w:trHeight w:val="300"/>
        </w:trPr>
        <w:tc>
          <w:tcPr>
            <w:tcW w:w="1435" w:type="dxa"/>
            <w:shd w:val="clear" w:color="auto" w:fill="C6EFCE"/>
            <w:tcMar>
              <w:left w:w="108" w:type="dxa"/>
              <w:right w:w="108" w:type="dxa"/>
            </w:tcMar>
            <w:vAlign w:val="center"/>
          </w:tcPr>
          <w:p w14:paraId="412E6FA1" w14:textId="77777777" w:rsidR="00E42B18" w:rsidRDefault="009629C4">
            <w:pPr>
              <w:pStyle w:val="P68B1DB1-Normal121"/>
              <w:spacing w:after="0" w:line="240" w:lineRule="auto"/>
              <w:jc w:val="center"/>
              <w:rPr>
                <w:noProof/>
              </w:rPr>
            </w:pPr>
            <w:r>
              <w:rPr>
                <w:noProof/>
              </w:rPr>
              <w:t xml:space="preserve">M5C1–3 </w:t>
            </w:r>
          </w:p>
        </w:tc>
        <w:tc>
          <w:tcPr>
            <w:tcW w:w="3543" w:type="dxa"/>
            <w:shd w:val="clear" w:color="auto" w:fill="C6EFCE"/>
            <w:tcMar>
              <w:left w:w="108" w:type="dxa"/>
              <w:right w:w="108" w:type="dxa"/>
            </w:tcMar>
            <w:vAlign w:val="center"/>
          </w:tcPr>
          <w:p w14:paraId="2D7D38A6" w14:textId="77777777" w:rsidR="00E42B18" w:rsidRDefault="009629C4">
            <w:pPr>
              <w:pStyle w:val="P68B1DB1-Normal121"/>
              <w:spacing w:after="0" w:line="240" w:lineRule="auto"/>
              <w:rPr>
                <w:noProof/>
              </w:rPr>
            </w:pPr>
            <w:r>
              <w:rPr>
                <w:noProof/>
              </w:rPr>
              <w:t>Uudistus 1 – Työvoimapolitiikka ja ammatillinen koulutus</w:t>
            </w:r>
          </w:p>
        </w:tc>
        <w:tc>
          <w:tcPr>
            <w:tcW w:w="1276" w:type="dxa"/>
            <w:shd w:val="clear" w:color="auto" w:fill="C6EFCE"/>
            <w:tcMar>
              <w:left w:w="108" w:type="dxa"/>
              <w:right w:w="108" w:type="dxa"/>
            </w:tcMar>
            <w:vAlign w:val="center"/>
          </w:tcPr>
          <w:p w14:paraId="37F304E2"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010F1E02" w14:textId="77777777" w:rsidR="00E42B18" w:rsidRDefault="009629C4">
            <w:pPr>
              <w:pStyle w:val="P68B1DB1-Normal121"/>
              <w:spacing w:after="0" w:line="240" w:lineRule="auto"/>
              <w:rPr>
                <w:noProof/>
              </w:rPr>
            </w:pPr>
            <w:r>
              <w:rPr>
                <w:noProof/>
              </w:rPr>
              <w:t xml:space="preserve">Työntekijöiden taattua työllistyvyyttä koskevasta ohjelmasta (GOL) hyötyvät henkilöt </w:t>
            </w:r>
          </w:p>
        </w:tc>
      </w:tr>
      <w:tr w:rsidR="00E42B18" w14:paraId="05BF7514" w14:textId="77777777">
        <w:trPr>
          <w:trHeight w:val="300"/>
        </w:trPr>
        <w:tc>
          <w:tcPr>
            <w:tcW w:w="1435" w:type="dxa"/>
            <w:shd w:val="clear" w:color="auto" w:fill="C6EFCE"/>
            <w:tcMar>
              <w:left w:w="108" w:type="dxa"/>
              <w:right w:w="108" w:type="dxa"/>
            </w:tcMar>
            <w:vAlign w:val="center"/>
          </w:tcPr>
          <w:p w14:paraId="3CD50A6F" w14:textId="77777777" w:rsidR="00E42B18" w:rsidRDefault="009629C4">
            <w:pPr>
              <w:pStyle w:val="P68B1DB1-Normal121"/>
              <w:spacing w:after="0" w:line="240" w:lineRule="auto"/>
              <w:jc w:val="center"/>
              <w:rPr>
                <w:noProof/>
              </w:rPr>
            </w:pPr>
            <w:r>
              <w:rPr>
                <w:noProof/>
              </w:rPr>
              <w:t xml:space="preserve">M5C1–4 </w:t>
            </w:r>
          </w:p>
        </w:tc>
        <w:tc>
          <w:tcPr>
            <w:tcW w:w="3543" w:type="dxa"/>
            <w:shd w:val="clear" w:color="auto" w:fill="C6EFCE"/>
            <w:tcMar>
              <w:left w:w="108" w:type="dxa"/>
              <w:right w:w="108" w:type="dxa"/>
            </w:tcMar>
            <w:vAlign w:val="center"/>
          </w:tcPr>
          <w:p w14:paraId="53FE250E" w14:textId="77777777" w:rsidR="00E42B18" w:rsidRDefault="009629C4">
            <w:pPr>
              <w:pStyle w:val="P68B1DB1-Normal121"/>
              <w:spacing w:after="0" w:line="240" w:lineRule="auto"/>
              <w:rPr>
                <w:noProof/>
              </w:rPr>
            </w:pPr>
            <w:r>
              <w:rPr>
                <w:noProof/>
              </w:rPr>
              <w:t xml:space="preserve">Uudistus 1 – Työvoimapolitiikka ja ammatillinen koulutus </w:t>
            </w:r>
          </w:p>
        </w:tc>
        <w:tc>
          <w:tcPr>
            <w:tcW w:w="1276" w:type="dxa"/>
            <w:shd w:val="clear" w:color="auto" w:fill="C6EFCE"/>
            <w:tcMar>
              <w:left w:w="108" w:type="dxa"/>
              <w:right w:w="108" w:type="dxa"/>
            </w:tcMar>
            <w:vAlign w:val="center"/>
          </w:tcPr>
          <w:p w14:paraId="57E07708"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59434BCA" w14:textId="77777777" w:rsidR="00E42B18" w:rsidRDefault="009629C4">
            <w:pPr>
              <w:pStyle w:val="P68B1DB1-Normal121"/>
              <w:spacing w:after="0" w:line="240" w:lineRule="auto"/>
              <w:rPr>
                <w:noProof/>
              </w:rPr>
            </w:pPr>
            <w:r>
              <w:rPr>
                <w:noProof/>
              </w:rPr>
              <w:t>Ihmiset osallistuivat koulutusohjelmiin</w:t>
            </w:r>
          </w:p>
        </w:tc>
      </w:tr>
      <w:tr w:rsidR="00E42B18" w14:paraId="7E4EA21B" w14:textId="77777777">
        <w:trPr>
          <w:trHeight w:val="300"/>
        </w:trPr>
        <w:tc>
          <w:tcPr>
            <w:tcW w:w="1435" w:type="dxa"/>
            <w:shd w:val="clear" w:color="auto" w:fill="C6EFCE"/>
            <w:tcMar>
              <w:left w:w="108" w:type="dxa"/>
              <w:right w:w="108" w:type="dxa"/>
            </w:tcMar>
            <w:vAlign w:val="center"/>
          </w:tcPr>
          <w:p w14:paraId="1CFB3AF0" w14:textId="77777777" w:rsidR="00E42B18" w:rsidRDefault="009629C4">
            <w:pPr>
              <w:pStyle w:val="P68B1DB1-Normal121"/>
              <w:spacing w:after="0" w:line="240" w:lineRule="auto"/>
              <w:jc w:val="center"/>
              <w:rPr>
                <w:noProof/>
              </w:rPr>
            </w:pPr>
            <w:r>
              <w:rPr>
                <w:noProof/>
              </w:rPr>
              <w:t>M5C1–7</w:t>
            </w:r>
          </w:p>
        </w:tc>
        <w:tc>
          <w:tcPr>
            <w:tcW w:w="3543" w:type="dxa"/>
            <w:shd w:val="clear" w:color="auto" w:fill="C6EFCE"/>
            <w:tcMar>
              <w:left w:w="108" w:type="dxa"/>
              <w:right w:w="108" w:type="dxa"/>
            </w:tcMar>
            <w:vAlign w:val="center"/>
          </w:tcPr>
          <w:p w14:paraId="6D10C547" w14:textId="77777777" w:rsidR="00E42B18" w:rsidRDefault="009629C4">
            <w:pPr>
              <w:pStyle w:val="P68B1DB1-Normal121"/>
              <w:spacing w:after="0" w:line="240" w:lineRule="auto"/>
              <w:rPr>
                <w:noProof/>
              </w:rPr>
            </w:pPr>
            <w:r>
              <w:rPr>
                <w:noProof/>
              </w:rPr>
              <w:t xml:space="preserve">Investointi 1 – Julkisten työvoimapalvelujen vahvistaminen </w:t>
            </w:r>
          </w:p>
        </w:tc>
        <w:tc>
          <w:tcPr>
            <w:tcW w:w="1276" w:type="dxa"/>
            <w:shd w:val="clear" w:color="auto" w:fill="C6EFCE"/>
            <w:tcMar>
              <w:left w:w="108" w:type="dxa"/>
              <w:right w:w="108" w:type="dxa"/>
            </w:tcMar>
            <w:vAlign w:val="center"/>
          </w:tcPr>
          <w:p w14:paraId="376D288F"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71B9C1D9" w14:textId="77777777" w:rsidR="00E42B18" w:rsidRDefault="009629C4">
            <w:pPr>
              <w:pStyle w:val="P68B1DB1-Normal121"/>
              <w:spacing w:after="0" w:line="240" w:lineRule="auto"/>
              <w:rPr>
                <w:noProof/>
              </w:rPr>
            </w:pPr>
            <w:r>
              <w:rPr>
                <w:noProof/>
              </w:rPr>
              <w:t>Julkiset työvoimapalvelut ovat saattaneet päätökseen vahvistamissuunnitelmassa suunnitellut toimet.</w:t>
            </w:r>
          </w:p>
        </w:tc>
      </w:tr>
      <w:tr w:rsidR="00E42B18" w14:paraId="41F72672" w14:textId="77777777">
        <w:trPr>
          <w:trHeight w:val="300"/>
        </w:trPr>
        <w:tc>
          <w:tcPr>
            <w:tcW w:w="1435" w:type="dxa"/>
            <w:shd w:val="clear" w:color="auto" w:fill="C6EFCE"/>
            <w:tcMar>
              <w:left w:w="108" w:type="dxa"/>
              <w:right w:w="108" w:type="dxa"/>
            </w:tcMar>
            <w:vAlign w:val="center"/>
          </w:tcPr>
          <w:p w14:paraId="29ADE4D0" w14:textId="77777777" w:rsidR="00E42B18" w:rsidRDefault="009629C4">
            <w:pPr>
              <w:pStyle w:val="P68B1DB1-Normal121"/>
              <w:spacing w:after="0" w:line="240" w:lineRule="auto"/>
              <w:jc w:val="center"/>
              <w:rPr>
                <w:noProof/>
              </w:rPr>
            </w:pPr>
            <w:r>
              <w:rPr>
                <w:noProof/>
              </w:rPr>
              <w:t xml:space="preserve">M5C1–10 </w:t>
            </w:r>
          </w:p>
        </w:tc>
        <w:tc>
          <w:tcPr>
            <w:tcW w:w="3543" w:type="dxa"/>
            <w:shd w:val="clear" w:color="auto" w:fill="C6EFCE"/>
            <w:tcMar>
              <w:left w:w="108" w:type="dxa"/>
              <w:right w:w="108" w:type="dxa"/>
            </w:tcMar>
            <w:vAlign w:val="center"/>
          </w:tcPr>
          <w:p w14:paraId="0F2FD4E9" w14:textId="77777777" w:rsidR="00E42B18" w:rsidRDefault="009629C4">
            <w:pPr>
              <w:pStyle w:val="P68B1DB1-Normal121"/>
              <w:spacing w:after="0" w:line="240" w:lineRule="auto"/>
              <w:rPr>
                <w:noProof/>
              </w:rPr>
            </w:pPr>
            <w:r>
              <w:rPr>
                <w:noProof/>
              </w:rPr>
              <w:t xml:space="preserve">Uudistus 2 – Ilmoittamaton työ </w:t>
            </w:r>
          </w:p>
        </w:tc>
        <w:tc>
          <w:tcPr>
            <w:tcW w:w="1276" w:type="dxa"/>
            <w:shd w:val="clear" w:color="auto" w:fill="C6EFCE"/>
            <w:tcMar>
              <w:left w:w="108" w:type="dxa"/>
              <w:right w:w="108" w:type="dxa"/>
            </w:tcMar>
            <w:vAlign w:val="center"/>
          </w:tcPr>
          <w:p w14:paraId="39079DDA"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743F784D" w14:textId="77777777" w:rsidR="00E42B18" w:rsidRDefault="009629C4">
            <w:pPr>
              <w:pStyle w:val="P68B1DB1-Normal121"/>
              <w:spacing w:after="0" w:line="240" w:lineRule="auto"/>
              <w:rPr>
                <w:noProof/>
              </w:rPr>
            </w:pPr>
            <w:r>
              <w:rPr>
                <w:noProof/>
              </w:rPr>
              <w:t>Työsuojelutarkastusten ja maatalousverkoston jäsenyyden lisääntyminen</w:t>
            </w:r>
          </w:p>
        </w:tc>
      </w:tr>
      <w:tr w:rsidR="00E42B18" w14:paraId="13C582CC" w14:textId="77777777">
        <w:trPr>
          <w:trHeight w:val="300"/>
        </w:trPr>
        <w:tc>
          <w:tcPr>
            <w:tcW w:w="1435" w:type="dxa"/>
            <w:shd w:val="clear" w:color="auto" w:fill="C6EFCE"/>
            <w:tcMar>
              <w:left w:w="108" w:type="dxa"/>
              <w:right w:w="108" w:type="dxa"/>
            </w:tcMar>
            <w:vAlign w:val="center"/>
          </w:tcPr>
          <w:p w14:paraId="6DB9B784" w14:textId="77777777" w:rsidR="00E42B18" w:rsidRDefault="009629C4">
            <w:pPr>
              <w:pStyle w:val="P68B1DB1-Normal121"/>
              <w:spacing w:after="0" w:line="240" w:lineRule="auto"/>
              <w:jc w:val="center"/>
              <w:rPr>
                <w:noProof/>
              </w:rPr>
            </w:pPr>
            <w:r>
              <w:rPr>
                <w:noProof/>
              </w:rPr>
              <w:t>M5C3–9</w:t>
            </w:r>
          </w:p>
        </w:tc>
        <w:tc>
          <w:tcPr>
            <w:tcW w:w="3543" w:type="dxa"/>
            <w:shd w:val="clear" w:color="auto" w:fill="C6EFCE"/>
            <w:tcMar>
              <w:left w:w="108" w:type="dxa"/>
              <w:right w:w="108" w:type="dxa"/>
            </w:tcMar>
            <w:vAlign w:val="center"/>
          </w:tcPr>
          <w:p w14:paraId="08C23E97" w14:textId="77777777" w:rsidR="00E42B18" w:rsidRDefault="009629C4">
            <w:pPr>
              <w:pStyle w:val="P68B1DB1-Normal121"/>
              <w:spacing w:after="0" w:line="240" w:lineRule="auto"/>
              <w:rPr>
                <w:noProof/>
              </w:rPr>
            </w:pPr>
            <w:r>
              <w:rPr>
                <w:noProof/>
              </w:rPr>
              <w:t>Investointi1.3: Rakenteelliset sosiaalipedagogiset toimet koulutusköyhyyden torjumiseksi etelässä kolmannen sektorin tukemiseksi</w:t>
            </w:r>
          </w:p>
        </w:tc>
        <w:tc>
          <w:tcPr>
            <w:tcW w:w="1276" w:type="dxa"/>
            <w:shd w:val="clear" w:color="auto" w:fill="C6EFCE"/>
            <w:tcMar>
              <w:left w:w="108" w:type="dxa"/>
              <w:right w:w="108" w:type="dxa"/>
            </w:tcMar>
            <w:vAlign w:val="center"/>
          </w:tcPr>
          <w:p w14:paraId="1EE7CF3F"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3E0653B1" w14:textId="77777777" w:rsidR="00E42B18" w:rsidRDefault="009629C4">
            <w:pPr>
              <w:pStyle w:val="P68B1DB1-Normal121"/>
              <w:spacing w:after="0" w:line="240" w:lineRule="auto"/>
              <w:rPr>
                <w:noProof/>
              </w:rPr>
            </w:pPr>
            <w:r>
              <w:rPr>
                <w:noProof/>
              </w:rPr>
              <w:t>Koulutustuki alaikäisille (toinen erä)</w:t>
            </w:r>
          </w:p>
        </w:tc>
      </w:tr>
      <w:tr w:rsidR="00E42B18" w14:paraId="51C558C2" w14:textId="77777777">
        <w:trPr>
          <w:trHeight w:val="300"/>
        </w:trPr>
        <w:tc>
          <w:tcPr>
            <w:tcW w:w="1435" w:type="dxa"/>
            <w:shd w:val="clear" w:color="auto" w:fill="C6EFCE"/>
            <w:tcMar>
              <w:left w:w="108" w:type="dxa"/>
              <w:right w:w="108" w:type="dxa"/>
            </w:tcMar>
            <w:vAlign w:val="center"/>
          </w:tcPr>
          <w:p w14:paraId="1B378941" w14:textId="77777777" w:rsidR="00E42B18" w:rsidRDefault="009629C4">
            <w:pPr>
              <w:pStyle w:val="P68B1DB1-Normal121"/>
              <w:spacing w:after="0" w:line="240" w:lineRule="auto"/>
              <w:jc w:val="center"/>
              <w:rPr>
                <w:noProof/>
              </w:rPr>
            </w:pPr>
            <w:r>
              <w:rPr>
                <w:noProof/>
              </w:rPr>
              <w:t>M7–3</w:t>
            </w:r>
          </w:p>
        </w:tc>
        <w:tc>
          <w:tcPr>
            <w:tcW w:w="3543" w:type="dxa"/>
            <w:shd w:val="clear" w:color="auto" w:fill="C6EFCE"/>
            <w:tcMar>
              <w:left w:w="108" w:type="dxa"/>
              <w:right w:w="108" w:type="dxa"/>
            </w:tcMar>
            <w:vAlign w:val="center"/>
          </w:tcPr>
          <w:p w14:paraId="3C993E7B" w14:textId="77777777" w:rsidR="00E42B18" w:rsidRDefault="009629C4">
            <w:pPr>
              <w:pStyle w:val="P68B1DB1-Normal121"/>
              <w:spacing w:after="0" w:line="240" w:lineRule="auto"/>
              <w:rPr>
                <w:noProof/>
              </w:rPr>
            </w:pPr>
            <w:r>
              <w:rPr>
                <w:noProof/>
              </w:rPr>
              <w:t xml:space="preserve">Uudistus 1: Uusiutuvan energian lupamenettelyjen yksinkertaistaminen </w:t>
            </w:r>
          </w:p>
        </w:tc>
        <w:tc>
          <w:tcPr>
            <w:tcW w:w="1276" w:type="dxa"/>
            <w:shd w:val="clear" w:color="auto" w:fill="C6EFCE"/>
            <w:tcMar>
              <w:left w:w="108" w:type="dxa"/>
              <w:right w:w="108" w:type="dxa"/>
            </w:tcMar>
            <w:vAlign w:val="center"/>
          </w:tcPr>
          <w:p w14:paraId="5DFED38B"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140653B1" w14:textId="77777777" w:rsidR="00E42B18" w:rsidRDefault="009629C4">
            <w:pPr>
              <w:pStyle w:val="P68B1DB1-Normal121"/>
              <w:spacing w:after="0" w:line="240" w:lineRule="auto"/>
              <w:rPr>
                <w:noProof/>
              </w:rPr>
            </w:pPr>
            <w:r>
              <w:rPr>
                <w:noProof/>
              </w:rPr>
              <w:t>Yhden sisäänpääsyn digitaalisen alustan perustaminen uusiutuviin energialähteisiin liittyviä lupia varten</w:t>
            </w:r>
          </w:p>
        </w:tc>
      </w:tr>
      <w:tr w:rsidR="00E42B18" w14:paraId="0FACBA40" w14:textId="77777777">
        <w:trPr>
          <w:trHeight w:val="300"/>
        </w:trPr>
        <w:tc>
          <w:tcPr>
            <w:tcW w:w="1435" w:type="dxa"/>
            <w:shd w:val="clear" w:color="auto" w:fill="C6EFCE"/>
            <w:tcMar>
              <w:left w:w="108" w:type="dxa"/>
              <w:right w:w="108" w:type="dxa"/>
            </w:tcMar>
            <w:vAlign w:val="center"/>
          </w:tcPr>
          <w:p w14:paraId="1AEAF1CE" w14:textId="77777777" w:rsidR="00E42B18" w:rsidRDefault="009629C4">
            <w:pPr>
              <w:pStyle w:val="P68B1DB1-Normal121"/>
              <w:spacing w:after="0" w:line="240" w:lineRule="auto"/>
              <w:jc w:val="center"/>
              <w:rPr>
                <w:noProof/>
              </w:rPr>
            </w:pPr>
            <w:r>
              <w:rPr>
                <w:noProof/>
              </w:rPr>
              <w:t>M7–5</w:t>
            </w:r>
          </w:p>
        </w:tc>
        <w:tc>
          <w:tcPr>
            <w:tcW w:w="3543" w:type="dxa"/>
            <w:shd w:val="clear" w:color="auto" w:fill="C6EFCE"/>
            <w:tcMar>
              <w:left w:w="108" w:type="dxa"/>
              <w:right w:w="108" w:type="dxa"/>
            </w:tcMar>
            <w:vAlign w:val="center"/>
          </w:tcPr>
          <w:p w14:paraId="424B31D2" w14:textId="77777777" w:rsidR="00E42B18" w:rsidRDefault="009629C4">
            <w:pPr>
              <w:pStyle w:val="P68B1DB1-Normal121"/>
              <w:spacing w:after="0" w:line="240" w:lineRule="auto"/>
              <w:rPr>
                <w:noProof/>
              </w:rPr>
            </w:pPr>
            <w:r>
              <w:rPr>
                <w:noProof/>
              </w:rPr>
              <w:t>Uudistuksen 2: Ympäristölle haitallisten tukien vähentäminen</w:t>
            </w:r>
          </w:p>
        </w:tc>
        <w:tc>
          <w:tcPr>
            <w:tcW w:w="1276" w:type="dxa"/>
            <w:shd w:val="clear" w:color="auto" w:fill="C6EFCE"/>
            <w:tcMar>
              <w:left w:w="108" w:type="dxa"/>
              <w:right w:w="108" w:type="dxa"/>
            </w:tcMar>
            <w:vAlign w:val="center"/>
          </w:tcPr>
          <w:p w14:paraId="59C311CA"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2B8E5DAF" w14:textId="77777777" w:rsidR="00E42B18" w:rsidRDefault="009629C4">
            <w:pPr>
              <w:pStyle w:val="P68B1DB1-Normal121"/>
              <w:spacing w:after="0" w:line="240" w:lineRule="auto"/>
              <w:rPr>
                <w:noProof/>
              </w:rPr>
            </w:pPr>
            <w:r>
              <w:rPr>
                <w:noProof/>
              </w:rPr>
              <w:t>Primaari- ja sekundaarilainsäädännön voimaantulo.</w:t>
            </w:r>
          </w:p>
        </w:tc>
      </w:tr>
      <w:tr w:rsidR="00E42B18" w14:paraId="046D17B2" w14:textId="77777777">
        <w:trPr>
          <w:trHeight w:val="300"/>
        </w:trPr>
        <w:tc>
          <w:tcPr>
            <w:tcW w:w="1435" w:type="dxa"/>
            <w:shd w:val="clear" w:color="auto" w:fill="C6EFCE"/>
            <w:tcMar>
              <w:left w:w="108" w:type="dxa"/>
              <w:right w:w="108" w:type="dxa"/>
            </w:tcMar>
            <w:vAlign w:val="center"/>
          </w:tcPr>
          <w:p w14:paraId="7071DB26" w14:textId="77777777" w:rsidR="00E42B18" w:rsidRDefault="009629C4">
            <w:pPr>
              <w:pStyle w:val="P68B1DB1-Normal121"/>
              <w:spacing w:after="0" w:line="240" w:lineRule="auto"/>
              <w:jc w:val="center"/>
              <w:rPr>
                <w:noProof/>
              </w:rPr>
            </w:pPr>
            <w:r>
              <w:rPr>
                <w:noProof/>
              </w:rPr>
              <w:t>M7–26</w:t>
            </w:r>
          </w:p>
        </w:tc>
        <w:tc>
          <w:tcPr>
            <w:tcW w:w="3543" w:type="dxa"/>
            <w:shd w:val="clear" w:color="auto" w:fill="C6EFCE"/>
            <w:tcMar>
              <w:left w:w="108" w:type="dxa"/>
              <w:right w:w="108" w:type="dxa"/>
            </w:tcMar>
            <w:vAlign w:val="center"/>
          </w:tcPr>
          <w:p w14:paraId="5AF13FF5" w14:textId="77777777" w:rsidR="00E42B18" w:rsidRDefault="009629C4">
            <w:pPr>
              <w:pStyle w:val="P68B1DB1-Normal121"/>
              <w:spacing w:after="0" w:line="240" w:lineRule="auto"/>
              <w:rPr>
                <w:noProof/>
              </w:rPr>
            </w:pPr>
            <w:r>
              <w:rPr>
                <w:noProof/>
              </w:rPr>
              <w:t>Investointi 8: Kriittisten raaka-aineiden kestävät, kiertotalouteen perustuvat ja turvatut toimitukset</w:t>
            </w:r>
          </w:p>
        </w:tc>
        <w:tc>
          <w:tcPr>
            <w:tcW w:w="1276" w:type="dxa"/>
            <w:shd w:val="clear" w:color="auto" w:fill="C6EFCE"/>
            <w:tcMar>
              <w:left w:w="108" w:type="dxa"/>
              <w:right w:w="108" w:type="dxa"/>
            </w:tcMar>
            <w:vAlign w:val="center"/>
          </w:tcPr>
          <w:p w14:paraId="742F7D48"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5CE626D8" w14:textId="77777777" w:rsidR="00E42B18" w:rsidRDefault="009629C4">
            <w:pPr>
              <w:pStyle w:val="P68B1DB1-Normal121"/>
              <w:spacing w:after="0" w:line="240" w:lineRule="auto"/>
              <w:rPr>
                <w:noProof/>
              </w:rPr>
            </w:pPr>
            <w:r>
              <w:rPr>
                <w:noProof/>
              </w:rPr>
              <w:t>Kaivannaisjätettä koskeva maantieteellinen tietojärjestelmä kriittisten raaka-aineiden kestävää, kiertotalouteen perustuvaa ja varmaa tarjontaa varten</w:t>
            </w:r>
          </w:p>
        </w:tc>
      </w:tr>
      <w:tr w:rsidR="00E42B18" w14:paraId="7C4B7282" w14:textId="77777777">
        <w:trPr>
          <w:trHeight w:val="300"/>
        </w:trPr>
        <w:tc>
          <w:tcPr>
            <w:tcW w:w="1435" w:type="dxa"/>
            <w:shd w:val="clear" w:color="auto" w:fill="C6EFCE"/>
            <w:tcMar>
              <w:left w:w="108" w:type="dxa"/>
              <w:right w:w="108" w:type="dxa"/>
            </w:tcMar>
            <w:vAlign w:val="center"/>
          </w:tcPr>
          <w:p w14:paraId="6832B85E" w14:textId="77777777" w:rsidR="00E42B18" w:rsidRDefault="009629C4">
            <w:pPr>
              <w:pStyle w:val="P68B1DB1-Normal121"/>
              <w:spacing w:after="0" w:line="240" w:lineRule="auto"/>
              <w:jc w:val="center"/>
              <w:rPr>
                <w:noProof/>
              </w:rPr>
            </w:pPr>
            <w:r>
              <w:rPr>
                <w:noProof/>
              </w:rPr>
              <w:t>M1C1–38a</w:t>
            </w:r>
          </w:p>
        </w:tc>
        <w:tc>
          <w:tcPr>
            <w:tcW w:w="3543" w:type="dxa"/>
            <w:shd w:val="clear" w:color="auto" w:fill="C6EFCE"/>
            <w:tcMar>
              <w:left w:w="108" w:type="dxa"/>
              <w:right w:w="108" w:type="dxa"/>
            </w:tcMar>
            <w:vAlign w:val="center"/>
          </w:tcPr>
          <w:p w14:paraId="7CD7CA88" w14:textId="77777777" w:rsidR="00E42B18" w:rsidRDefault="009629C4">
            <w:pPr>
              <w:pStyle w:val="P68B1DB1-Normal121"/>
              <w:spacing w:after="0" w:line="240" w:lineRule="auto"/>
              <w:rPr>
                <w:noProof/>
              </w:rPr>
            </w:pPr>
            <w:r>
              <w:rPr>
                <w:noProof/>
              </w:rPr>
              <w:t xml:space="preserve">Uudistus 1.8: Oikeudenkäytön digitalisointi </w:t>
            </w:r>
          </w:p>
        </w:tc>
        <w:tc>
          <w:tcPr>
            <w:tcW w:w="1276" w:type="dxa"/>
            <w:shd w:val="clear" w:color="auto" w:fill="C6EFCE"/>
            <w:tcMar>
              <w:left w:w="108" w:type="dxa"/>
              <w:right w:w="108" w:type="dxa"/>
            </w:tcMar>
            <w:vAlign w:val="center"/>
          </w:tcPr>
          <w:p w14:paraId="7D81C22E"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76036BCC" w14:textId="77777777" w:rsidR="00E42B18" w:rsidRDefault="009629C4">
            <w:pPr>
              <w:pStyle w:val="P68B1DB1-Normal121"/>
              <w:spacing w:after="0" w:line="240" w:lineRule="auto"/>
              <w:rPr>
                <w:noProof/>
              </w:rPr>
            </w:pPr>
            <w:r>
              <w:rPr>
                <w:noProof/>
              </w:rPr>
              <w:t>Oikeuslaitoksen digitalisointi</w:t>
            </w:r>
          </w:p>
        </w:tc>
      </w:tr>
      <w:tr w:rsidR="00E42B18" w14:paraId="29625C2F" w14:textId="77777777">
        <w:trPr>
          <w:trHeight w:val="300"/>
        </w:trPr>
        <w:tc>
          <w:tcPr>
            <w:tcW w:w="1435" w:type="dxa"/>
            <w:shd w:val="clear" w:color="auto" w:fill="C6EFCE"/>
            <w:tcMar>
              <w:left w:w="108" w:type="dxa"/>
              <w:right w:w="108" w:type="dxa"/>
            </w:tcMar>
            <w:vAlign w:val="center"/>
          </w:tcPr>
          <w:p w14:paraId="7574D9BD" w14:textId="77777777" w:rsidR="00E42B18" w:rsidRDefault="009629C4">
            <w:pPr>
              <w:pStyle w:val="P68B1DB1-Normal121"/>
              <w:spacing w:after="0" w:line="240" w:lineRule="auto"/>
              <w:jc w:val="center"/>
              <w:rPr>
                <w:noProof/>
              </w:rPr>
            </w:pPr>
            <w:r>
              <w:rPr>
                <w:noProof/>
              </w:rPr>
              <w:t>M1C1–72quinquies</w:t>
            </w:r>
          </w:p>
        </w:tc>
        <w:tc>
          <w:tcPr>
            <w:tcW w:w="3543" w:type="dxa"/>
            <w:shd w:val="clear" w:color="auto" w:fill="C6EFCE"/>
            <w:tcMar>
              <w:left w:w="108" w:type="dxa"/>
              <w:right w:w="108" w:type="dxa"/>
            </w:tcMar>
            <w:vAlign w:val="center"/>
          </w:tcPr>
          <w:p w14:paraId="1ED212E3"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276" w:type="dxa"/>
            <w:shd w:val="clear" w:color="auto" w:fill="C6EFCE"/>
            <w:tcMar>
              <w:left w:w="108" w:type="dxa"/>
              <w:right w:w="108" w:type="dxa"/>
            </w:tcMar>
            <w:vAlign w:val="center"/>
          </w:tcPr>
          <w:p w14:paraId="7C2B3F3D"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222610E1" w14:textId="77777777" w:rsidR="00E42B18" w:rsidRDefault="009629C4">
            <w:pPr>
              <w:pStyle w:val="P68B1DB1-Normal121"/>
              <w:spacing w:after="0" w:line="240" w:lineRule="auto"/>
              <w:rPr>
                <w:noProof/>
              </w:rPr>
            </w:pPr>
            <w:r>
              <w:rPr>
                <w:noProof/>
              </w:rPr>
              <w:t xml:space="preserve">Verkkosivusto, jolla on tietoa julkishallinnon suorittamista maksuista </w:t>
            </w:r>
          </w:p>
        </w:tc>
      </w:tr>
      <w:tr w:rsidR="00E42B18" w14:paraId="76EE29D4" w14:textId="77777777">
        <w:trPr>
          <w:trHeight w:val="300"/>
        </w:trPr>
        <w:tc>
          <w:tcPr>
            <w:tcW w:w="1435" w:type="dxa"/>
            <w:shd w:val="clear" w:color="auto" w:fill="C6EFCE"/>
            <w:tcMar>
              <w:left w:w="108" w:type="dxa"/>
              <w:right w:w="108" w:type="dxa"/>
            </w:tcMar>
            <w:vAlign w:val="center"/>
          </w:tcPr>
          <w:p w14:paraId="3D7745C0" w14:textId="77777777" w:rsidR="00E42B18" w:rsidRDefault="009629C4">
            <w:pPr>
              <w:pStyle w:val="P68B1DB1-Normal121"/>
              <w:spacing w:after="0" w:line="240" w:lineRule="auto"/>
              <w:jc w:val="center"/>
              <w:rPr>
                <w:noProof/>
              </w:rPr>
            </w:pPr>
            <w:r>
              <w:rPr>
                <w:noProof/>
              </w:rPr>
              <w:t>M1C1–72-kuusi</w:t>
            </w:r>
          </w:p>
        </w:tc>
        <w:tc>
          <w:tcPr>
            <w:tcW w:w="3543" w:type="dxa"/>
            <w:shd w:val="clear" w:color="auto" w:fill="C6EFCE"/>
            <w:tcMar>
              <w:left w:w="108" w:type="dxa"/>
              <w:right w:w="108" w:type="dxa"/>
            </w:tcMar>
            <w:vAlign w:val="center"/>
          </w:tcPr>
          <w:p w14:paraId="23BBA5F4"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276" w:type="dxa"/>
            <w:shd w:val="clear" w:color="auto" w:fill="C6EFCE"/>
            <w:tcMar>
              <w:left w:w="108" w:type="dxa"/>
              <w:right w:w="108" w:type="dxa"/>
            </w:tcMar>
            <w:vAlign w:val="center"/>
          </w:tcPr>
          <w:p w14:paraId="70DA34E4"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7E2BF1F4" w14:textId="77777777" w:rsidR="00E42B18" w:rsidRDefault="009629C4">
            <w:pPr>
              <w:pStyle w:val="P68B1DB1-Normal121"/>
              <w:spacing w:after="0" w:line="240" w:lineRule="auto"/>
              <w:rPr>
                <w:noProof/>
              </w:rPr>
            </w:pPr>
            <w:r>
              <w:rPr>
                <w:noProof/>
              </w:rPr>
              <w:t>Tarkastussuunnitelmaa koskevan lopullisen tarkastuskertomuksen hyväksyminen</w:t>
            </w:r>
          </w:p>
        </w:tc>
      </w:tr>
      <w:tr w:rsidR="00E42B18" w14:paraId="4064EE51" w14:textId="77777777">
        <w:trPr>
          <w:trHeight w:val="300"/>
        </w:trPr>
        <w:tc>
          <w:tcPr>
            <w:tcW w:w="1435" w:type="dxa"/>
            <w:shd w:val="clear" w:color="auto" w:fill="C6EFCE"/>
            <w:tcMar>
              <w:left w:w="108" w:type="dxa"/>
              <w:right w:w="108" w:type="dxa"/>
            </w:tcMar>
            <w:vAlign w:val="center"/>
          </w:tcPr>
          <w:p w14:paraId="29C7A486" w14:textId="77777777" w:rsidR="00E42B18" w:rsidRDefault="009629C4">
            <w:pPr>
              <w:pStyle w:val="P68B1DB1-Normal121"/>
              <w:spacing w:after="0" w:line="240" w:lineRule="auto"/>
              <w:jc w:val="center"/>
              <w:rPr>
                <w:noProof/>
              </w:rPr>
            </w:pPr>
            <w:r>
              <w:rPr>
                <w:noProof/>
              </w:rPr>
              <w:t>M1C1–27</w:t>
            </w:r>
          </w:p>
        </w:tc>
        <w:tc>
          <w:tcPr>
            <w:tcW w:w="3543" w:type="dxa"/>
            <w:shd w:val="clear" w:color="auto" w:fill="C6EFCE"/>
            <w:tcMar>
              <w:left w:w="108" w:type="dxa"/>
              <w:right w:w="108" w:type="dxa"/>
            </w:tcMar>
            <w:vAlign w:val="center"/>
          </w:tcPr>
          <w:p w14:paraId="6AFF81EB" w14:textId="77777777" w:rsidR="00E42B18" w:rsidRDefault="009629C4">
            <w:pPr>
              <w:pStyle w:val="P68B1DB1-Normal121"/>
              <w:spacing w:after="0" w:line="240" w:lineRule="auto"/>
              <w:rPr>
                <w:noProof/>
              </w:rPr>
            </w:pPr>
            <w:r>
              <w:rPr>
                <w:noProof/>
              </w:rPr>
              <w:t>Investointi 1.3.1: Kansallinen digitaalidata-alusta</w:t>
            </w:r>
          </w:p>
        </w:tc>
        <w:tc>
          <w:tcPr>
            <w:tcW w:w="1276" w:type="dxa"/>
            <w:shd w:val="clear" w:color="auto" w:fill="C6EFCE"/>
            <w:tcMar>
              <w:left w:w="108" w:type="dxa"/>
              <w:right w:w="108" w:type="dxa"/>
            </w:tcMar>
            <w:vAlign w:val="center"/>
          </w:tcPr>
          <w:p w14:paraId="6727FB05" w14:textId="77777777" w:rsidR="00E42B18" w:rsidRDefault="009629C4">
            <w:pPr>
              <w:pStyle w:val="P68B1DB1-Normal121"/>
              <w:spacing w:after="0" w:line="240" w:lineRule="auto"/>
              <w:jc w:val="center"/>
              <w:rPr>
                <w:noProof/>
              </w:rPr>
            </w:pPr>
            <w:r>
              <w:rPr>
                <w:noProof/>
              </w:rPr>
              <w:t>Kohde</w:t>
            </w:r>
          </w:p>
        </w:tc>
        <w:tc>
          <w:tcPr>
            <w:tcW w:w="3105" w:type="dxa"/>
            <w:shd w:val="clear" w:color="auto" w:fill="C6EFCE"/>
            <w:tcMar>
              <w:left w:w="108" w:type="dxa"/>
              <w:right w:w="108" w:type="dxa"/>
            </w:tcMar>
            <w:vAlign w:val="center"/>
          </w:tcPr>
          <w:p w14:paraId="03D5E954" w14:textId="77777777" w:rsidR="00E42B18" w:rsidRDefault="009629C4">
            <w:pPr>
              <w:pStyle w:val="P68B1DB1-Normal121"/>
              <w:spacing w:after="0" w:line="240" w:lineRule="auto"/>
              <w:rPr>
                <w:noProof/>
              </w:rPr>
            </w:pPr>
            <w:r>
              <w:rPr>
                <w:noProof/>
              </w:rPr>
              <w:t>Sovellusrajapinnat kansallisessa digitaalisten tietojen alustassa T2</w:t>
            </w:r>
          </w:p>
        </w:tc>
      </w:tr>
      <w:tr w:rsidR="00E42B18" w14:paraId="7D5B63FE" w14:textId="77777777">
        <w:trPr>
          <w:trHeight w:val="300"/>
        </w:trPr>
        <w:tc>
          <w:tcPr>
            <w:tcW w:w="1435" w:type="dxa"/>
            <w:shd w:val="clear" w:color="auto" w:fill="C6EFCE"/>
            <w:tcMar>
              <w:left w:w="108" w:type="dxa"/>
              <w:right w:w="108" w:type="dxa"/>
            </w:tcMar>
            <w:vAlign w:val="bottom"/>
          </w:tcPr>
          <w:p w14:paraId="7B17791B" w14:textId="77777777" w:rsidR="00E42B18" w:rsidRDefault="009629C4">
            <w:pPr>
              <w:pStyle w:val="P68B1DB1-Normal121"/>
              <w:spacing w:after="0" w:line="240" w:lineRule="auto"/>
              <w:jc w:val="center"/>
              <w:rPr>
                <w:noProof/>
              </w:rPr>
            </w:pPr>
            <w:r>
              <w:rPr>
                <w:noProof/>
              </w:rPr>
              <w:t>M1C1–97ter</w:t>
            </w:r>
          </w:p>
        </w:tc>
        <w:tc>
          <w:tcPr>
            <w:tcW w:w="3543" w:type="dxa"/>
            <w:shd w:val="clear" w:color="auto" w:fill="C6EFCE"/>
            <w:tcMar>
              <w:left w:w="108" w:type="dxa"/>
              <w:right w:w="108" w:type="dxa"/>
            </w:tcMar>
            <w:vAlign w:val="center"/>
          </w:tcPr>
          <w:p w14:paraId="4E8DFF49" w14:textId="77777777" w:rsidR="00E42B18" w:rsidRDefault="009629C4">
            <w:pPr>
              <w:pStyle w:val="P68B1DB1-Normal121"/>
              <w:spacing w:after="0" w:line="240" w:lineRule="auto"/>
              <w:rPr>
                <w:noProof/>
              </w:rPr>
            </w:pPr>
            <w:r>
              <w:rPr>
                <w:noProof/>
              </w:rPr>
              <w:t>Uudistus 1.10: Julkisia hankintoja koskevan lainsäädäntökehyksen uudistaminen</w:t>
            </w:r>
          </w:p>
        </w:tc>
        <w:tc>
          <w:tcPr>
            <w:tcW w:w="1276" w:type="dxa"/>
            <w:shd w:val="clear" w:color="auto" w:fill="C6EFCE"/>
            <w:tcMar>
              <w:left w:w="108" w:type="dxa"/>
              <w:right w:w="108" w:type="dxa"/>
            </w:tcMar>
            <w:vAlign w:val="center"/>
          </w:tcPr>
          <w:p w14:paraId="388784BD" w14:textId="77777777" w:rsidR="00E42B18" w:rsidRDefault="009629C4">
            <w:pPr>
              <w:pStyle w:val="P68B1DB1-Normal121"/>
              <w:spacing w:after="0" w:line="240" w:lineRule="auto"/>
              <w:jc w:val="center"/>
              <w:rPr>
                <w:noProof/>
              </w:rPr>
            </w:pPr>
            <w:r>
              <w:rPr>
                <w:noProof/>
              </w:rPr>
              <w:t>Virstanpylväs</w:t>
            </w:r>
          </w:p>
        </w:tc>
        <w:tc>
          <w:tcPr>
            <w:tcW w:w="3105" w:type="dxa"/>
            <w:shd w:val="clear" w:color="auto" w:fill="C6EFCE"/>
            <w:tcMar>
              <w:left w:w="108" w:type="dxa"/>
              <w:right w:w="108" w:type="dxa"/>
            </w:tcMar>
            <w:vAlign w:val="center"/>
          </w:tcPr>
          <w:p w14:paraId="41FC0BBF" w14:textId="77777777" w:rsidR="00E42B18" w:rsidRDefault="009629C4">
            <w:pPr>
              <w:pStyle w:val="P68B1DB1-Normal121"/>
              <w:spacing w:after="0" w:line="240" w:lineRule="auto"/>
              <w:rPr>
                <w:noProof/>
              </w:rPr>
            </w:pPr>
            <w:r>
              <w:rPr>
                <w:noProof/>
              </w:rPr>
              <w:t>Toimenpiteet toteutuksen nopeuttamiseksi</w:t>
            </w:r>
          </w:p>
        </w:tc>
      </w:tr>
      <w:tr w:rsidR="00E42B18" w14:paraId="56389C72"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72C09E11" w14:textId="77777777" w:rsidR="00E42B18" w:rsidRDefault="009629C4">
            <w:pPr>
              <w:pStyle w:val="P68B1DB1-Normal121"/>
              <w:spacing w:after="0"/>
              <w:jc w:val="center"/>
              <w:rPr>
                <w:noProof/>
              </w:rPr>
            </w:pPr>
            <w:r>
              <w:rPr>
                <w:noProof/>
              </w:rPr>
              <w:t>M4C2–4bis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7CF96B" w14:textId="77777777" w:rsidR="00E42B18" w:rsidRDefault="009629C4">
            <w:pPr>
              <w:pStyle w:val="P68B1DB1-Normal121"/>
              <w:spacing w:after="0"/>
              <w:rPr>
                <w:noProof/>
              </w:rPr>
            </w:pPr>
            <w:r>
              <w:rPr>
                <w:noProof/>
              </w:rPr>
              <w:t>Uudistus 1.2: Kolmivuotinen tutkimustoiminnan rahoitussuunnitelma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7978D3" w14:textId="77777777" w:rsidR="00E42B18" w:rsidRDefault="009629C4">
            <w:pPr>
              <w:pStyle w:val="P68B1DB1-Normal121"/>
              <w:spacing w:after="0"/>
              <w:jc w:val="center"/>
              <w:rPr>
                <w:noProof/>
              </w:rPr>
            </w:pPr>
            <w:r>
              <w:rPr>
                <w:noProof/>
              </w:rPr>
              <w:t>Virstanpylväs</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1D39A1" w14:textId="77777777" w:rsidR="00E42B18" w:rsidRDefault="009629C4">
            <w:pPr>
              <w:pStyle w:val="P68B1DB1-Normal121"/>
              <w:spacing w:after="0"/>
              <w:rPr>
                <w:noProof/>
              </w:rPr>
            </w:pPr>
            <w:r>
              <w:rPr>
                <w:noProof/>
              </w:rPr>
              <w:t>Primaarilainsäädäntö tutkimustoiminnan rahoittamista koskevan kolmivuotissuunnitelman hyväksymiseksi </w:t>
            </w:r>
          </w:p>
        </w:tc>
      </w:tr>
      <w:tr w:rsidR="00E42B18" w14:paraId="0B06195A"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4D69BC7" w14:textId="77777777" w:rsidR="00E42B18" w:rsidRDefault="009629C4">
            <w:pPr>
              <w:pStyle w:val="P68B1DB1-Normal121"/>
              <w:spacing w:after="0"/>
              <w:jc w:val="center"/>
              <w:rPr>
                <w:noProof/>
              </w:rPr>
            </w:pPr>
            <w:r>
              <w:rPr>
                <w:noProof/>
              </w:rPr>
              <w:t>M7–30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22FD61" w14:textId="77777777" w:rsidR="00E42B18" w:rsidRDefault="009629C4">
            <w:pPr>
              <w:pStyle w:val="P68B1DB1-Normal121"/>
              <w:spacing w:after="0"/>
              <w:rPr>
                <w:noProof/>
              </w:rPr>
            </w:pPr>
            <w:r>
              <w:rPr>
                <w:noProof/>
              </w:rPr>
              <w:t>Investointi 10: Crescere Green -taitoja koskeva pilottihanke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5F5526" w14:textId="77777777" w:rsidR="00E42B18" w:rsidRDefault="009629C4">
            <w:pPr>
              <w:pStyle w:val="P68B1DB1-Normal121"/>
              <w:spacing w:after="0"/>
              <w:jc w:val="center"/>
              <w:rPr>
                <w:noProof/>
              </w:rPr>
            </w:pPr>
            <w:r>
              <w:rPr>
                <w:noProof/>
              </w:rPr>
              <w:t>Kohde</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523D4A" w14:textId="77777777" w:rsidR="00E42B18" w:rsidRDefault="009629C4">
            <w:pPr>
              <w:pStyle w:val="P68B1DB1-Normal121"/>
              <w:spacing w:after="0"/>
              <w:rPr>
                <w:noProof/>
              </w:rPr>
            </w:pPr>
            <w:r>
              <w:rPr>
                <w:noProof/>
              </w:rPr>
              <w:t>Toteutetut koulutusmoduulit</w:t>
            </w:r>
          </w:p>
        </w:tc>
      </w:tr>
      <w:tr w:rsidR="00E42B18" w14:paraId="0DC50A34"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04074BFE" w14:textId="77777777" w:rsidR="00E42B18" w:rsidRDefault="009629C4">
            <w:pPr>
              <w:pStyle w:val="P68B1DB1-Normal121"/>
              <w:spacing w:after="0"/>
              <w:jc w:val="center"/>
              <w:rPr>
                <w:noProof/>
              </w:rPr>
            </w:pPr>
            <w:r>
              <w:rPr>
                <w:noProof/>
              </w:rPr>
              <w:t>M1C1–144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FB0EE4" w14:textId="77777777" w:rsidR="00E42B18" w:rsidRDefault="009629C4">
            <w:pPr>
              <w:pStyle w:val="P68B1DB1-Normal121"/>
              <w:spacing w:after="0"/>
              <w:rPr>
                <w:noProof/>
              </w:rPr>
            </w:pPr>
            <w:r>
              <w:rPr>
                <w:noProof/>
              </w:rPr>
              <w:t>Investointi 1.4.2 – Kansalaisten osallistaminen – Digitaalisten julkisten palvelujen/tukitoimien saavutettavuuden parantaminen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76FC7A" w14:textId="77777777" w:rsidR="00E42B18" w:rsidRDefault="009629C4">
            <w:pPr>
              <w:pStyle w:val="P68B1DB1-Normal121"/>
              <w:spacing w:after="0"/>
              <w:jc w:val="center"/>
              <w:rPr>
                <w:noProof/>
              </w:rPr>
            </w:pPr>
            <w:r>
              <w:rPr>
                <w:noProof/>
              </w:rPr>
              <w:t>Kohde</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7C077E9" w14:textId="77777777" w:rsidR="00E42B18" w:rsidRDefault="009629C4">
            <w:pPr>
              <w:pStyle w:val="P68B1DB1-Normal121"/>
              <w:spacing w:after="0"/>
              <w:rPr>
                <w:noProof/>
              </w:rPr>
            </w:pPr>
            <w:r>
              <w:rPr>
                <w:noProof/>
              </w:rPr>
              <w:t>Digitaalisten julkisten palvelujen parempi saavutettavuus</w:t>
            </w:r>
          </w:p>
        </w:tc>
      </w:tr>
      <w:tr w:rsidR="00E42B18" w14:paraId="5BC2EA6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B251739" w14:textId="77777777" w:rsidR="00E42B18" w:rsidRDefault="009629C4">
            <w:pPr>
              <w:pStyle w:val="P68B1DB1-Normal121"/>
              <w:spacing w:after="0"/>
              <w:jc w:val="center"/>
              <w:rPr>
                <w:noProof/>
              </w:rPr>
            </w:pPr>
            <w:r>
              <w:rPr>
                <w:noProof/>
              </w:rPr>
              <w:t>M2C2–36</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F8D799" w14:textId="77777777" w:rsidR="00E42B18" w:rsidRDefault="009629C4">
            <w:pPr>
              <w:pStyle w:val="P68B1DB1-Normal121"/>
              <w:spacing w:after="0"/>
              <w:rPr>
                <w:noProof/>
              </w:rPr>
            </w:pPr>
            <w:r>
              <w:rPr>
                <w:noProof/>
              </w:rPr>
              <w:t>Investointi 4.4.3: Kansallisen palokunnan komentokaluston uusiminen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73E605" w14:textId="77777777" w:rsidR="00E42B18" w:rsidRDefault="009629C4">
            <w:pPr>
              <w:pStyle w:val="P68B1DB1-Normal121"/>
              <w:spacing w:after="0"/>
              <w:jc w:val="center"/>
              <w:rPr>
                <w:noProof/>
              </w:rPr>
            </w:pPr>
            <w:r>
              <w:rPr>
                <w:noProof/>
              </w:rPr>
              <w:t>Kohde</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4C14B3" w14:textId="77777777" w:rsidR="00E42B18" w:rsidRDefault="009629C4">
            <w:pPr>
              <w:pStyle w:val="P68B1DB1-Normal121"/>
              <w:spacing w:after="0"/>
              <w:rPr>
                <w:noProof/>
              </w:rPr>
            </w:pPr>
            <w:r>
              <w:rPr>
                <w:noProof/>
              </w:rPr>
              <w:t>Puhtaiden ajoneuvojen lukumäärä kansallisen palokunnan uusimiskalustoa varten</w:t>
            </w:r>
          </w:p>
        </w:tc>
      </w:tr>
      <w:tr w:rsidR="00E42B18" w14:paraId="3C41809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FA81171" w14:textId="77777777" w:rsidR="00E42B18" w:rsidRDefault="009629C4">
            <w:pPr>
              <w:pStyle w:val="P68B1DB1-Normal121"/>
              <w:spacing w:after="0"/>
              <w:jc w:val="center"/>
              <w:rPr>
                <w:noProof/>
              </w:rPr>
            </w:pPr>
            <w:r>
              <w:rPr>
                <w:noProof/>
              </w:rPr>
              <w:t>M2C4–32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B1FE95" w14:textId="77777777" w:rsidR="00E42B18" w:rsidRDefault="009629C4">
            <w:pPr>
              <w:pStyle w:val="P68B1DB1-Normal121"/>
              <w:spacing w:after="0"/>
              <w:rPr>
                <w:noProof/>
              </w:rPr>
            </w:pPr>
            <w:r>
              <w:rPr>
                <w:noProof/>
              </w:rPr>
              <w:t>Investointi 4.2. Vedenjakeluverkkojen hävikin vähentäminen, mukaan lukien verkkojen digitalisointi ja seuranta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806E80" w14:textId="77777777" w:rsidR="00E42B18" w:rsidRDefault="009629C4">
            <w:pPr>
              <w:pStyle w:val="P68B1DB1-Normal121"/>
              <w:spacing w:after="0"/>
              <w:jc w:val="center"/>
              <w:rPr>
                <w:noProof/>
              </w:rPr>
            </w:pPr>
            <w:r>
              <w:rPr>
                <w:noProof/>
              </w:rPr>
              <w:t>Kohde</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1BEC36" w14:textId="77777777" w:rsidR="00E42B18" w:rsidRDefault="009629C4">
            <w:pPr>
              <w:pStyle w:val="P68B1DB1-Normal121"/>
              <w:spacing w:after="0"/>
              <w:rPr>
                <w:noProof/>
              </w:rPr>
            </w:pPr>
            <w:r>
              <w:rPr>
                <w:noProof/>
              </w:rPr>
              <w:t>Vedenjakeluverkkoihin liittyvät toimet, mukaan lukien T2-verkkojen digitalisointi ja seuranta</w:t>
            </w:r>
          </w:p>
        </w:tc>
      </w:tr>
      <w:tr w:rsidR="00E42B18" w14:paraId="14CAE95E"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37EE60A5" w14:textId="77777777" w:rsidR="00E42B18" w:rsidRDefault="009629C4">
            <w:pPr>
              <w:pStyle w:val="P68B1DB1-Normal121"/>
              <w:spacing w:after="0"/>
              <w:jc w:val="center"/>
              <w:rPr>
                <w:noProof/>
              </w:rPr>
            </w:pPr>
            <w:r>
              <w:rPr>
                <w:noProof/>
              </w:rPr>
              <w:t>M1C1–153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FE5A3B" w14:textId="77777777" w:rsidR="00E42B18" w:rsidRDefault="009629C4">
            <w:pPr>
              <w:pStyle w:val="P68B1DB1-Normal121"/>
              <w:spacing w:after="0"/>
              <w:rPr>
                <w:noProof/>
              </w:rPr>
            </w:pPr>
            <w:r>
              <w:rPr>
                <w:noProof/>
              </w:rPr>
              <w:t>Investointi 1.6.2 – Oikeusministeriön digitalisointi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D85D6E" w14:textId="77777777" w:rsidR="00E42B18" w:rsidRDefault="009629C4">
            <w:pPr>
              <w:pStyle w:val="P68B1DB1-Normal121"/>
              <w:spacing w:after="0"/>
              <w:jc w:val="center"/>
              <w:rPr>
                <w:noProof/>
              </w:rPr>
            </w:pPr>
            <w:r>
              <w:rPr>
                <w:noProof/>
              </w:rPr>
              <w:t>Kohde</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851031" w14:textId="77777777" w:rsidR="00E42B18" w:rsidRDefault="009629C4">
            <w:pPr>
              <w:pStyle w:val="P68B1DB1-Normal121"/>
              <w:spacing w:after="0"/>
              <w:rPr>
                <w:noProof/>
              </w:rPr>
            </w:pPr>
            <w:r>
              <w:rPr>
                <w:noProof/>
              </w:rPr>
              <w:t>Digitalisoidut T2-tiedostot</w:t>
            </w:r>
          </w:p>
        </w:tc>
      </w:tr>
      <w:tr w:rsidR="00E42B18" w14:paraId="528C3C25" w14:textId="77777777">
        <w:trPr>
          <w:trHeight w:val="300"/>
        </w:trPr>
        <w:tc>
          <w:tcPr>
            <w:tcW w:w="1435" w:type="dxa"/>
            <w:shd w:val="clear" w:color="auto" w:fill="C6EFCE"/>
            <w:tcMar>
              <w:left w:w="108" w:type="dxa"/>
              <w:right w:w="108" w:type="dxa"/>
            </w:tcMar>
            <w:vAlign w:val="bottom"/>
          </w:tcPr>
          <w:p w14:paraId="47676C27" w14:textId="77777777" w:rsidR="00E42B18" w:rsidRDefault="009629C4">
            <w:pPr>
              <w:pStyle w:val="P68B1DB1-Normal121"/>
              <w:spacing w:after="0" w:line="240" w:lineRule="auto"/>
              <w:jc w:val="center"/>
              <w:rPr>
                <w:noProof/>
              </w:rPr>
            </w:pPr>
            <w:r>
              <w:rPr>
                <w:noProof/>
              </w:rPr>
              <w:t xml:space="preserve"> </w:t>
            </w:r>
          </w:p>
        </w:tc>
        <w:tc>
          <w:tcPr>
            <w:tcW w:w="3543" w:type="dxa"/>
            <w:shd w:val="clear" w:color="auto" w:fill="C6EFCE"/>
            <w:tcMar>
              <w:left w:w="108" w:type="dxa"/>
              <w:right w:w="108" w:type="dxa"/>
            </w:tcMar>
            <w:vAlign w:val="center"/>
          </w:tcPr>
          <w:p w14:paraId="65ACE610" w14:textId="77777777" w:rsidR="00E42B18" w:rsidRDefault="009629C4">
            <w:pPr>
              <w:pStyle w:val="P68B1DB1-Normal121"/>
              <w:spacing w:after="0" w:line="240" w:lineRule="auto"/>
              <w:rPr>
                <w:noProof/>
              </w:rPr>
            </w:pPr>
            <w:r>
              <w:rPr>
                <w:noProof/>
              </w:rPr>
              <w:t xml:space="preserve"> </w:t>
            </w:r>
          </w:p>
        </w:tc>
        <w:tc>
          <w:tcPr>
            <w:tcW w:w="1276" w:type="dxa"/>
            <w:shd w:val="clear" w:color="auto" w:fill="C6EFCE"/>
            <w:tcMar>
              <w:left w:w="108" w:type="dxa"/>
              <w:right w:w="108" w:type="dxa"/>
            </w:tcMar>
            <w:vAlign w:val="center"/>
          </w:tcPr>
          <w:p w14:paraId="3502E21C" w14:textId="77777777" w:rsidR="00E42B18" w:rsidRDefault="009629C4">
            <w:pPr>
              <w:pStyle w:val="P68B1DB1-Normal121"/>
              <w:spacing w:after="0" w:line="240" w:lineRule="auto"/>
              <w:jc w:val="center"/>
              <w:rPr>
                <w:noProof/>
              </w:rPr>
            </w:pPr>
            <w:r>
              <w:rPr>
                <w:noProof/>
              </w:rPr>
              <w:t>Maksuerän määrä</w:t>
            </w:r>
          </w:p>
        </w:tc>
        <w:tc>
          <w:tcPr>
            <w:tcW w:w="3105" w:type="dxa"/>
            <w:shd w:val="clear" w:color="auto" w:fill="C6EFCE"/>
            <w:tcMar>
              <w:left w:w="108" w:type="dxa"/>
              <w:right w:w="108" w:type="dxa"/>
            </w:tcMar>
            <w:vAlign w:val="center"/>
          </w:tcPr>
          <w:p w14:paraId="4AA90E09" w14:textId="77777777" w:rsidR="00E42B18" w:rsidRDefault="009629C4">
            <w:pPr>
              <w:pStyle w:val="P68B1DB1-Normal121"/>
              <w:spacing w:after="0" w:line="240" w:lineRule="auto"/>
              <w:rPr>
                <w:noProof/>
              </w:rPr>
            </w:pPr>
            <w:r>
              <w:rPr>
                <w:noProof/>
              </w:rPr>
              <w:t>YHTEENSÄ 7670089282 EUROA</w:t>
            </w:r>
          </w:p>
        </w:tc>
      </w:tr>
    </w:tbl>
    <w:p w14:paraId="68EC3F37" w14:textId="77777777" w:rsidR="00E42B18" w:rsidRDefault="00E42B18">
      <w:pPr>
        <w:spacing w:after="0"/>
        <w:ind w:left="850"/>
        <w:contextualSpacing/>
        <w:jc w:val="both"/>
        <w:rPr>
          <w:rFonts w:ascii="Times New Roman" w:eastAsia="Times New Roman" w:hAnsi="Times New Roman" w:cs="Times New Roman"/>
          <w:noProof/>
        </w:rPr>
      </w:pPr>
    </w:p>
    <w:p w14:paraId="638A5611" w14:textId="77777777" w:rsidR="00E42B18" w:rsidRDefault="009629C4">
      <w:pPr>
        <w:pStyle w:val="P68B1DB1-Heading4119"/>
        <w:numPr>
          <w:ilvl w:val="1"/>
          <w:numId w:val="180"/>
        </w:numPr>
        <w:tabs>
          <w:tab w:val="num" w:pos="1440"/>
        </w:tabs>
        <w:ind w:left="1440" w:hanging="360"/>
        <w:rPr>
          <w:noProof/>
        </w:rPr>
      </w:pPr>
      <w:r>
        <w:rPr>
          <w:noProof/>
        </w:rPr>
        <w:t>Kymmenes erä (tuki, jota ei makseta takaisin):</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418"/>
        <w:gridCol w:w="2963"/>
      </w:tblGrid>
      <w:tr w:rsidR="00E42B18" w14:paraId="0DE91403" w14:textId="77777777">
        <w:trPr>
          <w:trHeight w:val="900"/>
          <w:tblHeader/>
        </w:trPr>
        <w:tc>
          <w:tcPr>
            <w:tcW w:w="1435" w:type="dxa"/>
            <w:vMerge w:val="restart"/>
            <w:shd w:val="clear" w:color="auto" w:fill="BDD7EE"/>
            <w:tcMar>
              <w:left w:w="108" w:type="dxa"/>
              <w:right w:w="108" w:type="dxa"/>
            </w:tcMar>
            <w:vAlign w:val="center"/>
          </w:tcPr>
          <w:p w14:paraId="4D14B7B8" w14:textId="77777777" w:rsidR="00E42B18" w:rsidRDefault="009629C4">
            <w:pPr>
              <w:pStyle w:val="P68B1DB1-Normal120"/>
              <w:spacing w:after="0" w:line="240" w:lineRule="auto"/>
              <w:jc w:val="center"/>
              <w:rPr>
                <w:bCs/>
                <w:noProof/>
              </w:rPr>
            </w:pPr>
            <w:r>
              <w:rPr>
                <w:noProof/>
              </w:rPr>
              <w:t>Juokseva numero</w:t>
            </w:r>
          </w:p>
        </w:tc>
        <w:tc>
          <w:tcPr>
            <w:tcW w:w="3543" w:type="dxa"/>
            <w:vMerge w:val="restart"/>
            <w:shd w:val="clear" w:color="auto" w:fill="BDD7EE"/>
            <w:tcMar>
              <w:left w:w="108" w:type="dxa"/>
              <w:right w:w="108" w:type="dxa"/>
            </w:tcMar>
            <w:vAlign w:val="center"/>
          </w:tcPr>
          <w:p w14:paraId="2ED8FD1D" w14:textId="77777777" w:rsidR="00E42B18" w:rsidRDefault="009629C4">
            <w:pPr>
              <w:pStyle w:val="P68B1DB1-Normal120"/>
              <w:spacing w:after="0" w:line="240" w:lineRule="auto"/>
              <w:jc w:val="center"/>
              <w:rPr>
                <w:noProof/>
              </w:rPr>
            </w:pPr>
            <w:r>
              <w:rPr>
                <w:noProof/>
              </w:rPr>
              <w:t>Toimenpide (uudistus tai investointi)</w:t>
            </w:r>
          </w:p>
        </w:tc>
        <w:tc>
          <w:tcPr>
            <w:tcW w:w="1418" w:type="dxa"/>
            <w:vMerge w:val="restart"/>
            <w:shd w:val="clear" w:color="auto" w:fill="BDD7EE"/>
            <w:tcMar>
              <w:left w:w="108" w:type="dxa"/>
              <w:right w:w="108" w:type="dxa"/>
            </w:tcMar>
            <w:vAlign w:val="center"/>
          </w:tcPr>
          <w:p w14:paraId="55731142" w14:textId="77777777" w:rsidR="00E42B18" w:rsidRDefault="009629C4">
            <w:pPr>
              <w:pStyle w:val="P68B1DB1-Normal120"/>
              <w:spacing w:after="0" w:line="240" w:lineRule="auto"/>
              <w:jc w:val="center"/>
              <w:rPr>
                <w:noProof/>
              </w:rPr>
            </w:pPr>
            <w:r>
              <w:rPr>
                <w:noProof/>
              </w:rPr>
              <w:t>Välitavoite/tavoite</w:t>
            </w:r>
          </w:p>
        </w:tc>
        <w:tc>
          <w:tcPr>
            <w:tcW w:w="2963" w:type="dxa"/>
            <w:vMerge w:val="restart"/>
            <w:shd w:val="clear" w:color="auto" w:fill="BDD7EE"/>
            <w:tcMar>
              <w:left w:w="108" w:type="dxa"/>
              <w:right w:w="108" w:type="dxa"/>
            </w:tcMar>
            <w:vAlign w:val="center"/>
          </w:tcPr>
          <w:p w14:paraId="3A69F502" w14:textId="77777777" w:rsidR="00E42B18" w:rsidRDefault="009629C4">
            <w:pPr>
              <w:pStyle w:val="P68B1DB1-Normal120"/>
              <w:spacing w:after="0" w:line="240" w:lineRule="auto"/>
              <w:jc w:val="center"/>
              <w:rPr>
                <w:noProof/>
              </w:rPr>
            </w:pPr>
            <w:r>
              <w:rPr>
                <w:noProof/>
              </w:rPr>
              <w:t>Nimi</w:t>
            </w:r>
          </w:p>
        </w:tc>
      </w:tr>
      <w:tr w:rsidR="00E42B18" w14:paraId="5C8FDBA9" w14:textId="77777777">
        <w:trPr>
          <w:trHeight w:val="510"/>
        </w:trPr>
        <w:tc>
          <w:tcPr>
            <w:tcW w:w="1435" w:type="dxa"/>
            <w:vMerge/>
            <w:vAlign w:val="center"/>
          </w:tcPr>
          <w:p w14:paraId="41B1791A" w14:textId="77777777" w:rsidR="00E42B18" w:rsidRDefault="00E42B18">
            <w:pPr>
              <w:spacing w:after="0" w:line="240" w:lineRule="auto"/>
              <w:jc w:val="center"/>
              <w:rPr>
                <w:rFonts w:ascii="Times New Roman" w:eastAsia="Times New Roman" w:hAnsi="Times New Roman" w:cs="Times New Roman"/>
                <w:noProof/>
              </w:rPr>
            </w:pPr>
          </w:p>
        </w:tc>
        <w:tc>
          <w:tcPr>
            <w:tcW w:w="3543" w:type="dxa"/>
            <w:vMerge/>
            <w:vAlign w:val="center"/>
          </w:tcPr>
          <w:p w14:paraId="507FB542" w14:textId="77777777" w:rsidR="00E42B18" w:rsidRDefault="00E42B18">
            <w:pPr>
              <w:spacing w:after="0" w:line="240" w:lineRule="auto"/>
              <w:rPr>
                <w:rFonts w:ascii="Times New Roman" w:eastAsia="Times New Roman" w:hAnsi="Times New Roman" w:cs="Times New Roman"/>
                <w:noProof/>
              </w:rPr>
            </w:pPr>
          </w:p>
        </w:tc>
        <w:tc>
          <w:tcPr>
            <w:tcW w:w="1418" w:type="dxa"/>
            <w:vMerge/>
            <w:vAlign w:val="center"/>
          </w:tcPr>
          <w:p w14:paraId="4E598482" w14:textId="77777777" w:rsidR="00E42B18" w:rsidRDefault="00E42B18">
            <w:pPr>
              <w:spacing w:after="0" w:line="240" w:lineRule="auto"/>
              <w:jc w:val="center"/>
              <w:rPr>
                <w:rFonts w:ascii="Times New Roman" w:eastAsia="Times New Roman" w:hAnsi="Times New Roman" w:cs="Times New Roman"/>
                <w:noProof/>
              </w:rPr>
            </w:pPr>
          </w:p>
        </w:tc>
        <w:tc>
          <w:tcPr>
            <w:tcW w:w="2963" w:type="dxa"/>
            <w:vMerge/>
            <w:vAlign w:val="center"/>
          </w:tcPr>
          <w:p w14:paraId="5B3D5FC4" w14:textId="77777777" w:rsidR="00E42B18" w:rsidRDefault="00E42B18">
            <w:pPr>
              <w:spacing w:after="0" w:line="240" w:lineRule="auto"/>
              <w:rPr>
                <w:rFonts w:ascii="Times New Roman" w:eastAsia="Times New Roman" w:hAnsi="Times New Roman" w:cs="Times New Roman"/>
                <w:noProof/>
              </w:rPr>
            </w:pPr>
          </w:p>
        </w:tc>
      </w:tr>
      <w:tr w:rsidR="00E42B18" w14:paraId="0F972973" w14:textId="77777777">
        <w:trPr>
          <w:trHeight w:val="300"/>
        </w:trPr>
        <w:tc>
          <w:tcPr>
            <w:tcW w:w="1435" w:type="dxa"/>
            <w:shd w:val="clear" w:color="auto" w:fill="C6EFCE"/>
            <w:tcMar>
              <w:left w:w="108" w:type="dxa"/>
              <w:right w:w="108" w:type="dxa"/>
            </w:tcMar>
            <w:vAlign w:val="center"/>
          </w:tcPr>
          <w:p w14:paraId="15EACD18" w14:textId="77777777" w:rsidR="00E42B18" w:rsidRDefault="009629C4">
            <w:pPr>
              <w:pStyle w:val="P68B1DB1-Normal121"/>
              <w:spacing w:after="0" w:line="240" w:lineRule="auto"/>
              <w:jc w:val="center"/>
              <w:rPr>
                <w:noProof/>
              </w:rPr>
            </w:pPr>
            <w:r>
              <w:rPr>
                <w:noProof/>
              </w:rPr>
              <w:t>M1C1–88</w:t>
            </w:r>
          </w:p>
        </w:tc>
        <w:tc>
          <w:tcPr>
            <w:tcW w:w="3543" w:type="dxa"/>
            <w:shd w:val="clear" w:color="auto" w:fill="C6EFCE"/>
            <w:tcMar>
              <w:left w:w="108" w:type="dxa"/>
              <w:right w:w="108" w:type="dxa"/>
            </w:tcMar>
            <w:vAlign w:val="center"/>
          </w:tcPr>
          <w:p w14:paraId="6BCADE5E"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418" w:type="dxa"/>
            <w:shd w:val="clear" w:color="auto" w:fill="C6EFCE"/>
            <w:tcMar>
              <w:left w:w="108" w:type="dxa"/>
              <w:right w:w="108" w:type="dxa"/>
            </w:tcMar>
            <w:vAlign w:val="center"/>
          </w:tcPr>
          <w:p w14:paraId="60C1B561"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0258468C" w14:textId="77777777" w:rsidR="00E42B18" w:rsidRDefault="009629C4">
            <w:pPr>
              <w:pStyle w:val="P68B1DB1-Normal121"/>
              <w:spacing w:after="0" w:line="240" w:lineRule="auto"/>
              <w:rPr>
                <w:noProof/>
              </w:rPr>
            </w:pPr>
            <w:r>
              <w:rPr>
                <w:noProof/>
              </w:rPr>
              <w:t>Keskusviranomaisten yrityksille maksamien päivien keskimäärä vähenee</w:t>
            </w:r>
          </w:p>
        </w:tc>
      </w:tr>
      <w:tr w:rsidR="00E42B18" w14:paraId="4FF0437F" w14:textId="77777777">
        <w:trPr>
          <w:trHeight w:val="300"/>
        </w:trPr>
        <w:tc>
          <w:tcPr>
            <w:tcW w:w="1435" w:type="dxa"/>
            <w:shd w:val="clear" w:color="auto" w:fill="C6EFCE"/>
            <w:tcMar>
              <w:left w:w="108" w:type="dxa"/>
              <w:right w:w="108" w:type="dxa"/>
            </w:tcMar>
            <w:vAlign w:val="center"/>
          </w:tcPr>
          <w:p w14:paraId="351DEA49" w14:textId="77777777" w:rsidR="00E42B18" w:rsidRDefault="009629C4">
            <w:pPr>
              <w:pStyle w:val="P68B1DB1-Normal121"/>
              <w:spacing w:after="0" w:line="240" w:lineRule="auto"/>
              <w:jc w:val="center"/>
              <w:rPr>
                <w:noProof/>
              </w:rPr>
            </w:pPr>
            <w:r>
              <w:rPr>
                <w:noProof/>
              </w:rPr>
              <w:t>M1C1–89</w:t>
            </w:r>
          </w:p>
        </w:tc>
        <w:tc>
          <w:tcPr>
            <w:tcW w:w="3543" w:type="dxa"/>
            <w:shd w:val="clear" w:color="auto" w:fill="C6EFCE"/>
            <w:tcMar>
              <w:left w:w="108" w:type="dxa"/>
              <w:right w:w="108" w:type="dxa"/>
            </w:tcMar>
            <w:vAlign w:val="center"/>
          </w:tcPr>
          <w:p w14:paraId="57B1C444"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418" w:type="dxa"/>
            <w:shd w:val="clear" w:color="auto" w:fill="C6EFCE"/>
            <w:tcMar>
              <w:left w:w="108" w:type="dxa"/>
              <w:right w:w="108" w:type="dxa"/>
            </w:tcMar>
            <w:vAlign w:val="center"/>
          </w:tcPr>
          <w:p w14:paraId="59C3450F"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333D40EB" w14:textId="77777777" w:rsidR="00E42B18" w:rsidRDefault="009629C4">
            <w:pPr>
              <w:pStyle w:val="P68B1DB1-Normal121"/>
              <w:spacing w:after="0" w:line="240" w:lineRule="auto"/>
              <w:rPr>
                <w:noProof/>
              </w:rPr>
            </w:pPr>
            <w:r>
              <w:rPr>
                <w:noProof/>
              </w:rPr>
              <w:t>Alueellisten viranomaisten yrityksille maksamien päivien keskimäärä vähenee</w:t>
            </w:r>
          </w:p>
        </w:tc>
      </w:tr>
      <w:tr w:rsidR="00E42B18" w14:paraId="0214F81F" w14:textId="77777777">
        <w:trPr>
          <w:trHeight w:val="300"/>
        </w:trPr>
        <w:tc>
          <w:tcPr>
            <w:tcW w:w="1435" w:type="dxa"/>
            <w:shd w:val="clear" w:color="auto" w:fill="C6EFCE"/>
            <w:tcMar>
              <w:left w:w="108" w:type="dxa"/>
              <w:right w:w="108" w:type="dxa"/>
            </w:tcMar>
            <w:vAlign w:val="center"/>
          </w:tcPr>
          <w:p w14:paraId="4F5A4DF4" w14:textId="77777777" w:rsidR="00E42B18" w:rsidRDefault="009629C4">
            <w:pPr>
              <w:pStyle w:val="P68B1DB1-Normal121"/>
              <w:spacing w:after="0" w:line="240" w:lineRule="auto"/>
              <w:jc w:val="center"/>
              <w:rPr>
                <w:noProof/>
              </w:rPr>
            </w:pPr>
            <w:r>
              <w:rPr>
                <w:noProof/>
              </w:rPr>
              <w:t>M1C1–90</w:t>
            </w:r>
          </w:p>
        </w:tc>
        <w:tc>
          <w:tcPr>
            <w:tcW w:w="3543" w:type="dxa"/>
            <w:shd w:val="clear" w:color="auto" w:fill="C6EFCE"/>
            <w:tcMar>
              <w:left w:w="108" w:type="dxa"/>
              <w:right w:w="108" w:type="dxa"/>
            </w:tcMar>
            <w:vAlign w:val="center"/>
          </w:tcPr>
          <w:p w14:paraId="566D7C48"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418" w:type="dxa"/>
            <w:shd w:val="clear" w:color="auto" w:fill="C6EFCE"/>
            <w:tcMar>
              <w:left w:w="108" w:type="dxa"/>
              <w:right w:w="108" w:type="dxa"/>
            </w:tcMar>
            <w:vAlign w:val="center"/>
          </w:tcPr>
          <w:p w14:paraId="4145AC8C"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28F96142" w14:textId="77777777" w:rsidR="00E42B18" w:rsidRDefault="009629C4">
            <w:pPr>
              <w:pStyle w:val="P68B1DB1-Normal121"/>
              <w:spacing w:after="0" w:line="240" w:lineRule="auto"/>
              <w:rPr>
                <w:noProof/>
              </w:rPr>
            </w:pPr>
            <w:r>
              <w:rPr>
                <w:noProof/>
              </w:rPr>
              <w:t>Paikallisviranomaisten yrityksille maksamien päivien keskimäärä vähenee</w:t>
            </w:r>
          </w:p>
        </w:tc>
      </w:tr>
      <w:tr w:rsidR="00E42B18" w14:paraId="4E17384B" w14:textId="77777777">
        <w:trPr>
          <w:trHeight w:val="300"/>
        </w:trPr>
        <w:tc>
          <w:tcPr>
            <w:tcW w:w="1435" w:type="dxa"/>
            <w:shd w:val="clear" w:color="auto" w:fill="C6EFCE"/>
            <w:tcMar>
              <w:left w:w="108" w:type="dxa"/>
              <w:right w:w="108" w:type="dxa"/>
            </w:tcMar>
            <w:vAlign w:val="center"/>
          </w:tcPr>
          <w:p w14:paraId="797F7A40" w14:textId="77777777" w:rsidR="00E42B18" w:rsidRDefault="009629C4">
            <w:pPr>
              <w:pStyle w:val="P68B1DB1-Normal121"/>
              <w:spacing w:after="0" w:line="240" w:lineRule="auto"/>
              <w:jc w:val="center"/>
              <w:rPr>
                <w:noProof/>
              </w:rPr>
            </w:pPr>
            <w:r>
              <w:rPr>
                <w:noProof/>
              </w:rPr>
              <w:t>M1C1–91</w:t>
            </w:r>
          </w:p>
        </w:tc>
        <w:tc>
          <w:tcPr>
            <w:tcW w:w="3543" w:type="dxa"/>
            <w:shd w:val="clear" w:color="auto" w:fill="C6EFCE"/>
            <w:tcMar>
              <w:left w:w="108" w:type="dxa"/>
              <w:right w:w="108" w:type="dxa"/>
            </w:tcMar>
            <w:vAlign w:val="center"/>
          </w:tcPr>
          <w:p w14:paraId="2A81E3E9" w14:textId="77777777" w:rsidR="00E42B18" w:rsidRDefault="009629C4">
            <w:pPr>
              <w:pStyle w:val="P68B1DB1-Normal121"/>
              <w:spacing w:after="0" w:line="240" w:lineRule="auto"/>
              <w:rPr>
                <w:noProof/>
              </w:rPr>
            </w:pPr>
            <w:r>
              <w:rPr>
                <w:noProof/>
              </w:rPr>
              <w:t>Uudistus 1.11: Julkishallinnon ja terveysviranomaisten maksuviivästysten vähentäminen</w:t>
            </w:r>
          </w:p>
        </w:tc>
        <w:tc>
          <w:tcPr>
            <w:tcW w:w="1418" w:type="dxa"/>
            <w:shd w:val="clear" w:color="auto" w:fill="C6EFCE"/>
            <w:tcMar>
              <w:left w:w="108" w:type="dxa"/>
              <w:right w:w="108" w:type="dxa"/>
            </w:tcMar>
            <w:vAlign w:val="center"/>
          </w:tcPr>
          <w:p w14:paraId="54113962"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33D35957" w14:textId="77777777" w:rsidR="00E42B18" w:rsidRDefault="009629C4">
            <w:pPr>
              <w:pStyle w:val="P68B1DB1-Normal121"/>
              <w:spacing w:after="0" w:line="240" w:lineRule="auto"/>
              <w:rPr>
                <w:noProof/>
              </w:rPr>
            </w:pPr>
            <w:r>
              <w:rPr>
                <w:noProof/>
              </w:rPr>
              <w:t>Kansanterveysviranomaisten yrityksille maksamien päivien keskimääräistä määrää vähennetään</w:t>
            </w:r>
          </w:p>
        </w:tc>
      </w:tr>
      <w:tr w:rsidR="00E42B18" w14:paraId="6344D29F" w14:textId="77777777">
        <w:trPr>
          <w:trHeight w:val="300"/>
        </w:trPr>
        <w:tc>
          <w:tcPr>
            <w:tcW w:w="1435" w:type="dxa"/>
            <w:shd w:val="clear" w:color="auto" w:fill="C6EFCE"/>
            <w:tcMar>
              <w:left w:w="108" w:type="dxa"/>
              <w:right w:w="108" w:type="dxa"/>
            </w:tcMar>
            <w:vAlign w:val="center"/>
          </w:tcPr>
          <w:p w14:paraId="6BD77F58" w14:textId="77777777" w:rsidR="00E42B18" w:rsidRDefault="009629C4">
            <w:pPr>
              <w:pStyle w:val="P68B1DB1-Normal121"/>
              <w:spacing w:after="0" w:line="240" w:lineRule="auto"/>
              <w:jc w:val="center"/>
              <w:rPr>
                <w:noProof/>
              </w:rPr>
            </w:pPr>
            <w:r>
              <w:rPr>
                <w:noProof/>
              </w:rPr>
              <w:t>M1C1–117</w:t>
            </w:r>
          </w:p>
        </w:tc>
        <w:tc>
          <w:tcPr>
            <w:tcW w:w="3543" w:type="dxa"/>
            <w:shd w:val="clear" w:color="auto" w:fill="C6EFCE"/>
            <w:tcMar>
              <w:left w:w="108" w:type="dxa"/>
              <w:right w:w="108" w:type="dxa"/>
            </w:tcMar>
            <w:vAlign w:val="center"/>
          </w:tcPr>
          <w:p w14:paraId="453D349A" w14:textId="77777777" w:rsidR="00E42B18" w:rsidRDefault="009629C4">
            <w:pPr>
              <w:pStyle w:val="P68B1DB1-Normal121"/>
              <w:spacing w:after="0" w:line="240" w:lineRule="auto"/>
              <w:rPr>
                <w:noProof/>
              </w:rPr>
            </w:pPr>
            <w:r>
              <w:rPr>
                <w:noProof/>
              </w:rPr>
              <w:t>Uudistus 1.15: Julkisen tilinpidon sääntöjen uudistaminen</w:t>
            </w:r>
          </w:p>
        </w:tc>
        <w:tc>
          <w:tcPr>
            <w:tcW w:w="1418" w:type="dxa"/>
            <w:shd w:val="clear" w:color="auto" w:fill="C6EFCE"/>
            <w:tcMar>
              <w:left w:w="108" w:type="dxa"/>
              <w:right w:w="108" w:type="dxa"/>
            </w:tcMar>
            <w:vAlign w:val="center"/>
          </w:tcPr>
          <w:p w14:paraId="5817C57F"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230072E7" w14:textId="77777777" w:rsidR="00E42B18" w:rsidRDefault="009629C4">
            <w:pPr>
              <w:pStyle w:val="P68B1DB1-Normal121"/>
              <w:spacing w:after="0" w:line="240" w:lineRule="auto"/>
              <w:rPr>
                <w:noProof/>
              </w:rPr>
            </w:pPr>
            <w:r>
              <w:rPr>
                <w:noProof/>
              </w:rPr>
              <w:t>Uuteen suoriteperusteiseen kirjanpitojärjestelmään siirtymistä varten koulutetut julkisyhteisöt</w:t>
            </w:r>
          </w:p>
        </w:tc>
      </w:tr>
      <w:tr w:rsidR="00E42B18" w14:paraId="6D16A281" w14:textId="77777777">
        <w:trPr>
          <w:trHeight w:val="300"/>
        </w:trPr>
        <w:tc>
          <w:tcPr>
            <w:tcW w:w="1435" w:type="dxa"/>
            <w:shd w:val="clear" w:color="auto" w:fill="C6EFCE"/>
            <w:tcMar>
              <w:left w:w="108" w:type="dxa"/>
              <w:right w:w="108" w:type="dxa"/>
            </w:tcMar>
            <w:vAlign w:val="center"/>
          </w:tcPr>
          <w:p w14:paraId="6250FB45" w14:textId="77777777" w:rsidR="00E42B18" w:rsidRDefault="009629C4">
            <w:pPr>
              <w:pStyle w:val="P68B1DB1-Normal121"/>
              <w:spacing w:after="0" w:line="240" w:lineRule="auto"/>
              <w:jc w:val="center"/>
              <w:rPr>
                <w:noProof/>
              </w:rPr>
            </w:pPr>
            <w:r>
              <w:rPr>
                <w:noProof/>
              </w:rPr>
              <w:t>M1C1–119</w:t>
            </w:r>
          </w:p>
        </w:tc>
        <w:tc>
          <w:tcPr>
            <w:tcW w:w="3543" w:type="dxa"/>
            <w:shd w:val="clear" w:color="auto" w:fill="C6EFCE"/>
            <w:tcMar>
              <w:left w:w="108" w:type="dxa"/>
              <w:right w:w="108" w:type="dxa"/>
            </w:tcMar>
            <w:vAlign w:val="center"/>
          </w:tcPr>
          <w:p w14:paraId="57C47A47" w14:textId="77777777" w:rsidR="00E42B18" w:rsidRDefault="009629C4">
            <w:pPr>
              <w:pStyle w:val="P68B1DB1-Normal121"/>
              <w:spacing w:after="0" w:line="240" w:lineRule="auto"/>
              <w:rPr>
                <w:noProof/>
              </w:rPr>
            </w:pPr>
            <w:r>
              <w:rPr>
                <w:noProof/>
              </w:rPr>
              <w:t>Uudistus 1.14: Valtiotasoa alemman tason finanssipoliittisen kehyksen uudistus</w:t>
            </w:r>
          </w:p>
        </w:tc>
        <w:tc>
          <w:tcPr>
            <w:tcW w:w="1418" w:type="dxa"/>
            <w:shd w:val="clear" w:color="auto" w:fill="C6EFCE"/>
            <w:tcMar>
              <w:left w:w="108" w:type="dxa"/>
              <w:right w:w="108" w:type="dxa"/>
            </w:tcMar>
            <w:vAlign w:val="center"/>
          </w:tcPr>
          <w:p w14:paraId="2793EB6F"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70BBBB8A" w14:textId="77777777" w:rsidR="00E42B18" w:rsidRDefault="009629C4">
            <w:pPr>
              <w:pStyle w:val="P68B1DB1-Normal121"/>
              <w:spacing w:after="0" w:line="240" w:lineRule="auto"/>
              <w:rPr>
                <w:noProof/>
              </w:rPr>
            </w:pPr>
            <w:r>
              <w:rPr>
                <w:noProof/>
              </w:rPr>
              <w:t>Alueellista fiskaalista federalismia koskevien parametrien määrittely</w:t>
            </w:r>
          </w:p>
        </w:tc>
      </w:tr>
      <w:tr w:rsidR="00E42B18" w14:paraId="442CDE1C" w14:textId="77777777">
        <w:trPr>
          <w:trHeight w:val="300"/>
        </w:trPr>
        <w:tc>
          <w:tcPr>
            <w:tcW w:w="1435" w:type="dxa"/>
            <w:shd w:val="clear" w:color="auto" w:fill="C6EFCE"/>
            <w:tcMar>
              <w:left w:w="108" w:type="dxa"/>
              <w:right w:w="108" w:type="dxa"/>
            </w:tcMar>
            <w:vAlign w:val="center"/>
          </w:tcPr>
          <w:p w14:paraId="186514FE" w14:textId="77777777" w:rsidR="00E42B18" w:rsidRDefault="009629C4">
            <w:pPr>
              <w:pStyle w:val="P68B1DB1-Normal121"/>
              <w:spacing w:after="0" w:line="240" w:lineRule="auto"/>
              <w:jc w:val="center"/>
              <w:rPr>
                <w:noProof/>
              </w:rPr>
            </w:pPr>
            <w:r>
              <w:rPr>
                <w:noProof/>
              </w:rPr>
              <w:t>M1C1–120</w:t>
            </w:r>
          </w:p>
        </w:tc>
        <w:tc>
          <w:tcPr>
            <w:tcW w:w="3543" w:type="dxa"/>
            <w:shd w:val="clear" w:color="auto" w:fill="C6EFCE"/>
            <w:tcMar>
              <w:left w:w="108" w:type="dxa"/>
              <w:right w:w="108" w:type="dxa"/>
            </w:tcMar>
            <w:vAlign w:val="center"/>
          </w:tcPr>
          <w:p w14:paraId="78E31DED" w14:textId="77777777" w:rsidR="00E42B18" w:rsidRDefault="009629C4">
            <w:pPr>
              <w:pStyle w:val="P68B1DB1-Normal121"/>
              <w:spacing w:after="0" w:line="240" w:lineRule="auto"/>
              <w:rPr>
                <w:noProof/>
              </w:rPr>
            </w:pPr>
            <w:r>
              <w:rPr>
                <w:noProof/>
              </w:rPr>
              <w:t>Uudistus 1.14: Valtiotasoa alemman tason finanssipoliittisen kehyksen uudistus</w:t>
            </w:r>
          </w:p>
        </w:tc>
        <w:tc>
          <w:tcPr>
            <w:tcW w:w="1418" w:type="dxa"/>
            <w:shd w:val="clear" w:color="auto" w:fill="C6EFCE"/>
            <w:tcMar>
              <w:left w:w="108" w:type="dxa"/>
              <w:right w:w="108" w:type="dxa"/>
            </w:tcMar>
            <w:vAlign w:val="center"/>
          </w:tcPr>
          <w:p w14:paraId="3BFFFC24"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6678D268" w14:textId="77777777" w:rsidR="00E42B18" w:rsidRDefault="009629C4">
            <w:pPr>
              <w:pStyle w:val="P68B1DB1-Normal121"/>
              <w:spacing w:after="0" w:line="240" w:lineRule="auto"/>
              <w:rPr>
                <w:noProof/>
              </w:rPr>
            </w:pPr>
            <w:r>
              <w:rPr>
                <w:noProof/>
              </w:rPr>
              <w:t>Maakuntien ja suurkaupunkien fiskaalisen federalismin määrittelevän säädöksen voimaantulo</w:t>
            </w:r>
          </w:p>
        </w:tc>
      </w:tr>
      <w:tr w:rsidR="00E42B18" w14:paraId="16AFD8A5" w14:textId="77777777">
        <w:trPr>
          <w:trHeight w:val="300"/>
        </w:trPr>
        <w:tc>
          <w:tcPr>
            <w:tcW w:w="1435" w:type="dxa"/>
            <w:shd w:val="clear" w:color="auto" w:fill="C6EFCE"/>
            <w:tcMar>
              <w:left w:w="108" w:type="dxa"/>
              <w:right w:w="108" w:type="dxa"/>
            </w:tcMar>
            <w:vAlign w:val="center"/>
          </w:tcPr>
          <w:p w14:paraId="0851BB75" w14:textId="77777777" w:rsidR="00E42B18" w:rsidRDefault="009629C4">
            <w:pPr>
              <w:pStyle w:val="P68B1DB1-Normal121"/>
              <w:spacing w:after="0" w:line="240" w:lineRule="auto"/>
              <w:jc w:val="center"/>
              <w:rPr>
                <w:noProof/>
              </w:rPr>
            </w:pPr>
            <w:r>
              <w:rPr>
                <w:noProof/>
              </w:rPr>
              <w:t>M3C2–6</w:t>
            </w:r>
          </w:p>
        </w:tc>
        <w:tc>
          <w:tcPr>
            <w:tcW w:w="3543" w:type="dxa"/>
            <w:shd w:val="clear" w:color="auto" w:fill="C6EFCE"/>
            <w:tcMar>
              <w:left w:w="108" w:type="dxa"/>
              <w:right w:w="108" w:type="dxa"/>
            </w:tcMar>
            <w:vAlign w:val="center"/>
          </w:tcPr>
          <w:p w14:paraId="42911E77" w14:textId="77777777" w:rsidR="00E42B18" w:rsidRDefault="009629C4">
            <w:pPr>
              <w:pStyle w:val="P68B1DB1-Normal121"/>
              <w:spacing w:after="0" w:line="240" w:lineRule="auto"/>
              <w:rPr>
                <w:noProof/>
              </w:rPr>
            </w:pPr>
            <w:r>
              <w:rPr>
                <w:noProof/>
              </w:rPr>
              <w:t>Investointi 2.2: Ilmaliikenteen hallinnan digitalisointi</w:t>
            </w:r>
          </w:p>
        </w:tc>
        <w:tc>
          <w:tcPr>
            <w:tcW w:w="1418" w:type="dxa"/>
            <w:shd w:val="clear" w:color="auto" w:fill="C6EFCE"/>
            <w:tcMar>
              <w:left w:w="108" w:type="dxa"/>
              <w:right w:w="108" w:type="dxa"/>
            </w:tcMar>
            <w:vAlign w:val="center"/>
          </w:tcPr>
          <w:p w14:paraId="544AA674"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4EE08735" w14:textId="77777777" w:rsidR="00E42B18" w:rsidRDefault="009629C4">
            <w:pPr>
              <w:pStyle w:val="P68B1DB1-Normal121"/>
              <w:spacing w:after="0" w:line="240" w:lineRule="auto"/>
              <w:rPr>
                <w:noProof/>
              </w:rPr>
            </w:pPr>
            <w:r>
              <w:rPr>
                <w:noProof/>
              </w:rPr>
              <w:t>Ilmaliikenteen hallinnan digitalisointi: uusien välineiden käyttöönotto</w:t>
            </w:r>
          </w:p>
        </w:tc>
      </w:tr>
      <w:tr w:rsidR="00E42B18" w14:paraId="278A15EF" w14:textId="77777777">
        <w:trPr>
          <w:trHeight w:val="300"/>
        </w:trPr>
        <w:tc>
          <w:tcPr>
            <w:tcW w:w="1435" w:type="dxa"/>
            <w:shd w:val="clear" w:color="auto" w:fill="C6EFCE"/>
            <w:tcMar>
              <w:left w:w="108" w:type="dxa"/>
              <w:right w:w="108" w:type="dxa"/>
            </w:tcMar>
            <w:vAlign w:val="center"/>
          </w:tcPr>
          <w:p w14:paraId="7316E3FE" w14:textId="77777777" w:rsidR="00E42B18" w:rsidRDefault="009629C4">
            <w:pPr>
              <w:pStyle w:val="P68B1DB1-Normal121"/>
              <w:spacing w:after="0" w:line="240" w:lineRule="auto"/>
              <w:jc w:val="center"/>
              <w:rPr>
                <w:noProof/>
              </w:rPr>
            </w:pPr>
            <w:r>
              <w:rPr>
                <w:noProof/>
              </w:rPr>
              <w:t xml:space="preserve">M5C1–11 </w:t>
            </w:r>
          </w:p>
        </w:tc>
        <w:tc>
          <w:tcPr>
            <w:tcW w:w="3543" w:type="dxa"/>
            <w:shd w:val="clear" w:color="auto" w:fill="C6EFCE"/>
            <w:tcMar>
              <w:left w:w="108" w:type="dxa"/>
              <w:right w:w="108" w:type="dxa"/>
            </w:tcMar>
            <w:vAlign w:val="center"/>
          </w:tcPr>
          <w:p w14:paraId="50356E00" w14:textId="77777777" w:rsidR="00E42B18" w:rsidRDefault="009629C4">
            <w:pPr>
              <w:pStyle w:val="P68B1DB1-Normal121"/>
              <w:spacing w:after="0" w:line="240" w:lineRule="auto"/>
              <w:rPr>
                <w:noProof/>
              </w:rPr>
            </w:pPr>
            <w:r>
              <w:rPr>
                <w:noProof/>
              </w:rPr>
              <w:t xml:space="preserve">Uudistus 2 – Ilmoittamaton työ </w:t>
            </w:r>
          </w:p>
        </w:tc>
        <w:tc>
          <w:tcPr>
            <w:tcW w:w="1418" w:type="dxa"/>
            <w:shd w:val="clear" w:color="auto" w:fill="C6EFCE"/>
            <w:tcMar>
              <w:left w:w="108" w:type="dxa"/>
              <w:right w:w="108" w:type="dxa"/>
            </w:tcMar>
            <w:vAlign w:val="center"/>
          </w:tcPr>
          <w:p w14:paraId="2CC9D10A"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55653AB5" w14:textId="77777777" w:rsidR="00E42B18" w:rsidRDefault="009629C4">
            <w:pPr>
              <w:pStyle w:val="P68B1DB1-Normal121"/>
              <w:spacing w:after="0" w:line="240" w:lineRule="auto"/>
              <w:rPr>
                <w:noProof/>
              </w:rPr>
            </w:pPr>
            <w:r>
              <w:rPr>
                <w:noProof/>
              </w:rPr>
              <w:t>Toteutetaan toimia pimeän työn torjumiseksi</w:t>
            </w:r>
          </w:p>
        </w:tc>
      </w:tr>
      <w:tr w:rsidR="00E42B18" w14:paraId="4762CBB4" w14:textId="77777777">
        <w:trPr>
          <w:trHeight w:val="300"/>
        </w:trPr>
        <w:tc>
          <w:tcPr>
            <w:tcW w:w="1435" w:type="dxa"/>
            <w:shd w:val="clear" w:color="auto" w:fill="C6EFCE"/>
            <w:tcMar>
              <w:left w:w="108" w:type="dxa"/>
              <w:right w:w="108" w:type="dxa"/>
            </w:tcMar>
            <w:vAlign w:val="center"/>
          </w:tcPr>
          <w:p w14:paraId="7778460A" w14:textId="77777777" w:rsidR="00E42B18" w:rsidRDefault="009629C4">
            <w:pPr>
              <w:pStyle w:val="P68B1DB1-Normal121"/>
              <w:spacing w:after="0" w:line="240" w:lineRule="auto"/>
              <w:jc w:val="center"/>
              <w:rPr>
                <w:noProof/>
              </w:rPr>
            </w:pPr>
            <w:r>
              <w:rPr>
                <w:noProof/>
              </w:rPr>
              <w:t>M3C2–12</w:t>
            </w:r>
          </w:p>
        </w:tc>
        <w:tc>
          <w:tcPr>
            <w:tcW w:w="3543" w:type="dxa"/>
            <w:shd w:val="clear" w:color="auto" w:fill="C6EFCE"/>
            <w:tcMar>
              <w:left w:w="108" w:type="dxa"/>
              <w:right w:w="108" w:type="dxa"/>
            </w:tcMar>
            <w:vAlign w:val="center"/>
          </w:tcPr>
          <w:p w14:paraId="5C23F421" w14:textId="77777777" w:rsidR="00E42B18" w:rsidRDefault="009629C4">
            <w:pPr>
              <w:pStyle w:val="P68B1DB1-Normal121"/>
              <w:spacing w:after="0" w:line="240" w:lineRule="auto"/>
              <w:rPr>
                <w:noProof/>
              </w:rPr>
            </w:pPr>
            <w:r>
              <w:rPr>
                <w:noProof/>
              </w:rPr>
              <w:t xml:space="preserve">Investointi 2.3: Kylmäsilitys </w:t>
            </w:r>
          </w:p>
        </w:tc>
        <w:tc>
          <w:tcPr>
            <w:tcW w:w="1418" w:type="dxa"/>
            <w:shd w:val="clear" w:color="auto" w:fill="C6EFCE"/>
            <w:tcMar>
              <w:left w:w="108" w:type="dxa"/>
              <w:right w:w="108" w:type="dxa"/>
            </w:tcMar>
            <w:vAlign w:val="center"/>
          </w:tcPr>
          <w:p w14:paraId="6A5971A0"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0468E696" w14:textId="77777777" w:rsidR="00E42B18" w:rsidRDefault="009629C4">
            <w:pPr>
              <w:pStyle w:val="P68B1DB1-Normal121"/>
              <w:spacing w:after="0" w:line="240" w:lineRule="auto"/>
              <w:rPr>
                <w:noProof/>
              </w:rPr>
            </w:pPr>
            <w:r>
              <w:rPr>
                <w:noProof/>
              </w:rPr>
              <w:t xml:space="preserve">Rakennustöiden loppuun saattaminen ja liitäntäkustannuksia koskevien arvioiden hyväksyminen hankkeen toteuttajassa kylmäsilitysinfrastruktuuria varten </w:t>
            </w:r>
          </w:p>
        </w:tc>
      </w:tr>
      <w:tr w:rsidR="00E42B18" w14:paraId="1440FBF4" w14:textId="77777777">
        <w:trPr>
          <w:trHeight w:val="300"/>
        </w:trPr>
        <w:tc>
          <w:tcPr>
            <w:tcW w:w="1435" w:type="dxa"/>
            <w:shd w:val="clear" w:color="auto" w:fill="C6EFCE"/>
            <w:tcMar>
              <w:left w:w="108" w:type="dxa"/>
              <w:right w:w="108" w:type="dxa"/>
            </w:tcMar>
            <w:vAlign w:val="center"/>
          </w:tcPr>
          <w:p w14:paraId="342D8F9C" w14:textId="77777777" w:rsidR="00E42B18" w:rsidRDefault="009629C4">
            <w:pPr>
              <w:pStyle w:val="P68B1DB1-Normal121"/>
              <w:spacing w:after="0" w:line="240" w:lineRule="auto"/>
              <w:jc w:val="center"/>
              <w:rPr>
                <w:noProof/>
              </w:rPr>
            </w:pPr>
            <w:r>
              <w:rPr>
                <w:noProof/>
              </w:rPr>
              <w:t>M1C1–26</w:t>
            </w:r>
          </w:p>
        </w:tc>
        <w:tc>
          <w:tcPr>
            <w:tcW w:w="3543" w:type="dxa"/>
            <w:shd w:val="clear" w:color="auto" w:fill="C6EFCE"/>
            <w:tcMar>
              <w:left w:w="108" w:type="dxa"/>
              <w:right w:w="108" w:type="dxa"/>
            </w:tcMar>
            <w:vAlign w:val="center"/>
          </w:tcPr>
          <w:p w14:paraId="52EB17A2" w14:textId="77777777" w:rsidR="00E42B18" w:rsidRDefault="009629C4">
            <w:pPr>
              <w:pStyle w:val="P68B1DB1-Normal121"/>
              <w:spacing w:after="0" w:line="240" w:lineRule="auto"/>
              <w:rPr>
                <w:noProof/>
              </w:rPr>
            </w:pPr>
            <w:r>
              <w:rPr>
                <w:noProof/>
              </w:rPr>
              <w:t>Investointi 1.1: Digitaalinen infrastruktuuri</w:t>
            </w:r>
          </w:p>
        </w:tc>
        <w:tc>
          <w:tcPr>
            <w:tcW w:w="1418" w:type="dxa"/>
            <w:shd w:val="clear" w:color="auto" w:fill="C6EFCE"/>
            <w:tcMar>
              <w:left w:w="108" w:type="dxa"/>
              <w:right w:w="108" w:type="dxa"/>
            </w:tcMar>
            <w:vAlign w:val="center"/>
          </w:tcPr>
          <w:p w14:paraId="1FF67207"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4C8137A8" w14:textId="77777777" w:rsidR="00E42B18" w:rsidRDefault="009629C4">
            <w:pPr>
              <w:pStyle w:val="P68B1DB1-Normal121"/>
              <w:spacing w:after="0" w:line="240" w:lineRule="auto"/>
              <w:rPr>
                <w:noProof/>
              </w:rPr>
            </w:pPr>
            <w:r>
              <w:rPr>
                <w:noProof/>
              </w:rPr>
              <w:t>Siirtyminen Polo Strategico Nazionaleen tai turvalliseen, sertifioituun julkiseen pilviympäristöön</w:t>
            </w:r>
          </w:p>
        </w:tc>
      </w:tr>
      <w:tr w:rsidR="00E42B18" w14:paraId="67F0AECA" w14:textId="77777777">
        <w:trPr>
          <w:trHeight w:val="300"/>
        </w:trPr>
        <w:tc>
          <w:tcPr>
            <w:tcW w:w="1435" w:type="dxa"/>
            <w:shd w:val="clear" w:color="auto" w:fill="C6EFCE"/>
            <w:tcMar>
              <w:left w:w="108" w:type="dxa"/>
              <w:right w:w="108" w:type="dxa"/>
            </w:tcMar>
            <w:vAlign w:val="center"/>
          </w:tcPr>
          <w:p w14:paraId="1C0E83E7" w14:textId="77777777" w:rsidR="00E42B18" w:rsidRDefault="009629C4">
            <w:pPr>
              <w:pStyle w:val="P68B1DB1-Normal121"/>
              <w:spacing w:after="0" w:line="240" w:lineRule="auto"/>
              <w:jc w:val="center"/>
              <w:rPr>
                <w:noProof/>
              </w:rPr>
            </w:pPr>
            <w:r>
              <w:rPr>
                <w:noProof/>
              </w:rPr>
              <w:t>M1C1–28</w:t>
            </w:r>
          </w:p>
        </w:tc>
        <w:tc>
          <w:tcPr>
            <w:tcW w:w="3543" w:type="dxa"/>
            <w:shd w:val="clear" w:color="auto" w:fill="C6EFCE"/>
            <w:tcMar>
              <w:left w:w="108" w:type="dxa"/>
              <w:right w:w="108" w:type="dxa"/>
            </w:tcMar>
            <w:vAlign w:val="center"/>
          </w:tcPr>
          <w:p w14:paraId="73E6FA99" w14:textId="77777777" w:rsidR="00E42B18" w:rsidRDefault="009629C4">
            <w:pPr>
              <w:pStyle w:val="P68B1DB1-Normal121"/>
              <w:spacing w:after="0" w:line="240" w:lineRule="auto"/>
              <w:rPr>
                <w:noProof/>
              </w:rPr>
            </w:pPr>
            <w:r>
              <w:rPr>
                <w:noProof/>
              </w:rPr>
              <w:t>Investointi 1.7.2: Digitaalisten neuvontapalvelujen verkosto</w:t>
            </w:r>
          </w:p>
        </w:tc>
        <w:tc>
          <w:tcPr>
            <w:tcW w:w="1418" w:type="dxa"/>
            <w:shd w:val="clear" w:color="auto" w:fill="C6EFCE"/>
            <w:tcMar>
              <w:left w:w="108" w:type="dxa"/>
              <w:right w:w="108" w:type="dxa"/>
            </w:tcMar>
            <w:vAlign w:val="center"/>
          </w:tcPr>
          <w:p w14:paraId="7F28BCEF"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58E518AE" w14:textId="77777777" w:rsidR="00E42B18" w:rsidRDefault="009629C4">
            <w:pPr>
              <w:pStyle w:val="P68B1DB1-Normal121"/>
              <w:spacing w:after="0" w:line="240" w:lineRule="auto"/>
              <w:rPr>
                <w:noProof/>
              </w:rPr>
            </w:pPr>
            <w:r>
              <w:rPr>
                <w:noProof/>
              </w:rPr>
              <w:t>Niiden kansalaisten lukumäärä, jotka osallistuvat digitaalisten tukikeskusten tarjoamiin digitaaliseen koulutukseen ja/tai helpottamisaloitteisiin</w:t>
            </w:r>
          </w:p>
        </w:tc>
      </w:tr>
      <w:tr w:rsidR="00E42B18" w14:paraId="101E5362" w14:textId="77777777">
        <w:trPr>
          <w:trHeight w:val="300"/>
        </w:trPr>
        <w:tc>
          <w:tcPr>
            <w:tcW w:w="1435" w:type="dxa"/>
            <w:shd w:val="clear" w:color="auto" w:fill="C6EFCE"/>
            <w:tcMar>
              <w:left w:w="108" w:type="dxa"/>
              <w:right w:w="108" w:type="dxa"/>
            </w:tcMar>
            <w:vAlign w:val="center"/>
          </w:tcPr>
          <w:p w14:paraId="176E6496" w14:textId="77777777" w:rsidR="00E42B18" w:rsidRDefault="009629C4">
            <w:pPr>
              <w:pStyle w:val="P68B1DB1-Normal121"/>
              <w:spacing w:after="0" w:line="240" w:lineRule="auto"/>
              <w:jc w:val="center"/>
              <w:rPr>
                <w:noProof/>
              </w:rPr>
            </w:pPr>
            <w:r>
              <w:rPr>
                <w:noProof/>
              </w:rPr>
              <w:t>M1C1–45</w:t>
            </w:r>
          </w:p>
        </w:tc>
        <w:tc>
          <w:tcPr>
            <w:tcW w:w="3543" w:type="dxa"/>
            <w:shd w:val="clear" w:color="auto" w:fill="C6EFCE"/>
            <w:tcMar>
              <w:left w:w="108" w:type="dxa"/>
              <w:right w:w="108" w:type="dxa"/>
            </w:tcMar>
            <w:vAlign w:val="center"/>
          </w:tcPr>
          <w:p w14:paraId="011582DF" w14:textId="77777777" w:rsidR="00E42B18" w:rsidRDefault="009629C4">
            <w:pPr>
              <w:pStyle w:val="P68B1DB1-Normal121"/>
              <w:spacing w:after="0" w:line="240" w:lineRule="auto"/>
              <w:rPr>
                <w:noProof/>
              </w:rPr>
            </w:pPr>
            <w:r>
              <w:rPr>
                <w:noProof/>
              </w:rPr>
              <w:t>Uudistus 1.4: Siviilioikeuden uudistaminen</w:t>
            </w:r>
          </w:p>
        </w:tc>
        <w:tc>
          <w:tcPr>
            <w:tcW w:w="1418" w:type="dxa"/>
            <w:shd w:val="clear" w:color="auto" w:fill="C6EFCE"/>
            <w:tcMar>
              <w:left w:w="108" w:type="dxa"/>
              <w:right w:w="108" w:type="dxa"/>
            </w:tcMar>
            <w:vAlign w:val="center"/>
          </w:tcPr>
          <w:p w14:paraId="314A5737"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0C00A749" w14:textId="77777777" w:rsidR="00E42B18" w:rsidRDefault="009629C4">
            <w:pPr>
              <w:pStyle w:val="P68B1DB1-Normal121"/>
              <w:spacing w:after="0" w:line="240" w:lineRule="auto"/>
              <w:rPr>
                <w:noProof/>
              </w:rPr>
            </w:pPr>
            <w:r>
              <w:rPr>
                <w:noProof/>
              </w:rPr>
              <w:t>Siviilioikeudellisten menettelyjen keston lyhentäminen</w:t>
            </w:r>
          </w:p>
        </w:tc>
      </w:tr>
      <w:tr w:rsidR="00E42B18" w14:paraId="3E44B9EC" w14:textId="77777777">
        <w:trPr>
          <w:trHeight w:val="300"/>
        </w:trPr>
        <w:tc>
          <w:tcPr>
            <w:tcW w:w="1435" w:type="dxa"/>
            <w:shd w:val="clear" w:color="auto" w:fill="C6EFCE"/>
            <w:tcMar>
              <w:left w:w="108" w:type="dxa"/>
              <w:right w:w="108" w:type="dxa"/>
            </w:tcMar>
            <w:vAlign w:val="center"/>
          </w:tcPr>
          <w:p w14:paraId="767186BD" w14:textId="77777777" w:rsidR="00E42B18" w:rsidRDefault="009629C4">
            <w:pPr>
              <w:pStyle w:val="P68B1DB1-Normal121"/>
              <w:spacing w:after="0" w:line="240" w:lineRule="auto"/>
              <w:jc w:val="center"/>
              <w:rPr>
                <w:noProof/>
              </w:rPr>
            </w:pPr>
            <w:r>
              <w:rPr>
                <w:noProof/>
              </w:rPr>
              <w:t>M1C1–46</w:t>
            </w:r>
          </w:p>
        </w:tc>
        <w:tc>
          <w:tcPr>
            <w:tcW w:w="3543" w:type="dxa"/>
            <w:shd w:val="clear" w:color="auto" w:fill="C6EFCE"/>
            <w:tcMar>
              <w:left w:w="108" w:type="dxa"/>
              <w:right w:w="108" w:type="dxa"/>
            </w:tcMar>
            <w:vAlign w:val="center"/>
          </w:tcPr>
          <w:p w14:paraId="7C4B08B0" w14:textId="77777777" w:rsidR="00E42B18" w:rsidRDefault="009629C4">
            <w:pPr>
              <w:pStyle w:val="P68B1DB1-Normal121"/>
              <w:spacing w:after="0" w:line="240" w:lineRule="auto"/>
              <w:rPr>
                <w:noProof/>
              </w:rPr>
            </w:pPr>
            <w:r>
              <w:rPr>
                <w:noProof/>
              </w:rPr>
              <w:t>Uudistus1.5: Rikosoikeuden uudistaminen</w:t>
            </w:r>
          </w:p>
        </w:tc>
        <w:tc>
          <w:tcPr>
            <w:tcW w:w="1418" w:type="dxa"/>
            <w:shd w:val="clear" w:color="auto" w:fill="C6EFCE"/>
            <w:tcMar>
              <w:left w:w="108" w:type="dxa"/>
              <w:right w:w="108" w:type="dxa"/>
            </w:tcMar>
            <w:vAlign w:val="center"/>
          </w:tcPr>
          <w:p w14:paraId="6599527A"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45FE0CFA" w14:textId="77777777" w:rsidR="00E42B18" w:rsidRDefault="009629C4">
            <w:pPr>
              <w:pStyle w:val="P68B1DB1-Normal121"/>
              <w:spacing w:after="0" w:line="240" w:lineRule="auto"/>
              <w:rPr>
                <w:noProof/>
              </w:rPr>
            </w:pPr>
            <w:r>
              <w:rPr>
                <w:noProof/>
              </w:rPr>
              <w:t>Rikosoikeudellisten menettelyjen keston lyhentäminen</w:t>
            </w:r>
          </w:p>
        </w:tc>
      </w:tr>
      <w:tr w:rsidR="00E42B18" w14:paraId="20DAFFAF" w14:textId="77777777">
        <w:trPr>
          <w:trHeight w:val="300"/>
        </w:trPr>
        <w:tc>
          <w:tcPr>
            <w:tcW w:w="1435" w:type="dxa"/>
            <w:shd w:val="clear" w:color="auto" w:fill="C6EFCE"/>
            <w:tcMar>
              <w:left w:w="108" w:type="dxa"/>
              <w:right w:w="108" w:type="dxa"/>
            </w:tcMar>
            <w:vAlign w:val="center"/>
          </w:tcPr>
          <w:p w14:paraId="6D9D6A2C" w14:textId="77777777" w:rsidR="00E42B18" w:rsidRDefault="009629C4">
            <w:pPr>
              <w:pStyle w:val="P68B1DB1-Normal121"/>
              <w:spacing w:after="0" w:line="240" w:lineRule="auto"/>
              <w:jc w:val="center"/>
              <w:rPr>
                <w:noProof/>
              </w:rPr>
            </w:pPr>
            <w:r>
              <w:rPr>
                <w:noProof/>
              </w:rPr>
              <w:t>M1C1–47</w:t>
            </w:r>
          </w:p>
        </w:tc>
        <w:tc>
          <w:tcPr>
            <w:tcW w:w="3543" w:type="dxa"/>
            <w:shd w:val="clear" w:color="auto" w:fill="C6EFCE"/>
            <w:tcMar>
              <w:left w:w="108" w:type="dxa"/>
              <w:right w:w="108" w:type="dxa"/>
            </w:tcMar>
            <w:vAlign w:val="center"/>
          </w:tcPr>
          <w:p w14:paraId="4AFF1936" w14:textId="77777777" w:rsidR="00E42B18" w:rsidRDefault="009629C4">
            <w:pPr>
              <w:pStyle w:val="P68B1DB1-Normal121"/>
              <w:spacing w:after="0" w:line="240" w:lineRule="auto"/>
              <w:rPr>
                <w:noProof/>
              </w:rPr>
            </w:pPr>
            <w:r>
              <w:rPr>
                <w:noProof/>
              </w:rPr>
              <w:t>Uudistus 1.4: Siviilioikeuden uudistaminen</w:t>
            </w:r>
          </w:p>
        </w:tc>
        <w:tc>
          <w:tcPr>
            <w:tcW w:w="1418" w:type="dxa"/>
            <w:shd w:val="clear" w:color="auto" w:fill="C6EFCE"/>
            <w:tcMar>
              <w:left w:w="108" w:type="dxa"/>
              <w:right w:w="108" w:type="dxa"/>
            </w:tcMar>
            <w:vAlign w:val="center"/>
          </w:tcPr>
          <w:p w14:paraId="377716F1"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6EB7EBB9" w14:textId="77777777" w:rsidR="00E42B18" w:rsidRDefault="009629C4">
            <w:pPr>
              <w:pStyle w:val="P68B1DB1-Normal121"/>
              <w:spacing w:after="0" w:line="240" w:lineRule="auto"/>
              <w:rPr>
                <w:noProof/>
              </w:rPr>
            </w:pPr>
            <w:r>
              <w:rPr>
                <w:noProof/>
              </w:rPr>
              <w:t>Yleisten siviilituomioistuinten (ensimmäisen oikeusasteen) käsittelyruuhkan vähentäminen</w:t>
            </w:r>
          </w:p>
        </w:tc>
      </w:tr>
      <w:tr w:rsidR="00E42B18" w14:paraId="214E2254" w14:textId="77777777">
        <w:trPr>
          <w:trHeight w:val="300"/>
        </w:trPr>
        <w:tc>
          <w:tcPr>
            <w:tcW w:w="1435" w:type="dxa"/>
            <w:shd w:val="clear" w:color="auto" w:fill="C6EFCE"/>
            <w:tcMar>
              <w:left w:w="108" w:type="dxa"/>
              <w:right w:w="108" w:type="dxa"/>
            </w:tcMar>
            <w:vAlign w:val="center"/>
          </w:tcPr>
          <w:p w14:paraId="0C8FB093" w14:textId="77777777" w:rsidR="00E42B18" w:rsidRDefault="009629C4">
            <w:pPr>
              <w:pStyle w:val="P68B1DB1-Normal121"/>
              <w:spacing w:after="0" w:line="240" w:lineRule="auto"/>
              <w:jc w:val="center"/>
              <w:rPr>
                <w:noProof/>
              </w:rPr>
            </w:pPr>
            <w:r>
              <w:rPr>
                <w:noProof/>
              </w:rPr>
              <w:t>M1C1–48</w:t>
            </w:r>
          </w:p>
        </w:tc>
        <w:tc>
          <w:tcPr>
            <w:tcW w:w="3543" w:type="dxa"/>
            <w:shd w:val="clear" w:color="auto" w:fill="C6EFCE"/>
            <w:tcMar>
              <w:left w:w="108" w:type="dxa"/>
              <w:right w:w="108" w:type="dxa"/>
            </w:tcMar>
            <w:vAlign w:val="center"/>
          </w:tcPr>
          <w:p w14:paraId="7F759C43" w14:textId="77777777" w:rsidR="00E42B18" w:rsidRDefault="009629C4">
            <w:pPr>
              <w:pStyle w:val="P68B1DB1-Normal121"/>
              <w:spacing w:after="0" w:line="240" w:lineRule="auto"/>
              <w:rPr>
                <w:noProof/>
              </w:rPr>
            </w:pPr>
            <w:r>
              <w:rPr>
                <w:noProof/>
              </w:rPr>
              <w:t>Uudistus 1.4: Siviilioikeuden uudistaminen</w:t>
            </w:r>
          </w:p>
        </w:tc>
        <w:tc>
          <w:tcPr>
            <w:tcW w:w="1418" w:type="dxa"/>
            <w:shd w:val="clear" w:color="auto" w:fill="C6EFCE"/>
            <w:tcMar>
              <w:left w:w="108" w:type="dxa"/>
              <w:right w:w="108" w:type="dxa"/>
            </w:tcMar>
            <w:vAlign w:val="center"/>
          </w:tcPr>
          <w:p w14:paraId="5DF8C4A1"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2B9C2BEE" w14:textId="77777777" w:rsidR="00E42B18" w:rsidRDefault="009629C4">
            <w:pPr>
              <w:pStyle w:val="P68B1DB1-Normal121"/>
              <w:spacing w:after="0" w:line="240" w:lineRule="auto"/>
              <w:rPr>
                <w:noProof/>
              </w:rPr>
            </w:pPr>
            <w:r>
              <w:rPr>
                <w:noProof/>
              </w:rPr>
              <w:t>Siviiliasioita käsittelevän muutoksenhakutuomioistuimen (toinen oikeusaste) käsittelyruuhkan vähentäminen</w:t>
            </w:r>
          </w:p>
        </w:tc>
      </w:tr>
      <w:tr w:rsidR="00E42B18" w14:paraId="72C3C981" w14:textId="77777777">
        <w:trPr>
          <w:trHeight w:val="300"/>
        </w:trPr>
        <w:tc>
          <w:tcPr>
            <w:tcW w:w="1435" w:type="dxa"/>
            <w:shd w:val="clear" w:color="auto" w:fill="C6EFCE"/>
            <w:tcMar>
              <w:left w:w="108" w:type="dxa"/>
              <w:right w:w="108" w:type="dxa"/>
            </w:tcMar>
            <w:vAlign w:val="center"/>
          </w:tcPr>
          <w:p w14:paraId="4D87B453" w14:textId="77777777" w:rsidR="00E42B18" w:rsidRDefault="009629C4">
            <w:pPr>
              <w:pStyle w:val="P68B1DB1-Normal121"/>
              <w:spacing w:after="0" w:line="240" w:lineRule="auto"/>
              <w:jc w:val="center"/>
              <w:rPr>
                <w:noProof/>
              </w:rPr>
            </w:pPr>
            <w:r>
              <w:rPr>
                <w:noProof/>
              </w:rPr>
              <w:t>M1C1–49</w:t>
            </w:r>
          </w:p>
        </w:tc>
        <w:tc>
          <w:tcPr>
            <w:tcW w:w="3543" w:type="dxa"/>
            <w:shd w:val="clear" w:color="auto" w:fill="C6EFCE"/>
            <w:tcMar>
              <w:left w:w="108" w:type="dxa"/>
              <w:right w:w="108" w:type="dxa"/>
            </w:tcMar>
            <w:vAlign w:val="center"/>
          </w:tcPr>
          <w:p w14:paraId="6A1DBCC0" w14:textId="77777777" w:rsidR="00E42B18" w:rsidRDefault="009629C4">
            <w:pPr>
              <w:pStyle w:val="P68B1DB1-Normal121"/>
              <w:spacing w:after="0" w:line="240" w:lineRule="auto"/>
              <w:rPr>
                <w:noProof/>
              </w:rPr>
            </w:pPr>
            <w:r>
              <w:rPr>
                <w:noProof/>
              </w:rPr>
              <w:t>Investointi 1.8: Hallintotuomioistuinten palvelukseenottomenettelyt</w:t>
            </w:r>
          </w:p>
        </w:tc>
        <w:tc>
          <w:tcPr>
            <w:tcW w:w="1418" w:type="dxa"/>
            <w:shd w:val="clear" w:color="auto" w:fill="C6EFCE"/>
            <w:tcMar>
              <w:left w:w="108" w:type="dxa"/>
              <w:right w:w="108" w:type="dxa"/>
            </w:tcMar>
            <w:vAlign w:val="center"/>
          </w:tcPr>
          <w:p w14:paraId="11DF0179"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33482BC4" w14:textId="77777777" w:rsidR="00E42B18" w:rsidRDefault="009629C4">
            <w:pPr>
              <w:pStyle w:val="P68B1DB1-Normal121"/>
              <w:spacing w:after="0" w:line="240" w:lineRule="auto"/>
              <w:rPr>
                <w:noProof/>
              </w:rPr>
            </w:pPr>
            <w:r>
              <w:rPr>
                <w:noProof/>
              </w:rPr>
              <w:t>Hallinnollisten aluetuomioistuinten (ensimmäisen oikeusasteen) käsittelyruuhkan vähentäminen</w:t>
            </w:r>
          </w:p>
        </w:tc>
      </w:tr>
      <w:tr w:rsidR="00E42B18" w14:paraId="344E5757" w14:textId="77777777">
        <w:trPr>
          <w:trHeight w:val="300"/>
        </w:trPr>
        <w:tc>
          <w:tcPr>
            <w:tcW w:w="1435" w:type="dxa"/>
            <w:shd w:val="clear" w:color="auto" w:fill="C6EFCE"/>
            <w:tcMar>
              <w:left w:w="108" w:type="dxa"/>
              <w:right w:w="108" w:type="dxa"/>
            </w:tcMar>
            <w:vAlign w:val="center"/>
          </w:tcPr>
          <w:p w14:paraId="5C1648C1" w14:textId="77777777" w:rsidR="00E42B18" w:rsidRDefault="009629C4">
            <w:pPr>
              <w:pStyle w:val="P68B1DB1-Normal121"/>
              <w:spacing w:after="0" w:line="240" w:lineRule="auto"/>
              <w:jc w:val="center"/>
              <w:rPr>
                <w:noProof/>
              </w:rPr>
            </w:pPr>
            <w:r>
              <w:rPr>
                <w:noProof/>
              </w:rPr>
              <w:t>M1C1–50</w:t>
            </w:r>
          </w:p>
        </w:tc>
        <w:tc>
          <w:tcPr>
            <w:tcW w:w="3543" w:type="dxa"/>
            <w:shd w:val="clear" w:color="auto" w:fill="C6EFCE"/>
            <w:tcMar>
              <w:left w:w="108" w:type="dxa"/>
              <w:right w:w="108" w:type="dxa"/>
            </w:tcMar>
            <w:vAlign w:val="center"/>
          </w:tcPr>
          <w:p w14:paraId="5DF20DB8" w14:textId="77777777" w:rsidR="00E42B18" w:rsidRDefault="009629C4">
            <w:pPr>
              <w:pStyle w:val="P68B1DB1-Normal121"/>
              <w:spacing w:after="0" w:line="240" w:lineRule="auto"/>
              <w:rPr>
                <w:noProof/>
              </w:rPr>
            </w:pPr>
            <w:r>
              <w:rPr>
                <w:noProof/>
              </w:rPr>
              <w:t>Investointi 1.8: Hallintotuomioistuinten palvelukseenottomenettelyt</w:t>
            </w:r>
          </w:p>
        </w:tc>
        <w:tc>
          <w:tcPr>
            <w:tcW w:w="1418" w:type="dxa"/>
            <w:shd w:val="clear" w:color="auto" w:fill="C6EFCE"/>
            <w:tcMar>
              <w:left w:w="108" w:type="dxa"/>
              <w:right w:w="108" w:type="dxa"/>
            </w:tcMar>
            <w:vAlign w:val="center"/>
          </w:tcPr>
          <w:p w14:paraId="2A05447B"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2720E718" w14:textId="77777777" w:rsidR="00E42B18" w:rsidRDefault="009629C4">
            <w:pPr>
              <w:pStyle w:val="P68B1DB1-Normal121"/>
              <w:spacing w:after="0" w:line="240" w:lineRule="auto"/>
              <w:rPr>
                <w:noProof/>
              </w:rPr>
            </w:pPr>
            <w:r>
              <w:rPr>
                <w:noProof/>
              </w:rPr>
              <w:t>Kasaantuneiden asioiden suman vähentäminen korkeimman hallinto-oikeuden osalta</w:t>
            </w:r>
          </w:p>
        </w:tc>
      </w:tr>
      <w:tr w:rsidR="00E42B18" w14:paraId="43A7E528" w14:textId="77777777">
        <w:trPr>
          <w:trHeight w:val="300"/>
        </w:trPr>
        <w:tc>
          <w:tcPr>
            <w:tcW w:w="1435" w:type="dxa"/>
            <w:shd w:val="clear" w:color="auto" w:fill="C6EFCE"/>
            <w:tcMar>
              <w:left w:w="108" w:type="dxa"/>
              <w:right w:w="108" w:type="dxa"/>
            </w:tcMar>
            <w:vAlign w:val="center"/>
          </w:tcPr>
          <w:p w14:paraId="3C79735B" w14:textId="77777777" w:rsidR="00E42B18" w:rsidRDefault="009629C4">
            <w:pPr>
              <w:pStyle w:val="P68B1DB1-Normal121"/>
              <w:spacing w:after="0" w:line="240" w:lineRule="auto"/>
              <w:jc w:val="center"/>
              <w:rPr>
                <w:noProof/>
              </w:rPr>
            </w:pPr>
            <w:r>
              <w:rPr>
                <w:noProof/>
              </w:rPr>
              <w:t>M1C1–59ter</w:t>
            </w:r>
          </w:p>
        </w:tc>
        <w:tc>
          <w:tcPr>
            <w:tcW w:w="3543" w:type="dxa"/>
            <w:shd w:val="clear" w:color="auto" w:fill="C6EFCE"/>
            <w:tcMar>
              <w:left w:w="108" w:type="dxa"/>
              <w:right w:w="108" w:type="dxa"/>
            </w:tcMar>
            <w:vAlign w:val="center"/>
          </w:tcPr>
          <w:p w14:paraId="1A4B403B" w14:textId="77777777" w:rsidR="00E42B18" w:rsidRDefault="009629C4">
            <w:pPr>
              <w:pStyle w:val="P68B1DB1-Normal121"/>
              <w:spacing w:after="0" w:line="240" w:lineRule="auto"/>
              <w:rPr>
                <w:noProof/>
              </w:rPr>
            </w:pPr>
            <w:r>
              <w:rPr>
                <w:noProof/>
              </w:rPr>
              <w:t>Uudistus 1.9: Julkishallinnon uudistaminen</w:t>
            </w:r>
          </w:p>
        </w:tc>
        <w:tc>
          <w:tcPr>
            <w:tcW w:w="1418" w:type="dxa"/>
            <w:shd w:val="clear" w:color="auto" w:fill="C6EFCE"/>
            <w:tcMar>
              <w:left w:w="108" w:type="dxa"/>
              <w:right w:w="108" w:type="dxa"/>
            </w:tcMar>
            <w:vAlign w:val="center"/>
          </w:tcPr>
          <w:p w14:paraId="53EBC690"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172D65D2" w14:textId="77777777" w:rsidR="00E42B18" w:rsidRDefault="009629C4">
            <w:pPr>
              <w:pStyle w:val="P68B1DB1-Normal121"/>
              <w:spacing w:after="0" w:line="240" w:lineRule="auto"/>
              <w:rPr>
                <w:noProof/>
              </w:rPr>
            </w:pPr>
            <w:r>
              <w:rPr>
                <w:noProof/>
              </w:rPr>
              <w:t xml:space="preserve"> Strategisen henkilöstöhallinnon täytäntöönpano julkishallinnossa  </w:t>
            </w:r>
          </w:p>
        </w:tc>
      </w:tr>
      <w:tr w:rsidR="00E42B18" w14:paraId="43D88BFB" w14:textId="77777777">
        <w:trPr>
          <w:trHeight w:val="300"/>
        </w:trPr>
        <w:tc>
          <w:tcPr>
            <w:tcW w:w="1435" w:type="dxa"/>
            <w:shd w:val="clear" w:color="auto" w:fill="C6EFCE"/>
            <w:tcMar>
              <w:left w:w="108" w:type="dxa"/>
              <w:right w:w="108" w:type="dxa"/>
            </w:tcMar>
            <w:vAlign w:val="center"/>
          </w:tcPr>
          <w:p w14:paraId="1B0F0E65" w14:textId="77777777" w:rsidR="00E42B18" w:rsidRDefault="009629C4">
            <w:pPr>
              <w:pStyle w:val="P68B1DB1-Normal121"/>
              <w:spacing w:after="0" w:line="240" w:lineRule="auto"/>
              <w:jc w:val="center"/>
              <w:rPr>
                <w:noProof/>
              </w:rPr>
            </w:pPr>
            <w:r>
              <w:rPr>
                <w:noProof/>
              </w:rPr>
              <w:t>M1C1–63</w:t>
            </w:r>
          </w:p>
        </w:tc>
        <w:tc>
          <w:tcPr>
            <w:tcW w:w="3543" w:type="dxa"/>
            <w:shd w:val="clear" w:color="auto" w:fill="C6EFCE"/>
            <w:tcMar>
              <w:left w:w="108" w:type="dxa"/>
              <w:right w:w="108" w:type="dxa"/>
            </w:tcMar>
            <w:vAlign w:val="center"/>
          </w:tcPr>
          <w:p w14:paraId="2BA7EA85" w14:textId="77777777" w:rsidR="00E42B18" w:rsidRDefault="009629C4">
            <w:pPr>
              <w:pStyle w:val="P68B1DB1-Normal121"/>
              <w:spacing w:after="0" w:line="240" w:lineRule="auto"/>
              <w:rPr>
                <w:noProof/>
              </w:rPr>
            </w:pPr>
            <w:r>
              <w:rPr>
                <w:noProof/>
              </w:rPr>
              <w:t>Uudistus 1.9: Julkishallinnon uudistaminen</w:t>
            </w:r>
          </w:p>
        </w:tc>
        <w:tc>
          <w:tcPr>
            <w:tcW w:w="1418" w:type="dxa"/>
            <w:shd w:val="clear" w:color="auto" w:fill="C6EFCE"/>
            <w:tcMar>
              <w:left w:w="108" w:type="dxa"/>
              <w:right w:w="108" w:type="dxa"/>
            </w:tcMar>
            <w:vAlign w:val="center"/>
          </w:tcPr>
          <w:p w14:paraId="63DCC223"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2710A00B" w14:textId="77777777" w:rsidR="00E42B18" w:rsidRDefault="009629C4">
            <w:pPr>
              <w:pStyle w:val="P68B1DB1-Normal121"/>
              <w:spacing w:after="0" w:line="240" w:lineRule="auto"/>
              <w:rPr>
                <w:noProof/>
              </w:rPr>
            </w:pPr>
            <w:r>
              <w:rPr>
                <w:noProof/>
              </w:rPr>
              <w:t>Kaikkien yksinkertaistettujen ja/tai digitalisoitujen menettelyjen rekisterin julkaiseminen</w:t>
            </w:r>
          </w:p>
        </w:tc>
      </w:tr>
      <w:tr w:rsidR="00E42B18" w14:paraId="49E1D3EA" w14:textId="77777777">
        <w:trPr>
          <w:trHeight w:val="300"/>
        </w:trPr>
        <w:tc>
          <w:tcPr>
            <w:tcW w:w="1435" w:type="dxa"/>
            <w:shd w:val="clear" w:color="auto" w:fill="C6EFCE"/>
            <w:tcMar>
              <w:left w:w="108" w:type="dxa"/>
              <w:right w:w="108" w:type="dxa"/>
            </w:tcMar>
            <w:vAlign w:val="center"/>
          </w:tcPr>
          <w:p w14:paraId="657EE8AF" w14:textId="77777777" w:rsidR="00E42B18" w:rsidRDefault="009629C4">
            <w:pPr>
              <w:pStyle w:val="P68B1DB1-Normal121"/>
              <w:spacing w:after="0" w:line="240" w:lineRule="auto"/>
              <w:jc w:val="center"/>
              <w:rPr>
                <w:noProof/>
              </w:rPr>
            </w:pPr>
            <w:r>
              <w:rPr>
                <w:noProof/>
              </w:rPr>
              <w:t>M1C1–66</w:t>
            </w:r>
          </w:p>
        </w:tc>
        <w:tc>
          <w:tcPr>
            <w:tcW w:w="3543" w:type="dxa"/>
            <w:shd w:val="clear" w:color="auto" w:fill="C6EFCE"/>
            <w:tcMar>
              <w:left w:w="108" w:type="dxa"/>
              <w:right w:w="108" w:type="dxa"/>
            </w:tcMar>
            <w:vAlign w:val="center"/>
          </w:tcPr>
          <w:p w14:paraId="50B16CDF" w14:textId="77777777" w:rsidR="00E42B18" w:rsidRDefault="009629C4">
            <w:pPr>
              <w:pStyle w:val="P68B1DB1-Normal121"/>
              <w:spacing w:after="0" w:line="240" w:lineRule="auto"/>
              <w:rPr>
                <w:noProof/>
              </w:rPr>
            </w:pPr>
            <w:r>
              <w:rPr>
                <w:noProof/>
              </w:rPr>
              <w:t>Investointi 1.9: Antaa teknistä apua ja vahvistaa valmiuksien kehittämistä Italian elpymis- ja palautumissuunnitelman täytäntöönpanoa varten</w:t>
            </w:r>
          </w:p>
        </w:tc>
        <w:tc>
          <w:tcPr>
            <w:tcW w:w="1418" w:type="dxa"/>
            <w:shd w:val="clear" w:color="auto" w:fill="C6EFCE"/>
            <w:tcMar>
              <w:left w:w="108" w:type="dxa"/>
              <w:right w:w="108" w:type="dxa"/>
            </w:tcMar>
            <w:vAlign w:val="center"/>
          </w:tcPr>
          <w:p w14:paraId="41AA850C"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45BEF5A0" w14:textId="77777777" w:rsidR="00E42B18" w:rsidRDefault="009629C4">
            <w:pPr>
              <w:pStyle w:val="P68B1DB1-Normal121"/>
              <w:spacing w:after="0" w:line="240" w:lineRule="auto"/>
              <w:rPr>
                <w:noProof/>
              </w:rPr>
            </w:pPr>
            <w:r>
              <w:rPr>
                <w:noProof/>
              </w:rPr>
              <w:t>Yleissivistävä ja ammatillinen koulutus</w:t>
            </w:r>
          </w:p>
        </w:tc>
      </w:tr>
      <w:tr w:rsidR="00E42B18" w14:paraId="0B6442E0" w14:textId="77777777">
        <w:trPr>
          <w:trHeight w:val="300"/>
        </w:trPr>
        <w:tc>
          <w:tcPr>
            <w:tcW w:w="1435" w:type="dxa"/>
            <w:shd w:val="clear" w:color="auto" w:fill="C6EFCE"/>
            <w:tcMar>
              <w:left w:w="108" w:type="dxa"/>
              <w:right w:w="108" w:type="dxa"/>
            </w:tcMar>
            <w:vAlign w:val="center"/>
          </w:tcPr>
          <w:p w14:paraId="778B9B36" w14:textId="77777777" w:rsidR="00E42B18" w:rsidRDefault="009629C4">
            <w:pPr>
              <w:pStyle w:val="P68B1DB1-Normal121"/>
              <w:spacing w:after="0" w:line="240" w:lineRule="auto"/>
              <w:jc w:val="center"/>
              <w:rPr>
                <w:noProof/>
              </w:rPr>
            </w:pPr>
            <w:r>
              <w:rPr>
                <w:noProof/>
              </w:rPr>
              <w:t>M1C1–118</w:t>
            </w:r>
          </w:p>
        </w:tc>
        <w:tc>
          <w:tcPr>
            <w:tcW w:w="3543" w:type="dxa"/>
            <w:shd w:val="clear" w:color="auto" w:fill="C6EFCE"/>
            <w:tcMar>
              <w:left w:w="108" w:type="dxa"/>
              <w:right w:w="108" w:type="dxa"/>
            </w:tcMar>
            <w:vAlign w:val="center"/>
          </w:tcPr>
          <w:p w14:paraId="41CE5357" w14:textId="77777777" w:rsidR="00E42B18" w:rsidRDefault="009629C4">
            <w:pPr>
              <w:pStyle w:val="P68B1DB1-Normal121"/>
              <w:spacing w:after="0" w:line="240" w:lineRule="auto"/>
              <w:rPr>
                <w:noProof/>
              </w:rPr>
            </w:pPr>
            <w:r>
              <w:rPr>
                <w:noProof/>
              </w:rPr>
              <w:t>Uudistus 1.15: Julkisen tilinpidon sääntöjen uudistaminen</w:t>
            </w:r>
          </w:p>
        </w:tc>
        <w:tc>
          <w:tcPr>
            <w:tcW w:w="1418" w:type="dxa"/>
            <w:shd w:val="clear" w:color="auto" w:fill="C6EFCE"/>
            <w:tcMar>
              <w:left w:w="108" w:type="dxa"/>
              <w:right w:w="108" w:type="dxa"/>
            </w:tcMar>
            <w:vAlign w:val="center"/>
          </w:tcPr>
          <w:p w14:paraId="235FF9AA"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33F9A60E" w14:textId="77777777" w:rsidR="00E42B18" w:rsidRDefault="009629C4">
            <w:pPr>
              <w:pStyle w:val="P68B1DB1-Normal121"/>
              <w:spacing w:after="0" w:line="240" w:lineRule="auto"/>
              <w:rPr>
                <w:noProof/>
              </w:rPr>
            </w:pPr>
            <w:r>
              <w:rPr>
                <w:noProof/>
              </w:rPr>
              <w:t>Suoriteperusteisen kirjanpidon uudistusta koskevan lainsäädännön voimaantulo vähintään 90 prosentille koko julkisesta sektorista ilman valtion omistamia varoja</w:t>
            </w:r>
          </w:p>
        </w:tc>
      </w:tr>
      <w:tr w:rsidR="00E42B18" w14:paraId="3152E7FC" w14:textId="77777777">
        <w:trPr>
          <w:trHeight w:val="300"/>
        </w:trPr>
        <w:tc>
          <w:tcPr>
            <w:tcW w:w="1435" w:type="dxa"/>
            <w:shd w:val="clear" w:color="auto" w:fill="C6EFCE"/>
            <w:tcMar>
              <w:left w:w="108" w:type="dxa"/>
              <w:right w:w="108" w:type="dxa"/>
            </w:tcMar>
            <w:vAlign w:val="center"/>
          </w:tcPr>
          <w:p w14:paraId="20665269" w14:textId="77777777" w:rsidR="00E42B18" w:rsidRDefault="009629C4">
            <w:pPr>
              <w:pStyle w:val="P68B1DB1-Normal121"/>
              <w:spacing w:after="0" w:line="240" w:lineRule="auto"/>
              <w:jc w:val="center"/>
              <w:rPr>
                <w:noProof/>
              </w:rPr>
            </w:pPr>
            <w:r>
              <w:rPr>
                <w:noProof/>
              </w:rPr>
              <w:t>M1C1–122</w:t>
            </w:r>
          </w:p>
        </w:tc>
        <w:tc>
          <w:tcPr>
            <w:tcW w:w="3543" w:type="dxa"/>
            <w:shd w:val="clear" w:color="auto" w:fill="C6EFCE"/>
            <w:tcMar>
              <w:left w:w="108" w:type="dxa"/>
              <w:right w:w="108" w:type="dxa"/>
            </w:tcMar>
            <w:vAlign w:val="center"/>
          </w:tcPr>
          <w:p w14:paraId="1074411E" w14:textId="77777777" w:rsidR="00E42B18" w:rsidRDefault="009629C4">
            <w:pPr>
              <w:pStyle w:val="P68B1DB1-Normal121"/>
              <w:spacing w:after="0" w:line="240" w:lineRule="auto"/>
              <w:rPr>
                <w:noProof/>
              </w:rPr>
            </w:pPr>
            <w:r>
              <w:rPr>
                <w:noProof/>
              </w:rPr>
              <w:t>Uudistus 1.13: Menojen uudelleentarkastelua koskevan kehyksen uudistaminen</w:t>
            </w:r>
          </w:p>
        </w:tc>
        <w:tc>
          <w:tcPr>
            <w:tcW w:w="1418" w:type="dxa"/>
            <w:shd w:val="clear" w:color="auto" w:fill="C6EFCE"/>
            <w:tcMar>
              <w:left w:w="108" w:type="dxa"/>
              <w:right w:w="108" w:type="dxa"/>
            </w:tcMar>
            <w:vAlign w:val="center"/>
          </w:tcPr>
          <w:p w14:paraId="56F2CD80"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3BC28AC8" w14:textId="77777777" w:rsidR="00E42B18" w:rsidRDefault="009629C4">
            <w:pPr>
              <w:pStyle w:val="P68B1DB1-Normal121"/>
              <w:spacing w:after="0" w:line="240" w:lineRule="auto"/>
              <w:rPr>
                <w:noProof/>
              </w:rPr>
            </w:pPr>
            <w:r>
              <w:rPr>
                <w:noProof/>
              </w:rPr>
              <w:t>Vuoden 2025 menojen vuotuisen uudelleentarkastelun loppuun saattaminen ottaen huomioon vuosina 2022, 2023 ja 2024 vuodeksi 2025 asetettu säästötavoite.</w:t>
            </w:r>
          </w:p>
        </w:tc>
      </w:tr>
      <w:tr w:rsidR="00E42B18" w14:paraId="2551ED35" w14:textId="77777777">
        <w:trPr>
          <w:trHeight w:val="300"/>
        </w:trPr>
        <w:tc>
          <w:tcPr>
            <w:tcW w:w="1435" w:type="dxa"/>
            <w:shd w:val="clear" w:color="auto" w:fill="C6EFCE"/>
            <w:tcMar>
              <w:left w:w="108" w:type="dxa"/>
              <w:right w:w="108" w:type="dxa"/>
            </w:tcMar>
            <w:vAlign w:val="center"/>
          </w:tcPr>
          <w:p w14:paraId="549A7368" w14:textId="77777777" w:rsidR="00E42B18" w:rsidRDefault="009629C4">
            <w:pPr>
              <w:pStyle w:val="P68B1DB1-Normal121"/>
              <w:spacing w:after="0" w:line="240" w:lineRule="auto"/>
              <w:jc w:val="center"/>
              <w:rPr>
                <w:noProof/>
              </w:rPr>
            </w:pPr>
            <w:r>
              <w:rPr>
                <w:noProof/>
              </w:rPr>
              <w:t>M1C2–13a</w:t>
            </w:r>
          </w:p>
        </w:tc>
        <w:tc>
          <w:tcPr>
            <w:tcW w:w="3543" w:type="dxa"/>
            <w:shd w:val="clear" w:color="auto" w:fill="C6EFCE"/>
            <w:tcMar>
              <w:left w:w="108" w:type="dxa"/>
              <w:right w:w="108" w:type="dxa"/>
            </w:tcMar>
            <w:vAlign w:val="center"/>
          </w:tcPr>
          <w:p w14:paraId="444A33D9" w14:textId="77777777" w:rsidR="00E42B18" w:rsidRDefault="009629C4">
            <w:pPr>
              <w:pStyle w:val="P68B1DB1-Normal121"/>
              <w:spacing w:after="0" w:line="240" w:lineRule="auto"/>
              <w:rPr>
                <w:noProof/>
              </w:rPr>
            </w:pPr>
            <w:r>
              <w:rPr>
                <w:noProof/>
              </w:rPr>
              <w:t>Uudistuksen 2: Vuosittaiset kilpailulait</w:t>
            </w:r>
          </w:p>
        </w:tc>
        <w:tc>
          <w:tcPr>
            <w:tcW w:w="1418" w:type="dxa"/>
            <w:shd w:val="clear" w:color="auto" w:fill="C6EFCE"/>
            <w:tcMar>
              <w:left w:w="108" w:type="dxa"/>
              <w:right w:w="108" w:type="dxa"/>
            </w:tcMar>
            <w:vAlign w:val="center"/>
          </w:tcPr>
          <w:p w14:paraId="6DB3E837"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29E084C3" w14:textId="77777777" w:rsidR="00E42B18" w:rsidRDefault="009629C4">
            <w:pPr>
              <w:pStyle w:val="P68B1DB1-Normal121"/>
              <w:spacing w:after="0" w:line="240" w:lineRule="auto"/>
              <w:rPr>
                <w:noProof/>
              </w:rPr>
            </w:pPr>
            <w:r>
              <w:rPr>
                <w:noProof/>
              </w:rPr>
              <w:t>Alueellisia rautateitä ja teknologian siirtoa koskevan lainsäädännön (mukaan lukien sekundaarilainsäädäntö ja täytäntöönpanosäädökset, jotka koskevat vuoden 2025 vuotuista kilpailulakia) voimaantulo</w:t>
            </w:r>
          </w:p>
        </w:tc>
      </w:tr>
      <w:tr w:rsidR="00E42B18" w14:paraId="37A70FFA" w14:textId="77777777">
        <w:trPr>
          <w:trHeight w:val="300"/>
        </w:trPr>
        <w:tc>
          <w:tcPr>
            <w:tcW w:w="1435" w:type="dxa"/>
            <w:shd w:val="clear" w:color="auto" w:fill="C6EFCE"/>
            <w:tcMar>
              <w:left w:w="108" w:type="dxa"/>
              <w:right w:w="108" w:type="dxa"/>
            </w:tcMar>
            <w:vAlign w:val="center"/>
          </w:tcPr>
          <w:p w14:paraId="5305BEDA" w14:textId="77777777" w:rsidR="00E42B18" w:rsidRDefault="009629C4">
            <w:pPr>
              <w:pStyle w:val="P68B1DB1-Normal121"/>
              <w:spacing w:after="0" w:line="240" w:lineRule="auto"/>
              <w:jc w:val="center"/>
              <w:rPr>
                <w:noProof/>
              </w:rPr>
            </w:pPr>
            <w:r>
              <w:rPr>
                <w:noProof/>
              </w:rPr>
              <w:t>M1C3–3</w:t>
            </w:r>
          </w:p>
        </w:tc>
        <w:tc>
          <w:tcPr>
            <w:tcW w:w="3543" w:type="dxa"/>
            <w:shd w:val="clear" w:color="auto" w:fill="C6EFCE"/>
            <w:tcMar>
              <w:left w:w="108" w:type="dxa"/>
              <w:right w:w="108" w:type="dxa"/>
            </w:tcMar>
            <w:vAlign w:val="center"/>
          </w:tcPr>
          <w:p w14:paraId="1E779EAB" w14:textId="77777777" w:rsidR="00E42B18" w:rsidRDefault="009629C4">
            <w:pPr>
              <w:pStyle w:val="P68B1DB1-Normal121"/>
              <w:spacing w:after="0" w:line="240" w:lineRule="auto"/>
              <w:rPr>
                <w:noProof/>
              </w:rPr>
            </w:pPr>
            <w:r>
              <w:rPr>
                <w:noProof/>
              </w:rPr>
              <w:t>Investoinnit – 1.2 Fyysisten ja kognitiivisten esteiden poistaminen museoista, kirjastoista ja arkistoista kulttuurin laajemman saatavuuden ja siihen osallistumisen mahdollistamiseksi</w:t>
            </w:r>
          </w:p>
        </w:tc>
        <w:tc>
          <w:tcPr>
            <w:tcW w:w="1418" w:type="dxa"/>
            <w:shd w:val="clear" w:color="auto" w:fill="C6EFCE"/>
            <w:tcMar>
              <w:left w:w="108" w:type="dxa"/>
              <w:right w:w="108" w:type="dxa"/>
            </w:tcMar>
            <w:vAlign w:val="center"/>
          </w:tcPr>
          <w:p w14:paraId="6E0EC80E"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481DBB4B" w14:textId="77777777" w:rsidR="00E42B18" w:rsidRDefault="009629C4">
            <w:pPr>
              <w:pStyle w:val="P68B1DB1-Normal121"/>
              <w:spacing w:after="0" w:line="240" w:lineRule="auto"/>
              <w:rPr>
                <w:noProof/>
              </w:rPr>
            </w:pPr>
            <w:r>
              <w:rPr>
                <w:noProof/>
              </w:rPr>
              <w:t>Toimet fyysisten ja kognitiivisten esteiden poistamiseksi museoista, muistomerkeistä, arkeologisista alueista ja puistoista, arkistoista ja kirjastoista</w:t>
            </w:r>
          </w:p>
        </w:tc>
      </w:tr>
      <w:tr w:rsidR="00E42B18" w14:paraId="19233F06" w14:textId="77777777">
        <w:trPr>
          <w:trHeight w:val="300"/>
        </w:trPr>
        <w:tc>
          <w:tcPr>
            <w:tcW w:w="1435" w:type="dxa"/>
            <w:shd w:val="clear" w:color="auto" w:fill="C6EFCE"/>
            <w:tcMar>
              <w:left w:w="108" w:type="dxa"/>
              <w:right w:w="108" w:type="dxa"/>
            </w:tcMar>
            <w:vAlign w:val="center"/>
          </w:tcPr>
          <w:p w14:paraId="1F1CBA98" w14:textId="77777777" w:rsidR="00E42B18" w:rsidRDefault="009629C4">
            <w:pPr>
              <w:pStyle w:val="P68B1DB1-Normal121"/>
              <w:spacing w:after="0" w:line="240" w:lineRule="auto"/>
              <w:jc w:val="center"/>
              <w:rPr>
                <w:noProof/>
              </w:rPr>
            </w:pPr>
            <w:r>
              <w:rPr>
                <w:noProof/>
              </w:rPr>
              <w:t>M2C1–8</w:t>
            </w:r>
          </w:p>
        </w:tc>
        <w:tc>
          <w:tcPr>
            <w:tcW w:w="3543" w:type="dxa"/>
            <w:shd w:val="clear" w:color="auto" w:fill="C6EFCE"/>
            <w:tcMar>
              <w:left w:w="108" w:type="dxa"/>
              <w:right w:w="108" w:type="dxa"/>
            </w:tcMar>
            <w:vAlign w:val="center"/>
          </w:tcPr>
          <w:p w14:paraId="2C2F2BB7" w14:textId="77777777" w:rsidR="00E42B18" w:rsidRDefault="009629C4">
            <w:pPr>
              <w:pStyle w:val="P68B1DB1-Normal121"/>
              <w:spacing w:after="0" w:line="240" w:lineRule="auto"/>
              <w:rPr>
                <w:noProof/>
              </w:rPr>
            </w:pPr>
            <w:r>
              <w:rPr>
                <w:noProof/>
              </w:rPr>
              <w:t>Investointi 2.3: Innovointi ja koneistaminen maatalous- ja elintarvikealalla</w:t>
            </w:r>
          </w:p>
        </w:tc>
        <w:tc>
          <w:tcPr>
            <w:tcW w:w="1418" w:type="dxa"/>
            <w:shd w:val="clear" w:color="auto" w:fill="C6EFCE"/>
            <w:tcMar>
              <w:left w:w="108" w:type="dxa"/>
              <w:right w:w="108" w:type="dxa"/>
            </w:tcMar>
            <w:vAlign w:val="center"/>
          </w:tcPr>
          <w:p w14:paraId="28ACE4CC"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0BD22D5F" w14:textId="77777777" w:rsidR="00E42B18" w:rsidRDefault="009629C4">
            <w:pPr>
              <w:pStyle w:val="P68B1DB1-Normal121"/>
              <w:spacing w:after="0" w:line="240" w:lineRule="auto"/>
              <w:rPr>
                <w:noProof/>
              </w:rPr>
            </w:pPr>
            <w:r>
              <w:rPr>
                <w:noProof/>
              </w:rPr>
              <w:t>Kiertotalouden ja biotalouden innovointiin tehtävien investointien tukeminen</w:t>
            </w:r>
          </w:p>
        </w:tc>
      </w:tr>
      <w:tr w:rsidR="00E42B18" w14:paraId="487590AC" w14:textId="77777777">
        <w:trPr>
          <w:trHeight w:val="300"/>
        </w:trPr>
        <w:tc>
          <w:tcPr>
            <w:tcW w:w="1435" w:type="dxa"/>
            <w:shd w:val="clear" w:color="auto" w:fill="C6EFCE"/>
            <w:tcMar>
              <w:left w:w="108" w:type="dxa"/>
              <w:right w:w="108" w:type="dxa"/>
            </w:tcMar>
            <w:vAlign w:val="center"/>
          </w:tcPr>
          <w:p w14:paraId="783594C7" w14:textId="77777777" w:rsidR="00E42B18" w:rsidRDefault="009629C4">
            <w:pPr>
              <w:pStyle w:val="P68B1DB1-Normal121"/>
              <w:spacing w:after="0" w:line="240" w:lineRule="auto"/>
              <w:jc w:val="center"/>
              <w:rPr>
                <w:noProof/>
              </w:rPr>
            </w:pPr>
            <w:r>
              <w:rPr>
                <w:noProof/>
              </w:rPr>
              <w:t>M2C1–9</w:t>
            </w:r>
          </w:p>
        </w:tc>
        <w:tc>
          <w:tcPr>
            <w:tcW w:w="3543" w:type="dxa"/>
            <w:shd w:val="clear" w:color="auto" w:fill="C6EFCE"/>
            <w:tcMar>
              <w:left w:w="108" w:type="dxa"/>
              <w:right w:w="108" w:type="dxa"/>
            </w:tcMar>
            <w:vAlign w:val="center"/>
          </w:tcPr>
          <w:p w14:paraId="3A99A110" w14:textId="77777777" w:rsidR="00E42B18" w:rsidRDefault="009629C4">
            <w:pPr>
              <w:pStyle w:val="P68B1DB1-Normal121"/>
              <w:spacing w:after="0" w:line="240" w:lineRule="auto"/>
              <w:rPr>
                <w:noProof/>
              </w:rPr>
            </w:pPr>
            <w:r>
              <w:rPr>
                <w:noProof/>
              </w:rPr>
              <w:t>Investointi 2.2: Maatalouden aurinkopuisto</w:t>
            </w:r>
          </w:p>
        </w:tc>
        <w:tc>
          <w:tcPr>
            <w:tcW w:w="1418" w:type="dxa"/>
            <w:shd w:val="clear" w:color="auto" w:fill="C6EFCE"/>
            <w:tcMar>
              <w:left w:w="108" w:type="dxa"/>
              <w:right w:w="108" w:type="dxa"/>
            </w:tcMar>
            <w:vAlign w:val="center"/>
          </w:tcPr>
          <w:p w14:paraId="32C4A593"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3D10CC2C" w14:textId="77777777" w:rsidR="00E42B18" w:rsidRDefault="009629C4">
            <w:pPr>
              <w:pStyle w:val="P68B1DB1-Normal121"/>
              <w:spacing w:after="0" w:line="240" w:lineRule="auto"/>
              <w:rPr>
                <w:noProof/>
              </w:rPr>
            </w:pPr>
            <w:r>
              <w:rPr>
                <w:noProof/>
              </w:rPr>
              <w:t>Maataloussähkön tuotanto</w:t>
            </w:r>
          </w:p>
        </w:tc>
      </w:tr>
      <w:tr w:rsidR="00E42B18" w14:paraId="7DEF23C9" w14:textId="77777777">
        <w:trPr>
          <w:trHeight w:val="300"/>
        </w:trPr>
        <w:tc>
          <w:tcPr>
            <w:tcW w:w="1435" w:type="dxa"/>
            <w:shd w:val="clear" w:color="auto" w:fill="C6EFCE"/>
            <w:tcMar>
              <w:left w:w="108" w:type="dxa"/>
              <w:right w:w="108" w:type="dxa"/>
            </w:tcMar>
            <w:vAlign w:val="center"/>
          </w:tcPr>
          <w:p w14:paraId="613BE468" w14:textId="77777777" w:rsidR="00E42B18" w:rsidRDefault="009629C4">
            <w:pPr>
              <w:pStyle w:val="P68B1DB1-Normal121"/>
              <w:spacing w:after="0" w:line="240" w:lineRule="auto"/>
              <w:jc w:val="center"/>
              <w:rPr>
                <w:noProof/>
              </w:rPr>
            </w:pPr>
            <w:r>
              <w:rPr>
                <w:noProof/>
              </w:rPr>
              <w:t>M2C2–23</w:t>
            </w:r>
          </w:p>
        </w:tc>
        <w:tc>
          <w:tcPr>
            <w:tcW w:w="3543" w:type="dxa"/>
            <w:shd w:val="clear" w:color="auto" w:fill="C6EFCE"/>
            <w:tcMar>
              <w:left w:w="108" w:type="dxa"/>
              <w:right w:w="108" w:type="dxa"/>
            </w:tcMar>
            <w:vAlign w:val="center"/>
          </w:tcPr>
          <w:p w14:paraId="51B66663" w14:textId="77777777" w:rsidR="00E42B18" w:rsidRDefault="009629C4">
            <w:pPr>
              <w:pStyle w:val="P68B1DB1-Normal121"/>
              <w:spacing w:after="0" w:line="240" w:lineRule="auto"/>
              <w:rPr>
                <w:noProof/>
              </w:rPr>
            </w:pPr>
            <w:r>
              <w:rPr>
                <w:noProof/>
              </w:rPr>
              <w:t>Investointi 4.1 Investoinnit pehmeään liikkuvuuteen (kansallinen pyörätiesuunnitelma)</w:t>
            </w:r>
          </w:p>
        </w:tc>
        <w:tc>
          <w:tcPr>
            <w:tcW w:w="1418" w:type="dxa"/>
            <w:shd w:val="clear" w:color="auto" w:fill="C6EFCE"/>
            <w:tcMar>
              <w:left w:w="108" w:type="dxa"/>
              <w:right w:w="108" w:type="dxa"/>
            </w:tcMar>
            <w:vAlign w:val="center"/>
          </w:tcPr>
          <w:p w14:paraId="5D82C06D"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7C1CF4FA" w14:textId="77777777" w:rsidR="00E42B18" w:rsidRDefault="009629C4">
            <w:pPr>
              <w:pStyle w:val="P68B1DB1-Normal121"/>
              <w:spacing w:after="0" w:line="240" w:lineRule="auto"/>
              <w:rPr>
                <w:noProof/>
              </w:rPr>
            </w:pPr>
            <w:r>
              <w:rPr>
                <w:noProof/>
              </w:rPr>
              <w:t>Pyörätiet T2</w:t>
            </w:r>
          </w:p>
        </w:tc>
      </w:tr>
      <w:tr w:rsidR="00E42B18" w14:paraId="09B30590" w14:textId="77777777">
        <w:trPr>
          <w:trHeight w:val="300"/>
        </w:trPr>
        <w:tc>
          <w:tcPr>
            <w:tcW w:w="1435" w:type="dxa"/>
            <w:shd w:val="clear" w:color="auto" w:fill="C6EFCE"/>
            <w:tcMar>
              <w:left w:w="108" w:type="dxa"/>
              <w:right w:w="108" w:type="dxa"/>
            </w:tcMar>
            <w:vAlign w:val="center"/>
          </w:tcPr>
          <w:p w14:paraId="5A3CD7B8" w14:textId="77777777" w:rsidR="00E42B18" w:rsidRDefault="009629C4">
            <w:pPr>
              <w:pStyle w:val="P68B1DB1-Normal121"/>
              <w:spacing w:after="0" w:line="240" w:lineRule="auto"/>
              <w:jc w:val="center"/>
              <w:rPr>
                <w:noProof/>
              </w:rPr>
            </w:pPr>
            <w:r>
              <w:rPr>
                <w:noProof/>
              </w:rPr>
              <w:t>M3C2–5a</w:t>
            </w:r>
          </w:p>
        </w:tc>
        <w:tc>
          <w:tcPr>
            <w:tcW w:w="3543" w:type="dxa"/>
            <w:shd w:val="clear" w:color="auto" w:fill="C6EFCE"/>
            <w:tcMar>
              <w:left w:w="108" w:type="dxa"/>
              <w:right w:w="108" w:type="dxa"/>
            </w:tcMar>
            <w:vAlign w:val="center"/>
          </w:tcPr>
          <w:p w14:paraId="6B2C97DD" w14:textId="77777777" w:rsidR="00E42B18" w:rsidRDefault="009629C4">
            <w:pPr>
              <w:pStyle w:val="P68B1DB1-Normal121"/>
              <w:spacing w:after="0" w:line="240" w:lineRule="auto"/>
              <w:rPr>
                <w:noProof/>
              </w:rPr>
            </w:pPr>
            <w:r>
              <w:rPr>
                <w:noProof/>
              </w:rPr>
              <w:t>Investointi 2.1 – Logistiikkaketjun digitalisointi</w:t>
            </w:r>
          </w:p>
        </w:tc>
        <w:tc>
          <w:tcPr>
            <w:tcW w:w="1418" w:type="dxa"/>
            <w:shd w:val="clear" w:color="auto" w:fill="C6EFCE"/>
            <w:tcMar>
              <w:left w:w="108" w:type="dxa"/>
              <w:right w:w="108" w:type="dxa"/>
            </w:tcMar>
            <w:vAlign w:val="center"/>
          </w:tcPr>
          <w:p w14:paraId="28CAFA50"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0DF1A0D0" w14:textId="77777777" w:rsidR="00E42B18" w:rsidRDefault="009629C4">
            <w:pPr>
              <w:pStyle w:val="P68B1DB1-Normal121"/>
              <w:spacing w:after="0" w:line="240" w:lineRule="auto"/>
              <w:rPr>
                <w:noProof/>
              </w:rPr>
            </w:pPr>
            <w:r>
              <w:rPr>
                <w:noProof/>
              </w:rPr>
              <w:t>Logistiikkaketjun digitalisointi</w:t>
            </w:r>
          </w:p>
        </w:tc>
      </w:tr>
      <w:tr w:rsidR="00E42B18" w14:paraId="48EA261F" w14:textId="77777777">
        <w:trPr>
          <w:trHeight w:val="300"/>
        </w:trPr>
        <w:tc>
          <w:tcPr>
            <w:tcW w:w="1435" w:type="dxa"/>
            <w:shd w:val="clear" w:color="auto" w:fill="C6EFCE"/>
            <w:tcMar>
              <w:left w:w="108" w:type="dxa"/>
              <w:right w:w="108" w:type="dxa"/>
            </w:tcMar>
            <w:vAlign w:val="center"/>
          </w:tcPr>
          <w:p w14:paraId="33E9090E" w14:textId="77777777" w:rsidR="00E42B18" w:rsidRDefault="009629C4">
            <w:pPr>
              <w:pStyle w:val="P68B1DB1-Normal121"/>
              <w:spacing w:after="0" w:line="240" w:lineRule="auto"/>
              <w:jc w:val="center"/>
              <w:rPr>
                <w:noProof/>
              </w:rPr>
            </w:pPr>
            <w:r>
              <w:rPr>
                <w:noProof/>
              </w:rPr>
              <w:t>M4C1–20</w:t>
            </w:r>
          </w:p>
        </w:tc>
        <w:tc>
          <w:tcPr>
            <w:tcW w:w="3543" w:type="dxa"/>
            <w:shd w:val="clear" w:color="auto" w:fill="C6EFCE"/>
            <w:tcMar>
              <w:left w:w="108" w:type="dxa"/>
              <w:right w:w="108" w:type="dxa"/>
            </w:tcMar>
            <w:vAlign w:val="center"/>
          </w:tcPr>
          <w:p w14:paraId="0E0D2A37" w14:textId="77777777" w:rsidR="00E42B18" w:rsidRDefault="009629C4">
            <w:pPr>
              <w:pStyle w:val="P68B1DB1-Normal121"/>
              <w:spacing w:after="0" w:line="240" w:lineRule="auto"/>
              <w:rPr>
                <w:noProof/>
              </w:rPr>
            </w:pPr>
            <w:r>
              <w:rPr>
                <w:noProof/>
              </w:rPr>
              <w:t>Investointi 1.5: Korkea-asteen ammatillisen koulutuksen järjestelmän (ITS) kehittäminen</w:t>
            </w:r>
          </w:p>
        </w:tc>
        <w:tc>
          <w:tcPr>
            <w:tcW w:w="1418" w:type="dxa"/>
            <w:shd w:val="clear" w:color="auto" w:fill="C6EFCE"/>
            <w:tcMar>
              <w:left w:w="108" w:type="dxa"/>
              <w:right w:w="108" w:type="dxa"/>
            </w:tcMar>
            <w:vAlign w:val="center"/>
          </w:tcPr>
          <w:p w14:paraId="2A194870"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26FCBCF7" w14:textId="77777777" w:rsidR="00E42B18" w:rsidRDefault="009629C4">
            <w:pPr>
              <w:pStyle w:val="P68B1DB1-Normal121"/>
              <w:spacing w:after="0" w:line="240" w:lineRule="auto"/>
              <w:rPr>
                <w:noProof/>
              </w:rPr>
            </w:pPr>
            <w:r>
              <w:rPr>
                <w:noProof/>
              </w:rPr>
              <w:t>Ammatillisen koulutuksen järjestelmään (ITS) osallistuvien opiskelijoiden lukumäärä</w:t>
            </w:r>
          </w:p>
        </w:tc>
      </w:tr>
      <w:tr w:rsidR="00E42B18" w14:paraId="2587A379" w14:textId="77777777">
        <w:trPr>
          <w:trHeight w:val="300"/>
        </w:trPr>
        <w:tc>
          <w:tcPr>
            <w:tcW w:w="1435" w:type="dxa"/>
            <w:shd w:val="clear" w:color="auto" w:fill="C6EFCE"/>
            <w:tcMar>
              <w:left w:w="108" w:type="dxa"/>
              <w:right w:w="108" w:type="dxa"/>
            </w:tcMar>
            <w:vAlign w:val="center"/>
          </w:tcPr>
          <w:p w14:paraId="59C55DA9" w14:textId="77777777" w:rsidR="00E42B18" w:rsidRDefault="009629C4">
            <w:pPr>
              <w:pStyle w:val="P68B1DB1-Normal121"/>
              <w:spacing w:after="0" w:line="240" w:lineRule="auto"/>
              <w:jc w:val="center"/>
              <w:rPr>
                <w:noProof/>
              </w:rPr>
            </w:pPr>
            <w:r>
              <w:rPr>
                <w:noProof/>
              </w:rPr>
              <w:t>M4C1–22</w:t>
            </w:r>
          </w:p>
        </w:tc>
        <w:tc>
          <w:tcPr>
            <w:tcW w:w="3543" w:type="dxa"/>
            <w:shd w:val="clear" w:color="auto" w:fill="C6EFCE"/>
            <w:tcMar>
              <w:left w:w="108" w:type="dxa"/>
              <w:right w:w="108" w:type="dxa"/>
            </w:tcMar>
            <w:vAlign w:val="center"/>
          </w:tcPr>
          <w:p w14:paraId="03A6F38A" w14:textId="77777777" w:rsidR="00E42B18" w:rsidRDefault="009629C4">
            <w:pPr>
              <w:pStyle w:val="P68B1DB1-Normal121"/>
              <w:spacing w:after="0" w:line="240" w:lineRule="auto"/>
              <w:rPr>
                <w:noProof/>
              </w:rPr>
            </w:pPr>
            <w:r>
              <w:rPr>
                <w:noProof/>
              </w:rPr>
              <w:t>Investointi 1.3: Koulujen urheiluinfrastruktuurin kehittämissuunnitelma</w:t>
            </w:r>
          </w:p>
        </w:tc>
        <w:tc>
          <w:tcPr>
            <w:tcW w:w="1418" w:type="dxa"/>
            <w:shd w:val="clear" w:color="auto" w:fill="C6EFCE"/>
            <w:tcMar>
              <w:left w:w="108" w:type="dxa"/>
              <w:right w:w="108" w:type="dxa"/>
            </w:tcMar>
            <w:vAlign w:val="center"/>
          </w:tcPr>
          <w:p w14:paraId="36D9B220"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589349EB" w14:textId="77777777" w:rsidR="00E42B18" w:rsidRDefault="009629C4">
            <w:pPr>
              <w:pStyle w:val="P68B1DB1-Normal121"/>
              <w:spacing w:after="0" w:line="240" w:lineRule="auto"/>
              <w:rPr>
                <w:noProof/>
              </w:rPr>
            </w:pPr>
            <w:r>
              <w:rPr>
                <w:noProof/>
              </w:rPr>
              <w:t>Koulukäyttöön tarkoitettujen urheilutilojen ja kuntosalien rakentaminen tai kunnostaminen</w:t>
            </w:r>
          </w:p>
        </w:tc>
      </w:tr>
      <w:tr w:rsidR="00E42B18" w14:paraId="0B99EF71" w14:textId="77777777">
        <w:trPr>
          <w:trHeight w:val="300"/>
        </w:trPr>
        <w:tc>
          <w:tcPr>
            <w:tcW w:w="1435" w:type="dxa"/>
            <w:shd w:val="clear" w:color="auto" w:fill="C6EFCE"/>
            <w:tcMar>
              <w:left w:w="108" w:type="dxa"/>
              <w:right w:w="108" w:type="dxa"/>
            </w:tcMar>
            <w:vAlign w:val="center"/>
          </w:tcPr>
          <w:p w14:paraId="5F973066" w14:textId="77777777" w:rsidR="00E42B18" w:rsidRDefault="009629C4">
            <w:pPr>
              <w:pStyle w:val="P68B1DB1-Normal121"/>
              <w:spacing w:after="0" w:line="240" w:lineRule="auto"/>
              <w:jc w:val="center"/>
              <w:rPr>
                <w:noProof/>
              </w:rPr>
            </w:pPr>
            <w:r>
              <w:rPr>
                <w:noProof/>
              </w:rPr>
              <w:t>M4C1–23</w:t>
            </w:r>
          </w:p>
        </w:tc>
        <w:tc>
          <w:tcPr>
            <w:tcW w:w="3543" w:type="dxa"/>
            <w:shd w:val="clear" w:color="auto" w:fill="C6EFCE"/>
            <w:tcMar>
              <w:left w:w="108" w:type="dxa"/>
              <w:right w:w="108" w:type="dxa"/>
            </w:tcMar>
            <w:vAlign w:val="center"/>
          </w:tcPr>
          <w:p w14:paraId="462891EB" w14:textId="77777777" w:rsidR="00E42B18" w:rsidRDefault="009629C4">
            <w:pPr>
              <w:pStyle w:val="P68B1DB1-Normal121"/>
              <w:spacing w:after="0" w:line="240" w:lineRule="auto"/>
              <w:rPr>
                <w:noProof/>
              </w:rPr>
            </w:pPr>
            <w:r>
              <w:rPr>
                <w:noProof/>
              </w:rPr>
              <w:t xml:space="preserve">Investointi 3.4: Opetus ja korkea-asteen koulutus </w:t>
            </w:r>
          </w:p>
        </w:tc>
        <w:tc>
          <w:tcPr>
            <w:tcW w:w="1418" w:type="dxa"/>
            <w:shd w:val="clear" w:color="auto" w:fill="C6EFCE"/>
            <w:tcMar>
              <w:left w:w="108" w:type="dxa"/>
              <w:right w:w="108" w:type="dxa"/>
            </w:tcMar>
            <w:vAlign w:val="center"/>
          </w:tcPr>
          <w:p w14:paraId="1D72CE8C"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586A9318" w14:textId="77777777" w:rsidR="00E42B18" w:rsidRDefault="009629C4">
            <w:pPr>
              <w:pStyle w:val="P68B1DB1-Normal121"/>
              <w:spacing w:after="0" w:line="240" w:lineRule="auto"/>
              <w:rPr>
                <w:noProof/>
              </w:rPr>
            </w:pPr>
            <w:r>
              <w:rPr>
                <w:noProof/>
              </w:rPr>
              <w:t xml:space="preserve">Toimet toisen asteen oppilaitosten ja yliopisto-ohjelmien, myös tohtorintutkinnon suorittaneiden, kelpuuttamiseksi ja innovoimiseksi </w:t>
            </w:r>
          </w:p>
        </w:tc>
      </w:tr>
      <w:tr w:rsidR="00E42B18" w14:paraId="5965B312" w14:textId="77777777">
        <w:trPr>
          <w:trHeight w:val="300"/>
        </w:trPr>
        <w:tc>
          <w:tcPr>
            <w:tcW w:w="1435" w:type="dxa"/>
            <w:shd w:val="clear" w:color="auto" w:fill="C6EFCE"/>
            <w:tcMar>
              <w:left w:w="108" w:type="dxa"/>
              <w:right w:w="108" w:type="dxa"/>
            </w:tcMar>
            <w:vAlign w:val="center"/>
          </w:tcPr>
          <w:p w14:paraId="2B836EDC" w14:textId="77777777" w:rsidR="00E42B18" w:rsidRDefault="009629C4">
            <w:pPr>
              <w:pStyle w:val="P68B1DB1-Normal121"/>
              <w:spacing w:after="0" w:line="240" w:lineRule="auto"/>
              <w:jc w:val="center"/>
              <w:rPr>
                <w:noProof/>
              </w:rPr>
            </w:pPr>
            <w:r>
              <w:rPr>
                <w:noProof/>
              </w:rPr>
              <w:t>M4C1–24</w:t>
            </w:r>
          </w:p>
        </w:tc>
        <w:tc>
          <w:tcPr>
            <w:tcW w:w="3543" w:type="dxa"/>
            <w:shd w:val="clear" w:color="auto" w:fill="C6EFCE"/>
            <w:tcMar>
              <w:left w:w="108" w:type="dxa"/>
              <w:right w:w="108" w:type="dxa"/>
            </w:tcMar>
            <w:vAlign w:val="center"/>
          </w:tcPr>
          <w:p w14:paraId="6C40B939" w14:textId="77777777" w:rsidR="00E42B18" w:rsidRDefault="009629C4">
            <w:pPr>
              <w:pStyle w:val="P68B1DB1-Normal121"/>
              <w:spacing w:after="0" w:line="240" w:lineRule="auto"/>
              <w:rPr>
                <w:noProof/>
              </w:rPr>
            </w:pPr>
            <w:r>
              <w:rPr>
                <w:noProof/>
              </w:rPr>
              <w:t>Investointi 1.6: Aktiivinen ohjaus koulu-yliopistosiirtymässä.</w:t>
            </w:r>
          </w:p>
        </w:tc>
        <w:tc>
          <w:tcPr>
            <w:tcW w:w="1418" w:type="dxa"/>
            <w:shd w:val="clear" w:color="auto" w:fill="C6EFCE"/>
            <w:tcMar>
              <w:left w:w="108" w:type="dxa"/>
              <w:right w:w="108" w:type="dxa"/>
            </w:tcMar>
            <w:vAlign w:val="center"/>
          </w:tcPr>
          <w:p w14:paraId="0A0EAE9B"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704D1D30" w14:textId="2ACCBD0C" w:rsidR="00E42B18" w:rsidRDefault="009629C4">
            <w:pPr>
              <w:pStyle w:val="P68B1DB1-Normal121"/>
              <w:spacing w:after="0" w:line="240" w:lineRule="auto"/>
              <w:rPr>
                <w:noProof/>
              </w:rPr>
            </w:pPr>
            <w:r>
              <w:rPr>
                <w:noProof/>
              </w:rPr>
              <w:t>Opintotodistukset, jotka on myönnetty koulu-yliopistojen siirtymäkursseja varten</w:t>
            </w:r>
          </w:p>
        </w:tc>
      </w:tr>
      <w:tr w:rsidR="00E42B18" w14:paraId="51FB7805" w14:textId="77777777">
        <w:trPr>
          <w:trHeight w:val="300"/>
        </w:trPr>
        <w:tc>
          <w:tcPr>
            <w:tcW w:w="1435" w:type="dxa"/>
            <w:shd w:val="clear" w:color="auto" w:fill="C6EFCE"/>
            <w:tcMar>
              <w:left w:w="108" w:type="dxa"/>
              <w:right w:w="108" w:type="dxa"/>
            </w:tcMar>
            <w:vAlign w:val="center"/>
          </w:tcPr>
          <w:p w14:paraId="2D93A477" w14:textId="77777777" w:rsidR="00E42B18" w:rsidRDefault="009629C4">
            <w:pPr>
              <w:pStyle w:val="P68B1DB1-Normal121"/>
              <w:spacing w:after="0" w:line="240" w:lineRule="auto"/>
              <w:jc w:val="center"/>
              <w:rPr>
                <w:noProof/>
              </w:rPr>
            </w:pPr>
            <w:r>
              <w:rPr>
                <w:noProof/>
              </w:rPr>
              <w:t>M5C1–7a</w:t>
            </w:r>
          </w:p>
        </w:tc>
        <w:tc>
          <w:tcPr>
            <w:tcW w:w="3543" w:type="dxa"/>
            <w:shd w:val="clear" w:color="auto" w:fill="C6EFCE"/>
            <w:tcMar>
              <w:left w:w="108" w:type="dxa"/>
              <w:right w:w="108" w:type="dxa"/>
            </w:tcMar>
            <w:vAlign w:val="center"/>
          </w:tcPr>
          <w:p w14:paraId="1419246D" w14:textId="77777777" w:rsidR="00E42B18" w:rsidRDefault="009629C4">
            <w:pPr>
              <w:pStyle w:val="P68B1DB1-Normal121"/>
              <w:spacing w:after="0" w:line="240" w:lineRule="auto"/>
              <w:rPr>
                <w:noProof/>
              </w:rPr>
            </w:pPr>
            <w:r>
              <w:rPr>
                <w:noProof/>
              </w:rPr>
              <w:t xml:space="preserve">Investointi 1 – Julkisten työvoimapalvelujen vahvistaminen </w:t>
            </w:r>
          </w:p>
        </w:tc>
        <w:tc>
          <w:tcPr>
            <w:tcW w:w="1418" w:type="dxa"/>
            <w:shd w:val="clear" w:color="auto" w:fill="C6EFCE"/>
            <w:tcMar>
              <w:left w:w="108" w:type="dxa"/>
              <w:right w:w="108" w:type="dxa"/>
            </w:tcMar>
            <w:vAlign w:val="center"/>
          </w:tcPr>
          <w:p w14:paraId="2397301B"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7A1D52B9" w14:textId="77777777" w:rsidR="00E42B18" w:rsidRDefault="009629C4">
            <w:pPr>
              <w:pStyle w:val="P68B1DB1-Normal121"/>
              <w:spacing w:after="0" w:line="240" w:lineRule="auto"/>
              <w:rPr>
                <w:noProof/>
              </w:rPr>
            </w:pPr>
            <w:r>
              <w:rPr>
                <w:noProof/>
              </w:rPr>
              <w:t xml:space="preserve">Julkiset työvoimapalvelut ovat saaneet kunnostustoimet päätökseen </w:t>
            </w:r>
          </w:p>
        </w:tc>
      </w:tr>
      <w:tr w:rsidR="00E42B18" w14:paraId="7BFCEDCD" w14:textId="77777777">
        <w:trPr>
          <w:trHeight w:val="300"/>
        </w:trPr>
        <w:tc>
          <w:tcPr>
            <w:tcW w:w="1435" w:type="dxa"/>
            <w:shd w:val="clear" w:color="auto" w:fill="C6EFCE"/>
            <w:tcMar>
              <w:left w:w="108" w:type="dxa"/>
              <w:right w:w="108" w:type="dxa"/>
            </w:tcMar>
            <w:vAlign w:val="center"/>
          </w:tcPr>
          <w:p w14:paraId="3738388D" w14:textId="77777777" w:rsidR="00E42B18" w:rsidRDefault="009629C4">
            <w:pPr>
              <w:pStyle w:val="P68B1DB1-Normal121"/>
              <w:spacing w:after="0" w:line="240" w:lineRule="auto"/>
              <w:jc w:val="center"/>
              <w:rPr>
                <w:noProof/>
              </w:rPr>
            </w:pPr>
            <w:r>
              <w:rPr>
                <w:noProof/>
              </w:rPr>
              <w:t>M5C1–14</w:t>
            </w:r>
          </w:p>
        </w:tc>
        <w:tc>
          <w:tcPr>
            <w:tcW w:w="3543" w:type="dxa"/>
            <w:shd w:val="clear" w:color="auto" w:fill="C6EFCE"/>
            <w:tcMar>
              <w:left w:w="108" w:type="dxa"/>
              <w:right w:w="108" w:type="dxa"/>
            </w:tcMar>
            <w:vAlign w:val="center"/>
          </w:tcPr>
          <w:p w14:paraId="02DE3FCF" w14:textId="77777777" w:rsidR="00E42B18" w:rsidRDefault="009629C4">
            <w:pPr>
              <w:pStyle w:val="P68B1DB1-Normal121"/>
              <w:spacing w:after="0" w:line="240" w:lineRule="auto"/>
              <w:rPr>
                <w:noProof/>
              </w:rPr>
            </w:pPr>
            <w:r>
              <w:rPr>
                <w:noProof/>
              </w:rPr>
              <w:t>Investointi 2 – Sukupuolten tasa-arvon sertifiointijärjestelmä</w:t>
            </w:r>
          </w:p>
        </w:tc>
        <w:tc>
          <w:tcPr>
            <w:tcW w:w="1418" w:type="dxa"/>
            <w:shd w:val="clear" w:color="auto" w:fill="C6EFCE"/>
            <w:tcMar>
              <w:left w:w="108" w:type="dxa"/>
              <w:right w:w="108" w:type="dxa"/>
            </w:tcMar>
            <w:vAlign w:val="center"/>
          </w:tcPr>
          <w:p w14:paraId="23429FB9"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4DF6468A" w14:textId="77777777" w:rsidR="00E42B18" w:rsidRDefault="009629C4">
            <w:pPr>
              <w:pStyle w:val="P68B1DB1-Normal121"/>
              <w:spacing w:after="0" w:line="240" w:lineRule="auto"/>
              <w:rPr>
                <w:noProof/>
              </w:rPr>
            </w:pPr>
            <w:r>
              <w:rPr>
                <w:noProof/>
              </w:rPr>
              <w:t>Yritykset ovat saaneet sukupuolten tasa-arvoa koskevan todistuksen</w:t>
            </w:r>
          </w:p>
        </w:tc>
      </w:tr>
      <w:tr w:rsidR="00E42B18" w14:paraId="032E5BEE" w14:textId="77777777">
        <w:trPr>
          <w:trHeight w:val="300"/>
        </w:trPr>
        <w:tc>
          <w:tcPr>
            <w:tcW w:w="1435" w:type="dxa"/>
            <w:shd w:val="clear" w:color="auto" w:fill="C6EFCE"/>
            <w:tcMar>
              <w:left w:w="108" w:type="dxa"/>
              <w:right w:w="108" w:type="dxa"/>
            </w:tcMar>
            <w:vAlign w:val="center"/>
          </w:tcPr>
          <w:p w14:paraId="313BD13A" w14:textId="77777777" w:rsidR="00E42B18" w:rsidRDefault="009629C4">
            <w:pPr>
              <w:pStyle w:val="P68B1DB1-Normal121"/>
              <w:spacing w:after="0" w:line="240" w:lineRule="auto"/>
              <w:jc w:val="center"/>
              <w:rPr>
                <w:noProof/>
              </w:rPr>
            </w:pPr>
            <w:r>
              <w:rPr>
                <w:noProof/>
              </w:rPr>
              <w:t>M5C1–16</w:t>
            </w:r>
          </w:p>
        </w:tc>
        <w:tc>
          <w:tcPr>
            <w:tcW w:w="3543" w:type="dxa"/>
            <w:shd w:val="clear" w:color="auto" w:fill="C6EFCE"/>
            <w:tcMar>
              <w:left w:w="108" w:type="dxa"/>
              <w:right w:w="108" w:type="dxa"/>
            </w:tcMar>
            <w:vAlign w:val="center"/>
          </w:tcPr>
          <w:p w14:paraId="5ED66C5E" w14:textId="77777777" w:rsidR="00E42B18" w:rsidRDefault="009629C4">
            <w:pPr>
              <w:pStyle w:val="P68B1DB1-Normal121"/>
              <w:spacing w:after="0" w:line="240" w:lineRule="auto"/>
              <w:rPr>
                <w:noProof/>
              </w:rPr>
            </w:pPr>
            <w:r>
              <w:rPr>
                <w:noProof/>
              </w:rPr>
              <w:t>Investointi 4 – Yleinen julkishallinto</w:t>
            </w:r>
          </w:p>
        </w:tc>
        <w:tc>
          <w:tcPr>
            <w:tcW w:w="1418" w:type="dxa"/>
            <w:shd w:val="clear" w:color="auto" w:fill="C6EFCE"/>
            <w:tcMar>
              <w:left w:w="108" w:type="dxa"/>
              <w:right w:w="108" w:type="dxa"/>
            </w:tcMar>
            <w:vAlign w:val="center"/>
          </w:tcPr>
          <w:p w14:paraId="63084B3B"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503B04A7" w14:textId="77777777" w:rsidR="00E42B18" w:rsidRDefault="009629C4">
            <w:pPr>
              <w:pStyle w:val="P68B1DB1-Normal121"/>
              <w:spacing w:after="0" w:line="240" w:lineRule="auto"/>
              <w:rPr>
                <w:noProof/>
              </w:rPr>
            </w:pPr>
            <w:r>
              <w:rPr>
                <w:noProof/>
              </w:rPr>
              <w:t>Ihmiset ovat osallistuneet nelivuotiskaudella 2021–2024 käynnistettyihin julkishallinnon yleispalveluhankkeisiin ja saaneet asiaankuuluvan sertifioinnin.</w:t>
            </w:r>
          </w:p>
        </w:tc>
      </w:tr>
      <w:tr w:rsidR="00E42B18" w14:paraId="05A88588" w14:textId="77777777">
        <w:trPr>
          <w:trHeight w:val="300"/>
        </w:trPr>
        <w:tc>
          <w:tcPr>
            <w:tcW w:w="1435" w:type="dxa"/>
            <w:shd w:val="clear" w:color="auto" w:fill="C6EFCE"/>
            <w:tcMar>
              <w:left w:w="108" w:type="dxa"/>
              <w:right w:w="108" w:type="dxa"/>
            </w:tcMar>
            <w:vAlign w:val="center"/>
          </w:tcPr>
          <w:p w14:paraId="24896419" w14:textId="77777777" w:rsidR="00E42B18" w:rsidRDefault="009629C4">
            <w:pPr>
              <w:pStyle w:val="P68B1DB1-Normal121"/>
              <w:spacing w:after="0" w:line="240" w:lineRule="auto"/>
              <w:jc w:val="center"/>
              <w:rPr>
                <w:noProof/>
              </w:rPr>
            </w:pPr>
            <w:r>
              <w:rPr>
                <w:noProof/>
              </w:rPr>
              <w:t>M5C3–4</w:t>
            </w:r>
          </w:p>
        </w:tc>
        <w:tc>
          <w:tcPr>
            <w:tcW w:w="3543" w:type="dxa"/>
            <w:shd w:val="clear" w:color="auto" w:fill="C6EFCE"/>
            <w:tcMar>
              <w:left w:w="108" w:type="dxa"/>
              <w:right w:w="108" w:type="dxa"/>
            </w:tcMar>
            <w:vAlign w:val="center"/>
          </w:tcPr>
          <w:p w14:paraId="45D1D41F" w14:textId="77777777" w:rsidR="00E42B18" w:rsidRDefault="009629C4">
            <w:pPr>
              <w:pStyle w:val="P68B1DB1-Normal121"/>
              <w:spacing w:after="0" w:line="240" w:lineRule="auto"/>
              <w:rPr>
                <w:noProof/>
              </w:rPr>
            </w:pPr>
            <w:r>
              <w:rPr>
                <w:noProof/>
              </w:rPr>
              <w:t>Investointi 2: Terveydenhuollon alueellinen läheisyys</w:t>
            </w:r>
          </w:p>
        </w:tc>
        <w:tc>
          <w:tcPr>
            <w:tcW w:w="1418" w:type="dxa"/>
            <w:shd w:val="clear" w:color="auto" w:fill="C6EFCE"/>
            <w:tcMar>
              <w:left w:w="108" w:type="dxa"/>
              <w:right w:w="108" w:type="dxa"/>
            </w:tcMar>
            <w:vAlign w:val="center"/>
          </w:tcPr>
          <w:p w14:paraId="1DC38D38"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720D5CA8" w14:textId="77777777" w:rsidR="00E42B18" w:rsidRDefault="009629C4">
            <w:pPr>
              <w:pStyle w:val="P68B1DB1-Normal121"/>
              <w:spacing w:after="0" w:line="240" w:lineRule="auto"/>
              <w:rPr>
                <w:noProof/>
              </w:rPr>
            </w:pPr>
            <w:r>
              <w:rPr>
                <w:noProof/>
              </w:rPr>
              <w:t>Tuki alle 5000 asukkaan kuntien, hamletien tai asutusalueiden maaseutuapteekeille (toinen erä)</w:t>
            </w:r>
          </w:p>
        </w:tc>
      </w:tr>
      <w:tr w:rsidR="00E42B18" w14:paraId="6CB60507" w14:textId="77777777">
        <w:trPr>
          <w:trHeight w:val="300"/>
        </w:trPr>
        <w:tc>
          <w:tcPr>
            <w:tcW w:w="1435" w:type="dxa"/>
            <w:shd w:val="clear" w:color="auto" w:fill="C6EFCE"/>
            <w:tcMar>
              <w:left w:w="108" w:type="dxa"/>
              <w:right w:w="108" w:type="dxa"/>
            </w:tcMar>
            <w:vAlign w:val="center"/>
          </w:tcPr>
          <w:p w14:paraId="2D17667C" w14:textId="77777777" w:rsidR="00E42B18" w:rsidRDefault="009629C4">
            <w:pPr>
              <w:pStyle w:val="P68B1DB1-Normal121"/>
              <w:spacing w:after="0" w:line="240" w:lineRule="auto"/>
              <w:jc w:val="center"/>
              <w:rPr>
                <w:noProof/>
              </w:rPr>
            </w:pPr>
            <w:r>
              <w:rPr>
                <w:noProof/>
              </w:rPr>
              <w:t>M7–11</w:t>
            </w:r>
          </w:p>
        </w:tc>
        <w:tc>
          <w:tcPr>
            <w:tcW w:w="3543" w:type="dxa"/>
            <w:shd w:val="clear" w:color="auto" w:fill="C6EFCE"/>
            <w:tcMar>
              <w:left w:w="108" w:type="dxa"/>
              <w:right w:w="108" w:type="dxa"/>
            </w:tcMar>
            <w:vAlign w:val="center"/>
          </w:tcPr>
          <w:p w14:paraId="75C35FBC" w14:textId="77777777" w:rsidR="00E42B18" w:rsidRDefault="009629C4">
            <w:pPr>
              <w:pStyle w:val="P68B1DB1-Normal121"/>
              <w:spacing w:after="0" w:line="240" w:lineRule="auto"/>
              <w:rPr>
                <w:noProof/>
              </w:rPr>
            </w:pPr>
            <w:r>
              <w:rPr>
                <w:noProof/>
              </w:rPr>
              <w:t>Investointi 1: Laajennettu toimenpide: Älykkäät verkot</w:t>
            </w:r>
          </w:p>
        </w:tc>
        <w:tc>
          <w:tcPr>
            <w:tcW w:w="1418" w:type="dxa"/>
            <w:shd w:val="clear" w:color="auto" w:fill="C6EFCE"/>
            <w:tcMar>
              <w:left w:w="108" w:type="dxa"/>
              <w:right w:w="108" w:type="dxa"/>
            </w:tcMar>
            <w:vAlign w:val="center"/>
          </w:tcPr>
          <w:p w14:paraId="633CB471"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2AE34AB6" w14:textId="77777777" w:rsidR="00E42B18" w:rsidRDefault="009629C4">
            <w:pPr>
              <w:pStyle w:val="P68B1DB1-Normal121"/>
              <w:spacing w:after="0" w:line="240" w:lineRule="auto"/>
              <w:rPr>
                <w:noProof/>
              </w:rPr>
            </w:pPr>
            <w:r>
              <w:rPr>
                <w:noProof/>
              </w:rPr>
              <w:t>Älykkäät verkot – energiankulutuksen sähköistäminen</w:t>
            </w:r>
          </w:p>
        </w:tc>
      </w:tr>
      <w:tr w:rsidR="00E42B18" w14:paraId="508477EE" w14:textId="77777777">
        <w:trPr>
          <w:trHeight w:val="300"/>
        </w:trPr>
        <w:tc>
          <w:tcPr>
            <w:tcW w:w="1435" w:type="dxa"/>
            <w:shd w:val="clear" w:color="auto" w:fill="C6EFCE"/>
            <w:tcMar>
              <w:left w:w="108" w:type="dxa"/>
              <w:right w:w="108" w:type="dxa"/>
            </w:tcMar>
            <w:vAlign w:val="center"/>
          </w:tcPr>
          <w:p w14:paraId="1DEBC060" w14:textId="77777777" w:rsidR="00E42B18" w:rsidRDefault="009629C4">
            <w:pPr>
              <w:pStyle w:val="P68B1DB1-Normal121"/>
              <w:spacing w:after="0" w:line="240" w:lineRule="auto"/>
              <w:jc w:val="center"/>
              <w:rPr>
                <w:noProof/>
              </w:rPr>
            </w:pPr>
            <w:r>
              <w:rPr>
                <w:noProof/>
              </w:rPr>
              <w:t>M7–12</w:t>
            </w:r>
          </w:p>
        </w:tc>
        <w:tc>
          <w:tcPr>
            <w:tcW w:w="3543" w:type="dxa"/>
            <w:shd w:val="clear" w:color="auto" w:fill="C6EFCE"/>
            <w:tcMar>
              <w:left w:w="108" w:type="dxa"/>
              <w:right w:w="108" w:type="dxa"/>
            </w:tcMar>
            <w:vAlign w:val="center"/>
          </w:tcPr>
          <w:p w14:paraId="783FECD3" w14:textId="77777777" w:rsidR="00E42B18" w:rsidRDefault="009629C4">
            <w:pPr>
              <w:pStyle w:val="P68B1DB1-Normal121"/>
              <w:spacing w:after="0" w:line="240" w:lineRule="auto"/>
              <w:rPr>
                <w:noProof/>
              </w:rPr>
            </w:pPr>
            <w:r>
              <w:rPr>
                <w:noProof/>
              </w:rPr>
              <w:t>Investointi 2: Laajennettu toimenpide: Toimet sähköverkon häiriönsietokyvyn parantamiseksi</w:t>
            </w:r>
          </w:p>
        </w:tc>
        <w:tc>
          <w:tcPr>
            <w:tcW w:w="1418" w:type="dxa"/>
            <w:shd w:val="clear" w:color="auto" w:fill="C6EFCE"/>
            <w:tcMar>
              <w:left w:w="108" w:type="dxa"/>
              <w:right w:w="108" w:type="dxa"/>
            </w:tcMar>
            <w:vAlign w:val="center"/>
          </w:tcPr>
          <w:p w14:paraId="476D6592"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4ADE62E3" w14:textId="77777777" w:rsidR="00E42B18" w:rsidRDefault="009629C4">
            <w:pPr>
              <w:pStyle w:val="P68B1DB1-Normal121"/>
              <w:spacing w:after="0" w:line="240" w:lineRule="auto"/>
              <w:rPr>
                <w:noProof/>
              </w:rPr>
            </w:pPr>
            <w:r>
              <w:rPr>
                <w:noProof/>
              </w:rPr>
              <w:t>Sähköverkkoverkon häiriönsietokyvyn parantaminen</w:t>
            </w:r>
          </w:p>
        </w:tc>
      </w:tr>
      <w:tr w:rsidR="00E42B18" w14:paraId="59602E8E" w14:textId="77777777">
        <w:trPr>
          <w:trHeight w:val="300"/>
        </w:trPr>
        <w:tc>
          <w:tcPr>
            <w:tcW w:w="1435" w:type="dxa"/>
            <w:shd w:val="clear" w:color="auto" w:fill="C6EFCE"/>
            <w:tcMar>
              <w:left w:w="108" w:type="dxa"/>
              <w:right w:w="108" w:type="dxa"/>
            </w:tcMar>
            <w:vAlign w:val="center"/>
          </w:tcPr>
          <w:p w14:paraId="04F9BAA9" w14:textId="77777777" w:rsidR="00E42B18" w:rsidRDefault="009629C4">
            <w:pPr>
              <w:pStyle w:val="P68B1DB1-Normal121"/>
              <w:spacing w:after="0" w:line="240" w:lineRule="auto"/>
              <w:jc w:val="center"/>
              <w:rPr>
                <w:noProof/>
              </w:rPr>
            </w:pPr>
            <w:r>
              <w:rPr>
                <w:noProof/>
              </w:rPr>
              <w:t>M7–13</w:t>
            </w:r>
          </w:p>
        </w:tc>
        <w:tc>
          <w:tcPr>
            <w:tcW w:w="3543" w:type="dxa"/>
            <w:shd w:val="clear" w:color="auto" w:fill="C6EFCE"/>
            <w:tcMar>
              <w:left w:w="108" w:type="dxa"/>
              <w:right w:w="108" w:type="dxa"/>
            </w:tcMar>
            <w:vAlign w:val="center"/>
          </w:tcPr>
          <w:p w14:paraId="7B7A86A9" w14:textId="77777777" w:rsidR="00E42B18" w:rsidRDefault="009629C4">
            <w:pPr>
              <w:pStyle w:val="P68B1DB1-Normal121"/>
              <w:spacing w:after="0" w:line="240" w:lineRule="auto"/>
              <w:rPr>
                <w:noProof/>
              </w:rPr>
            </w:pPr>
            <w:r>
              <w:rPr>
                <w:noProof/>
              </w:rPr>
              <w:t>Investointi 3: Laajennettu toimenpide: Vedyn tuotanto ympäristövaurioalueilla (vetylaaksot)</w:t>
            </w:r>
          </w:p>
        </w:tc>
        <w:tc>
          <w:tcPr>
            <w:tcW w:w="1418" w:type="dxa"/>
            <w:shd w:val="clear" w:color="auto" w:fill="C6EFCE"/>
            <w:tcMar>
              <w:left w:w="108" w:type="dxa"/>
              <w:right w:w="108" w:type="dxa"/>
            </w:tcMar>
            <w:vAlign w:val="center"/>
          </w:tcPr>
          <w:p w14:paraId="268CF41D"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087DB39C" w14:textId="77777777" w:rsidR="00E42B18" w:rsidRDefault="009629C4">
            <w:pPr>
              <w:pStyle w:val="P68B1DB1-Normal121"/>
              <w:spacing w:after="0" w:line="240" w:lineRule="auto"/>
              <w:rPr>
                <w:noProof/>
              </w:rPr>
            </w:pPr>
            <w:r>
              <w:rPr>
                <w:noProof/>
              </w:rPr>
              <w:t>Toteutettu hanke</w:t>
            </w:r>
          </w:p>
        </w:tc>
      </w:tr>
      <w:tr w:rsidR="00E42B18" w14:paraId="088EAFF5" w14:textId="77777777">
        <w:trPr>
          <w:trHeight w:val="300"/>
        </w:trPr>
        <w:tc>
          <w:tcPr>
            <w:tcW w:w="1435" w:type="dxa"/>
            <w:shd w:val="clear" w:color="auto" w:fill="C6EFCE"/>
            <w:tcMar>
              <w:left w:w="108" w:type="dxa"/>
              <w:right w:w="108" w:type="dxa"/>
            </w:tcMar>
            <w:vAlign w:val="center"/>
          </w:tcPr>
          <w:p w14:paraId="59E6D0FB" w14:textId="77777777" w:rsidR="00E42B18" w:rsidRDefault="009629C4">
            <w:pPr>
              <w:pStyle w:val="P68B1DB1-Normal121"/>
              <w:spacing w:after="0" w:line="240" w:lineRule="auto"/>
              <w:jc w:val="center"/>
              <w:rPr>
                <w:noProof/>
              </w:rPr>
            </w:pPr>
            <w:r>
              <w:rPr>
                <w:noProof/>
              </w:rPr>
              <w:t>M7–15</w:t>
            </w:r>
          </w:p>
        </w:tc>
        <w:tc>
          <w:tcPr>
            <w:tcW w:w="3543" w:type="dxa"/>
            <w:shd w:val="clear" w:color="auto" w:fill="C6EFCE"/>
            <w:tcMar>
              <w:left w:w="108" w:type="dxa"/>
              <w:right w:w="108" w:type="dxa"/>
            </w:tcMar>
            <w:vAlign w:val="center"/>
          </w:tcPr>
          <w:p w14:paraId="06EC0D65" w14:textId="77777777" w:rsidR="00E42B18" w:rsidRDefault="009629C4">
            <w:pPr>
              <w:pStyle w:val="P68B1DB1-Normal121"/>
              <w:spacing w:after="0" w:line="240" w:lineRule="auto"/>
              <w:rPr>
                <w:noProof/>
              </w:rPr>
            </w:pPr>
            <w:r>
              <w:rPr>
                <w:noProof/>
              </w:rPr>
              <w:t>Investointi 4: Tyrrhenian-linkki</w:t>
            </w:r>
          </w:p>
        </w:tc>
        <w:tc>
          <w:tcPr>
            <w:tcW w:w="1418" w:type="dxa"/>
            <w:shd w:val="clear" w:color="auto" w:fill="C6EFCE"/>
            <w:tcMar>
              <w:left w:w="108" w:type="dxa"/>
              <w:right w:w="108" w:type="dxa"/>
            </w:tcMar>
            <w:vAlign w:val="center"/>
          </w:tcPr>
          <w:p w14:paraId="28CA97DC"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7F30A74A" w14:textId="77777777" w:rsidR="00E42B18" w:rsidRDefault="009629C4">
            <w:pPr>
              <w:pStyle w:val="P68B1DB1-Normal121"/>
              <w:spacing w:after="0" w:line="240" w:lineRule="auto"/>
              <w:rPr>
                <w:noProof/>
              </w:rPr>
            </w:pPr>
            <w:r>
              <w:rPr>
                <w:noProof/>
              </w:rPr>
              <w:t>Kaapelointi</w:t>
            </w:r>
          </w:p>
        </w:tc>
      </w:tr>
      <w:tr w:rsidR="00E42B18" w14:paraId="36FA4341" w14:textId="77777777">
        <w:trPr>
          <w:trHeight w:val="300"/>
        </w:trPr>
        <w:tc>
          <w:tcPr>
            <w:tcW w:w="1435" w:type="dxa"/>
            <w:shd w:val="clear" w:color="auto" w:fill="C6EFCE"/>
            <w:tcMar>
              <w:left w:w="108" w:type="dxa"/>
              <w:right w:w="108" w:type="dxa"/>
            </w:tcMar>
            <w:vAlign w:val="center"/>
          </w:tcPr>
          <w:p w14:paraId="6500F709" w14:textId="77777777" w:rsidR="00E42B18" w:rsidRDefault="009629C4">
            <w:pPr>
              <w:pStyle w:val="P68B1DB1-Normal121"/>
              <w:spacing w:after="0" w:line="240" w:lineRule="auto"/>
              <w:jc w:val="center"/>
              <w:rPr>
                <w:noProof/>
              </w:rPr>
            </w:pPr>
            <w:r>
              <w:rPr>
                <w:noProof/>
              </w:rPr>
              <w:t>M7–17</w:t>
            </w:r>
          </w:p>
        </w:tc>
        <w:tc>
          <w:tcPr>
            <w:tcW w:w="3543" w:type="dxa"/>
            <w:shd w:val="clear" w:color="auto" w:fill="C6EFCE"/>
            <w:tcMar>
              <w:left w:w="108" w:type="dxa"/>
              <w:right w:w="108" w:type="dxa"/>
            </w:tcMar>
            <w:vAlign w:val="center"/>
          </w:tcPr>
          <w:p w14:paraId="7111F47A" w14:textId="77777777" w:rsidR="00E42B18" w:rsidRDefault="009629C4">
            <w:pPr>
              <w:pStyle w:val="P68B1DB1-Normal121"/>
              <w:spacing w:after="0" w:line="240" w:lineRule="auto"/>
              <w:rPr>
                <w:noProof/>
              </w:rPr>
            </w:pPr>
            <w:r>
              <w:rPr>
                <w:noProof/>
              </w:rPr>
              <w:t>Investointi 5: SA.CO.I.3</w:t>
            </w:r>
          </w:p>
        </w:tc>
        <w:tc>
          <w:tcPr>
            <w:tcW w:w="1418" w:type="dxa"/>
            <w:shd w:val="clear" w:color="auto" w:fill="C6EFCE"/>
            <w:tcMar>
              <w:left w:w="108" w:type="dxa"/>
              <w:right w:w="108" w:type="dxa"/>
            </w:tcMar>
            <w:vAlign w:val="center"/>
          </w:tcPr>
          <w:p w14:paraId="58DCCEDA"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29F855A4" w14:textId="77777777" w:rsidR="00E42B18" w:rsidRDefault="009629C4">
            <w:pPr>
              <w:pStyle w:val="P68B1DB1-Normal121"/>
              <w:spacing w:after="0" w:line="240" w:lineRule="auto"/>
              <w:rPr>
                <w:noProof/>
              </w:rPr>
            </w:pPr>
            <w:r>
              <w:rPr>
                <w:noProof/>
              </w:rPr>
              <w:t>Sardinian (Codrongianos) ja Toscanan (Suvereto) konversioasemien kuorten valmistuminen</w:t>
            </w:r>
          </w:p>
        </w:tc>
      </w:tr>
      <w:tr w:rsidR="00E42B18" w14:paraId="714DB080" w14:textId="77777777">
        <w:trPr>
          <w:trHeight w:val="300"/>
        </w:trPr>
        <w:tc>
          <w:tcPr>
            <w:tcW w:w="1435" w:type="dxa"/>
            <w:shd w:val="clear" w:color="auto" w:fill="C6EFCE"/>
            <w:tcMar>
              <w:left w:w="108" w:type="dxa"/>
              <w:right w:w="108" w:type="dxa"/>
            </w:tcMar>
            <w:vAlign w:val="center"/>
          </w:tcPr>
          <w:p w14:paraId="7C03D58A" w14:textId="77777777" w:rsidR="00E42B18" w:rsidRDefault="009629C4">
            <w:pPr>
              <w:pStyle w:val="P68B1DB1-Normal121"/>
              <w:spacing w:after="0" w:line="240" w:lineRule="auto"/>
              <w:jc w:val="center"/>
              <w:rPr>
                <w:noProof/>
              </w:rPr>
            </w:pPr>
            <w:r>
              <w:rPr>
                <w:noProof/>
              </w:rPr>
              <w:t>M7–22</w:t>
            </w:r>
          </w:p>
        </w:tc>
        <w:tc>
          <w:tcPr>
            <w:tcW w:w="3543" w:type="dxa"/>
            <w:shd w:val="clear" w:color="auto" w:fill="C6EFCE"/>
            <w:tcMar>
              <w:left w:w="108" w:type="dxa"/>
              <w:right w:w="108" w:type="dxa"/>
            </w:tcMar>
            <w:vAlign w:val="center"/>
          </w:tcPr>
          <w:p w14:paraId="3A240B11" w14:textId="77777777" w:rsidR="00E42B18" w:rsidRDefault="009629C4">
            <w:pPr>
              <w:pStyle w:val="P68B1DB1-Normal121"/>
              <w:spacing w:after="0" w:line="240" w:lineRule="auto"/>
              <w:rPr>
                <w:noProof/>
              </w:rPr>
            </w:pPr>
            <w:r>
              <w:rPr>
                <w:noProof/>
              </w:rPr>
              <w:t>Investointi 7: Älykäs kansallinen siirtoverkko</w:t>
            </w:r>
          </w:p>
        </w:tc>
        <w:tc>
          <w:tcPr>
            <w:tcW w:w="1418" w:type="dxa"/>
            <w:shd w:val="clear" w:color="auto" w:fill="C6EFCE"/>
            <w:tcMar>
              <w:left w:w="108" w:type="dxa"/>
              <w:right w:w="108" w:type="dxa"/>
            </w:tcMar>
            <w:vAlign w:val="center"/>
          </w:tcPr>
          <w:p w14:paraId="13C94F70"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2CF9415F" w14:textId="5E350D26" w:rsidR="00E42B18" w:rsidRDefault="009629C4">
            <w:pPr>
              <w:pStyle w:val="P68B1DB1-Normal121"/>
              <w:spacing w:after="0" w:line="240" w:lineRule="auto"/>
              <w:rPr>
                <w:noProof/>
              </w:rPr>
            </w:pPr>
            <w:r>
              <w:rPr>
                <w:noProof/>
              </w:rPr>
              <w:t>5G-laitteiden, tieto- ja viestintätekniikan arkkitehtuurin, suojatun protokollan 104 asentaminen sähköasemille ja teollisen esineiden internetin asentaminen sähköpylväisiin</w:t>
            </w:r>
          </w:p>
        </w:tc>
      </w:tr>
      <w:tr w:rsidR="00E42B18" w14:paraId="03A43BA9" w14:textId="77777777">
        <w:trPr>
          <w:trHeight w:val="300"/>
        </w:trPr>
        <w:tc>
          <w:tcPr>
            <w:tcW w:w="1435" w:type="dxa"/>
            <w:shd w:val="clear" w:color="auto" w:fill="C6EFCE"/>
            <w:tcMar>
              <w:left w:w="108" w:type="dxa"/>
              <w:right w:w="108" w:type="dxa"/>
            </w:tcMar>
            <w:vAlign w:val="center"/>
          </w:tcPr>
          <w:p w14:paraId="1718DBB6" w14:textId="77777777" w:rsidR="00E42B18" w:rsidRDefault="009629C4">
            <w:pPr>
              <w:pStyle w:val="P68B1DB1-Normal121"/>
              <w:spacing w:after="0" w:line="240" w:lineRule="auto"/>
              <w:jc w:val="center"/>
              <w:rPr>
                <w:noProof/>
              </w:rPr>
            </w:pPr>
            <w:r>
              <w:rPr>
                <w:noProof/>
              </w:rPr>
              <w:t>M7–27</w:t>
            </w:r>
          </w:p>
        </w:tc>
        <w:tc>
          <w:tcPr>
            <w:tcW w:w="3543" w:type="dxa"/>
            <w:shd w:val="clear" w:color="auto" w:fill="C6EFCE"/>
            <w:tcMar>
              <w:left w:w="108" w:type="dxa"/>
              <w:right w:w="108" w:type="dxa"/>
            </w:tcMar>
            <w:vAlign w:val="center"/>
          </w:tcPr>
          <w:p w14:paraId="2FB19063" w14:textId="77777777" w:rsidR="00E42B18" w:rsidRDefault="009629C4">
            <w:pPr>
              <w:pStyle w:val="P68B1DB1-Normal121"/>
              <w:spacing w:after="0" w:line="240" w:lineRule="auto"/>
              <w:rPr>
                <w:noProof/>
              </w:rPr>
            </w:pPr>
            <w:r>
              <w:rPr>
                <w:noProof/>
              </w:rPr>
              <w:t>Investointi 8: Kriittisten raaka-aineiden kestävät, kiertotalouteen perustuvat ja turvatut toimitukset</w:t>
            </w:r>
          </w:p>
        </w:tc>
        <w:tc>
          <w:tcPr>
            <w:tcW w:w="1418" w:type="dxa"/>
            <w:shd w:val="clear" w:color="auto" w:fill="C6EFCE"/>
            <w:tcMar>
              <w:left w:w="108" w:type="dxa"/>
              <w:right w:w="108" w:type="dxa"/>
            </w:tcMar>
            <w:vAlign w:val="center"/>
          </w:tcPr>
          <w:p w14:paraId="49FCF371"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081408DA" w14:textId="77777777" w:rsidR="00E42B18" w:rsidRDefault="009629C4">
            <w:pPr>
              <w:pStyle w:val="P68B1DB1-Normal121"/>
              <w:spacing w:after="0" w:line="240" w:lineRule="auto"/>
              <w:rPr>
                <w:noProof/>
              </w:rPr>
            </w:pPr>
            <w:r>
              <w:rPr>
                <w:noProof/>
              </w:rPr>
              <w:t xml:space="preserve">Kaupunkien kaivostoimintaa ja ekologista suunnittelua koskevat tutkimus- ja kehityshankkeet ja laboratorioiden laitteet </w:t>
            </w:r>
          </w:p>
        </w:tc>
      </w:tr>
      <w:tr w:rsidR="00E42B18" w14:paraId="028746FF" w14:textId="77777777">
        <w:trPr>
          <w:trHeight w:val="300"/>
        </w:trPr>
        <w:tc>
          <w:tcPr>
            <w:tcW w:w="1435" w:type="dxa"/>
            <w:shd w:val="clear" w:color="auto" w:fill="C6EFCE"/>
            <w:tcMar>
              <w:left w:w="108" w:type="dxa"/>
              <w:right w:w="108" w:type="dxa"/>
            </w:tcMar>
            <w:vAlign w:val="center"/>
          </w:tcPr>
          <w:p w14:paraId="4E91792B" w14:textId="77777777" w:rsidR="00E42B18" w:rsidRDefault="009629C4">
            <w:pPr>
              <w:pStyle w:val="P68B1DB1-Normal121"/>
              <w:spacing w:after="0" w:line="240" w:lineRule="auto"/>
              <w:jc w:val="center"/>
              <w:rPr>
                <w:noProof/>
              </w:rPr>
            </w:pPr>
            <w:r>
              <w:rPr>
                <w:noProof/>
              </w:rPr>
              <w:t>M7–31</w:t>
            </w:r>
          </w:p>
        </w:tc>
        <w:tc>
          <w:tcPr>
            <w:tcW w:w="3543" w:type="dxa"/>
            <w:shd w:val="clear" w:color="auto" w:fill="C6EFCE"/>
            <w:tcMar>
              <w:left w:w="108" w:type="dxa"/>
              <w:right w:w="108" w:type="dxa"/>
            </w:tcMar>
            <w:vAlign w:val="center"/>
          </w:tcPr>
          <w:p w14:paraId="3DE237FE" w14:textId="77777777" w:rsidR="00E42B18" w:rsidRDefault="009629C4">
            <w:pPr>
              <w:pStyle w:val="P68B1DB1-Normal121"/>
              <w:spacing w:after="0" w:line="240" w:lineRule="auto"/>
              <w:rPr>
                <w:noProof/>
              </w:rPr>
            </w:pPr>
            <w:r>
              <w:rPr>
                <w:noProof/>
              </w:rPr>
              <w:t>Investointi 11:  Alueellisen julkisen liikenteen rautatiekaluston vahvistaminen päästöttömillä junilla ja yleispalvelulla</w:t>
            </w:r>
          </w:p>
        </w:tc>
        <w:tc>
          <w:tcPr>
            <w:tcW w:w="1418" w:type="dxa"/>
            <w:shd w:val="clear" w:color="auto" w:fill="C6EFCE"/>
            <w:tcMar>
              <w:left w:w="108" w:type="dxa"/>
              <w:right w:w="108" w:type="dxa"/>
            </w:tcMar>
            <w:vAlign w:val="center"/>
          </w:tcPr>
          <w:p w14:paraId="2A8AEF28"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2F0589E1" w14:textId="77777777" w:rsidR="00E42B18" w:rsidRDefault="009629C4">
            <w:pPr>
              <w:pStyle w:val="P68B1DB1-Normal121"/>
              <w:spacing w:after="0" w:line="240" w:lineRule="auto"/>
              <w:rPr>
                <w:noProof/>
              </w:rPr>
            </w:pPr>
            <w:r>
              <w:rPr>
                <w:noProof/>
              </w:rPr>
              <w:t>Rekisteröityjen junien lukumäärä</w:t>
            </w:r>
          </w:p>
        </w:tc>
      </w:tr>
      <w:tr w:rsidR="00E42B18" w14:paraId="702E6BE9" w14:textId="77777777">
        <w:trPr>
          <w:trHeight w:val="300"/>
        </w:trPr>
        <w:tc>
          <w:tcPr>
            <w:tcW w:w="1435" w:type="dxa"/>
            <w:shd w:val="clear" w:color="auto" w:fill="C6EFCE"/>
            <w:tcMar>
              <w:left w:w="108" w:type="dxa"/>
              <w:right w:w="108" w:type="dxa"/>
            </w:tcMar>
            <w:vAlign w:val="center"/>
          </w:tcPr>
          <w:p w14:paraId="1ABB5857" w14:textId="77777777" w:rsidR="00E42B18" w:rsidRDefault="009629C4">
            <w:pPr>
              <w:pStyle w:val="P68B1DB1-Normal121"/>
              <w:spacing w:after="0" w:line="240" w:lineRule="auto"/>
              <w:jc w:val="center"/>
              <w:rPr>
                <w:noProof/>
              </w:rPr>
            </w:pPr>
            <w:r>
              <w:rPr>
                <w:noProof/>
              </w:rPr>
              <w:t>M2C2–30</w:t>
            </w:r>
          </w:p>
        </w:tc>
        <w:tc>
          <w:tcPr>
            <w:tcW w:w="3543" w:type="dxa"/>
            <w:shd w:val="clear" w:color="auto" w:fill="C6EFCE"/>
            <w:tcMar>
              <w:left w:w="108" w:type="dxa"/>
              <w:right w:w="108" w:type="dxa"/>
            </w:tcMar>
            <w:vAlign w:val="center"/>
          </w:tcPr>
          <w:p w14:paraId="2038C1D3" w14:textId="77777777" w:rsidR="00E42B18" w:rsidRDefault="009629C4">
            <w:pPr>
              <w:pStyle w:val="P68B1DB1-Normal121"/>
              <w:spacing w:after="0" w:line="240" w:lineRule="auto"/>
              <w:rPr>
                <w:noProof/>
              </w:rPr>
            </w:pPr>
            <w:r>
              <w:rPr>
                <w:noProof/>
              </w:rPr>
              <w:t>Investointi 4.5 – Yksityisten ja kevyiden hyötyajoneuvojen ajoneuvokannan uudistamisohjelma sähköajoneuvoilla</w:t>
            </w:r>
          </w:p>
        </w:tc>
        <w:tc>
          <w:tcPr>
            <w:tcW w:w="1418" w:type="dxa"/>
            <w:shd w:val="clear" w:color="auto" w:fill="C6EFCE"/>
            <w:tcMar>
              <w:left w:w="108" w:type="dxa"/>
              <w:right w:w="108" w:type="dxa"/>
            </w:tcMar>
            <w:vAlign w:val="center"/>
          </w:tcPr>
          <w:p w14:paraId="3C707952"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41EB0512" w14:textId="77777777" w:rsidR="00E42B18" w:rsidRDefault="009629C4">
            <w:pPr>
              <w:pStyle w:val="P68B1DB1-Normal121"/>
              <w:spacing w:after="0" w:line="240" w:lineRule="auto"/>
              <w:rPr>
                <w:noProof/>
              </w:rPr>
            </w:pPr>
            <w:r>
              <w:rPr>
                <w:noProof/>
              </w:rPr>
              <w:t>Ostettujen ajoneuvojen lukumäärä</w:t>
            </w:r>
          </w:p>
        </w:tc>
      </w:tr>
      <w:tr w:rsidR="00E42B18" w14:paraId="3B4857A8" w14:textId="77777777">
        <w:trPr>
          <w:trHeight w:val="300"/>
        </w:trPr>
        <w:tc>
          <w:tcPr>
            <w:tcW w:w="1435" w:type="dxa"/>
            <w:shd w:val="clear" w:color="auto" w:fill="C6EFCE"/>
            <w:tcMar>
              <w:left w:w="108" w:type="dxa"/>
              <w:right w:w="108" w:type="dxa"/>
            </w:tcMar>
            <w:vAlign w:val="center"/>
          </w:tcPr>
          <w:p w14:paraId="3FEECAD2" w14:textId="77777777" w:rsidR="00E42B18" w:rsidRDefault="009629C4">
            <w:pPr>
              <w:pStyle w:val="P68B1DB1-Normal121"/>
              <w:spacing w:after="0" w:line="240" w:lineRule="auto"/>
              <w:jc w:val="center"/>
              <w:rPr>
                <w:noProof/>
              </w:rPr>
            </w:pPr>
            <w:r>
              <w:rPr>
                <w:noProof/>
              </w:rPr>
              <w:t>M1C2–14ter</w:t>
            </w:r>
          </w:p>
        </w:tc>
        <w:tc>
          <w:tcPr>
            <w:tcW w:w="3543" w:type="dxa"/>
            <w:shd w:val="clear" w:color="auto" w:fill="C6EFCE"/>
            <w:tcMar>
              <w:left w:w="108" w:type="dxa"/>
              <w:right w:w="108" w:type="dxa"/>
            </w:tcMar>
            <w:vAlign w:val="center"/>
          </w:tcPr>
          <w:p w14:paraId="46E7B9D3" w14:textId="77777777" w:rsidR="00E42B18" w:rsidRDefault="009629C4">
            <w:pPr>
              <w:pStyle w:val="P68B1DB1-Normal121"/>
              <w:spacing w:after="0" w:line="240" w:lineRule="auto"/>
              <w:rPr>
                <w:noProof/>
              </w:rPr>
            </w:pPr>
            <w:r>
              <w:rPr>
                <w:noProof/>
              </w:rPr>
              <w:t>Uudistus 3: yrityksille suunnattujen kannustimien järkeistäminen ja yksinkertaistaminen.</w:t>
            </w:r>
          </w:p>
        </w:tc>
        <w:tc>
          <w:tcPr>
            <w:tcW w:w="1418" w:type="dxa"/>
            <w:shd w:val="clear" w:color="auto" w:fill="C6EFCE"/>
            <w:tcMar>
              <w:left w:w="108" w:type="dxa"/>
              <w:right w:w="108" w:type="dxa"/>
            </w:tcMar>
            <w:vAlign w:val="center"/>
          </w:tcPr>
          <w:p w14:paraId="42D09DD5"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5843C779" w14:textId="77777777" w:rsidR="00E42B18" w:rsidRDefault="009629C4">
            <w:pPr>
              <w:pStyle w:val="P68B1DB1-Normal121"/>
              <w:spacing w:after="0" w:line="240" w:lineRule="auto"/>
              <w:rPr>
                <w:noProof/>
              </w:rPr>
            </w:pPr>
            <w:r>
              <w:rPr>
                <w:noProof/>
              </w:rPr>
              <w:t>Kiinteiden kannustimien järkeistämistä koskevien säädösten voimaantulo</w:t>
            </w:r>
          </w:p>
        </w:tc>
      </w:tr>
      <w:tr w:rsidR="00E42B18" w14:paraId="5FCEFDAF" w14:textId="77777777">
        <w:trPr>
          <w:trHeight w:val="300"/>
        </w:trPr>
        <w:tc>
          <w:tcPr>
            <w:tcW w:w="1435" w:type="dxa"/>
            <w:shd w:val="clear" w:color="auto" w:fill="C6EFCE"/>
            <w:tcMar>
              <w:left w:w="108" w:type="dxa"/>
              <w:right w:w="108" w:type="dxa"/>
            </w:tcMar>
            <w:vAlign w:val="center"/>
          </w:tcPr>
          <w:p w14:paraId="615794AE" w14:textId="77777777" w:rsidR="00E42B18" w:rsidRDefault="009629C4">
            <w:pPr>
              <w:pStyle w:val="P68B1DB1-Normal121"/>
              <w:spacing w:after="0" w:line="240" w:lineRule="auto"/>
              <w:jc w:val="center"/>
              <w:rPr>
                <w:noProof/>
              </w:rPr>
            </w:pPr>
            <w:r>
              <w:rPr>
                <w:noProof/>
              </w:rPr>
              <w:t>M4C1–14ter</w:t>
            </w:r>
          </w:p>
        </w:tc>
        <w:tc>
          <w:tcPr>
            <w:tcW w:w="3543" w:type="dxa"/>
            <w:shd w:val="clear" w:color="auto" w:fill="C6EFCE"/>
            <w:tcMar>
              <w:left w:w="108" w:type="dxa"/>
              <w:right w:w="108" w:type="dxa"/>
            </w:tcMar>
            <w:vAlign w:val="center"/>
          </w:tcPr>
          <w:p w14:paraId="77EFD071" w14:textId="77777777" w:rsidR="00E42B18" w:rsidRDefault="009629C4">
            <w:pPr>
              <w:pStyle w:val="P68B1DB1-Normal121"/>
              <w:spacing w:after="0" w:line="240" w:lineRule="auto"/>
              <w:rPr>
                <w:noProof/>
              </w:rPr>
            </w:pPr>
            <w:r>
              <w:rPr>
                <w:noProof/>
              </w:rPr>
              <w:t>Uudistus 2.1: Opettajien rekrytointi</w:t>
            </w:r>
          </w:p>
        </w:tc>
        <w:tc>
          <w:tcPr>
            <w:tcW w:w="1418" w:type="dxa"/>
            <w:shd w:val="clear" w:color="auto" w:fill="C6EFCE"/>
            <w:tcMar>
              <w:left w:w="108" w:type="dxa"/>
              <w:right w:w="108" w:type="dxa"/>
            </w:tcMar>
            <w:vAlign w:val="center"/>
          </w:tcPr>
          <w:p w14:paraId="461C7B35"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4DAF7958" w14:textId="77777777" w:rsidR="00E42B18" w:rsidRDefault="009629C4">
            <w:pPr>
              <w:pStyle w:val="P68B1DB1-Normal121"/>
              <w:spacing w:after="0" w:line="240" w:lineRule="auto"/>
              <w:rPr>
                <w:noProof/>
              </w:rPr>
            </w:pPr>
            <w:r>
              <w:rPr>
                <w:noProof/>
              </w:rPr>
              <w:t>Hakijat, jotka ovat läpäisseet julkisen kilpailun opettajien nimittämiseksi uudistetun palvelukseenottojärjestelmän mukaisesti</w:t>
            </w:r>
          </w:p>
        </w:tc>
      </w:tr>
      <w:tr w:rsidR="00E42B18" w14:paraId="14D1F30C" w14:textId="77777777">
        <w:trPr>
          <w:trHeight w:val="300"/>
        </w:trPr>
        <w:tc>
          <w:tcPr>
            <w:tcW w:w="1435" w:type="dxa"/>
            <w:shd w:val="clear" w:color="auto" w:fill="C6EFCE"/>
            <w:tcMar>
              <w:left w:w="108" w:type="dxa"/>
              <w:right w:w="108" w:type="dxa"/>
            </w:tcMar>
            <w:vAlign w:val="center"/>
          </w:tcPr>
          <w:p w14:paraId="22E6FED0" w14:textId="77777777" w:rsidR="00E42B18" w:rsidRDefault="009629C4">
            <w:pPr>
              <w:pStyle w:val="P68B1DB1-Normal121"/>
              <w:spacing w:after="0" w:line="240" w:lineRule="auto"/>
              <w:jc w:val="center"/>
              <w:rPr>
                <w:noProof/>
              </w:rPr>
            </w:pPr>
            <w:r>
              <w:rPr>
                <w:noProof/>
              </w:rPr>
              <w:t>M1C1–121 a</w:t>
            </w:r>
          </w:p>
        </w:tc>
        <w:tc>
          <w:tcPr>
            <w:tcW w:w="3543" w:type="dxa"/>
            <w:shd w:val="clear" w:color="auto" w:fill="C6EFCE"/>
            <w:tcMar>
              <w:left w:w="108" w:type="dxa"/>
              <w:right w:w="108" w:type="dxa"/>
            </w:tcMar>
            <w:vAlign w:val="center"/>
          </w:tcPr>
          <w:p w14:paraId="12CA3C0B" w14:textId="77777777" w:rsidR="00E42B18" w:rsidRDefault="009629C4">
            <w:pPr>
              <w:pStyle w:val="P68B1DB1-Normal121"/>
              <w:spacing w:after="0" w:line="240" w:lineRule="auto"/>
              <w:rPr>
                <w:noProof/>
              </w:rPr>
            </w:pPr>
            <w:r>
              <w:rPr>
                <w:noProof/>
              </w:rPr>
              <w:t>Uudistus 1.12: Verohallinnon uudistaminen</w:t>
            </w:r>
          </w:p>
        </w:tc>
        <w:tc>
          <w:tcPr>
            <w:tcW w:w="1418" w:type="dxa"/>
            <w:shd w:val="clear" w:color="auto" w:fill="C6EFCE"/>
            <w:tcMar>
              <w:left w:w="108" w:type="dxa"/>
              <w:right w:w="108" w:type="dxa"/>
            </w:tcMar>
            <w:vAlign w:val="center"/>
          </w:tcPr>
          <w:p w14:paraId="736E3A99"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66CB0028" w14:textId="77777777" w:rsidR="00E42B18" w:rsidRDefault="009629C4">
            <w:pPr>
              <w:pStyle w:val="P68B1DB1-Normal121"/>
              <w:spacing w:after="0" w:line="240" w:lineRule="auto"/>
              <w:rPr>
                <w:noProof/>
              </w:rPr>
            </w:pPr>
            <w:r>
              <w:rPr>
                <w:noProof/>
              </w:rPr>
              <w:t>Primääri- ja sekundäärilainsäädännön voimaantulo veronkannon parantamiseksi</w:t>
            </w:r>
          </w:p>
        </w:tc>
      </w:tr>
      <w:tr w:rsidR="00E42B18" w14:paraId="74F97F6D"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C052A7" w14:textId="77777777" w:rsidR="00E42B18" w:rsidRDefault="009629C4">
            <w:pPr>
              <w:pStyle w:val="P68B1DB1-Normal121"/>
              <w:spacing w:after="0" w:line="240" w:lineRule="auto"/>
              <w:jc w:val="center"/>
              <w:rPr>
                <w:noProof/>
              </w:rPr>
            </w:pPr>
            <w:r>
              <w:rPr>
                <w:noProof/>
              </w:rPr>
              <w:t>M2C2–29</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2F8843" w14:textId="77777777" w:rsidR="00E42B18" w:rsidRDefault="009629C4">
            <w:pPr>
              <w:pStyle w:val="P68B1DB1-Normal121"/>
              <w:spacing w:after="0" w:line="240" w:lineRule="auto"/>
              <w:rPr>
                <w:noProof/>
              </w:rPr>
            </w:pPr>
            <w:r>
              <w:rPr>
                <w:noProof/>
              </w:rPr>
              <w:t>Investointi 4.3 Latausinfrastruktuurien asentaminen</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8B6A00"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6E6A87" w14:textId="77777777" w:rsidR="00E42B18" w:rsidRDefault="009629C4">
            <w:pPr>
              <w:pStyle w:val="P68B1DB1-Normal121"/>
              <w:spacing w:after="0" w:line="240" w:lineRule="auto"/>
              <w:rPr>
                <w:noProof/>
              </w:rPr>
            </w:pPr>
            <w:r>
              <w:rPr>
                <w:noProof/>
              </w:rPr>
              <w:t>Nopeiden latausasemien lukumäärä</w:t>
            </w:r>
          </w:p>
        </w:tc>
      </w:tr>
      <w:tr w:rsidR="00E42B18" w14:paraId="611B1EB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9A7641" w14:textId="77777777" w:rsidR="00E42B18" w:rsidRDefault="009629C4">
            <w:pPr>
              <w:pStyle w:val="P68B1DB1-Normal121"/>
              <w:spacing w:after="0" w:line="240" w:lineRule="auto"/>
              <w:jc w:val="center"/>
              <w:rPr>
                <w:noProof/>
              </w:rPr>
            </w:pPr>
            <w:r>
              <w:rPr>
                <w:noProof/>
              </w:rPr>
              <w:t>M4C1–15a</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B7669E" w14:textId="77777777" w:rsidR="00E42B18" w:rsidRDefault="009629C4">
            <w:pPr>
              <w:pStyle w:val="P68B1DB1-Normal121"/>
              <w:spacing w:after="0" w:line="240" w:lineRule="auto"/>
              <w:rPr>
                <w:noProof/>
              </w:rPr>
            </w:pPr>
            <w:r>
              <w:rPr>
                <w:noProof/>
              </w:rPr>
              <w:t>Investointi 1.7: Yliopisto-opiskeluapurahat</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E88E6C"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AC8299" w14:textId="77777777" w:rsidR="00E42B18" w:rsidRDefault="009629C4">
            <w:pPr>
              <w:pStyle w:val="P68B1DB1-Normal121"/>
              <w:spacing w:after="0" w:line="240" w:lineRule="auto"/>
              <w:rPr>
                <w:noProof/>
              </w:rPr>
            </w:pPr>
            <w:r>
              <w:rPr>
                <w:noProof/>
              </w:rPr>
              <w:t>Korkeakouluopintoihin oikeuttavat apurahat</w:t>
            </w:r>
          </w:p>
        </w:tc>
      </w:tr>
      <w:tr w:rsidR="00E42B18" w14:paraId="0FFFC66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764B56" w14:textId="77777777" w:rsidR="00E42B18" w:rsidRDefault="009629C4">
            <w:pPr>
              <w:pStyle w:val="P68B1DB1-Normal121"/>
              <w:spacing w:after="0" w:line="240" w:lineRule="auto"/>
              <w:jc w:val="center"/>
              <w:rPr>
                <w:noProof/>
              </w:rPr>
            </w:pPr>
            <w:r>
              <w:rPr>
                <w:noProof/>
              </w:rPr>
              <w:t>M5C1–4a</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3521EC" w14:textId="77777777" w:rsidR="00E42B18" w:rsidRDefault="009629C4">
            <w:pPr>
              <w:pStyle w:val="P68B1DB1-Normal121"/>
              <w:spacing w:after="0" w:line="240" w:lineRule="auto"/>
              <w:rPr>
                <w:noProof/>
              </w:rPr>
            </w:pPr>
            <w:r>
              <w:rPr>
                <w:noProof/>
              </w:rPr>
              <w:t>Uudistus 1 – Työvoimapolitiikka ja ammatillinen koulutus</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6321FE"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1BDD25" w14:textId="77777777" w:rsidR="00E42B18" w:rsidRDefault="009629C4">
            <w:pPr>
              <w:pStyle w:val="P68B1DB1-Normal121"/>
              <w:spacing w:after="0" w:line="240" w:lineRule="auto"/>
              <w:rPr>
                <w:noProof/>
              </w:rPr>
            </w:pPr>
            <w:r>
              <w:rPr>
                <w:noProof/>
              </w:rPr>
              <w:t>Koulutusohjelmiin osallistuvat henkilöt</w:t>
            </w:r>
          </w:p>
        </w:tc>
      </w:tr>
      <w:tr w:rsidR="00E42B18" w14:paraId="3E9D558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6B682F" w14:textId="77777777" w:rsidR="00E42B18" w:rsidRDefault="009629C4">
            <w:pPr>
              <w:pStyle w:val="P68B1DB1-Normal121"/>
              <w:spacing w:after="0" w:line="240" w:lineRule="auto"/>
              <w:jc w:val="center"/>
              <w:rPr>
                <w:noProof/>
              </w:rPr>
            </w:pPr>
            <w:r>
              <w:rPr>
                <w:noProof/>
              </w:rPr>
              <w:t>M1C1–147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88BC33" w14:textId="77777777" w:rsidR="00E42B18" w:rsidRDefault="009629C4">
            <w:pPr>
              <w:pStyle w:val="P68B1DB1-Normal121"/>
              <w:spacing w:after="0" w:line="240" w:lineRule="auto"/>
              <w:rPr>
                <w:noProof/>
              </w:rPr>
            </w:pPr>
            <w:r>
              <w:rPr>
                <w:noProof/>
              </w:rPr>
              <w:t>Investointi 1.2 – Pilvipalvelut paikalliselle palestiinalaishallinnolle</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A8C44D"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7F744C" w14:textId="77777777" w:rsidR="00E42B18" w:rsidRDefault="009629C4">
            <w:pPr>
              <w:pStyle w:val="P68B1DB1-Normal121"/>
              <w:spacing w:after="0" w:line="240" w:lineRule="auto"/>
              <w:rPr>
                <w:noProof/>
              </w:rPr>
            </w:pPr>
            <w:r>
              <w:rPr>
                <w:noProof/>
              </w:rPr>
              <w:t>Pilvipalvelut paikalliselle julkishallinnolle T2</w:t>
            </w:r>
          </w:p>
        </w:tc>
      </w:tr>
      <w:tr w:rsidR="00E42B18" w14:paraId="6046125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E73F03" w14:textId="77777777" w:rsidR="00E42B18" w:rsidRDefault="009629C4">
            <w:pPr>
              <w:pStyle w:val="P68B1DB1-Normal121"/>
              <w:spacing w:after="0" w:line="240" w:lineRule="auto"/>
              <w:jc w:val="center"/>
              <w:rPr>
                <w:noProof/>
              </w:rPr>
            </w:pPr>
            <w:r>
              <w:rPr>
                <w:noProof/>
              </w:rPr>
              <w:t>M1C1–148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69328E" w14:textId="77777777" w:rsidR="00E42B18" w:rsidRDefault="009629C4">
            <w:pPr>
              <w:pStyle w:val="P68B1DB1-Normal121"/>
              <w:spacing w:after="0" w:line="240" w:lineRule="auto"/>
              <w:rPr>
                <w:noProof/>
              </w:rPr>
            </w:pPr>
            <w:r>
              <w:rPr>
                <w:noProof/>
              </w:rPr>
              <w:t>Investointi 1.4.1 – Kansalaiskokemus – Digitaalisten julkisten palvelujen laadun ja käytettävyyden parantaminen</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C52A9C"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005EEB" w14:textId="77777777" w:rsidR="00E42B18" w:rsidRDefault="009629C4">
            <w:pPr>
              <w:pStyle w:val="P68B1DB1-Normal121"/>
              <w:spacing w:after="0" w:line="240" w:lineRule="auto"/>
              <w:rPr>
                <w:noProof/>
              </w:rPr>
            </w:pPr>
            <w:r>
              <w:rPr>
                <w:noProof/>
              </w:rPr>
              <w:t>Digitaalisten julkisten palvelujen laadun ja käytettävyyden parantaminen T2</w:t>
            </w:r>
          </w:p>
        </w:tc>
      </w:tr>
      <w:tr w:rsidR="00E42B18" w14:paraId="155A8DE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3AA3EA" w14:textId="77777777" w:rsidR="00E42B18" w:rsidRDefault="009629C4">
            <w:pPr>
              <w:pStyle w:val="P68B1DB1-Normal121"/>
              <w:spacing w:after="0" w:line="240" w:lineRule="auto"/>
              <w:jc w:val="center"/>
              <w:rPr>
                <w:noProof/>
              </w:rPr>
            </w:pPr>
            <w:r>
              <w:rPr>
                <w:noProof/>
              </w:rPr>
              <w:t>M2C2–10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AF4212" w14:textId="77777777" w:rsidR="00E42B18" w:rsidRDefault="009629C4">
            <w:pPr>
              <w:pStyle w:val="P68B1DB1-Normal121"/>
              <w:spacing w:after="0" w:line="240" w:lineRule="auto"/>
              <w:rPr>
                <w:noProof/>
              </w:rPr>
            </w:pPr>
            <w:r>
              <w:rPr>
                <w:noProof/>
              </w:rPr>
              <w:t>Investointi 2.1 Älykkään verkon vahvistaminen</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865BF8" w14:textId="77777777" w:rsidR="00E42B18" w:rsidRDefault="009629C4">
            <w:pPr>
              <w:pStyle w:val="P68B1DB1-Normal121"/>
              <w:spacing w:after="0" w:line="240" w:lineRule="auto"/>
              <w:jc w:val="center"/>
              <w:rPr>
                <w:noProof/>
              </w:rPr>
            </w:pPr>
            <w:r>
              <w:rPr>
                <w:noProof/>
              </w:rPr>
              <w:t>Virstanpylväs</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83121C" w14:textId="77777777" w:rsidR="00E42B18" w:rsidRDefault="009629C4">
            <w:pPr>
              <w:pStyle w:val="P68B1DB1-Normal121"/>
              <w:spacing w:after="0" w:line="240" w:lineRule="auto"/>
              <w:rPr>
                <w:noProof/>
              </w:rPr>
            </w:pPr>
            <w:r>
              <w:rPr>
                <w:noProof/>
              </w:rPr>
              <w:t xml:space="preserve">Älykkäät verkot – Verkkokapasiteetin lisääminen ja energiankulutuksen sähköistäminen </w:t>
            </w:r>
          </w:p>
        </w:tc>
      </w:tr>
      <w:tr w:rsidR="00E42B18" w14:paraId="5648CFE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0350BA" w14:textId="77777777" w:rsidR="00E42B18" w:rsidRDefault="009629C4">
            <w:pPr>
              <w:pStyle w:val="P68B1DB1-Normal121"/>
              <w:spacing w:after="0" w:line="240" w:lineRule="auto"/>
              <w:jc w:val="center"/>
              <w:rPr>
                <w:noProof/>
              </w:rPr>
            </w:pPr>
            <w:r>
              <w:rPr>
                <w:noProof/>
              </w:rPr>
              <w:t>M2C2–13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3CE009" w14:textId="77777777" w:rsidR="00E42B18" w:rsidRDefault="009629C4">
            <w:pPr>
              <w:pStyle w:val="P68B1DB1-Normal121"/>
              <w:spacing w:after="0" w:line="240" w:lineRule="auto"/>
              <w:rPr>
                <w:noProof/>
              </w:rPr>
            </w:pPr>
            <w:r>
              <w:rPr>
                <w:noProof/>
              </w:rPr>
              <w:t>Investointi 2.2 Toimenpiteet sähköverkon häiriönsietokyvyn parantamiseksi</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6BABC2"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9204C" w14:textId="77777777" w:rsidR="00E42B18" w:rsidRDefault="009629C4">
            <w:pPr>
              <w:pStyle w:val="P68B1DB1-Normal121"/>
              <w:spacing w:after="0" w:line="240" w:lineRule="auto"/>
              <w:rPr>
                <w:noProof/>
              </w:rPr>
            </w:pPr>
            <w:r>
              <w:rPr>
                <w:noProof/>
              </w:rPr>
              <w:t>Sähköverkkoverkon häiriönsietokyvyn parantaminen</w:t>
            </w:r>
          </w:p>
        </w:tc>
      </w:tr>
      <w:tr w:rsidR="00E42B18" w14:paraId="484E1E6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5C0DDB" w14:textId="77777777" w:rsidR="00E42B18" w:rsidRDefault="009629C4">
            <w:pPr>
              <w:pStyle w:val="P68B1DB1-Normal121"/>
              <w:spacing w:after="0" w:line="240" w:lineRule="auto"/>
              <w:jc w:val="center"/>
              <w:rPr>
                <w:noProof/>
              </w:rPr>
            </w:pPr>
            <w:r>
              <w:rPr>
                <w:noProof/>
              </w:rPr>
              <w:t>M2C2–35</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8C74F5" w14:textId="77777777" w:rsidR="00E42B18" w:rsidRDefault="009629C4">
            <w:pPr>
              <w:pStyle w:val="P68B1DB1-Normal121"/>
              <w:spacing w:after="0" w:line="240" w:lineRule="auto"/>
              <w:rPr>
                <w:noProof/>
              </w:rPr>
            </w:pPr>
            <w:r>
              <w:rPr>
                <w:noProof/>
              </w:rPr>
              <w:t>Investointi 4.4.1: Alueellisen julkisen liikenteen linja-autokannan vahvistaminen päästöttömillä linja-autoilla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6FB226"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1218CB" w14:textId="77777777" w:rsidR="00E42B18" w:rsidRDefault="009629C4">
            <w:pPr>
              <w:pStyle w:val="P68B1DB1-Normal121"/>
              <w:spacing w:after="0" w:line="240" w:lineRule="auto"/>
              <w:rPr>
                <w:noProof/>
              </w:rPr>
            </w:pPr>
            <w:r>
              <w:rPr>
                <w:noProof/>
              </w:rPr>
              <w:t>Rekisteröityjen päästöttömien linja-autojen lukumäärä</w:t>
            </w:r>
          </w:p>
        </w:tc>
      </w:tr>
      <w:tr w:rsidR="00E42B18" w14:paraId="52FDA3A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F13C84" w14:textId="77777777" w:rsidR="00E42B18" w:rsidRDefault="009629C4">
            <w:pPr>
              <w:pStyle w:val="P68B1DB1-Normal121"/>
              <w:spacing w:after="0" w:line="240" w:lineRule="auto"/>
              <w:jc w:val="center"/>
              <w:rPr>
                <w:noProof/>
              </w:rPr>
            </w:pPr>
            <w:r>
              <w:rPr>
                <w:noProof/>
              </w:rPr>
              <w:t>M2C2–35 ter</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AB91C1" w14:textId="77777777" w:rsidR="00E42B18" w:rsidRDefault="009629C4">
            <w:pPr>
              <w:pStyle w:val="P68B1DB1-Normal121"/>
              <w:spacing w:after="0" w:line="240" w:lineRule="auto"/>
              <w:rPr>
                <w:noProof/>
              </w:rPr>
            </w:pPr>
            <w:r>
              <w:rPr>
                <w:noProof/>
              </w:rPr>
              <w:t>Investointi 4.4.1: Julkisen liikenteen alueellisen linja-autokannan vahvistaminen puhtailla polttoaineilla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03986A"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B0BB9" w14:textId="77777777" w:rsidR="00E42B18" w:rsidRDefault="009629C4">
            <w:pPr>
              <w:pStyle w:val="P68B1DB1-Normal121"/>
              <w:spacing w:after="0" w:line="240" w:lineRule="auto"/>
              <w:rPr>
                <w:noProof/>
              </w:rPr>
            </w:pPr>
            <w:r>
              <w:rPr>
                <w:noProof/>
              </w:rPr>
              <w:t>Päästöttömien ja vähäpäästöisten matalalattiabussien latausasemien lukumäärä</w:t>
            </w:r>
          </w:p>
        </w:tc>
      </w:tr>
      <w:tr w:rsidR="00E42B18" w14:paraId="3CA613DE"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7C29CA" w14:textId="77777777" w:rsidR="00E42B18" w:rsidRDefault="009629C4">
            <w:pPr>
              <w:pStyle w:val="P68B1DB1-Normal121"/>
              <w:spacing w:after="0" w:line="240" w:lineRule="auto"/>
              <w:jc w:val="center"/>
              <w:rPr>
                <w:noProof/>
              </w:rPr>
            </w:pPr>
            <w:r>
              <w:rPr>
                <w:noProof/>
              </w:rPr>
              <w:t>M6C2–16</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5C0858" w14:textId="77777777" w:rsidR="00E42B18" w:rsidRDefault="009629C4">
            <w:pPr>
              <w:pStyle w:val="P68B1DB1-Normal121"/>
              <w:spacing w:after="0" w:line="240" w:lineRule="auto"/>
              <w:rPr>
                <w:noProof/>
              </w:rPr>
            </w:pPr>
            <w:r>
              <w:rPr>
                <w:noProof/>
              </w:rPr>
              <w:t>Investointi 2.2: Terveydenhuoltojärjestelmän ammattilaisten teknisten, ammatillisten, digitaalisten ja johtamistaitojen kehittäminen</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B8E944"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D9B29D" w14:textId="77777777" w:rsidR="00E42B18" w:rsidRDefault="009629C4">
            <w:pPr>
              <w:pStyle w:val="P68B1DB1-Normal121"/>
              <w:spacing w:after="0" w:line="240" w:lineRule="auto"/>
              <w:rPr>
                <w:noProof/>
              </w:rPr>
            </w:pPr>
            <w:r>
              <w:rPr>
                <w:noProof/>
              </w:rPr>
              <w:t>Terveydenhuoltohenkilöstön johtamistaitoja ja digitaalisia taitoja koskeva koulutus</w:t>
            </w:r>
          </w:p>
        </w:tc>
      </w:tr>
      <w:tr w:rsidR="00E42B18" w14:paraId="21606D90"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54F59A" w14:textId="77777777" w:rsidR="00E42B18" w:rsidRDefault="009629C4">
            <w:pPr>
              <w:pStyle w:val="P68B1DB1-Normal121"/>
              <w:spacing w:after="0" w:line="240" w:lineRule="auto"/>
              <w:jc w:val="center"/>
              <w:rPr>
                <w:noProof/>
              </w:rPr>
            </w:pPr>
            <w:r>
              <w:rPr>
                <w:noProof/>
              </w:rPr>
              <w:t>M6C2–17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5EF980" w14:textId="77777777" w:rsidR="00E42B18" w:rsidRDefault="009629C4">
            <w:pPr>
              <w:pStyle w:val="P68B1DB1-Normal121"/>
              <w:spacing w:after="0" w:line="240" w:lineRule="auto"/>
              <w:rPr>
                <w:noProof/>
              </w:rPr>
            </w:pPr>
            <w:r>
              <w:rPr>
                <w:noProof/>
              </w:rPr>
              <w:t>Investointi 2.2: Terveydenhuoltojärjestelmän ammattilaisten teknisten, ammatillisten, digitaalisten ja johtamistaitojen kehittäminen</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E967433"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F4940E" w14:textId="77777777" w:rsidR="00E42B18" w:rsidRDefault="009629C4">
            <w:pPr>
              <w:pStyle w:val="P68B1DB1-Normal121"/>
              <w:spacing w:after="0" w:line="240" w:lineRule="auto"/>
              <w:rPr>
                <w:noProof/>
              </w:rPr>
            </w:pPr>
            <w:r>
              <w:rPr>
                <w:noProof/>
              </w:rPr>
              <w:t xml:space="preserve">Lääketieteellisten palvelujen myöntäminen </w:t>
            </w:r>
          </w:p>
          <w:p w14:paraId="2DE0BA86" w14:textId="77777777" w:rsidR="00E42B18" w:rsidRDefault="009629C4">
            <w:pPr>
              <w:pStyle w:val="P68B1DB1-Normal121"/>
              <w:spacing w:after="0" w:line="240" w:lineRule="auto"/>
              <w:rPr>
                <w:noProof/>
              </w:rPr>
            </w:pPr>
            <w:r>
              <w:rPr>
                <w:noProof/>
              </w:rPr>
              <w:t>erikoistumiskoulutussopimukset</w:t>
            </w:r>
          </w:p>
        </w:tc>
      </w:tr>
      <w:tr w:rsidR="00E42B18" w14:paraId="346A7CCE"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5800B6" w14:textId="77777777" w:rsidR="00E42B18" w:rsidRDefault="009629C4">
            <w:pPr>
              <w:pStyle w:val="P68B1DB1-Normal121"/>
              <w:spacing w:after="0" w:line="240" w:lineRule="auto"/>
              <w:jc w:val="center"/>
              <w:rPr>
                <w:noProof/>
              </w:rPr>
            </w:pPr>
            <w:r>
              <w:rPr>
                <w:noProof/>
              </w:rPr>
              <w:t>M1C1–149</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1FFFF6" w14:textId="77777777" w:rsidR="00E42B18" w:rsidRDefault="009629C4">
            <w:pPr>
              <w:pStyle w:val="P68B1DB1-Normal121"/>
              <w:spacing w:after="0" w:line="240" w:lineRule="auto"/>
              <w:rPr>
                <w:noProof/>
              </w:rPr>
            </w:pPr>
            <w:r>
              <w:rPr>
                <w:noProof/>
              </w:rPr>
              <w:t>Investointi 1.4.3 – PagoPA-alustapalvelujen ja ”IO”-sovelluksen käyttöönotto</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AB62E6"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FDE5EC" w14:textId="77777777" w:rsidR="00E42B18" w:rsidRDefault="009629C4">
            <w:pPr>
              <w:pStyle w:val="P68B1DB1-Normal121"/>
              <w:spacing w:after="0" w:line="240" w:lineRule="auto"/>
              <w:rPr>
                <w:noProof/>
              </w:rPr>
            </w:pPr>
            <w:r>
              <w:rPr>
                <w:noProof/>
              </w:rPr>
              <w:t>PagoPA-alustapalvelujen T2 käyttöönotto</w:t>
            </w:r>
          </w:p>
        </w:tc>
      </w:tr>
      <w:tr w:rsidR="00E42B18" w14:paraId="5210215A"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42BE3A" w14:textId="77777777" w:rsidR="00E42B18" w:rsidRDefault="009629C4">
            <w:pPr>
              <w:pStyle w:val="P68B1DB1-Normal121"/>
              <w:spacing w:after="0" w:line="240" w:lineRule="auto"/>
              <w:jc w:val="center"/>
              <w:rPr>
                <w:noProof/>
              </w:rPr>
            </w:pPr>
            <w:r>
              <w:rPr>
                <w:noProof/>
              </w:rPr>
              <w:t>M1C1–150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88BDA4" w14:textId="77777777" w:rsidR="00E42B18" w:rsidRDefault="009629C4">
            <w:pPr>
              <w:pStyle w:val="P68B1DB1-Normal121"/>
              <w:spacing w:after="0" w:line="240" w:lineRule="auto"/>
              <w:rPr>
                <w:noProof/>
              </w:rPr>
            </w:pPr>
            <w:r>
              <w:rPr>
                <w:noProof/>
              </w:rPr>
              <w:t>Investointi 1.4.3 – PagoPA-alustapalvelujen ja ”IO”-sovelluksen käyttöönotto</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E01F1B"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16498A" w14:textId="77777777" w:rsidR="00E42B18" w:rsidRDefault="009629C4">
            <w:pPr>
              <w:pStyle w:val="P68B1DB1-Normal121"/>
              <w:spacing w:after="0" w:line="240" w:lineRule="auto"/>
              <w:rPr>
                <w:noProof/>
              </w:rPr>
            </w:pPr>
            <w:r>
              <w:rPr>
                <w:noProof/>
              </w:rPr>
              <w:t>”IO”-sovelluksen T2 käyttöönotto</w:t>
            </w:r>
          </w:p>
        </w:tc>
      </w:tr>
      <w:tr w:rsidR="00E42B18" w14:paraId="16A3EA14"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DC5AF4" w14:textId="77777777" w:rsidR="00E42B18" w:rsidRDefault="009629C4">
            <w:pPr>
              <w:pStyle w:val="P68B1DB1-Normal121"/>
              <w:spacing w:after="0" w:line="240" w:lineRule="auto"/>
              <w:jc w:val="center"/>
              <w:rPr>
                <w:noProof/>
              </w:rPr>
            </w:pPr>
            <w:r>
              <w:rPr>
                <w:noProof/>
              </w:rPr>
              <w:t>M1C1–152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9A13A3" w14:textId="77777777" w:rsidR="00E42B18" w:rsidRDefault="009629C4">
            <w:pPr>
              <w:pStyle w:val="P68B1DB1-Normal121"/>
              <w:spacing w:after="0" w:line="240" w:lineRule="auto"/>
              <w:rPr>
                <w:noProof/>
              </w:rPr>
            </w:pPr>
            <w:r>
              <w:rPr>
                <w:noProof/>
              </w:rPr>
              <w:t>Investointi 1.6.1 – Sisäministeriön digitalisointi</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03B9D"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2BE95A" w14:textId="77777777" w:rsidR="00E42B18" w:rsidRDefault="009629C4">
            <w:pPr>
              <w:pStyle w:val="P68B1DB1-Normal121"/>
              <w:spacing w:after="0" w:line="240" w:lineRule="auto"/>
              <w:rPr>
                <w:noProof/>
              </w:rPr>
            </w:pPr>
            <w:r>
              <w:rPr>
                <w:noProof/>
              </w:rPr>
              <w:t>Sisäministeriö – Uudelleenmuotoillut ja digitalisoidut prosessit T2</w:t>
            </w:r>
          </w:p>
        </w:tc>
      </w:tr>
      <w:tr w:rsidR="00E42B18" w14:paraId="1AEF89A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57C693" w14:textId="77777777" w:rsidR="00E42B18" w:rsidRDefault="009629C4">
            <w:pPr>
              <w:pStyle w:val="P68B1DB1-Normal121"/>
              <w:spacing w:after="0" w:line="240" w:lineRule="auto"/>
              <w:jc w:val="center"/>
              <w:rPr>
                <w:noProof/>
              </w:rPr>
            </w:pPr>
            <w:r>
              <w:rPr>
                <w:noProof/>
              </w:rPr>
              <w:t>M1C1–154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9CFEB" w14:textId="77777777" w:rsidR="00E42B18" w:rsidRDefault="009629C4">
            <w:pPr>
              <w:pStyle w:val="P68B1DB1-Normal121"/>
              <w:spacing w:after="0" w:line="240" w:lineRule="auto"/>
              <w:rPr>
                <w:noProof/>
              </w:rPr>
            </w:pPr>
            <w:r>
              <w:rPr>
                <w:noProof/>
              </w:rPr>
              <w:t>Investointi 1.6.2 – Oikeusministeriön digitalisointi</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5A2E09" w14:textId="77777777"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A4C392" w14:textId="77777777" w:rsidR="00E42B18" w:rsidRDefault="009629C4">
            <w:pPr>
              <w:pStyle w:val="P68B1DB1-Normal121"/>
              <w:spacing w:after="0" w:line="240" w:lineRule="auto"/>
              <w:rPr>
                <w:noProof/>
              </w:rPr>
            </w:pPr>
            <w:r>
              <w:rPr>
                <w:noProof/>
              </w:rPr>
              <w:t>Oikeusalan tietojärven tietojärjestelmät T2</w:t>
            </w:r>
          </w:p>
        </w:tc>
      </w:tr>
      <w:tr w:rsidR="00E42B18" w14:paraId="4FBD5E7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B61BDD" w14:textId="1F17DA47" w:rsidR="00E42B18" w:rsidRDefault="009629C4">
            <w:pPr>
              <w:pStyle w:val="P68B1DB1-Normal121"/>
              <w:spacing w:after="0" w:line="240" w:lineRule="auto"/>
              <w:jc w:val="center"/>
              <w:rPr>
                <w:noProof/>
              </w:rPr>
            </w:pPr>
            <w:r>
              <w:rPr>
                <w:noProof/>
              </w:rPr>
              <w:t>M7–50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57D2A9" w14:textId="711D9C00" w:rsidR="00E42B18" w:rsidRDefault="009629C4">
            <w:pPr>
              <w:pStyle w:val="P68B1DB1-Normal121"/>
              <w:spacing w:after="0" w:line="240" w:lineRule="auto"/>
              <w:rPr>
                <w:noProof/>
              </w:rPr>
            </w:pPr>
            <w:r>
              <w:rPr>
                <w:noProof/>
              </w:rPr>
              <w:t>Investointi 18 – Laajennustoimenpide: Yksityisten ja kevyiden hyötyajoneuvojen ajoneuvokannan uusimisohjelma sähköajoneuvoilla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399461" w14:textId="17F68D69" w:rsidR="00E42B18" w:rsidRDefault="009629C4">
            <w:pPr>
              <w:pStyle w:val="P68B1DB1-Normal121"/>
              <w:spacing w:after="0" w:line="240" w:lineRule="auto"/>
              <w:jc w:val="center"/>
              <w:rPr>
                <w:noProof/>
              </w:rPr>
            </w:pPr>
            <w:r>
              <w:rPr>
                <w:noProof/>
              </w:rPr>
              <w:t>Kohde</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FE3829" w14:textId="689BADB7" w:rsidR="00E42B18" w:rsidRDefault="009629C4">
            <w:pPr>
              <w:pStyle w:val="P68B1DB1-Normal121"/>
              <w:spacing w:after="0" w:line="240" w:lineRule="auto"/>
              <w:rPr>
                <w:noProof/>
              </w:rPr>
            </w:pPr>
            <w:r>
              <w:rPr>
                <w:noProof/>
              </w:rPr>
              <w:t>Ostettujen ajoneuvojen lukumäärä</w:t>
            </w:r>
          </w:p>
        </w:tc>
      </w:tr>
      <w:tr w:rsidR="00E42B18" w14:paraId="568AE87D"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8004A2" w14:textId="77777777" w:rsidR="00E42B18" w:rsidRDefault="00E42B18">
            <w:pPr>
              <w:spacing w:after="0" w:line="240" w:lineRule="auto"/>
              <w:jc w:val="center"/>
              <w:rPr>
                <w:rFonts w:ascii="Times New Roman" w:eastAsia="Times New Roman" w:hAnsi="Times New Roman" w:cs="Times New Roman"/>
                <w:noProof/>
              </w:rPr>
            </w:pP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3EB390" w14:textId="77777777" w:rsidR="00E42B18" w:rsidRDefault="009629C4">
            <w:pPr>
              <w:pStyle w:val="P68B1DB1-Normal121"/>
              <w:spacing w:after="0" w:line="240" w:lineRule="auto"/>
              <w:rPr>
                <w:noProof/>
              </w:rPr>
            </w:pPr>
            <w:r>
              <w:rPr>
                <w:noProof/>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7B66C3" w14:textId="77777777" w:rsidR="00E42B18" w:rsidRDefault="009629C4">
            <w:pPr>
              <w:pStyle w:val="P68B1DB1-Normal121"/>
              <w:spacing w:after="0" w:line="240" w:lineRule="auto"/>
              <w:jc w:val="center"/>
              <w:rPr>
                <w:noProof/>
              </w:rPr>
            </w:pPr>
            <w:r>
              <w:rPr>
                <w:noProof/>
              </w:rPr>
              <w:t>Maksuerän määrä</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2243AB"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12799902997</w:t>
            </w:r>
            <w:r>
              <w:rPr>
                <w:noProof/>
                <w:sz w:val="23"/>
                <w:szCs w:val="23"/>
              </w:rPr>
              <w:t xml:space="preserve">  </w:t>
            </w:r>
            <w:r>
              <w:rPr>
                <w:noProof/>
                <w:color w:val="006100"/>
                <w:sz w:val="20"/>
                <w:szCs w:val="20"/>
              </w:rPr>
              <w:t>EUROA</w:t>
            </w:r>
          </w:p>
        </w:tc>
      </w:tr>
    </w:tbl>
    <w:p w14:paraId="2A05D682" w14:textId="77777777" w:rsidR="00E42B18" w:rsidRDefault="009629C4">
      <w:pPr>
        <w:pStyle w:val="P68B1DB1-Normal8"/>
        <w:spacing w:before="120" w:after="120" w:line="240" w:lineRule="auto"/>
        <w:jc w:val="both"/>
        <w:rPr>
          <w:noProof/>
        </w:rPr>
      </w:pPr>
      <w:r>
        <w:rPr>
          <w:noProof/>
        </w:rPr>
        <w:t xml:space="preserve"> </w:t>
      </w:r>
    </w:p>
    <w:p w14:paraId="3D02FD90" w14:textId="77777777" w:rsidR="00E42B18" w:rsidRDefault="009629C4">
      <w:pPr>
        <w:pStyle w:val="P68B1DB1-Normal8"/>
        <w:rPr>
          <w:noProof/>
        </w:rPr>
      </w:pPr>
      <w:r>
        <w:rPr>
          <w:noProof/>
        </w:rPr>
        <w:br w:type="page"/>
      </w:r>
    </w:p>
    <w:p w14:paraId="36C649F7" w14:textId="77777777" w:rsidR="00E42B18" w:rsidRDefault="009629C4">
      <w:pPr>
        <w:pStyle w:val="P68B1DB1-Heading3118"/>
        <w:numPr>
          <w:ilvl w:val="0"/>
          <w:numId w:val="179"/>
        </w:numPr>
        <w:tabs>
          <w:tab w:val="clear" w:pos="850"/>
          <w:tab w:val="num" w:pos="720"/>
        </w:tabs>
        <w:ind w:left="720" w:hanging="360"/>
        <w:rPr>
          <w:bCs/>
          <w:noProof/>
        </w:rPr>
      </w:pPr>
      <w:r>
        <w:rPr>
          <w:noProof/>
        </w:rPr>
        <w:t>Lainatuki</w:t>
      </w:r>
    </w:p>
    <w:p w14:paraId="70105B99" w14:textId="77777777" w:rsidR="00E42B18" w:rsidRDefault="009629C4">
      <w:pPr>
        <w:pStyle w:val="P68B1DB1-Normal8"/>
        <w:spacing w:before="120" w:after="120" w:line="240" w:lineRule="auto"/>
        <w:jc w:val="both"/>
        <w:rPr>
          <w:noProof/>
        </w:rPr>
      </w:pPr>
      <w:r>
        <w:rPr>
          <w:noProof/>
        </w:rPr>
        <w:t>Edellä 3 artiklan 2 kohdassa tarkoitetut erät on järjestettävä seuraavasti:</w:t>
      </w:r>
    </w:p>
    <w:p w14:paraId="3E96F8BD" w14:textId="77777777" w:rsidR="00E42B18" w:rsidRDefault="009629C4">
      <w:pPr>
        <w:pStyle w:val="P68B1DB1-Heading34"/>
        <w:numPr>
          <w:ilvl w:val="1"/>
          <w:numId w:val="179"/>
        </w:numPr>
        <w:tabs>
          <w:tab w:val="clear" w:pos="850"/>
          <w:tab w:val="num" w:pos="1440"/>
        </w:tabs>
        <w:ind w:left="1440" w:hanging="360"/>
        <w:rPr>
          <w:noProof/>
        </w:rPr>
      </w:pPr>
      <w:r>
        <w:rPr>
          <w:noProof/>
        </w:rPr>
        <w:t>Ensimmäinen erä (lainatuki):</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418"/>
        <w:gridCol w:w="2963"/>
      </w:tblGrid>
      <w:tr w:rsidR="00E42B18" w14:paraId="4B745182" w14:textId="77777777">
        <w:trPr>
          <w:trHeight w:val="900"/>
          <w:tblHeader/>
        </w:trPr>
        <w:tc>
          <w:tcPr>
            <w:tcW w:w="1435" w:type="dxa"/>
            <w:vMerge w:val="restart"/>
            <w:shd w:val="clear" w:color="auto" w:fill="BDD7EE"/>
            <w:tcMar>
              <w:left w:w="108" w:type="dxa"/>
              <w:right w:w="108" w:type="dxa"/>
            </w:tcMar>
            <w:vAlign w:val="center"/>
          </w:tcPr>
          <w:p w14:paraId="40D143C0" w14:textId="77777777" w:rsidR="00E42B18" w:rsidRDefault="009629C4">
            <w:pPr>
              <w:pStyle w:val="P68B1DB1-Normal120"/>
              <w:spacing w:after="0" w:line="240" w:lineRule="auto"/>
              <w:jc w:val="center"/>
              <w:rPr>
                <w:noProof/>
              </w:rPr>
            </w:pPr>
            <w:r>
              <w:rPr>
                <w:noProof/>
              </w:rPr>
              <w:t>Juokseva numero</w:t>
            </w:r>
          </w:p>
        </w:tc>
        <w:tc>
          <w:tcPr>
            <w:tcW w:w="3543" w:type="dxa"/>
            <w:vMerge w:val="restart"/>
            <w:shd w:val="clear" w:color="auto" w:fill="BDD7EE"/>
            <w:tcMar>
              <w:left w:w="108" w:type="dxa"/>
              <w:right w:w="108" w:type="dxa"/>
            </w:tcMar>
            <w:vAlign w:val="center"/>
          </w:tcPr>
          <w:p w14:paraId="3720F577" w14:textId="77777777" w:rsidR="00E42B18" w:rsidRDefault="009629C4">
            <w:pPr>
              <w:pStyle w:val="P68B1DB1-Normal120"/>
              <w:spacing w:after="0" w:line="240" w:lineRule="auto"/>
              <w:jc w:val="center"/>
              <w:rPr>
                <w:noProof/>
              </w:rPr>
            </w:pPr>
            <w:r>
              <w:rPr>
                <w:noProof/>
              </w:rPr>
              <w:t>Toimenpide (uudistus tai investointi)</w:t>
            </w:r>
          </w:p>
        </w:tc>
        <w:tc>
          <w:tcPr>
            <w:tcW w:w="1418" w:type="dxa"/>
            <w:vMerge w:val="restart"/>
            <w:shd w:val="clear" w:color="auto" w:fill="BDD7EE"/>
            <w:tcMar>
              <w:left w:w="108" w:type="dxa"/>
              <w:right w:w="108" w:type="dxa"/>
            </w:tcMar>
            <w:vAlign w:val="center"/>
          </w:tcPr>
          <w:p w14:paraId="0675B279" w14:textId="77777777" w:rsidR="00E42B18" w:rsidRDefault="009629C4">
            <w:pPr>
              <w:pStyle w:val="P68B1DB1-Normal120"/>
              <w:spacing w:after="0" w:line="240" w:lineRule="auto"/>
              <w:jc w:val="center"/>
              <w:rPr>
                <w:noProof/>
              </w:rPr>
            </w:pPr>
            <w:r>
              <w:rPr>
                <w:noProof/>
              </w:rPr>
              <w:t>Välitavoite/tavoite</w:t>
            </w:r>
          </w:p>
        </w:tc>
        <w:tc>
          <w:tcPr>
            <w:tcW w:w="2963" w:type="dxa"/>
            <w:vMerge w:val="restart"/>
            <w:shd w:val="clear" w:color="auto" w:fill="BDD7EE"/>
            <w:tcMar>
              <w:left w:w="108" w:type="dxa"/>
              <w:right w:w="108" w:type="dxa"/>
            </w:tcMar>
            <w:vAlign w:val="center"/>
          </w:tcPr>
          <w:p w14:paraId="6C4C7012" w14:textId="77777777" w:rsidR="00E42B18" w:rsidRDefault="009629C4">
            <w:pPr>
              <w:pStyle w:val="P68B1DB1-Normal120"/>
              <w:spacing w:after="0" w:line="240" w:lineRule="auto"/>
              <w:jc w:val="center"/>
              <w:rPr>
                <w:noProof/>
              </w:rPr>
            </w:pPr>
            <w:r>
              <w:rPr>
                <w:noProof/>
              </w:rPr>
              <w:t>Nimi</w:t>
            </w:r>
          </w:p>
        </w:tc>
      </w:tr>
      <w:tr w:rsidR="00E42B18" w14:paraId="0683A1F2" w14:textId="77777777">
        <w:trPr>
          <w:trHeight w:val="510"/>
        </w:trPr>
        <w:tc>
          <w:tcPr>
            <w:tcW w:w="1435" w:type="dxa"/>
            <w:vMerge/>
            <w:vAlign w:val="center"/>
          </w:tcPr>
          <w:p w14:paraId="4867C284" w14:textId="77777777" w:rsidR="00E42B18" w:rsidRDefault="00E42B18">
            <w:pPr>
              <w:spacing w:after="0" w:line="240" w:lineRule="auto"/>
              <w:jc w:val="center"/>
              <w:rPr>
                <w:rFonts w:ascii="Times New Roman" w:eastAsia="Times New Roman" w:hAnsi="Times New Roman" w:cs="Times New Roman"/>
                <w:noProof/>
              </w:rPr>
            </w:pPr>
          </w:p>
        </w:tc>
        <w:tc>
          <w:tcPr>
            <w:tcW w:w="3543" w:type="dxa"/>
            <w:vMerge/>
            <w:vAlign w:val="center"/>
          </w:tcPr>
          <w:p w14:paraId="4F9E1712" w14:textId="77777777" w:rsidR="00E42B18" w:rsidRDefault="00E42B18">
            <w:pPr>
              <w:spacing w:after="0" w:line="240" w:lineRule="auto"/>
              <w:rPr>
                <w:rFonts w:ascii="Times New Roman" w:eastAsia="Times New Roman" w:hAnsi="Times New Roman" w:cs="Times New Roman"/>
                <w:noProof/>
              </w:rPr>
            </w:pPr>
          </w:p>
        </w:tc>
        <w:tc>
          <w:tcPr>
            <w:tcW w:w="1418" w:type="dxa"/>
            <w:vMerge/>
            <w:vAlign w:val="center"/>
          </w:tcPr>
          <w:p w14:paraId="7EE7F490" w14:textId="77777777" w:rsidR="00E42B18" w:rsidRDefault="00E42B18">
            <w:pPr>
              <w:spacing w:after="0" w:line="240" w:lineRule="auto"/>
              <w:jc w:val="center"/>
              <w:rPr>
                <w:rFonts w:ascii="Times New Roman" w:eastAsia="Times New Roman" w:hAnsi="Times New Roman" w:cs="Times New Roman"/>
                <w:noProof/>
              </w:rPr>
            </w:pPr>
          </w:p>
        </w:tc>
        <w:tc>
          <w:tcPr>
            <w:tcW w:w="2963" w:type="dxa"/>
            <w:vMerge/>
            <w:vAlign w:val="center"/>
          </w:tcPr>
          <w:p w14:paraId="239E2F27" w14:textId="77777777" w:rsidR="00E42B18" w:rsidRDefault="00E42B18">
            <w:pPr>
              <w:spacing w:after="0" w:line="240" w:lineRule="auto"/>
              <w:rPr>
                <w:rFonts w:ascii="Times New Roman" w:eastAsia="Times New Roman" w:hAnsi="Times New Roman" w:cs="Times New Roman"/>
                <w:noProof/>
              </w:rPr>
            </w:pPr>
          </w:p>
        </w:tc>
      </w:tr>
      <w:tr w:rsidR="00E42B18" w14:paraId="3BE2F7F1" w14:textId="77777777">
        <w:trPr>
          <w:trHeight w:val="300"/>
        </w:trPr>
        <w:tc>
          <w:tcPr>
            <w:tcW w:w="1435" w:type="dxa"/>
            <w:shd w:val="clear" w:color="auto" w:fill="C6EFCE"/>
            <w:tcMar>
              <w:left w:w="108" w:type="dxa"/>
              <w:right w:w="108" w:type="dxa"/>
            </w:tcMar>
            <w:vAlign w:val="center"/>
          </w:tcPr>
          <w:p w14:paraId="02E86BED" w14:textId="77777777" w:rsidR="00E42B18" w:rsidRDefault="009629C4">
            <w:pPr>
              <w:pStyle w:val="P68B1DB1-Normal121"/>
              <w:spacing w:after="0" w:line="240" w:lineRule="auto"/>
              <w:jc w:val="center"/>
              <w:rPr>
                <w:noProof/>
              </w:rPr>
            </w:pPr>
            <w:r>
              <w:rPr>
                <w:noProof/>
              </w:rPr>
              <w:t>M4C2–10</w:t>
            </w:r>
          </w:p>
        </w:tc>
        <w:tc>
          <w:tcPr>
            <w:tcW w:w="3543" w:type="dxa"/>
            <w:shd w:val="clear" w:color="auto" w:fill="C6EFCE"/>
            <w:tcMar>
              <w:left w:w="108" w:type="dxa"/>
              <w:right w:w="108" w:type="dxa"/>
            </w:tcMar>
            <w:vAlign w:val="center"/>
          </w:tcPr>
          <w:p w14:paraId="2981209E" w14:textId="77777777" w:rsidR="00E42B18" w:rsidRDefault="009629C4">
            <w:pPr>
              <w:pStyle w:val="P68B1DB1-Normal121"/>
              <w:spacing w:after="0" w:line="240" w:lineRule="auto"/>
              <w:rPr>
                <w:noProof/>
              </w:rPr>
            </w:pPr>
            <w:r>
              <w:rPr>
                <w:noProof/>
              </w:rPr>
              <w:t>Investointi 2.1: IPCEI-HANKE</w:t>
            </w:r>
          </w:p>
        </w:tc>
        <w:tc>
          <w:tcPr>
            <w:tcW w:w="1418" w:type="dxa"/>
            <w:shd w:val="clear" w:color="auto" w:fill="C6EFCE"/>
            <w:tcMar>
              <w:left w:w="108" w:type="dxa"/>
              <w:right w:w="108" w:type="dxa"/>
            </w:tcMar>
            <w:vAlign w:val="center"/>
          </w:tcPr>
          <w:p w14:paraId="59CD05BF"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296251A5" w14:textId="77777777" w:rsidR="00E42B18" w:rsidRDefault="009629C4">
            <w:pPr>
              <w:pStyle w:val="P68B1DB1-Normal121"/>
              <w:spacing w:after="0" w:line="240" w:lineRule="auto"/>
              <w:rPr>
                <w:noProof/>
              </w:rPr>
            </w:pPr>
            <w:r>
              <w:rPr>
                <w:noProof/>
              </w:rPr>
              <w:t>Kiinnostuksenilmaisupyynnön käynnistäminen kansallisten hankkeiden yksilöimiseksi, mukaan lukien mikroelektroniikkaa koskevat IPCEI-hankkeet</w:t>
            </w:r>
          </w:p>
        </w:tc>
      </w:tr>
      <w:tr w:rsidR="00E42B18" w14:paraId="73E3B733" w14:textId="77777777">
        <w:trPr>
          <w:trHeight w:val="300"/>
        </w:trPr>
        <w:tc>
          <w:tcPr>
            <w:tcW w:w="1435" w:type="dxa"/>
            <w:shd w:val="clear" w:color="auto" w:fill="C6EFCE"/>
            <w:tcMar>
              <w:left w:w="108" w:type="dxa"/>
              <w:right w:w="108" w:type="dxa"/>
            </w:tcMar>
            <w:vAlign w:val="center"/>
          </w:tcPr>
          <w:p w14:paraId="0D4E9998" w14:textId="77777777" w:rsidR="00E42B18" w:rsidRDefault="009629C4">
            <w:pPr>
              <w:pStyle w:val="P68B1DB1-Normal121"/>
              <w:spacing w:after="0" w:line="240" w:lineRule="auto"/>
              <w:jc w:val="center"/>
              <w:rPr>
                <w:noProof/>
              </w:rPr>
            </w:pPr>
            <w:r>
              <w:rPr>
                <w:noProof/>
              </w:rPr>
              <w:t>M1C2–26</w:t>
            </w:r>
          </w:p>
        </w:tc>
        <w:tc>
          <w:tcPr>
            <w:tcW w:w="3543" w:type="dxa"/>
            <w:shd w:val="clear" w:color="auto" w:fill="C6EFCE"/>
            <w:tcMar>
              <w:left w:w="108" w:type="dxa"/>
              <w:right w:w="108" w:type="dxa"/>
            </w:tcMar>
            <w:vAlign w:val="center"/>
          </w:tcPr>
          <w:p w14:paraId="1B6702CF" w14:textId="77777777" w:rsidR="00E42B18" w:rsidRDefault="009629C4">
            <w:pPr>
              <w:pStyle w:val="P68B1DB1-Normal121"/>
              <w:spacing w:after="0" w:line="240" w:lineRule="auto"/>
              <w:rPr>
                <w:noProof/>
              </w:rPr>
            </w:pPr>
            <w:r>
              <w:rPr>
                <w:noProof/>
              </w:rPr>
              <w:t>Investointi 5.1: SIMESTin hallinnoiman rahaston 394/81 jälleenrahoitus ja uudistaminen</w:t>
            </w:r>
          </w:p>
        </w:tc>
        <w:tc>
          <w:tcPr>
            <w:tcW w:w="1418" w:type="dxa"/>
            <w:shd w:val="clear" w:color="auto" w:fill="C6EFCE"/>
            <w:tcMar>
              <w:left w:w="108" w:type="dxa"/>
              <w:right w:w="108" w:type="dxa"/>
            </w:tcMar>
            <w:vAlign w:val="center"/>
          </w:tcPr>
          <w:p w14:paraId="59E38794"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08D52471" w14:textId="77777777" w:rsidR="00E42B18" w:rsidRDefault="009629C4">
            <w:pPr>
              <w:pStyle w:val="P68B1DB1-Normal121"/>
              <w:spacing w:after="0" w:line="240" w:lineRule="auto"/>
              <w:rPr>
                <w:noProof/>
              </w:rPr>
            </w:pPr>
            <w:r>
              <w:rPr>
                <w:noProof/>
              </w:rPr>
              <w:t>Rahaston 394/81 jälleenrahoituksen voimaantulo ja investointipolitiikan hyväksyminen</w:t>
            </w:r>
          </w:p>
        </w:tc>
      </w:tr>
      <w:tr w:rsidR="00E42B18" w14:paraId="4A5036A4" w14:textId="77777777">
        <w:trPr>
          <w:trHeight w:val="300"/>
        </w:trPr>
        <w:tc>
          <w:tcPr>
            <w:tcW w:w="1435" w:type="dxa"/>
            <w:shd w:val="clear" w:color="auto" w:fill="C6EFCE"/>
            <w:tcMar>
              <w:left w:w="108" w:type="dxa"/>
              <w:right w:w="108" w:type="dxa"/>
            </w:tcMar>
            <w:vAlign w:val="center"/>
          </w:tcPr>
          <w:p w14:paraId="01F8098E" w14:textId="77777777" w:rsidR="00E42B18" w:rsidRDefault="009629C4">
            <w:pPr>
              <w:pStyle w:val="P68B1DB1-Normal121"/>
              <w:spacing w:after="0" w:line="240" w:lineRule="auto"/>
              <w:jc w:val="center"/>
              <w:rPr>
                <w:noProof/>
              </w:rPr>
            </w:pPr>
            <w:r>
              <w:rPr>
                <w:noProof/>
              </w:rPr>
              <w:t>M2C1–14</w:t>
            </w:r>
          </w:p>
        </w:tc>
        <w:tc>
          <w:tcPr>
            <w:tcW w:w="3543" w:type="dxa"/>
            <w:shd w:val="clear" w:color="auto" w:fill="C6EFCE"/>
            <w:tcMar>
              <w:left w:w="108" w:type="dxa"/>
              <w:right w:w="108" w:type="dxa"/>
            </w:tcMar>
            <w:vAlign w:val="center"/>
          </w:tcPr>
          <w:p w14:paraId="239340F6" w14:textId="77777777" w:rsidR="00E42B18" w:rsidRDefault="009629C4">
            <w:pPr>
              <w:pStyle w:val="P68B1DB1-Normal121"/>
              <w:spacing w:after="0" w:line="240" w:lineRule="auto"/>
              <w:rPr>
                <w:noProof/>
              </w:rPr>
            </w:pPr>
            <w:r>
              <w:rPr>
                <w:noProof/>
              </w:rPr>
              <w:t>Investointi 1.1 – Uusien jätehuoltolaitosten käyttöönotto ja olemassa olevien laitosten nykyaikaistaminen; Investointi 1.2 – Kiertotalouden lippulaivahankkeet</w:t>
            </w:r>
          </w:p>
        </w:tc>
        <w:tc>
          <w:tcPr>
            <w:tcW w:w="1418" w:type="dxa"/>
            <w:shd w:val="clear" w:color="auto" w:fill="C6EFCE"/>
            <w:tcMar>
              <w:left w:w="108" w:type="dxa"/>
              <w:right w:w="108" w:type="dxa"/>
            </w:tcMar>
            <w:vAlign w:val="center"/>
          </w:tcPr>
          <w:p w14:paraId="632FF5EF"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41FAB721" w14:textId="77777777" w:rsidR="00E42B18" w:rsidRDefault="009629C4">
            <w:pPr>
              <w:pStyle w:val="P68B1DB1-Normal121"/>
              <w:spacing w:after="0" w:line="240" w:lineRule="auto"/>
              <w:rPr>
                <w:noProof/>
              </w:rPr>
            </w:pPr>
            <w:r>
              <w:rPr>
                <w:noProof/>
              </w:rPr>
              <w:t>Ministeriön asetus tulee voimaan.</w:t>
            </w:r>
          </w:p>
        </w:tc>
      </w:tr>
      <w:tr w:rsidR="00E42B18" w14:paraId="02F33BC8" w14:textId="77777777">
        <w:trPr>
          <w:trHeight w:val="300"/>
        </w:trPr>
        <w:tc>
          <w:tcPr>
            <w:tcW w:w="1435" w:type="dxa"/>
            <w:shd w:val="clear" w:color="auto" w:fill="C6EFCE"/>
            <w:tcMar>
              <w:left w:w="108" w:type="dxa"/>
              <w:right w:w="108" w:type="dxa"/>
            </w:tcMar>
            <w:vAlign w:val="center"/>
          </w:tcPr>
          <w:p w14:paraId="024D20A0" w14:textId="77777777" w:rsidR="00E42B18" w:rsidRDefault="009629C4">
            <w:pPr>
              <w:pStyle w:val="P68B1DB1-Normal121"/>
              <w:spacing w:after="0" w:line="240" w:lineRule="auto"/>
              <w:jc w:val="center"/>
              <w:rPr>
                <w:noProof/>
              </w:rPr>
            </w:pPr>
            <w:r>
              <w:rPr>
                <w:noProof/>
              </w:rPr>
              <w:t>M2C4–8</w:t>
            </w:r>
          </w:p>
        </w:tc>
        <w:tc>
          <w:tcPr>
            <w:tcW w:w="3543" w:type="dxa"/>
            <w:shd w:val="clear" w:color="auto" w:fill="C6EFCE"/>
            <w:tcMar>
              <w:left w:w="108" w:type="dxa"/>
              <w:right w:w="108" w:type="dxa"/>
            </w:tcMar>
            <w:vAlign w:val="center"/>
          </w:tcPr>
          <w:p w14:paraId="63E954F1" w14:textId="77777777" w:rsidR="00E42B18" w:rsidRDefault="009629C4">
            <w:pPr>
              <w:pStyle w:val="P68B1DB1-Normal121"/>
              <w:spacing w:after="0" w:line="240" w:lineRule="auto"/>
              <w:rPr>
                <w:noProof/>
              </w:rPr>
            </w:pPr>
            <w:r>
              <w:rPr>
                <w:noProof/>
              </w:rPr>
              <w:t>Investointi 1.1. Kehittyneen ja integroidun seuranta- ja ennustejärjestelmän täytäntöönpano</w:t>
            </w:r>
          </w:p>
        </w:tc>
        <w:tc>
          <w:tcPr>
            <w:tcW w:w="1418" w:type="dxa"/>
            <w:shd w:val="clear" w:color="auto" w:fill="C6EFCE"/>
            <w:tcMar>
              <w:left w:w="108" w:type="dxa"/>
              <w:right w:w="108" w:type="dxa"/>
            </w:tcMar>
            <w:vAlign w:val="center"/>
          </w:tcPr>
          <w:p w14:paraId="096C91F3"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2527CD14" w14:textId="77777777" w:rsidR="00E42B18" w:rsidRDefault="009629C4">
            <w:pPr>
              <w:pStyle w:val="P68B1DB1-Normal121"/>
              <w:spacing w:after="0" w:line="240" w:lineRule="auto"/>
              <w:rPr>
                <w:noProof/>
              </w:rPr>
            </w:pPr>
            <w:r>
              <w:rPr>
                <w:noProof/>
              </w:rPr>
              <w:t xml:space="preserve">Kehittyneen ja integroidun seuranta- ja ennustejärjestelmän toimintasuunnitelma hydrologisten riskien tunnistamiseksi </w:t>
            </w:r>
          </w:p>
        </w:tc>
      </w:tr>
      <w:tr w:rsidR="00E42B18" w14:paraId="69ABE650" w14:textId="77777777">
        <w:trPr>
          <w:trHeight w:val="300"/>
        </w:trPr>
        <w:tc>
          <w:tcPr>
            <w:tcW w:w="1435" w:type="dxa"/>
            <w:shd w:val="clear" w:color="auto" w:fill="C6EFCE"/>
            <w:tcMar>
              <w:left w:w="108" w:type="dxa"/>
              <w:right w:w="108" w:type="dxa"/>
            </w:tcMar>
            <w:vAlign w:val="center"/>
          </w:tcPr>
          <w:p w14:paraId="48490E05" w14:textId="77777777" w:rsidR="00E42B18" w:rsidRDefault="009629C4">
            <w:pPr>
              <w:pStyle w:val="P68B1DB1-Normal121"/>
              <w:spacing w:after="0" w:line="240" w:lineRule="auto"/>
              <w:jc w:val="center"/>
              <w:rPr>
                <w:noProof/>
              </w:rPr>
            </w:pPr>
            <w:r>
              <w:rPr>
                <w:noProof/>
              </w:rPr>
              <w:t>M5C1–17</w:t>
            </w:r>
          </w:p>
        </w:tc>
        <w:tc>
          <w:tcPr>
            <w:tcW w:w="3543" w:type="dxa"/>
            <w:shd w:val="clear" w:color="auto" w:fill="C6EFCE"/>
            <w:tcMar>
              <w:left w:w="108" w:type="dxa"/>
              <w:right w:w="108" w:type="dxa"/>
            </w:tcMar>
            <w:vAlign w:val="center"/>
          </w:tcPr>
          <w:p w14:paraId="35ABAFA9" w14:textId="77777777" w:rsidR="00E42B18" w:rsidRDefault="009629C4">
            <w:pPr>
              <w:pStyle w:val="P68B1DB1-Normal121"/>
              <w:spacing w:after="0" w:line="240" w:lineRule="auto"/>
              <w:rPr>
                <w:noProof/>
              </w:rPr>
            </w:pPr>
            <w:r>
              <w:rPr>
                <w:noProof/>
              </w:rPr>
              <w:t>Investointi 5 – Naisyritysten perustaminen</w:t>
            </w:r>
          </w:p>
        </w:tc>
        <w:tc>
          <w:tcPr>
            <w:tcW w:w="1418" w:type="dxa"/>
            <w:shd w:val="clear" w:color="auto" w:fill="C6EFCE"/>
            <w:tcMar>
              <w:left w:w="108" w:type="dxa"/>
              <w:right w:w="108" w:type="dxa"/>
            </w:tcMar>
            <w:vAlign w:val="center"/>
          </w:tcPr>
          <w:p w14:paraId="167EA8B5"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141AF814" w14:textId="77777777" w:rsidR="00E42B18" w:rsidRDefault="009629C4">
            <w:pPr>
              <w:pStyle w:val="P68B1DB1-Normal121"/>
              <w:spacing w:after="0" w:line="240" w:lineRule="auto"/>
              <w:rPr>
                <w:noProof/>
              </w:rPr>
            </w:pPr>
            <w:r>
              <w:rPr>
                <w:noProof/>
              </w:rPr>
              <w:t>Naisten yrittäjyyttä tukeva rahasto on hyväksytty</w:t>
            </w:r>
          </w:p>
        </w:tc>
      </w:tr>
      <w:tr w:rsidR="00E42B18" w14:paraId="7BE0D4C4" w14:textId="77777777">
        <w:trPr>
          <w:trHeight w:val="300"/>
        </w:trPr>
        <w:tc>
          <w:tcPr>
            <w:tcW w:w="1435" w:type="dxa"/>
            <w:shd w:val="clear" w:color="auto" w:fill="C6EFCE"/>
            <w:tcMar>
              <w:left w:w="108" w:type="dxa"/>
              <w:right w:w="108" w:type="dxa"/>
            </w:tcMar>
            <w:vAlign w:val="center"/>
          </w:tcPr>
          <w:p w14:paraId="02AF7D1C" w14:textId="77777777" w:rsidR="00E42B18" w:rsidRDefault="009629C4">
            <w:pPr>
              <w:pStyle w:val="P68B1DB1-Normal121"/>
              <w:spacing w:after="0" w:line="240" w:lineRule="auto"/>
              <w:jc w:val="center"/>
              <w:rPr>
                <w:noProof/>
              </w:rPr>
            </w:pPr>
            <w:r>
              <w:rPr>
                <w:noProof/>
              </w:rPr>
              <w:t>M1C2–27</w:t>
            </w:r>
          </w:p>
        </w:tc>
        <w:tc>
          <w:tcPr>
            <w:tcW w:w="3543" w:type="dxa"/>
            <w:shd w:val="clear" w:color="auto" w:fill="C6EFCE"/>
            <w:tcMar>
              <w:left w:w="108" w:type="dxa"/>
              <w:right w:w="108" w:type="dxa"/>
            </w:tcMar>
            <w:vAlign w:val="center"/>
          </w:tcPr>
          <w:p w14:paraId="215F39D2" w14:textId="77777777" w:rsidR="00E42B18" w:rsidRDefault="009629C4">
            <w:pPr>
              <w:pStyle w:val="P68B1DB1-Normal121"/>
              <w:spacing w:after="0" w:line="240" w:lineRule="auto"/>
              <w:rPr>
                <w:noProof/>
              </w:rPr>
            </w:pPr>
            <w:r>
              <w:rPr>
                <w:noProof/>
              </w:rPr>
              <w:t>Investointi 5.1: SIMESTin hallinnoiman rahaston 394/81 jälleenrahoitus ja uudistaminen</w:t>
            </w:r>
          </w:p>
        </w:tc>
        <w:tc>
          <w:tcPr>
            <w:tcW w:w="1418" w:type="dxa"/>
            <w:shd w:val="clear" w:color="auto" w:fill="C6EFCE"/>
            <w:tcMar>
              <w:left w:w="108" w:type="dxa"/>
              <w:right w:w="108" w:type="dxa"/>
            </w:tcMar>
            <w:vAlign w:val="center"/>
          </w:tcPr>
          <w:p w14:paraId="5D39EBEE" w14:textId="77777777" w:rsidR="00E42B18" w:rsidRDefault="009629C4">
            <w:pPr>
              <w:pStyle w:val="P68B1DB1-Normal121"/>
              <w:spacing w:after="0" w:line="240" w:lineRule="auto"/>
              <w:jc w:val="center"/>
              <w:rPr>
                <w:noProof/>
              </w:rPr>
            </w:pPr>
            <w:r>
              <w:rPr>
                <w:noProof/>
              </w:rPr>
              <w:t>Kohde</w:t>
            </w:r>
          </w:p>
        </w:tc>
        <w:tc>
          <w:tcPr>
            <w:tcW w:w="2963" w:type="dxa"/>
            <w:shd w:val="clear" w:color="auto" w:fill="C6EFCE"/>
            <w:tcMar>
              <w:left w:w="108" w:type="dxa"/>
              <w:right w:w="108" w:type="dxa"/>
            </w:tcMar>
            <w:vAlign w:val="center"/>
          </w:tcPr>
          <w:p w14:paraId="121CF49D" w14:textId="77777777" w:rsidR="00E42B18" w:rsidRDefault="009629C4">
            <w:pPr>
              <w:pStyle w:val="P68B1DB1-Normal121"/>
              <w:spacing w:after="0" w:line="240" w:lineRule="auto"/>
              <w:rPr>
                <w:noProof/>
              </w:rPr>
            </w:pPr>
            <w:r>
              <w:rPr>
                <w:noProof/>
              </w:rPr>
              <w:t>Rahastosta 394/81 tukea saaneet pk-yritykset</w:t>
            </w:r>
          </w:p>
        </w:tc>
      </w:tr>
      <w:tr w:rsidR="00E42B18" w14:paraId="5A549856" w14:textId="77777777">
        <w:trPr>
          <w:trHeight w:val="300"/>
        </w:trPr>
        <w:tc>
          <w:tcPr>
            <w:tcW w:w="1435" w:type="dxa"/>
            <w:shd w:val="clear" w:color="auto" w:fill="C6EFCE"/>
            <w:tcMar>
              <w:left w:w="108" w:type="dxa"/>
              <w:right w:w="108" w:type="dxa"/>
            </w:tcMar>
            <w:vAlign w:val="center"/>
          </w:tcPr>
          <w:p w14:paraId="7B4F6A12" w14:textId="77777777" w:rsidR="00E42B18" w:rsidRDefault="009629C4">
            <w:pPr>
              <w:pStyle w:val="P68B1DB1-Normal121"/>
              <w:spacing w:after="0" w:line="240" w:lineRule="auto"/>
              <w:jc w:val="center"/>
              <w:rPr>
                <w:noProof/>
              </w:rPr>
            </w:pPr>
            <w:r>
              <w:rPr>
                <w:noProof/>
              </w:rPr>
              <w:t>M1C3–22</w:t>
            </w:r>
          </w:p>
        </w:tc>
        <w:tc>
          <w:tcPr>
            <w:tcW w:w="3543" w:type="dxa"/>
            <w:shd w:val="clear" w:color="auto" w:fill="C6EFCE"/>
            <w:tcMar>
              <w:left w:w="108" w:type="dxa"/>
              <w:right w:w="108" w:type="dxa"/>
            </w:tcMar>
            <w:vAlign w:val="center"/>
          </w:tcPr>
          <w:p w14:paraId="30A532F2" w14:textId="0BA9873B" w:rsidR="00E42B18" w:rsidRDefault="009629C4">
            <w:pPr>
              <w:pStyle w:val="P68B1DB1-Normal121"/>
              <w:spacing w:after="0" w:line="240" w:lineRule="auto"/>
              <w:rPr>
                <w:noProof/>
              </w:rPr>
            </w:pPr>
            <w:r>
              <w:rPr>
                <w:noProof/>
              </w:rPr>
              <w:t xml:space="preserve">Investointi 4.2 Rahastot matkailualan yritysten kilpailukykyä varten </w:t>
            </w:r>
          </w:p>
        </w:tc>
        <w:tc>
          <w:tcPr>
            <w:tcW w:w="1418" w:type="dxa"/>
            <w:shd w:val="clear" w:color="auto" w:fill="C6EFCE"/>
            <w:tcMar>
              <w:left w:w="108" w:type="dxa"/>
              <w:right w:w="108" w:type="dxa"/>
            </w:tcMar>
            <w:vAlign w:val="center"/>
          </w:tcPr>
          <w:p w14:paraId="4CA031E0"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38A62E8D" w14:textId="34466550" w:rsidR="00E42B18" w:rsidRDefault="009629C4">
            <w:pPr>
              <w:pStyle w:val="P68B1DB1-Normal121"/>
              <w:spacing w:after="0" w:line="240" w:lineRule="auto"/>
              <w:rPr>
                <w:noProof/>
              </w:rPr>
            </w:pPr>
            <w:r>
              <w:rPr>
                <w:noProof/>
              </w:rPr>
              <w:t xml:space="preserve">Investointipolitiikka: Euroopan investointipankin temaattinen rahasto;  </w:t>
            </w:r>
          </w:p>
        </w:tc>
      </w:tr>
      <w:tr w:rsidR="00E42B18" w14:paraId="331FCB95" w14:textId="77777777">
        <w:trPr>
          <w:trHeight w:val="300"/>
        </w:trPr>
        <w:tc>
          <w:tcPr>
            <w:tcW w:w="1435" w:type="dxa"/>
            <w:shd w:val="clear" w:color="auto" w:fill="C6EFCE"/>
            <w:tcMar>
              <w:left w:w="108" w:type="dxa"/>
              <w:right w:w="108" w:type="dxa"/>
            </w:tcMar>
            <w:vAlign w:val="center"/>
          </w:tcPr>
          <w:p w14:paraId="7A64EF29" w14:textId="77777777" w:rsidR="00E42B18" w:rsidRDefault="009629C4">
            <w:pPr>
              <w:pStyle w:val="P68B1DB1-Normal121"/>
              <w:spacing w:after="0" w:line="240" w:lineRule="auto"/>
              <w:jc w:val="center"/>
              <w:rPr>
                <w:noProof/>
              </w:rPr>
            </w:pPr>
            <w:r>
              <w:rPr>
                <w:noProof/>
              </w:rPr>
              <w:t>M1C3–23</w:t>
            </w:r>
          </w:p>
        </w:tc>
        <w:tc>
          <w:tcPr>
            <w:tcW w:w="3543" w:type="dxa"/>
            <w:shd w:val="clear" w:color="auto" w:fill="C6EFCE"/>
            <w:tcMar>
              <w:left w:w="108" w:type="dxa"/>
              <w:right w:w="108" w:type="dxa"/>
            </w:tcMar>
            <w:vAlign w:val="center"/>
          </w:tcPr>
          <w:p w14:paraId="0D37E285" w14:textId="77777777" w:rsidR="00E42B18" w:rsidRDefault="009629C4">
            <w:pPr>
              <w:pStyle w:val="P68B1DB1-Normal121"/>
              <w:spacing w:after="0" w:line="240" w:lineRule="auto"/>
              <w:rPr>
                <w:noProof/>
              </w:rPr>
            </w:pPr>
            <w:r>
              <w:rPr>
                <w:noProof/>
              </w:rPr>
              <w:t xml:space="preserve">Investointi 4.2:  Matkailualan yritysten kilpailukykyyn tarkoitetut rahastot </w:t>
            </w:r>
          </w:p>
        </w:tc>
        <w:tc>
          <w:tcPr>
            <w:tcW w:w="1418" w:type="dxa"/>
            <w:shd w:val="clear" w:color="auto" w:fill="C6EFCE"/>
            <w:tcMar>
              <w:left w:w="108" w:type="dxa"/>
              <w:right w:w="108" w:type="dxa"/>
            </w:tcMar>
            <w:vAlign w:val="center"/>
          </w:tcPr>
          <w:p w14:paraId="33F9CE13"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11638CDE" w14:textId="77777777" w:rsidR="00E42B18" w:rsidRDefault="009629C4">
            <w:pPr>
              <w:pStyle w:val="P68B1DB1-Normal121"/>
              <w:spacing w:after="0" w:line="240" w:lineRule="auto"/>
              <w:rPr>
                <w:noProof/>
              </w:rPr>
            </w:pPr>
            <w:r>
              <w:rPr>
                <w:noProof/>
              </w:rPr>
              <w:t xml:space="preserve">Kansallisen matkailurahaston investointipolitiikka, </w:t>
            </w:r>
          </w:p>
        </w:tc>
      </w:tr>
      <w:tr w:rsidR="00E42B18" w14:paraId="21D10B4C" w14:textId="77777777">
        <w:trPr>
          <w:trHeight w:val="300"/>
        </w:trPr>
        <w:tc>
          <w:tcPr>
            <w:tcW w:w="1435" w:type="dxa"/>
            <w:shd w:val="clear" w:color="auto" w:fill="C6EFCE"/>
            <w:tcMar>
              <w:left w:w="108" w:type="dxa"/>
              <w:right w:w="108" w:type="dxa"/>
            </w:tcMar>
            <w:vAlign w:val="center"/>
          </w:tcPr>
          <w:p w14:paraId="65D1F00A" w14:textId="77777777" w:rsidR="00E42B18" w:rsidRDefault="009629C4">
            <w:pPr>
              <w:pStyle w:val="P68B1DB1-Normal121"/>
              <w:spacing w:after="0" w:line="240" w:lineRule="auto"/>
              <w:jc w:val="center"/>
              <w:rPr>
                <w:noProof/>
              </w:rPr>
            </w:pPr>
            <w:r>
              <w:rPr>
                <w:noProof/>
              </w:rPr>
              <w:t>M1C3–24</w:t>
            </w:r>
          </w:p>
        </w:tc>
        <w:tc>
          <w:tcPr>
            <w:tcW w:w="3543" w:type="dxa"/>
            <w:shd w:val="clear" w:color="auto" w:fill="C6EFCE"/>
            <w:tcMar>
              <w:left w:w="108" w:type="dxa"/>
              <w:right w:w="108" w:type="dxa"/>
            </w:tcMar>
            <w:vAlign w:val="center"/>
          </w:tcPr>
          <w:p w14:paraId="41F29277" w14:textId="01B59BC2" w:rsidR="00E42B18" w:rsidRDefault="009629C4">
            <w:pPr>
              <w:pStyle w:val="P68B1DB1-Normal121"/>
              <w:spacing w:after="0" w:line="240" w:lineRule="auto"/>
              <w:rPr>
                <w:noProof/>
              </w:rPr>
            </w:pPr>
            <w:r>
              <w:rPr>
                <w:noProof/>
              </w:rPr>
              <w:t xml:space="preserve">Investointi 4.2 Rahastot matkailuyritysten kilpailukykyä varten </w:t>
            </w:r>
          </w:p>
        </w:tc>
        <w:tc>
          <w:tcPr>
            <w:tcW w:w="1418" w:type="dxa"/>
            <w:shd w:val="clear" w:color="auto" w:fill="C6EFCE"/>
            <w:tcMar>
              <w:left w:w="108" w:type="dxa"/>
              <w:right w:w="108" w:type="dxa"/>
            </w:tcMar>
            <w:vAlign w:val="center"/>
          </w:tcPr>
          <w:p w14:paraId="11E9A91D"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4C0974C2" w14:textId="77777777" w:rsidR="00E42B18" w:rsidRDefault="009629C4">
            <w:pPr>
              <w:pStyle w:val="P68B1DB1-Normal121"/>
              <w:spacing w:after="0" w:line="240" w:lineRule="auto"/>
              <w:rPr>
                <w:noProof/>
              </w:rPr>
            </w:pPr>
            <w:r>
              <w:rPr>
                <w:noProof/>
              </w:rPr>
              <w:t>Investointipolitiikka: Pk-yritysten takuurahasto,</w:t>
            </w:r>
          </w:p>
        </w:tc>
      </w:tr>
      <w:tr w:rsidR="00E42B18" w14:paraId="45BADD0B" w14:textId="77777777">
        <w:trPr>
          <w:trHeight w:val="300"/>
        </w:trPr>
        <w:tc>
          <w:tcPr>
            <w:tcW w:w="1435" w:type="dxa"/>
            <w:shd w:val="clear" w:color="auto" w:fill="C6EFCE"/>
            <w:tcMar>
              <w:left w:w="108" w:type="dxa"/>
              <w:right w:w="108" w:type="dxa"/>
            </w:tcMar>
            <w:vAlign w:val="center"/>
          </w:tcPr>
          <w:p w14:paraId="6BAB2DC3" w14:textId="77777777" w:rsidR="00E42B18" w:rsidRDefault="009629C4">
            <w:pPr>
              <w:pStyle w:val="P68B1DB1-Normal121"/>
              <w:spacing w:after="0" w:line="240" w:lineRule="auto"/>
              <w:jc w:val="center"/>
              <w:rPr>
                <w:noProof/>
              </w:rPr>
            </w:pPr>
            <w:r>
              <w:rPr>
                <w:noProof/>
              </w:rPr>
              <w:t>M1C3–25</w:t>
            </w:r>
          </w:p>
        </w:tc>
        <w:tc>
          <w:tcPr>
            <w:tcW w:w="3543" w:type="dxa"/>
            <w:shd w:val="clear" w:color="auto" w:fill="C6EFCE"/>
            <w:tcMar>
              <w:left w:w="108" w:type="dxa"/>
              <w:right w:w="108" w:type="dxa"/>
            </w:tcMar>
            <w:vAlign w:val="center"/>
          </w:tcPr>
          <w:p w14:paraId="210772CD" w14:textId="2F25133B" w:rsidR="00E42B18" w:rsidRDefault="009629C4">
            <w:pPr>
              <w:pStyle w:val="P68B1DB1-Normal121"/>
              <w:spacing w:after="0" w:line="240" w:lineRule="auto"/>
              <w:rPr>
                <w:noProof/>
              </w:rPr>
            </w:pPr>
            <w:r>
              <w:rPr>
                <w:noProof/>
              </w:rPr>
              <w:t xml:space="preserve">Investointi 4.2: Matkailualan yritysten kilpailukykyyn tarkoitetut rahastot </w:t>
            </w:r>
          </w:p>
        </w:tc>
        <w:tc>
          <w:tcPr>
            <w:tcW w:w="1418" w:type="dxa"/>
            <w:shd w:val="clear" w:color="auto" w:fill="C6EFCE"/>
            <w:tcMar>
              <w:left w:w="108" w:type="dxa"/>
              <w:right w:w="108" w:type="dxa"/>
            </w:tcMar>
            <w:vAlign w:val="center"/>
          </w:tcPr>
          <w:p w14:paraId="35CBD7BF"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682099D8" w14:textId="77777777" w:rsidR="00E42B18" w:rsidRDefault="009629C4">
            <w:pPr>
              <w:pStyle w:val="P68B1DB1-Normal121"/>
              <w:spacing w:after="0" w:line="240" w:lineRule="auto"/>
              <w:rPr>
                <w:noProof/>
              </w:rPr>
            </w:pPr>
            <w:r>
              <w:rPr>
                <w:noProof/>
              </w:rPr>
              <w:t xml:space="preserve">Fondo Rotativon investointipolitiikka </w:t>
            </w:r>
          </w:p>
        </w:tc>
      </w:tr>
      <w:tr w:rsidR="00E42B18" w14:paraId="18A6ED7F" w14:textId="77777777">
        <w:trPr>
          <w:trHeight w:val="300"/>
        </w:trPr>
        <w:tc>
          <w:tcPr>
            <w:tcW w:w="1435" w:type="dxa"/>
            <w:shd w:val="clear" w:color="auto" w:fill="C6EFCE"/>
            <w:tcMar>
              <w:left w:w="108" w:type="dxa"/>
              <w:right w:w="108" w:type="dxa"/>
            </w:tcMar>
            <w:vAlign w:val="center"/>
          </w:tcPr>
          <w:p w14:paraId="2CBEC637" w14:textId="77777777" w:rsidR="00E42B18" w:rsidRDefault="009629C4">
            <w:pPr>
              <w:pStyle w:val="P68B1DB1-Normal121"/>
              <w:spacing w:after="0" w:line="240" w:lineRule="auto"/>
              <w:jc w:val="center"/>
              <w:rPr>
                <w:noProof/>
              </w:rPr>
            </w:pPr>
            <w:r>
              <w:rPr>
                <w:noProof/>
              </w:rPr>
              <w:t>M1C3–26</w:t>
            </w:r>
          </w:p>
        </w:tc>
        <w:tc>
          <w:tcPr>
            <w:tcW w:w="3543" w:type="dxa"/>
            <w:shd w:val="clear" w:color="auto" w:fill="C6EFCE"/>
            <w:tcMar>
              <w:left w:w="108" w:type="dxa"/>
              <w:right w:w="108" w:type="dxa"/>
            </w:tcMar>
            <w:vAlign w:val="center"/>
          </w:tcPr>
          <w:p w14:paraId="2DC6EFF1" w14:textId="3C5F894A" w:rsidR="00E42B18" w:rsidRDefault="009629C4">
            <w:pPr>
              <w:pStyle w:val="P68B1DB1-Normal121"/>
              <w:spacing w:after="0" w:line="240" w:lineRule="auto"/>
              <w:rPr>
                <w:noProof/>
              </w:rPr>
            </w:pPr>
            <w:r>
              <w:rPr>
                <w:noProof/>
              </w:rPr>
              <w:t xml:space="preserve">Investointi 4.2: Matkailualan yritysten kilpailukykyyn tarkoitetut rahastot </w:t>
            </w:r>
          </w:p>
        </w:tc>
        <w:tc>
          <w:tcPr>
            <w:tcW w:w="1418" w:type="dxa"/>
            <w:shd w:val="clear" w:color="auto" w:fill="C6EFCE"/>
            <w:tcMar>
              <w:left w:w="108" w:type="dxa"/>
              <w:right w:w="108" w:type="dxa"/>
            </w:tcMar>
            <w:vAlign w:val="center"/>
          </w:tcPr>
          <w:p w14:paraId="43EFC0B9"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5FC160AE" w14:textId="77777777" w:rsidR="00E42B18" w:rsidRDefault="009629C4">
            <w:pPr>
              <w:pStyle w:val="P68B1DB1-Normal121"/>
              <w:spacing w:after="0" w:line="240" w:lineRule="auto"/>
              <w:rPr>
                <w:noProof/>
              </w:rPr>
            </w:pPr>
            <w:r>
              <w:rPr>
                <w:noProof/>
              </w:rPr>
              <w:t>Majoitustilojen kunnostamiseen tarkoitettua verohyvitystä koskeva täytäntöönpanoasetus tulee voimaan.</w:t>
            </w:r>
          </w:p>
        </w:tc>
      </w:tr>
      <w:tr w:rsidR="00E42B18" w14:paraId="4F2A8087" w14:textId="77777777">
        <w:trPr>
          <w:trHeight w:val="300"/>
        </w:trPr>
        <w:tc>
          <w:tcPr>
            <w:tcW w:w="1435" w:type="dxa"/>
            <w:shd w:val="clear" w:color="auto" w:fill="C6EFCE"/>
            <w:tcMar>
              <w:left w:w="108" w:type="dxa"/>
              <w:right w:w="108" w:type="dxa"/>
            </w:tcMar>
            <w:vAlign w:val="center"/>
          </w:tcPr>
          <w:p w14:paraId="56F1E565" w14:textId="77777777" w:rsidR="00E42B18" w:rsidRDefault="009629C4">
            <w:pPr>
              <w:pStyle w:val="P68B1DB1-Normal121"/>
              <w:spacing w:after="0" w:line="240" w:lineRule="auto"/>
              <w:jc w:val="center"/>
              <w:rPr>
                <w:noProof/>
              </w:rPr>
            </w:pPr>
            <w:r>
              <w:rPr>
                <w:noProof/>
              </w:rPr>
              <w:t>M2C4–7</w:t>
            </w:r>
          </w:p>
        </w:tc>
        <w:tc>
          <w:tcPr>
            <w:tcW w:w="3543" w:type="dxa"/>
            <w:shd w:val="clear" w:color="auto" w:fill="C6EFCE"/>
            <w:tcMar>
              <w:left w:w="108" w:type="dxa"/>
              <w:right w:w="108" w:type="dxa"/>
            </w:tcMar>
            <w:vAlign w:val="center"/>
          </w:tcPr>
          <w:p w14:paraId="18FA3FBE" w14:textId="77777777" w:rsidR="00E42B18" w:rsidRDefault="009629C4">
            <w:pPr>
              <w:pStyle w:val="P68B1DB1-Normal121"/>
              <w:spacing w:after="0" w:line="240" w:lineRule="auto"/>
              <w:rPr>
                <w:noProof/>
              </w:rPr>
            </w:pPr>
            <w:r>
              <w:rPr>
                <w:noProof/>
              </w:rPr>
              <w:t>Uudistus 3.1: Ilman pilaantumisen valvontaa koskevien kansallisten ohjelmien hyväksyminen</w:t>
            </w:r>
          </w:p>
        </w:tc>
        <w:tc>
          <w:tcPr>
            <w:tcW w:w="1418" w:type="dxa"/>
            <w:shd w:val="clear" w:color="auto" w:fill="C6EFCE"/>
            <w:tcMar>
              <w:left w:w="108" w:type="dxa"/>
              <w:right w:w="108" w:type="dxa"/>
            </w:tcMar>
            <w:vAlign w:val="center"/>
          </w:tcPr>
          <w:p w14:paraId="536C0CA7"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732E3815" w14:textId="77777777" w:rsidR="00E42B18" w:rsidRDefault="009629C4">
            <w:pPr>
              <w:pStyle w:val="P68B1DB1-Normal121"/>
              <w:spacing w:after="0" w:line="240" w:lineRule="auto"/>
              <w:rPr>
                <w:noProof/>
              </w:rPr>
            </w:pPr>
            <w:r>
              <w:rPr>
                <w:noProof/>
              </w:rPr>
              <w:t>Kansallisen ilmansuojeluohjelman voimaantulo</w:t>
            </w:r>
          </w:p>
        </w:tc>
      </w:tr>
      <w:tr w:rsidR="00E42B18" w14:paraId="2CE31F33" w14:textId="77777777">
        <w:trPr>
          <w:trHeight w:val="300"/>
        </w:trPr>
        <w:tc>
          <w:tcPr>
            <w:tcW w:w="1435" w:type="dxa"/>
            <w:shd w:val="clear" w:color="auto" w:fill="C6EFCE"/>
            <w:tcMar>
              <w:left w:w="108" w:type="dxa"/>
              <w:right w:w="108" w:type="dxa"/>
            </w:tcMar>
            <w:vAlign w:val="center"/>
          </w:tcPr>
          <w:p w14:paraId="2C91A179" w14:textId="77777777" w:rsidR="00E42B18" w:rsidRDefault="009629C4">
            <w:pPr>
              <w:pStyle w:val="P68B1DB1-Normal121"/>
              <w:spacing w:after="0" w:line="240" w:lineRule="auto"/>
              <w:jc w:val="center"/>
              <w:rPr>
                <w:noProof/>
              </w:rPr>
            </w:pPr>
            <w:r>
              <w:rPr>
                <w:noProof/>
              </w:rPr>
              <w:t>M2C4–12</w:t>
            </w:r>
          </w:p>
        </w:tc>
        <w:tc>
          <w:tcPr>
            <w:tcW w:w="3543" w:type="dxa"/>
            <w:shd w:val="clear" w:color="auto" w:fill="C6EFCE"/>
            <w:tcMar>
              <w:left w:w="108" w:type="dxa"/>
              <w:right w:w="108" w:type="dxa"/>
            </w:tcMar>
            <w:vAlign w:val="center"/>
          </w:tcPr>
          <w:p w14:paraId="69EC5E0B" w14:textId="77777777" w:rsidR="00E42B18" w:rsidRDefault="009629C4">
            <w:pPr>
              <w:pStyle w:val="P68B1DB1-Normal121"/>
              <w:spacing w:after="0" w:line="240" w:lineRule="auto"/>
              <w:rPr>
                <w:noProof/>
              </w:rPr>
            </w:pPr>
            <w:r>
              <w:rPr>
                <w:noProof/>
              </w:rPr>
              <w:t>Investointi 2.1.b. Toimenpiteet tulvariskien ja hydrogeologisten riskien vähentämiseksi</w:t>
            </w:r>
          </w:p>
        </w:tc>
        <w:tc>
          <w:tcPr>
            <w:tcW w:w="1418" w:type="dxa"/>
            <w:shd w:val="clear" w:color="auto" w:fill="C6EFCE"/>
            <w:tcMar>
              <w:left w:w="108" w:type="dxa"/>
              <w:right w:w="108" w:type="dxa"/>
            </w:tcMar>
            <w:vAlign w:val="center"/>
          </w:tcPr>
          <w:p w14:paraId="2BE0C9F4"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69B05614" w14:textId="77777777" w:rsidR="00E42B18" w:rsidRDefault="009629C4">
            <w:pPr>
              <w:pStyle w:val="P68B1DB1-Normal121"/>
              <w:spacing w:after="0" w:line="240" w:lineRule="auto"/>
              <w:rPr>
                <w:noProof/>
              </w:rPr>
            </w:pPr>
            <w:r>
              <w:rPr>
                <w:noProof/>
              </w:rPr>
              <w:t>Tulvariskien ja hydrogeologisten riskien torjuntaa koskevan tarkistetun oikeudellisen kehyksen voimaantulo</w:t>
            </w:r>
          </w:p>
        </w:tc>
      </w:tr>
      <w:tr w:rsidR="00E42B18" w14:paraId="4B0E66E5" w14:textId="77777777">
        <w:trPr>
          <w:trHeight w:val="300"/>
        </w:trPr>
        <w:tc>
          <w:tcPr>
            <w:tcW w:w="1435" w:type="dxa"/>
            <w:shd w:val="clear" w:color="auto" w:fill="C6EFCE"/>
            <w:tcMar>
              <w:left w:w="108" w:type="dxa"/>
              <w:right w:w="108" w:type="dxa"/>
            </w:tcMar>
            <w:vAlign w:val="center"/>
          </w:tcPr>
          <w:p w14:paraId="2030AA84" w14:textId="77777777" w:rsidR="00E42B18" w:rsidRDefault="009629C4">
            <w:pPr>
              <w:pStyle w:val="P68B1DB1-Normal121"/>
              <w:spacing w:after="0" w:line="240" w:lineRule="auto"/>
              <w:jc w:val="center"/>
              <w:rPr>
                <w:noProof/>
              </w:rPr>
            </w:pPr>
            <w:r>
              <w:rPr>
                <w:noProof/>
              </w:rPr>
              <w:t>M2C4–18</w:t>
            </w:r>
          </w:p>
        </w:tc>
        <w:tc>
          <w:tcPr>
            <w:tcW w:w="3543" w:type="dxa"/>
            <w:shd w:val="clear" w:color="auto" w:fill="C6EFCE"/>
            <w:tcMar>
              <w:left w:w="108" w:type="dxa"/>
              <w:right w:w="108" w:type="dxa"/>
            </w:tcMar>
            <w:vAlign w:val="center"/>
          </w:tcPr>
          <w:p w14:paraId="060A4C45" w14:textId="77777777" w:rsidR="00E42B18" w:rsidRDefault="009629C4">
            <w:pPr>
              <w:pStyle w:val="P68B1DB1-Normal121"/>
              <w:spacing w:after="0" w:line="240" w:lineRule="auto"/>
              <w:rPr>
                <w:noProof/>
              </w:rPr>
            </w:pPr>
            <w:r>
              <w:rPr>
                <w:noProof/>
              </w:rPr>
              <w:t>Sijoittaminen. 3.1: Kaupunkien ja niiden lähialueiden metsien suojelu ja parantaminen</w:t>
            </w:r>
          </w:p>
        </w:tc>
        <w:tc>
          <w:tcPr>
            <w:tcW w:w="1418" w:type="dxa"/>
            <w:shd w:val="clear" w:color="auto" w:fill="C6EFCE"/>
            <w:tcMar>
              <w:left w:w="108" w:type="dxa"/>
              <w:right w:w="108" w:type="dxa"/>
            </w:tcMar>
            <w:vAlign w:val="center"/>
          </w:tcPr>
          <w:p w14:paraId="541C9D06"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68C0E497" w14:textId="77777777" w:rsidR="00E42B18" w:rsidRDefault="009629C4">
            <w:pPr>
              <w:pStyle w:val="P68B1DB1-Normal121"/>
              <w:spacing w:after="0" w:line="240" w:lineRule="auto"/>
              <w:rPr>
                <w:noProof/>
              </w:rPr>
            </w:pPr>
            <w:r>
              <w:rPr>
                <w:noProof/>
              </w:rPr>
              <w:t xml:space="preserve">Kaupunkien viheralueiden ja niiden lähialueiden suojelua ja hyödyntämistä koskevien tarkistettujen oikeudellisten muutosten voimaantulo </w:t>
            </w:r>
          </w:p>
        </w:tc>
      </w:tr>
      <w:tr w:rsidR="00E42B18" w14:paraId="66DA6ADE" w14:textId="77777777">
        <w:trPr>
          <w:trHeight w:val="300"/>
        </w:trPr>
        <w:tc>
          <w:tcPr>
            <w:tcW w:w="1435" w:type="dxa"/>
            <w:shd w:val="clear" w:color="auto" w:fill="C6EFCE"/>
            <w:tcMar>
              <w:left w:w="108" w:type="dxa"/>
              <w:right w:w="108" w:type="dxa"/>
            </w:tcMar>
            <w:vAlign w:val="center"/>
          </w:tcPr>
          <w:p w14:paraId="028E4A91" w14:textId="77777777" w:rsidR="00E42B18" w:rsidRDefault="009629C4">
            <w:pPr>
              <w:pStyle w:val="P68B1DB1-Normal121"/>
              <w:spacing w:after="0" w:line="240" w:lineRule="auto"/>
              <w:jc w:val="center"/>
              <w:rPr>
                <w:noProof/>
              </w:rPr>
            </w:pPr>
            <w:r>
              <w:rPr>
                <w:noProof/>
              </w:rPr>
              <w:t>M3C1–1</w:t>
            </w:r>
          </w:p>
        </w:tc>
        <w:tc>
          <w:tcPr>
            <w:tcW w:w="3543" w:type="dxa"/>
            <w:shd w:val="clear" w:color="auto" w:fill="C6EFCE"/>
            <w:tcMar>
              <w:left w:w="108" w:type="dxa"/>
              <w:right w:w="108" w:type="dxa"/>
            </w:tcMar>
            <w:vAlign w:val="center"/>
          </w:tcPr>
          <w:p w14:paraId="27CF5B51" w14:textId="77777777" w:rsidR="00E42B18" w:rsidRDefault="009629C4">
            <w:pPr>
              <w:pStyle w:val="P68B1DB1-Normal121"/>
              <w:spacing w:after="0" w:line="240" w:lineRule="auto"/>
              <w:rPr>
                <w:noProof/>
              </w:rPr>
            </w:pPr>
            <w:r>
              <w:rPr>
                <w:noProof/>
              </w:rPr>
              <w:t>Uudistus 1.1 – MIT:n ja RFI:n välisen sopimuksen hyväksymisprosessin nopeuttaminen</w:t>
            </w:r>
          </w:p>
        </w:tc>
        <w:tc>
          <w:tcPr>
            <w:tcW w:w="1418" w:type="dxa"/>
            <w:shd w:val="clear" w:color="auto" w:fill="C6EFCE"/>
            <w:tcMar>
              <w:left w:w="108" w:type="dxa"/>
              <w:right w:w="108" w:type="dxa"/>
            </w:tcMar>
            <w:vAlign w:val="center"/>
          </w:tcPr>
          <w:p w14:paraId="58EF0692"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64DBFF34" w14:textId="77777777" w:rsidR="00E42B18" w:rsidRDefault="009629C4">
            <w:pPr>
              <w:pStyle w:val="P68B1DB1-Normal121"/>
              <w:spacing w:after="0" w:line="240" w:lineRule="auto"/>
              <w:rPr>
                <w:noProof/>
              </w:rPr>
            </w:pPr>
            <w:r>
              <w:rPr>
                <w:noProof/>
              </w:rPr>
              <w:t>Contratti di Programman (CdP) hyväksymismenettelyä koskevan lainsäädäntömuutoksen voimaantulo</w:t>
            </w:r>
          </w:p>
        </w:tc>
      </w:tr>
      <w:tr w:rsidR="00E42B18" w14:paraId="4193241E" w14:textId="77777777">
        <w:trPr>
          <w:trHeight w:val="300"/>
        </w:trPr>
        <w:tc>
          <w:tcPr>
            <w:tcW w:w="1435" w:type="dxa"/>
            <w:shd w:val="clear" w:color="auto" w:fill="C6EFCE"/>
            <w:tcMar>
              <w:left w:w="108" w:type="dxa"/>
              <w:right w:w="108" w:type="dxa"/>
            </w:tcMar>
            <w:vAlign w:val="center"/>
          </w:tcPr>
          <w:p w14:paraId="6442C5F3" w14:textId="77777777" w:rsidR="00E42B18" w:rsidRDefault="009629C4">
            <w:pPr>
              <w:pStyle w:val="P68B1DB1-Normal121"/>
              <w:spacing w:after="0" w:line="240" w:lineRule="auto"/>
              <w:jc w:val="center"/>
              <w:rPr>
                <w:noProof/>
              </w:rPr>
            </w:pPr>
            <w:r>
              <w:rPr>
                <w:noProof/>
              </w:rPr>
              <w:t>M3C1–2</w:t>
            </w:r>
          </w:p>
        </w:tc>
        <w:tc>
          <w:tcPr>
            <w:tcW w:w="3543" w:type="dxa"/>
            <w:shd w:val="clear" w:color="auto" w:fill="C6EFCE"/>
            <w:tcMar>
              <w:left w:w="108" w:type="dxa"/>
              <w:right w:w="108" w:type="dxa"/>
            </w:tcMar>
            <w:vAlign w:val="center"/>
          </w:tcPr>
          <w:p w14:paraId="70B0EC6B" w14:textId="77777777" w:rsidR="00E42B18" w:rsidRDefault="009629C4">
            <w:pPr>
              <w:pStyle w:val="P68B1DB1-Normal121"/>
              <w:spacing w:after="0" w:line="240" w:lineRule="auto"/>
              <w:rPr>
                <w:noProof/>
              </w:rPr>
            </w:pPr>
            <w:r>
              <w:rPr>
                <w:noProof/>
              </w:rPr>
              <w:t>Uudistus 1.2 – Hankkeiden lupamenettelyn nopeuttaminen</w:t>
            </w:r>
          </w:p>
        </w:tc>
        <w:tc>
          <w:tcPr>
            <w:tcW w:w="1418" w:type="dxa"/>
            <w:shd w:val="clear" w:color="auto" w:fill="C6EFCE"/>
            <w:tcMar>
              <w:left w:w="108" w:type="dxa"/>
              <w:right w:w="108" w:type="dxa"/>
            </w:tcMar>
            <w:vAlign w:val="center"/>
          </w:tcPr>
          <w:p w14:paraId="4E6AA959"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6CEFAB7F" w14:textId="77777777" w:rsidR="00E42B18" w:rsidRDefault="009629C4">
            <w:pPr>
              <w:pStyle w:val="P68B1DB1-Normal121"/>
              <w:spacing w:after="0" w:line="240" w:lineRule="auto"/>
              <w:rPr>
                <w:noProof/>
              </w:rPr>
            </w:pPr>
            <w:r>
              <w:rPr>
                <w:noProof/>
              </w:rPr>
              <w:t>Voimaan tulee sääntelymuutos, jolla hankkeiden hyväksymisaika lyhenee 11 kuukaudesta kuuteen kuukauteen</w:t>
            </w:r>
          </w:p>
        </w:tc>
      </w:tr>
      <w:tr w:rsidR="00E42B18" w14:paraId="4E72E771" w14:textId="77777777">
        <w:trPr>
          <w:trHeight w:val="300"/>
        </w:trPr>
        <w:tc>
          <w:tcPr>
            <w:tcW w:w="1435" w:type="dxa"/>
            <w:shd w:val="clear" w:color="auto" w:fill="C6EFCE"/>
            <w:tcMar>
              <w:left w:w="108" w:type="dxa"/>
              <w:right w:w="108" w:type="dxa"/>
            </w:tcMar>
            <w:vAlign w:val="center"/>
          </w:tcPr>
          <w:p w14:paraId="44DD6BD7" w14:textId="77777777" w:rsidR="00E42B18" w:rsidRDefault="009629C4">
            <w:pPr>
              <w:pStyle w:val="P68B1DB1-Normal121"/>
              <w:spacing w:after="0" w:line="240" w:lineRule="auto"/>
              <w:jc w:val="center"/>
              <w:rPr>
                <w:noProof/>
              </w:rPr>
            </w:pPr>
            <w:r>
              <w:rPr>
                <w:noProof/>
              </w:rPr>
              <w:t>M3C1–21</w:t>
            </w:r>
          </w:p>
        </w:tc>
        <w:tc>
          <w:tcPr>
            <w:tcW w:w="3543" w:type="dxa"/>
            <w:shd w:val="clear" w:color="auto" w:fill="C6EFCE"/>
            <w:tcMar>
              <w:left w:w="108" w:type="dxa"/>
              <w:right w:w="108" w:type="dxa"/>
            </w:tcMar>
            <w:vAlign w:val="center"/>
          </w:tcPr>
          <w:p w14:paraId="7D7EE1E1" w14:textId="77777777" w:rsidR="00E42B18" w:rsidRDefault="009629C4">
            <w:pPr>
              <w:pStyle w:val="P68B1DB1-Normal121"/>
              <w:spacing w:after="0" w:line="240" w:lineRule="auto"/>
              <w:rPr>
                <w:noProof/>
              </w:rPr>
            </w:pPr>
            <w:r>
              <w:rPr>
                <w:noProof/>
              </w:rPr>
              <w:t>Uudistus 2.1 – Viimeaikaisen yksinkertaistamisasetuksen (joka on muutettu 11 päivänä syyskuuta 2020 annetuksi laiksi nro 120) täytäntöönpano antamalla asetus ”Suuntaviivat riskien luokittelua ja hallintaa, turvallisuuden arviointia ja olemassa olevien siltojen valvontaa varten”</w:t>
            </w:r>
          </w:p>
        </w:tc>
        <w:tc>
          <w:tcPr>
            <w:tcW w:w="1418" w:type="dxa"/>
            <w:shd w:val="clear" w:color="auto" w:fill="C6EFCE"/>
            <w:tcMar>
              <w:left w:w="108" w:type="dxa"/>
              <w:right w:w="108" w:type="dxa"/>
            </w:tcMar>
            <w:vAlign w:val="center"/>
          </w:tcPr>
          <w:p w14:paraId="07AC7F96"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7FA740EE" w14:textId="77777777" w:rsidR="00E42B18" w:rsidRDefault="009629C4">
            <w:pPr>
              <w:pStyle w:val="P68B1DB1-Normal121"/>
              <w:spacing w:after="0" w:line="240" w:lineRule="auto"/>
              <w:rPr>
                <w:noProof/>
              </w:rPr>
            </w:pPr>
            <w:r>
              <w:rPr>
                <w:noProof/>
              </w:rPr>
              <w:t>Riskien luokittelua ja hallintaa, turvallisuuden arviointia ja nykyisten siltojen seurantaa koskevien suuntaviivojen voimaantulo</w:t>
            </w:r>
          </w:p>
        </w:tc>
      </w:tr>
      <w:tr w:rsidR="00E42B18" w14:paraId="6272CF69" w14:textId="77777777">
        <w:trPr>
          <w:trHeight w:val="300"/>
        </w:trPr>
        <w:tc>
          <w:tcPr>
            <w:tcW w:w="1435" w:type="dxa"/>
            <w:shd w:val="clear" w:color="auto" w:fill="C6EFCE"/>
            <w:tcMar>
              <w:left w:w="108" w:type="dxa"/>
              <w:right w:w="108" w:type="dxa"/>
            </w:tcMar>
            <w:vAlign w:val="center"/>
          </w:tcPr>
          <w:p w14:paraId="2925B2FE" w14:textId="77777777" w:rsidR="00E42B18" w:rsidRDefault="009629C4">
            <w:pPr>
              <w:pStyle w:val="P68B1DB1-Normal121"/>
              <w:spacing w:after="0" w:line="240" w:lineRule="auto"/>
              <w:jc w:val="center"/>
              <w:rPr>
                <w:noProof/>
              </w:rPr>
            </w:pPr>
            <w:r>
              <w:rPr>
                <w:noProof/>
              </w:rPr>
              <w:t>M3C1–22</w:t>
            </w:r>
          </w:p>
        </w:tc>
        <w:tc>
          <w:tcPr>
            <w:tcW w:w="3543" w:type="dxa"/>
            <w:shd w:val="clear" w:color="auto" w:fill="C6EFCE"/>
            <w:tcMar>
              <w:left w:w="108" w:type="dxa"/>
              <w:right w:w="108" w:type="dxa"/>
            </w:tcMar>
            <w:vAlign w:val="center"/>
          </w:tcPr>
          <w:p w14:paraId="2650850E" w14:textId="77777777" w:rsidR="00E42B18" w:rsidRDefault="009629C4">
            <w:pPr>
              <w:pStyle w:val="P68B1DB1-Normal121"/>
              <w:spacing w:after="0" w:line="240" w:lineRule="auto"/>
              <w:rPr>
                <w:noProof/>
              </w:rPr>
            </w:pPr>
            <w:r>
              <w:rPr>
                <w:noProof/>
              </w:rPr>
              <w:t>Uudistus 2.2 – Siirtojen ja putkijohtojen omaisuuden siirtäminen alemman tason teistä ylemmän tason teihin</w:t>
            </w:r>
          </w:p>
        </w:tc>
        <w:tc>
          <w:tcPr>
            <w:tcW w:w="1418" w:type="dxa"/>
            <w:shd w:val="clear" w:color="auto" w:fill="C6EFCE"/>
            <w:tcMar>
              <w:left w:w="108" w:type="dxa"/>
              <w:right w:w="108" w:type="dxa"/>
            </w:tcMar>
            <w:vAlign w:val="center"/>
          </w:tcPr>
          <w:p w14:paraId="7A0D2833"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65CC1C9E" w14:textId="77777777" w:rsidR="00E42B18" w:rsidRDefault="009629C4">
            <w:pPr>
              <w:pStyle w:val="P68B1DB1-Normal121"/>
              <w:spacing w:after="0" w:line="240" w:lineRule="auto"/>
              <w:rPr>
                <w:noProof/>
              </w:rPr>
            </w:pPr>
            <w:r>
              <w:rPr>
                <w:noProof/>
              </w:rPr>
              <w:t>Siirretään siltojen, kulkuväylien ja yliväylien omistus alemman tason teistä ylemmän tason teihin (tiet ja päätiet)</w:t>
            </w:r>
          </w:p>
        </w:tc>
      </w:tr>
      <w:tr w:rsidR="00E42B18" w14:paraId="63D4F54C" w14:textId="77777777">
        <w:trPr>
          <w:trHeight w:val="300"/>
        </w:trPr>
        <w:tc>
          <w:tcPr>
            <w:tcW w:w="1435" w:type="dxa"/>
            <w:shd w:val="clear" w:color="auto" w:fill="C6EFCE"/>
            <w:tcMar>
              <w:left w:w="108" w:type="dxa"/>
              <w:right w:w="108" w:type="dxa"/>
            </w:tcMar>
            <w:vAlign w:val="center"/>
          </w:tcPr>
          <w:p w14:paraId="698BCC34" w14:textId="77777777" w:rsidR="00E42B18" w:rsidRDefault="009629C4">
            <w:pPr>
              <w:pStyle w:val="P68B1DB1-Normal121"/>
              <w:spacing w:after="0" w:line="240" w:lineRule="auto"/>
              <w:jc w:val="center"/>
              <w:rPr>
                <w:noProof/>
              </w:rPr>
            </w:pPr>
            <w:r>
              <w:rPr>
                <w:noProof/>
              </w:rPr>
              <w:t>M4C1–27</w:t>
            </w:r>
          </w:p>
        </w:tc>
        <w:tc>
          <w:tcPr>
            <w:tcW w:w="3543" w:type="dxa"/>
            <w:shd w:val="clear" w:color="auto" w:fill="C6EFCE"/>
            <w:tcMar>
              <w:left w:w="108" w:type="dxa"/>
              <w:right w:w="108" w:type="dxa"/>
            </w:tcMar>
            <w:vAlign w:val="center"/>
          </w:tcPr>
          <w:p w14:paraId="3325D7A9" w14:textId="77777777" w:rsidR="00E42B18" w:rsidRDefault="009629C4">
            <w:pPr>
              <w:pStyle w:val="P68B1DB1-Normal121"/>
              <w:spacing w:after="0" w:line="240" w:lineRule="auto"/>
              <w:rPr>
                <w:noProof/>
              </w:rPr>
            </w:pPr>
            <w:r>
              <w:rPr>
                <w:noProof/>
              </w:rPr>
              <w:t>Uudistus 1.7: Opiskelija-asuntoja koskevan sääntelyn uudistaminen ja investoinnit opiskelija-asumiseen</w:t>
            </w:r>
          </w:p>
        </w:tc>
        <w:tc>
          <w:tcPr>
            <w:tcW w:w="1418" w:type="dxa"/>
            <w:shd w:val="clear" w:color="auto" w:fill="C6EFCE"/>
            <w:tcMar>
              <w:left w:w="108" w:type="dxa"/>
              <w:right w:w="108" w:type="dxa"/>
            </w:tcMar>
            <w:vAlign w:val="center"/>
          </w:tcPr>
          <w:p w14:paraId="4DCF3008"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2072813E" w14:textId="77777777" w:rsidR="00E42B18" w:rsidRDefault="009629C4">
            <w:pPr>
              <w:pStyle w:val="P68B1DB1-Normal121"/>
              <w:spacing w:after="0" w:line="240" w:lineRule="auto"/>
              <w:rPr>
                <w:noProof/>
              </w:rPr>
            </w:pPr>
            <w:r>
              <w:rPr>
                <w:noProof/>
              </w:rPr>
              <w:t>Opiskelija-asuntoja koskevien nykyisten sääntöjen muuttamista koskevan lainsäädännön voimaantulo.</w:t>
            </w:r>
          </w:p>
        </w:tc>
      </w:tr>
      <w:tr w:rsidR="00E42B18" w14:paraId="38775009" w14:textId="77777777">
        <w:trPr>
          <w:trHeight w:val="300"/>
        </w:trPr>
        <w:tc>
          <w:tcPr>
            <w:tcW w:w="1435" w:type="dxa"/>
            <w:shd w:val="clear" w:color="auto" w:fill="C6EFCE"/>
            <w:tcMar>
              <w:left w:w="108" w:type="dxa"/>
              <w:right w:w="108" w:type="dxa"/>
            </w:tcMar>
            <w:vAlign w:val="center"/>
          </w:tcPr>
          <w:p w14:paraId="7BD35346" w14:textId="77777777" w:rsidR="00E42B18" w:rsidRDefault="009629C4">
            <w:pPr>
              <w:pStyle w:val="P68B1DB1-Normal121"/>
              <w:spacing w:after="0" w:line="240" w:lineRule="auto"/>
              <w:jc w:val="center"/>
              <w:rPr>
                <w:noProof/>
              </w:rPr>
            </w:pPr>
            <w:r>
              <w:rPr>
                <w:noProof/>
              </w:rPr>
              <w:t>M5C3–10</w:t>
            </w:r>
          </w:p>
        </w:tc>
        <w:tc>
          <w:tcPr>
            <w:tcW w:w="3543" w:type="dxa"/>
            <w:shd w:val="clear" w:color="auto" w:fill="C6EFCE"/>
            <w:tcMar>
              <w:left w:w="108" w:type="dxa"/>
              <w:right w:w="108" w:type="dxa"/>
            </w:tcMar>
            <w:vAlign w:val="center"/>
          </w:tcPr>
          <w:p w14:paraId="752EAF7E" w14:textId="77777777" w:rsidR="00E42B18" w:rsidRDefault="009629C4">
            <w:pPr>
              <w:pStyle w:val="P68B1DB1-Normal121"/>
              <w:spacing w:after="0" w:line="240" w:lineRule="auto"/>
              <w:rPr>
                <w:noProof/>
              </w:rPr>
            </w:pPr>
            <w:r>
              <w:rPr>
                <w:noProof/>
              </w:rPr>
              <w:t>Uudistus1: Menettelyjen yksinkertaistaminen ja komission jäsenen aseman vahvistaminen erityistalousalueilla</w:t>
            </w:r>
          </w:p>
        </w:tc>
        <w:tc>
          <w:tcPr>
            <w:tcW w:w="1418" w:type="dxa"/>
            <w:shd w:val="clear" w:color="auto" w:fill="C6EFCE"/>
            <w:tcMar>
              <w:left w:w="108" w:type="dxa"/>
              <w:right w:w="108" w:type="dxa"/>
            </w:tcMar>
            <w:vAlign w:val="center"/>
          </w:tcPr>
          <w:p w14:paraId="1B0F79C6"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3BBF644A" w14:textId="77777777" w:rsidR="00E42B18" w:rsidRDefault="009629C4">
            <w:pPr>
              <w:pStyle w:val="P68B1DB1-Normal121"/>
              <w:spacing w:after="0" w:line="240" w:lineRule="auto"/>
              <w:rPr>
                <w:noProof/>
              </w:rPr>
            </w:pPr>
            <w:r>
              <w:rPr>
                <w:noProof/>
              </w:rPr>
              <w:t>Asetuksen voimaantulo, jolla yksinkertaistetaan menettelyjä ja vahvistetaan komission jäsenen roolia erityistalousalueilla</w:t>
            </w:r>
          </w:p>
        </w:tc>
      </w:tr>
      <w:tr w:rsidR="00E42B18" w14:paraId="1D4DE726" w14:textId="77777777">
        <w:trPr>
          <w:trHeight w:val="300"/>
        </w:trPr>
        <w:tc>
          <w:tcPr>
            <w:tcW w:w="1435" w:type="dxa"/>
            <w:shd w:val="clear" w:color="auto" w:fill="C6EFCE"/>
            <w:tcMar>
              <w:left w:w="108" w:type="dxa"/>
              <w:right w:w="108" w:type="dxa"/>
            </w:tcMar>
            <w:vAlign w:val="center"/>
          </w:tcPr>
          <w:p w14:paraId="54464B5A" w14:textId="77777777" w:rsidR="00E42B18" w:rsidRDefault="009629C4">
            <w:pPr>
              <w:pStyle w:val="P68B1DB1-Normal121"/>
              <w:spacing w:after="0" w:line="240" w:lineRule="auto"/>
              <w:jc w:val="center"/>
              <w:rPr>
                <w:noProof/>
              </w:rPr>
            </w:pPr>
            <w:r>
              <w:rPr>
                <w:noProof/>
              </w:rPr>
              <w:t>M5C3–11</w:t>
            </w:r>
          </w:p>
        </w:tc>
        <w:tc>
          <w:tcPr>
            <w:tcW w:w="3543" w:type="dxa"/>
            <w:shd w:val="clear" w:color="auto" w:fill="C6EFCE"/>
            <w:tcMar>
              <w:left w:w="108" w:type="dxa"/>
              <w:right w:w="108" w:type="dxa"/>
            </w:tcMar>
            <w:vAlign w:val="center"/>
          </w:tcPr>
          <w:p w14:paraId="27C58C9F" w14:textId="77777777" w:rsidR="00E42B18" w:rsidRDefault="009629C4">
            <w:pPr>
              <w:pStyle w:val="P68B1DB1-Normal121"/>
              <w:spacing w:after="0" w:line="240" w:lineRule="auto"/>
              <w:rPr>
                <w:noProof/>
              </w:rPr>
            </w:pPr>
            <w:r>
              <w:rPr>
                <w:noProof/>
              </w:rPr>
              <w:t xml:space="preserve">Investointi 1.4: Erityistalousalueen infrastruktuuri-investoinnit </w:t>
            </w:r>
          </w:p>
        </w:tc>
        <w:tc>
          <w:tcPr>
            <w:tcW w:w="1418" w:type="dxa"/>
            <w:shd w:val="clear" w:color="auto" w:fill="C6EFCE"/>
            <w:tcMar>
              <w:left w:w="108" w:type="dxa"/>
              <w:right w:w="108" w:type="dxa"/>
            </w:tcMar>
            <w:vAlign w:val="center"/>
          </w:tcPr>
          <w:p w14:paraId="60B069D4" w14:textId="77777777" w:rsidR="00E42B18" w:rsidRDefault="009629C4">
            <w:pPr>
              <w:pStyle w:val="P68B1DB1-Normal121"/>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6AD8E173" w14:textId="77777777" w:rsidR="00E42B18" w:rsidRDefault="009629C4">
            <w:pPr>
              <w:pStyle w:val="P68B1DB1-Normal121"/>
              <w:spacing w:after="0" w:line="240" w:lineRule="auto"/>
              <w:rPr>
                <w:noProof/>
              </w:rPr>
            </w:pPr>
            <w:r>
              <w:rPr>
                <w:noProof/>
              </w:rPr>
              <w:t>Kaikkien kahdeksan erityistalousalueen toimintasuunnitelmien hyväksymisestä annettujen ministeriön asetusten voimaantulo</w:t>
            </w:r>
          </w:p>
        </w:tc>
      </w:tr>
      <w:tr w:rsidR="00E42B18" w14:paraId="6E8C6D02" w14:textId="77777777">
        <w:trPr>
          <w:trHeight w:val="300"/>
        </w:trPr>
        <w:tc>
          <w:tcPr>
            <w:tcW w:w="1435" w:type="dxa"/>
            <w:shd w:val="clear" w:color="auto" w:fill="C6EFCE"/>
            <w:tcMar>
              <w:left w:w="108" w:type="dxa"/>
              <w:right w:w="108" w:type="dxa"/>
            </w:tcMar>
            <w:vAlign w:val="center"/>
          </w:tcPr>
          <w:p w14:paraId="50A965B6" w14:textId="77777777" w:rsidR="00E42B18" w:rsidRDefault="009629C4">
            <w:pPr>
              <w:pStyle w:val="P68B1DB1-Normal121"/>
              <w:spacing w:after="0" w:line="240" w:lineRule="auto"/>
              <w:jc w:val="center"/>
              <w:rPr>
                <w:noProof/>
              </w:rPr>
            </w:pPr>
            <w:r>
              <w:rPr>
                <w:noProof/>
              </w:rPr>
              <w:t>M6C2–4</w:t>
            </w:r>
          </w:p>
        </w:tc>
        <w:tc>
          <w:tcPr>
            <w:tcW w:w="3543" w:type="dxa"/>
            <w:shd w:val="clear" w:color="auto" w:fill="C6EFCE"/>
            <w:tcMar>
              <w:left w:w="108" w:type="dxa"/>
              <w:right w:w="108" w:type="dxa"/>
            </w:tcMar>
            <w:vAlign w:val="center"/>
          </w:tcPr>
          <w:p w14:paraId="0DAFC6D8" w14:textId="77777777" w:rsidR="00E42B18" w:rsidRDefault="009629C4">
            <w:pPr>
              <w:pStyle w:val="P68B1DB1-Normal123"/>
              <w:spacing w:after="0" w:line="240" w:lineRule="auto"/>
              <w:rPr>
                <w:noProof/>
              </w:rPr>
            </w:pPr>
            <w:r>
              <w:rPr>
                <w:noProof/>
              </w:rPr>
              <w:t>Investointi 1.1: Sairaaloiden teknisten laitteiden digitaalinen päivitys</w:t>
            </w:r>
          </w:p>
        </w:tc>
        <w:tc>
          <w:tcPr>
            <w:tcW w:w="1418" w:type="dxa"/>
            <w:shd w:val="clear" w:color="auto" w:fill="C6EFCE"/>
            <w:tcMar>
              <w:left w:w="108" w:type="dxa"/>
              <w:right w:w="108" w:type="dxa"/>
            </w:tcMar>
            <w:vAlign w:val="center"/>
          </w:tcPr>
          <w:p w14:paraId="2B6C0A23" w14:textId="77777777" w:rsidR="00E42B18" w:rsidRDefault="009629C4">
            <w:pPr>
              <w:pStyle w:val="P68B1DB1-Normal123"/>
              <w:spacing w:after="0" w:line="240" w:lineRule="auto"/>
              <w:jc w:val="center"/>
              <w:rPr>
                <w:noProof/>
              </w:rPr>
            </w:pPr>
            <w:r>
              <w:rPr>
                <w:noProof/>
              </w:rPr>
              <w:t>Virstanpylväs</w:t>
            </w:r>
          </w:p>
        </w:tc>
        <w:tc>
          <w:tcPr>
            <w:tcW w:w="2963" w:type="dxa"/>
            <w:shd w:val="clear" w:color="auto" w:fill="C6EFCE"/>
            <w:tcMar>
              <w:left w:w="108" w:type="dxa"/>
              <w:right w:w="108" w:type="dxa"/>
            </w:tcMar>
            <w:vAlign w:val="center"/>
          </w:tcPr>
          <w:p w14:paraId="6ACDA6FF" w14:textId="77777777" w:rsidR="00E42B18" w:rsidRDefault="009629C4">
            <w:pPr>
              <w:pStyle w:val="P68B1DB1-Normal123"/>
              <w:spacing w:after="0" w:line="240" w:lineRule="auto"/>
              <w:rPr>
                <w:noProof/>
              </w:rPr>
            </w:pPr>
            <w:r>
              <w:rPr>
                <w:noProof/>
              </w:rPr>
              <w:t>Italian terveysministeriön hyväksymä tervehdyttämissuunnitelma</w:t>
            </w:r>
          </w:p>
        </w:tc>
      </w:tr>
      <w:tr w:rsidR="00E42B18" w14:paraId="6308DF5F" w14:textId="77777777">
        <w:trPr>
          <w:trHeight w:val="300"/>
        </w:trPr>
        <w:tc>
          <w:tcPr>
            <w:tcW w:w="1435" w:type="dxa"/>
            <w:shd w:val="clear" w:color="auto" w:fill="C6EFCE"/>
            <w:tcMar>
              <w:left w:w="108" w:type="dxa"/>
              <w:right w:w="108" w:type="dxa"/>
            </w:tcMar>
            <w:vAlign w:val="center"/>
          </w:tcPr>
          <w:p w14:paraId="1C3EE6FB" w14:textId="77777777" w:rsidR="00E42B18" w:rsidRDefault="00E42B18">
            <w:pPr>
              <w:spacing w:after="0" w:line="240" w:lineRule="auto"/>
              <w:jc w:val="center"/>
              <w:rPr>
                <w:rFonts w:ascii="Times New Roman" w:eastAsia="Times New Roman" w:hAnsi="Times New Roman" w:cs="Times New Roman"/>
                <w:noProof/>
              </w:rPr>
            </w:pPr>
          </w:p>
        </w:tc>
        <w:tc>
          <w:tcPr>
            <w:tcW w:w="3543" w:type="dxa"/>
            <w:shd w:val="clear" w:color="auto" w:fill="C6EFCE"/>
            <w:tcMar>
              <w:left w:w="108" w:type="dxa"/>
              <w:right w:w="108" w:type="dxa"/>
            </w:tcMar>
            <w:vAlign w:val="center"/>
          </w:tcPr>
          <w:p w14:paraId="342FEB66" w14:textId="77777777" w:rsidR="00E42B18" w:rsidRDefault="009629C4">
            <w:pPr>
              <w:pStyle w:val="P68B1DB1-Normal121"/>
              <w:spacing w:after="0" w:line="240" w:lineRule="auto"/>
              <w:rPr>
                <w:noProof/>
              </w:rPr>
            </w:pPr>
            <w:r>
              <w:rPr>
                <w:noProof/>
              </w:rPr>
              <w:t xml:space="preserve"> </w:t>
            </w:r>
          </w:p>
        </w:tc>
        <w:tc>
          <w:tcPr>
            <w:tcW w:w="1418" w:type="dxa"/>
            <w:shd w:val="clear" w:color="auto" w:fill="C6EFCE"/>
            <w:tcMar>
              <w:left w:w="108" w:type="dxa"/>
              <w:right w:w="108" w:type="dxa"/>
            </w:tcMar>
            <w:vAlign w:val="center"/>
          </w:tcPr>
          <w:p w14:paraId="2D667515" w14:textId="77777777" w:rsidR="00E42B18" w:rsidRDefault="009629C4">
            <w:pPr>
              <w:pStyle w:val="P68B1DB1-Normal121"/>
              <w:spacing w:after="0" w:line="240" w:lineRule="auto"/>
              <w:jc w:val="center"/>
              <w:rPr>
                <w:noProof/>
              </w:rPr>
            </w:pPr>
            <w:r>
              <w:rPr>
                <w:noProof/>
              </w:rPr>
              <w:t>Maksuerän määrä</w:t>
            </w:r>
          </w:p>
        </w:tc>
        <w:tc>
          <w:tcPr>
            <w:tcW w:w="2963" w:type="dxa"/>
            <w:shd w:val="clear" w:color="auto" w:fill="C6EFCE"/>
            <w:tcMar>
              <w:left w:w="108" w:type="dxa"/>
              <w:right w:w="108" w:type="dxa"/>
            </w:tcMar>
            <w:vAlign w:val="center"/>
          </w:tcPr>
          <w:p w14:paraId="4EA675FA"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12643678161</w:t>
            </w:r>
            <w:r>
              <w:rPr>
                <w:noProof/>
                <w:sz w:val="23"/>
                <w:szCs w:val="23"/>
              </w:rPr>
              <w:t xml:space="preserve">  </w:t>
            </w:r>
            <w:r>
              <w:rPr>
                <w:noProof/>
                <w:color w:val="006100"/>
                <w:sz w:val="20"/>
                <w:szCs w:val="20"/>
              </w:rPr>
              <w:t>EUROA</w:t>
            </w:r>
          </w:p>
        </w:tc>
      </w:tr>
    </w:tbl>
    <w:p w14:paraId="666E1A66" w14:textId="77777777" w:rsidR="00E42B18" w:rsidRDefault="00E42B18">
      <w:pPr>
        <w:spacing w:after="0"/>
        <w:ind w:left="850"/>
        <w:contextualSpacing/>
        <w:jc w:val="both"/>
        <w:rPr>
          <w:rFonts w:ascii="Times New Roman" w:eastAsia="Times New Roman" w:hAnsi="Times New Roman" w:cs="Times New Roman"/>
          <w:noProof/>
        </w:rPr>
      </w:pPr>
    </w:p>
    <w:p w14:paraId="28F7A18F" w14:textId="77777777" w:rsidR="00E42B18" w:rsidRDefault="009629C4">
      <w:pPr>
        <w:pStyle w:val="P68B1DB1-Normal8"/>
        <w:rPr>
          <w:noProof/>
        </w:rPr>
      </w:pPr>
      <w:r>
        <w:rPr>
          <w:noProof/>
        </w:rPr>
        <w:br w:type="page"/>
      </w:r>
    </w:p>
    <w:p w14:paraId="3EFDB102" w14:textId="77777777" w:rsidR="00E42B18" w:rsidRDefault="009629C4">
      <w:pPr>
        <w:pStyle w:val="P68B1DB1-Heading34"/>
        <w:numPr>
          <w:ilvl w:val="1"/>
          <w:numId w:val="179"/>
        </w:numPr>
        <w:tabs>
          <w:tab w:val="clear" w:pos="850"/>
          <w:tab w:val="num" w:pos="1440"/>
        </w:tabs>
        <w:ind w:left="1440" w:hanging="360"/>
        <w:rPr>
          <w:noProof/>
        </w:rPr>
      </w:pPr>
      <w:r>
        <w:rPr>
          <w:noProof/>
        </w:rPr>
        <w:t>Toinen erä (lainatuki):</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0"/>
        <w:gridCol w:w="2553"/>
        <w:gridCol w:w="1170"/>
        <w:gridCol w:w="4435"/>
      </w:tblGrid>
      <w:tr w:rsidR="00E42B18" w14:paraId="6CA67CB6" w14:textId="77777777">
        <w:trPr>
          <w:trHeight w:val="900"/>
          <w:tblHeader/>
        </w:trPr>
        <w:tc>
          <w:tcPr>
            <w:tcW w:w="1200" w:type="dxa"/>
            <w:vMerge w:val="restart"/>
            <w:shd w:val="clear" w:color="auto" w:fill="BDD7EE"/>
            <w:tcMar>
              <w:left w:w="108" w:type="dxa"/>
              <w:right w:w="108" w:type="dxa"/>
            </w:tcMar>
            <w:vAlign w:val="center"/>
          </w:tcPr>
          <w:p w14:paraId="257C6D33" w14:textId="77777777" w:rsidR="00E42B18" w:rsidRDefault="009629C4">
            <w:pPr>
              <w:pStyle w:val="P68B1DB1-Normal120"/>
              <w:spacing w:after="0" w:line="240" w:lineRule="auto"/>
              <w:jc w:val="center"/>
              <w:rPr>
                <w:noProof/>
              </w:rPr>
            </w:pPr>
            <w:r>
              <w:rPr>
                <w:noProof/>
              </w:rPr>
              <w:t>Juokseva numero</w:t>
            </w:r>
          </w:p>
        </w:tc>
        <w:tc>
          <w:tcPr>
            <w:tcW w:w="2553" w:type="dxa"/>
            <w:vMerge w:val="restart"/>
            <w:shd w:val="clear" w:color="auto" w:fill="BDD7EE"/>
            <w:tcMar>
              <w:left w:w="108" w:type="dxa"/>
              <w:right w:w="108" w:type="dxa"/>
            </w:tcMar>
            <w:vAlign w:val="center"/>
          </w:tcPr>
          <w:p w14:paraId="3175FE57" w14:textId="77777777" w:rsidR="00E42B18" w:rsidRDefault="009629C4">
            <w:pPr>
              <w:pStyle w:val="P68B1DB1-Normal120"/>
              <w:spacing w:after="0" w:line="240" w:lineRule="auto"/>
              <w:jc w:val="center"/>
              <w:rPr>
                <w:noProof/>
              </w:rPr>
            </w:pPr>
            <w:r>
              <w:rPr>
                <w:noProof/>
              </w:rPr>
              <w:t>Toimenpide (uudistus tai investointi)</w:t>
            </w:r>
          </w:p>
        </w:tc>
        <w:tc>
          <w:tcPr>
            <w:tcW w:w="1170" w:type="dxa"/>
            <w:vMerge w:val="restart"/>
            <w:shd w:val="clear" w:color="auto" w:fill="BDD7EE"/>
            <w:tcMar>
              <w:left w:w="108" w:type="dxa"/>
              <w:right w:w="108" w:type="dxa"/>
            </w:tcMar>
            <w:vAlign w:val="center"/>
          </w:tcPr>
          <w:p w14:paraId="16AB2E05" w14:textId="77777777" w:rsidR="00E42B18" w:rsidRDefault="009629C4">
            <w:pPr>
              <w:pStyle w:val="P68B1DB1-Normal120"/>
              <w:spacing w:after="0" w:line="240" w:lineRule="auto"/>
              <w:jc w:val="center"/>
              <w:rPr>
                <w:noProof/>
              </w:rPr>
            </w:pPr>
            <w:r>
              <w:rPr>
                <w:noProof/>
              </w:rPr>
              <w:t>Välitavoite/tavoite</w:t>
            </w:r>
          </w:p>
        </w:tc>
        <w:tc>
          <w:tcPr>
            <w:tcW w:w="4435" w:type="dxa"/>
            <w:vMerge w:val="restart"/>
            <w:shd w:val="clear" w:color="auto" w:fill="BDD7EE"/>
            <w:tcMar>
              <w:left w:w="108" w:type="dxa"/>
              <w:right w:w="108" w:type="dxa"/>
            </w:tcMar>
            <w:vAlign w:val="center"/>
          </w:tcPr>
          <w:p w14:paraId="40112433" w14:textId="77777777" w:rsidR="00E42B18" w:rsidRDefault="009629C4">
            <w:pPr>
              <w:pStyle w:val="P68B1DB1-Normal120"/>
              <w:spacing w:after="0" w:line="240" w:lineRule="auto"/>
              <w:jc w:val="center"/>
              <w:rPr>
                <w:noProof/>
              </w:rPr>
            </w:pPr>
            <w:r>
              <w:rPr>
                <w:noProof/>
              </w:rPr>
              <w:t>Nimi</w:t>
            </w:r>
          </w:p>
        </w:tc>
      </w:tr>
      <w:tr w:rsidR="00E42B18" w14:paraId="68CD4644" w14:textId="77777777">
        <w:trPr>
          <w:trHeight w:val="510"/>
        </w:trPr>
        <w:tc>
          <w:tcPr>
            <w:tcW w:w="1200" w:type="dxa"/>
            <w:vMerge/>
            <w:vAlign w:val="center"/>
          </w:tcPr>
          <w:p w14:paraId="4A0B3732" w14:textId="77777777" w:rsidR="00E42B18" w:rsidRDefault="00E42B18">
            <w:pPr>
              <w:spacing w:after="0" w:line="240" w:lineRule="auto"/>
              <w:jc w:val="center"/>
              <w:rPr>
                <w:rFonts w:ascii="Times New Roman" w:eastAsia="Times New Roman" w:hAnsi="Times New Roman" w:cs="Times New Roman"/>
                <w:noProof/>
              </w:rPr>
            </w:pPr>
          </w:p>
        </w:tc>
        <w:tc>
          <w:tcPr>
            <w:tcW w:w="2553" w:type="dxa"/>
            <w:vMerge/>
            <w:vAlign w:val="center"/>
          </w:tcPr>
          <w:p w14:paraId="2B51545A" w14:textId="77777777" w:rsidR="00E42B18" w:rsidRDefault="00E42B18">
            <w:pPr>
              <w:spacing w:after="0" w:line="240" w:lineRule="auto"/>
              <w:rPr>
                <w:rFonts w:ascii="Times New Roman" w:eastAsia="Times New Roman" w:hAnsi="Times New Roman" w:cs="Times New Roman"/>
                <w:noProof/>
              </w:rPr>
            </w:pPr>
          </w:p>
        </w:tc>
        <w:tc>
          <w:tcPr>
            <w:tcW w:w="1170" w:type="dxa"/>
            <w:vMerge/>
            <w:vAlign w:val="center"/>
          </w:tcPr>
          <w:p w14:paraId="6A1DDCB4" w14:textId="77777777" w:rsidR="00E42B18" w:rsidRDefault="00E42B18">
            <w:pPr>
              <w:spacing w:after="0" w:line="240" w:lineRule="auto"/>
              <w:jc w:val="center"/>
              <w:rPr>
                <w:rFonts w:ascii="Times New Roman" w:eastAsia="Times New Roman" w:hAnsi="Times New Roman" w:cs="Times New Roman"/>
                <w:noProof/>
              </w:rPr>
            </w:pPr>
          </w:p>
        </w:tc>
        <w:tc>
          <w:tcPr>
            <w:tcW w:w="4435" w:type="dxa"/>
            <w:vMerge/>
            <w:vAlign w:val="center"/>
          </w:tcPr>
          <w:p w14:paraId="16A8E7B2" w14:textId="77777777" w:rsidR="00E42B18" w:rsidRDefault="00E42B18">
            <w:pPr>
              <w:spacing w:after="0" w:line="240" w:lineRule="auto"/>
              <w:rPr>
                <w:rFonts w:ascii="Times New Roman" w:eastAsia="Times New Roman" w:hAnsi="Times New Roman" w:cs="Times New Roman"/>
                <w:noProof/>
              </w:rPr>
            </w:pPr>
          </w:p>
        </w:tc>
      </w:tr>
      <w:tr w:rsidR="00E42B18" w14:paraId="7B1CD848" w14:textId="77777777">
        <w:trPr>
          <w:trHeight w:val="300"/>
        </w:trPr>
        <w:tc>
          <w:tcPr>
            <w:tcW w:w="1200" w:type="dxa"/>
            <w:shd w:val="clear" w:color="auto" w:fill="C6EFCE"/>
            <w:tcMar>
              <w:left w:w="108" w:type="dxa"/>
              <w:right w:w="108" w:type="dxa"/>
            </w:tcMar>
            <w:vAlign w:val="center"/>
          </w:tcPr>
          <w:p w14:paraId="260D9E28" w14:textId="77777777" w:rsidR="00E42B18" w:rsidRDefault="009629C4">
            <w:pPr>
              <w:pStyle w:val="P68B1DB1-Normal121"/>
              <w:spacing w:after="0" w:line="240" w:lineRule="auto"/>
              <w:jc w:val="center"/>
              <w:rPr>
                <w:noProof/>
              </w:rPr>
            </w:pPr>
            <w:r>
              <w:rPr>
                <w:noProof/>
              </w:rPr>
              <w:t>M1C2–28</w:t>
            </w:r>
          </w:p>
        </w:tc>
        <w:tc>
          <w:tcPr>
            <w:tcW w:w="2553" w:type="dxa"/>
            <w:shd w:val="clear" w:color="auto" w:fill="C6EFCE"/>
            <w:tcMar>
              <w:left w:w="108" w:type="dxa"/>
              <w:right w:w="108" w:type="dxa"/>
            </w:tcMar>
            <w:vAlign w:val="center"/>
          </w:tcPr>
          <w:p w14:paraId="73793D3E" w14:textId="77777777" w:rsidR="00E42B18" w:rsidRDefault="009629C4">
            <w:pPr>
              <w:pStyle w:val="P68B1DB1-Normal121"/>
              <w:spacing w:after="0" w:line="240" w:lineRule="auto"/>
              <w:rPr>
                <w:noProof/>
              </w:rPr>
            </w:pPr>
            <w:r>
              <w:rPr>
                <w:noProof/>
              </w:rPr>
              <w:t>Investointi 5.2: Toimitusketjujen kilpailukyky ja häiriönsietokyky</w:t>
            </w:r>
          </w:p>
        </w:tc>
        <w:tc>
          <w:tcPr>
            <w:tcW w:w="1170" w:type="dxa"/>
            <w:shd w:val="clear" w:color="auto" w:fill="C6EFCE"/>
            <w:tcMar>
              <w:left w:w="108" w:type="dxa"/>
              <w:right w:w="108" w:type="dxa"/>
            </w:tcMar>
            <w:vAlign w:val="center"/>
          </w:tcPr>
          <w:p w14:paraId="0D2F7620"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70D3742D" w14:textId="77777777" w:rsidR="00E42B18" w:rsidRDefault="009629C4">
            <w:pPr>
              <w:pStyle w:val="P68B1DB1-Normal121"/>
              <w:spacing w:after="0" w:line="240" w:lineRule="auto"/>
              <w:rPr>
                <w:noProof/>
              </w:rPr>
            </w:pPr>
            <w:r>
              <w:rPr>
                <w:noProof/>
              </w:rPr>
              <w:t>Kehittämissopimusten investointipolitiikkaa koskevan asetuksen voimaantulo</w:t>
            </w:r>
          </w:p>
        </w:tc>
      </w:tr>
      <w:tr w:rsidR="00E42B18" w14:paraId="28236E4D" w14:textId="77777777">
        <w:trPr>
          <w:trHeight w:val="300"/>
        </w:trPr>
        <w:tc>
          <w:tcPr>
            <w:tcW w:w="1200" w:type="dxa"/>
            <w:shd w:val="clear" w:color="auto" w:fill="C6EFCE"/>
            <w:tcMar>
              <w:left w:w="108" w:type="dxa"/>
              <w:right w:w="108" w:type="dxa"/>
            </w:tcMar>
            <w:vAlign w:val="center"/>
          </w:tcPr>
          <w:p w14:paraId="1CA23EC4" w14:textId="77777777" w:rsidR="00E42B18" w:rsidRDefault="009629C4">
            <w:pPr>
              <w:pStyle w:val="P68B1DB1-Normal121"/>
              <w:spacing w:after="0" w:line="240" w:lineRule="auto"/>
              <w:jc w:val="center"/>
              <w:rPr>
                <w:noProof/>
              </w:rPr>
            </w:pPr>
            <w:r>
              <w:rPr>
                <w:noProof/>
              </w:rPr>
              <w:t>M2C4–27</w:t>
            </w:r>
          </w:p>
        </w:tc>
        <w:tc>
          <w:tcPr>
            <w:tcW w:w="2553" w:type="dxa"/>
            <w:shd w:val="clear" w:color="auto" w:fill="C6EFCE"/>
            <w:tcMar>
              <w:left w:w="108" w:type="dxa"/>
              <w:right w:w="108" w:type="dxa"/>
            </w:tcMar>
            <w:vAlign w:val="center"/>
          </w:tcPr>
          <w:p w14:paraId="174E9B61" w14:textId="77777777" w:rsidR="00E42B18" w:rsidRDefault="009629C4">
            <w:pPr>
              <w:pStyle w:val="P68B1DB1-Normal121"/>
              <w:spacing w:after="0" w:line="240" w:lineRule="auto"/>
              <w:rPr>
                <w:noProof/>
              </w:rPr>
            </w:pPr>
            <w:r>
              <w:rPr>
                <w:noProof/>
              </w:rPr>
              <w:t>Uudistus 4.1. Lainsäädännön yksinkertaistaminen ja hallinnon vahvistaminen vesihuollon infrastruktuureihin tehtävien investointien toteuttamiseksi</w:t>
            </w:r>
          </w:p>
        </w:tc>
        <w:tc>
          <w:tcPr>
            <w:tcW w:w="1170" w:type="dxa"/>
            <w:shd w:val="clear" w:color="auto" w:fill="C6EFCE"/>
            <w:tcMar>
              <w:left w:w="108" w:type="dxa"/>
              <w:right w:w="108" w:type="dxa"/>
            </w:tcMar>
            <w:vAlign w:val="center"/>
          </w:tcPr>
          <w:p w14:paraId="3DAB983A"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7AFBC78D" w14:textId="77777777" w:rsidR="00E42B18" w:rsidRDefault="009629C4">
            <w:pPr>
              <w:pStyle w:val="P68B1DB1-Normal121"/>
              <w:spacing w:after="0" w:line="240" w:lineRule="auto"/>
              <w:rPr>
                <w:noProof/>
              </w:rPr>
            </w:pPr>
            <w:r>
              <w:rPr>
                <w:noProof/>
              </w:rPr>
              <w:t xml:space="preserve">Lainsäädännön yksinkertaistaminen vedensaannin turvaamiseksi toteutettavan ensisijaisen vesi-infrastruktuurin interventioiden osalta tulee voimaan </w:t>
            </w:r>
          </w:p>
        </w:tc>
      </w:tr>
      <w:tr w:rsidR="00E42B18" w14:paraId="5766BE5B" w14:textId="77777777">
        <w:trPr>
          <w:trHeight w:val="300"/>
        </w:trPr>
        <w:tc>
          <w:tcPr>
            <w:tcW w:w="1200" w:type="dxa"/>
            <w:shd w:val="clear" w:color="auto" w:fill="C6EFCE"/>
            <w:tcMar>
              <w:left w:w="108" w:type="dxa"/>
              <w:right w:w="108" w:type="dxa"/>
            </w:tcMar>
            <w:vAlign w:val="center"/>
          </w:tcPr>
          <w:p w14:paraId="724B4009" w14:textId="77777777" w:rsidR="00E42B18" w:rsidRDefault="009629C4">
            <w:pPr>
              <w:pStyle w:val="P68B1DB1-Normal121"/>
              <w:spacing w:after="0" w:line="240" w:lineRule="auto"/>
              <w:jc w:val="center"/>
              <w:rPr>
                <w:noProof/>
              </w:rPr>
            </w:pPr>
            <w:r>
              <w:rPr>
                <w:noProof/>
              </w:rPr>
              <w:t>M5C2–11</w:t>
            </w:r>
          </w:p>
        </w:tc>
        <w:tc>
          <w:tcPr>
            <w:tcW w:w="2553" w:type="dxa"/>
            <w:shd w:val="clear" w:color="auto" w:fill="C6EFCE"/>
            <w:tcMar>
              <w:left w:w="108" w:type="dxa"/>
              <w:right w:w="108" w:type="dxa"/>
            </w:tcMar>
            <w:vAlign w:val="center"/>
          </w:tcPr>
          <w:p w14:paraId="4BE47EB9" w14:textId="77777777" w:rsidR="00E42B18" w:rsidRDefault="009629C4">
            <w:pPr>
              <w:pStyle w:val="P68B1DB1-Normal121"/>
              <w:spacing w:after="0" w:line="240" w:lineRule="auto"/>
              <w:rPr>
                <w:noProof/>
              </w:rPr>
            </w:pPr>
            <w:r>
              <w:rPr>
                <w:noProof/>
              </w:rPr>
              <w:t>Investointi 4 – Investoinnit kaupunkien elvyttämishankkeisiin, joilla pyritään vähentämään syrjäytymistilanteita ja sosiaalista huonontumista</w:t>
            </w:r>
          </w:p>
        </w:tc>
        <w:tc>
          <w:tcPr>
            <w:tcW w:w="1170" w:type="dxa"/>
            <w:shd w:val="clear" w:color="auto" w:fill="C6EFCE"/>
            <w:tcMar>
              <w:left w:w="108" w:type="dxa"/>
              <w:right w:w="108" w:type="dxa"/>
            </w:tcMar>
            <w:vAlign w:val="center"/>
          </w:tcPr>
          <w:p w14:paraId="17DE56F3"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47BA76A7" w14:textId="77777777" w:rsidR="00E42B18" w:rsidRDefault="009629C4">
            <w:pPr>
              <w:pStyle w:val="P68B1DB1-Normal121"/>
              <w:spacing w:after="0" w:line="240" w:lineRule="auto"/>
              <w:rPr>
                <w:noProof/>
              </w:rPr>
            </w:pPr>
            <w:r>
              <w:rPr>
                <w:noProof/>
              </w:rPr>
              <w:t>Kaikkien julkisten hankintasopimusten tekeminen kaupunkien elvyttämiseen tehtävistä investoinneista marginalisoitumistilanteiden ja sosiaalisen tilan heikkenemisen vähentämiseksi, elpymis- ja palautumistukivälineen tavoitteiden, mukaan lukien ”ei merkittävää haittaa” -periaate, mukaisten hankkeiden kanssa</w:t>
            </w:r>
          </w:p>
        </w:tc>
      </w:tr>
      <w:tr w:rsidR="00E42B18" w14:paraId="28F1458C" w14:textId="77777777">
        <w:trPr>
          <w:trHeight w:val="300"/>
        </w:trPr>
        <w:tc>
          <w:tcPr>
            <w:tcW w:w="1200" w:type="dxa"/>
            <w:shd w:val="clear" w:color="auto" w:fill="C6EFCE"/>
            <w:tcMar>
              <w:left w:w="108" w:type="dxa"/>
              <w:right w:w="108" w:type="dxa"/>
            </w:tcMar>
            <w:vAlign w:val="center"/>
          </w:tcPr>
          <w:p w14:paraId="1BA19329" w14:textId="77777777" w:rsidR="00E42B18" w:rsidRDefault="009629C4">
            <w:pPr>
              <w:pStyle w:val="P68B1DB1-Normal121"/>
              <w:spacing w:after="0" w:line="240" w:lineRule="auto"/>
              <w:jc w:val="center"/>
              <w:rPr>
                <w:noProof/>
              </w:rPr>
            </w:pPr>
            <w:r>
              <w:rPr>
                <w:noProof/>
              </w:rPr>
              <w:t>M5C2–15</w:t>
            </w:r>
          </w:p>
        </w:tc>
        <w:tc>
          <w:tcPr>
            <w:tcW w:w="2553" w:type="dxa"/>
            <w:shd w:val="clear" w:color="auto" w:fill="C6EFCE"/>
            <w:tcMar>
              <w:left w:w="108" w:type="dxa"/>
              <w:right w:w="108" w:type="dxa"/>
            </w:tcMar>
            <w:vAlign w:val="center"/>
          </w:tcPr>
          <w:p w14:paraId="2097472A" w14:textId="77777777" w:rsidR="00E42B18" w:rsidRDefault="009629C4">
            <w:pPr>
              <w:pStyle w:val="P68B1DB1-Normal121"/>
              <w:spacing w:after="0" w:line="240" w:lineRule="auto"/>
              <w:rPr>
                <w:noProof/>
              </w:rPr>
            </w:pPr>
            <w:r>
              <w:rPr>
                <w:noProof/>
              </w:rPr>
              <w:t>Investointi 5 – Yhdennetyt kaupunkisuunnitelmat – Tulevat laittomat asutusalueet työvoiman hyväksikäytön torjumiseksi maataloudessa</w:t>
            </w:r>
          </w:p>
        </w:tc>
        <w:tc>
          <w:tcPr>
            <w:tcW w:w="1170" w:type="dxa"/>
            <w:shd w:val="clear" w:color="auto" w:fill="C6EFCE"/>
            <w:tcMar>
              <w:left w:w="108" w:type="dxa"/>
              <w:right w:w="108" w:type="dxa"/>
            </w:tcMar>
            <w:vAlign w:val="center"/>
          </w:tcPr>
          <w:p w14:paraId="6691E3BB"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05DA7619" w14:textId="77777777" w:rsidR="00E42B18" w:rsidRDefault="009629C4">
            <w:pPr>
              <w:pStyle w:val="P68B1DB1-Normal121"/>
              <w:spacing w:after="0" w:line="240" w:lineRule="auto"/>
              <w:rPr>
                <w:noProof/>
              </w:rPr>
            </w:pPr>
            <w:r>
              <w:rPr>
                <w:noProof/>
              </w:rPr>
              <w:t>”Tavolo di contrasto allo sfruttamento lavorativo in agricoltura” antaa ministeriön asetuksen laittomien siirtokuntien kartoittamisesta ja ministeriön asetus varojen jakamisesta.</w:t>
            </w:r>
          </w:p>
        </w:tc>
      </w:tr>
      <w:tr w:rsidR="00E42B18" w14:paraId="79662224" w14:textId="77777777">
        <w:trPr>
          <w:trHeight w:val="300"/>
        </w:trPr>
        <w:tc>
          <w:tcPr>
            <w:tcW w:w="1200" w:type="dxa"/>
            <w:shd w:val="clear" w:color="auto" w:fill="C6EFCE"/>
            <w:tcMar>
              <w:left w:w="108" w:type="dxa"/>
              <w:right w:w="108" w:type="dxa"/>
            </w:tcMar>
            <w:vAlign w:val="center"/>
          </w:tcPr>
          <w:p w14:paraId="4B05C2A2" w14:textId="77777777" w:rsidR="00E42B18" w:rsidRDefault="009629C4">
            <w:pPr>
              <w:pStyle w:val="P68B1DB1-Normal121"/>
              <w:spacing w:after="0" w:line="240" w:lineRule="auto"/>
              <w:jc w:val="center"/>
              <w:rPr>
                <w:noProof/>
              </w:rPr>
            </w:pPr>
            <w:r>
              <w:rPr>
                <w:noProof/>
              </w:rPr>
              <w:t>M5C2–19</w:t>
            </w:r>
          </w:p>
        </w:tc>
        <w:tc>
          <w:tcPr>
            <w:tcW w:w="2553" w:type="dxa"/>
            <w:shd w:val="clear" w:color="auto" w:fill="C6EFCE"/>
            <w:tcMar>
              <w:left w:w="108" w:type="dxa"/>
              <w:right w:w="108" w:type="dxa"/>
            </w:tcMar>
            <w:vAlign w:val="center"/>
          </w:tcPr>
          <w:p w14:paraId="37089239" w14:textId="77777777" w:rsidR="00E42B18" w:rsidRDefault="009629C4">
            <w:pPr>
              <w:pStyle w:val="P68B1DB1-Normal121"/>
              <w:spacing w:after="0" w:line="240" w:lineRule="auto"/>
              <w:rPr>
                <w:noProof/>
              </w:rPr>
            </w:pPr>
            <w:r>
              <w:rPr>
                <w:noProof/>
              </w:rPr>
              <w:t>Investointi 6 – Asumisen laatua koskeva innovaatio-ohjelma</w:t>
            </w:r>
          </w:p>
        </w:tc>
        <w:tc>
          <w:tcPr>
            <w:tcW w:w="1170" w:type="dxa"/>
            <w:shd w:val="clear" w:color="auto" w:fill="C6EFCE"/>
            <w:tcMar>
              <w:left w:w="108" w:type="dxa"/>
              <w:right w:w="108" w:type="dxa"/>
            </w:tcMar>
            <w:vAlign w:val="center"/>
          </w:tcPr>
          <w:p w14:paraId="5EDE7896"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17C4F134" w14:textId="77777777" w:rsidR="00E42B18" w:rsidRDefault="009629C4">
            <w:pPr>
              <w:pStyle w:val="P68B1DB1-Normal121"/>
              <w:spacing w:after="0" w:line="240" w:lineRule="auto"/>
              <w:rPr>
                <w:noProof/>
              </w:rPr>
            </w:pPr>
            <w:r>
              <w:rPr>
                <w:noProof/>
              </w:rPr>
              <w:t>Alueet ja autonomiset maakunnat (mukaan lukien kyseisillä alueilla sijaitsevat kunnat ja/tai suurkaupunkialueet) allekirjoittivat sosiaalisen asuntotuotannon uudistamista ja lisäämistä koskevat sopimukset</w:t>
            </w:r>
          </w:p>
        </w:tc>
      </w:tr>
      <w:tr w:rsidR="00E42B18" w14:paraId="491996FE" w14:textId="77777777">
        <w:trPr>
          <w:trHeight w:val="300"/>
        </w:trPr>
        <w:tc>
          <w:tcPr>
            <w:tcW w:w="1200" w:type="dxa"/>
            <w:shd w:val="clear" w:color="auto" w:fill="C6EFCE"/>
            <w:tcMar>
              <w:left w:w="108" w:type="dxa"/>
              <w:right w:w="108" w:type="dxa"/>
            </w:tcMar>
            <w:vAlign w:val="center"/>
          </w:tcPr>
          <w:p w14:paraId="5E38BF81" w14:textId="77777777" w:rsidR="00E42B18" w:rsidRDefault="009629C4">
            <w:pPr>
              <w:pStyle w:val="P68B1DB1-Normal121"/>
              <w:spacing w:after="0" w:line="240" w:lineRule="auto"/>
              <w:jc w:val="center"/>
              <w:rPr>
                <w:noProof/>
              </w:rPr>
            </w:pPr>
            <w:r>
              <w:rPr>
                <w:noProof/>
              </w:rPr>
              <w:t>M1C2–16</w:t>
            </w:r>
          </w:p>
        </w:tc>
        <w:tc>
          <w:tcPr>
            <w:tcW w:w="2553" w:type="dxa"/>
            <w:shd w:val="clear" w:color="auto" w:fill="C6EFCE"/>
            <w:tcMar>
              <w:left w:w="108" w:type="dxa"/>
              <w:right w:w="108" w:type="dxa"/>
            </w:tcMar>
            <w:vAlign w:val="center"/>
          </w:tcPr>
          <w:p w14:paraId="42179E97" w14:textId="77777777" w:rsidR="00E42B18" w:rsidRDefault="009629C4">
            <w:pPr>
              <w:pStyle w:val="P68B1DB1-Normal121"/>
              <w:spacing w:after="0" w:line="240" w:lineRule="auto"/>
              <w:rPr>
                <w:noProof/>
              </w:rPr>
            </w:pPr>
            <w:r>
              <w:rPr>
                <w:noProof/>
              </w:rPr>
              <w:t>Investointi 3: Nopeat internetyhteydet (laajakaista ja 5G)</w:t>
            </w:r>
          </w:p>
        </w:tc>
        <w:tc>
          <w:tcPr>
            <w:tcW w:w="1170" w:type="dxa"/>
            <w:shd w:val="clear" w:color="auto" w:fill="C6EFCE"/>
            <w:tcMar>
              <w:left w:w="108" w:type="dxa"/>
              <w:right w:w="108" w:type="dxa"/>
            </w:tcMar>
            <w:vAlign w:val="center"/>
          </w:tcPr>
          <w:p w14:paraId="1F2BE1D2"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7182FC65" w14:textId="77777777" w:rsidR="00E42B18" w:rsidRDefault="009629C4">
            <w:pPr>
              <w:pStyle w:val="P68B1DB1-Normal121"/>
              <w:spacing w:after="0" w:line="240" w:lineRule="auto"/>
              <w:rPr>
                <w:noProof/>
              </w:rPr>
            </w:pPr>
            <w:r>
              <w:rPr>
                <w:noProof/>
              </w:rPr>
              <w:t>Kaikkien julkisia hankintoja koskevien sopimusten tekeminen nopeampien liitäntähankkeiden osalta</w:t>
            </w:r>
          </w:p>
        </w:tc>
      </w:tr>
      <w:tr w:rsidR="00E42B18" w14:paraId="10587FA3" w14:textId="77777777">
        <w:trPr>
          <w:trHeight w:val="300"/>
        </w:trPr>
        <w:tc>
          <w:tcPr>
            <w:tcW w:w="1200" w:type="dxa"/>
            <w:shd w:val="clear" w:color="auto" w:fill="C6EFCE"/>
            <w:tcMar>
              <w:left w:w="108" w:type="dxa"/>
              <w:right w:w="108" w:type="dxa"/>
            </w:tcMar>
            <w:vAlign w:val="center"/>
          </w:tcPr>
          <w:p w14:paraId="75C2621E" w14:textId="77777777" w:rsidR="00E42B18" w:rsidRDefault="009629C4">
            <w:pPr>
              <w:pStyle w:val="P68B1DB1-Normal121"/>
              <w:spacing w:after="0" w:line="240" w:lineRule="auto"/>
              <w:jc w:val="center"/>
              <w:rPr>
                <w:noProof/>
              </w:rPr>
            </w:pPr>
            <w:r>
              <w:rPr>
                <w:noProof/>
              </w:rPr>
              <w:t>M1C3–12</w:t>
            </w:r>
          </w:p>
        </w:tc>
        <w:tc>
          <w:tcPr>
            <w:tcW w:w="2553" w:type="dxa"/>
            <w:shd w:val="clear" w:color="auto" w:fill="C6EFCE"/>
            <w:tcMar>
              <w:left w:w="108" w:type="dxa"/>
              <w:right w:w="108" w:type="dxa"/>
            </w:tcMar>
            <w:vAlign w:val="center"/>
          </w:tcPr>
          <w:p w14:paraId="3D3AFC8E" w14:textId="77777777" w:rsidR="00E42B18" w:rsidRDefault="009629C4">
            <w:pPr>
              <w:pStyle w:val="P68B1DB1-Normal121"/>
              <w:spacing w:after="0" w:line="240" w:lineRule="auto"/>
              <w:rPr>
                <w:noProof/>
              </w:rPr>
            </w:pPr>
            <w:r>
              <w:rPr>
                <w:noProof/>
              </w:rPr>
              <w:t>Investointi 2.1 – Pienen historiallisen kaupungin houkuttelevuus</w:t>
            </w:r>
          </w:p>
        </w:tc>
        <w:tc>
          <w:tcPr>
            <w:tcW w:w="1170" w:type="dxa"/>
            <w:shd w:val="clear" w:color="auto" w:fill="C6EFCE"/>
            <w:tcMar>
              <w:left w:w="108" w:type="dxa"/>
              <w:right w:w="108" w:type="dxa"/>
            </w:tcMar>
            <w:vAlign w:val="center"/>
          </w:tcPr>
          <w:p w14:paraId="1AF79D8B"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28639BB0" w14:textId="77777777" w:rsidR="00E42B18" w:rsidRDefault="009629C4">
            <w:pPr>
              <w:pStyle w:val="P68B1DB1-Normal121"/>
              <w:spacing w:after="0" w:line="240" w:lineRule="auto"/>
              <w:rPr>
                <w:noProof/>
              </w:rPr>
            </w:pPr>
            <w:r>
              <w:rPr>
                <w:noProof/>
              </w:rPr>
              <w:t xml:space="preserve">Kulttuuriministeriön asetus varojen jakamisesta kunnille pienten historiallisten kaupunkien houkuttelevuuden lisäämiseksi tulee voimaan  </w:t>
            </w:r>
          </w:p>
        </w:tc>
      </w:tr>
      <w:tr w:rsidR="00E42B18" w14:paraId="014AD6A7" w14:textId="77777777">
        <w:trPr>
          <w:trHeight w:val="300"/>
        </w:trPr>
        <w:tc>
          <w:tcPr>
            <w:tcW w:w="1200" w:type="dxa"/>
            <w:shd w:val="clear" w:color="auto" w:fill="C6EFCE"/>
            <w:tcMar>
              <w:left w:w="108" w:type="dxa"/>
              <w:right w:w="108" w:type="dxa"/>
            </w:tcMar>
            <w:vAlign w:val="center"/>
          </w:tcPr>
          <w:p w14:paraId="2E255BBE" w14:textId="77777777" w:rsidR="00E42B18" w:rsidRDefault="009629C4">
            <w:pPr>
              <w:pStyle w:val="P68B1DB1-Normal121"/>
              <w:spacing w:after="0" w:line="240" w:lineRule="auto"/>
              <w:jc w:val="center"/>
              <w:rPr>
                <w:noProof/>
              </w:rPr>
            </w:pPr>
            <w:r>
              <w:rPr>
                <w:noProof/>
              </w:rPr>
              <w:t>M1C3–13</w:t>
            </w:r>
          </w:p>
        </w:tc>
        <w:tc>
          <w:tcPr>
            <w:tcW w:w="2553" w:type="dxa"/>
            <w:shd w:val="clear" w:color="auto" w:fill="C6EFCE"/>
            <w:tcMar>
              <w:left w:w="108" w:type="dxa"/>
              <w:right w:w="108" w:type="dxa"/>
            </w:tcMar>
            <w:vAlign w:val="center"/>
          </w:tcPr>
          <w:p w14:paraId="6A3D6575" w14:textId="77777777" w:rsidR="00E42B18" w:rsidRDefault="009629C4">
            <w:pPr>
              <w:pStyle w:val="P68B1DB1-Normal121"/>
              <w:spacing w:after="0" w:line="240" w:lineRule="auto"/>
              <w:rPr>
                <w:noProof/>
              </w:rPr>
            </w:pPr>
            <w:r>
              <w:rPr>
                <w:noProof/>
              </w:rPr>
              <w:t>Investointi 2.2 – Maaseudun arkkitehtuurin ja maiseman suojelu ja parantaminen</w:t>
            </w:r>
          </w:p>
        </w:tc>
        <w:tc>
          <w:tcPr>
            <w:tcW w:w="1170" w:type="dxa"/>
            <w:shd w:val="clear" w:color="auto" w:fill="C6EFCE"/>
            <w:tcMar>
              <w:left w:w="108" w:type="dxa"/>
              <w:right w:w="108" w:type="dxa"/>
            </w:tcMar>
            <w:vAlign w:val="center"/>
          </w:tcPr>
          <w:p w14:paraId="506A26C0"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135D6726" w14:textId="77777777" w:rsidR="00E42B18" w:rsidRDefault="009629C4">
            <w:pPr>
              <w:pStyle w:val="P68B1DB1-Normal121"/>
              <w:spacing w:after="0" w:line="240" w:lineRule="auto"/>
              <w:rPr>
                <w:noProof/>
              </w:rPr>
            </w:pPr>
            <w:r>
              <w:rPr>
                <w:noProof/>
              </w:rPr>
              <w:t xml:space="preserve">Kulttuuriministeriön asetus varojen jakamisesta tulee voimaan: maaseudun arkkitehtuurin ja maiseman suojelemiseksi ja parantamiseksi </w:t>
            </w:r>
          </w:p>
        </w:tc>
      </w:tr>
      <w:tr w:rsidR="00E42B18" w14:paraId="02B06881" w14:textId="77777777">
        <w:trPr>
          <w:trHeight w:val="300"/>
        </w:trPr>
        <w:tc>
          <w:tcPr>
            <w:tcW w:w="1200" w:type="dxa"/>
            <w:shd w:val="clear" w:color="auto" w:fill="C6EFCE"/>
            <w:tcMar>
              <w:left w:w="108" w:type="dxa"/>
              <w:right w:w="108" w:type="dxa"/>
            </w:tcMar>
            <w:vAlign w:val="center"/>
          </w:tcPr>
          <w:p w14:paraId="2F1980D6" w14:textId="77777777" w:rsidR="00E42B18" w:rsidRDefault="009629C4">
            <w:pPr>
              <w:pStyle w:val="P68B1DB1-Normal121"/>
              <w:spacing w:after="0" w:line="240" w:lineRule="auto"/>
              <w:jc w:val="center"/>
              <w:rPr>
                <w:noProof/>
              </w:rPr>
            </w:pPr>
            <w:r>
              <w:rPr>
                <w:noProof/>
              </w:rPr>
              <w:t>M1C3–14</w:t>
            </w:r>
          </w:p>
        </w:tc>
        <w:tc>
          <w:tcPr>
            <w:tcW w:w="2553" w:type="dxa"/>
            <w:shd w:val="clear" w:color="auto" w:fill="C6EFCE"/>
            <w:tcMar>
              <w:left w:w="108" w:type="dxa"/>
              <w:right w:w="108" w:type="dxa"/>
            </w:tcMar>
            <w:vAlign w:val="center"/>
          </w:tcPr>
          <w:p w14:paraId="0070661E" w14:textId="77777777" w:rsidR="00E42B18" w:rsidRDefault="009629C4">
            <w:pPr>
              <w:pStyle w:val="P68B1DB1-Normal121"/>
              <w:spacing w:after="0" w:line="240" w:lineRule="auto"/>
              <w:rPr>
                <w:noProof/>
              </w:rPr>
            </w:pPr>
            <w:r>
              <w:rPr>
                <w:noProof/>
              </w:rPr>
              <w:t>Investointi 2.3 – Ohjelmat paikkojen, puistojen ja historiallisten puutarhojen identiteetin parantamiseksi</w:t>
            </w:r>
          </w:p>
        </w:tc>
        <w:tc>
          <w:tcPr>
            <w:tcW w:w="1170" w:type="dxa"/>
            <w:shd w:val="clear" w:color="auto" w:fill="C6EFCE"/>
            <w:tcMar>
              <w:left w:w="108" w:type="dxa"/>
              <w:right w:w="108" w:type="dxa"/>
            </w:tcMar>
            <w:vAlign w:val="center"/>
          </w:tcPr>
          <w:p w14:paraId="730A39BE"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6A560FFE" w14:textId="77777777" w:rsidR="00E42B18" w:rsidRDefault="009629C4">
            <w:pPr>
              <w:pStyle w:val="P68B1DB1-Normal121"/>
              <w:spacing w:after="0" w:line="240" w:lineRule="auto"/>
              <w:rPr>
                <w:noProof/>
              </w:rPr>
            </w:pPr>
            <w:r>
              <w:rPr>
                <w:noProof/>
              </w:rPr>
              <w:t xml:space="preserve">Kulttuuriministeriön asetus varojen jakamisesta tulee voimaan: hankkeet paikkojen, puistojen ja historiallisten puutarhojen identiteetin parantamiseksi </w:t>
            </w:r>
          </w:p>
        </w:tc>
      </w:tr>
      <w:tr w:rsidR="00E42B18" w14:paraId="40E22B11" w14:textId="77777777">
        <w:trPr>
          <w:trHeight w:val="300"/>
        </w:trPr>
        <w:tc>
          <w:tcPr>
            <w:tcW w:w="1200" w:type="dxa"/>
            <w:shd w:val="clear" w:color="auto" w:fill="C6EFCE"/>
            <w:tcMar>
              <w:left w:w="108" w:type="dxa"/>
              <w:right w:w="108" w:type="dxa"/>
            </w:tcMar>
            <w:vAlign w:val="center"/>
          </w:tcPr>
          <w:p w14:paraId="44A5DF8D" w14:textId="77777777" w:rsidR="00E42B18" w:rsidRDefault="009629C4">
            <w:pPr>
              <w:pStyle w:val="P68B1DB1-Normal121"/>
              <w:spacing w:after="0" w:line="240" w:lineRule="auto"/>
              <w:jc w:val="center"/>
              <w:rPr>
                <w:noProof/>
              </w:rPr>
            </w:pPr>
            <w:r>
              <w:rPr>
                <w:noProof/>
              </w:rPr>
              <w:t>M1C3–15</w:t>
            </w:r>
          </w:p>
        </w:tc>
        <w:tc>
          <w:tcPr>
            <w:tcW w:w="2553" w:type="dxa"/>
            <w:shd w:val="clear" w:color="auto" w:fill="C6EFCE"/>
            <w:tcMar>
              <w:left w:w="108" w:type="dxa"/>
              <w:right w:w="108" w:type="dxa"/>
            </w:tcMar>
            <w:vAlign w:val="center"/>
          </w:tcPr>
          <w:p w14:paraId="2A7DF107" w14:textId="77777777" w:rsidR="00E42B18" w:rsidRDefault="009629C4">
            <w:pPr>
              <w:pStyle w:val="P68B1DB1-Normal121"/>
              <w:spacing w:after="0" w:line="240" w:lineRule="auto"/>
              <w:rPr>
                <w:noProof/>
              </w:rPr>
            </w:pPr>
            <w:r>
              <w:rPr>
                <w:noProof/>
              </w:rPr>
              <w:t>Investointi 2.4 – Uskontopaikkojen seisminen turvallisuus, FEC-perinnön ennallistaminen ja taideteosten suojat</w:t>
            </w:r>
          </w:p>
        </w:tc>
        <w:tc>
          <w:tcPr>
            <w:tcW w:w="1170" w:type="dxa"/>
            <w:shd w:val="clear" w:color="auto" w:fill="C6EFCE"/>
            <w:tcMar>
              <w:left w:w="108" w:type="dxa"/>
              <w:right w:w="108" w:type="dxa"/>
            </w:tcMar>
            <w:vAlign w:val="center"/>
          </w:tcPr>
          <w:p w14:paraId="3C946AFE"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24D956C3" w14:textId="77777777" w:rsidR="00E42B18" w:rsidRDefault="009629C4">
            <w:pPr>
              <w:pStyle w:val="P68B1DB1-Normal121"/>
              <w:spacing w:after="0" w:line="240" w:lineRule="auto"/>
              <w:rPr>
                <w:noProof/>
              </w:rPr>
            </w:pPr>
            <w:r>
              <w:rPr>
                <w:noProof/>
              </w:rPr>
              <w:t xml:space="preserve">Kulttuuriministeriön asetus varojen jakamisesta tulee voimaan: seisminen turvallisuus uskonnonharjoittamisen sijasta ja FEC (Fondo Edifici di Culto) -perinnön restaurointi </w:t>
            </w:r>
          </w:p>
        </w:tc>
      </w:tr>
      <w:tr w:rsidR="00E42B18" w14:paraId="2DDD3B0F" w14:textId="77777777">
        <w:trPr>
          <w:trHeight w:val="300"/>
        </w:trPr>
        <w:tc>
          <w:tcPr>
            <w:tcW w:w="1200" w:type="dxa"/>
            <w:shd w:val="clear" w:color="auto" w:fill="C6EFCE"/>
            <w:tcMar>
              <w:left w:w="108" w:type="dxa"/>
              <w:right w:w="108" w:type="dxa"/>
            </w:tcMar>
            <w:vAlign w:val="center"/>
          </w:tcPr>
          <w:p w14:paraId="3F9AF5CE" w14:textId="77777777" w:rsidR="00E42B18" w:rsidRDefault="009629C4">
            <w:pPr>
              <w:pStyle w:val="P68B1DB1-Normal121"/>
              <w:spacing w:after="0" w:line="240" w:lineRule="auto"/>
              <w:jc w:val="center"/>
              <w:rPr>
                <w:noProof/>
              </w:rPr>
            </w:pPr>
            <w:r>
              <w:rPr>
                <w:noProof/>
              </w:rPr>
              <w:t>M1C3–35</w:t>
            </w:r>
          </w:p>
        </w:tc>
        <w:tc>
          <w:tcPr>
            <w:tcW w:w="2553" w:type="dxa"/>
            <w:shd w:val="clear" w:color="auto" w:fill="C6EFCE"/>
            <w:tcMar>
              <w:left w:w="108" w:type="dxa"/>
              <w:right w:w="108" w:type="dxa"/>
            </w:tcMar>
            <w:vAlign w:val="center"/>
          </w:tcPr>
          <w:p w14:paraId="36D4B661" w14:textId="77777777" w:rsidR="00E42B18" w:rsidRDefault="009629C4">
            <w:pPr>
              <w:pStyle w:val="P68B1DB1-Normal121"/>
              <w:spacing w:after="0" w:line="240" w:lineRule="auto"/>
              <w:rPr>
                <w:noProof/>
              </w:rPr>
            </w:pPr>
            <w:r>
              <w:rPr>
                <w:noProof/>
              </w:rPr>
              <w:t>Investoinnit – 4,3 Caput Mundi-Next Generation EU -väline matkailualan suurtapahtumia varten</w:t>
            </w:r>
          </w:p>
        </w:tc>
        <w:tc>
          <w:tcPr>
            <w:tcW w:w="1170" w:type="dxa"/>
            <w:shd w:val="clear" w:color="auto" w:fill="C6EFCE"/>
            <w:tcMar>
              <w:left w:w="108" w:type="dxa"/>
              <w:right w:w="108" w:type="dxa"/>
            </w:tcMar>
            <w:vAlign w:val="center"/>
          </w:tcPr>
          <w:p w14:paraId="19657936"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64E7DB84" w14:textId="3822B7F8" w:rsidR="00E42B18" w:rsidRDefault="009629C4">
            <w:pPr>
              <w:pStyle w:val="P68B1DB1-Normal121"/>
              <w:spacing w:after="0" w:line="240" w:lineRule="auto"/>
              <w:rPr>
                <w:noProof/>
              </w:rPr>
            </w:pPr>
            <w:r>
              <w:rPr>
                <w:noProof/>
              </w:rPr>
              <w:t>Kunkin sopimuksen allekirjoittaminen kuudesta hankkeesta matkailuministeriön ja edunsaajien/täytäntöönpanoelinten välillä</w:t>
            </w:r>
          </w:p>
        </w:tc>
      </w:tr>
      <w:tr w:rsidR="00E42B18" w14:paraId="36AB031F" w14:textId="77777777">
        <w:trPr>
          <w:trHeight w:val="300"/>
        </w:trPr>
        <w:tc>
          <w:tcPr>
            <w:tcW w:w="1200" w:type="dxa"/>
            <w:shd w:val="clear" w:color="auto" w:fill="C6EFCE"/>
            <w:tcMar>
              <w:left w:w="108" w:type="dxa"/>
              <w:right w:w="108" w:type="dxa"/>
            </w:tcMar>
            <w:vAlign w:val="center"/>
          </w:tcPr>
          <w:p w14:paraId="1B2F7BB4" w14:textId="77777777" w:rsidR="00E42B18" w:rsidRDefault="009629C4">
            <w:pPr>
              <w:pStyle w:val="P68B1DB1-Normal121"/>
              <w:spacing w:after="0" w:line="240" w:lineRule="auto"/>
              <w:jc w:val="center"/>
              <w:rPr>
                <w:noProof/>
              </w:rPr>
            </w:pPr>
            <w:r>
              <w:rPr>
                <w:noProof/>
              </w:rPr>
              <w:t>M2C1–13</w:t>
            </w:r>
          </w:p>
        </w:tc>
        <w:tc>
          <w:tcPr>
            <w:tcW w:w="2553" w:type="dxa"/>
            <w:shd w:val="clear" w:color="auto" w:fill="C6EFCE"/>
            <w:tcMar>
              <w:left w:w="108" w:type="dxa"/>
              <w:right w:w="108" w:type="dxa"/>
            </w:tcMar>
            <w:vAlign w:val="center"/>
          </w:tcPr>
          <w:p w14:paraId="07A96649" w14:textId="77777777" w:rsidR="00E42B18" w:rsidRDefault="009629C4">
            <w:pPr>
              <w:pStyle w:val="P68B1DB1-Normal121"/>
              <w:spacing w:after="0" w:line="240" w:lineRule="auto"/>
              <w:rPr>
                <w:noProof/>
              </w:rPr>
            </w:pPr>
            <w:r>
              <w:rPr>
                <w:noProof/>
              </w:rPr>
              <w:t>Uudistus 1.2 – Jätehuollon kansallinen ohjelma</w:t>
            </w:r>
          </w:p>
        </w:tc>
        <w:tc>
          <w:tcPr>
            <w:tcW w:w="1170" w:type="dxa"/>
            <w:shd w:val="clear" w:color="auto" w:fill="C6EFCE"/>
            <w:tcMar>
              <w:left w:w="108" w:type="dxa"/>
              <w:right w:w="108" w:type="dxa"/>
            </w:tcMar>
            <w:vAlign w:val="center"/>
          </w:tcPr>
          <w:p w14:paraId="08C5B359"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237E12FC" w14:textId="77777777" w:rsidR="00E42B18" w:rsidRDefault="009629C4">
            <w:pPr>
              <w:pStyle w:val="P68B1DB1-Normal121"/>
              <w:spacing w:after="0" w:line="240" w:lineRule="auto"/>
              <w:rPr>
                <w:noProof/>
              </w:rPr>
            </w:pPr>
            <w:r>
              <w:rPr>
                <w:noProof/>
              </w:rPr>
              <w:t>Kansallista jätehuolto-ohjelmaa koskevan ministeriön asetuksen voimaantulo</w:t>
            </w:r>
          </w:p>
        </w:tc>
      </w:tr>
      <w:tr w:rsidR="00E42B18" w14:paraId="31AFA104" w14:textId="77777777">
        <w:trPr>
          <w:trHeight w:val="300"/>
        </w:trPr>
        <w:tc>
          <w:tcPr>
            <w:tcW w:w="1200" w:type="dxa"/>
            <w:shd w:val="clear" w:color="auto" w:fill="C6EFCE"/>
            <w:tcMar>
              <w:left w:w="108" w:type="dxa"/>
              <w:right w:w="108" w:type="dxa"/>
            </w:tcMar>
            <w:vAlign w:val="center"/>
          </w:tcPr>
          <w:p w14:paraId="59A3913B" w14:textId="77777777" w:rsidR="00E42B18" w:rsidRDefault="009629C4">
            <w:pPr>
              <w:pStyle w:val="P68B1DB1-Normal121"/>
              <w:spacing w:after="0" w:line="240" w:lineRule="auto"/>
              <w:jc w:val="center"/>
              <w:rPr>
                <w:noProof/>
              </w:rPr>
            </w:pPr>
            <w:r>
              <w:rPr>
                <w:noProof/>
              </w:rPr>
              <w:t>M2C2–52</w:t>
            </w:r>
          </w:p>
        </w:tc>
        <w:tc>
          <w:tcPr>
            <w:tcW w:w="2553" w:type="dxa"/>
            <w:shd w:val="clear" w:color="auto" w:fill="C6EFCE"/>
            <w:tcMar>
              <w:left w:w="108" w:type="dxa"/>
              <w:right w:w="108" w:type="dxa"/>
            </w:tcMar>
            <w:vAlign w:val="center"/>
          </w:tcPr>
          <w:p w14:paraId="73075D85" w14:textId="77777777" w:rsidR="00E42B18" w:rsidRDefault="009629C4">
            <w:pPr>
              <w:pStyle w:val="P68B1DB1-Normal121"/>
              <w:spacing w:after="0" w:line="240" w:lineRule="auto"/>
              <w:rPr>
                <w:noProof/>
              </w:rPr>
            </w:pPr>
            <w:r>
              <w:rPr>
                <w:noProof/>
              </w:rPr>
              <w:t>Investointi 5.2 Vety</w:t>
            </w:r>
          </w:p>
        </w:tc>
        <w:tc>
          <w:tcPr>
            <w:tcW w:w="1170" w:type="dxa"/>
            <w:shd w:val="clear" w:color="auto" w:fill="C6EFCE"/>
            <w:tcMar>
              <w:left w:w="108" w:type="dxa"/>
              <w:right w:w="108" w:type="dxa"/>
            </w:tcMar>
            <w:vAlign w:val="center"/>
          </w:tcPr>
          <w:p w14:paraId="7C9BB664"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7CB11CED" w14:textId="77777777" w:rsidR="00E42B18" w:rsidRDefault="009629C4">
            <w:pPr>
              <w:pStyle w:val="P68B1DB1-Normal121"/>
              <w:spacing w:after="0" w:line="240" w:lineRule="auto"/>
              <w:rPr>
                <w:noProof/>
              </w:rPr>
            </w:pPr>
            <w:r>
              <w:rPr>
                <w:noProof/>
              </w:rPr>
              <w:t>Elektrolyysilaitteiden tuotanto</w:t>
            </w:r>
          </w:p>
        </w:tc>
      </w:tr>
      <w:tr w:rsidR="00E42B18" w14:paraId="18F43EBF" w14:textId="77777777">
        <w:trPr>
          <w:trHeight w:val="300"/>
        </w:trPr>
        <w:tc>
          <w:tcPr>
            <w:tcW w:w="1200" w:type="dxa"/>
            <w:shd w:val="clear" w:color="auto" w:fill="C6EFCE"/>
            <w:tcMar>
              <w:left w:w="108" w:type="dxa"/>
              <w:right w:w="108" w:type="dxa"/>
            </w:tcMar>
            <w:vAlign w:val="center"/>
          </w:tcPr>
          <w:p w14:paraId="39C0E61A" w14:textId="77777777" w:rsidR="00E42B18" w:rsidRDefault="009629C4">
            <w:pPr>
              <w:pStyle w:val="P68B1DB1-Normal121"/>
              <w:spacing w:after="0" w:line="240" w:lineRule="auto"/>
              <w:jc w:val="center"/>
              <w:rPr>
                <w:noProof/>
              </w:rPr>
            </w:pPr>
            <w:r>
              <w:rPr>
                <w:noProof/>
              </w:rPr>
              <w:t>M4C2–11</w:t>
            </w:r>
          </w:p>
        </w:tc>
        <w:tc>
          <w:tcPr>
            <w:tcW w:w="2553" w:type="dxa"/>
            <w:shd w:val="clear" w:color="auto" w:fill="C6EFCE"/>
            <w:tcMar>
              <w:left w:w="108" w:type="dxa"/>
              <w:right w:w="108" w:type="dxa"/>
            </w:tcMar>
            <w:vAlign w:val="center"/>
          </w:tcPr>
          <w:p w14:paraId="38485082" w14:textId="77777777" w:rsidR="00E42B18" w:rsidRDefault="009629C4">
            <w:pPr>
              <w:pStyle w:val="P68B1DB1-Normal121"/>
              <w:spacing w:after="0" w:line="240" w:lineRule="auto"/>
              <w:rPr>
                <w:noProof/>
              </w:rPr>
            </w:pPr>
            <w:r>
              <w:rPr>
                <w:noProof/>
              </w:rPr>
              <w:t xml:space="preserve">Investointi 2.1: IPCEI-HANKE </w:t>
            </w:r>
          </w:p>
        </w:tc>
        <w:tc>
          <w:tcPr>
            <w:tcW w:w="1170" w:type="dxa"/>
            <w:shd w:val="clear" w:color="auto" w:fill="C6EFCE"/>
            <w:tcMar>
              <w:left w:w="108" w:type="dxa"/>
              <w:right w:w="108" w:type="dxa"/>
            </w:tcMar>
            <w:vAlign w:val="center"/>
          </w:tcPr>
          <w:p w14:paraId="494555A1"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03F2E97E" w14:textId="77777777" w:rsidR="00E42B18" w:rsidRDefault="009629C4">
            <w:pPr>
              <w:pStyle w:val="P68B1DB1-Normal121"/>
              <w:spacing w:after="0" w:line="240" w:lineRule="auto"/>
              <w:rPr>
                <w:noProof/>
              </w:rPr>
            </w:pPr>
            <w:r>
              <w:rPr>
                <w:noProof/>
              </w:rPr>
              <w:t>Hankkeen osallistujien tukemiseen tarvittavan rahoituksen myöntämistä koskevan kansallisen säädöksen voimaantulo.</w:t>
            </w:r>
          </w:p>
        </w:tc>
      </w:tr>
      <w:tr w:rsidR="00E42B18" w14:paraId="0FFAFA89" w14:textId="77777777">
        <w:trPr>
          <w:trHeight w:val="300"/>
        </w:trPr>
        <w:tc>
          <w:tcPr>
            <w:tcW w:w="1200" w:type="dxa"/>
            <w:shd w:val="clear" w:color="auto" w:fill="C6EFCE"/>
            <w:tcMar>
              <w:left w:w="108" w:type="dxa"/>
              <w:right w:w="108" w:type="dxa"/>
            </w:tcMar>
            <w:vAlign w:val="center"/>
          </w:tcPr>
          <w:p w14:paraId="6D17F329" w14:textId="77777777" w:rsidR="00E42B18" w:rsidRDefault="009629C4">
            <w:pPr>
              <w:pStyle w:val="P68B1DB1-Normal121"/>
              <w:spacing w:after="0" w:line="240" w:lineRule="auto"/>
              <w:jc w:val="center"/>
              <w:rPr>
                <w:noProof/>
              </w:rPr>
            </w:pPr>
            <w:r>
              <w:rPr>
                <w:noProof/>
              </w:rPr>
              <w:t>M4C2–17</w:t>
            </w:r>
          </w:p>
        </w:tc>
        <w:tc>
          <w:tcPr>
            <w:tcW w:w="2553" w:type="dxa"/>
            <w:shd w:val="clear" w:color="auto" w:fill="C6EFCE"/>
            <w:tcMar>
              <w:left w:w="108" w:type="dxa"/>
              <w:right w:w="108" w:type="dxa"/>
            </w:tcMar>
            <w:vAlign w:val="center"/>
          </w:tcPr>
          <w:p w14:paraId="4AD85A90" w14:textId="77777777" w:rsidR="00E42B18" w:rsidRDefault="009629C4">
            <w:pPr>
              <w:pStyle w:val="P68B1DB1-Normal121"/>
              <w:spacing w:after="0" w:line="240" w:lineRule="auto"/>
              <w:rPr>
                <w:noProof/>
              </w:rPr>
            </w:pPr>
            <w:r>
              <w:rPr>
                <w:noProof/>
              </w:rPr>
              <w:t>Investointi 3.1: Rahasto integroidun tutkimus- ja innovointi-infrastruktuurijärjestelmän rakentamista varten; Investointi</w:t>
            </w:r>
          </w:p>
        </w:tc>
        <w:tc>
          <w:tcPr>
            <w:tcW w:w="1170" w:type="dxa"/>
            <w:shd w:val="clear" w:color="auto" w:fill="C6EFCE"/>
            <w:tcMar>
              <w:left w:w="108" w:type="dxa"/>
              <w:right w:w="108" w:type="dxa"/>
            </w:tcMar>
            <w:vAlign w:val="center"/>
          </w:tcPr>
          <w:p w14:paraId="69172B17"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38DCF6F6" w14:textId="278638D9" w:rsidR="00E42B18" w:rsidRDefault="009629C4">
            <w:pPr>
              <w:pStyle w:val="P68B1DB1-Normal121"/>
              <w:spacing w:after="0" w:line="240" w:lineRule="auto"/>
              <w:rPr>
                <w:noProof/>
              </w:rPr>
            </w:pPr>
            <w:r>
              <w:rPr>
                <w:noProof/>
              </w:rPr>
              <w:t>Hankintasopimusten tekeminen seuraavien hankkeiden osalta: Tutkimus- ja innovointi-infrastruktuurien yhdennetty järjestelmä</w:t>
            </w:r>
          </w:p>
        </w:tc>
      </w:tr>
      <w:tr w:rsidR="00E42B18" w14:paraId="3D327861" w14:textId="77777777">
        <w:trPr>
          <w:trHeight w:val="300"/>
        </w:trPr>
        <w:tc>
          <w:tcPr>
            <w:tcW w:w="1200" w:type="dxa"/>
            <w:shd w:val="clear" w:color="auto" w:fill="C6EFCE"/>
            <w:tcMar>
              <w:left w:w="108" w:type="dxa"/>
              <w:right w:w="108" w:type="dxa"/>
            </w:tcMar>
            <w:vAlign w:val="center"/>
          </w:tcPr>
          <w:p w14:paraId="2A6A11F8" w14:textId="77777777" w:rsidR="00E42B18" w:rsidRDefault="009629C4">
            <w:pPr>
              <w:pStyle w:val="P68B1DB1-Normal121"/>
              <w:spacing w:after="0" w:line="240" w:lineRule="auto"/>
              <w:jc w:val="center"/>
              <w:rPr>
                <w:noProof/>
              </w:rPr>
            </w:pPr>
            <w:r>
              <w:rPr>
                <w:noProof/>
              </w:rPr>
              <w:t>M4C2–18</w:t>
            </w:r>
          </w:p>
        </w:tc>
        <w:tc>
          <w:tcPr>
            <w:tcW w:w="2553" w:type="dxa"/>
            <w:shd w:val="clear" w:color="auto" w:fill="C6EFCE"/>
            <w:tcMar>
              <w:left w:w="108" w:type="dxa"/>
              <w:right w:w="108" w:type="dxa"/>
            </w:tcMar>
            <w:vAlign w:val="center"/>
          </w:tcPr>
          <w:p w14:paraId="42401369" w14:textId="77777777" w:rsidR="00E42B18" w:rsidRDefault="009629C4">
            <w:pPr>
              <w:pStyle w:val="P68B1DB1-Normal121"/>
              <w:spacing w:after="0" w:line="240" w:lineRule="auto"/>
              <w:rPr>
                <w:noProof/>
              </w:rPr>
            </w:pPr>
            <w:r>
              <w:rPr>
                <w:noProof/>
              </w:rPr>
              <w:t>Invesment1.5: ”Kestävyyttä edistävien innovaatioekosysteemien” perustaminen ja vahvistaminen, ”T &amp; K-toiminnan alueellisten johtajien” rakentaminen</w:t>
            </w:r>
          </w:p>
        </w:tc>
        <w:tc>
          <w:tcPr>
            <w:tcW w:w="1170" w:type="dxa"/>
            <w:shd w:val="clear" w:color="auto" w:fill="C6EFCE"/>
            <w:tcMar>
              <w:left w:w="108" w:type="dxa"/>
              <w:right w:w="108" w:type="dxa"/>
            </w:tcMar>
            <w:vAlign w:val="center"/>
          </w:tcPr>
          <w:p w14:paraId="2F358574"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334D729B" w14:textId="26F88800" w:rsidR="00E42B18" w:rsidRDefault="009629C4">
            <w:pPr>
              <w:pStyle w:val="P68B1DB1-Normal121"/>
              <w:spacing w:after="0" w:line="240" w:lineRule="auto"/>
              <w:rPr>
                <w:noProof/>
              </w:rPr>
            </w:pPr>
            <w:r>
              <w:rPr>
                <w:noProof/>
              </w:rPr>
              <w:t>Hankintasopimusten tekeminen innovaatioekosysteemeihin liittyvistä hankkeista;</w:t>
            </w:r>
          </w:p>
        </w:tc>
      </w:tr>
      <w:tr w:rsidR="00E42B18" w14:paraId="36D08664" w14:textId="77777777">
        <w:trPr>
          <w:trHeight w:val="300"/>
        </w:trPr>
        <w:tc>
          <w:tcPr>
            <w:tcW w:w="1200" w:type="dxa"/>
            <w:shd w:val="clear" w:color="auto" w:fill="C6EFCE"/>
            <w:tcMar>
              <w:left w:w="108" w:type="dxa"/>
              <w:right w:w="108" w:type="dxa"/>
            </w:tcMar>
            <w:vAlign w:val="center"/>
          </w:tcPr>
          <w:p w14:paraId="5440F36F" w14:textId="77777777" w:rsidR="00E42B18" w:rsidRDefault="009629C4">
            <w:pPr>
              <w:pStyle w:val="P68B1DB1-Normal121"/>
              <w:spacing w:after="0" w:line="240" w:lineRule="auto"/>
              <w:jc w:val="center"/>
              <w:rPr>
                <w:noProof/>
              </w:rPr>
            </w:pPr>
            <w:r>
              <w:rPr>
                <w:noProof/>
              </w:rPr>
              <w:t>M4C2–19</w:t>
            </w:r>
          </w:p>
        </w:tc>
        <w:tc>
          <w:tcPr>
            <w:tcW w:w="2553" w:type="dxa"/>
            <w:shd w:val="clear" w:color="auto" w:fill="C6EFCE"/>
            <w:tcMar>
              <w:left w:w="108" w:type="dxa"/>
              <w:right w:w="108" w:type="dxa"/>
            </w:tcMar>
            <w:vAlign w:val="center"/>
          </w:tcPr>
          <w:p w14:paraId="5AC7CD21" w14:textId="77777777" w:rsidR="00E42B18" w:rsidRDefault="009629C4">
            <w:pPr>
              <w:pStyle w:val="P68B1DB1-Normal121"/>
              <w:spacing w:after="0" w:line="240" w:lineRule="auto"/>
              <w:rPr>
                <w:noProof/>
              </w:rPr>
            </w:pPr>
            <w:r>
              <w:rPr>
                <w:noProof/>
              </w:rPr>
              <w:t>Investointi 1.4: Tutkimusrakenteiden vahvistaminen ja kansallisten T &amp; K-johtajien perustamisen tukeminen joidenkin keskeisten mahdollistavien teknologioiden alalla</w:t>
            </w:r>
          </w:p>
        </w:tc>
        <w:tc>
          <w:tcPr>
            <w:tcW w:w="1170" w:type="dxa"/>
            <w:shd w:val="clear" w:color="auto" w:fill="C6EFCE"/>
            <w:tcMar>
              <w:left w:w="108" w:type="dxa"/>
              <w:right w:w="108" w:type="dxa"/>
            </w:tcMar>
            <w:vAlign w:val="center"/>
          </w:tcPr>
          <w:p w14:paraId="3E1542BB"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50ADCE4F" w14:textId="77777777" w:rsidR="00E42B18" w:rsidRDefault="009629C4">
            <w:pPr>
              <w:pStyle w:val="P68B1DB1-Normal121"/>
              <w:spacing w:after="0" w:line="240" w:lineRule="auto"/>
              <w:rPr>
                <w:noProof/>
              </w:rPr>
            </w:pPr>
            <w:r>
              <w:rPr>
                <w:noProof/>
              </w:rPr>
              <w:t>Keskeisiä kehitystä vauhdittavia teknologioita koskevien kansallisten T &amp; K-johtajien hankkeita koskevien sopimusten tekeminen</w:t>
            </w:r>
          </w:p>
        </w:tc>
      </w:tr>
      <w:tr w:rsidR="00E42B18" w14:paraId="187BBED8" w14:textId="77777777">
        <w:trPr>
          <w:trHeight w:val="300"/>
        </w:trPr>
        <w:tc>
          <w:tcPr>
            <w:tcW w:w="1200" w:type="dxa"/>
            <w:shd w:val="clear" w:color="auto" w:fill="C6EFCE"/>
            <w:tcMar>
              <w:left w:w="108" w:type="dxa"/>
              <w:right w:w="108" w:type="dxa"/>
            </w:tcMar>
            <w:vAlign w:val="center"/>
          </w:tcPr>
          <w:p w14:paraId="78C06E0F" w14:textId="77777777" w:rsidR="00E42B18" w:rsidRDefault="009629C4">
            <w:pPr>
              <w:pStyle w:val="P68B1DB1-Normal121"/>
              <w:spacing w:after="0" w:line="240" w:lineRule="auto"/>
              <w:jc w:val="center"/>
              <w:rPr>
                <w:noProof/>
              </w:rPr>
            </w:pPr>
            <w:r>
              <w:rPr>
                <w:noProof/>
              </w:rPr>
              <w:t>M4C2–20</w:t>
            </w:r>
          </w:p>
        </w:tc>
        <w:tc>
          <w:tcPr>
            <w:tcW w:w="2553" w:type="dxa"/>
            <w:shd w:val="clear" w:color="auto" w:fill="C6EFCE"/>
            <w:tcMar>
              <w:left w:w="108" w:type="dxa"/>
              <w:right w:w="108" w:type="dxa"/>
            </w:tcMar>
            <w:vAlign w:val="center"/>
          </w:tcPr>
          <w:p w14:paraId="094B3D73" w14:textId="77777777" w:rsidR="00E42B18" w:rsidRDefault="009629C4">
            <w:pPr>
              <w:pStyle w:val="P68B1DB1-Normal121"/>
              <w:spacing w:after="0" w:line="240" w:lineRule="auto"/>
              <w:rPr>
                <w:noProof/>
              </w:rPr>
            </w:pPr>
            <w:r>
              <w:rPr>
                <w:noProof/>
              </w:rPr>
              <w:t>Investointi 3.2: Pääomanlisäys digitaalisen siirtymän rahastoon (DTF)</w:t>
            </w:r>
          </w:p>
        </w:tc>
        <w:tc>
          <w:tcPr>
            <w:tcW w:w="1170" w:type="dxa"/>
            <w:shd w:val="clear" w:color="auto" w:fill="C6EFCE"/>
            <w:tcMar>
              <w:left w:w="108" w:type="dxa"/>
              <w:right w:w="108" w:type="dxa"/>
            </w:tcMar>
            <w:vAlign w:val="center"/>
          </w:tcPr>
          <w:p w14:paraId="26810BF7"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3FB4DC7F" w14:textId="77777777" w:rsidR="00E42B18" w:rsidRDefault="009629C4">
            <w:pPr>
              <w:pStyle w:val="P68B1DB1-Normal121"/>
              <w:spacing w:after="0" w:line="240" w:lineRule="auto"/>
              <w:rPr>
                <w:noProof/>
              </w:rPr>
            </w:pPr>
            <w:r>
              <w:rPr>
                <w:noProof/>
              </w:rPr>
              <w:t>IT-hallinnon ja toteutuskumppani Cassa Depositi e Prestitin (CDP) välinen sopimus rahoitusvälineen perustamisesta allekirjoitettu</w:t>
            </w:r>
          </w:p>
        </w:tc>
      </w:tr>
      <w:tr w:rsidR="00E42B18" w14:paraId="4C78895A" w14:textId="77777777">
        <w:trPr>
          <w:trHeight w:val="300"/>
        </w:trPr>
        <w:tc>
          <w:tcPr>
            <w:tcW w:w="1200" w:type="dxa"/>
            <w:shd w:val="clear" w:color="auto" w:fill="C6EFCE"/>
            <w:tcMar>
              <w:left w:w="108" w:type="dxa"/>
              <w:right w:w="108" w:type="dxa"/>
            </w:tcMar>
            <w:vAlign w:val="center"/>
          </w:tcPr>
          <w:p w14:paraId="5E551B9D" w14:textId="77777777" w:rsidR="00E42B18" w:rsidRDefault="009629C4">
            <w:pPr>
              <w:pStyle w:val="P68B1DB1-Normal121"/>
              <w:spacing w:after="0" w:line="240" w:lineRule="auto"/>
              <w:jc w:val="center"/>
              <w:rPr>
                <w:noProof/>
              </w:rPr>
            </w:pPr>
            <w:r>
              <w:rPr>
                <w:noProof/>
              </w:rPr>
              <w:t>M6C1–1</w:t>
            </w:r>
          </w:p>
        </w:tc>
        <w:tc>
          <w:tcPr>
            <w:tcW w:w="2553" w:type="dxa"/>
            <w:shd w:val="clear" w:color="auto" w:fill="C6EFCE"/>
            <w:tcMar>
              <w:left w:w="108" w:type="dxa"/>
              <w:right w:w="108" w:type="dxa"/>
            </w:tcMar>
            <w:vAlign w:val="center"/>
          </w:tcPr>
          <w:p w14:paraId="02114A41" w14:textId="77777777" w:rsidR="00E42B18" w:rsidRDefault="009629C4">
            <w:pPr>
              <w:pStyle w:val="P68B1DB1-Normal121"/>
              <w:spacing w:after="0" w:line="240" w:lineRule="auto"/>
              <w:rPr>
                <w:noProof/>
              </w:rPr>
            </w:pPr>
            <w:r>
              <w:rPr>
                <w:noProof/>
              </w:rPr>
              <w:t>Uudistus 1:  Alueellisen terveydenhuollon tukiverkoston uuden organisaatiomallin määrittely</w:t>
            </w:r>
          </w:p>
        </w:tc>
        <w:tc>
          <w:tcPr>
            <w:tcW w:w="1170" w:type="dxa"/>
            <w:shd w:val="clear" w:color="auto" w:fill="C6EFCE"/>
            <w:tcMar>
              <w:left w:w="108" w:type="dxa"/>
              <w:right w:w="108" w:type="dxa"/>
            </w:tcMar>
            <w:vAlign w:val="center"/>
          </w:tcPr>
          <w:p w14:paraId="6C5A4886"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5E9D1D43" w14:textId="77777777" w:rsidR="00E42B18" w:rsidRDefault="009629C4">
            <w:pPr>
              <w:pStyle w:val="P68B1DB1-Normal121"/>
              <w:spacing w:after="0" w:line="240" w:lineRule="auto"/>
              <w:rPr>
                <w:noProof/>
              </w:rPr>
            </w:pPr>
            <w:r>
              <w:rPr>
                <w:noProof/>
              </w:rPr>
              <w:t>Terveydenhuollon organisaatiouudistusta koskevan johdetun oikeuden (ministeriön asetus) voimaantulo.</w:t>
            </w:r>
          </w:p>
        </w:tc>
      </w:tr>
      <w:tr w:rsidR="00E42B18" w14:paraId="527D1569" w14:textId="77777777">
        <w:trPr>
          <w:trHeight w:val="300"/>
        </w:trPr>
        <w:tc>
          <w:tcPr>
            <w:tcW w:w="1200" w:type="dxa"/>
            <w:shd w:val="clear" w:color="auto" w:fill="C6EFCE"/>
            <w:tcMar>
              <w:left w:w="108" w:type="dxa"/>
              <w:right w:w="108" w:type="dxa"/>
            </w:tcMar>
            <w:vAlign w:val="center"/>
          </w:tcPr>
          <w:p w14:paraId="473A1EC2" w14:textId="77777777" w:rsidR="00E42B18" w:rsidRDefault="009629C4">
            <w:pPr>
              <w:pStyle w:val="P68B1DB1-Normal121"/>
              <w:spacing w:after="0" w:line="240" w:lineRule="auto"/>
              <w:jc w:val="center"/>
              <w:rPr>
                <w:noProof/>
              </w:rPr>
            </w:pPr>
            <w:r>
              <w:rPr>
                <w:noProof/>
              </w:rPr>
              <w:t>M6C1–2</w:t>
            </w:r>
          </w:p>
        </w:tc>
        <w:tc>
          <w:tcPr>
            <w:tcW w:w="2553" w:type="dxa"/>
            <w:shd w:val="clear" w:color="auto" w:fill="C6EFCE"/>
            <w:tcMar>
              <w:left w:w="108" w:type="dxa"/>
              <w:right w:w="108" w:type="dxa"/>
            </w:tcMar>
            <w:vAlign w:val="center"/>
          </w:tcPr>
          <w:p w14:paraId="1BBAC2E2" w14:textId="77777777" w:rsidR="00E42B18" w:rsidRDefault="009629C4">
            <w:pPr>
              <w:pStyle w:val="P68B1DB1-Normal121"/>
              <w:spacing w:after="0" w:line="240" w:lineRule="auto"/>
              <w:rPr>
                <w:noProof/>
              </w:rPr>
            </w:pPr>
            <w:r>
              <w:rPr>
                <w:noProof/>
              </w:rPr>
              <w:t>Investointi 1.1: Yhteisön terveyskeskukset alueellisen terveysavun parantamiseksi</w:t>
            </w:r>
          </w:p>
        </w:tc>
        <w:tc>
          <w:tcPr>
            <w:tcW w:w="1170" w:type="dxa"/>
            <w:shd w:val="clear" w:color="auto" w:fill="C6EFCE"/>
            <w:tcMar>
              <w:left w:w="108" w:type="dxa"/>
              <w:right w:w="108" w:type="dxa"/>
            </w:tcMar>
            <w:vAlign w:val="center"/>
          </w:tcPr>
          <w:p w14:paraId="66D319BD"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4B8F45FF" w14:textId="77777777" w:rsidR="00E42B18" w:rsidRDefault="009629C4">
            <w:pPr>
              <w:pStyle w:val="P68B1DB1-Normal121"/>
              <w:spacing w:after="0" w:line="240" w:lineRule="auto"/>
              <w:rPr>
                <w:noProof/>
              </w:rPr>
            </w:pPr>
            <w:r>
              <w:rPr>
                <w:noProof/>
              </w:rPr>
              <w:t xml:space="preserve">Instituutioiden kehittämissopimuksen hyväksyminen </w:t>
            </w:r>
          </w:p>
        </w:tc>
      </w:tr>
      <w:tr w:rsidR="00E42B18" w14:paraId="526856F5" w14:textId="77777777">
        <w:trPr>
          <w:trHeight w:val="300"/>
        </w:trPr>
        <w:tc>
          <w:tcPr>
            <w:tcW w:w="1200" w:type="dxa"/>
            <w:shd w:val="clear" w:color="auto" w:fill="C6EFCE"/>
            <w:tcMar>
              <w:left w:w="108" w:type="dxa"/>
              <w:right w:w="108" w:type="dxa"/>
            </w:tcMar>
            <w:vAlign w:val="center"/>
          </w:tcPr>
          <w:p w14:paraId="23AB4BD1" w14:textId="77777777" w:rsidR="00E42B18" w:rsidRDefault="009629C4">
            <w:pPr>
              <w:pStyle w:val="P68B1DB1-Normal121"/>
              <w:spacing w:after="0" w:line="240" w:lineRule="auto"/>
              <w:jc w:val="center"/>
              <w:rPr>
                <w:noProof/>
              </w:rPr>
            </w:pPr>
            <w:r>
              <w:rPr>
                <w:noProof/>
              </w:rPr>
              <w:t>M6C1–4</w:t>
            </w:r>
          </w:p>
        </w:tc>
        <w:tc>
          <w:tcPr>
            <w:tcW w:w="2553" w:type="dxa"/>
            <w:shd w:val="clear" w:color="auto" w:fill="C6EFCE"/>
            <w:tcMar>
              <w:left w:w="108" w:type="dxa"/>
              <w:right w:w="108" w:type="dxa"/>
            </w:tcMar>
            <w:vAlign w:val="center"/>
          </w:tcPr>
          <w:p w14:paraId="7D884F43" w14:textId="77777777" w:rsidR="00E42B18" w:rsidRDefault="009629C4">
            <w:pPr>
              <w:pStyle w:val="P68B1DB1-Normal121"/>
              <w:spacing w:after="0" w:line="240" w:lineRule="auto"/>
              <w:rPr>
                <w:noProof/>
              </w:rPr>
            </w:pPr>
            <w:r>
              <w:rPr>
                <w:noProof/>
              </w:rPr>
              <w:t>Investointi 1.2: Koti ensimmäisenä hoitopaikkana ja etälääketiede</w:t>
            </w:r>
          </w:p>
        </w:tc>
        <w:tc>
          <w:tcPr>
            <w:tcW w:w="1170" w:type="dxa"/>
            <w:shd w:val="clear" w:color="auto" w:fill="C6EFCE"/>
            <w:tcMar>
              <w:left w:w="108" w:type="dxa"/>
              <w:right w:w="108" w:type="dxa"/>
            </w:tcMar>
            <w:vAlign w:val="center"/>
          </w:tcPr>
          <w:p w14:paraId="7155C256"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020D46F8" w14:textId="77777777" w:rsidR="00E42B18" w:rsidRDefault="009629C4">
            <w:pPr>
              <w:pStyle w:val="P68B1DB1-Normal121"/>
              <w:spacing w:after="0" w:line="240" w:lineRule="auto"/>
              <w:rPr>
                <w:noProof/>
              </w:rPr>
            </w:pPr>
            <w:r>
              <w:rPr>
                <w:noProof/>
              </w:rPr>
              <w:t>Kotihoidon digitaalisen mallin sisältävien ohjeiden hyväksyminen</w:t>
            </w:r>
          </w:p>
        </w:tc>
      </w:tr>
      <w:tr w:rsidR="00E42B18" w14:paraId="1FE10B33" w14:textId="77777777">
        <w:trPr>
          <w:trHeight w:val="300"/>
        </w:trPr>
        <w:tc>
          <w:tcPr>
            <w:tcW w:w="1200" w:type="dxa"/>
            <w:shd w:val="clear" w:color="auto" w:fill="C6EFCE"/>
            <w:tcMar>
              <w:left w:w="108" w:type="dxa"/>
              <w:right w:w="108" w:type="dxa"/>
            </w:tcMar>
            <w:vAlign w:val="center"/>
          </w:tcPr>
          <w:p w14:paraId="07DCDE0F" w14:textId="77777777" w:rsidR="00E42B18" w:rsidRDefault="009629C4">
            <w:pPr>
              <w:pStyle w:val="P68B1DB1-Normal121"/>
              <w:spacing w:after="0" w:line="240" w:lineRule="auto"/>
              <w:jc w:val="center"/>
              <w:rPr>
                <w:noProof/>
              </w:rPr>
            </w:pPr>
            <w:r>
              <w:rPr>
                <w:noProof/>
              </w:rPr>
              <w:t>M6C1–5</w:t>
            </w:r>
          </w:p>
        </w:tc>
        <w:tc>
          <w:tcPr>
            <w:tcW w:w="2553" w:type="dxa"/>
            <w:shd w:val="clear" w:color="auto" w:fill="C6EFCE"/>
            <w:tcMar>
              <w:left w:w="108" w:type="dxa"/>
              <w:right w:w="108" w:type="dxa"/>
            </w:tcMar>
            <w:vAlign w:val="center"/>
          </w:tcPr>
          <w:p w14:paraId="3F3FA2E4" w14:textId="77777777" w:rsidR="00E42B18" w:rsidRDefault="009629C4">
            <w:pPr>
              <w:pStyle w:val="P68B1DB1-Normal121"/>
              <w:spacing w:after="0" w:line="240" w:lineRule="auto"/>
              <w:rPr>
                <w:noProof/>
              </w:rPr>
            </w:pPr>
            <w:r>
              <w:rPr>
                <w:noProof/>
              </w:rPr>
              <w:t>Investointi 1.2: Koti ensimmäisenä hoitopaikkana ja etälääketiede</w:t>
            </w:r>
          </w:p>
        </w:tc>
        <w:tc>
          <w:tcPr>
            <w:tcW w:w="1170" w:type="dxa"/>
            <w:shd w:val="clear" w:color="auto" w:fill="C6EFCE"/>
            <w:tcMar>
              <w:left w:w="108" w:type="dxa"/>
              <w:right w:w="108" w:type="dxa"/>
            </w:tcMar>
            <w:vAlign w:val="center"/>
          </w:tcPr>
          <w:p w14:paraId="0758DC93"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77129B69" w14:textId="77777777" w:rsidR="00E42B18" w:rsidRDefault="009629C4">
            <w:pPr>
              <w:pStyle w:val="P68B1DB1-Normal121"/>
              <w:spacing w:after="0" w:line="240" w:lineRule="auto"/>
              <w:rPr>
                <w:noProof/>
              </w:rPr>
            </w:pPr>
            <w:r>
              <w:rPr>
                <w:noProof/>
              </w:rPr>
              <w:t xml:space="preserve">Terveys- ja alueministeriön hyväksymä instituutioiden kehittämistä koskeva sopimus </w:t>
            </w:r>
          </w:p>
        </w:tc>
      </w:tr>
      <w:tr w:rsidR="00E42B18" w14:paraId="6A5B23F4" w14:textId="77777777">
        <w:trPr>
          <w:trHeight w:val="300"/>
        </w:trPr>
        <w:tc>
          <w:tcPr>
            <w:tcW w:w="1200" w:type="dxa"/>
            <w:shd w:val="clear" w:color="auto" w:fill="C6EFCE"/>
            <w:tcMar>
              <w:left w:w="108" w:type="dxa"/>
              <w:right w:w="108" w:type="dxa"/>
            </w:tcMar>
            <w:vAlign w:val="center"/>
          </w:tcPr>
          <w:p w14:paraId="17776757" w14:textId="77777777" w:rsidR="00E42B18" w:rsidRDefault="009629C4">
            <w:pPr>
              <w:pStyle w:val="P68B1DB1-Normal121"/>
              <w:spacing w:after="0" w:line="240" w:lineRule="auto"/>
              <w:jc w:val="center"/>
              <w:rPr>
                <w:noProof/>
              </w:rPr>
            </w:pPr>
            <w:r>
              <w:rPr>
                <w:noProof/>
              </w:rPr>
              <w:t>M6C1–10</w:t>
            </w:r>
          </w:p>
        </w:tc>
        <w:tc>
          <w:tcPr>
            <w:tcW w:w="2553" w:type="dxa"/>
            <w:shd w:val="clear" w:color="auto" w:fill="C6EFCE"/>
            <w:tcMar>
              <w:left w:w="108" w:type="dxa"/>
              <w:right w:w="108" w:type="dxa"/>
            </w:tcMar>
            <w:vAlign w:val="center"/>
          </w:tcPr>
          <w:p w14:paraId="5AC436D7" w14:textId="77777777" w:rsidR="00E42B18" w:rsidRDefault="009629C4">
            <w:pPr>
              <w:pStyle w:val="P68B1DB1-Normal121"/>
              <w:spacing w:after="0" w:line="240" w:lineRule="auto"/>
              <w:rPr>
                <w:noProof/>
              </w:rPr>
            </w:pPr>
            <w:r>
              <w:rPr>
                <w:noProof/>
              </w:rPr>
              <w:t>Investointi 1.3: Keskitason terveydenhuollon ja siihen liittyvien palvelujen (yhteisösairaalat) vahvistaminen</w:t>
            </w:r>
          </w:p>
        </w:tc>
        <w:tc>
          <w:tcPr>
            <w:tcW w:w="1170" w:type="dxa"/>
            <w:shd w:val="clear" w:color="auto" w:fill="C6EFCE"/>
            <w:tcMar>
              <w:left w:w="108" w:type="dxa"/>
              <w:right w:w="108" w:type="dxa"/>
            </w:tcMar>
            <w:vAlign w:val="center"/>
          </w:tcPr>
          <w:p w14:paraId="3478C5D3" w14:textId="77777777" w:rsidR="00E42B18" w:rsidRDefault="009629C4">
            <w:pPr>
              <w:pStyle w:val="P68B1DB1-Normal121"/>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184A02D3" w14:textId="633FB64B" w:rsidR="00E42B18" w:rsidRDefault="009629C4">
            <w:pPr>
              <w:pStyle w:val="P68B1DB1-Normal121"/>
              <w:spacing w:after="0" w:line="240" w:lineRule="auto"/>
              <w:rPr>
                <w:noProof/>
              </w:rPr>
            </w:pPr>
            <w:r>
              <w:rPr>
                <w:noProof/>
              </w:rPr>
              <w:t>Instituutioiden kehittämistä koskevan sopimuksen hyväksyminen (Contratto Istituzionale di Sviluppo)</w:t>
            </w:r>
          </w:p>
        </w:tc>
      </w:tr>
      <w:tr w:rsidR="00E42B18" w14:paraId="3F0387CE" w14:textId="77777777">
        <w:trPr>
          <w:trHeight w:val="300"/>
        </w:trPr>
        <w:tc>
          <w:tcPr>
            <w:tcW w:w="1200" w:type="dxa"/>
            <w:shd w:val="clear" w:color="auto" w:fill="C6EFCE"/>
            <w:tcMar>
              <w:left w:w="108" w:type="dxa"/>
              <w:right w:w="108" w:type="dxa"/>
            </w:tcMar>
            <w:vAlign w:val="center"/>
          </w:tcPr>
          <w:p w14:paraId="457F3689" w14:textId="77777777" w:rsidR="00E42B18" w:rsidRDefault="009629C4">
            <w:pPr>
              <w:pStyle w:val="P68B1DB1-Normal121"/>
              <w:spacing w:after="0" w:line="240" w:lineRule="auto"/>
              <w:jc w:val="center"/>
              <w:rPr>
                <w:noProof/>
              </w:rPr>
            </w:pPr>
            <w:r>
              <w:rPr>
                <w:noProof/>
              </w:rPr>
              <w:t>M6C2–5</w:t>
            </w:r>
          </w:p>
        </w:tc>
        <w:tc>
          <w:tcPr>
            <w:tcW w:w="2553" w:type="dxa"/>
            <w:shd w:val="clear" w:color="auto" w:fill="C6EFCE"/>
            <w:tcMar>
              <w:left w:w="108" w:type="dxa"/>
              <w:right w:w="108" w:type="dxa"/>
            </w:tcMar>
            <w:vAlign w:val="center"/>
          </w:tcPr>
          <w:p w14:paraId="3C5BF904" w14:textId="77777777" w:rsidR="00E42B18" w:rsidRDefault="009629C4">
            <w:pPr>
              <w:pStyle w:val="P68B1DB1-Normal123"/>
              <w:spacing w:after="0" w:line="240" w:lineRule="auto"/>
              <w:rPr>
                <w:noProof/>
              </w:rPr>
            </w:pPr>
            <w:r>
              <w:rPr>
                <w:noProof/>
              </w:rPr>
              <w:t>Investointi 1.1: Sairaaloiden teknisten laitteiden digitaalinen päivitys</w:t>
            </w:r>
          </w:p>
        </w:tc>
        <w:tc>
          <w:tcPr>
            <w:tcW w:w="1170" w:type="dxa"/>
            <w:shd w:val="clear" w:color="auto" w:fill="C6EFCE"/>
            <w:tcMar>
              <w:left w:w="108" w:type="dxa"/>
              <w:right w:w="108" w:type="dxa"/>
            </w:tcMar>
            <w:vAlign w:val="center"/>
          </w:tcPr>
          <w:p w14:paraId="2F6CE0BA" w14:textId="77777777" w:rsidR="00E42B18" w:rsidRDefault="009629C4">
            <w:pPr>
              <w:pStyle w:val="P68B1DB1-Normal123"/>
              <w:spacing w:after="0" w:line="240" w:lineRule="auto"/>
              <w:jc w:val="center"/>
              <w:rPr>
                <w:noProof/>
              </w:rPr>
            </w:pPr>
            <w:r>
              <w:rPr>
                <w:noProof/>
              </w:rPr>
              <w:t>Virstanpylväs</w:t>
            </w:r>
          </w:p>
        </w:tc>
        <w:tc>
          <w:tcPr>
            <w:tcW w:w="4435" w:type="dxa"/>
            <w:shd w:val="clear" w:color="auto" w:fill="C6EFCE"/>
            <w:tcMar>
              <w:left w:w="108" w:type="dxa"/>
              <w:right w:w="108" w:type="dxa"/>
            </w:tcMar>
            <w:vAlign w:val="center"/>
          </w:tcPr>
          <w:p w14:paraId="7EF603FA" w14:textId="77777777" w:rsidR="00E42B18" w:rsidRDefault="009629C4">
            <w:pPr>
              <w:pStyle w:val="P68B1DB1-Normal123"/>
              <w:spacing w:after="0" w:line="240" w:lineRule="auto"/>
              <w:rPr>
                <w:noProof/>
              </w:rPr>
            </w:pPr>
            <w:r>
              <w:rPr>
                <w:noProof/>
              </w:rPr>
              <w:t>Instituutioiden kehittämistä koskevan sopimuksen hyväksyminen</w:t>
            </w:r>
          </w:p>
        </w:tc>
      </w:tr>
      <w:tr w:rsidR="00E42B18" w14:paraId="64DF2753" w14:textId="77777777">
        <w:trPr>
          <w:trHeight w:val="300"/>
        </w:trPr>
        <w:tc>
          <w:tcPr>
            <w:tcW w:w="1200" w:type="dxa"/>
            <w:shd w:val="clear" w:color="auto" w:fill="C6EFCE"/>
            <w:tcMar>
              <w:left w:w="108" w:type="dxa"/>
              <w:right w:w="108" w:type="dxa"/>
            </w:tcMar>
            <w:vAlign w:val="center"/>
          </w:tcPr>
          <w:p w14:paraId="057DB897" w14:textId="77777777" w:rsidR="00E42B18" w:rsidRDefault="00E42B18">
            <w:pPr>
              <w:spacing w:after="0" w:line="240" w:lineRule="auto"/>
              <w:jc w:val="center"/>
              <w:rPr>
                <w:rFonts w:ascii="Times New Roman" w:eastAsia="Times New Roman" w:hAnsi="Times New Roman" w:cs="Times New Roman"/>
                <w:noProof/>
              </w:rPr>
            </w:pPr>
          </w:p>
        </w:tc>
        <w:tc>
          <w:tcPr>
            <w:tcW w:w="2553" w:type="dxa"/>
            <w:shd w:val="clear" w:color="auto" w:fill="C6EFCE"/>
            <w:tcMar>
              <w:left w:w="108" w:type="dxa"/>
              <w:right w:w="108" w:type="dxa"/>
            </w:tcMar>
            <w:vAlign w:val="center"/>
          </w:tcPr>
          <w:p w14:paraId="431F28A9" w14:textId="77777777" w:rsidR="00E42B18" w:rsidRDefault="009629C4">
            <w:pPr>
              <w:pStyle w:val="P68B1DB1-Normal121"/>
              <w:spacing w:after="0" w:line="240" w:lineRule="auto"/>
              <w:rPr>
                <w:noProof/>
              </w:rPr>
            </w:pPr>
            <w:r>
              <w:rPr>
                <w:noProof/>
              </w:rPr>
              <w:t xml:space="preserve"> </w:t>
            </w:r>
          </w:p>
        </w:tc>
        <w:tc>
          <w:tcPr>
            <w:tcW w:w="1170" w:type="dxa"/>
            <w:shd w:val="clear" w:color="auto" w:fill="C6EFCE"/>
            <w:tcMar>
              <w:left w:w="108" w:type="dxa"/>
              <w:right w:w="108" w:type="dxa"/>
            </w:tcMar>
            <w:vAlign w:val="center"/>
          </w:tcPr>
          <w:p w14:paraId="1D67B0E4" w14:textId="77777777" w:rsidR="00E42B18" w:rsidRDefault="009629C4">
            <w:pPr>
              <w:pStyle w:val="P68B1DB1-Normal121"/>
              <w:spacing w:after="0" w:line="240" w:lineRule="auto"/>
              <w:jc w:val="center"/>
              <w:rPr>
                <w:noProof/>
              </w:rPr>
            </w:pPr>
            <w:r>
              <w:rPr>
                <w:noProof/>
              </w:rPr>
              <w:t>Maksuerän määrä</w:t>
            </w:r>
          </w:p>
        </w:tc>
        <w:tc>
          <w:tcPr>
            <w:tcW w:w="4435" w:type="dxa"/>
            <w:shd w:val="clear" w:color="auto" w:fill="C6EFCE"/>
            <w:tcMar>
              <w:left w:w="108" w:type="dxa"/>
              <w:right w:w="108" w:type="dxa"/>
            </w:tcMar>
            <w:vAlign w:val="center"/>
          </w:tcPr>
          <w:p w14:paraId="2DF9D7F9"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12643678161</w:t>
            </w:r>
            <w:r>
              <w:rPr>
                <w:noProof/>
                <w:sz w:val="23"/>
                <w:szCs w:val="23"/>
              </w:rPr>
              <w:t xml:space="preserve">  </w:t>
            </w:r>
            <w:r>
              <w:rPr>
                <w:noProof/>
                <w:color w:val="006100"/>
                <w:sz w:val="20"/>
                <w:szCs w:val="20"/>
              </w:rPr>
              <w:t>EUROA</w:t>
            </w:r>
          </w:p>
        </w:tc>
      </w:tr>
    </w:tbl>
    <w:p w14:paraId="5FF47A03" w14:textId="77777777" w:rsidR="00E42B18" w:rsidRDefault="009629C4">
      <w:pPr>
        <w:pStyle w:val="Heading3"/>
        <w:numPr>
          <w:ilvl w:val="1"/>
          <w:numId w:val="179"/>
        </w:numPr>
        <w:tabs>
          <w:tab w:val="clear" w:pos="850"/>
          <w:tab w:val="num" w:pos="1440"/>
        </w:tabs>
        <w:ind w:left="1440" w:hanging="360"/>
        <w:rPr>
          <w:rFonts w:ascii="Times New Roman" w:hAnsi="Times New Roman" w:cs="Times New Roman"/>
          <w:noProof/>
          <w:color w:val="auto"/>
          <w:sz w:val="24"/>
          <w:szCs w:val="24"/>
        </w:rPr>
      </w:pPr>
      <w:r>
        <w:rPr>
          <w:rFonts w:ascii="Times New Roman" w:eastAsia="Times New Roman" w:hAnsi="Times New Roman" w:cs="Times New Roman"/>
          <w:noProof/>
        </w:rPr>
        <w:t xml:space="preserve"> </w:t>
      </w:r>
      <w:r>
        <w:rPr>
          <w:rFonts w:ascii="Times New Roman" w:hAnsi="Times New Roman" w:cs="Times New Roman"/>
          <w:noProof/>
          <w:color w:val="auto"/>
          <w:sz w:val="24"/>
          <w:szCs w:val="24"/>
        </w:rPr>
        <w:t>Kolmas erä (lainatuki):</w:t>
      </w:r>
    </w:p>
    <w:tbl>
      <w:tblPr>
        <w:tblW w:w="9356"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3665"/>
        <w:gridCol w:w="1125"/>
        <w:gridCol w:w="3426"/>
      </w:tblGrid>
      <w:tr w:rsidR="00E42B18" w14:paraId="2DFE4EE3" w14:textId="77777777">
        <w:trPr>
          <w:trHeight w:val="900"/>
          <w:tblHeader/>
        </w:trPr>
        <w:tc>
          <w:tcPr>
            <w:tcW w:w="1140" w:type="dxa"/>
            <w:vMerge w:val="restart"/>
            <w:shd w:val="clear" w:color="auto" w:fill="BDD7EE"/>
            <w:tcMar>
              <w:left w:w="108" w:type="dxa"/>
              <w:right w:w="108" w:type="dxa"/>
            </w:tcMar>
            <w:vAlign w:val="center"/>
          </w:tcPr>
          <w:p w14:paraId="40F99D48" w14:textId="77777777" w:rsidR="00E42B18" w:rsidRDefault="009629C4">
            <w:pPr>
              <w:pStyle w:val="P68B1DB1-Normal120"/>
              <w:spacing w:after="0" w:line="240" w:lineRule="auto"/>
              <w:jc w:val="center"/>
              <w:rPr>
                <w:noProof/>
              </w:rPr>
            </w:pPr>
            <w:r>
              <w:rPr>
                <w:noProof/>
              </w:rPr>
              <w:t>Juokseva numero</w:t>
            </w:r>
          </w:p>
        </w:tc>
        <w:tc>
          <w:tcPr>
            <w:tcW w:w="3665" w:type="dxa"/>
            <w:vMerge w:val="restart"/>
            <w:shd w:val="clear" w:color="auto" w:fill="BDD7EE"/>
            <w:tcMar>
              <w:left w:w="108" w:type="dxa"/>
              <w:right w:w="108" w:type="dxa"/>
            </w:tcMar>
            <w:vAlign w:val="center"/>
          </w:tcPr>
          <w:p w14:paraId="4313A4FA" w14:textId="77777777" w:rsidR="00E42B18" w:rsidRDefault="009629C4">
            <w:pPr>
              <w:pStyle w:val="P68B1DB1-Normal120"/>
              <w:spacing w:after="0" w:line="240" w:lineRule="auto"/>
              <w:jc w:val="center"/>
              <w:rPr>
                <w:noProof/>
              </w:rPr>
            </w:pPr>
            <w:r>
              <w:rPr>
                <w:noProof/>
              </w:rPr>
              <w:t>Toimenpide (uudistus tai investointi)</w:t>
            </w:r>
          </w:p>
        </w:tc>
        <w:tc>
          <w:tcPr>
            <w:tcW w:w="1125" w:type="dxa"/>
            <w:vMerge w:val="restart"/>
            <w:shd w:val="clear" w:color="auto" w:fill="BDD7EE"/>
            <w:tcMar>
              <w:left w:w="108" w:type="dxa"/>
              <w:right w:w="108" w:type="dxa"/>
            </w:tcMar>
            <w:vAlign w:val="center"/>
          </w:tcPr>
          <w:p w14:paraId="63ACF225" w14:textId="77777777" w:rsidR="00E42B18" w:rsidRDefault="009629C4">
            <w:pPr>
              <w:pStyle w:val="P68B1DB1-Normal120"/>
              <w:spacing w:after="0" w:line="240" w:lineRule="auto"/>
              <w:jc w:val="center"/>
              <w:rPr>
                <w:noProof/>
              </w:rPr>
            </w:pPr>
            <w:r>
              <w:rPr>
                <w:noProof/>
              </w:rPr>
              <w:t>Välitavoite/tavoite</w:t>
            </w:r>
          </w:p>
        </w:tc>
        <w:tc>
          <w:tcPr>
            <w:tcW w:w="3426" w:type="dxa"/>
            <w:vMerge w:val="restart"/>
            <w:shd w:val="clear" w:color="auto" w:fill="BDD7EE"/>
            <w:tcMar>
              <w:left w:w="108" w:type="dxa"/>
              <w:right w:w="108" w:type="dxa"/>
            </w:tcMar>
            <w:vAlign w:val="center"/>
          </w:tcPr>
          <w:p w14:paraId="7CD261C9" w14:textId="77777777" w:rsidR="00E42B18" w:rsidRDefault="009629C4">
            <w:pPr>
              <w:pStyle w:val="P68B1DB1-Normal120"/>
              <w:spacing w:after="0" w:line="240" w:lineRule="auto"/>
              <w:jc w:val="center"/>
              <w:rPr>
                <w:noProof/>
              </w:rPr>
            </w:pPr>
            <w:r>
              <w:rPr>
                <w:noProof/>
              </w:rPr>
              <w:t>Nimi</w:t>
            </w:r>
          </w:p>
        </w:tc>
      </w:tr>
      <w:tr w:rsidR="00E42B18" w14:paraId="14D863AC" w14:textId="77777777" w:rsidTr="007F63E0">
        <w:trPr>
          <w:trHeight w:val="253"/>
        </w:trPr>
        <w:tc>
          <w:tcPr>
            <w:tcW w:w="1140" w:type="dxa"/>
            <w:vMerge/>
            <w:vAlign w:val="center"/>
          </w:tcPr>
          <w:p w14:paraId="10251F7A" w14:textId="77777777" w:rsidR="00E42B18" w:rsidRDefault="00E42B18">
            <w:pPr>
              <w:spacing w:after="0" w:line="240" w:lineRule="auto"/>
              <w:jc w:val="center"/>
              <w:rPr>
                <w:rFonts w:ascii="Times New Roman" w:eastAsia="Times New Roman" w:hAnsi="Times New Roman" w:cs="Times New Roman"/>
                <w:noProof/>
              </w:rPr>
            </w:pPr>
          </w:p>
        </w:tc>
        <w:tc>
          <w:tcPr>
            <w:tcW w:w="3665" w:type="dxa"/>
            <w:vMerge/>
            <w:vAlign w:val="center"/>
          </w:tcPr>
          <w:p w14:paraId="7B3549F5" w14:textId="77777777" w:rsidR="00E42B18" w:rsidRDefault="00E42B18">
            <w:pPr>
              <w:spacing w:after="0" w:line="240" w:lineRule="auto"/>
              <w:rPr>
                <w:rFonts w:ascii="Times New Roman" w:eastAsia="Times New Roman" w:hAnsi="Times New Roman" w:cs="Times New Roman"/>
                <w:noProof/>
              </w:rPr>
            </w:pPr>
          </w:p>
        </w:tc>
        <w:tc>
          <w:tcPr>
            <w:tcW w:w="1125" w:type="dxa"/>
            <w:vMerge/>
            <w:vAlign w:val="center"/>
          </w:tcPr>
          <w:p w14:paraId="46633683" w14:textId="77777777" w:rsidR="00E42B18" w:rsidRDefault="00E42B18">
            <w:pPr>
              <w:spacing w:after="0" w:line="240" w:lineRule="auto"/>
              <w:jc w:val="center"/>
              <w:rPr>
                <w:rFonts w:ascii="Times New Roman" w:eastAsia="Times New Roman" w:hAnsi="Times New Roman" w:cs="Times New Roman"/>
                <w:noProof/>
              </w:rPr>
            </w:pPr>
          </w:p>
        </w:tc>
        <w:tc>
          <w:tcPr>
            <w:tcW w:w="3426" w:type="dxa"/>
            <w:vMerge/>
            <w:vAlign w:val="center"/>
          </w:tcPr>
          <w:p w14:paraId="672F18D4" w14:textId="77777777" w:rsidR="00E42B18" w:rsidRDefault="00E42B18">
            <w:pPr>
              <w:spacing w:after="0" w:line="240" w:lineRule="auto"/>
              <w:rPr>
                <w:rFonts w:ascii="Times New Roman" w:eastAsia="Times New Roman" w:hAnsi="Times New Roman" w:cs="Times New Roman"/>
                <w:noProof/>
              </w:rPr>
            </w:pPr>
          </w:p>
        </w:tc>
      </w:tr>
      <w:tr w:rsidR="00E42B18" w14:paraId="0995E2C1" w14:textId="77777777">
        <w:trPr>
          <w:trHeight w:val="300"/>
        </w:trPr>
        <w:tc>
          <w:tcPr>
            <w:tcW w:w="1140" w:type="dxa"/>
            <w:shd w:val="clear" w:color="auto" w:fill="C6EFCE"/>
            <w:tcMar>
              <w:left w:w="108" w:type="dxa"/>
              <w:right w:w="108" w:type="dxa"/>
            </w:tcMar>
            <w:vAlign w:val="center"/>
          </w:tcPr>
          <w:p w14:paraId="4C746B1E" w14:textId="77777777" w:rsidR="00E42B18" w:rsidRDefault="009629C4">
            <w:pPr>
              <w:pStyle w:val="P68B1DB1-Normal121"/>
              <w:spacing w:after="0" w:line="240" w:lineRule="auto"/>
              <w:jc w:val="center"/>
              <w:rPr>
                <w:noProof/>
              </w:rPr>
            </w:pPr>
            <w:r>
              <w:rPr>
                <w:noProof/>
              </w:rPr>
              <w:t>M2C1–18</w:t>
            </w:r>
          </w:p>
        </w:tc>
        <w:tc>
          <w:tcPr>
            <w:tcW w:w="3665" w:type="dxa"/>
            <w:shd w:val="clear" w:color="auto" w:fill="C6EFCE"/>
            <w:tcMar>
              <w:left w:w="108" w:type="dxa"/>
              <w:right w:w="108" w:type="dxa"/>
            </w:tcMar>
            <w:vAlign w:val="center"/>
          </w:tcPr>
          <w:p w14:paraId="293E2921" w14:textId="77777777" w:rsidR="00E42B18" w:rsidRDefault="009629C4">
            <w:pPr>
              <w:pStyle w:val="P68B1DB1-Normal121"/>
              <w:spacing w:after="0" w:line="240" w:lineRule="auto"/>
              <w:rPr>
                <w:noProof/>
              </w:rPr>
            </w:pPr>
            <w:r>
              <w:rPr>
                <w:noProof/>
              </w:rPr>
              <w:t>Investointi 3.1: Vihreät saaret</w:t>
            </w:r>
          </w:p>
        </w:tc>
        <w:tc>
          <w:tcPr>
            <w:tcW w:w="1125" w:type="dxa"/>
            <w:shd w:val="clear" w:color="auto" w:fill="C6EFCE"/>
            <w:tcMar>
              <w:left w:w="108" w:type="dxa"/>
              <w:right w:w="108" w:type="dxa"/>
            </w:tcMar>
            <w:vAlign w:val="center"/>
          </w:tcPr>
          <w:p w14:paraId="50BC988D" w14:textId="77777777" w:rsidR="00E42B18" w:rsidRDefault="009629C4">
            <w:pPr>
              <w:pStyle w:val="P68B1DB1-Normal121"/>
              <w:spacing w:after="0" w:line="240" w:lineRule="auto"/>
              <w:jc w:val="center"/>
              <w:rPr>
                <w:noProof/>
              </w:rPr>
            </w:pPr>
            <w:r>
              <w:rPr>
                <w:noProof/>
              </w:rPr>
              <w:t>Virstanpylväs</w:t>
            </w:r>
          </w:p>
        </w:tc>
        <w:tc>
          <w:tcPr>
            <w:tcW w:w="3426" w:type="dxa"/>
            <w:shd w:val="clear" w:color="auto" w:fill="C6EFCE"/>
            <w:tcMar>
              <w:left w:w="108" w:type="dxa"/>
              <w:right w:w="108" w:type="dxa"/>
            </w:tcMar>
            <w:vAlign w:val="center"/>
          </w:tcPr>
          <w:p w14:paraId="6E353096" w14:textId="77777777" w:rsidR="00E42B18" w:rsidRDefault="009629C4">
            <w:pPr>
              <w:pStyle w:val="P68B1DB1-Normal121"/>
              <w:spacing w:after="0" w:line="240" w:lineRule="auto"/>
              <w:rPr>
                <w:noProof/>
              </w:rPr>
            </w:pPr>
            <w:r>
              <w:rPr>
                <w:noProof/>
              </w:rPr>
              <w:t>Johtaja-asetuksen voimaantulo</w:t>
            </w:r>
          </w:p>
        </w:tc>
      </w:tr>
      <w:tr w:rsidR="00E42B18" w14:paraId="18C8F707" w14:textId="77777777">
        <w:trPr>
          <w:trHeight w:val="300"/>
        </w:trPr>
        <w:tc>
          <w:tcPr>
            <w:tcW w:w="1140" w:type="dxa"/>
            <w:shd w:val="clear" w:color="auto" w:fill="C6EFCE"/>
            <w:tcMar>
              <w:left w:w="108" w:type="dxa"/>
              <w:right w:w="108" w:type="dxa"/>
            </w:tcMar>
            <w:vAlign w:val="center"/>
          </w:tcPr>
          <w:p w14:paraId="5628CE1E" w14:textId="77777777" w:rsidR="00E42B18" w:rsidRDefault="009629C4">
            <w:pPr>
              <w:pStyle w:val="P68B1DB1-Normal121"/>
              <w:spacing w:after="0" w:line="240" w:lineRule="auto"/>
              <w:jc w:val="center"/>
              <w:rPr>
                <w:noProof/>
              </w:rPr>
            </w:pPr>
            <w:r>
              <w:rPr>
                <w:noProof/>
              </w:rPr>
              <w:t>M2C1–20</w:t>
            </w:r>
          </w:p>
        </w:tc>
        <w:tc>
          <w:tcPr>
            <w:tcW w:w="3665" w:type="dxa"/>
            <w:shd w:val="clear" w:color="auto" w:fill="C6EFCE"/>
            <w:tcMar>
              <w:left w:w="108" w:type="dxa"/>
              <w:right w:w="108" w:type="dxa"/>
            </w:tcMar>
            <w:vAlign w:val="center"/>
          </w:tcPr>
          <w:p w14:paraId="76784417" w14:textId="77777777" w:rsidR="00E42B18" w:rsidRDefault="009629C4">
            <w:pPr>
              <w:pStyle w:val="P68B1DB1-Normal121"/>
              <w:spacing w:after="0" w:line="240" w:lineRule="auto"/>
              <w:rPr>
                <w:noProof/>
              </w:rPr>
            </w:pPr>
            <w:r>
              <w:rPr>
                <w:noProof/>
              </w:rPr>
              <w:t>Investointi 3.2: Vihreät yhteisöt</w:t>
            </w:r>
          </w:p>
        </w:tc>
        <w:tc>
          <w:tcPr>
            <w:tcW w:w="1125" w:type="dxa"/>
            <w:shd w:val="clear" w:color="auto" w:fill="C6EFCE"/>
            <w:tcMar>
              <w:left w:w="108" w:type="dxa"/>
              <w:right w:w="108" w:type="dxa"/>
            </w:tcMar>
            <w:vAlign w:val="center"/>
          </w:tcPr>
          <w:p w14:paraId="7ED91578" w14:textId="77777777" w:rsidR="00E42B18" w:rsidRDefault="009629C4">
            <w:pPr>
              <w:pStyle w:val="P68B1DB1-Normal121"/>
              <w:spacing w:after="0" w:line="240" w:lineRule="auto"/>
              <w:jc w:val="center"/>
              <w:rPr>
                <w:noProof/>
              </w:rPr>
            </w:pPr>
            <w:r>
              <w:rPr>
                <w:noProof/>
              </w:rPr>
              <w:t>Virstanpylväs</w:t>
            </w:r>
          </w:p>
        </w:tc>
        <w:tc>
          <w:tcPr>
            <w:tcW w:w="3426" w:type="dxa"/>
            <w:shd w:val="clear" w:color="auto" w:fill="C6EFCE"/>
            <w:tcMar>
              <w:left w:w="108" w:type="dxa"/>
              <w:right w:w="108" w:type="dxa"/>
            </w:tcMar>
            <w:vAlign w:val="center"/>
          </w:tcPr>
          <w:p w14:paraId="6919AB2E" w14:textId="77777777" w:rsidR="00E42B18" w:rsidRDefault="009629C4">
            <w:pPr>
              <w:pStyle w:val="P68B1DB1-Normal121"/>
              <w:spacing w:after="0" w:line="240" w:lineRule="auto"/>
              <w:rPr>
                <w:noProof/>
              </w:rPr>
            </w:pPr>
            <w:r>
              <w:rPr>
                <w:noProof/>
              </w:rPr>
              <w:t>(Kaikkien) vihreiden yhteisöjen valintaa koskevien julkisten hankintasopimusten tekeminen</w:t>
            </w:r>
          </w:p>
        </w:tc>
      </w:tr>
      <w:tr w:rsidR="00E42B18" w14:paraId="4AF1E29F" w14:textId="77777777">
        <w:trPr>
          <w:trHeight w:val="300"/>
        </w:trPr>
        <w:tc>
          <w:tcPr>
            <w:tcW w:w="1140" w:type="dxa"/>
            <w:shd w:val="clear" w:color="auto" w:fill="C6EFCE"/>
            <w:tcMar>
              <w:left w:w="108" w:type="dxa"/>
              <w:right w:w="108" w:type="dxa"/>
            </w:tcMar>
            <w:vAlign w:val="center"/>
          </w:tcPr>
          <w:p w14:paraId="70B98FEC" w14:textId="77777777" w:rsidR="00E42B18" w:rsidRDefault="009629C4">
            <w:pPr>
              <w:pStyle w:val="P68B1DB1-Normal121"/>
              <w:spacing w:after="0" w:line="240" w:lineRule="auto"/>
              <w:jc w:val="center"/>
              <w:rPr>
                <w:noProof/>
              </w:rPr>
            </w:pPr>
            <w:r>
              <w:rPr>
                <w:noProof/>
              </w:rPr>
              <w:t>M5C2–17</w:t>
            </w:r>
          </w:p>
        </w:tc>
        <w:tc>
          <w:tcPr>
            <w:tcW w:w="3665" w:type="dxa"/>
            <w:shd w:val="clear" w:color="auto" w:fill="C6EFCE"/>
            <w:tcMar>
              <w:left w:w="108" w:type="dxa"/>
              <w:right w:w="108" w:type="dxa"/>
            </w:tcMar>
            <w:vAlign w:val="center"/>
          </w:tcPr>
          <w:p w14:paraId="19D33C69" w14:textId="77777777" w:rsidR="00E42B18" w:rsidRDefault="009629C4">
            <w:pPr>
              <w:pStyle w:val="P68B1DB1-Normal121"/>
              <w:spacing w:after="0" w:line="240" w:lineRule="auto"/>
              <w:rPr>
                <w:noProof/>
              </w:rPr>
            </w:pPr>
            <w:r>
              <w:rPr>
                <w:noProof/>
              </w:rPr>
              <w:t>Investointi 5 – Yhdennetyt kaupunkisuunnitelmat – EIP:n rahasto – rahasto</w:t>
            </w:r>
          </w:p>
        </w:tc>
        <w:tc>
          <w:tcPr>
            <w:tcW w:w="1125" w:type="dxa"/>
            <w:shd w:val="clear" w:color="auto" w:fill="C6EFCE"/>
            <w:tcMar>
              <w:left w:w="108" w:type="dxa"/>
              <w:right w:w="108" w:type="dxa"/>
            </w:tcMar>
            <w:vAlign w:val="center"/>
          </w:tcPr>
          <w:p w14:paraId="57C13C5E" w14:textId="77777777" w:rsidR="00E42B18" w:rsidRDefault="009629C4">
            <w:pPr>
              <w:pStyle w:val="P68B1DB1-Normal121"/>
              <w:spacing w:after="0" w:line="240" w:lineRule="auto"/>
              <w:jc w:val="center"/>
              <w:rPr>
                <w:noProof/>
              </w:rPr>
            </w:pPr>
            <w:r>
              <w:rPr>
                <w:noProof/>
              </w:rPr>
              <w:t>Virstanpylväs</w:t>
            </w:r>
          </w:p>
        </w:tc>
        <w:tc>
          <w:tcPr>
            <w:tcW w:w="3426" w:type="dxa"/>
            <w:shd w:val="clear" w:color="auto" w:fill="C6EFCE"/>
            <w:tcMar>
              <w:left w:w="108" w:type="dxa"/>
              <w:right w:w="108" w:type="dxa"/>
            </w:tcMar>
            <w:vAlign w:val="center"/>
          </w:tcPr>
          <w:p w14:paraId="2B35D324" w14:textId="77777777" w:rsidR="00E42B18" w:rsidRDefault="009629C4">
            <w:pPr>
              <w:pStyle w:val="P68B1DB1-Normal121"/>
              <w:spacing w:after="0" w:line="240" w:lineRule="auto"/>
              <w:rPr>
                <w:noProof/>
              </w:rPr>
            </w:pPr>
            <w:r>
              <w:rPr>
                <w:noProof/>
              </w:rPr>
              <w:t>Rahaston sijoitusstrategian hyväksyy valtiovarainministeriö.</w:t>
            </w:r>
          </w:p>
        </w:tc>
      </w:tr>
      <w:tr w:rsidR="00E42B18" w14:paraId="634CE3AE" w14:textId="77777777">
        <w:trPr>
          <w:trHeight w:val="300"/>
        </w:trPr>
        <w:tc>
          <w:tcPr>
            <w:tcW w:w="1140" w:type="dxa"/>
            <w:shd w:val="clear" w:color="auto" w:fill="C6EFCE"/>
            <w:tcMar>
              <w:left w:w="108" w:type="dxa"/>
              <w:right w:w="108" w:type="dxa"/>
            </w:tcMar>
            <w:vAlign w:val="center"/>
          </w:tcPr>
          <w:p w14:paraId="3C8FBFBC" w14:textId="77777777" w:rsidR="00E42B18" w:rsidRDefault="009629C4">
            <w:pPr>
              <w:pStyle w:val="P68B1DB1-Normal121"/>
              <w:spacing w:after="0" w:line="240" w:lineRule="auto"/>
              <w:jc w:val="center"/>
              <w:rPr>
                <w:noProof/>
              </w:rPr>
            </w:pPr>
            <w:r>
              <w:rPr>
                <w:noProof/>
              </w:rPr>
              <w:t>M1C1–123</w:t>
            </w:r>
          </w:p>
        </w:tc>
        <w:tc>
          <w:tcPr>
            <w:tcW w:w="3665" w:type="dxa"/>
            <w:shd w:val="clear" w:color="auto" w:fill="C6EFCE"/>
            <w:tcMar>
              <w:left w:w="108" w:type="dxa"/>
              <w:right w:w="108" w:type="dxa"/>
            </w:tcMar>
            <w:vAlign w:val="center"/>
          </w:tcPr>
          <w:p w14:paraId="71BB5E32" w14:textId="77777777" w:rsidR="00E42B18" w:rsidRDefault="009629C4">
            <w:pPr>
              <w:pStyle w:val="P68B1DB1-Normal121"/>
              <w:spacing w:after="0" w:line="240" w:lineRule="auto"/>
              <w:rPr>
                <w:noProof/>
              </w:rPr>
            </w:pPr>
            <w:r>
              <w:rPr>
                <w:noProof/>
              </w:rPr>
              <w:t>Investointi 1.6.3 – Kansallisen sosiaaliturvalaitoksen (INPS) ja työtapaturmavakuutuslaitoksen (INAIL) digitalisointi</w:t>
            </w:r>
          </w:p>
        </w:tc>
        <w:tc>
          <w:tcPr>
            <w:tcW w:w="1125" w:type="dxa"/>
            <w:shd w:val="clear" w:color="auto" w:fill="C6EFCE"/>
            <w:tcMar>
              <w:left w:w="108" w:type="dxa"/>
              <w:right w:w="108" w:type="dxa"/>
            </w:tcMar>
            <w:vAlign w:val="center"/>
          </w:tcPr>
          <w:p w14:paraId="3C198845" w14:textId="77777777" w:rsidR="00E42B18" w:rsidRDefault="009629C4">
            <w:pPr>
              <w:pStyle w:val="P68B1DB1-Normal121"/>
              <w:spacing w:after="0" w:line="240" w:lineRule="auto"/>
              <w:jc w:val="center"/>
              <w:rPr>
                <w:noProof/>
              </w:rPr>
            </w:pPr>
            <w:r>
              <w:rPr>
                <w:noProof/>
              </w:rPr>
              <w:t>Kohde</w:t>
            </w:r>
          </w:p>
        </w:tc>
        <w:tc>
          <w:tcPr>
            <w:tcW w:w="3426" w:type="dxa"/>
            <w:shd w:val="clear" w:color="auto" w:fill="C6EFCE"/>
            <w:tcMar>
              <w:left w:w="108" w:type="dxa"/>
              <w:right w:w="108" w:type="dxa"/>
            </w:tcMar>
            <w:vAlign w:val="center"/>
          </w:tcPr>
          <w:p w14:paraId="3A8D8C51" w14:textId="77777777" w:rsidR="00E42B18" w:rsidRDefault="009629C4">
            <w:pPr>
              <w:pStyle w:val="P68B1DB1-Normal121"/>
              <w:spacing w:after="0" w:line="240" w:lineRule="auto"/>
              <w:rPr>
                <w:noProof/>
              </w:rPr>
            </w:pPr>
            <w:r>
              <w:rPr>
                <w:noProof/>
              </w:rPr>
              <w:t>INPS – Palvelut/sisältö T1 ”Suunniteltuna klikkaamalla”</w:t>
            </w:r>
          </w:p>
        </w:tc>
      </w:tr>
      <w:tr w:rsidR="00E42B18" w14:paraId="7ACD5CF3" w14:textId="77777777">
        <w:trPr>
          <w:trHeight w:val="300"/>
        </w:trPr>
        <w:tc>
          <w:tcPr>
            <w:tcW w:w="1140" w:type="dxa"/>
            <w:shd w:val="clear" w:color="auto" w:fill="C6EFCE"/>
            <w:tcMar>
              <w:left w:w="108" w:type="dxa"/>
              <w:right w:w="108" w:type="dxa"/>
            </w:tcMar>
            <w:vAlign w:val="center"/>
          </w:tcPr>
          <w:p w14:paraId="17C76567" w14:textId="77777777" w:rsidR="00E42B18" w:rsidRDefault="009629C4">
            <w:pPr>
              <w:pStyle w:val="P68B1DB1-Normal121"/>
              <w:spacing w:after="0" w:line="240" w:lineRule="auto"/>
              <w:jc w:val="center"/>
              <w:rPr>
                <w:noProof/>
              </w:rPr>
            </w:pPr>
            <w:r>
              <w:rPr>
                <w:noProof/>
              </w:rPr>
              <w:t>M1C1–124</w:t>
            </w:r>
          </w:p>
        </w:tc>
        <w:tc>
          <w:tcPr>
            <w:tcW w:w="3665" w:type="dxa"/>
            <w:shd w:val="clear" w:color="auto" w:fill="C6EFCE"/>
            <w:tcMar>
              <w:left w:w="108" w:type="dxa"/>
              <w:right w:w="108" w:type="dxa"/>
            </w:tcMar>
            <w:vAlign w:val="center"/>
          </w:tcPr>
          <w:p w14:paraId="5789D611" w14:textId="77777777" w:rsidR="00E42B18" w:rsidRDefault="009629C4">
            <w:pPr>
              <w:pStyle w:val="P68B1DB1-Normal121"/>
              <w:spacing w:after="0" w:line="240" w:lineRule="auto"/>
              <w:rPr>
                <w:noProof/>
              </w:rPr>
            </w:pPr>
            <w:r>
              <w:rPr>
                <w:noProof/>
              </w:rPr>
              <w:t>Investointi 1.6.3 – Kansallisen sosiaaliturvalaitoksen (INPS) ja työtapaturmavakuutuslaitoksen (INAIL) digitalisointi</w:t>
            </w:r>
          </w:p>
        </w:tc>
        <w:tc>
          <w:tcPr>
            <w:tcW w:w="1125" w:type="dxa"/>
            <w:shd w:val="clear" w:color="auto" w:fill="C6EFCE"/>
            <w:tcMar>
              <w:left w:w="108" w:type="dxa"/>
              <w:right w:w="108" w:type="dxa"/>
            </w:tcMar>
            <w:vAlign w:val="center"/>
          </w:tcPr>
          <w:p w14:paraId="5DE6261C" w14:textId="77777777" w:rsidR="00E42B18" w:rsidRDefault="009629C4">
            <w:pPr>
              <w:pStyle w:val="P68B1DB1-Normal121"/>
              <w:spacing w:after="0" w:line="240" w:lineRule="auto"/>
              <w:jc w:val="center"/>
              <w:rPr>
                <w:noProof/>
              </w:rPr>
            </w:pPr>
            <w:r>
              <w:rPr>
                <w:noProof/>
              </w:rPr>
              <w:t>Kohde</w:t>
            </w:r>
          </w:p>
        </w:tc>
        <w:tc>
          <w:tcPr>
            <w:tcW w:w="3426" w:type="dxa"/>
            <w:shd w:val="clear" w:color="auto" w:fill="C6EFCE"/>
            <w:tcMar>
              <w:left w:w="108" w:type="dxa"/>
              <w:right w:w="108" w:type="dxa"/>
            </w:tcMar>
            <w:vAlign w:val="center"/>
          </w:tcPr>
          <w:p w14:paraId="6150FB81" w14:textId="77777777" w:rsidR="00E42B18" w:rsidRDefault="009629C4">
            <w:pPr>
              <w:pStyle w:val="P68B1DB1-Normal121"/>
              <w:spacing w:after="0" w:line="240" w:lineRule="auto"/>
              <w:rPr>
                <w:noProof/>
              </w:rPr>
            </w:pPr>
            <w:r>
              <w:rPr>
                <w:noProof/>
              </w:rPr>
              <w:t>INPS – työntekijät, joilla on paremmat tieto- ja viestintätekniikan taidot T1</w:t>
            </w:r>
          </w:p>
        </w:tc>
      </w:tr>
      <w:tr w:rsidR="00E42B18" w14:paraId="6EAB0752" w14:textId="77777777">
        <w:trPr>
          <w:trHeight w:val="300"/>
        </w:trPr>
        <w:tc>
          <w:tcPr>
            <w:tcW w:w="1140" w:type="dxa"/>
            <w:shd w:val="clear" w:color="auto" w:fill="C6EFCE"/>
            <w:tcMar>
              <w:left w:w="108" w:type="dxa"/>
              <w:right w:w="108" w:type="dxa"/>
            </w:tcMar>
            <w:vAlign w:val="center"/>
          </w:tcPr>
          <w:p w14:paraId="3373D55B" w14:textId="77777777" w:rsidR="00E42B18" w:rsidRDefault="009629C4">
            <w:pPr>
              <w:pStyle w:val="P68B1DB1-Normal121"/>
              <w:spacing w:after="0" w:line="240" w:lineRule="auto"/>
              <w:jc w:val="center"/>
              <w:rPr>
                <w:noProof/>
              </w:rPr>
            </w:pPr>
            <w:r>
              <w:rPr>
                <w:noProof/>
              </w:rPr>
              <w:t>M1C3–30</w:t>
            </w:r>
          </w:p>
        </w:tc>
        <w:tc>
          <w:tcPr>
            <w:tcW w:w="3665" w:type="dxa"/>
            <w:shd w:val="clear" w:color="auto" w:fill="C6EFCE"/>
            <w:tcMar>
              <w:left w:w="108" w:type="dxa"/>
              <w:right w:w="108" w:type="dxa"/>
            </w:tcMar>
            <w:vAlign w:val="center"/>
          </w:tcPr>
          <w:p w14:paraId="7DCCE04B" w14:textId="77777777" w:rsidR="00E42B18" w:rsidRDefault="009629C4">
            <w:pPr>
              <w:pStyle w:val="P68B1DB1-Normal121"/>
              <w:spacing w:after="0" w:line="240" w:lineRule="auto"/>
              <w:rPr>
                <w:noProof/>
              </w:rPr>
            </w:pPr>
            <w:r>
              <w:rPr>
                <w:noProof/>
              </w:rPr>
              <w:t>Investointi 4.2:  Matkailualan yritysten kilpailukykyyn tarkoitetut rahastot</w:t>
            </w:r>
          </w:p>
        </w:tc>
        <w:tc>
          <w:tcPr>
            <w:tcW w:w="1125" w:type="dxa"/>
            <w:shd w:val="clear" w:color="auto" w:fill="C6EFCE"/>
            <w:tcMar>
              <w:left w:w="108" w:type="dxa"/>
              <w:right w:w="108" w:type="dxa"/>
            </w:tcMar>
            <w:vAlign w:val="center"/>
          </w:tcPr>
          <w:p w14:paraId="37C58E17" w14:textId="77777777" w:rsidR="00E42B18" w:rsidRDefault="009629C4">
            <w:pPr>
              <w:pStyle w:val="P68B1DB1-Normal121"/>
              <w:spacing w:after="0" w:line="240" w:lineRule="auto"/>
              <w:jc w:val="center"/>
              <w:rPr>
                <w:noProof/>
              </w:rPr>
            </w:pPr>
            <w:r>
              <w:rPr>
                <w:noProof/>
              </w:rPr>
              <w:t>Kohde</w:t>
            </w:r>
          </w:p>
        </w:tc>
        <w:tc>
          <w:tcPr>
            <w:tcW w:w="3426" w:type="dxa"/>
            <w:shd w:val="clear" w:color="auto" w:fill="C6EFCE"/>
            <w:tcMar>
              <w:left w:w="108" w:type="dxa"/>
              <w:right w:w="108" w:type="dxa"/>
            </w:tcMar>
            <w:vAlign w:val="center"/>
          </w:tcPr>
          <w:p w14:paraId="30E8D11D" w14:textId="77777777" w:rsidR="00E42B18" w:rsidRDefault="009629C4">
            <w:pPr>
              <w:pStyle w:val="P68B1DB1-Normal8"/>
              <w:spacing w:after="0" w:line="240" w:lineRule="auto"/>
              <w:rPr>
                <w:noProof/>
              </w:rPr>
            </w:pPr>
            <w:r>
              <w:rPr>
                <w:noProof/>
                <w:color w:val="006100"/>
                <w:sz w:val="20"/>
                <w:szCs w:val="20"/>
              </w:rPr>
              <w:t>Euroopan investointipankin temaattiset rahastot: Rahastoon maksettiin yhteensä 350000000 euroa.</w:t>
            </w:r>
            <w:r>
              <w:rPr>
                <w:noProof/>
                <w:sz w:val="23"/>
                <w:szCs w:val="23"/>
              </w:rPr>
              <w:t xml:space="preserve"> </w:t>
            </w:r>
          </w:p>
        </w:tc>
      </w:tr>
      <w:tr w:rsidR="00E42B18" w14:paraId="6B24EC1D" w14:textId="77777777">
        <w:trPr>
          <w:trHeight w:val="300"/>
        </w:trPr>
        <w:tc>
          <w:tcPr>
            <w:tcW w:w="1140" w:type="dxa"/>
            <w:shd w:val="clear" w:color="auto" w:fill="C6EFCE"/>
            <w:tcMar>
              <w:left w:w="108" w:type="dxa"/>
              <w:right w:w="108" w:type="dxa"/>
            </w:tcMar>
            <w:vAlign w:val="center"/>
          </w:tcPr>
          <w:p w14:paraId="3244C110" w14:textId="77777777" w:rsidR="00E42B18" w:rsidRDefault="009629C4">
            <w:pPr>
              <w:pStyle w:val="P68B1DB1-Normal121"/>
              <w:spacing w:after="0" w:line="240" w:lineRule="auto"/>
              <w:jc w:val="center"/>
              <w:rPr>
                <w:noProof/>
              </w:rPr>
            </w:pPr>
            <w:r>
              <w:rPr>
                <w:noProof/>
              </w:rPr>
              <w:t>M1C3–31</w:t>
            </w:r>
          </w:p>
        </w:tc>
        <w:tc>
          <w:tcPr>
            <w:tcW w:w="3665" w:type="dxa"/>
            <w:shd w:val="clear" w:color="auto" w:fill="C6EFCE"/>
            <w:tcMar>
              <w:left w:w="108" w:type="dxa"/>
              <w:right w:w="108" w:type="dxa"/>
            </w:tcMar>
            <w:vAlign w:val="center"/>
          </w:tcPr>
          <w:p w14:paraId="12AF486D" w14:textId="77777777" w:rsidR="00E42B18" w:rsidRDefault="009629C4">
            <w:pPr>
              <w:pStyle w:val="P68B1DB1-Normal121"/>
              <w:spacing w:after="0" w:line="240" w:lineRule="auto"/>
              <w:rPr>
                <w:noProof/>
              </w:rPr>
            </w:pPr>
            <w:r>
              <w:rPr>
                <w:noProof/>
              </w:rPr>
              <w:t>Investointi 4.2:  Matkailualan yritysten kilpailukykyyn tarkoitetut rahastot</w:t>
            </w:r>
          </w:p>
        </w:tc>
        <w:tc>
          <w:tcPr>
            <w:tcW w:w="1125" w:type="dxa"/>
            <w:shd w:val="clear" w:color="auto" w:fill="C6EFCE"/>
            <w:tcMar>
              <w:left w:w="108" w:type="dxa"/>
              <w:right w:w="108" w:type="dxa"/>
            </w:tcMar>
            <w:vAlign w:val="center"/>
          </w:tcPr>
          <w:p w14:paraId="697A2741" w14:textId="77777777" w:rsidR="00E42B18" w:rsidRDefault="009629C4">
            <w:pPr>
              <w:pStyle w:val="P68B1DB1-Normal121"/>
              <w:spacing w:after="0" w:line="240" w:lineRule="auto"/>
              <w:jc w:val="center"/>
              <w:rPr>
                <w:noProof/>
              </w:rPr>
            </w:pPr>
            <w:r>
              <w:rPr>
                <w:noProof/>
              </w:rPr>
              <w:t>Kohde</w:t>
            </w:r>
          </w:p>
        </w:tc>
        <w:tc>
          <w:tcPr>
            <w:tcW w:w="3426" w:type="dxa"/>
            <w:shd w:val="clear" w:color="auto" w:fill="C6EFCE"/>
            <w:tcMar>
              <w:left w:w="108" w:type="dxa"/>
              <w:right w:w="108" w:type="dxa"/>
            </w:tcMar>
            <w:vAlign w:val="center"/>
          </w:tcPr>
          <w:p w14:paraId="0E40E885" w14:textId="77777777" w:rsidR="00E42B18" w:rsidRDefault="009629C4">
            <w:pPr>
              <w:pStyle w:val="P68B1DB1-Normal8"/>
              <w:spacing w:after="0" w:line="240" w:lineRule="auto"/>
              <w:rPr>
                <w:noProof/>
              </w:rPr>
            </w:pPr>
            <w:r>
              <w:rPr>
                <w:noProof/>
                <w:color w:val="006100"/>
                <w:sz w:val="20"/>
                <w:szCs w:val="20"/>
              </w:rPr>
              <w:t>Kansallinen matkailurahasto: Rahastoon maksetaan yhteensä 150000000</w:t>
            </w:r>
            <w:r>
              <w:rPr>
                <w:noProof/>
                <w:sz w:val="23"/>
                <w:szCs w:val="23"/>
              </w:rPr>
              <w:t xml:space="preserve"> </w:t>
            </w:r>
            <w:r>
              <w:rPr>
                <w:noProof/>
                <w:color w:val="006100"/>
                <w:sz w:val="20"/>
                <w:szCs w:val="20"/>
              </w:rPr>
              <w:t>euroa</w:t>
            </w:r>
            <w:r>
              <w:rPr>
                <w:noProof/>
                <w:sz w:val="23"/>
                <w:szCs w:val="23"/>
              </w:rPr>
              <w:t xml:space="preserve"> </w:t>
            </w:r>
            <w:r>
              <w:rPr>
                <w:noProof/>
                <w:color w:val="006100"/>
                <w:sz w:val="20"/>
                <w:szCs w:val="20"/>
              </w:rPr>
              <w:t>pääomatukea.</w:t>
            </w:r>
          </w:p>
        </w:tc>
      </w:tr>
      <w:tr w:rsidR="00E42B18" w14:paraId="68573C68" w14:textId="77777777">
        <w:trPr>
          <w:trHeight w:val="300"/>
        </w:trPr>
        <w:tc>
          <w:tcPr>
            <w:tcW w:w="1140" w:type="dxa"/>
            <w:shd w:val="clear" w:color="auto" w:fill="C6EFCE"/>
            <w:tcMar>
              <w:left w:w="108" w:type="dxa"/>
              <w:right w:w="108" w:type="dxa"/>
            </w:tcMar>
            <w:vAlign w:val="center"/>
          </w:tcPr>
          <w:p w14:paraId="0282FE6A" w14:textId="77777777" w:rsidR="00E42B18" w:rsidRDefault="009629C4">
            <w:pPr>
              <w:pStyle w:val="P68B1DB1-Normal121"/>
              <w:spacing w:after="0" w:line="240" w:lineRule="auto"/>
              <w:jc w:val="center"/>
              <w:rPr>
                <w:noProof/>
              </w:rPr>
            </w:pPr>
            <w:r>
              <w:rPr>
                <w:noProof/>
              </w:rPr>
              <w:t>M2C3–9</w:t>
            </w:r>
          </w:p>
        </w:tc>
        <w:tc>
          <w:tcPr>
            <w:tcW w:w="3665" w:type="dxa"/>
            <w:shd w:val="clear" w:color="auto" w:fill="C6EFCE"/>
            <w:tcMar>
              <w:left w:w="108" w:type="dxa"/>
              <w:right w:w="108" w:type="dxa"/>
            </w:tcMar>
            <w:vAlign w:val="center"/>
          </w:tcPr>
          <w:p w14:paraId="7666CEF1" w14:textId="77777777" w:rsidR="00E42B18" w:rsidRDefault="009629C4">
            <w:pPr>
              <w:pStyle w:val="P68B1DB1-Normal121"/>
              <w:spacing w:after="0" w:line="240" w:lineRule="auto"/>
              <w:rPr>
                <w:noProof/>
              </w:rPr>
            </w:pPr>
            <w:r>
              <w:rPr>
                <w:noProof/>
              </w:rPr>
              <w:t>Investointi 3.1: Tehokkaan kaukolämmön edistäminen</w:t>
            </w:r>
          </w:p>
        </w:tc>
        <w:tc>
          <w:tcPr>
            <w:tcW w:w="1125" w:type="dxa"/>
            <w:shd w:val="clear" w:color="auto" w:fill="C6EFCE"/>
            <w:tcMar>
              <w:left w:w="108" w:type="dxa"/>
              <w:right w:w="108" w:type="dxa"/>
            </w:tcMar>
            <w:vAlign w:val="center"/>
          </w:tcPr>
          <w:p w14:paraId="611DFAB9" w14:textId="77777777" w:rsidR="00E42B18" w:rsidRDefault="009629C4">
            <w:pPr>
              <w:pStyle w:val="P68B1DB1-Normal121"/>
              <w:spacing w:after="0" w:line="240" w:lineRule="auto"/>
              <w:jc w:val="center"/>
              <w:rPr>
                <w:noProof/>
              </w:rPr>
            </w:pPr>
            <w:r>
              <w:rPr>
                <w:noProof/>
              </w:rPr>
              <w:t>Virstanpylväs</w:t>
            </w:r>
          </w:p>
        </w:tc>
        <w:tc>
          <w:tcPr>
            <w:tcW w:w="3426" w:type="dxa"/>
            <w:shd w:val="clear" w:color="auto" w:fill="C6EFCE"/>
            <w:tcMar>
              <w:left w:w="108" w:type="dxa"/>
              <w:right w:w="108" w:type="dxa"/>
            </w:tcMar>
            <w:vAlign w:val="center"/>
          </w:tcPr>
          <w:p w14:paraId="56286FD6" w14:textId="77777777" w:rsidR="00E42B18" w:rsidRDefault="009629C4">
            <w:pPr>
              <w:pStyle w:val="P68B1DB1-Normal121"/>
              <w:spacing w:after="0" w:line="240" w:lineRule="auto"/>
              <w:rPr>
                <w:noProof/>
              </w:rPr>
            </w:pPr>
            <w:r>
              <w:rPr>
                <w:noProof/>
              </w:rPr>
              <w:t xml:space="preserve">Ekologisesta siirtymästä vastaava ministeriö tekee lämmitysverkkojen parantamista koskevat sopimukset julkisen tarjouskilpailun perusteella. </w:t>
            </w:r>
          </w:p>
        </w:tc>
      </w:tr>
      <w:tr w:rsidR="00E42B18" w14:paraId="32C6BCA9" w14:textId="77777777">
        <w:trPr>
          <w:trHeight w:val="300"/>
        </w:trPr>
        <w:tc>
          <w:tcPr>
            <w:tcW w:w="1140" w:type="dxa"/>
            <w:shd w:val="clear" w:color="auto" w:fill="C6EFCE"/>
            <w:tcMar>
              <w:left w:w="108" w:type="dxa"/>
              <w:right w:w="108" w:type="dxa"/>
            </w:tcMar>
            <w:vAlign w:val="center"/>
          </w:tcPr>
          <w:p w14:paraId="75B54F8C" w14:textId="77777777" w:rsidR="00E42B18" w:rsidRDefault="009629C4">
            <w:pPr>
              <w:pStyle w:val="P68B1DB1-Normal121"/>
              <w:spacing w:after="0" w:line="240" w:lineRule="auto"/>
              <w:jc w:val="center"/>
              <w:rPr>
                <w:noProof/>
              </w:rPr>
            </w:pPr>
            <w:r>
              <w:rPr>
                <w:noProof/>
              </w:rPr>
              <w:t>M2C4–19</w:t>
            </w:r>
          </w:p>
        </w:tc>
        <w:tc>
          <w:tcPr>
            <w:tcW w:w="3665" w:type="dxa"/>
            <w:shd w:val="clear" w:color="auto" w:fill="C6EFCE"/>
            <w:tcMar>
              <w:left w:w="108" w:type="dxa"/>
              <w:right w:w="108" w:type="dxa"/>
            </w:tcMar>
            <w:vAlign w:val="center"/>
          </w:tcPr>
          <w:p w14:paraId="47B9B208" w14:textId="77777777" w:rsidR="00E42B18" w:rsidRDefault="009629C4">
            <w:pPr>
              <w:pStyle w:val="P68B1DB1-Normal121"/>
              <w:spacing w:after="0" w:line="240" w:lineRule="auto"/>
              <w:rPr>
                <w:noProof/>
              </w:rPr>
            </w:pPr>
            <w:r>
              <w:rPr>
                <w:noProof/>
              </w:rPr>
              <w:t>Sijoittaminen. 3.1: Kaupunkien ja niiden lähialueiden metsien suojelu ja parantaminen</w:t>
            </w:r>
          </w:p>
        </w:tc>
        <w:tc>
          <w:tcPr>
            <w:tcW w:w="1125" w:type="dxa"/>
            <w:shd w:val="clear" w:color="auto" w:fill="C6EFCE"/>
            <w:tcMar>
              <w:left w:w="108" w:type="dxa"/>
              <w:right w:w="108" w:type="dxa"/>
            </w:tcMar>
            <w:vAlign w:val="center"/>
          </w:tcPr>
          <w:p w14:paraId="39EFC6A1" w14:textId="77777777" w:rsidR="00E42B18" w:rsidRDefault="009629C4">
            <w:pPr>
              <w:pStyle w:val="P68B1DB1-Normal121"/>
              <w:spacing w:after="0" w:line="240" w:lineRule="auto"/>
              <w:jc w:val="center"/>
              <w:rPr>
                <w:noProof/>
              </w:rPr>
            </w:pPr>
            <w:r>
              <w:rPr>
                <w:noProof/>
              </w:rPr>
              <w:t>Kohde</w:t>
            </w:r>
          </w:p>
        </w:tc>
        <w:tc>
          <w:tcPr>
            <w:tcW w:w="3426" w:type="dxa"/>
            <w:shd w:val="clear" w:color="auto" w:fill="C6EFCE"/>
            <w:tcMar>
              <w:left w:w="108" w:type="dxa"/>
              <w:right w:w="108" w:type="dxa"/>
            </w:tcMar>
            <w:vAlign w:val="center"/>
          </w:tcPr>
          <w:p w14:paraId="3EA3F3A4" w14:textId="77777777" w:rsidR="00E42B18" w:rsidRDefault="009629C4">
            <w:pPr>
              <w:pStyle w:val="P68B1DB1-Normal121"/>
              <w:spacing w:after="0" w:line="240" w:lineRule="auto"/>
              <w:rPr>
                <w:noProof/>
              </w:rPr>
            </w:pPr>
            <w:r>
              <w:rPr>
                <w:noProof/>
              </w:rPr>
              <w:t>Kasvipuut kaupunkien ja niiden lähialueiden viheralueiden T1 suojeluun ja hyödyntämiseen</w:t>
            </w:r>
          </w:p>
        </w:tc>
      </w:tr>
      <w:tr w:rsidR="00E42B18" w14:paraId="33800F84" w14:textId="77777777">
        <w:trPr>
          <w:trHeight w:val="300"/>
        </w:trPr>
        <w:tc>
          <w:tcPr>
            <w:tcW w:w="1140" w:type="dxa"/>
            <w:shd w:val="clear" w:color="auto" w:fill="C6EFCE"/>
            <w:tcMar>
              <w:left w:w="108" w:type="dxa"/>
              <w:right w:w="108" w:type="dxa"/>
            </w:tcMar>
            <w:vAlign w:val="center"/>
          </w:tcPr>
          <w:p w14:paraId="0D407052" w14:textId="77777777" w:rsidR="00E42B18" w:rsidRDefault="009629C4">
            <w:pPr>
              <w:pStyle w:val="P68B1DB1-Normal121"/>
              <w:spacing w:after="0" w:line="240" w:lineRule="auto"/>
              <w:jc w:val="center"/>
              <w:rPr>
                <w:noProof/>
              </w:rPr>
            </w:pPr>
            <w:r>
              <w:rPr>
                <w:noProof/>
              </w:rPr>
              <w:t>M2C4–24</w:t>
            </w:r>
          </w:p>
        </w:tc>
        <w:tc>
          <w:tcPr>
            <w:tcW w:w="3665" w:type="dxa"/>
            <w:shd w:val="clear" w:color="auto" w:fill="C6EFCE"/>
            <w:tcMar>
              <w:left w:w="108" w:type="dxa"/>
              <w:right w:w="108" w:type="dxa"/>
            </w:tcMar>
            <w:vAlign w:val="center"/>
          </w:tcPr>
          <w:p w14:paraId="7C21B3DB" w14:textId="77777777" w:rsidR="00E42B18" w:rsidRDefault="009629C4">
            <w:pPr>
              <w:pStyle w:val="P68B1DB1-Normal121"/>
              <w:spacing w:after="0" w:line="240" w:lineRule="auto"/>
              <w:rPr>
                <w:noProof/>
              </w:rPr>
            </w:pPr>
            <w:r>
              <w:rPr>
                <w:noProof/>
              </w:rPr>
              <w:t>Investointi 3.4. Harvinaisten alueiden maaperän kunnostaminen</w:t>
            </w:r>
          </w:p>
        </w:tc>
        <w:tc>
          <w:tcPr>
            <w:tcW w:w="1125" w:type="dxa"/>
            <w:shd w:val="clear" w:color="auto" w:fill="C6EFCE"/>
            <w:tcMar>
              <w:left w:w="108" w:type="dxa"/>
              <w:right w:w="108" w:type="dxa"/>
            </w:tcMar>
            <w:vAlign w:val="center"/>
          </w:tcPr>
          <w:p w14:paraId="33FDCFFF" w14:textId="77777777" w:rsidR="00E42B18" w:rsidRDefault="009629C4">
            <w:pPr>
              <w:pStyle w:val="P68B1DB1-Normal121"/>
              <w:spacing w:after="0" w:line="240" w:lineRule="auto"/>
              <w:jc w:val="center"/>
              <w:rPr>
                <w:noProof/>
              </w:rPr>
            </w:pPr>
            <w:r>
              <w:rPr>
                <w:noProof/>
              </w:rPr>
              <w:t>Virstanpylväs</w:t>
            </w:r>
          </w:p>
        </w:tc>
        <w:tc>
          <w:tcPr>
            <w:tcW w:w="3426" w:type="dxa"/>
            <w:shd w:val="clear" w:color="auto" w:fill="C6EFCE"/>
            <w:tcMar>
              <w:left w:w="108" w:type="dxa"/>
              <w:right w:w="108" w:type="dxa"/>
            </w:tcMar>
            <w:vAlign w:val="center"/>
          </w:tcPr>
          <w:p w14:paraId="2B2131CB" w14:textId="77777777" w:rsidR="00E42B18" w:rsidRDefault="009629C4">
            <w:pPr>
              <w:pStyle w:val="P68B1DB1-Normal121"/>
              <w:spacing w:after="0" w:line="240" w:lineRule="auto"/>
              <w:rPr>
                <w:noProof/>
              </w:rPr>
            </w:pPr>
            <w:r>
              <w:rPr>
                <w:noProof/>
              </w:rPr>
              <w:t>Isännättömien alueiden kunnostamista koskeva oikeudellinen kehys</w:t>
            </w:r>
          </w:p>
        </w:tc>
      </w:tr>
      <w:tr w:rsidR="00E42B18" w14:paraId="38297A94" w14:textId="77777777">
        <w:trPr>
          <w:trHeight w:val="300"/>
        </w:trPr>
        <w:tc>
          <w:tcPr>
            <w:tcW w:w="1140" w:type="dxa"/>
            <w:shd w:val="clear" w:color="auto" w:fill="C6EFCE"/>
            <w:tcMar>
              <w:left w:w="108" w:type="dxa"/>
              <w:right w:w="108" w:type="dxa"/>
            </w:tcMar>
            <w:vAlign w:val="center"/>
          </w:tcPr>
          <w:p w14:paraId="52DFFB77" w14:textId="77777777" w:rsidR="00E42B18" w:rsidRDefault="009629C4">
            <w:pPr>
              <w:pStyle w:val="P68B1DB1-Normal121"/>
              <w:spacing w:after="0" w:line="240" w:lineRule="auto"/>
              <w:jc w:val="center"/>
              <w:rPr>
                <w:noProof/>
              </w:rPr>
            </w:pPr>
            <w:r>
              <w:rPr>
                <w:noProof/>
              </w:rPr>
              <w:t>M3C1–3</w:t>
            </w:r>
          </w:p>
        </w:tc>
        <w:tc>
          <w:tcPr>
            <w:tcW w:w="3665" w:type="dxa"/>
            <w:shd w:val="clear" w:color="auto" w:fill="C6EFCE"/>
            <w:tcMar>
              <w:left w:w="108" w:type="dxa"/>
              <w:right w:w="108" w:type="dxa"/>
            </w:tcMar>
            <w:vAlign w:val="center"/>
          </w:tcPr>
          <w:p w14:paraId="75BEED21" w14:textId="77777777" w:rsidR="00E42B18" w:rsidRDefault="009629C4">
            <w:pPr>
              <w:pStyle w:val="P68B1DB1-Normal121"/>
              <w:spacing w:after="0" w:line="240" w:lineRule="auto"/>
              <w:rPr>
                <w:noProof/>
              </w:rPr>
            </w:pPr>
            <w:r>
              <w:rPr>
                <w:noProof/>
              </w:rPr>
              <w:t>Investointi 1.1 – Suurinopeuksiset rautatieyhteydet etelään matkustajia ja rahtia varten</w:t>
            </w:r>
          </w:p>
        </w:tc>
        <w:tc>
          <w:tcPr>
            <w:tcW w:w="1125" w:type="dxa"/>
            <w:shd w:val="clear" w:color="auto" w:fill="C6EFCE"/>
            <w:tcMar>
              <w:left w:w="108" w:type="dxa"/>
              <w:right w:w="108" w:type="dxa"/>
            </w:tcMar>
            <w:vAlign w:val="center"/>
          </w:tcPr>
          <w:p w14:paraId="389BF038" w14:textId="77777777" w:rsidR="00E42B18" w:rsidRDefault="009629C4">
            <w:pPr>
              <w:pStyle w:val="P68B1DB1-Normal121"/>
              <w:spacing w:after="0" w:line="240" w:lineRule="auto"/>
              <w:jc w:val="center"/>
              <w:rPr>
                <w:noProof/>
              </w:rPr>
            </w:pPr>
            <w:r>
              <w:rPr>
                <w:noProof/>
              </w:rPr>
              <w:t>Virstanpylväs</w:t>
            </w:r>
          </w:p>
        </w:tc>
        <w:tc>
          <w:tcPr>
            <w:tcW w:w="3426" w:type="dxa"/>
            <w:shd w:val="clear" w:color="auto" w:fill="C6EFCE"/>
            <w:tcMar>
              <w:left w:w="108" w:type="dxa"/>
              <w:right w:w="108" w:type="dxa"/>
            </w:tcMar>
            <w:vAlign w:val="center"/>
          </w:tcPr>
          <w:p w14:paraId="515B571B" w14:textId="77777777" w:rsidR="00E42B18" w:rsidRDefault="009629C4">
            <w:pPr>
              <w:pStyle w:val="P68B1DB1-Normal121"/>
              <w:spacing w:after="0" w:line="240" w:lineRule="auto"/>
              <w:rPr>
                <w:noProof/>
              </w:rPr>
            </w:pPr>
            <w:r>
              <w:rPr>
                <w:noProof/>
              </w:rPr>
              <w:t>Sopimuksen tekeminen suurnopeusrautateiden rakentamisesta Napoli-Bari- ja Palermo-Catania-radoille</w:t>
            </w:r>
          </w:p>
        </w:tc>
      </w:tr>
      <w:tr w:rsidR="00E42B18" w14:paraId="04BACB44" w14:textId="77777777">
        <w:trPr>
          <w:trHeight w:val="300"/>
        </w:trPr>
        <w:tc>
          <w:tcPr>
            <w:tcW w:w="1140" w:type="dxa"/>
            <w:shd w:val="clear" w:color="auto" w:fill="C6EFCE"/>
            <w:tcMar>
              <w:left w:w="108" w:type="dxa"/>
              <w:right w:w="108" w:type="dxa"/>
            </w:tcMar>
            <w:vAlign w:val="center"/>
          </w:tcPr>
          <w:p w14:paraId="2A505C74" w14:textId="77777777" w:rsidR="00E42B18" w:rsidRDefault="009629C4">
            <w:pPr>
              <w:pStyle w:val="P68B1DB1-Normal121"/>
              <w:spacing w:after="0" w:line="240" w:lineRule="auto"/>
              <w:jc w:val="center"/>
              <w:rPr>
                <w:noProof/>
              </w:rPr>
            </w:pPr>
            <w:r>
              <w:rPr>
                <w:noProof/>
              </w:rPr>
              <w:t>M3C1–12</w:t>
            </w:r>
          </w:p>
        </w:tc>
        <w:tc>
          <w:tcPr>
            <w:tcW w:w="3665" w:type="dxa"/>
            <w:shd w:val="clear" w:color="auto" w:fill="C6EFCE"/>
            <w:tcMar>
              <w:left w:w="108" w:type="dxa"/>
              <w:right w:w="108" w:type="dxa"/>
            </w:tcMar>
            <w:vAlign w:val="center"/>
          </w:tcPr>
          <w:p w14:paraId="67F79C10" w14:textId="77777777" w:rsidR="00E42B18" w:rsidRDefault="009629C4">
            <w:pPr>
              <w:pStyle w:val="P68B1DB1-Normal121"/>
              <w:spacing w:after="0" w:line="240" w:lineRule="auto"/>
              <w:rPr>
                <w:noProof/>
              </w:rPr>
            </w:pPr>
            <w:r>
              <w:rPr>
                <w:noProof/>
              </w:rPr>
              <w:t>Investointi 1.4 – Euroopan rautatieliikenteen hallintajärjestelmän (ERTMS) käyttöönotto</w:t>
            </w:r>
          </w:p>
        </w:tc>
        <w:tc>
          <w:tcPr>
            <w:tcW w:w="1125" w:type="dxa"/>
            <w:shd w:val="clear" w:color="auto" w:fill="C6EFCE"/>
            <w:tcMar>
              <w:left w:w="108" w:type="dxa"/>
              <w:right w:w="108" w:type="dxa"/>
            </w:tcMar>
            <w:vAlign w:val="center"/>
          </w:tcPr>
          <w:p w14:paraId="212B0E6C" w14:textId="77777777" w:rsidR="00E42B18" w:rsidRDefault="009629C4">
            <w:pPr>
              <w:pStyle w:val="P68B1DB1-Normal121"/>
              <w:spacing w:after="0" w:line="240" w:lineRule="auto"/>
              <w:jc w:val="center"/>
              <w:rPr>
                <w:noProof/>
              </w:rPr>
            </w:pPr>
            <w:r>
              <w:rPr>
                <w:noProof/>
              </w:rPr>
              <w:t>Virstanpylväs</w:t>
            </w:r>
          </w:p>
        </w:tc>
        <w:tc>
          <w:tcPr>
            <w:tcW w:w="3426" w:type="dxa"/>
            <w:shd w:val="clear" w:color="auto" w:fill="C6EFCE"/>
            <w:tcMar>
              <w:left w:w="108" w:type="dxa"/>
              <w:right w:w="108" w:type="dxa"/>
            </w:tcMar>
            <w:vAlign w:val="center"/>
          </w:tcPr>
          <w:p w14:paraId="0BD4FB56" w14:textId="77777777" w:rsidR="00E42B18" w:rsidRDefault="009629C4">
            <w:pPr>
              <w:pStyle w:val="P68B1DB1-Normal121"/>
              <w:spacing w:after="0" w:line="240" w:lineRule="auto"/>
              <w:rPr>
                <w:noProof/>
              </w:rPr>
            </w:pPr>
            <w:r>
              <w:rPr>
                <w:noProof/>
              </w:rPr>
              <w:t>Euroopan rautatieliikenteen hallintajärjestelmää koskevien sopimusten tekeminen</w:t>
            </w:r>
          </w:p>
        </w:tc>
      </w:tr>
      <w:tr w:rsidR="00E42B18" w14:paraId="701D372A" w14:textId="77777777">
        <w:trPr>
          <w:trHeight w:val="300"/>
        </w:trPr>
        <w:tc>
          <w:tcPr>
            <w:tcW w:w="1140" w:type="dxa"/>
            <w:shd w:val="clear" w:color="auto" w:fill="C6EFCE"/>
            <w:tcMar>
              <w:left w:w="108" w:type="dxa"/>
              <w:right w:w="108" w:type="dxa"/>
            </w:tcMar>
            <w:vAlign w:val="center"/>
          </w:tcPr>
          <w:p w14:paraId="0D14ABF3" w14:textId="77777777" w:rsidR="00E42B18" w:rsidRDefault="009629C4">
            <w:pPr>
              <w:pStyle w:val="P68B1DB1-Normal121"/>
              <w:spacing w:after="0" w:line="240" w:lineRule="auto"/>
              <w:jc w:val="center"/>
              <w:rPr>
                <w:noProof/>
              </w:rPr>
            </w:pPr>
            <w:r>
              <w:rPr>
                <w:noProof/>
              </w:rPr>
              <w:t>M3C2–8</w:t>
            </w:r>
          </w:p>
        </w:tc>
        <w:tc>
          <w:tcPr>
            <w:tcW w:w="3665" w:type="dxa"/>
            <w:shd w:val="clear" w:color="auto" w:fill="C6EFCE"/>
            <w:tcMar>
              <w:left w:w="108" w:type="dxa"/>
              <w:right w:w="108" w:type="dxa"/>
            </w:tcMar>
            <w:vAlign w:val="center"/>
          </w:tcPr>
          <w:p w14:paraId="6D153E40" w14:textId="77777777" w:rsidR="00E42B18" w:rsidRDefault="009629C4">
            <w:pPr>
              <w:pStyle w:val="P68B1DB1-Normal121"/>
              <w:spacing w:after="0" w:line="240" w:lineRule="auto"/>
              <w:rPr>
                <w:noProof/>
              </w:rPr>
            </w:pPr>
            <w:r>
              <w:rPr>
                <w:noProof/>
              </w:rPr>
              <w:t>Investointi 1.1: Vihreät satamat: uusiutuvaa energiaa ja energiatehokkuutta koskevat toimet satamissa</w:t>
            </w:r>
          </w:p>
        </w:tc>
        <w:tc>
          <w:tcPr>
            <w:tcW w:w="1125" w:type="dxa"/>
            <w:shd w:val="clear" w:color="auto" w:fill="C6EFCE"/>
            <w:tcMar>
              <w:left w:w="108" w:type="dxa"/>
              <w:right w:w="108" w:type="dxa"/>
            </w:tcMar>
            <w:vAlign w:val="center"/>
          </w:tcPr>
          <w:p w14:paraId="63020732" w14:textId="77777777" w:rsidR="00E42B18" w:rsidRDefault="009629C4">
            <w:pPr>
              <w:pStyle w:val="P68B1DB1-Normal121"/>
              <w:spacing w:after="0" w:line="240" w:lineRule="auto"/>
              <w:jc w:val="center"/>
              <w:rPr>
                <w:noProof/>
              </w:rPr>
            </w:pPr>
            <w:r>
              <w:rPr>
                <w:noProof/>
              </w:rPr>
              <w:t>Kohde</w:t>
            </w:r>
          </w:p>
        </w:tc>
        <w:tc>
          <w:tcPr>
            <w:tcW w:w="3426" w:type="dxa"/>
            <w:shd w:val="clear" w:color="auto" w:fill="C6EFCE"/>
            <w:tcMar>
              <w:left w:w="108" w:type="dxa"/>
              <w:right w:w="108" w:type="dxa"/>
            </w:tcMar>
            <w:vAlign w:val="center"/>
          </w:tcPr>
          <w:p w14:paraId="5FDB035F" w14:textId="77777777" w:rsidR="00E42B18" w:rsidRDefault="009629C4">
            <w:pPr>
              <w:pStyle w:val="P68B1DB1-Normal121"/>
              <w:spacing w:after="0" w:line="240" w:lineRule="auto"/>
              <w:rPr>
                <w:noProof/>
              </w:rPr>
            </w:pPr>
            <w:r>
              <w:rPr>
                <w:noProof/>
              </w:rPr>
              <w:t>Vihreät satamat: rakennusurakoiden luovutus</w:t>
            </w:r>
          </w:p>
        </w:tc>
      </w:tr>
      <w:tr w:rsidR="00E42B18" w14:paraId="52799645" w14:textId="77777777">
        <w:trPr>
          <w:trHeight w:val="300"/>
        </w:trPr>
        <w:tc>
          <w:tcPr>
            <w:tcW w:w="1140" w:type="dxa"/>
            <w:shd w:val="clear" w:color="auto" w:fill="C6EFCE"/>
            <w:tcMar>
              <w:left w:w="108" w:type="dxa"/>
              <w:right w:w="108" w:type="dxa"/>
            </w:tcMar>
            <w:vAlign w:val="center"/>
          </w:tcPr>
          <w:p w14:paraId="2BDA366D" w14:textId="77777777" w:rsidR="00E42B18" w:rsidRDefault="009629C4">
            <w:pPr>
              <w:pStyle w:val="P68B1DB1-Normal121"/>
              <w:spacing w:after="0" w:line="240" w:lineRule="auto"/>
              <w:jc w:val="center"/>
              <w:rPr>
                <w:noProof/>
              </w:rPr>
            </w:pPr>
            <w:r>
              <w:rPr>
                <w:noProof/>
              </w:rPr>
              <w:t>M4C1–29</w:t>
            </w:r>
          </w:p>
        </w:tc>
        <w:tc>
          <w:tcPr>
            <w:tcW w:w="3665" w:type="dxa"/>
            <w:shd w:val="clear" w:color="auto" w:fill="C6EFCE"/>
            <w:tcMar>
              <w:left w:w="108" w:type="dxa"/>
              <w:right w:w="108" w:type="dxa"/>
            </w:tcMar>
            <w:vAlign w:val="center"/>
          </w:tcPr>
          <w:p w14:paraId="6D66CA4A" w14:textId="77777777" w:rsidR="00E42B18" w:rsidRDefault="009629C4">
            <w:pPr>
              <w:pStyle w:val="P68B1DB1-Normal121"/>
              <w:spacing w:after="0" w:line="240" w:lineRule="auto"/>
              <w:rPr>
                <w:noProof/>
              </w:rPr>
            </w:pPr>
            <w:r>
              <w:rPr>
                <w:noProof/>
              </w:rPr>
              <w:t xml:space="preserve">Uudistus 1.7: Opiskelija-asuntoja koskevan sääntelyn uudistaminen ja investoinnit opiskelija-asumiseen </w:t>
            </w:r>
          </w:p>
        </w:tc>
        <w:tc>
          <w:tcPr>
            <w:tcW w:w="1125" w:type="dxa"/>
            <w:shd w:val="clear" w:color="auto" w:fill="C6EFCE"/>
            <w:tcMar>
              <w:left w:w="108" w:type="dxa"/>
              <w:right w:w="108" w:type="dxa"/>
            </w:tcMar>
            <w:vAlign w:val="center"/>
          </w:tcPr>
          <w:p w14:paraId="1B6B58CB" w14:textId="77777777" w:rsidR="00E42B18" w:rsidRDefault="009629C4">
            <w:pPr>
              <w:pStyle w:val="P68B1DB1-Normal121"/>
              <w:spacing w:after="0" w:line="240" w:lineRule="auto"/>
              <w:jc w:val="center"/>
              <w:rPr>
                <w:noProof/>
              </w:rPr>
            </w:pPr>
            <w:r>
              <w:rPr>
                <w:noProof/>
              </w:rPr>
              <w:t>Virstanpylväs</w:t>
            </w:r>
          </w:p>
        </w:tc>
        <w:tc>
          <w:tcPr>
            <w:tcW w:w="3426" w:type="dxa"/>
            <w:shd w:val="clear" w:color="auto" w:fill="C6EFCE"/>
            <w:tcMar>
              <w:left w:w="108" w:type="dxa"/>
              <w:right w:w="108" w:type="dxa"/>
            </w:tcMar>
            <w:vAlign w:val="center"/>
          </w:tcPr>
          <w:p w14:paraId="003A2A68" w14:textId="77777777" w:rsidR="00E42B18" w:rsidRDefault="009629C4">
            <w:pPr>
              <w:pStyle w:val="P68B1DB1-Normal121"/>
              <w:spacing w:after="0" w:line="240" w:lineRule="auto"/>
              <w:rPr>
                <w:noProof/>
              </w:rPr>
            </w:pPr>
            <w:r>
              <w:rPr>
                <w:noProof/>
              </w:rPr>
              <w:t xml:space="preserve">Opiskelija-asuntoja koskevan lainsäädännön uudistus tulee voimaan.    </w:t>
            </w:r>
          </w:p>
        </w:tc>
      </w:tr>
      <w:tr w:rsidR="00E42B18" w14:paraId="6EF6EB48" w14:textId="77777777">
        <w:trPr>
          <w:trHeight w:val="300"/>
        </w:trPr>
        <w:tc>
          <w:tcPr>
            <w:tcW w:w="1140" w:type="dxa"/>
            <w:shd w:val="clear" w:color="auto" w:fill="C6EFCE"/>
            <w:tcMar>
              <w:left w:w="108" w:type="dxa"/>
              <w:right w:w="108" w:type="dxa"/>
            </w:tcMar>
            <w:vAlign w:val="center"/>
          </w:tcPr>
          <w:p w14:paraId="1D86C1A4" w14:textId="77777777" w:rsidR="00E42B18" w:rsidRDefault="009629C4">
            <w:pPr>
              <w:pStyle w:val="P68B1DB1-Normal121"/>
              <w:spacing w:after="0" w:line="240" w:lineRule="auto"/>
              <w:jc w:val="center"/>
              <w:rPr>
                <w:noProof/>
              </w:rPr>
            </w:pPr>
            <w:r>
              <w:rPr>
                <w:noProof/>
              </w:rPr>
              <w:t>M5C2–13</w:t>
            </w:r>
          </w:p>
        </w:tc>
        <w:tc>
          <w:tcPr>
            <w:tcW w:w="3665" w:type="dxa"/>
            <w:shd w:val="clear" w:color="auto" w:fill="C6EFCE"/>
            <w:tcMar>
              <w:left w:w="108" w:type="dxa"/>
              <w:right w:w="108" w:type="dxa"/>
            </w:tcMar>
            <w:vAlign w:val="center"/>
          </w:tcPr>
          <w:p w14:paraId="55BF7A02" w14:textId="77777777" w:rsidR="00E42B18" w:rsidRDefault="009629C4">
            <w:pPr>
              <w:pStyle w:val="P68B1DB1-Normal121"/>
              <w:spacing w:after="0" w:line="240" w:lineRule="auto"/>
              <w:rPr>
                <w:noProof/>
              </w:rPr>
            </w:pPr>
            <w:r>
              <w:rPr>
                <w:noProof/>
              </w:rPr>
              <w:t>Investointi 5 – Yhdennetyt kaupunkisuunnitelmat – yleiset hankkeet</w:t>
            </w:r>
          </w:p>
        </w:tc>
        <w:tc>
          <w:tcPr>
            <w:tcW w:w="1125" w:type="dxa"/>
            <w:shd w:val="clear" w:color="auto" w:fill="C6EFCE"/>
            <w:tcMar>
              <w:left w:w="108" w:type="dxa"/>
              <w:right w:w="108" w:type="dxa"/>
            </w:tcMar>
            <w:vAlign w:val="center"/>
          </w:tcPr>
          <w:p w14:paraId="2DB878DE" w14:textId="77777777" w:rsidR="00E42B18" w:rsidRDefault="009629C4">
            <w:pPr>
              <w:pStyle w:val="P68B1DB1-Normal121"/>
              <w:spacing w:after="0" w:line="240" w:lineRule="auto"/>
              <w:jc w:val="center"/>
              <w:rPr>
                <w:noProof/>
              </w:rPr>
            </w:pPr>
            <w:r>
              <w:rPr>
                <w:noProof/>
              </w:rPr>
              <w:t>Virstanpylväs</w:t>
            </w:r>
          </w:p>
        </w:tc>
        <w:tc>
          <w:tcPr>
            <w:tcW w:w="3426" w:type="dxa"/>
            <w:shd w:val="clear" w:color="auto" w:fill="C6EFCE"/>
            <w:tcMar>
              <w:left w:w="108" w:type="dxa"/>
              <w:right w:w="108" w:type="dxa"/>
            </w:tcMar>
            <w:vAlign w:val="center"/>
          </w:tcPr>
          <w:p w14:paraId="1901A3D5" w14:textId="77777777" w:rsidR="00E42B18" w:rsidRDefault="009629C4">
            <w:pPr>
              <w:pStyle w:val="P68B1DB1-Normal121"/>
              <w:spacing w:after="0" w:line="240" w:lineRule="auto"/>
              <w:rPr>
                <w:noProof/>
              </w:rPr>
            </w:pPr>
            <w:r>
              <w:rPr>
                <w:noProof/>
              </w:rPr>
              <w:t>Suurkaupunkialueiden kaupunkialueiden elvyttämishankkeita koskevan investointisuunnitelman voimaantulo</w:t>
            </w:r>
          </w:p>
        </w:tc>
      </w:tr>
      <w:tr w:rsidR="00E42B18" w14:paraId="350583FE" w14:textId="77777777">
        <w:trPr>
          <w:trHeight w:val="300"/>
        </w:trPr>
        <w:tc>
          <w:tcPr>
            <w:tcW w:w="1140" w:type="dxa"/>
            <w:shd w:val="clear" w:color="auto" w:fill="C6EFCE"/>
            <w:tcMar>
              <w:left w:w="108" w:type="dxa"/>
              <w:right w:w="108" w:type="dxa"/>
            </w:tcMar>
            <w:vAlign w:val="center"/>
          </w:tcPr>
          <w:p w14:paraId="11AD1F3F" w14:textId="77777777" w:rsidR="00E42B18" w:rsidRDefault="009629C4">
            <w:pPr>
              <w:pStyle w:val="P68B1DB1-Normal121"/>
              <w:spacing w:after="0" w:line="240" w:lineRule="auto"/>
              <w:jc w:val="center"/>
              <w:rPr>
                <w:noProof/>
              </w:rPr>
            </w:pPr>
            <w:r>
              <w:rPr>
                <w:noProof/>
              </w:rPr>
              <w:t>M6C2–7</w:t>
            </w:r>
          </w:p>
        </w:tc>
        <w:tc>
          <w:tcPr>
            <w:tcW w:w="3665" w:type="dxa"/>
            <w:shd w:val="clear" w:color="auto" w:fill="C6EFCE"/>
            <w:tcMar>
              <w:left w:w="108" w:type="dxa"/>
              <w:right w:w="108" w:type="dxa"/>
            </w:tcMar>
            <w:vAlign w:val="center"/>
          </w:tcPr>
          <w:p w14:paraId="3994718E" w14:textId="77777777" w:rsidR="00E42B18" w:rsidRDefault="009629C4">
            <w:pPr>
              <w:pStyle w:val="P68B1DB1-Normal123"/>
              <w:spacing w:after="0" w:line="240" w:lineRule="auto"/>
              <w:rPr>
                <w:noProof/>
              </w:rPr>
            </w:pPr>
            <w:r>
              <w:rPr>
                <w:noProof/>
              </w:rPr>
              <w:t>Investointi 1.1: Sairaaloiden teknisten laitteiden digitaalinen päivitys</w:t>
            </w:r>
          </w:p>
        </w:tc>
        <w:tc>
          <w:tcPr>
            <w:tcW w:w="1125" w:type="dxa"/>
            <w:shd w:val="clear" w:color="auto" w:fill="C6EFCE"/>
            <w:tcMar>
              <w:left w:w="108" w:type="dxa"/>
              <w:right w:w="108" w:type="dxa"/>
            </w:tcMar>
            <w:vAlign w:val="center"/>
          </w:tcPr>
          <w:p w14:paraId="0ED51ADF" w14:textId="77777777" w:rsidR="00E42B18" w:rsidRDefault="009629C4">
            <w:pPr>
              <w:pStyle w:val="P68B1DB1-Normal123"/>
              <w:spacing w:after="0" w:line="240" w:lineRule="auto"/>
              <w:jc w:val="center"/>
              <w:rPr>
                <w:noProof/>
              </w:rPr>
            </w:pPr>
            <w:r>
              <w:rPr>
                <w:noProof/>
              </w:rPr>
              <w:t>Virstanpylväs</w:t>
            </w:r>
          </w:p>
        </w:tc>
        <w:tc>
          <w:tcPr>
            <w:tcW w:w="3426" w:type="dxa"/>
            <w:shd w:val="clear" w:color="auto" w:fill="C6EFCE"/>
            <w:tcMar>
              <w:left w:w="108" w:type="dxa"/>
              <w:right w:w="108" w:type="dxa"/>
            </w:tcMar>
            <w:vAlign w:val="center"/>
          </w:tcPr>
          <w:p w14:paraId="20749F07" w14:textId="77777777" w:rsidR="00E42B18" w:rsidRDefault="009629C4">
            <w:pPr>
              <w:pStyle w:val="P68B1DB1-Normal123"/>
              <w:spacing w:after="0" w:line="240" w:lineRule="auto"/>
              <w:rPr>
                <w:noProof/>
              </w:rPr>
            </w:pPr>
            <w:r>
              <w:rPr>
                <w:noProof/>
              </w:rPr>
              <w:t>Kaikkien julkisten hankintasopimusten tekeminen</w:t>
            </w:r>
          </w:p>
        </w:tc>
      </w:tr>
      <w:tr w:rsidR="00E42B18" w14:paraId="7F483249" w14:textId="77777777">
        <w:trPr>
          <w:trHeight w:val="300"/>
        </w:trPr>
        <w:tc>
          <w:tcPr>
            <w:tcW w:w="1140" w:type="dxa"/>
            <w:shd w:val="clear" w:color="auto" w:fill="C6EFCE"/>
            <w:tcMar>
              <w:left w:w="108" w:type="dxa"/>
              <w:right w:w="108" w:type="dxa"/>
            </w:tcMar>
            <w:vAlign w:val="center"/>
          </w:tcPr>
          <w:p w14:paraId="2FA586CF" w14:textId="77777777" w:rsidR="00E42B18" w:rsidRDefault="00E42B18">
            <w:pPr>
              <w:spacing w:after="0" w:line="240" w:lineRule="auto"/>
              <w:jc w:val="center"/>
              <w:rPr>
                <w:rFonts w:ascii="Times New Roman" w:eastAsia="Times New Roman" w:hAnsi="Times New Roman" w:cs="Times New Roman"/>
                <w:noProof/>
              </w:rPr>
            </w:pPr>
          </w:p>
        </w:tc>
        <w:tc>
          <w:tcPr>
            <w:tcW w:w="3665" w:type="dxa"/>
            <w:shd w:val="clear" w:color="auto" w:fill="C6EFCE"/>
            <w:tcMar>
              <w:left w:w="108" w:type="dxa"/>
              <w:right w:w="108" w:type="dxa"/>
            </w:tcMar>
            <w:vAlign w:val="center"/>
          </w:tcPr>
          <w:p w14:paraId="7C317D60" w14:textId="77777777" w:rsidR="00E42B18" w:rsidRDefault="009629C4">
            <w:pPr>
              <w:pStyle w:val="P68B1DB1-Normal121"/>
              <w:spacing w:after="0" w:line="240" w:lineRule="auto"/>
              <w:rPr>
                <w:noProof/>
              </w:rPr>
            </w:pPr>
            <w:r>
              <w:rPr>
                <w:noProof/>
              </w:rPr>
              <w:t xml:space="preserve"> </w:t>
            </w:r>
          </w:p>
        </w:tc>
        <w:tc>
          <w:tcPr>
            <w:tcW w:w="1125" w:type="dxa"/>
            <w:shd w:val="clear" w:color="auto" w:fill="C6EFCE"/>
            <w:tcMar>
              <w:left w:w="108" w:type="dxa"/>
              <w:right w:w="108" w:type="dxa"/>
            </w:tcMar>
            <w:vAlign w:val="center"/>
          </w:tcPr>
          <w:p w14:paraId="11A3C556" w14:textId="77777777" w:rsidR="00E42B18" w:rsidRDefault="009629C4">
            <w:pPr>
              <w:pStyle w:val="P68B1DB1-Normal121"/>
              <w:spacing w:after="0" w:line="240" w:lineRule="auto"/>
              <w:jc w:val="center"/>
              <w:rPr>
                <w:noProof/>
              </w:rPr>
            </w:pPr>
            <w:r>
              <w:rPr>
                <w:noProof/>
              </w:rPr>
              <w:t>Maksuerän määrä</w:t>
            </w:r>
          </w:p>
        </w:tc>
        <w:tc>
          <w:tcPr>
            <w:tcW w:w="3426" w:type="dxa"/>
            <w:shd w:val="clear" w:color="auto" w:fill="C6EFCE"/>
            <w:tcMar>
              <w:left w:w="108" w:type="dxa"/>
              <w:right w:w="108" w:type="dxa"/>
            </w:tcMar>
            <w:vAlign w:val="center"/>
          </w:tcPr>
          <w:p w14:paraId="52D638A7"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9825328389</w:t>
            </w:r>
            <w:r>
              <w:rPr>
                <w:noProof/>
                <w:sz w:val="23"/>
                <w:szCs w:val="23"/>
              </w:rPr>
              <w:t xml:space="preserve">  </w:t>
            </w:r>
            <w:r>
              <w:rPr>
                <w:noProof/>
                <w:color w:val="006100"/>
                <w:sz w:val="20"/>
                <w:szCs w:val="20"/>
              </w:rPr>
              <w:t>EUROA</w:t>
            </w:r>
          </w:p>
        </w:tc>
      </w:tr>
    </w:tbl>
    <w:p w14:paraId="096A9019" w14:textId="64B71E8D" w:rsidR="00E42B18" w:rsidRDefault="009629C4" w:rsidP="007F63E0">
      <w:pPr>
        <w:pStyle w:val="P68B1DB1-Normal8"/>
        <w:spacing w:after="200" w:line="276" w:lineRule="auto"/>
        <w:rPr>
          <w:noProof/>
        </w:rPr>
      </w:pPr>
      <w:r>
        <w:rPr>
          <w:noProof/>
        </w:rPr>
        <w:t xml:space="preserve"> </w:t>
      </w:r>
      <w:r>
        <w:rPr>
          <w:noProof/>
        </w:rPr>
        <w:br w:type="page"/>
      </w:r>
    </w:p>
    <w:p w14:paraId="5826C52E" w14:textId="77777777" w:rsidR="00E42B18" w:rsidRDefault="009629C4">
      <w:pPr>
        <w:pStyle w:val="P68B1DB1-Heading34"/>
        <w:numPr>
          <w:ilvl w:val="1"/>
          <w:numId w:val="179"/>
        </w:numPr>
        <w:tabs>
          <w:tab w:val="clear" w:pos="850"/>
          <w:tab w:val="num" w:pos="1440"/>
        </w:tabs>
        <w:ind w:left="1440" w:hanging="360"/>
        <w:rPr>
          <w:noProof/>
        </w:rPr>
      </w:pPr>
      <w:r>
        <w:rPr>
          <w:noProof/>
        </w:rPr>
        <w:t>Neljäs erä (lainatuki):</w:t>
      </w:r>
    </w:p>
    <w:tbl>
      <w:tblPr>
        <w:tblW w:w="935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0"/>
        <w:gridCol w:w="3171"/>
        <w:gridCol w:w="1230"/>
        <w:gridCol w:w="3666"/>
      </w:tblGrid>
      <w:tr w:rsidR="00E42B18" w14:paraId="624C3D1D" w14:textId="77777777">
        <w:trPr>
          <w:trHeight w:val="900"/>
          <w:tblHeader/>
        </w:trPr>
        <w:tc>
          <w:tcPr>
            <w:tcW w:w="1290" w:type="dxa"/>
            <w:vMerge w:val="restart"/>
            <w:shd w:val="clear" w:color="auto" w:fill="BDD7EE"/>
            <w:tcMar>
              <w:left w:w="108" w:type="dxa"/>
              <w:right w:w="108" w:type="dxa"/>
            </w:tcMar>
            <w:vAlign w:val="center"/>
          </w:tcPr>
          <w:p w14:paraId="62675518" w14:textId="77777777" w:rsidR="00E42B18" w:rsidRDefault="009629C4">
            <w:pPr>
              <w:pStyle w:val="P68B1DB1-Normal120"/>
              <w:spacing w:after="0" w:line="240" w:lineRule="auto"/>
              <w:jc w:val="center"/>
              <w:rPr>
                <w:noProof/>
              </w:rPr>
            </w:pPr>
            <w:r>
              <w:rPr>
                <w:noProof/>
              </w:rPr>
              <w:t>Juokseva numero</w:t>
            </w:r>
          </w:p>
        </w:tc>
        <w:tc>
          <w:tcPr>
            <w:tcW w:w="3171" w:type="dxa"/>
            <w:vMerge w:val="restart"/>
            <w:shd w:val="clear" w:color="auto" w:fill="BDD7EE"/>
            <w:tcMar>
              <w:left w:w="108" w:type="dxa"/>
              <w:right w:w="108" w:type="dxa"/>
            </w:tcMar>
            <w:vAlign w:val="center"/>
          </w:tcPr>
          <w:p w14:paraId="31385C53" w14:textId="77777777" w:rsidR="00E42B18" w:rsidRDefault="009629C4">
            <w:pPr>
              <w:pStyle w:val="P68B1DB1-Normal120"/>
              <w:spacing w:after="0" w:line="240" w:lineRule="auto"/>
              <w:jc w:val="center"/>
              <w:rPr>
                <w:noProof/>
              </w:rPr>
            </w:pPr>
            <w:r>
              <w:rPr>
                <w:noProof/>
              </w:rPr>
              <w:t>Toimenpide (uudistus tai investointi)</w:t>
            </w:r>
          </w:p>
        </w:tc>
        <w:tc>
          <w:tcPr>
            <w:tcW w:w="1230" w:type="dxa"/>
            <w:vMerge w:val="restart"/>
            <w:shd w:val="clear" w:color="auto" w:fill="BDD7EE"/>
            <w:tcMar>
              <w:left w:w="108" w:type="dxa"/>
              <w:right w:w="108" w:type="dxa"/>
            </w:tcMar>
            <w:vAlign w:val="center"/>
          </w:tcPr>
          <w:p w14:paraId="5A3AB77D" w14:textId="77777777" w:rsidR="00E42B18" w:rsidRDefault="009629C4">
            <w:pPr>
              <w:pStyle w:val="P68B1DB1-Normal120"/>
              <w:spacing w:after="0" w:line="240" w:lineRule="auto"/>
              <w:jc w:val="center"/>
              <w:rPr>
                <w:noProof/>
              </w:rPr>
            </w:pPr>
            <w:r>
              <w:rPr>
                <w:noProof/>
              </w:rPr>
              <w:t>Välitavoite/tavoite</w:t>
            </w:r>
          </w:p>
        </w:tc>
        <w:tc>
          <w:tcPr>
            <w:tcW w:w="3666" w:type="dxa"/>
            <w:vMerge w:val="restart"/>
            <w:shd w:val="clear" w:color="auto" w:fill="BDD7EE"/>
            <w:tcMar>
              <w:left w:w="108" w:type="dxa"/>
              <w:right w:w="108" w:type="dxa"/>
            </w:tcMar>
            <w:vAlign w:val="center"/>
          </w:tcPr>
          <w:p w14:paraId="199E205D" w14:textId="77777777" w:rsidR="00E42B18" w:rsidRDefault="009629C4">
            <w:pPr>
              <w:pStyle w:val="P68B1DB1-Normal120"/>
              <w:spacing w:after="0" w:line="240" w:lineRule="auto"/>
              <w:jc w:val="center"/>
              <w:rPr>
                <w:noProof/>
              </w:rPr>
            </w:pPr>
            <w:r>
              <w:rPr>
                <w:noProof/>
              </w:rPr>
              <w:t>Nimi</w:t>
            </w:r>
          </w:p>
        </w:tc>
      </w:tr>
      <w:tr w:rsidR="00E42B18" w14:paraId="6929BF71" w14:textId="77777777">
        <w:trPr>
          <w:trHeight w:val="510"/>
        </w:trPr>
        <w:tc>
          <w:tcPr>
            <w:tcW w:w="1290" w:type="dxa"/>
            <w:vMerge/>
            <w:vAlign w:val="center"/>
          </w:tcPr>
          <w:p w14:paraId="21D17D9E" w14:textId="77777777" w:rsidR="00E42B18" w:rsidRDefault="00E42B18">
            <w:pPr>
              <w:spacing w:after="0" w:line="240" w:lineRule="auto"/>
              <w:jc w:val="center"/>
              <w:rPr>
                <w:rFonts w:ascii="Times New Roman" w:eastAsia="Times New Roman" w:hAnsi="Times New Roman" w:cs="Times New Roman"/>
                <w:noProof/>
              </w:rPr>
            </w:pPr>
          </w:p>
        </w:tc>
        <w:tc>
          <w:tcPr>
            <w:tcW w:w="3171" w:type="dxa"/>
            <w:vMerge/>
            <w:vAlign w:val="center"/>
          </w:tcPr>
          <w:p w14:paraId="7CCCE871" w14:textId="77777777" w:rsidR="00E42B18" w:rsidRDefault="00E42B18">
            <w:pPr>
              <w:spacing w:after="0" w:line="240" w:lineRule="auto"/>
              <w:rPr>
                <w:rFonts w:ascii="Times New Roman" w:eastAsia="Times New Roman" w:hAnsi="Times New Roman" w:cs="Times New Roman"/>
                <w:noProof/>
              </w:rPr>
            </w:pPr>
          </w:p>
        </w:tc>
        <w:tc>
          <w:tcPr>
            <w:tcW w:w="1230" w:type="dxa"/>
            <w:vMerge/>
            <w:vAlign w:val="center"/>
          </w:tcPr>
          <w:p w14:paraId="5BFE3348" w14:textId="77777777" w:rsidR="00E42B18" w:rsidRDefault="00E42B18">
            <w:pPr>
              <w:spacing w:after="0" w:line="240" w:lineRule="auto"/>
              <w:jc w:val="center"/>
              <w:rPr>
                <w:rFonts w:ascii="Times New Roman" w:eastAsia="Times New Roman" w:hAnsi="Times New Roman" w:cs="Times New Roman"/>
                <w:noProof/>
              </w:rPr>
            </w:pPr>
          </w:p>
        </w:tc>
        <w:tc>
          <w:tcPr>
            <w:tcW w:w="3666" w:type="dxa"/>
            <w:vMerge/>
            <w:vAlign w:val="center"/>
          </w:tcPr>
          <w:p w14:paraId="4202314A" w14:textId="77777777" w:rsidR="00E42B18" w:rsidRDefault="00E42B18">
            <w:pPr>
              <w:spacing w:after="0" w:line="240" w:lineRule="auto"/>
              <w:rPr>
                <w:rFonts w:ascii="Times New Roman" w:eastAsia="Times New Roman" w:hAnsi="Times New Roman" w:cs="Times New Roman"/>
                <w:noProof/>
              </w:rPr>
            </w:pPr>
          </w:p>
        </w:tc>
      </w:tr>
      <w:tr w:rsidR="00E42B18" w14:paraId="4FFA4456" w14:textId="77777777">
        <w:trPr>
          <w:trHeight w:val="300"/>
        </w:trPr>
        <w:tc>
          <w:tcPr>
            <w:tcW w:w="1290" w:type="dxa"/>
            <w:shd w:val="clear" w:color="auto" w:fill="C6EFCE"/>
            <w:tcMar>
              <w:left w:w="108" w:type="dxa"/>
              <w:right w:w="108" w:type="dxa"/>
            </w:tcMar>
            <w:vAlign w:val="center"/>
          </w:tcPr>
          <w:p w14:paraId="01A250E9" w14:textId="77777777" w:rsidR="00E42B18" w:rsidRDefault="009629C4">
            <w:pPr>
              <w:pStyle w:val="P68B1DB1-Normal121"/>
              <w:spacing w:after="0" w:line="240" w:lineRule="auto"/>
              <w:jc w:val="center"/>
              <w:rPr>
                <w:noProof/>
              </w:rPr>
            </w:pPr>
            <w:r>
              <w:rPr>
                <w:noProof/>
              </w:rPr>
              <w:t>M1C1–125</w:t>
            </w:r>
          </w:p>
        </w:tc>
        <w:tc>
          <w:tcPr>
            <w:tcW w:w="3171" w:type="dxa"/>
            <w:shd w:val="clear" w:color="auto" w:fill="C6EFCE"/>
            <w:tcMar>
              <w:left w:w="108" w:type="dxa"/>
              <w:right w:w="108" w:type="dxa"/>
            </w:tcMar>
            <w:vAlign w:val="center"/>
          </w:tcPr>
          <w:p w14:paraId="4B069B9D" w14:textId="77777777" w:rsidR="00E42B18" w:rsidRDefault="009629C4">
            <w:pPr>
              <w:pStyle w:val="P68B1DB1-Normal121"/>
              <w:spacing w:after="0" w:line="240" w:lineRule="auto"/>
              <w:rPr>
                <w:noProof/>
              </w:rPr>
            </w:pPr>
            <w:r>
              <w:rPr>
                <w:noProof/>
              </w:rPr>
              <w:t>Investointi 1.2 – Pilvipalvelut paikalliselle palestiinalaishallinnolle</w:t>
            </w:r>
          </w:p>
        </w:tc>
        <w:tc>
          <w:tcPr>
            <w:tcW w:w="1230" w:type="dxa"/>
            <w:shd w:val="clear" w:color="auto" w:fill="C6EFCE"/>
            <w:tcMar>
              <w:left w:w="108" w:type="dxa"/>
              <w:right w:w="108" w:type="dxa"/>
            </w:tcMar>
            <w:vAlign w:val="center"/>
          </w:tcPr>
          <w:p w14:paraId="578CACE1" w14:textId="77777777" w:rsidR="00E42B18" w:rsidRDefault="009629C4">
            <w:pPr>
              <w:pStyle w:val="P68B1DB1-Normal121"/>
              <w:spacing w:after="0" w:line="240" w:lineRule="auto"/>
              <w:jc w:val="center"/>
              <w:rPr>
                <w:noProof/>
              </w:rPr>
            </w:pPr>
            <w:r>
              <w:rPr>
                <w:noProof/>
              </w:rPr>
              <w:t>Virstanpylväs</w:t>
            </w:r>
          </w:p>
        </w:tc>
        <w:tc>
          <w:tcPr>
            <w:tcW w:w="3666" w:type="dxa"/>
            <w:shd w:val="clear" w:color="auto" w:fill="C6EFCE"/>
            <w:tcMar>
              <w:left w:w="108" w:type="dxa"/>
              <w:right w:w="108" w:type="dxa"/>
            </w:tcMar>
            <w:vAlign w:val="center"/>
          </w:tcPr>
          <w:p w14:paraId="4AD106AF" w14:textId="77777777" w:rsidR="00E42B18" w:rsidRDefault="009629C4">
            <w:pPr>
              <w:pStyle w:val="P68B1DB1-Normal121"/>
              <w:spacing w:after="0" w:line="240" w:lineRule="auto"/>
              <w:rPr>
                <w:noProof/>
              </w:rPr>
            </w:pPr>
            <w:r>
              <w:rPr>
                <w:noProof/>
              </w:rPr>
              <w:t>(Kaikkien) julkisten hankintamenettelyjen myöntäminen pilvipalvelujen mahdollistamiseksi paikallishallinnon tarjouskilpailuissa</w:t>
            </w:r>
          </w:p>
        </w:tc>
      </w:tr>
      <w:tr w:rsidR="00E42B18" w14:paraId="17B48D7E" w14:textId="77777777">
        <w:trPr>
          <w:trHeight w:val="300"/>
        </w:trPr>
        <w:tc>
          <w:tcPr>
            <w:tcW w:w="1290" w:type="dxa"/>
            <w:shd w:val="clear" w:color="auto" w:fill="C6EFCE"/>
            <w:tcMar>
              <w:left w:w="108" w:type="dxa"/>
              <w:right w:w="108" w:type="dxa"/>
            </w:tcMar>
            <w:vAlign w:val="center"/>
          </w:tcPr>
          <w:p w14:paraId="4F1C6C23" w14:textId="77777777" w:rsidR="00E42B18" w:rsidRDefault="009629C4">
            <w:pPr>
              <w:pStyle w:val="P68B1DB1-Normal121"/>
              <w:spacing w:after="0" w:line="240" w:lineRule="auto"/>
              <w:jc w:val="center"/>
              <w:rPr>
                <w:noProof/>
              </w:rPr>
            </w:pPr>
            <w:r>
              <w:rPr>
                <w:noProof/>
              </w:rPr>
              <w:t>M1C2–22</w:t>
            </w:r>
          </w:p>
        </w:tc>
        <w:tc>
          <w:tcPr>
            <w:tcW w:w="3171" w:type="dxa"/>
            <w:shd w:val="clear" w:color="auto" w:fill="C6EFCE"/>
            <w:tcMar>
              <w:left w:w="108" w:type="dxa"/>
              <w:right w:w="108" w:type="dxa"/>
            </w:tcMar>
            <w:vAlign w:val="center"/>
          </w:tcPr>
          <w:p w14:paraId="106D4CD7" w14:textId="77777777" w:rsidR="00E42B18" w:rsidRDefault="009629C4">
            <w:pPr>
              <w:pStyle w:val="P68B1DB1-Normal121"/>
              <w:spacing w:after="0" w:line="240" w:lineRule="auto"/>
              <w:rPr>
                <w:noProof/>
              </w:rPr>
            </w:pPr>
            <w:r>
              <w:rPr>
                <w:noProof/>
              </w:rPr>
              <w:t>Investointi 4: Satelliittiteknologia ja avaruustalous</w:t>
            </w:r>
          </w:p>
        </w:tc>
        <w:tc>
          <w:tcPr>
            <w:tcW w:w="1230" w:type="dxa"/>
            <w:shd w:val="clear" w:color="auto" w:fill="C6EFCE"/>
            <w:tcMar>
              <w:left w:w="108" w:type="dxa"/>
              <w:right w:w="108" w:type="dxa"/>
            </w:tcMar>
            <w:vAlign w:val="center"/>
          </w:tcPr>
          <w:p w14:paraId="4C298A94" w14:textId="77777777" w:rsidR="00E42B18" w:rsidRDefault="009629C4">
            <w:pPr>
              <w:pStyle w:val="P68B1DB1-Normal121"/>
              <w:spacing w:after="0" w:line="240" w:lineRule="auto"/>
              <w:jc w:val="center"/>
              <w:rPr>
                <w:noProof/>
              </w:rPr>
            </w:pPr>
            <w:r>
              <w:rPr>
                <w:noProof/>
              </w:rPr>
              <w:t>Virstanpylväs</w:t>
            </w:r>
          </w:p>
        </w:tc>
        <w:tc>
          <w:tcPr>
            <w:tcW w:w="3666" w:type="dxa"/>
            <w:shd w:val="clear" w:color="auto" w:fill="C6EFCE"/>
            <w:tcMar>
              <w:left w:w="108" w:type="dxa"/>
              <w:right w:w="108" w:type="dxa"/>
            </w:tcMar>
            <w:vAlign w:val="center"/>
          </w:tcPr>
          <w:p w14:paraId="70B62BA0" w14:textId="77777777" w:rsidR="00E42B18" w:rsidRDefault="009629C4">
            <w:pPr>
              <w:pStyle w:val="P68B1DB1-Normal121"/>
              <w:spacing w:after="0" w:line="240" w:lineRule="auto"/>
              <w:rPr>
                <w:noProof/>
              </w:rPr>
            </w:pPr>
            <w:r>
              <w:rPr>
                <w:noProof/>
              </w:rPr>
              <w:t>Kaikkien satelliittiteknologia- ja avaruushankkeita koskevien julkisten hankintasopimusten tekeminen</w:t>
            </w:r>
          </w:p>
        </w:tc>
      </w:tr>
      <w:tr w:rsidR="00E42B18" w14:paraId="52C323EC" w14:textId="77777777">
        <w:trPr>
          <w:trHeight w:val="300"/>
        </w:trPr>
        <w:tc>
          <w:tcPr>
            <w:tcW w:w="1290" w:type="dxa"/>
            <w:shd w:val="clear" w:color="auto" w:fill="C6EFCE"/>
            <w:tcMar>
              <w:left w:w="108" w:type="dxa"/>
              <w:right w:w="108" w:type="dxa"/>
            </w:tcMar>
            <w:vAlign w:val="center"/>
          </w:tcPr>
          <w:p w14:paraId="04A4D1B3" w14:textId="77777777" w:rsidR="00E42B18" w:rsidRDefault="009629C4">
            <w:pPr>
              <w:pStyle w:val="P68B1DB1-Normal121"/>
              <w:spacing w:after="0" w:line="240" w:lineRule="auto"/>
              <w:jc w:val="center"/>
              <w:rPr>
                <w:noProof/>
              </w:rPr>
            </w:pPr>
            <w:r>
              <w:rPr>
                <w:noProof/>
              </w:rPr>
              <w:t>M2C2–48</w:t>
            </w:r>
          </w:p>
        </w:tc>
        <w:tc>
          <w:tcPr>
            <w:tcW w:w="3171" w:type="dxa"/>
            <w:shd w:val="clear" w:color="auto" w:fill="C6EFCE"/>
            <w:tcMar>
              <w:left w:w="108" w:type="dxa"/>
              <w:right w:w="108" w:type="dxa"/>
            </w:tcMar>
            <w:vAlign w:val="center"/>
          </w:tcPr>
          <w:p w14:paraId="420D78F9" w14:textId="77777777" w:rsidR="00E42B18" w:rsidRDefault="009629C4">
            <w:pPr>
              <w:pStyle w:val="P68B1DB1-Normal121"/>
              <w:spacing w:after="0" w:line="240" w:lineRule="auto"/>
              <w:rPr>
                <w:noProof/>
              </w:rPr>
            </w:pPr>
            <w:r>
              <w:rPr>
                <w:noProof/>
              </w:rPr>
              <w:t>Investointi 3.1 Vedyn tuotanto ympäristövaurioalueilla (vetylaaksot)</w:t>
            </w:r>
          </w:p>
        </w:tc>
        <w:tc>
          <w:tcPr>
            <w:tcW w:w="1230" w:type="dxa"/>
            <w:shd w:val="clear" w:color="auto" w:fill="C6EFCE"/>
            <w:tcMar>
              <w:left w:w="108" w:type="dxa"/>
              <w:right w:w="108" w:type="dxa"/>
            </w:tcMar>
            <w:vAlign w:val="center"/>
          </w:tcPr>
          <w:p w14:paraId="19E6C419" w14:textId="77777777" w:rsidR="00E42B18" w:rsidRDefault="009629C4">
            <w:pPr>
              <w:pStyle w:val="P68B1DB1-Normal121"/>
              <w:spacing w:after="0" w:line="240" w:lineRule="auto"/>
              <w:jc w:val="center"/>
              <w:rPr>
                <w:noProof/>
              </w:rPr>
            </w:pPr>
            <w:r>
              <w:rPr>
                <w:noProof/>
              </w:rPr>
              <w:t>Virstanpylväs</w:t>
            </w:r>
          </w:p>
        </w:tc>
        <w:tc>
          <w:tcPr>
            <w:tcW w:w="3666" w:type="dxa"/>
            <w:shd w:val="clear" w:color="auto" w:fill="C6EFCE"/>
            <w:tcMar>
              <w:left w:w="108" w:type="dxa"/>
              <w:right w:w="108" w:type="dxa"/>
            </w:tcMar>
            <w:vAlign w:val="center"/>
          </w:tcPr>
          <w:p w14:paraId="44FDAC2D" w14:textId="77777777" w:rsidR="00E42B18" w:rsidRDefault="009629C4">
            <w:pPr>
              <w:pStyle w:val="P68B1DB1-Normal121"/>
              <w:spacing w:after="0" w:line="240" w:lineRule="auto"/>
              <w:rPr>
                <w:noProof/>
              </w:rPr>
            </w:pPr>
            <w:r>
              <w:rPr>
                <w:noProof/>
              </w:rPr>
              <w:t>Vedyn tuotantoa hylättyjen teollisuusalueiden keskuksissa koskevan julkisen hankintasopimuksen tekeminen</w:t>
            </w:r>
          </w:p>
        </w:tc>
      </w:tr>
      <w:tr w:rsidR="00E42B18" w14:paraId="0B4BC7E0" w14:textId="77777777">
        <w:trPr>
          <w:trHeight w:val="300"/>
        </w:trPr>
        <w:tc>
          <w:tcPr>
            <w:tcW w:w="1290" w:type="dxa"/>
            <w:shd w:val="clear" w:color="auto" w:fill="C6EFCE"/>
            <w:tcMar>
              <w:left w:w="108" w:type="dxa"/>
              <w:right w:w="108" w:type="dxa"/>
            </w:tcMar>
            <w:vAlign w:val="center"/>
          </w:tcPr>
          <w:p w14:paraId="2345EBF4" w14:textId="77777777" w:rsidR="00E42B18" w:rsidRDefault="009629C4">
            <w:pPr>
              <w:pStyle w:val="P68B1DB1-Normal121"/>
              <w:spacing w:after="0" w:line="240" w:lineRule="auto"/>
              <w:jc w:val="center"/>
              <w:rPr>
                <w:noProof/>
              </w:rPr>
            </w:pPr>
            <w:r>
              <w:rPr>
                <w:noProof/>
              </w:rPr>
              <w:t>M2C2–50</w:t>
            </w:r>
          </w:p>
        </w:tc>
        <w:tc>
          <w:tcPr>
            <w:tcW w:w="3171" w:type="dxa"/>
            <w:shd w:val="clear" w:color="auto" w:fill="C6EFCE"/>
            <w:tcMar>
              <w:left w:w="108" w:type="dxa"/>
              <w:right w:w="108" w:type="dxa"/>
            </w:tcMar>
            <w:vAlign w:val="center"/>
          </w:tcPr>
          <w:p w14:paraId="4C79B39A" w14:textId="77777777" w:rsidR="00E42B18" w:rsidRDefault="009629C4">
            <w:pPr>
              <w:pStyle w:val="P68B1DB1-Normal121"/>
              <w:spacing w:after="0" w:line="240" w:lineRule="auto"/>
              <w:rPr>
                <w:noProof/>
              </w:rPr>
            </w:pPr>
            <w:r>
              <w:rPr>
                <w:noProof/>
              </w:rPr>
              <w:t>Investointi 3.2 Vetyn käyttö teollisuudessa, jolla päästöjä on vaikea vähentää</w:t>
            </w:r>
          </w:p>
        </w:tc>
        <w:tc>
          <w:tcPr>
            <w:tcW w:w="1230" w:type="dxa"/>
            <w:shd w:val="clear" w:color="auto" w:fill="C6EFCE"/>
            <w:tcMar>
              <w:left w:w="108" w:type="dxa"/>
              <w:right w:w="108" w:type="dxa"/>
            </w:tcMar>
            <w:vAlign w:val="center"/>
          </w:tcPr>
          <w:p w14:paraId="73EBEB1E" w14:textId="77777777" w:rsidR="00E42B18" w:rsidRDefault="009629C4">
            <w:pPr>
              <w:pStyle w:val="P68B1DB1-Normal121"/>
              <w:spacing w:after="0" w:line="240" w:lineRule="auto"/>
              <w:jc w:val="center"/>
              <w:rPr>
                <w:noProof/>
              </w:rPr>
            </w:pPr>
            <w:r>
              <w:rPr>
                <w:noProof/>
              </w:rPr>
              <w:t>Virstanpylväs</w:t>
            </w:r>
          </w:p>
        </w:tc>
        <w:tc>
          <w:tcPr>
            <w:tcW w:w="3666" w:type="dxa"/>
            <w:shd w:val="clear" w:color="auto" w:fill="C6EFCE"/>
            <w:tcMar>
              <w:left w:w="108" w:type="dxa"/>
              <w:right w:w="108" w:type="dxa"/>
            </w:tcMar>
            <w:vAlign w:val="center"/>
          </w:tcPr>
          <w:p w14:paraId="3CA7C560" w14:textId="77777777" w:rsidR="00E42B18" w:rsidRDefault="009629C4">
            <w:pPr>
              <w:pStyle w:val="P68B1DB1-Normal121"/>
              <w:spacing w:after="0" w:line="240" w:lineRule="auto"/>
              <w:rPr>
                <w:noProof/>
              </w:rPr>
            </w:pPr>
            <w:r>
              <w:rPr>
                <w:noProof/>
              </w:rPr>
              <w:t>Sopimus metaanista vihreään vetyyn siirtymisen edistämisestä</w:t>
            </w:r>
          </w:p>
        </w:tc>
      </w:tr>
      <w:tr w:rsidR="00E42B18" w14:paraId="261BD29D" w14:textId="77777777">
        <w:trPr>
          <w:trHeight w:val="300"/>
        </w:trPr>
        <w:tc>
          <w:tcPr>
            <w:tcW w:w="1290" w:type="dxa"/>
            <w:shd w:val="clear" w:color="auto" w:fill="C6EFCE"/>
            <w:tcMar>
              <w:left w:w="108" w:type="dxa"/>
              <w:right w:w="108" w:type="dxa"/>
            </w:tcMar>
            <w:vAlign w:val="center"/>
          </w:tcPr>
          <w:p w14:paraId="753F813D" w14:textId="77777777" w:rsidR="00E42B18" w:rsidRDefault="009629C4">
            <w:pPr>
              <w:pStyle w:val="P68B1DB1-Normal121"/>
              <w:spacing w:after="0" w:line="240" w:lineRule="auto"/>
              <w:jc w:val="center"/>
              <w:rPr>
                <w:noProof/>
              </w:rPr>
            </w:pPr>
            <w:r>
              <w:rPr>
                <w:noProof/>
              </w:rPr>
              <w:t>M5C2–21</w:t>
            </w:r>
          </w:p>
        </w:tc>
        <w:tc>
          <w:tcPr>
            <w:tcW w:w="3171" w:type="dxa"/>
            <w:shd w:val="clear" w:color="auto" w:fill="C6EFCE"/>
            <w:tcMar>
              <w:left w:w="108" w:type="dxa"/>
              <w:right w:w="108" w:type="dxa"/>
            </w:tcMar>
            <w:vAlign w:val="center"/>
          </w:tcPr>
          <w:p w14:paraId="204DE917" w14:textId="77777777" w:rsidR="00E42B18" w:rsidRDefault="009629C4">
            <w:pPr>
              <w:pStyle w:val="P68B1DB1-Normal121"/>
              <w:spacing w:after="0" w:line="240" w:lineRule="auto"/>
              <w:rPr>
                <w:noProof/>
              </w:rPr>
            </w:pPr>
            <w:r>
              <w:rPr>
                <w:noProof/>
              </w:rPr>
              <w:t>Investointi 7 – Urheilua ja sosiaalista osallisuutta koskeva hanke</w:t>
            </w:r>
          </w:p>
        </w:tc>
        <w:tc>
          <w:tcPr>
            <w:tcW w:w="1230" w:type="dxa"/>
            <w:shd w:val="clear" w:color="auto" w:fill="C6EFCE"/>
            <w:tcMar>
              <w:left w:w="108" w:type="dxa"/>
              <w:right w:w="108" w:type="dxa"/>
            </w:tcMar>
            <w:vAlign w:val="center"/>
          </w:tcPr>
          <w:p w14:paraId="67F3C86E" w14:textId="77777777" w:rsidR="00E42B18" w:rsidRDefault="009629C4">
            <w:pPr>
              <w:pStyle w:val="P68B1DB1-Normal121"/>
              <w:spacing w:after="0" w:line="240" w:lineRule="auto"/>
              <w:jc w:val="center"/>
              <w:rPr>
                <w:noProof/>
              </w:rPr>
            </w:pPr>
            <w:r>
              <w:rPr>
                <w:noProof/>
              </w:rPr>
              <w:t>Virstanpylväs</w:t>
            </w:r>
          </w:p>
        </w:tc>
        <w:tc>
          <w:tcPr>
            <w:tcW w:w="3666" w:type="dxa"/>
            <w:shd w:val="clear" w:color="auto" w:fill="C6EFCE"/>
            <w:tcMar>
              <w:left w:w="108" w:type="dxa"/>
              <w:right w:w="108" w:type="dxa"/>
            </w:tcMar>
            <w:vAlign w:val="center"/>
          </w:tcPr>
          <w:p w14:paraId="0E5D2331" w14:textId="77777777" w:rsidR="00E42B18" w:rsidRDefault="009629C4">
            <w:pPr>
              <w:pStyle w:val="P68B1DB1-Normal121"/>
              <w:spacing w:after="0" w:line="240" w:lineRule="auto"/>
              <w:rPr>
                <w:noProof/>
              </w:rPr>
            </w:pPr>
            <w:r>
              <w:rPr>
                <w:noProof/>
              </w:rPr>
              <w:t>Kaikkien urheilua ja sosiaalista osallisuutta koskevien hankkeiden julkisten hankintasopimusten tekeminen julkisen ehdotuspyynnön perusteella</w:t>
            </w:r>
          </w:p>
        </w:tc>
      </w:tr>
      <w:tr w:rsidR="00E42B18" w14:paraId="4217AE15" w14:textId="77777777">
        <w:trPr>
          <w:trHeight w:val="300"/>
        </w:trPr>
        <w:tc>
          <w:tcPr>
            <w:tcW w:w="1290" w:type="dxa"/>
            <w:shd w:val="clear" w:color="auto" w:fill="C6EFCE"/>
            <w:tcMar>
              <w:left w:w="108" w:type="dxa"/>
              <w:right w:w="108" w:type="dxa"/>
            </w:tcMar>
            <w:vAlign w:val="center"/>
          </w:tcPr>
          <w:p w14:paraId="146B9346" w14:textId="77777777" w:rsidR="00E42B18" w:rsidRDefault="009629C4">
            <w:pPr>
              <w:pStyle w:val="P68B1DB1-Normal121"/>
              <w:spacing w:after="0" w:line="240" w:lineRule="auto"/>
              <w:jc w:val="center"/>
              <w:rPr>
                <w:noProof/>
              </w:rPr>
            </w:pPr>
            <w:r>
              <w:rPr>
                <w:noProof/>
              </w:rPr>
              <w:t>M1C3–20</w:t>
            </w:r>
          </w:p>
        </w:tc>
        <w:tc>
          <w:tcPr>
            <w:tcW w:w="3171" w:type="dxa"/>
            <w:shd w:val="clear" w:color="auto" w:fill="C6EFCE"/>
            <w:tcMar>
              <w:left w:w="108" w:type="dxa"/>
              <w:right w:w="108" w:type="dxa"/>
            </w:tcMar>
            <w:vAlign w:val="center"/>
          </w:tcPr>
          <w:p w14:paraId="7DFDADC8" w14:textId="77777777" w:rsidR="00E42B18" w:rsidRDefault="009629C4">
            <w:pPr>
              <w:pStyle w:val="P68B1DB1-Normal121"/>
              <w:spacing w:after="0" w:line="240" w:lineRule="auto"/>
              <w:rPr>
                <w:noProof/>
              </w:rPr>
            </w:pPr>
            <w:r>
              <w:rPr>
                <w:noProof/>
              </w:rPr>
              <w:t>”Investointi 3.2: Elokuvateollisuuden kehittäminen (Cinecittà-hanke)</w:t>
            </w:r>
          </w:p>
        </w:tc>
        <w:tc>
          <w:tcPr>
            <w:tcW w:w="1230" w:type="dxa"/>
            <w:shd w:val="clear" w:color="auto" w:fill="C6EFCE"/>
            <w:tcMar>
              <w:left w:w="108" w:type="dxa"/>
              <w:right w:w="108" w:type="dxa"/>
            </w:tcMar>
            <w:vAlign w:val="center"/>
          </w:tcPr>
          <w:p w14:paraId="0800CB32" w14:textId="77777777" w:rsidR="00E42B18" w:rsidRDefault="009629C4">
            <w:pPr>
              <w:pStyle w:val="P68B1DB1-Normal121"/>
              <w:spacing w:after="0" w:line="240" w:lineRule="auto"/>
              <w:jc w:val="center"/>
              <w:rPr>
                <w:noProof/>
              </w:rPr>
            </w:pPr>
            <w:r>
              <w:rPr>
                <w:noProof/>
              </w:rPr>
              <w:t>Virstanpylväs</w:t>
            </w:r>
          </w:p>
        </w:tc>
        <w:tc>
          <w:tcPr>
            <w:tcW w:w="3666" w:type="dxa"/>
            <w:shd w:val="clear" w:color="auto" w:fill="C6EFCE"/>
            <w:tcMar>
              <w:left w:w="108" w:type="dxa"/>
              <w:right w:w="108" w:type="dxa"/>
            </w:tcMar>
            <w:vAlign w:val="center"/>
          </w:tcPr>
          <w:p w14:paraId="217FE241" w14:textId="77777777" w:rsidR="00E42B18" w:rsidRDefault="009629C4">
            <w:pPr>
              <w:pStyle w:val="P68B1DB1-Normal121"/>
              <w:spacing w:after="0" w:line="240" w:lineRule="auto"/>
              <w:rPr>
                <w:noProof/>
              </w:rPr>
            </w:pPr>
            <w:r>
              <w:rPr>
                <w:noProof/>
              </w:rPr>
              <w:t>Täytäntöönpanevan yksikön Cinecittà SPA ja yhtiöiden välisten sopimusten allekirjoittaminen yhdeksän studion rakentamisesta</w:t>
            </w:r>
          </w:p>
        </w:tc>
      </w:tr>
      <w:tr w:rsidR="00E42B18" w14:paraId="4A7D8A7A" w14:textId="77777777">
        <w:trPr>
          <w:trHeight w:val="300"/>
        </w:trPr>
        <w:tc>
          <w:tcPr>
            <w:tcW w:w="1290" w:type="dxa"/>
            <w:shd w:val="clear" w:color="auto" w:fill="C6EFCE"/>
            <w:tcMar>
              <w:left w:w="108" w:type="dxa"/>
              <w:right w:w="108" w:type="dxa"/>
            </w:tcMar>
            <w:vAlign w:val="center"/>
          </w:tcPr>
          <w:p w14:paraId="217E26A2" w14:textId="77777777" w:rsidR="00E42B18" w:rsidRDefault="009629C4">
            <w:pPr>
              <w:pStyle w:val="P68B1DB1-Normal121"/>
              <w:spacing w:after="0" w:line="240" w:lineRule="auto"/>
              <w:jc w:val="center"/>
              <w:rPr>
                <w:noProof/>
              </w:rPr>
            </w:pPr>
            <w:r>
              <w:rPr>
                <w:noProof/>
              </w:rPr>
              <w:t>M2C4–21</w:t>
            </w:r>
          </w:p>
        </w:tc>
        <w:tc>
          <w:tcPr>
            <w:tcW w:w="3171" w:type="dxa"/>
            <w:shd w:val="clear" w:color="auto" w:fill="C6EFCE"/>
            <w:tcMar>
              <w:left w:w="108" w:type="dxa"/>
              <w:right w:w="108" w:type="dxa"/>
            </w:tcMar>
            <w:vAlign w:val="center"/>
          </w:tcPr>
          <w:p w14:paraId="7F9CE7DE" w14:textId="77777777" w:rsidR="00E42B18" w:rsidRDefault="009629C4">
            <w:pPr>
              <w:pStyle w:val="P68B1DB1-Normal121"/>
              <w:spacing w:after="0" w:line="240" w:lineRule="auto"/>
              <w:rPr>
                <w:noProof/>
              </w:rPr>
            </w:pPr>
            <w:r>
              <w:rPr>
                <w:noProof/>
              </w:rPr>
              <w:t>Investointi 3.3 Po-alueen ennallistaminen</w:t>
            </w:r>
          </w:p>
        </w:tc>
        <w:tc>
          <w:tcPr>
            <w:tcW w:w="1230" w:type="dxa"/>
            <w:shd w:val="clear" w:color="auto" w:fill="C6EFCE"/>
            <w:tcMar>
              <w:left w:w="108" w:type="dxa"/>
              <w:right w:w="108" w:type="dxa"/>
            </w:tcMar>
            <w:vAlign w:val="center"/>
          </w:tcPr>
          <w:p w14:paraId="417839BE" w14:textId="77777777" w:rsidR="00E42B18" w:rsidRDefault="009629C4">
            <w:pPr>
              <w:pStyle w:val="P68B1DB1-Normal121"/>
              <w:spacing w:after="0" w:line="240" w:lineRule="auto"/>
              <w:jc w:val="center"/>
              <w:rPr>
                <w:noProof/>
              </w:rPr>
            </w:pPr>
            <w:r>
              <w:rPr>
                <w:noProof/>
              </w:rPr>
              <w:t>Virstanpylväs</w:t>
            </w:r>
          </w:p>
        </w:tc>
        <w:tc>
          <w:tcPr>
            <w:tcW w:w="3666" w:type="dxa"/>
            <w:shd w:val="clear" w:color="auto" w:fill="C6EFCE"/>
            <w:tcMar>
              <w:left w:w="108" w:type="dxa"/>
              <w:right w:w="108" w:type="dxa"/>
            </w:tcMar>
            <w:vAlign w:val="center"/>
          </w:tcPr>
          <w:p w14:paraId="3C4BFEDF" w14:textId="77777777" w:rsidR="00E42B18" w:rsidRDefault="009629C4">
            <w:pPr>
              <w:pStyle w:val="P68B1DB1-Normal121"/>
              <w:spacing w:after="0" w:line="240" w:lineRule="auto"/>
              <w:rPr>
                <w:noProof/>
              </w:rPr>
            </w:pPr>
            <w:r>
              <w:rPr>
                <w:noProof/>
              </w:rPr>
              <w:t xml:space="preserve">Po-alueen elvyttämistä koskevien interventioiden oikeudellisen kehyksen tarkistaminen </w:t>
            </w:r>
          </w:p>
        </w:tc>
      </w:tr>
      <w:tr w:rsidR="00E42B18" w14:paraId="55BA4A71" w14:textId="77777777">
        <w:trPr>
          <w:trHeight w:val="300"/>
        </w:trPr>
        <w:tc>
          <w:tcPr>
            <w:tcW w:w="1290" w:type="dxa"/>
            <w:shd w:val="clear" w:color="auto" w:fill="C6EFCE"/>
            <w:tcMar>
              <w:left w:w="108" w:type="dxa"/>
              <w:right w:w="108" w:type="dxa"/>
            </w:tcMar>
            <w:vAlign w:val="center"/>
          </w:tcPr>
          <w:p w14:paraId="4D363F83" w14:textId="77777777" w:rsidR="00E42B18" w:rsidRDefault="009629C4">
            <w:pPr>
              <w:pStyle w:val="P68B1DB1-Normal121"/>
              <w:spacing w:after="0" w:line="240" w:lineRule="auto"/>
              <w:jc w:val="center"/>
              <w:rPr>
                <w:noProof/>
              </w:rPr>
            </w:pPr>
            <w:r>
              <w:rPr>
                <w:noProof/>
              </w:rPr>
              <w:t>M4C1–28</w:t>
            </w:r>
          </w:p>
        </w:tc>
        <w:tc>
          <w:tcPr>
            <w:tcW w:w="3171" w:type="dxa"/>
            <w:shd w:val="clear" w:color="auto" w:fill="C6EFCE"/>
            <w:tcMar>
              <w:left w:w="108" w:type="dxa"/>
              <w:right w:w="108" w:type="dxa"/>
            </w:tcMar>
            <w:vAlign w:val="center"/>
          </w:tcPr>
          <w:p w14:paraId="352F7296" w14:textId="77777777" w:rsidR="00E42B18" w:rsidRDefault="009629C4">
            <w:pPr>
              <w:pStyle w:val="P68B1DB1-Normal121"/>
              <w:spacing w:after="0" w:line="240" w:lineRule="auto"/>
              <w:rPr>
                <w:noProof/>
              </w:rPr>
            </w:pPr>
            <w:r>
              <w:rPr>
                <w:noProof/>
              </w:rPr>
              <w:t>Uudistus 1.7: Opiskelija-asuntoja koskevan sääntelyn uudistaminen ja investoinnit opiskelija-asumiseen</w:t>
            </w:r>
          </w:p>
        </w:tc>
        <w:tc>
          <w:tcPr>
            <w:tcW w:w="1230" w:type="dxa"/>
            <w:shd w:val="clear" w:color="auto" w:fill="C6EFCE"/>
            <w:tcMar>
              <w:left w:w="108" w:type="dxa"/>
              <w:right w:w="108" w:type="dxa"/>
            </w:tcMar>
            <w:vAlign w:val="center"/>
          </w:tcPr>
          <w:p w14:paraId="784BB0D7" w14:textId="77777777" w:rsidR="00E42B18" w:rsidRDefault="009629C4">
            <w:pPr>
              <w:pStyle w:val="P68B1DB1-Normal121"/>
              <w:spacing w:after="0" w:line="240" w:lineRule="auto"/>
              <w:jc w:val="center"/>
              <w:rPr>
                <w:noProof/>
              </w:rPr>
            </w:pPr>
            <w:r>
              <w:rPr>
                <w:noProof/>
              </w:rPr>
              <w:t>Virstanpylväs</w:t>
            </w:r>
          </w:p>
        </w:tc>
        <w:tc>
          <w:tcPr>
            <w:tcW w:w="3666" w:type="dxa"/>
            <w:shd w:val="clear" w:color="auto" w:fill="C6EFCE"/>
            <w:tcMar>
              <w:left w:w="108" w:type="dxa"/>
              <w:right w:w="108" w:type="dxa"/>
            </w:tcMar>
            <w:vAlign w:val="center"/>
          </w:tcPr>
          <w:p w14:paraId="0ACC2BD5" w14:textId="77777777" w:rsidR="00E42B18" w:rsidRDefault="009629C4">
            <w:pPr>
              <w:pStyle w:val="P68B1DB1-Normal121"/>
              <w:spacing w:after="0" w:line="240" w:lineRule="auto"/>
              <w:rPr>
                <w:noProof/>
              </w:rPr>
            </w:pPr>
            <w:r>
              <w:rPr>
                <w:noProof/>
              </w:rPr>
              <w:t xml:space="preserve"> Uusien majoitusyksiköiden (vuodepaikkojen) perustamista koskevien alustavien sopimusten tekeminen.</w:t>
            </w:r>
          </w:p>
        </w:tc>
      </w:tr>
      <w:tr w:rsidR="00E42B18" w14:paraId="2929F51C" w14:textId="77777777">
        <w:trPr>
          <w:trHeight w:val="300"/>
        </w:trPr>
        <w:tc>
          <w:tcPr>
            <w:tcW w:w="1290" w:type="dxa"/>
            <w:shd w:val="clear" w:color="auto" w:fill="C6EFCE"/>
            <w:tcMar>
              <w:left w:w="108" w:type="dxa"/>
              <w:right w:w="108" w:type="dxa"/>
            </w:tcMar>
            <w:vAlign w:val="center"/>
          </w:tcPr>
          <w:p w14:paraId="66C6B680" w14:textId="77777777" w:rsidR="00E42B18" w:rsidRDefault="009629C4">
            <w:pPr>
              <w:pStyle w:val="P68B1DB1-Normal121"/>
              <w:spacing w:after="0" w:line="240" w:lineRule="auto"/>
              <w:jc w:val="center"/>
              <w:rPr>
                <w:noProof/>
              </w:rPr>
            </w:pPr>
            <w:r>
              <w:rPr>
                <w:noProof/>
              </w:rPr>
              <w:t>M4C2–12</w:t>
            </w:r>
          </w:p>
        </w:tc>
        <w:tc>
          <w:tcPr>
            <w:tcW w:w="3171" w:type="dxa"/>
            <w:shd w:val="clear" w:color="auto" w:fill="C6EFCE"/>
            <w:tcMar>
              <w:left w:w="108" w:type="dxa"/>
              <w:right w:w="108" w:type="dxa"/>
            </w:tcMar>
            <w:vAlign w:val="center"/>
          </w:tcPr>
          <w:p w14:paraId="70544A74" w14:textId="77777777" w:rsidR="00E42B18" w:rsidRDefault="009629C4">
            <w:pPr>
              <w:pStyle w:val="P68B1DB1-Normal121"/>
              <w:spacing w:after="0" w:line="240" w:lineRule="auto"/>
              <w:rPr>
                <w:noProof/>
              </w:rPr>
            </w:pPr>
            <w:r>
              <w:rPr>
                <w:noProof/>
              </w:rPr>
              <w:t>Investointi 2.1: IPCEI-HANKE</w:t>
            </w:r>
          </w:p>
        </w:tc>
        <w:tc>
          <w:tcPr>
            <w:tcW w:w="1230" w:type="dxa"/>
            <w:shd w:val="clear" w:color="auto" w:fill="C6EFCE"/>
            <w:tcMar>
              <w:left w:w="108" w:type="dxa"/>
              <w:right w:w="108" w:type="dxa"/>
            </w:tcMar>
            <w:vAlign w:val="center"/>
          </w:tcPr>
          <w:p w14:paraId="6CB92AF1" w14:textId="77777777" w:rsidR="00E42B18" w:rsidRDefault="009629C4">
            <w:pPr>
              <w:pStyle w:val="P68B1DB1-Normal121"/>
              <w:spacing w:after="0" w:line="240" w:lineRule="auto"/>
              <w:jc w:val="center"/>
              <w:rPr>
                <w:noProof/>
              </w:rPr>
            </w:pPr>
            <w:r>
              <w:rPr>
                <w:noProof/>
              </w:rPr>
              <w:t>Virstanpylväs</w:t>
            </w:r>
          </w:p>
        </w:tc>
        <w:tc>
          <w:tcPr>
            <w:tcW w:w="3666" w:type="dxa"/>
            <w:shd w:val="clear" w:color="auto" w:fill="C6EFCE"/>
            <w:tcMar>
              <w:left w:w="108" w:type="dxa"/>
              <w:right w:w="108" w:type="dxa"/>
            </w:tcMar>
            <w:vAlign w:val="center"/>
          </w:tcPr>
          <w:p w14:paraId="16B1417C" w14:textId="77777777" w:rsidR="00E42B18" w:rsidRDefault="009629C4">
            <w:pPr>
              <w:pStyle w:val="P68B1DB1-Normal121"/>
              <w:spacing w:after="0" w:line="240" w:lineRule="auto"/>
              <w:rPr>
                <w:noProof/>
              </w:rPr>
            </w:pPr>
            <w:r>
              <w:rPr>
                <w:noProof/>
              </w:rPr>
              <w:t>Luettelo IPCEI-hankkeiden osallistujista on valmistunut 30.6.2023 mennessä.</w:t>
            </w:r>
          </w:p>
        </w:tc>
      </w:tr>
      <w:tr w:rsidR="00E42B18" w14:paraId="17DE369B" w14:textId="77777777">
        <w:trPr>
          <w:trHeight w:val="300"/>
        </w:trPr>
        <w:tc>
          <w:tcPr>
            <w:tcW w:w="1290" w:type="dxa"/>
            <w:shd w:val="clear" w:color="auto" w:fill="C6EFCE"/>
            <w:tcMar>
              <w:left w:w="108" w:type="dxa"/>
              <w:right w:w="108" w:type="dxa"/>
            </w:tcMar>
            <w:vAlign w:val="center"/>
          </w:tcPr>
          <w:p w14:paraId="49ACFC74" w14:textId="77777777" w:rsidR="00E42B18" w:rsidRDefault="009629C4">
            <w:pPr>
              <w:pStyle w:val="P68B1DB1-Normal121"/>
              <w:spacing w:after="0" w:line="240" w:lineRule="auto"/>
              <w:jc w:val="center"/>
              <w:rPr>
                <w:noProof/>
              </w:rPr>
            </w:pPr>
            <w:r>
              <w:rPr>
                <w:noProof/>
              </w:rPr>
              <w:t>M4C2–16</w:t>
            </w:r>
          </w:p>
        </w:tc>
        <w:tc>
          <w:tcPr>
            <w:tcW w:w="3171" w:type="dxa"/>
            <w:shd w:val="clear" w:color="auto" w:fill="C6EFCE"/>
            <w:tcMar>
              <w:left w:w="108" w:type="dxa"/>
              <w:right w:w="108" w:type="dxa"/>
            </w:tcMar>
            <w:vAlign w:val="center"/>
          </w:tcPr>
          <w:p w14:paraId="0C5DBA59" w14:textId="77777777" w:rsidR="00E42B18" w:rsidRDefault="009629C4">
            <w:pPr>
              <w:pStyle w:val="P68B1DB1-Normal121"/>
              <w:spacing w:after="0" w:line="240" w:lineRule="auto"/>
              <w:rPr>
                <w:noProof/>
              </w:rPr>
            </w:pPr>
            <w:r>
              <w:rPr>
                <w:noProof/>
              </w:rPr>
              <w:t>Investointi 3.1 Tutkimus- ja innovointi-infrastruktuurit</w:t>
            </w:r>
          </w:p>
        </w:tc>
        <w:tc>
          <w:tcPr>
            <w:tcW w:w="1230" w:type="dxa"/>
            <w:shd w:val="clear" w:color="auto" w:fill="C6EFCE"/>
            <w:tcMar>
              <w:left w:w="108" w:type="dxa"/>
              <w:right w:w="108" w:type="dxa"/>
            </w:tcMar>
            <w:vAlign w:val="center"/>
          </w:tcPr>
          <w:p w14:paraId="02C29166" w14:textId="77777777" w:rsidR="00E42B18" w:rsidRDefault="009629C4">
            <w:pPr>
              <w:pStyle w:val="P68B1DB1-Normal121"/>
              <w:spacing w:after="0" w:line="240" w:lineRule="auto"/>
              <w:jc w:val="center"/>
              <w:rPr>
                <w:noProof/>
              </w:rPr>
            </w:pPr>
            <w:r>
              <w:rPr>
                <w:noProof/>
              </w:rPr>
              <w:t>Kohde</w:t>
            </w:r>
          </w:p>
        </w:tc>
        <w:tc>
          <w:tcPr>
            <w:tcW w:w="3666" w:type="dxa"/>
            <w:shd w:val="clear" w:color="auto" w:fill="C6EFCE"/>
            <w:tcMar>
              <w:left w:w="108" w:type="dxa"/>
              <w:right w:w="108" w:type="dxa"/>
            </w:tcMar>
            <w:vAlign w:val="center"/>
          </w:tcPr>
          <w:p w14:paraId="7D5097D8" w14:textId="77777777" w:rsidR="00E42B18" w:rsidRDefault="009629C4">
            <w:pPr>
              <w:pStyle w:val="P68B1DB1-Normal121"/>
              <w:spacing w:after="0" w:line="240" w:lineRule="auto"/>
              <w:rPr>
                <w:noProof/>
              </w:rPr>
            </w:pPr>
            <w:r>
              <w:rPr>
                <w:noProof/>
              </w:rPr>
              <w:t>Rahoitettujen infrastruktuurien lukumäärä</w:t>
            </w:r>
          </w:p>
        </w:tc>
      </w:tr>
      <w:tr w:rsidR="00E42B18" w14:paraId="687C0FB9" w14:textId="77777777">
        <w:trPr>
          <w:trHeight w:val="300"/>
        </w:trPr>
        <w:tc>
          <w:tcPr>
            <w:tcW w:w="1290" w:type="dxa"/>
            <w:shd w:val="clear" w:color="auto" w:fill="C6EFCE"/>
            <w:tcMar>
              <w:left w:w="108" w:type="dxa"/>
              <w:right w:w="108" w:type="dxa"/>
            </w:tcMar>
            <w:vAlign w:val="center"/>
          </w:tcPr>
          <w:p w14:paraId="42E18989" w14:textId="77777777" w:rsidR="00E42B18" w:rsidRDefault="009629C4">
            <w:pPr>
              <w:pStyle w:val="P68B1DB1-Normal121"/>
              <w:spacing w:after="0" w:line="240" w:lineRule="auto"/>
              <w:jc w:val="center"/>
              <w:rPr>
                <w:noProof/>
              </w:rPr>
            </w:pPr>
            <w:r>
              <w:rPr>
                <w:noProof/>
              </w:rPr>
              <w:t>M5C1–18</w:t>
            </w:r>
          </w:p>
        </w:tc>
        <w:tc>
          <w:tcPr>
            <w:tcW w:w="3171" w:type="dxa"/>
            <w:shd w:val="clear" w:color="auto" w:fill="C6EFCE"/>
            <w:tcMar>
              <w:left w:w="108" w:type="dxa"/>
              <w:right w:w="108" w:type="dxa"/>
            </w:tcMar>
            <w:vAlign w:val="center"/>
          </w:tcPr>
          <w:p w14:paraId="61663392" w14:textId="77777777" w:rsidR="00E42B18" w:rsidRDefault="009629C4">
            <w:pPr>
              <w:pStyle w:val="P68B1DB1-Normal121"/>
              <w:spacing w:after="0" w:line="240" w:lineRule="auto"/>
              <w:rPr>
                <w:noProof/>
              </w:rPr>
            </w:pPr>
            <w:r>
              <w:rPr>
                <w:noProof/>
              </w:rPr>
              <w:t>Investointi 5 – Naisyritysten perustaminen</w:t>
            </w:r>
          </w:p>
        </w:tc>
        <w:tc>
          <w:tcPr>
            <w:tcW w:w="1230" w:type="dxa"/>
            <w:shd w:val="clear" w:color="auto" w:fill="C6EFCE"/>
            <w:tcMar>
              <w:left w:w="108" w:type="dxa"/>
              <w:right w:w="108" w:type="dxa"/>
            </w:tcMar>
            <w:vAlign w:val="center"/>
          </w:tcPr>
          <w:p w14:paraId="28D549F9" w14:textId="77777777" w:rsidR="00E42B18" w:rsidRDefault="009629C4">
            <w:pPr>
              <w:pStyle w:val="P68B1DB1-Normal121"/>
              <w:spacing w:after="0" w:line="240" w:lineRule="auto"/>
              <w:jc w:val="center"/>
              <w:rPr>
                <w:noProof/>
              </w:rPr>
            </w:pPr>
            <w:r>
              <w:rPr>
                <w:noProof/>
              </w:rPr>
              <w:t>Kohde</w:t>
            </w:r>
          </w:p>
        </w:tc>
        <w:tc>
          <w:tcPr>
            <w:tcW w:w="3666" w:type="dxa"/>
            <w:shd w:val="clear" w:color="auto" w:fill="C6EFCE"/>
            <w:tcMar>
              <w:left w:w="108" w:type="dxa"/>
              <w:right w:w="108" w:type="dxa"/>
            </w:tcMar>
            <w:vAlign w:val="center"/>
          </w:tcPr>
          <w:p w14:paraId="19839872" w14:textId="77777777" w:rsidR="00E42B18" w:rsidRDefault="009629C4">
            <w:pPr>
              <w:pStyle w:val="P68B1DB1-Normal121"/>
              <w:spacing w:after="0" w:line="240" w:lineRule="auto"/>
              <w:rPr>
                <w:noProof/>
              </w:rPr>
            </w:pPr>
            <w:r>
              <w:rPr>
                <w:noProof/>
              </w:rPr>
              <w:t xml:space="preserve">Yrityksille myönnettävä rahoitustuki on sidottu </w:t>
            </w:r>
          </w:p>
        </w:tc>
      </w:tr>
      <w:tr w:rsidR="00E42B18" w14:paraId="15266174" w14:textId="77777777">
        <w:trPr>
          <w:trHeight w:val="300"/>
        </w:trPr>
        <w:tc>
          <w:tcPr>
            <w:tcW w:w="1290" w:type="dxa"/>
            <w:shd w:val="clear" w:color="auto" w:fill="C6EFCE"/>
            <w:tcMar>
              <w:left w:w="108" w:type="dxa"/>
              <w:right w:w="108" w:type="dxa"/>
            </w:tcMar>
            <w:vAlign w:val="center"/>
          </w:tcPr>
          <w:p w14:paraId="7A7422E4" w14:textId="77777777" w:rsidR="00E42B18" w:rsidRDefault="009629C4">
            <w:pPr>
              <w:pStyle w:val="P68B1DB1-Normal121"/>
              <w:spacing w:after="0" w:line="240" w:lineRule="auto"/>
              <w:jc w:val="center"/>
              <w:rPr>
                <w:noProof/>
              </w:rPr>
            </w:pPr>
            <w:r>
              <w:rPr>
                <w:noProof/>
              </w:rPr>
              <w:t>M6C2–14</w:t>
            </w:r>
          </w:p>
        </w:tc>
        <w:tc>
          <w:tcPr>
            <w:tcW w:w="3171" w:type="dxa"/>
            <w:shd w:val="clear" w:color="auto" w:fill="C6EFCE"/>
            <w:tcMar>
              <w:left w:w="108" w:type="dxa"/>
              <w:right w:w="108" w:type="dxa"/>
            </w:tcMar>
            <w:vAlign w:val="center"/>
          </w:tcPr>
          <w:p w14:paraId="546B7A3D" w14:textId="77777777" w:rsidR="00E42B18" w:rsidRDefault="009629C4">
            <w:pPr>
              <w:pStyle w:val="P68B1DB1-Normal123"/>
              <w:spacing w:after="0" w:line="240" w:lineRule="auto"/>
              <w:rPr>
                <w:noProof/>
              </w:rPr>
            </w:pPr>
            <w:r>
              <w:rPr>
                <w:noProof/>
              </w:rPr>
              <w:t>Investointi 2.2: Terveydenhuoltojärjestelmän ammattilaisten teknisten, ammatillisten, digitaalisten ja johtamistaitojen kehittäminen</w:t>
            </w:r>
          </w:p>
        </w:tc>
        <w:tc>
          <w:tcPr>
            <w:tcW w:w="1230" w:type="dxa"/>
            <w:shd w:val="clear" w:color="auto" w:fill="C6EFCE"/>
            <w:tcMar>
              <w:left w:w="108" w:type="dxa"/>
              <w:right w:w="108" w:type="dxa"/>
            </w:tcMar>
            <w:vAlign w:val="center"/>
          </w:tcPr>
          <w:p w14:paraId="3A3D6847" w14:textId="77777777" w:rsidR="00E42B18" w:rsidRDefault="009629C4">
            <w:pPr>
              <w:pStyle w:val="P68B1DB1-Normal123"/>
              <w:spacing w:after="0" w:line="240" w:lineRule="auto"/>
              <w:jc w:val="center"/>
              <w:rPr>
                <w:noProof/>
              </w:rPr>
            </w:pPr>
            <w:r>
              <w:rPr>
                <w:noProof/>
              </w:rPr>
              <w:t>Kohde</w:t>
            </w:r>
          </w:p>
        </w:tc>
        <w:tc>
          <w:tcPr>
            <w:tcW w:w="3666" w:type="dxa"/>
            <w:shd w:val="clear" w:color="auto" w:fill="C6EFCE"/>
            <w:tcMar>
              <w:left w:w="108" w:type="dxa"/>
              <w:right w:w="108" w:type="dxa"/>
            </w:tcMar>
            <w:vAlign w:val="center"/>
          </w:tcPr>
          <w:p w14:paraId="60D637C5" w14:textId="77777777" w:rsidR="00E42B18" w:rsidRDefault="009629C4">
            <w:pPr>
              <w:pStyle w:val="P68B1DB1-Normal123"/>
              <w:spacing w:after="0" w:line="240" w:lineRule="auto"/>
              <w:rPr>
                <w:noProof/>
              </w:rPr>
            </w:pPr>
            <w:r>
              <w:rPr>
                <w:noProof/>
              </w:rPr>
              <w:t>Yleislääkärin erityiskoulutukseen myönnetään apurahoja.</w:t>
            </w:r>
          </w:p>
        </w:tc>
      </w:tr>
      <w:tr w:rsidR="00E42B18" w14:paraId="7AC50261" w14:textId="77777777">
        <w:trPr>
          <w:trHeight w:val="300"/>
        </w:trPr>
        <w:tc>
          <w:tcPr>
            <w:tcW w:w="1290" w:type="dxa"/>
            <w:shd w:val="clear" w:color="auto" w:fill="C6EFCE"/>
            <w:tcMar>
              <w:left w:w="108" w:type="dxa"/>
              <w:right w:w="108" w:type="dxa"/>
            </w:tcMar>
            <w:vAlign w:val="center"/>
          </w:tcPr>
          <w:p w14:paraId="7C754D4B" w14:textId="77777777" w:rsidR="00E42B18" w:rsidRDefault="00E42B18">
            <w:pPr>
              <w:spacing w:after="0" w:line="240" w:lineRule="auto"/>
              <w:jc w:val="center"/>
              <w:rPr>
                <w:rFonts w:ascii="Times New Roman" w:eastAsia="Times New Roman" w:hAnsi="Times New Roman" w:cs="Times New Roman"/>
                <w:noProof/>
              </w:rPr>
            </w:pPr>
          </w:p>
        </w:tc>
        <w:tc>
          <w:tcPr>
            <w:tcW w:w="3171" w:type="dxa"/>
            <w:shd w:val="clear" w:color="auto" w:fill="C6EFCE"/>
            <w:tcMar>
              <w:left w:w="108" w:type="dxa"/>
              <w:right w:w="108" w:type="dxa"/>
            </w:tcMar>
            <w:vAlign w:val="center"/>
          </w:tcPr>
          <w:p w14:paraId="3B233241" w14:textId="77777777" w:rsidR="00E42B18" w:rsidRDefault="009629C4">
            <w:pPr>
              <w:pStyle w:val="P68B1DB1-Normal121"/>
              <w:spacing w:after="0" w:line="240" w:lineRule="auto"/>
              <w:rPr>
                <w:noProof/>
              </w:rPr>
            </w:pPr>
            <w:r>
              <w:rPr>
                <w:noProof/>
              </w:rPr>
              <w:t xml:space="preserve"> </w:t>
            </w:r>
          </w:p>
        </w:tc>
        <w:tc>
          <w:tcPr>
            <w:tcW w:w="1230" w:type="dxa"/>
            <w:shd w:val="clear" w:color="auto" w:fill="C6EFCE"/>
            <w:tcMar>
              <w:left w:w="108" w:type="dxa"/>
              <w:right w:w="108" w:type="dxa"/>
            </w:tcMar>
            <w:vAlign w:val="center"/>
          </w:tcPr>
          <w:p w14:paraId="504BB2C4" w14:textId="77777777" w:rsidR="00E42B18" w:rsidRDefault="009629C4">
            <w:pPr>
              <w:pStyle w:val="P68B1DB1-Normal121"/>
              <w:spacing w:after="0" w:line="240" w:lineRule="auto"/>
              <w:jc w:val="center"/>
              <w:rPr>
                <w:noProof/>
              </w:rPr>
            </w:pPr>
            <w:r>
              <w:rPr>
                <w:noProof/>
              </w:rPr>
              <w:t>Maksuerän määrä</w:t>
            </w:r>
          </w:p>
        </w:tc>
        <w:tc>
          <w:tcPr>
            <w:tcW w:w="3666" w:type="dxa"/>
            <w:shd w:val="clear" w:color="auto" w:fill="C6EFCE"/>
            <w:tcMar>
              <w:left w:w="108" w:type="dxa"/>
              <w:right w:w="108" w:type="dxa"/>
            </w:tcMar>
            <w:vAlign w:val="center"/>
          </w:tcPr>
          <w:p w14:paraId="0315EA2A"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16611453220</w:t>
            </w:r>
            <w:r>
              <w:rPr>
                <w:noProof/>
                <w:sz w:val="23"/>
                <w:szCs w:val="23"/>
              </w:rPr>
              <w:t xml:space="preserve">  </w:t>
            </w:r>
            <w:r>
              <w:rPr>
                <w:noProof/>
                <w:color w:val="006100"/>
                <w:sz w:val="20"/>
                <w:szCs w:val="20"/>
              </w:rPr>
              <w:t>EUROA</w:t>
            </w:r>
          </w:p>
        </w:tc>
      </w:tr>
    </w:tbl>
    <w:p w14:paraId="72F93B20" w14:textId="77777777" w:rsidR="00E42B18" w:rsidRDefault="009629C4">
      <w:pPr>
        <w:pStyle w:val="P68B1DB1-Normal8"/>
        <w:spacing w:before="120" w:after="120" w:line="240" w:lineRule="auto"/>
        <w:jc w:val="both"/>
        <w:rPr>
          <w:noProof/>
        </w:rPr>
      </w:pPr>
      <w:r>
        <w:rPr>
          <w:noProof/>
        </w:rPr>
        <w:t xml:space="preserve"> </w:t>
      </w:r>
    </w:p>
    <w:p w14:paraId="5E5E1D27" w14:textId="77777777" w:rsidR="00E42B18" w:rsidRDefault="009629C4">
      <w:pPr>
        <w:pStyle w:val="P68B1DB1-Heading34"/>
        <w:numPr>
          <w:ilvl w:val="1"/>
          <w:numId w:val="179"/>
        </w:numPr>
        <w:tabs>
          <w:tab w:val="clear" w:pos="850"/>
          <w:tab w:val="num" w:pos="1440"/>
        </w:tabs>
        <w:ind w:left="1440" w:hanging="360"/>
        <w:rPr>
          <w:noProof/>
        </w:rPr>
      </w:pPr>
      <w:r>
        <w:rPr>
          <w:noProof/>
        </w:rPr>
        <w:t>Viides erä (lainatuki):</w:t>
      </w:r>
    </w:p>
    <w:tbl>
      <w:tblPr>
        <w:tblW w:w="9358" w:type="dxa"/>
        <w:tblInd w:w="120" w:type="dxa"/>
        <w:tblLayout w:type="fixed"/>
        <w:tblLook w:val="04A0" w:firstRow="1" w:lastRow="0" w:firstColumn="1" w:lastColumn="0" w:noHBand="0" w:noVBand="1"/>
      </w:tblPr>
      <w:tblGrid>
        <w:gridCol w:w="1320"/>
        <w:gridCol w:w="2770"/>
        <w:gridCol w:w="1200"/>
        <w:gridCol w:w="4068"/>
      </w:tblGrid>
      <w:tr w:rsidR="00E42B18" w14:paraId="4658538F" w14:textId="77777777">
        <w:trPr>
          <w:trHeight w:val="900"/>
          <w:tblHeader/>
        </w:trPr>
        <w:tc>
          <w:tcPr>
            <w:tcW w:w="132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5B915BF9" w14:textId="77777777" w:rsidR="00E42B18" w:rsidRDefault="009629C4">
            <w:pPr>
              <w:pStyle w:val="P68B1DB1-Normal120"/>
              <w:spacing w:after="0" w:line="240" w:lineRule="auto"/>
              <w:jc w:val="center"/>
              <w:rPr>
                <w:noProof/>
              </w:rPr>
            </w:pPr>
            <w:r>
              <w:rPr>
                <w:noProof/>
              </w:rPr>
              <w:t>Juokseva numero</w:t>
            </w:r>
          </w:p>
        </w:tc>
        <w:tc>
          <w:tcPr>
            <w:tcW w:w="277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7282547E" w14:textId="77777777" w:rsidR="00E42B18" w:rsidRDefault="009629C4">
            <w:pPr>
              <w:pStyle w:val="P68B1DB1-Normal120"/>
              <w:spacing w:after="0" w:line="240" w:lineRule="auto"/>
              <w:jc w:val="center"/>
              <w:rPr>
                <w:noProof/>
              </w:rPr>
            </w:pPr>
            <w:r>
              <w:rPr>
                <w:noProof/>
              </w:rPr>
              <w:t>Toimenpide (uudistus tai investointi)</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CF05B57" w14:textId="77777777" w:rsidR="00E42B18" w:rsidRDefault="009629C4">
            <w:pPr>
              <w:pStyle w:val="P68B1DB1-Normal120"/>
              <w:spacing w:after="0" w:line="240" w:lineRule="auto"/>
              <w:jc w:val="center"/>
              <w:rPr>
                <w:noProof/>
              </w:rPr>
            </w:pPr>
            <w:r>
              <w:rPr>
                <w:noProof/>
              </w:rPr>
              <w:t>Välitavoite/tavoite</w:t>
            </w:r>
          </w:p>
        </w:tc>
        <w:tc>
          <w:tcPr>
            <w:tcW w:w="406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7BECCBEE" w14:textId="77777777" w:rsidR="00E42B18" w:rsidRDefault="009629C4">
            <w:pPr>
              <w:pStyle w:val="P68B1DB1-Normal120"/>
              <w:spacing w:after="0" w:line="240" w:lineRule="auto"/>
              <w:jc w:val="center"/>
              <w:rPr>
                <w:noProof/>
              </w:rPr>
            </w:pPr>
            <w:r>
              <w:rPr>
                <w:noProof/>
              </w:rPr>
              <w:t>Nimi</w:t>
            </w:r>
          </w:p>
        </w:tc>
      </w:tr>
      <w:tr w:rsidR="00E42B18" w14:paraId="788665DB" w14:textId="77777777">
        <w:trPr>
          <w:trHeight w:val="510"/>
        </w:trPr>
        <w:tc>
          <w:tcPr>
            <w:tcW w:w="1320" w:type="dxa"/>
            <w:vMerge/>
            <w:tcBorders>
              <w:top w:val="single" w:sz="4" w:space="0" w:color="auto"/>
              <w:left w:val="single" w:sz="4" w:space="0" w:color="auto"/>
              <w:bottom w:val="single" w:sz="4" w:space="0" w:color="auto"/>
              <w:right w:val="single" w:sz="4" w:space="0" w:color="auto"/>
            </w:tcBorders>
            <w:vAlign w:val="center"/>
          </w:tcPr>
          <w:p w14:paraId="458A7695" w14:textId="77777777" w:rsidR="00E42B18" w:rsidRDefault="00E42B18">
            <w:pPr>
              <w:spacing w:after="0" w:line="240" w:lineRule="auto"/>
              <w:jc w:val="center"/>
              <w:rPr>
                <w:rFonts w:ascii="Times New Roman" w:eastAsia="Times New Roman" w:hAnsi="Times New Roman" w:cs="Times New Roman"/>
                <w:noProof/>
              </w:rPr>
            </w:pPr>
          </w:p>
        </w:tc>
        <w:tc>
          <w:tcPr>
            <w:tcW w:w="2770" w:type="dxa"/>
            <w:vMerge/>
            <w:tcBorders>
              <w:top w:val="single" w:sz="4" w:space="0" w:color="auto"/>
              <w:left w:val="single" w:sz="4" w:space="0" w:color="auto"/>
              <w:bottom w:val="single" w:sz="4" w:space="0" w:color="auto"/>
              <w:right w:val="single" w:sz="4" w:space="0" w:color="auto"/>
            </w:tcBorders>
            <w:vAlign w:val="center"/>
          </w:tcPr>
          <w:p w14:paraId="6BF3FF9A" w14:textId="77777777" w:rsidR="00E42B18" w:rsidRDefault="00E42B18">
            <w:pPr>
              <w:spacing w:after="0" w:line="240" w:lineRule="auto"/>
              <w:rPr>
                <w:rFonts w:ascii="Times New Roman" w:eastAsia="Times New Roman" w:hAnsi="Times New Roman" w:cs="Times New Roman"/>
                <w:noProof/>
              </w:rPr>
            </w:pPr>
          </w:p>
        </w:tc>
        <w:tc>
          <w:tcPr>
            <w:tcW w:w="1200" w:type="dxa"/>
            <w:vMerge/>
            <w:tcBorders>
              <w:top w:val="single" w:sz="4" w:space="0" w:color="auto"/>
              <w:left w:val="single" w:sz="4" w:space="0" w:color="auto"/>
              <w:bottom w:val="single" w:sz="4" w:space="0" w:color="auto"/>
              <w:right w:val="single" w:sz="4" w:space="0" w:color="auto"/>
            </w:tcBorders>
            <w:vAlign w:val="center"/>
          </w:tcPr>
          <w:p w14:paraId="0AA1B01C" w14:textId="77777777" w:rsidR="00E42B18" w:rsidRDefault="00E42B18">
            <w:pPr>
              <w:spacing w:after="0" w:line="240" w:lineRule="auto"/>
              <w:jc w:val="center"/>
              <w:rPr>
                <w:rFonts w:ascii="Times New Roman" w:eastAsia="Times New Roman" w:hAnsi="Times New Roman" w:cs="Times New Roman"/>
                <w:noProof/>
              </w:rPr>
            </w:pPr>
          </w:p>
        </w:tc>
        <w:tc>
          <w:tcPr>
            <w:tcW w:w="4068" w:type="dxa"/>
            <w:vMerge/>
            <w:tcBorders>
              <w:top w:val="single" w:sz="4" w:space="0" w:color="auto"/>
              <w:left w:val="single" w:sz="4" w:space="0" w:color="auto"/>
              <w:bottom w:val="single" w:sz="4" w:space="0" w:color="auto"/>
              <w:right w:val="single" w:sz="4" w:space="0" w:color="auto"/>
            </w:tcBorders>
            <w:vAlign w:val="center"/>
          </w:tcPr>
          <w:p w14:paraId="77EDCAB4" w14:textId="77777777" w:rsidR="00E42B18" w:rsidRDefault="00E42B18">
            <w:pPr>
              <w:spacing w:after="0" w:line="240" w:lineRule="auto"/>
              <w:rPr>
                <w:rFonts w:ascii="Times New Roman" w:eastAsia="Times New Roman" w:hAnsi="Times New Roman" w:cs="Times New Roman"/>
                <w:noProof/>
              </w:rPr>
            </w:pPr>
          </w:p>
        </w:tc>
      </w:tr>
      <w:tr w:rsidR="00E42B18" w14:paraId="385E3EDA"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FE762C" w14:textId="77777777" w:rsidR="00E42B18" w:rsidRDefault="009629C4">
            <w:pPr>
              <w:pStyle w:val="P68B1DB1-Normal121"/>
              <w:spacing w:after="0" w:line="240" w:lineRule="auto"/>
              <w:jc w:val="center"/>
              <w:rPr>
                <w:noProof/>
              </w:rPr>
            </w:pPr>
            <w:r>
              <w:rPr>
                <w:noProof/>
              </w:rPr>
              <w:t>M2C3–5</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085A4F" w14:textId="77777777" w:rsidR="00E42B18" w:rsidRDefault="009629C4">
            <w:pPr>
              <w:pStyle w:val="P68B1DB1-Normal121"/>
              <w:spacing w:after="0" w:line="240" w:lineRule="auto"/>
              <w:rPr>
                <w:noProof/>
              </w:rPr>
            </w:pPr>
            <w:r>
              <w:rPr>
                <w:noProof/>
              </w:rPr>
              <w:t xml:space="preserve">Investointi 1.1: Uusien koulujen rakentaminen rakennusten vaihtamisen avulla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7D9139"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38E963" w14:textId="77777777" w:rsidR="00E42B18" w:rsidRDefault="009629C4">
            <w:pPr>
              <w:pStyle w:val="P68B1DB1-Normal121"/>
              <w:spacing w:after="0" w:line="240" w:lineRule="auto"/>
              <w:rPr>
                <w:noProof/>
              </w:rPr>
            </w:pPr>
            <w:r>
              <w:rPr>
                <w:noProof/>
              </w:rPr>
              <w:t xml:space="preserve">Kaikkien uusien koulujen rakentamista koskevien julkisten hankintasopimusten tekeminen koulurakennusten energiapäivityksiä uudistamalla julkisen tarjouskilpailumenettelyn jälkeen </w:t>
            </w:r>
          </w:p>
        </w:tc>
      </w:tr>
      <w:tr w:rsidR="00E42B18" w14:paraId="67F12C20"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9DFA67" w14:textId="77777777" w:rsidR="00E42B18" w:rsidRDefault="009629C4">
            <w:pPr>
              <w:pStyle w:val="P68B1DB1-Normal121"/>
              <w:spacing w:after="0" w:line="240" w:lineRule="auto"/>
              <w:jc w:val="center"/>
              <w:rPr>
                <w:noProof/>
              </w:rPr>
            </w:pPr>
            <w:r>
              <w:rPr>
                <w:noProof/>
              </w:rPr>
              <w:t>M2C4–28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9C06A7" w14:textId="77777777" w:rsidR="00E42B18" w:rsidRDefault="009629C4">
            <w:pPr>
              <w:pStyle w:val="P68B1DB1-Normal121"/>
              <w:spacing w:after="0" w:line="240" w:lineRule="auto"/>
              <w:rPr>
                <w:noProof/>
              </w:rPr>
            </w:pPr>
            <w:r>
              <w:rPr>
                <w:noProof/>
              </w:rPr>
              <w:t>Investointi 4.1. Investoinnit vedensaannin turvaamiseksi käytettäviin ensisijaisiin vesi-infrastruktuureihin</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B80836"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1FEDC3" w14:textId="1E4156CE" w:rsidR="00E42B18" w:rsidRDefault="009629C4">
            <w:pPr>
              <w:pStyle w:val="P68B1DB1-Normal121"/>
              <w:spacing w:after="0" w:line="240" w:lineRule="auto"/>
              <w:rPr>
                <w:noProof/>
              </w:rPr>
            </w:pPr>
            <w:r>
              <w:rPr>
                <w:noProof/>
              </w:rPr>
              <w:t xml:space="preserve">Rahoituksen myöntäminen kaikille hankkeille (ensisijaiseen vesi-infrastruktuuriin ja veden toimitusvarmuuteen tehtäviin investointeihin) </w:t>
            </w:r>
          </w:p>
        </w:tc>
      </w:tr>
      <w:tr w:rsidR="00E42B18" w14:paraId="445EBE87"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A36C31C" w14:textId="77777777" w:rsidR="00E42B18" w:rsidRDefault="009629C4">
            <w:pPr>
              <w:pStyle w:val="P68B1DB1-Normal121"/>
              <w:spacing w:after="0" w:line="240" w:lineRule="auto"/>
              <w:jc w:val="center"/>
              <w:rPr>
                <w:noProof/>
              </w:rPr>
            </w:pPr>
            <w:r>
              <w:rPr>
                <w:noProof/>
              </w:rPr>
              <w:t>M2C4–30</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E7C9D7" w14:textId="77777777" w:rsidR="00E42B18" w:rsidRDefault="009629C4">
            <w:pPr>
              <w:pStyle w:val="P68B1DB1-Normal121"/>
              <w:spacing w:after="0" w:line="240" w:lineRule="auto"/>
              <w:rPr>
                <w:noProof/>
              </w:rPr>
            </w:pPr>
            <w:r>
              <w:rPr>
                <w:noProof/>
              </w:rPr>
              <w:t>Investointi 4.2. Vedenjakeluverkkojen hävikin vähentäminen, mukaan lukien verkkojen digitalisointi ja seuranta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36E738"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5105F7" w14:textId="77777777" w:rsidR="00E42B18" w:rsidRDefault="009629C4">
            <w:pPr>
              <w:pStyle w:val="P68B1DB1-Normal121"/>
              <w:spacing w:after="0" w:line="240" w:lineRule="auto"/>
              <w:rPr>
                <w:noProof/>
              </w:rPr>
            </w:pPr>
            <w:r>
              <w:rPr>
                <w:noProof/>
              </w:rPr>
              <w:t>Rahoituksen myöntäminen kaikille vedenjakeluverkkoihin liittyville hankkeille, mukaan lukien verkkojen digitalisointi ja seuranta</w:t>
            </w:r>
          </w:p>
        </w:tc>
      </w:tr>
      <w:tr w:rsidR="00E42B18" w14:paraId="2AFAED8A"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C02D2B" w14:textId="77777777" w:rsidR="00E42B18" w:rsidRDefault="009629C4">
            <w:pPr>
              <w:pStyle w:val="P68B1DB1-Normal121"/>
              <w:spacing w:after="0" w:line="240" w:lineRule="auto"/>
              <w:jc w:val="center"/>
              <w:rPr>
                <w:noProof/>
              </w:rPr>
            </w:pPr>
            <w:r>
              <w:rPr>
                <w:noProof/>
              </w:rPr>
              <w:t>M1C1–14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918238" w14:textId="77777777" w:rsidR="00E42B18" w:rsidRDefault="009629C4">
            <w:pPr>
              <w:pStyle w:val="P68B1DB1-Normal121"/>
              <w:spacing w:after="0" w:line="240" w:lineRule="auto"/>
              <w:rPr>
                <w:noProof/>
              </w:rPr>
            </w:pPr>
            <w:r>
              <w:rPr>
                <w:noProof/>
              </w:rPr>
              <w:t>Investointi 1.6.5: Korkeimman hallinto-oikeuden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3D6FA5"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0DA7E" w14:textId="77777777" w:rsidR="00E42B18" w:rsidRDefault="009629C4">
            <w:pPr>
              <w:pStyle w:val="P68B1DB1-Normal121"/>
              <w:spacing w:after="0" w:line="240" w:lineRule="auto"/>
              <w:rPr>
                <w:noProof/>
              </w:rPr>
            </w:pPr>
            <w:r>
              <w:rPr>
                <w:noProof/>
              </w:rPr>
              <w:t>Korkein hallinto-oikeus – Tuomioistuinasiakirjat, joita voidaan analysoida T1-tietovarastossa</w:t>
            </w:r>
          </w:p>
        </w:tc>
      </w:tr>
      <w:tr w:rsidR="00E42B18" w14:paraId="0378F873"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7791D5" w14:textId="77777777" w:rsidR="00E42B18" w:rsidRDefault="009629C4">
            <w:pPr>
              <w:pStyle w:val="P68B1DB1-Normal121"/>
              <w:spacing w:after="0" w:line="240" w:lineRule="auto"/>
              <w:jc w:val="center"/>
              <w:rPr>
                <w:noProof/>
              </w:rPr>
            </w:pPr>
            <w:r>
              <w:rPr>
                <w:noProof/>
              </w:rPr>
              <w:t>M1C1–16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229C41" w14:textId="77777777" w:rsidR="00E42B18" w:rsidRDefault="009629C4">
            <w:pPr>
              <w:pStyle w:val="P68B1DB1-Normal121"/>
              <w:spacing w:after="0" w:line="240" w:lineRule="auto"/>
              <w:rPr>
                <w:noProof/>
              </w:rPr>
            </w:pPr>
            <w:r>
              <w:rPr>
                <w:noProof/>
              </w:rPr>
              <w:t>Investointi 1.6.5: Korkeimman hallinto-oikeuden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D13776"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499F81" w14:textId="77777777" w:rsidR="00E42B18" w:rsidRDefault="009629C4">
            <w:pPr>
              <w:pStyle w:val="P68B1DB1-Normal121"/>
              <w:spacing w:after="0" w:line="240" w:lineRule="auto"/>
              <w:rPr>
                <w:noProof/>
              </w:rPr>
            </w:pPr>
            <w:r>
              <w:rPr>
                <w:noProof/>
              </w:rPr>
              <w:t>Korkein hallinto-oikeus – Tuomioistuinasiakirjat, joita voidaan analysoida T2-tietovarastossa</w:t>
            </w:r>
          </w:p>
        </w:tc>
      </w:tr>
      <w:tr w:rsidR="00E42B18" w14:paraId="56252DF7"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E00C6C" w14:textId="77777777" w:rsidR="00E42B18" w:rsidRDefault="009629C4">
            <w:pPr>
              <w:pStyle w:val="P68B1DB1-Normal121"/>
              <w:spacing w:after="0" w:line="240" w:lineRule="auto"/>
              <w:jc w:val="center"/>
              <w:rPr>
                <w:noProof/>
              </w:rPr>
            </w:pPr>
            <w:r>
              <w:rPr>
                <w:noProof/>
              </w:rPr>
              <w:t>M1C1–126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849715C" w14:textId="77777777" w:rsidR="00E42B18" w:rsidRDefault="009629C4">
            <w:pPr>
              <w:pStyle w:val="P68B1DB1-Normal121"/>
              <w:spacing w:after="0" w:line="240" w:lineRule="auto"/>
              <w:rPr>
                <w:noProof/>
              </w:rPr>
            </w:pPr>
            <w:r>
              <w:rPr>
                <w:noProof/>
              </w:rPr>
              <w:t>Investointi 1.4.3 – PagoPA-alustapalvelujen ja ”IO”-sovelluksen käyttöönotto</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8EC65E"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5CC602" w14:textId="77777777" w:rsidR="00E42B18" w:rsidRDefault="009629C4">
            <w:pPr>
              <w:pStyle w:val="P68B1DB1-Normal121"/>
              <w:spacing w:after="0" w:line="240" w:lineRule="auto"/>
              <w:rPr>
                <w:noProof/>
              </w:rPr>
            </w:pPr>
            <w:r>
              <w:rPr>
                <w:noProof/>
              </w:rPr>
              <w:t>PagoPA-alustapalvelujen T1 käyttöönotto</w:t>
            </w:r>
          </w:p>
        </w:tc>
      </w:tr>
      <w:tr w:rsidR="00E42B18" w14:paraId="03C31488"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614481" w14:textId="77777777" w:rsidR="00E42B18" w:rsidRDefault="009629C4">
            <w:pPr>
              <w:pStyle w:val="P68B1DB1-Normal121"/>
              <w:spacing w:after="0" w:line="240" w:lineRule="auto"/>
              <w:jc w:val="center"/>
              <w:rPr>
                <w:noProof/>
              </w:rPr>
            </w:pPr>
            <w:r>
              <w:rPr>
                <w:noProof/>
              </w:rPr>
              <w:t>M1C1–127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8DF8A9" w14:textId="77777777" w:rsidR="00E42B18" w:rsidRDefault="009629C4">
            <w:pPr>
              <w:pStyle w:val="P68B1DB1-Normal121"/>
              <w:spacing w:after="0" w:line="240" w:lineRule="auto"/>
              <w:rPr>
                <w:noProof/>
              </w:rPr>
            </w:pPr>
            <w:r>
              <w:rPr>
                <w:noProof/>
              </w:rPr>
              <w:t>Investointi 1.4.3 – PagoPA-alustapalvelujen ja ”IO”-sovelluksen käyttöönotto</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891F2C"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7DA22B" w14:textId="77777777" w:rsidR="00E42B18" w:rsidRDefault="009629C4">
            <w:pPr>
              <w:pStyle w:val="P68B1DB1-Normal121"/>
              <w:spacing w:after="0" w:line="240" w:lineRule="auto"/>
              <w:rPr>
                <w:noProof/>
              </w:rPr>
            </w:pPr>
            <w:r>
              <w:rPr>
                <w:noProof/>
              </w:rPr>
              <w:t>”IO”-sovelluksen T1 käyttöönotto</w:t>
            </w:r>
          </w:p>
        </w:tc>
      </w:tr>
      <w:tr w:rsidR="00E42B18" w14:paraId="18BBA449"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74EC4" w14:textId="77777777" w:rsidR="00E42B18" w:rsidRDefault="009629C4">
            <w:pPr>
              <w:pStyle w:val="P68B1DB1-Normal121"/>
              <w:spacing w:after="0" w:line="240" w:lineRule="auto"/>
              <w:jc w:val="center"/>
              <w:rPr>
                <w:noProof/>
              </w:rPr>
            </w:pPr>
            <w:r>
              <w:rPr>
                <w:noProof/>
              </w:rPr>
              <w:t>M1C1–128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95993C" w14:textId="77777777" w:rsidR="00E42B18" w:rsidRDefault="009629C4">
            <w:pPr>
              <w:pStyle w:val="P68B1DB1-Normal121"/>
              <w:spacing w:after="0" w:line="240" w:lineRule="auto"/>
              <w:rPr>
                <w:noProof/>
              </w:rPr>
            </w:pPr>
            <w:r>
              <w:rPr>
                <w:noProof/>
              </w:rPr>
              <w:t>Investointi 1.4.5 – Julkisten ilmoitusten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245927"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7D1C83" w14:textId="77777777" w:rsidR="00E42B18" w:rsidRDefault="009629C4">
            <w:pPr>
              <w:pStyle w:val="P68B1DB1-Normal121"/>
              <w:spacing w:after="0" w:line="240" w:lineRule="auto"/>
              <w:rPr>
                <w:noProof/>
              </w:rPr>
            </w:pPr>
            <w:r>
              <w:rPr>
                <w:noProof/>
              </w:rPr>
              <w:t>Digitaalisten julkisten ilmoitusten käyttöönoton lisääminen T1</w:t>
            </w:r>
          </w:p>
        </w:tc>
      </w:tr>
      <w:tr w:rsidR="00E42B18" w14:paraId="5A4E2DA9"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9A3E10" w14:textId="77777777" w:rsidR="00E42B18" w:rsidRDefault="009629C4">
            <w:pPr>
              <w:pStyle w:val="P68B1DB1-Normal121"/>
              <w:spacing w:after="0" w:line="240" w:lineRule="auto"/>
              <w:jc w:val="center"/>
              <w:rPr>
                <w:noProof/>
              </w:rPr>
            </w:pPr>
            <w:r>
              <w:rPr>
                <w:noProof/>
              </w:rPr>
              <w:t>M1C1–129</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4BD8D5" w14:textId="77777777" w:rsidR="00E42B18" w:rsidRDefault="009629C4">
            <w:pPr>
              <w:pStyle w:val="P68B1DB1-Normal121"/>
              <w:spacing w:after="0" w:line="240" w:lineRule="auto"/>
              <w:rPr>
                <w:noProof/>
              </w:rPr>
            </w:pPr>
            <w:r>
              <w:rPr>
                <w:noProof/>
              </w:rPr>
              <w:t>Investointi 1.6.1 – Sisäministeriön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CA4850"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44CBE0" w14:textId="77777777" w:rsidR="00E42B18" w:rsidRDefault="009629C4">
            <w:pPr>
              <w:pStyle w:val="P68B1DB1-Normal121"/>
              <w:spacing w:after="0" w:line="240" w:lineRule="auto"/>
              <w:rPr>
                <w:noProof/>
              </w:rPr>
            </w:pPr>
            <w:r>
              <w:rPr>
                <w:noProof/>
              </w:rPr>
              <w:t>Sisäministeriö – kokonaan uudelleenmuotoillut ja digitalisoidut prosessit</w:t>
            </w:r>
          </w:p>
        </w:tc>
      </w:tr>
      <w:tr w:rsidR="00E42B18" w14:paraId="097B739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3A8BB5" w14:textId="77777777" w:rsidR="00E42B18" w:rsidRDefault="009629C4">
            <w:pPr>
              <w:pStyle w:val="P68B1DB1-Normal121"/>
              <w:spacing w:after="0" w:line="240" w:lineRule="auto"/>
              <w:jc w:val="center"/>
              <w:rPr>
                <w:noProof/>
              </w:rPr>
            </w:pPr>
            <w:r>
              <w:rPr>
                <w:noProof/>
              </w:rPr>
              <w:t>M1C1–130</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0E5407" w14:textId="77777777" w:rsidR="00E42B18" w:rsidRDefault="009629C4">
            <w:pPr>
              <w:pStyle w:val="P68B1DB1-Normal121"/>
              <w:spacing w:after="0" w:line="240" w:lineRule="auto"/>
              <w:rPr>
                <w:noProof/>
              </w:rPr>
            </w:pPr>
            <w:r>
              <w:rPr>
                <w:noProof/>
              </w:rPr>
              <w:t>Investointi 1.6.2 – Oikeusministeriön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BA7001"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679994" w14:textId="77777777" w:rsidR="00E42B18" w:rsidRDefault="009629C4">
            <w:pPr>
              <w:pStyle w:val="P68B1DB1-Normal121"/>
              <w:spacing w:after="0" w:line="240" w:lineRule="auto"/>
              <w:rPr>
                <w:noProof/>
              </w:rPr>
            </w:pPr>
            <w:r>
              <w:rPr>
                <w:noProof/>
              </w:rPr>
              <w:t>Digitalisoidut T1-asiakirjat</w:t>
            </w:r>
          </w:p>
        </w:tc>
      </w:tr>
      <w:tr w:rsidR="00E42B18" w14:paraId="05A6CEAE"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0F5EB8" w14:textId="77777777" w:rsidR="00E42B18" w:rsidRDefault="009629C4">
            <w:pPr>
              <w:pStyle w:val="P68B1DB1-Normal121"/>
              <w:spacing w:after="0" w:line="240" w:lineRule="auto"/>
              <w:jc w:val="center"/>
              <w:rPr>
                <w:noProof/>
              </w:rPr>
            </w:pPr>
            <w:r>
              <w:rPr>
                <w:noProof/>
              </w:rPr>
              <w:t>M1C1–131</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B1AF61" w14:textId="77777777" w:rsidR="00E42B18" w:rsidRDefault="009629C4">
            <w:pPr>
              <w:pStyle w:val="P68B1DB1-Normal121"/>
              <w:spacing w:after="0" w:line="240" w:lineRule="auto"/>
              <w:rPr>
                <w:noProof/>
              </w:rPr>
            </w:pPr>
            <w:r>
              <w:rPr>
                <w:noProof/>
              </w:rPr>
              <w:t>Investointi 1.6.2 – Oikeusministeriön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A203B6"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755766" w14:textId="77777777" w:rsidR="00E42B18" w:rsidRDefault="009629C4">
            <w:pPr>
              <w:pStyle w:val="P68B1DB1-Normal121"/>
              <w:spacing w:after="0" w:line="240" w:lineRule="auto"/>
              <w:rPr>
                <w:noProof/>
              </w:rPr>
            </w:pPr>
            <w:r>
              <w:rPr>
                <w:noProof/>
              </w:rPr>
              <w:t>Oikeusalan tietojärven tietojärjestelmät T1</w:t>
            </w:r>
          </w:p>
        </w:tc>
      </w:tr>
      <w:tr w:rsidR="00E42B18" w:rsidRPr="009629C4" w14:paraId="0A94E2F2"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53AEE4" w14:textId="77777777" w:rsidR="00E42B18" w:rsidRDefault="009629C4">
            <w:pPr>
              <w:pStyle w:val="P68B1DB1-Normal121"/>
              <w:spacing w:after="0" w:line="240" w:lineRule="auto"/>
              <w:jc w:val="center"/>
              <w:rPr>
                <w:noProof/>
              </w:rPr>
            </w:pPr>
            <w:r>
              <w:rPr>
                <w:noProof/>
              </w:rPr>
              <w:t>M1C1–132</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695E30" w14:textId="77777777" w:rsidR="00E42B18" w:rsidRDefault="009629C4">
            <w:pPr>
              <w:pStyle w:val="P68B1DB1-Normal121"/>
              <w:spacing w:after="0" w:line="240" w:lineRule="auto"/>
              <w:rPr>
                <w:noProof/>
              </w:rPr>
            </w:pPr>
            <w:r>
              <w:rPr>
                <w:noProof/>
              </w:rPr>
              <w:t>Investointi 1.6.3 – Kansallisen sosiaaliturvalaitoksen (INPS) ja työtapaturmavakuutuslaitoksen (INAIL)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4F0691"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7BBCC2E" w14:textId="77777777" w:rsidR="00E42B18" w:rsidRPr="007F4B94" w:rsidRDefault="009629C4">
            <w:pPr>
              <w:pStyle w:val="P68B1DB1-Normal121"/>
              <w:spacing w:after="0" w:line="240" w:lineRule="auto"/>
              <w:rPr>
                <w:noProof/>
                <w:lang w:val="en-IE"/>
              </w:rPr>
            </w:pPr>
            <w:r w:rsidRPr="007F4B94">
              <w:rPr>
                <w:noProof/>
                <w:lang w:val="en-IE"/>
              </w:rPr>
              <w:t>INPS – ”One click by design” -palvelut/sisältö T2</w:t>
            </w:r>
          </w:p>
        </w:tc>
      </w:tr>
      <w:tr w:rsidR="00E42B18" w14:paraId="7F3D1B0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D3166A" w14:textId="77777777" w:rsidR="00E42B18" w:rsidRDefault="009629C4">
            <w:pPr>
              <w:pStyle w:val="P68B1DB1-Normal121"/>
              <w:spacing w:after="0" w:line="240" w:lineRule="auto"/>
              <w:jc w:val="center"/>
              <w:rPr>
                <w:noProof/>
              </w:rPr>
            </w:pPr>
            <w:r>
              <w:rPr>
                <w:noProof/>
              </w:rPr>
              <w:t>M1C1–133</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0F9256" w14:textId="77777777" w:rsidR="00E42B18" w:rsidRDefault="009629C4">
            <w:pPr>
              <w:pStyle w:val="P68B1DB1-Normal121"/>
              <w:spacing w:after="0" w:line="240" w:lineRule="auto"/>
              <w:rPr>
                <w:noProof/>
              </w:rPr>
            </w:pPr>
            <w:r>
              <w:rPr>
                <w:noProof/>
              </w:rPr>
              <w:t>Investointi 1.6.3 – Kansallisen sosiaaliturvalaitoksen (INPS) ja työtapaturmavakuutuslaitoksen (INAIL)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6DBF11"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47B023" w14:textId="77777777" w:rsidR="00E42B18" w:rsidRDefault="009629C4">
            <w:pPr>
              <w:pStyle w:val="P68B1DB1-Normal121"/>
              <w:spacing w:after="0" w:line="240" w:lineRule="auto"/>
              <w:rPr>
                <w:noProof/>
              </w:rPr>
            </w:pPr>
            <w:r>
              <w:rPr>
                <w:noProof/>
              </w:rPr>
              <w:t>INPS – työntekijät, joilla on paremmat tieto- ja viestintätekniikan taidot T2</w:t>
            </w:r>
          </w:p>
        </w:tc>
      </w:tr>
      <w:tr w:rsidR="00E42B18" w14:paraId="37A0068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440150" w14:textId="77777777" w:rsidR="00E42B18" w:rsidRDefault="009629C4">
            <w:pPr>
              <w:pStyle w:val="P68B1DB1-Normal121"/>
              <w:spacing w:after="0" w:line="240" w:lineRule="auto"/>
              <w:jc w:val="center"/>
              <w:rPr>
                <w:noProof/>
              </w:rPr>
            </w:pPr>
            <w:r>
              <w:rPr>
                <w:noProof/>
              </w:rPr>
              <w:t>M1C1–134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F3456F" w14:textId="77777777" w:rsidR="00E42B18" w:rsidRDefault="009629C4">
            <w:pPr>
              <w:pStyle w:val="P68B1DB1-Normal121"/>
              <w:spacing w:after="0" w:line="240" w:lineRule="auto"/>
              <w:rPr>
                <w:noProof/>
              </w:rPr>
            </w:pPr>
            <w:r>
              <w:rPr>
                <w:noProof/>
              </w:rPr>
              <w:t>Investointi 1.6.3 – Kansallisen sosiaaliturvalaitoksen (INPS) ja työtapaturmavakuutuslaitoksen (INAIL)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BB9853"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CFA2AA" w14:textId="77777777" w:rsidR="00E42B18" w:rsidRDefault="009629C4">
            <w:pPr>
              <w:pStyle w:val="P68B1DB1-Normal121"/>
              <w:spacing w:after="0" w:line="240" w:lineRule="auto"/>
              <w:rPr>
                <w:noProof/>
              </w:rPr>
            </w:pPr>
            <w:r>
              <w:rPr>
                <w:noProof/>
              </w:rPr>
              <w:t>INAIL – kokonaan uudelleenmuotoillut ja digitalisoidut prosessit/palvelut T1</w:t>
            </w:r>
          </w:p>
        </w:tc>
      </w:tr>
      <w:tr w:rsidR="00E42B18" w14:paraId="7D025D64"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287BA3" w14:textId="77777777" w:rsidR="00E42B18" w:rsidRDefault="009629C4">
            <w:pPr>
              <w:pStyle w:val="P68B1DB1-Normal121"/>
              <w:spacing w:after="0" w:line="240" w:lineRule="auto"/>
              <w:jc w:val="center"/>
              <w:rPr>
                <w:noProof/>
              </w:rPr>
            </w:pPr>
            <w:r>
              <w:rPr>
                <w:noProof/>
              </w:rPr>
              <w:t>M1C1–135</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1BCDF7" w14:textId="77777777" w:rsidR="00E42B18" w:rsidRDefault="009629C4">
            <w:pPr>
              <w:pStyle w:val="P68B1DB1-Normal121"/>
              <w:spacing w:after="0" w:line="240" w:lineRule="auto"/>
              <w:rPr>
                <w:noProof/>
              </w:rPr>
            </w:pPr>
            <w:r>
              <w:rPr>
                <w:noProof/>
              </w:rPr>
              <w:t>Investointi 1.6.4 – Puolustusministeriön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B96DF3"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BBC85C" w14:textId="77777777" w:rsidR="00E42B18" w:rsidRDefault="009629C4">
            <w:pPr>
              <w:pStyle w:val="P68B1DB1-Normal121"/>
              <w:spacing w:after="0" w:line="240" w:lineRule="auto"/>
              <w:rPr>
                <w:noProof/>
              </w:rPr>
            </w:pPr>
            <w:r>
              <w:rPr>
                <w:noProof/>
              </w:rPr>
              <w:t>Puolustusministeriö – menettelyjen digitalisointi T1</w:t>
            </w:r>
          </w:p>
        </w:tc>
      </w:tr>
      <w:tr w:rsidR="00E42B18" w14:paraId="62F61564"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C5BBB7" w14:textId="77777777" w:rsidR="00E42B18" w:rsidRDefault="009629C4">
            <w:pPr>
              <w:pStyle w:val="P68B1DB1-Normal121"/>
              <w:spacing w:after="0" w:line="240" w:lineRule="auto"/>
              <w:jc w:val="center"/>
              <w:rPr>
                <w:noProof/>
              </w:rPr>
            </w:pPr>
            <w:r>
              <w:rPr>
                <w:noProof/>
              </w:rPr>
              <w:t>M1C1–136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BF3505" w14:textId="77777777" w:rsidR="00E42B18" w:rsidRDefault="009629C4">
            <w:pPr>
              <w:pStyle w:val="P68B1DB1-Normal121"/>
              <w:spacing w:after="0" w:line="240" w:lineRule="auto"/>
              <w:rPr>
                <w:noProof/>
              </w:rPr>
            </w:pPr>
            <w:r>
              <w:rPr>
                <w:noProof/>
              </w:rPr>
              <w:t>Investointi 1.6.4 – Puolustusministeriön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61DCFA"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674CB2" w14:textId="77777777" w:rsidR="00E42B18" w:rsidRDefault="009629C4">
            <w:pPr>
              <w:pStyle w:val="P68B1DB1-Normal121"/>
              <w:spacing w:after="0" w:line="240" w:lineRule="auto"/>
              <w:rPr>
                <w:noProof/>
              </w:rPr>
            </w:pPr>
            <w:r>
              <w:rPr>
                <w:noProof/>
              </w:rPr>
              <w:t>Puolustusministeriö – T1-todistusten digitalisointi</w:t>
            </w:r>
          </w:p>
        </w:tc>
      </w:tr>
      <w:tr w:rsidR="00E42B18" w14:paraId="7356E5CD"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9F772C" w14:textId="77777777" w:rsidR="00E42B18" w:rsidRDefault="009629C4">
            <w:pPr>
              <w:pStyle w:val="P68B1DB1-Normal121"/>
              <w:spacing w:after="0" w:line="240" w:lineRule="auto"/>
              <w:jc w:val="center"/>
              <w:rPr>
                <w:noProof/>
              </w:rPr>
            </w:pPr>
            <w:r>
              <w:rPr>
                <w:noProof/>
              </w:rPr>
              <w:t>M1C1–137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AB7E4C" w14:textId="77777777" w:rsidR="00E42B18" w:rsidRDefault="009629C4">
            <w:pPr>
              <w:pStyle w:val="P68B1DB1-Normal121"/>
              <w:spacing w:after="0" w:line="240" w:lineRule="auto"/>
              <w:rPr>
                <w:noProof/>
              </w:rPr>
            </w:pPr>
            <w:r>
              <w:rPr>
                <w:noProof/>
              </w:rPr>
              <w:t>Investointi 1.6.4 – Puolustusministeriön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18DCA3"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D52771" w14:textId="77777777" w:rsidR="00E42B18" w:rsidRDefault="009629C4">
            <w:pPr>
              <w:pStyle w:val="P68B1DB1-Normal121"/>
              <w:spacing w:after="0" w:line="240" w:lineRule="auto"/>
              <w:rPr>
                <w:noProof/>
              </w:rPr>
            </w:pPr>
            <w:r>
              <w:rPr>
                <w:noProof/>
              </w:rPr>
              <w:t>Puolustusministeriö – Institutionaaliset verkkoportaalit ja intranet-portaalit</w:t>
            </w:r>
          </w:p>
        </w:tc>
      </w:tr>
      <w:tr w:rsidR="00E42B18" w14:paraId="046EAD15"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BADBD0" w14:textId="77777777" w:rsidR="00E42B18" w:rsidRDefault="009629C4">
            <w:pPr>
              <w:pStyle w:val="P68B1DB1-Normal121"/>
              <w:spacing w:after="0" w:line="240" w:lineRule="auto"/>
              <w:jc w:val="center"/>
              <w:rPr>
                <w:noProof/>
              </w:rPr>
            </w:pPr>
            <w:r>
              <w:rPr>
                <w:noProof/>
              </w:rPr>
              <w:t>M1C1–138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8F9B99" w14:textId="77777777" w:rsidR="00E42B18" w:rsidRDefault="009629C4">
            <w:pPr>
              <w:pStyle w:val="P68B1DB1-Normal121"/>
              <w:spacing w:after="0" w:line="240" w:lineRule="auto"/>
              <w:rPr>
                <w:noProof/>
              </w:rPr>
            </w:pPr>
            <w:r>
              <w:rPr>
                <w:noProof/>
              </w:rPr>
              <w:t>Investointi 1.6.4 – Puolustusministeriön digitalisointi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50F8AD"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60D240" w14:textId="77777777" w:rsidR="00E42B18" w:rsidRDefault="009629C4">
            <w:pPr>
              <w:pStyle w:val="P68B1DB1-Normal121"/>
              <w:spacing w:after="0" w:line="240" w:lineRule="auto"/>
              <w:rPr>
                <w:noProof/>
              </w:rPr>
            </w:pPr>
            <w:r>
              <w:rPr>
                <w:noProof/>
              </w:rPr>
              <w:t>Puolustusministeriö – Ei-mission kriittisten sovellusten siirtäminen infrastruktuurin avoimuutta koskevaan täydelliseen tietosuojaan (S.C.I.P.I.O.) T1</w:t>
            </w:r>
          </w:p>
        </w:tc>
      </w:tr>
      <w:tr w:rsidR="00E42B18" w14:paraId="67332DCB"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F2AB37" w14:textId="77777777" w:rsidR="00E42B18" w:rsidRDefault="009629C4">
            <w:pPr>
              <w:pStyle w:val="P68B1DB1-Normal121"/>
              <w:spacing w:after="0" w:line="240" w:lineRule="auto"/>
              <w:jc w:val="center"/>
              <w:rPr>
                <w:noProof/>
              </w:rPr>
            </w:pPr>
            <w:r>
              <w:rPr>
                <w:noProof/>
              </w:rPr>
              <w:t>M1C2–29</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9F1362" w14:textId="77777777" w:rsidR="00E42B18" w:rsidRDefault="009629C4">
            <w:pPr>
              <w:pStyle w:val="P68B1DB1-Normal121"/>
              <w:spacing w:after="0" w:line="240" w:lineRule="auto"/>
              <w:rPr>
                <w:noProof/>
              </w:rPr>
            </w:pPr>
            <w:r>
              <w:rPr>
                <w:noProof/>
              </w:rPr>
              <w:t>Investointi 5.2: Toimitusketjujen kilpailukyky ja häiriönsietokyky</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B74522"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E3FB7A" w14:textId="77777777" w:rsidR="00E42B18" w:rsidRDefault="009629C4">
            <w:pPr>
              <w:pStyle w:val="P68B1DB1-Normal121"/>
              <w:spacing w:after="0" w:line="240" w:lineRule="auto"/>
              <w:rPr>
                <w:noProof/>
              </w:rPr>
            </w:pPr>
            <w:r>
              <w:rPr>
                <w:noProof/>
              </w:rPr>
              <w:t>Kehityssopimukset hyväksytty</w:t>
            </w:r>
          </w:p>
        </w:tc>
      </w:tr>
      <w:tr w:rsidR="00E42B18" w14:paraId="2DCAD820"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70A09C" w14:textId="77777777" w:rsidR="00E42B18" w:rsidRDefault="009629C4">
            <w:pPr>
              <w:pStyle w:val="P68B1DB1-Normal121"/>
              <w:spacing w:after="0" w:line="240" w:lineRule="auto"/>
              <w:jc w:val="center"/>
              <w:rPr>
                <w:noProof/>
              </w:rPr>
            </w:pPr>
            <w:r>
              <w:rPr>
                <w:noProof/>
              </w:rPr>
              <w:t>M2C1–15a</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CE4EAC" w14:textId="77777777" w:rsidR="00E42B18" w:rsidRDefault="009629C4">
            <w:pPr>
              <w:pStyle w:val="P68B1DB1-Normal121"/>
              <w:spacing w:after="0" w:line="240" w:lineRule="auto"/>
              <w:rPr>
                <w:noProof/>
              </w:rPr>
            </w:pPr>
            <w:r>
              <w:rPr>
                <w:noProof/>
              </w:rPr>
              <w:t>Uudistus 1.2 Jätehuoltoa koskeva kansallinen ohjelma:  Investointi 1.1 – Uusien jätehuoltolaitosten käyttöönotto ja olemassa olevien laitosten nykyaikaistaminen</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ACF9B2"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F3FA01" w14:textId="77777777" w:rsidR="00E42B18" w:rsidRDefault="009629C4">
            <w:pPr>
              <w:pStyle w:val="P68B1DB1-Normal121"/>
              <w:spacing w:after="0" w:line="240" w:lineRule="auto"/>
              <w:rPr>
                <w:noProof/>
              </w:rPr>
            </w:pPr>
            <w:r>
              <w:rPr>
                <w:noProof/>
              </w:rPr>
              <w:t>Epäsäännöllisten kaatopaikkojen vähentäminen (T2)</w:t>
            </w:r>
          </w:p>
        </w:tc>
      </w:tr>
      <w:tr w:rsidR="00E42B18" w14:paraId="1F6564C2"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D1FC58" w14:textId="77777777" w:rsidR="00E42B18" w:rsidRDefault="009629C4">
            <w:pPr>
              <w:pStyle w:val="P68B1DB1-Normal121"/>
              <w:spacing w:after="0" w:line="240" w:lineRule="auto"/>
              <w:jc w:val="center"/>
              <w:rPr>
                <w:noProof/>
              </w:rPr>
            </w:pPr>
            <w:r>
              <w:rPr>
                <w:noProof/>
              </w:rPr>
              <w:t>M2C1–15ter</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CAA910" w14:textId="77777777" w:rsidR="00E42B18" w:rsidRDefault="009629C4">
            <w:pPr>
              <w:pStyle w:val="P68B1DB1-Normal121"/>
              <w:spacing w:after="0" w:line="240" w:lineRule="auto"/>
              <w:rPr>
                <w:noProof/>
              </w:rPr>
            </w:pPr>
            <w:r>
              <w:rPr>
                <w:noProof/>
              </w:rPr>
              <w:t>Uudistus 1.2 Jätehuoltoa koskeva kansallinen ohjelma:  Investointi 1.1 – Uusien jätehuoltolaitosten käyttöönotto ja olemassa olevien laitosten nykyaikaistaminen</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C4B6A2"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9F4D4D" w14:textId="77777777" w:rsidR="00E42B18" w:rsidRDefault="009629C4">
            <w:pPr>
              <w:pStyle w:val="P68B1DB1-Normal121"/>
              <w:spacing w:after="0" w:line="240" w:lineRule="auto"/>
              <w:rPr>
                <w:noProof/>
              </w:rPr>
            </w:pPr>
            <w:r>
              <w:rPr>
                <w:noProof/>
              </w:rPr>
              <w:t>Alueelliset erot erilliskeräyksessä</w:t>
            </w:r>
          </w:p>
        </w:tc>
      </w:tr>
      <w:tr w:rsidR="00E42B18" w14:paraId="3E1355A6"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D71B87" w14:textId="77777777" w:rsidR="00E42B18" w:rsidRDefault="009629C4">
            <w:pPr>
              <w:pStyle w:val="P68B1DB1-Normal121"/>
              <w:spacing w:after="0" w:line="240" w:lineRule="auto"/>
              <w:jc w:val="center"/>
              <w:rPr>
                <w:noProof/>
              </w:rPr>
            </w:pPr>
            <w:r>
              <w:rPr>
                <w:noProof/>
              </w:rPr>
              <w:t>M2C1–15 quater</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47D499" w14:textId="77777777" w:rsidR="00E42B18" w:rsidRDefault="009629C4">
            <w:pPr>
              <w:pStyle w:val="P68B1DB1-Normal121"/>
              <w:spacing w:after="0" w:line="240" w:lineRule="auto"/>
              <w:rPr>
                <w:noProof/>
              </w:rPr>
            </w:pPr>
            <w:r>
              <w:rPr>
                <w:noProof/>
              </w:rPr>
              <w:t>Investointi 1.1 – Uusien jätehuoltolaitosten käyttöönotto ja olemassa olevien laitosten nykyaikaistaminen</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B3C128"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05F1A0" w14:textId="77777777" w:rsidR="00E42B18" w:rsidRDefault="009629C4">
            <w:pPr>
              <w:pStyle w:val="P68B1DB1-Normal121"/>
              <w:spacing w:after="0" w:line="240" w:lineRule="auto"/>
              <w:rPr>
                <w:noProof/>
              </w:rPr>
            </w:pPr>
            <w:r>
              <w:rPr>
                <w:noProof/>
              </w:rPr>
              <w:t>Biojätteen erilliskeräystä koskevan velvoitteen voimaantulo</w:t>
            </w:r>
          </w:p>
        </w:tc>
      </w:tr>
      <w:tr w:rsidR="00E42B18" w14:paraId="7B12B243"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C9A8EF" w14:textId="77777777" w:rsidR="00E42B18" w:rsidRDefault="009629C4">
            <w:pPr>
              <w:pStyle w:val="P68B1DB1-Normal121"/>
              <w:spacing w:after="0" w:line="240" w:lineRule="auto"/>
              <w:jc w:val="center"/>
              <w:rPr>
                <w:noProof/>
              </w:rPr>
            </w:pPr>
            <w:r>
              <w:rPr>
                <w:noProof/>
              </w:rPr>
              <w:t>M2C2–24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629452" w14:textId="77777777" w:rsidR="00E42B18" w:rsidRDefault="009629C4">
            <w:pPr>
              <w:pStyle w:val="P68B1DB1-Normal121"/>
              <w:spacing w:after="0" w:line="240" w:lineRule="auto"/>
              <w:rPr>
                <w:noProof/>
              </w:rPr>
            </w:pPr>
            <w:r>
              <w:rPr>
                <w:noProof/>
              </w:rPr>
              <w:t xml:space="preserve">Investointi 4.2 Nopean joukkoliikenteen järjestelmien kehittäminen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E0C9CF"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3AAD0A1" w14:textId="77777777" w:rsidR="00E42B18" w:rsidRDefault="009629C4">
            <w:pPr>
              <w:pStyle w:val="P68B1DB1-Normal122"/>
              <w:spacing w:after="0" w:line="240" w:lineRule="auto"/>
              <w:rPr>
                <w:noProof/>
              </w:rPr>
            </w:pPr>
            <w:r>
              <w:rPr>
                <w:noProof/>
                <w:color w:val="006100"/>
              </w:rPr>
              <w:t>Kaikkien metro-, raitiotie-, johdinauto- ja köysirata-alueiden rakentamista koskevien hankintasopimusten tekeminen</w:t>
            </w:r>
          </w:p>
        </w:tc>
      </w:tr>
      <w:tr w:rsidR="00E42B18" w14:paraId="0469521C"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4DA542" w14:textId="77777777" w:rsidR="00E42B18" w:rsidRDefault="009629C4">
            <w:pPr>
              <w:pStyle w:val="P68B1DB1-Normal121"/>
              <w:spacing w:after="0" w:line="240" w:lineRule="auto"/>
              <w:jc w:val="center"/>
              <w:rPr>
                <w:noProof/>
              </w:rPr>
            </w:pPr>
            <w:r>
              <w:rPr>
                <w:noProof/>
              </w:rPr>
              <w:t>M2C2–32</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C9A4A1" w14:textId="77777777" w:rsidR="00E42B18" w:rsidRDefault="009629C4">
            <w:pPr>
              <w:pStyle w:val="P68B1DB1-Normal121"/>
              <w:spacing w:after="0" w:line="240" w:lineRule="auto"/>
              <w:rPr>
                <w:noProof/>
              </w:rPr>
            </w:pPr>
            <w:r>
              <w:rPr>
                <w:noProof/>
              </w:rPr>
              <w:t>Investointi 4.4.1: Alueellisen julkisen liikenteen linja-autokannan vahvistaminen päästöttömillä linja-autoilla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BD6B31"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C5DAD8" w14:textId="77777777" w:rsidR="00E42B18" w:rsidRDefault="009629C4">
            <w:pPr>
              <w:pStyle w:val="P68B1DB1-Normal121"/>
              <w:spacing w:after="0" w:line="240" w:lineRule="auto"/>
              <w:rPr>
                <w:noProof/>
              </w:rPr>
            </w:pPr>
            <w:r>
              <w:rPr>
                <w:noProof/>
              </w:rPr>
              <w:t>Kaikkien julkisten hankintojen tekeminen alueellisen julkisen liikenteen linja-autokannan vahvistamiseksi päästöttömillä vähäpäästöisillä linja-autoilla</w:t>
            </w:r>
          </w:p>
        </w:tc>
      </w:tr>
      <w:tr w:rsidR="00E42B18" w14:paraId="54B0F95C"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77FB424" w14:textId="77777777" w:rsidR="00E42B18" w:rsidRDefault="009629C4">
            <w:pPr>
              <w:pStyle w:val="P68B1DB1-Normal121"/>
              <w:spacing w:after="0" w:line="240" w:lineRule="auto"/>
              <w:jc w:val="center"/>
              <w:rPr>
                <w:noProof/>
              </w:rPr>
            </w:pPr>
            <w:r>
              <w:rPr>
                <w:noProof/>
              </w:rPr>
              <w:t>M2C3–7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2EBD37" w14:textId="77777777" w:rsidR="00E42B18" w:rsidRDefault="009629C4">
            <w:pPr>
              <w:pStyle w:val="P68B1DB1-Normal121"/>
              <w:spacing w:after="0" w:line="240" w:lineRule="auto"/>
              <w:rPr>
                <w:noProof/>
              </w:rPr>
            </w:pPr>
            <w:r>
              <w:rPr>
                <w:noProof/>
              </w:rPr>
              <w:t>Investointi 1.2 – Kiinteistöjen rakentaminen, oikeudenkäyttöön liittyvän kiinteistöomaisuuden uudelleenkoulutus ja vahvistaminen</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1DD5A6"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A2603" w14:textId="77777777" w:rsidR="00E42B18" w:rsidRDefault="009629C4">
            <w:pPr>
              <w:pStyle w:val="P68B1DB1-Normal121"/>
              <w:spacing w:after="0" w:line="240" w:lineRule="auto"/>
              <w:rPr>
                <w:noProof/>
              </w:rPr>
            </w:pPr>
            <w:r>
              <w:rPr>
                <w:noProof/>
              </w:rPr>
              <w:t>Hankintaviranomainen allekirjoittaa kaikkien uusien rakennusten rakentamista, oikeudenhoidon kiinteistöomaisuuden uudelleenmäärittelyä ja vahvistamista koskevien hankintasopimusten tekemisen julkisen tarjouskilpailun perusteella.</w:t>
            </w:r>
          </w:p>
        </w:tc>
      </w:tr>
      <w:tr w:rsidR="00E42B18" w14:paraId="5DE79554"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5B2813" w14:textId="77777777" w:rsidR="00E42B18" w:rsidRDefault="009629C4">
            <w:pPr>
              <w:pStyle w:val="P68B1DB1-Normal121"/>
              <w:spacing w:after="0" w:line="240" w:lineRule="auto"/>
              <w:jc w:val="center"/>
              <w:rPr>
                <w:noProof/>
              </w:rPr>
            </w:pPr>
            <w:r>
              <w:rPr>
                <w:noProof/>
              </w:rPr>
              <w:t>M2C4–33</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1D18B9" w14:textId="77777777" w:rsidR="00E42B18" w:rsidRDefault="009629C4">
            <w:pPr>
              <w:pStyle w:val="P68B1DB1-Normal121"/>
              <w:spacing w:after="0" w:line="240" w:lineRule="auto"/>
              <w:rPr>
                <w:noProof/>
              </w:rPr>
            </w:pPr>
            <w:r>
              <w:rPr>
                <w:noProof/>
              </w:rPr>
              <w:t>Investointi 4.3 Investoinnit kasteluviljelyjärjestelmän kestokykyyn vesivarojen hoidon parantamiseksi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4A5768"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0827B2" w14:textId="77777777" w:rsidR="00E42B18" w:rsidRDefault="009629C4">
            <w:pPr>
              <w:pStyle w:val="P68B1DB1-Normal121"/>
              <w:spacing w:after="0" w:line="240" w:lineRule="auto"/>
              <w:rPr>
                <w:noProof/>
              </w:rPr>
            </w:pPr>
            <w:r>
              <w:rPr>
                <w:noProof/>
              </w:rPr>
              <w:t>Rahoituksen myöntäminen kaikille hankkeille, jotka koskevat kasteluviljelyjärjestelmän häiriönsietokykyä vesivarojen hoidon parantamiseksi</w:t>
            </w:r>
          </w:p>
        </w:tc>
      </w:tr>
      <w:tr w:rsidR="00E42B18" w14:paraId="03B1C09D"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58A42A" w14:textId="77777777" w:rsidR="00E42B18" w:rsidRDefault="009629C4">
            <w:pPr>
              <w:pStyle w:val="P68B1DB1-Normal121"/>
              <w:spacing w:after="0" w:line="240" w:lineRule="auto"/>
              <w:jc w:val="center"/>
              <w:rPr>
                <w:noProof/>
              </w:rPr>
            </w:pPr>
            <w:r>
              <w:rPr>
                <w:noProof/>
              </w:rPr>
              <w:t>M2C4–36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9EA146" w14:textId="77777777" w:rsidR="00E42B18" w:rsidRDefault="009629C4">
            <w:pPr>
              <w:pStyle w:val="P68B1DB1-Normal121"/>
              <w:spacing w:after="0" w:line="240" w:lineRule="auto"/>
              <w:rPr>
                <w:noProof/>
              </w:rPr>
            </w:pPr>
            <w:r>
              <w:rPr>
                <w:noProof/>
              </w:rPr>
              <w:t>Investointi 4.4 Investoinnit viemäri- ja puhdistustoimintaan</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9DAEE1"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4ACD45" w14:textId="77777777" w:rsidR="00E42B18" w:rsidRDefault="009629C4">
            <w:pPr>
              <w:pStyle w:val="P68B1DB1-Normal121"/>
              <w:spacing w:after="0" w:line="240" w:lineRule="auto"/>
              <w:rPr>
                <w:noProof/>
              </w:rPr>
            </w:pPr>
            <w:r>
              <w:rPr>
                <w:noProof/>
              </w:rPr>
              <w:t>Kaikkien viemäröintiä ja puhdistusta koskevien julkisten hankintasopimusten tekeminen</w:t>
            </w:r>
          </w:p>
        </w:tc>
      </w:tr>
      <w:tr w:rsidR="00E42B18" w14:paraId="5655D170"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36F3C4" w14:textId="77777777" w:rsidR="00E42B18" w:rsidRDefault="009629C4">
            <w:pPr>
              <w:pStyle w:val="P68B1DB1-Normal121"/>
              <w:spacing w:after="0" w:line="240" w:lineRule="auto"/>
              <w:jc w:val="center"/>
              <w:rPr>
                <w:noProof/>
              </w:rPr>
            </w:pPr>
            <w:r>
              <w:rPr>
                <w:noProof/>
              </w:rPr>
              <w:t>M3C1–4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3290E7" w14:textId="77777777" w:rsidR="00E42B18" w:rsidRDefault="009629C4">
            <w:pPr>
              <w:pStyle w:val="P68B1DB1-Normal121"/>
              <w:spacing w:after="0" w:line="240" w:lineRule="auto"/>
              <w:rPr>
                <w:noProof/>
              </w:rPr>
            </w:pPr>
            <w:r>
              <w:rPr>
                <w:noProof/>
              </w:rPr>
              <w:t>Investointi 1.1 – Suurinopeuksiset rautatieyhteydet etelään matkustajia ja rahtia varten</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EDBA93" w14:textId="77777777" w:rsidR="00E42B18" w:rsidRDefault="009629C4">
            <w:pPr>
              <w:pStyle w:val="P68B1DB1-Normal121"/>
              <w:spacing w:after="0" w:line="240" w:lineRule="auto"/>
              <w:jc w:val="center"/>
              <w:rPr>
                <w:noProof/>
              </w:rPr>
            </w:pPr>
            <w:r>
              <w:rPr>
                <w:noProof/>
              </w:rPr>
              <w:t>Virstanpylväs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1B45E8" w14:textId="77777777" w:rsidR="00E42B18" w:rsidRDefault="009629C4">
            <w:pPr>
              <w:pStyle w:val="P68B1DB1-Normal121"/>
              <w:spacing w:after="0" w:line="240" w:lineRule="auto"/>
              <w:rPr>
                <w:noProof/>
              </w:rPr>
            </w:pPr>
            <w:r>
              <w:rPr>
                <w:noProof/>
              </w:rPr>
              <w:t>Suurten nopeuksien rautatien rakentamista Salerno Reggio Calabria -ratalle koskevan sopimuksen tekeminen</w:t>
            </w:r>
          </w:p>
        </w:tc>
      </w:tr>
      <w:tr w:rsidR="00E42B18" w14:paraId="24554B99"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508EB4" w14:textId="77777777" w:rsidR="00E42B18" w:rsidRDefault="009629C4">
            <w:pPr>
              <w:pStyle w:val="P68B1DB1-Normal121"/>
              <w:spacing w:after="0" w:line="240" w:lineRule="auto"/>
              <w:jc w:val="center"/>
              <w:rPr>
                <w:noProof/>
              </w:rPr>
            </w:pPr>
            <w:r>
              <w:rPr>
                <w:noProof/>
              </w:rPr>
              <w:t>M3C1–17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7F6123" w14:textId="77777777" w:rsidR="00E42B18" w:rsidRDefault="009629C4">
            <w:pPr>
              <w:pStyle w:val="P68B1DB1-Normal121"/>
              <w:spacing w:after="0" w:line="240" w:lineRule="auto"/>
              <w:rPr>
                <w:noProof/>
              </w:rPr>
            </w:pPr>
            <w:r>
              <w:rPr>
                <w:noProof/>
              </w:rPr>
              <w:t>Investointi 1.7 – Rautateiden parantaminen, sähköistäminen ja häiriönsietokyky etelässä</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BE5C13"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DF0F28" w14:textId="77777777" w:rsidR="00E42B18" w:rsidRDefault="009629C4">
            <w:pPr>
              <w:pStyle w:val="P68B1DB1-Normal121"/>
              <w:spacing w:after="0" w:line="240" w:lineRule="auto"/>
              <w:rPr>
                <w:noProof/>
              </w:rPr>
            </w:pPr>
            <w:r>
              <w:rPr>
                <w:noProof/>
              </w:rPr>
              <w:t>150 km päätökseen saatettuja töitä, jotka koskevat etelän rautateiden parantamista, sähköistämistä ja häiriönsietokykyä ja jotka ovat valmiita lupa- ja käyttövaiheisiin.</w:t>
            </w:r>
          </w:p>
        </w:tc>
      </w:tr>
      <w:tr w:rsidR="00E42B18" w14:paraId="567148AC"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41ECCB" w14:textId="77777777" w:rsidR="00E42B18" w:rsidRDefault="009629C4">
            <w:pPr>
              <w:pStyle w:val="P68B1DB1-Normal121"/>
              <w:spacing w:after="0" w:line="240" w:lineRule="auto"/>
              <w:jc w:val="center"/>
              <w:rPr>
                <w:noProof/>
              </w:rPr>
            </w:pPr>
            <w:r>
              <w:rPr>
                <w:noProof/>
              </w:rPr>
              <w:t>M4C2–5</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261B23" w14:textId="77777777" w:rsidR="00E42B18" w:rsidRDefault="009629C4">
            <w:pPr>
              <w:pStyle w:val="P68B1DB1-Normal121"/>
              <w:spacing w:after="0" w:line="240" w:lineRule="auto"/>
              <w:rPr>
                <w:noProof/>
              </w:rPr>
            </w:pPr>
            <w:r>
              <w:rPr>
                <w:noProof/>
              </w:rPr>
              <w:t xml:space="preserve">Investointi 1.1: Kansallista etua koskevat tutkimushankkeet (PRIN)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EBDD10"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8C965D" w14:textId="77777777" w:rsidR="00E42B18" w:rsidRDefault="009629C4">
            <w:pPr>
              <w:pStyle w:val="P68B1DB1-Normal121"/>
              <w:spacing w:after="0" w:line="240" w:lineRule="auto"/>
              <w:rPr>
                <w:noProof/>
              </w:rPr>
            </w:pPr>
            <w:r>
              <w:rPr>
                <w:noProof/>
              </w:rPr>
              <w:t xml:space="preserve">Myönnettyjen tutkimushankkeiden lukumäärä </w:t>
            </w:r>
          </w:p>
        </w:tc>
      </w:tr>
      <w:tr w:rsidR="00E42B18" w14:paraId="59322C8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FDD4FC" w14:textId="77777777" w:rsidR="00E42B18" w:rsidRDefault="009629C4">
            <w:pPr>
              <w:pStyle w:val="P68B1DB1-Normal121"/>
              <w:spacing w:after="0" w:line="240" w:lineRule="auto"/>
              <w:jc w:val="center"/>
              <w:rPr>
                <w:noProof/>
              </w:rPr>
            </w:pPr>
            <w:r>
              <w:rPr>
                <w:noProof/>
              </w:rPr>
              <w:t>M6C1–8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E0B3F7" w14:textId="77777777" w:rsidR="00E42B18" w:rsidRDefault="009629C4">
            <w:pPr>
              <w:pStyle w:val="P68B1DB1-Normal121"/>
              <w:spacing w:after="0" w:line="240" w:lineRule="auto"/>
              <w:rPr>
                <w:noProof/>
              </w:rPr>
            </w:pPr>
            <w:r>
              <w:rPr>
                <w:noProof/>
              </w:rPr>
              <w:t>Investointi 1.2: Koti ensimmäisenä hoitopaikkana ja etälääketiede</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650490" w14:textId="77777777" w:rsidR="00E42B18" w:rsidRDefault="009629C4">
            <w:pPr>
              <w:pStyle w:val="P68B1DB1-Normal121"/>
              <w:spacing w:after="0" w:line="240" w:lineRule="auto"/>
              <w:jc w:val="center"/>
              <w:rPr>
                <w:noProof/>
              </w:rPr>
            </w:pPr>
            <w:r>
              <w:rPr>
                <w:noProof/>
              </w:rPr>
              <w:t>Kohde</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6CEFA3" w14:textId="77777777" w:rsidR="00E42B18" w:rsidRDefault="009629C4">
            <w:pPr>
              <w:pStyle w:val="P68B1DB1-Normal121"/>
              <w:spacing w:after="0" w:line="240" w:lineRule="auto"/>
              <w:rPr>
                <w:noProof/>
              </w:rPr>
            </w:pPr>
            <w:r>
              <w:rPr>
                <w:noProof/>
              </w:rPr>
              <w:t>Vähintään yksi kullekin alueelle osoitettu telelääketiedehanke (ottaen huomioon sekä yksittäisellä alueella toteutettavat hankkeet että hankkeet, joita voidaan kehittää osana alueiden välisiä yhteenliittymiä)</w:t>
            </w:r>
          </w:p>
        </w:tc>
      </w:tr>
      <w:tr w:rsidR="00E42B18" w14:paraId="5A11C9BA"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E45CD0" w14:textId="77777777" w:rsidR="00E42B18" w:rsidRDefault="00E42B18">
            <w:pPr>
              <w:spacing w:after="0" w:line="240" w:lineRule="auto"/>
              <w:jc w:val="center"/>
              <w:rPr>
                <w:rFonts w:ascii="Times New Roman" w:eastAsia="Times New Roman" w:hAnsi="Times New Roman" w:cs="Times New Roman"/>
                <w:noProof/>
              </w:rPr>
            </w:pP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C982DB" w14:textId="77777777" w:rsidR="00E42B18" w:rsidRDefault="009629C4">
            <w:pPr>
              <w:pStyle w:val="P68B1DB1-Normal121"/>
              <w:spacing w:after="0" w:line="240" w:lineRule="auto"/>
              <w:rPr>
                <w:noProof/>
              </w:rPr>
            </w:pPr>
            <w:r>
              <w:rPr>
                <w:noProof/>
              </w:rPr>
              <w:t xml:space="preserve">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AE0FF6" w14:textId="77777777" w:rsidR="00E42B18" w:rsidRDefault="009629C4">
            <w:pPr>
              <w:pStyle w:val="P68B1DB1-Normal121"/>
              <w:spacing w:after="0" w:line="240" w:lineRule="auto"/>
              <w:jc w:val="center"/>
              <w:rPr>
                <w:noProof/>
              </w:rPr>
            </w:pPr>
            <w:r>
              <w:rPr>
                <w:noProof/>
              </w:rPr>
              <w:t>Maksuerän määrä</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70259"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9030593086</w:t>
            </w:r>
            <w:r>
              <w:rPr>
                <w:noProof/>
                <w:sz w:val="23"/>
                <w:szCs w:val="23"/>
              </w:rPr>
              <w:t xml:space="preserve">  </w:t>
            </w:r>
            <w:r>
              <w:rPr>
                <w:noProof/>
                <w:color w:val="006100"/>
                <w:sz w:val="20"/>
                <w:szCs w:val="20"/>
              </w:rPr>
              <w:t>EUROA</w:t>
            </w:r>
          </w:p>
        </w:tc>
      </w:tr>
    </w:tbl>
    <w:p w14:paraId="7774C3A7" w14:textId="77777777" w:rsidR="00E42B18" w:rsidRDefault="00E42B18">
      <w:pPr>
        <w:spacing w:after="0"/>
        <w:ind w:left="850"/>
        <w:contextualSpacing/>
        <w:jc w:val="both"/>
        <w:rPr>
          <w:rFonts w:ascii="Times New Roman" w:eastAsia="Times New Roman" w:hAnsi="Times New Roman" w:cs="Times New Roman"/>
          <w:noProof/>
        </w:rPr>
      </w:pPr>
    </w:p>
    <w:p w14:paraId="5582CAC3" w14:textId="77777777" w:rsidR="00E42B18" w:rsidRDefault="009629C4">
      <w:pPr>
        <w:pStyle w:val="P68B1DB1-Normal8"/>
        <w:rPr>
          <w:noProof/>
        </w:rPr>
      </w:pPr>
      <w:r>
        <w:rPr>
          <w:noProof/>
        </w:rPr>
        <w:br w:type="page"/>
      </w:r>
    </w:p>
    <w:p w14:paraId="15A986AA" w14:textId="77777777" w:rsidR="00E42B18" w:rsidRDefault="009629C4">
      <w:pPr>
        <w:pStyle w:val="P68B1DB1-Heading34"/>
        <w:numPr>
          <w:ilvl w:val="1"/>
          <w:numId w:val="179"/>
        </w:numPr>
        <w:tabs>
          <w:tab w:val="clear" w:pos="850"/>
          <w:tab w:val="num" w:pos="1440"/>
        </w:tabs>
        <w:ind w:left="1440" w:hanging="360"/>
        <w:rPr>
          <w:noProof/>
        </w:rPr>
      </w:pPr>
      <w:r>
        <w:rPr>
          <w:noProof/>
        </w:rPr>
        <w:t>Kuudes erä (lainatuki):</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4209"/>
        <w:gridCol w:w="1110"/>
        <w:gridCol w:w="2884"/>
      </w:tblGrid>
      <w:tr w:rsidR="00E42B18" w14:paraId="390F7BA3" w14:textId="77777777">
        <w:trPr>
          <w:trHeight w:val="900"/>
          <w:tblHeader/>
        </w:trPr>
        <w:tc>
          <w:tcPr>
            <w:tcW w:w="1155" w:type="dxa"/>
            <w:vMerge w:val="restart"/>
            <w:shd w:val="clear" w:color="auto" w:fill="BDD7EE"/>
            <w:tcMar>
              <w:left w:w="108" w:type="dxa"/>
              <w:right w:w="108" w:type="dxa"/>
            </w:tcMar>
            <w:vAlign w:val="center"/>
          </w:tcPr>
          <w:p w14:paraId="239FE9D9" w14:textId="77777777" w:rsidR="00E42B18" w:rsidRDefault="009629C4">
            <w:pPr>
              <w:pStyle w:val="P68B1DB1-Normal120"/>
              <w:spacing w:after="0" w:line="240" w:lineRule="auto"/>
              <w:jc w:val="center"/>
              <w:rPr>
                <w:noProof/>
              </w:rPr>
            </w:pPr>
            <w:r>
              <w:rPr>
                <w:noProof/>
              </w:rPr>
              <w:t>Juokseva numero</w:t>
            </w:r>
          </w:p>
        </w:tc>
        <w:tc>
          <w:tcPr>
            <w:tcW w:w="4209" w:type="dxa"/>
            <w:vMerge w:val="restart"/>
            <w:shd w:val="clear" w:color="auto" w:fill="BDD7EE"/>
            <w:tcMar>
              <w:left w:w="108" w:type="dxa"/>
              <w:right w:w="108" w:type="dxa"/>
            </w:tcMar>
            <w:vAlign w:val="center"/>
          </w:tcPr>
          <w:p w14:paraId="48DAE540" w14:textId="77777777" w:rsidR="00E42B18" w:rsidRDefault="009629C4">
            <w:pPr>
              <w:pStyle w:val="P68B1DB1-Normal120"/>
              <w:spacing w:after="0" w:line="240" w:lineRule="auto"/>
              <w:jc w:val="center"/>
              <w:rPr>
                <w:noProof/>
              </w:rPr>
            </w:pPr>
            <w:r>
              <w:rPr>
                <w:noProof/>
              </w:rPr>
              <w:t>Toimenpide (uudistus tai investointi)</w:t>
            </w:r>
          </w:p>
        </w:tc>
        <w:tc>
          <w:tcPr>
            <w:tcW w:w="1110" w:type="dxa"/>
            <w:vMerge w:val="restart"/>
            <w:shd w:val="clear" w:color="auto" w:fill="BDD7EE"/>
            <w:tcMar>
              <w:left w:w="108" w:type="dxa"/>
              <w:right w:w="108" w:type="dxa"/>
            </w:tcMar>
            <w:vAlign w:val="center"/>
          </w:tcPr>
          <w:p w14:paraId="1099A3AA" w14:textId="77777777" w:rsidR="00E42B18" w:rsidRDefault="009629C4">
            <w:pPr>
              <w:pStyle w:val="P68B1DB1-Normal120"/>
              <w:spacing w:after="0" w:line="240" w:lineRule="auto"/>
              <w:jc w:val="center"/>
              <w:rPr>
                <w:noProof/>
              </w:rPr>
            </w:pPr>
            <w:r>
              <w:rPr>
                <w:noProof/>
              </w:rPr>
              <w:t>Välitavoite/tavoite</w:t>
            </w:r>
          </w:p>
        </w:tc>
        <w:tc>
          <w:tcPr>
            <w:tcW w:w="2884" w:type="dxa"/>
            <w:vMerge w:val="restart"/>
            <w:shd w:val="clear" w:color="auto" w:fill="BDD7EE"/>
            <w:tcMar>
              <w:left w:w="108" w:type="dxa"/>
              <w:right w:w="108" w:type="dxa"/>
            </w:tcMar>
            <w:vAlign w:val="center"/>
          </w:tcPr>
          <w:p w14:paraId="71287B4F" w14:textId="77777777" w:rsidR="00E42B18" w:rsidRDefault="009629C4">
            <w:pPr>
              <w:pStyle w:val="P68B1DB1-Normal120"/>
              <w:spacing w:after="0" w:line="240" w:lineRule="auto"/>
              <w:jc w:val="center"/>
              <w:rPr>
                <w:noProof/>
              </w:rPr>
            </w:pPr>
            <w:r>
              <w:rPr>
                <w:noProof/>
              </w:rPr>
              <w:t>Nimi</w:t>
            </w:r>
          </w:p>
        </w:tc>
      </w:tr>
      <w:tr w:rsidR="00E42B18" w14:paraId="0F9D504A" w14:textId="77777777">
        <w:trPr>
          <w:trHeight w:val="510"/>
        </w:trPr>
        <w:tc>
          <w:tcPr>
            <w:tcW w:w="1155" w:type="dxa"/>
            <w:vMerge/>
            <w:vAlign w:val="center"/>
          </w:tcPr>
          <w:p w14:paraId="2206F276" w14:textId="77777777" w:rsidR="00E42B18" w:rsidRDefault="00E42B18">
            <w:pPr>
              <w:spacing w:after="0" w:line="240" w:lineRule="auto"/>
              <w:jc w:val="center"/>
              <w:rPr>
                <w:rFonts w:ascii="Times New Roman" w:eastAsia="Times New Roman" w:hAnsi="Times New Roman" w:cs="Times New Roman"/>
                <w:noProof/>
              </w:rPr>
            </w:pPr>
          </w:p>
        </w:tc>
        <w:tc>
          <w:tcPr>
            <w:tcW w:w="4209" w:type="dxa"/>
            <w:vMerge/>
            <w:vAlign w:val="center"/>
          </w:tcPr>
          <w:p w14:paraId="7F904EF6" w14:textId="77777777" w:rsidR="00E42B18" w:rsidRDefault="00E42B18">
            <w:pPr>
              <w:spacing w:after="0" w:line="240" w:lineRule="auto"/>
              <w:rPr>
                <w:rFonts w:ascii="Times New Roman" w:eastAsia="Times New Roman" w:hAnsi="Times New Roman" w:cs="Times New Roman"/>
                <w:noProof/>
              </w:rPr>
            </w:pPr>
          </w:p>
        </w:tc>
        <w:tc>
          <w:tcPr>
            <w:tcW w:w="1110" w:type="dxa"/>
            <w:vMerge/>
            <w:vAlign w:val="center"/>
          </w:tcPr>
          <w:p w14:paraId="5E32391D" w14:textId="77777777" w:rsidR="00E42B18" w:rsidRDefault="00E42B18">
            <w:pPr>
              <w:spacing w:after="0" w:line="240" w:lineRule="auto"/>
              <w:jc w:val="center"/>
              <w:rPr>
                <w:rFonts w:ascii="Times New Roman" w:eastAsia="Times New Roman" w:hAnsi="Times New Roman" w:cs="Times New Roman"/>
                <w:noProof/>
              </w:rPr>
            </w:pPr>
          </w:p>
        </w:tc>
        <w:tc>
          <w:tcPr>
            <w:tcW w:w="2884" w:type="dxa"/>
            <w:vMerge/>
            <w:vAlign w:val="center"/>
          </w:tcPr>
          <w:p w14:paraId="47C5F037" w14:textId="77777777" w:rsidR="00E42B18" w:rsidRDefault="00E42B18">
            <w:pPr>
              <w:spacing w:after="0" w:line="240" w:lineRule="auto"/>
              <w:rPr>
                <w:rFonts w:ascii="Times New Roman" w:eastAsia="Times New Roman" w:hAnsi="Times New Roman" w:cs="Times New Roman"/>
                <w:noProof/>
              </w:rPr>
            </w:pPr>
          </w:p>
        </w:tc>
      </w:tr>
      <w:tr w:rsidR="00E42B18" w14:paraId="6A9532D9" w14:textId="77777777">
        <w:trPr>
          <w:trHeight w:val="300"/>
        </w:trPr>
        <w:tc>
          <w:tcPr>
            <w:tcW w:w="1155" w:type="dxa"/>
            <w:shd w:val="clear" w:color="auto" w:fill="C6EFCE"/>
            <w:tcMar>
              <w:left w:w="108" w:type="dxa"/>
              <w:right w:w="108" w:type="dxa"/>
            </w:tcMar>
            <w:vAlign w:val="center"/>
          </w:tcPr>
          <w:p w14:paraId="211DE659" w14:textId="77777777" w:rsidR="00E42B18" w:rsidRDefault="009629C4">
            <w:pPr>
              <w:pStyle w:val="P68B1DB1-Normal121"/>
              <w:spacing w:after="0" w:line="240" w:lineRule="auto"/>
              <w:jc w:val="center"/>
              <w:rPr>
                <w:noProof/>
              </w:rPr>
            </w:pPr>
            <w:r>
              <w:rPr>
                <w:noProof/>
              </w:rPr>
              <w:t>M3C1–10</w:t>
            </w:r>
          </w:p>
        </w:tc>
        <w:tc>
          <w:tcPr>
            <w:tcW w:w="4209" w:type="dxa"/>
            <w:shd w:val="clear" w:color="auto" w:fill="C6EFCE"/>
            <w:tcMar>
              <w:left w:w="108" w:type="dxa"/>
              <w:right w:w="108" w:type="dxa"/>
            </w:tcMar>
            <w:vAlign w:val="center"/>
          </w:tcPr>
          <w:p w14:paraId="131AB868" w14:textId="77777777" w:rsidR="00E42B18" w:rsidRDefault="009629C4">
            <w:pPr>
              <w:pStyle w:val="P68B1DB1-Normal121"/>
              <w:spacing w:after="0" w:line="240" w:lineRule="auto"/>
              <w:rPr>
                <w:noProof/>
              </w:rPr>
            </w:pPr>
            <w:r>
              <w:rPr>
                <w:noProof/>
              </w:rPr>
              <w:t>Investointi 1.3 – Diagonaaliyhteydet</w:t>
            </w:r>
          </w:p>
        </w:tc>
        <w:tc>
          <w:tcPr>
            <w:tcW w:w="1110" w:type="dxa"/>
            <w:shd w:val="clear" w:color="auto" w:fill="C6EFCE"/>
            <w:tcMar>
              <w:left w:w="108" w:type="dxa"/>
              <w:right w:w="108" w:type="dxa"/>
            </w:tcMar>
            <w:vAlign w:val="center"/>
          </w:tcPr>
          <w:p w14:paraId="0321199E" w14:textId="77777777" w:rsidR="00E42B18" w:rsidRDefault="009629C4">
            <w:pPr>
              <w:pStyle w:val="P68B1DB1-Normal121"/>
              <w:spacing w:after="0" w:line="240" w:lineRule="auto"/>
              <w:jc w:val="center"/>
              <w:rPr>
                <w:noProof/>
              </w:rPr>
            </w:pPr>
            <w:r>
              <w:rPr>
                <w:noProof/>
              </w:rPr>
              <w:t>Virstanpylväs</w:t>
            </w:r>
          </w:p>
        </w:tc>
        <w:tc>
          <w:tcPr>
            <w:tcW w:w="2884" w:type="dxa"/>
            <w:shd w:val="clear" w:color="auto" w:fill="C6EFCE"/>
            <w:tcMar>
              <w:left w:w="108" w:type="dxa"/>
              <w:right w:w="108" w:type="dxa"/>
            </w:tcMar>
            <w:vAlign w:val="center"/>
          </w:tcPr>
          <w:p w14:paraId="27E07FD7" w14:textId="77777777" w:rsidR="00E42B18" w:rsidRDefault="009629C4">
            <w:pPr>
              <w:pStyle w:val="P68B1DB1-Normal121"/>
              <w:spacing w:after="0" w:line="240" w:lineRule="auto"/>
              <w:rPr>
                <w:noProof/>
              </w:rPr>
            </w:pPr>
            <w:r>
              <w:rPr>
                <w:noProof/>
              </w:rPr>
              <w:t>Sopimusten tekeminen yhteyksien rakentamisesta Orte-Falconara- ja Taranto-Metaponto-Potenza-Battipaglia-linjoille</w:t>
            </w:r>
          </w:p>
        </w:tc>
      </w:tr>
      <w:tr w:rsidR="00E42B18" w14:paraId="128EA5F3" w14:textId="77777777">
        <w:trPr>
          <w:trHeight w:val="300"/>
        </w:trPr>
        <w:tc>
          <w:tcPr>
            <w:tcW w:w="1155" w:type="dxa"/>
            <w:shd w:val="clear" w:color="auto" w:fill="C6EFCE"/>
            <w:tcMar>
              <w:left w:w="108" w:type="dxa"/>
              <w:right w:w="108" w:type="dxa"/>
            </w:tcMar>
            <w:vAlign w:val="center"/>
          </w:tcPr>
          <w:p w14:paraId="78CC9435" w14:textId="77777777" w:rsidR="00E42B18" w:rsidRDefault="009629C4">
            <w:pPr>
              <w:pStyle w:val="P68B1DB1-Normal121"/>
              <w:spacing w:after="0" w:line="240" w:lineRule="auto"/>
              <w:jc w:val="center"/>
              <w:rPr>
                <w:noProof/>
              </w:rPr>
            </w:pPr>
            <w:r>
              <w:rPr>
                <w:noProof/>
              </w:rPr>
              <w:t>M7–35</w:t>
            </w:r>
          </w:p>
        </w:tc>
        <w:tc>
          <w:tcPr>
            <w:tcW w:w="4209" w:type="dxa"/>
            <w:shd w:val="clear" w:color="auto" w:fill="C6EFCE"/>
            <w:tcMar>
              <w:left w:w="108" w:type="dxa"/>
              <w:right w:w="108" w:type="dxa"/>
            </w:tcMar>
            <w:vAlign w:val="center"/>
          </w:tcPr>
          <w:p w14:paraId="5B5EAC3D" w14:textId="77777777" w:rsidR="00E42B18" w:rsidRDefault="009629C4">
            <w:pPr>
              <w:pStyle w:val="P68B1DB1-Normal121"/>
              <w:spacing w:after="0" w:line="240" w:lineRule="auto"/>
              <w:rPr>
                <w:noProof/>
              </w:rPr>
            </w:pPr>
            <w:r>
              <w:rPr>
                <w:noProof/>
              </w:rPr>
              <w:t>Investointi 13: Adrianmeren linjan vaihe 1 (Sulmonan kompressoriasema ja Sestino-Minerbio-kaasuputki)</w:t>
            </w:r>
          </w:p>
        </w:tc>
        <w:tc>
          <w:tcPr>
            <w:tcW w:w="1110" w:type="dxa"/>
            <w:shd w:val="clear" w:color="auto" w:fill="C6EFCE"/>
            <w:tcMar>
              <w:left w:w="108" w:type="dxa"/>
              <w:right w:w="108" w:type="dxa"/>
            </w:tcMar>
            <w:vAlign w:val="center"/>
          </w:tcPr>
          <w:p w14:paraId="5A028B15" w14:textId="77777777" w:rsidR="00E42B18" w:rsidRDefault="009629C4">
            <w:pPr>
              <w:pStyle w:val="P68B1DB1-Normal121"/>
              <w:spacing w:after="0" w:line="240" w:lineRule="auto"/>
              <w:jc w:val="center"/>
              <w:rPr>
                <w:noProof/>
              </w:rPr>
            </w:pPr>
            <w:r>
              <w:rPr>
                <w:noProof/>
              </w:rPr>
              <w:t>Virstanpylväs</w:t>
            </w:r>
          </w:p>
        </w:tc>
        <w:tc>
          <w:tcPr>
            <w:tcW w:w="2884" w:type="dxa"/>
            <w:shd w:val="clear" w:color="auto" w:fill="C6EFCE"/>
            <w:tcMar>
              <w:left w:w="108" w:type="dxa"/>
              <w:right w:w="108" w:type="dxa"/>
            </w:tcMar>
            <w:vAlign w:val="center"/>
          </w:tcPr>
          <w:p w14:paraId="2E9E8630" w14:textId="77777777" w:rsidR="00E42B18" w:rsidRDefault="009629C4">
            <w:pPr>
              <w:pStyle w:val="P68B1DB1-Normal121"/>
              <w:spacing w:after="0" w:line="240" w:lineRule="auto"/>
              <w:rPr>
                <w:noProof/>
              </w:rPr>
            </w:pPr>
            <w:r>
              <w:rPr>
                <w:noProof/>
              </w:rPr>
              <w:t>Asiaankuuluvien ympäristövaikutusten arviointien hyväksyminen ja päivittäminen (VIncA)</w:t>
            </w:r>
          </w:p>
        </w:tc>
      </w:tr>
      <w:tr w:rsidR="00E42B18" w14:paraId="59C031DF" w14:textId="77777777">
        <w:trPr>
          <w:trHeight w:val="300"/>
        </w:trPr>
        <w:tc>
          <w:tcPr>
            <w:tcW w:w="1155" w:type="dxa"/>
            <w:shd w:val="clear" w:color="auto" w:fill="C6EFCE"/>
            <w:tcMar>
              <w:left w:w="108" w:type="dxa"/>
              <w:right w:w="108" w:type="dxa"/>
            </w:tcMar>
            <w:vAlign w:val="center"/>
          </w:tcPr>
          <w:p w14:paraId="05810BD6" w14:textId="77777777" w:rsidR="00E42B18" w:rsidRDefault="009629C4">
            <w:pPr>
              <w:pStyle w:val="P68B1DB1-Normal121"/>
              <w:spacing w:after="0" w:line="240" w:lineRule="auto"/>
              <w:jc w:val="center"/>
              <w:rPr>
                <w:noProof/>
              </w:rPr>
            </w:pPr>
            <w:r>
              <w:rPr>
                <w:noProof/>
              </w:rPr>
              <w:t>M7–40</w:t>
            </w:r>
          </w:p>
        </w:tc>
        <w:tc>
          <w:tcPr>
            <w:tcW w:w="4209" w:type="dxa"/>
            <w:shd w:val="clear" w:color="auto" w:fill="C6EFCE"/>
            <w:tcMar>
              <w:left w:w="108" w:type="dxa"/>
              <w:right w:w="108" w:type="dxa"/>
            </w:tcMar>
            <w:vAlign w:val="center"/>
          </w:tcPr>
          <w:p w14:paraId="42AFB8D4" w14:textId="77777777" w:rsidR="00E42B18" w:rsidRDefault="009629C4">
            <w:pPr>
              <w:pStyle w:val="P68B1DB1-Normal121"/>
              <w:spacing w:after="0" w:line="240" w:lineRule="auto"/>
              <w:rPr>
                <w:noProof/>
              </w:rPr>
            </w:pPr>
            <w:r>
              <w:rPr>
                <w:noProof/>
              </w:rPr>
              <w:t xml:space="preserve">Investointi 15: Transizione 5.0 </w:t>
            </w:r>
          </w:p>
        </w:tc>
        <w:tc>
          <w:tcPr>
            <w:tcW w:w="1110" w:type="dxa"/>
            <w:shd w:val="clear" w:color="auto" w:fill="C6EFCE"/>
            <w:tcMar>
              <w:left w:w="108" w:type="dxa"/>
              <w:right w:w="108" w:type="dxa"/>
            </w:tcMar>
            <w:vAlign w:val="center"/>
          </w:tcPr>
          <w:p w14:paraId="6A527DAC" w14:textId="77777777" w:rsidR="00E42B18" w:rsidRDefault="009629C4">
            <w:pPr>
              <w:pStyle w:val="P68B1DB1-Normal121"/>
              <w:spacing w:after="0" w:line="240" w:lineRule="auto"/>
              <w:jc w:val="center"/>
              <w:rPr>
                <w:noProof/>
              </w:rPr>
            </w:pPr>
            <w:r>
              <w:rPr>
                <w:noProof/>
              </w:rPr>
              <w:t>Virstanpylväs</w:t>
            </w:r>
          </w:p>
        </w:tc>
        <w:tc>
          <w:tcPr>
            <w:tcW w:w="2884" w:type="dxa"/>
            <w:shd w:val="clear" w:color="auto" w:fill="C6EFCE"/>
            <w:tcMar>
              <w:left w:w="108" w:type="dxa"/>
              <w:right w:w="108" w:type="dxa"/>
            </w:tcMar>
            <w:vAlign w:val="center"/>
          </w:tcPr>
          <w:p w14:paraId="79AC1575" w14:textId="77777777" w:rsidR="00E42B18" w:rsidRDefault="009629C4">
            <w:pPr>
              <w:pStyle w:val="P68B1DB1-Normal121"/>
              <w:spacing w:after="0" w:line="240" w:lineRule="auto"/>
              <w:rPr>
                <w:noProof/>
              </w:rPr>
            </w:pPr>
            <w:r>
              <w:rPr>
                <w:noProof/>
              </w:rPr>
              <w:t>Tukikelpoisten tukitoimien perusteet vahvistava säädös tulee voimaan</w:t>
            </w:r>
          </w:p>
        </w:tc>
      </w:tr>
      <w:tr w:rsidR="00E42B18" w14:paraId="3473FA60" w14:textId="77777777">
        <w:trPr>
          <w:trHeight w:val="300"/>
        </w:trPr>
        <w:tc>
          <w:tcPr>
            <w:tcW w:w="1155" w:type="dxa"/>
            <w:shd w:val="clear" w:color="auto" w:fill="C6EFCE"/>
            <w:tcMar>
              <w:left w:w="108" w:type="dxa"/>
              <w:right w:w="108" w:type="dxa"/>
            </w:tcMar>
            <w:vAlign w:val="center"/>
          </w:tcPr>
          <w:p w14:paraId="3D462854" w14:textId="77777777" w:rsidR="00E42B18" w:rsidRDefault="009629C4">
            <w:pPr>
              <w:pStyle w:val="P68B1DB1-Normal121"/>
              <w:spacing w:after="0" w:line="240" w:lineRule="auto"/>
              <w:jc w:val="center"/>
              <w:rPr>
                <w:noProof/>
              </w:rPr>
            </w:pPr>
            <w:r>
              <w:rPr>
                <w:noProof/>
              </w:rPr>
              <w:t>M2C1–15</w:t>
            </w:r>
          </w:p>
        </w:tc>
        <w:tc>
          <w:tcPr>
            <w:tcW w:w="4209" w:type="dxa"/>
            <w:shd w:val="clear" w:color="auto" w:fill="C6EFCE"/>
            <w:tcMar>
              <w:left w:w="108" w:type="dxa"/>
              <w:right w:w="108" w:type="dxa"/>
            </w:tcMar>
            <w:vAlign w:val="center"/>
          </w:tcPr>
          <w:p w14:paraId="47860312" w14:textId="77777777" w:rsidR="00E42B18" w:rsidRDefault="009629C4">
            <w:pPr>
              <w:pStyle w:val="P68B1DB1-Normal121"/>
              <w:spacing w:after="0" w:line="240" w:lineRule="auto"/>
              <w:rPr>
                <w:noProof/>
              </w:rPr>
            </w:pPr>
            <w:r>
              <w:rPr>
                <w:noProof/>
              </w:rPr>
              <w:t>Uudistus 1.2 Jätehuoltoa koskeva kansallinen ohjelma</w:t>
            </w:r>
          </w:p>
        </w:tc>
        <w:tc>
          <w:tcPr>
            <w:tcW w:w="1110" w:type="dxa"/>
            <w:shd w:val="clear" w:color="auto" w:fill="C6EFCE"/>
            <w:tcMar>
              <w:left w:w="108" w:type="dxa"/>
              <w:right w:w="108" w:type="dxa"/>
            </w:tcMar>
            <w:vAlign w:val="center"/>
          </w:tcPr>
          <w:p w14:paraId="7B309A3C" w14:textId="77777777" w:rsidR="00E42B18" w:rsidRDefault="009629C4">
            <w:pPr>
              <w:pStyle w:val="P68B1DB1-Normal121"/>
              <w:spacing w:after="0" w:line="240" w:lineRule="auto"/>
              <w:jc w:val="center"/>
              <w:rPr>
                <w:noProof/>
              </w:rPr>
            </w:pPr>
            <w:r>
              <w:rPr>
                <w:noProof/>
              </w:rPr>
              <w:t>Kohde</w:t>
            </w:r>
          </w:p>
        </w:tc>
        <w:tc>
          <w:tcPr>
            <w:tcW w:w="2884" w:type="dxa"/>
            <w:shd w:val="clear" w:color="auto" w:fill="C6EFCE"/>
            <w:tcMar>
              <w:left w:w="108" w:type="dxa"/>
              <w:right w:w="108" w:type="dxa"/>
            </w:tcMar>
            <w:vAlign w:val="center"/>
          </w:tcPr>
          <w:p w14:paraId="1299E1B1" w14:textId="77777777" w:rsidR="00E42B18" w:rsidRDefault="009629C4">
            <w:pPr>
              <w:pStyle w:val="P68B1DB1-Normal121"/>
              <w:spacing w:after="0" w:line="240" w:lineRule="auto"/>
              <w:rPr>
                <w:noProof/>
              </w:rPr>
            </w:pPr>
            <w:r>
              <w:rPr>
                <w:noProof/>
              </w:rPr>
              <w:t xml:space="preserve">Epäsäännöllisten kaatopaikkojen vähentäminen (T1)  </w:t>
            </w:r>
          </w:p>
        </w:tc>
      </w:tr>
      <w:tr w:rsidR="00E42B18" w14:paraId="6B601ABE" w14:textId="77777777">
        <w:trPr>
          <w:trHeight w:val="300"/>
        </w:trPr>
        <w:tc>
          <w:tcPr>
            <w:tcW w:w="1155" w:type="dxa"/>
            <w:shd w:val="clear" w:color="auto" w:fill="C6EFCE"/>
            <w:tcMar>
              <w:left w:w="108" w:type="dxa"/>
              <w:right w:w="108" w:type="dxa"/>
            </w:tcMar>
            <w:vAlign w:val="center"/>
          </w:tcPr>
          <w:p w14:paraId="6058FBC1" w14:textId="77777777" w:rsidR="00E42B18" w:rsidRDefault="009629C4">
            <w:pPr>
              <w:pStyle w:val="P68B1DB1-Normal121"/>
              <w:spacing w:after="0" w:line="240" w:lineRule="auto"/>
              <w:jc w:val="center"/>
              <w:rPr>
                <w:noProof/>
              </w:rPr>
            </w:pPr>
            <w:r>
              <w:rPr>
                <w:noProof/>
              </w:rPr>
              <w:t>M2C1–16bis</w:t>
            </w:r>
          </w:p>
        </w:tc>
        <w:tc>
          <w:tcPr>
            <w:tcW w:w="4209" w:type="dxa"/>
            <w:shd w:val="clear" w:color="auto" w:fill="C6EFCE"/>
            <w:tcMar>
              <w:left w:w="108" w:type="dxa"/>
              <w:right w:w="108" w:type="dxa"/>
            </w:tcMar>
            <w:vAlign w:val="center"/>
          </w:tcPr>
          <w:p w14:paraId="50BF14DF" w14:textId="77777777" w:rsidR="00E42B18" w:rsidRDefault="009629C4">
            <w:pPr>
              <w:pStyle w:val="P68B1DB1-Normal121"/>
              <w:spacing w:after="0" w:line="240" w:lineRule="auto"/>
              <w:rPr>
                <w:noProof/>
              </w:rPr>
            </w:pPr>
            <w:r>
              <w:rPr>
                <w:noProof/>
              </w:rPr>
              <w:t>Uudistus 1.2 Jätehuoltoa koskeva kansallinen ohjelma</w:t>
            </w:r>
          </w:p>
        </w:tc>
        <w:tc>
          <w:tcPr>
            <w:tcW w:w="1110" w:type="dxa"/>
            <w:shd w:val="clear" w:color="auto" w:fill="C6EFCE"/>
            <w:tcMar>
              <w:left w:w="108" w:type="dxa"/>
              <w:right w:w="108" w:type="dxa"/>
            </w:tcMar>
            <w:vAlign w:val="center"/>
          </w:tcPr>
          <w:p w14:paraId="4D908F38" w14:textId="77777777" w:rsidR="00E42B18" w:rsidRDefault="009629C4">
            <w:pPr>
              <w:pStyle w:val="P68B1DB1-Normal121"/>
              <w:spacing w:after="0" w:line="240" w:lineRule="auto"/>
              <w:jc w:val="center"/>
              <w:rPr>
                <w:noProof/>
              </w:rPr>
            </w:pPr>
            <w:r>
              <w:rPr>
                <w:noProof/>
              </w:rPr>
              <w:t>Kohde</w:t>
            </w:r>
          </w:p>
        </w:tc>
        <w:tc>
          <w:tcPr>
            <w:tcW w:w="2884" w:type="dxa"/>
            <w:shd w:val="clear" w:color="auto" w:fill="C6EFCE"/>
            <w:tcMar>
              <w:left w:w="108" w:type="dxa"/>
              <w:right w:w="108" w:type="dxa"/>
            </w:tcMar>
            <w:vAlign w:val="center"/>
          </w:tcPr>
          <w:p w14:paraId="3DD339E0" w14:textId="77777777" w:rsidR="00E42B18" w:rsidRDefault="009629C4">
            <w:pPr>
              <w:pStyle w:val="P68B1DB1-Normal121"/>
              <w:spacing w:after="0" w:line="240" w:lineRule="auto"/>
              <w:rPr>
                <w:noProof/>
              </w:rPr>
            </w:pPr>
            <w:r>
              <w:rPr>
                <w:noProof/>
              </w:rPr>
              <w:t>Epäsäännölliset kaatopaikat</w:t>
            </w:r>
          </w:p>
        </w:tc>
      </w:tr>
      <w:tr w:rsidR="00E42B18" w14:paraId="178767F5" w14:textId="77777777">
        <w:trPr>
          <w:trHeight w:val="300"/>
        </w:trPr>
        <w:tc>
          <w:tcPr>
            <w:tcW w:w="1155" w:type="dxa"/>
            <w:shd w:val="clear" w:color="auto" w:fill="C6EFCE"/>
            <w:tcMar>
              <w:left w:w="108" w:type="dxa"/>
              <w:right w:w="108" w:type="dxa"/>
            </w:tcMar>
            <w:vAlign w:val="center"/>
          </w:tcPr>
          <w:p w14:paraId="60EED917" w14:textId="77777777" w:rsidR="00E42B18" w:rsidRDefault="009629C4">
            <w:pPr>
              <w:pStyle w:val="P68B1DB1-Normal121"/>
              <w:spacing w:after="0" w:line="240" w:lineRule="auto"/>
              <w:jc w:val="center"/>
              <w:rPr>
                <w:noProof/>
              </w:rPr>
            </w:pPr>
            <w:r>
              <w:rPr>
                <w:noProof/>
              </w:rPr>
              <w:t>M2C1–22</w:t>
            </w:r>
          </w:p>
        </w:tc>
        <w:tc>
          <w:tcPr>
            <w:tcW w:w="4209" w:type="dxa"/>
            <w:shd w:val="clear" w:color="auto" w:fill="C6EFCE"/>
            <w:tcMar>
              <w:left w:w="108" w:type="dxa"/>
              <w:right w:w="108" w:type="dxa"/>
            </w:tcMar>
            <w:vAlign w:val="center"/>
          </w:tcPr>
          <w:p w14:paraId="460B411D" w14:textId="77777777" w:rsidR="00E42B18" w:rsidRDefault="009629C4">
            <w:pPr>
              <w:pStyle w:val="P68B1DB1-Normal121"/>
              <w:spacing w:after="0" w:line="240" w:lineRule="auto"/>
              <w:rPr>
                <w:noProof/>
              </w:rPr>
            </w:pPr>
            <w:r>
              <w:rPr>
                <w:noProof/>
              </w:rPr>
              <w:t>Investointi 3.4: Fondo Contratti di Filiera (FCF) maatalouselintarvike-, kalastus- ja vesiviljely-, metsätalous-, kukkaviljely- ja taimitarha-alojen toimitusketjusopimusten tukemiseksi</w:t>
            </w:r>
          </w:p>
        </w:tc>
        <w:tc>
          <w:tcPr>
            <w:tcW w:w="1110" w:type="dxa"/>
            <w:shd w:val="clear" w:color="auto" w:fill="C6EFCE"/>
            <w:tcMar>
              <w:left w:w="108" w:type="dxa"/>
              <w:right w:w="108" w:type="dxa"/>
            </w:tcMar>
            <w:vAlign w:val="center"/>
          </w:tcPr>
          <w:p w14:paraId="38CDD5BE" w14:textId="77777777" w:rsidR="00E42B18" w:rsidRDefault="009629C4">
            <w:pPr>
              <w:pStyle w:val="P68B1DB1-Normal121"/>
              <w:spacing w:after="0" w:line="240" w:lineRule="auto"/>
              <w:jc w:val="center"/>
              <w:rPr>
                <w:noProof/>
              </w:rPr>
            </w:pPr>
            <w:r>
              <w:rPr>
                <w:noProof/>
              </w:rPr>
              <w:t>Virstanpylväs</w:t>
            </w:r>
          </w:p>
        </w:tc>
        <w:tc>
          <w:tcPr>
            <w:tcW w:w="2884" w:type="dxa"/>
            <w:shd w:val="clear" w:color="auto" w:fill="C6EFCE"/>
            <w:tcMar>
              <w:left w:w="108" w:type="dxa"/>
              <w:right w:w="108" w:type="dxa"/>
            </w:tcMar>
            <w:vAlign w:val="center"/>
          </w:tcPr>
          <w:p w14:paraId="4B8DBC8E" w14:textId="77777777" w:rsidR="00E42B18" w:rsidRDefault="009629C4">
            <w:pPr>
              <w:pStyle w:val="P68B1DB1-Normal121"/>
              <w:spacing w:after="0" w:line="240" w:lineRule="auto"/>
              <w:rPr>
                <w:noProof/>
              </w:rPr>
            </w:pPr>
            <w:r>
              <w:rPr>
                <w:noProof/>
              </w:rPr>
              <w:t>Täytäntöönpanosopimus</w:t>
            </w:r>
          </w:p>
        </w:tc>
      </w:tr>
      <w:tr w:rsidR="00E42B18" w14:paraId="02053AE6" w14:textId="77777777">
        <w:trPr>
          <w:trHeight w:val="300"/>
        </w:trPr>
        <w:tc>
          <w:tcPr>
            <w:tcW w:w="1155" w:type="dxa"/>
            <w:shd w:val="clear" w:color="auto" w:fill="C6EFCE"/>
            <w:tcMar>
              <w:left w:w="108" w:type="dxa"/>
              <w:right w:w="108" w:type="dxa"/>
            </w:tcMar>
            <w:vAlign w:val="center"/>
          </w:tcPr>
          <w:p w14:paraId="40ABE9B6" w14:textId="77777777" w:rsidR="00E42B18" w:rsidRDefault="009629C4">
            <w:pPr>
              <w:pStyle w:val="P68B1DB1-Normal121"/>
              <w:spacing w:after="0" w:line="240" w:lineRule="auto"/>
              <w:jc w:val="center"/>
              <w:rPr>
                <w:noProof/>
              </w:rPr>
            </w:pPr>
            <w:r>
              <w:rPr>
                <w:noProof/>
              </w:rPr>
              <w:t>M2C2–31</w:t>
            </w:r>
          </w:p>
        </w:tc>
        <w:tc>
          <w:tcPr>
            <w:tcW w:w="4209" w:type="dxa"/>
            <w:shd w:val="clear" w:color="auto" w:fill="C6EFCE"/>
            <w:tcMar>
              <w:left w:w="108" w:type="dxa"/>
              <w:right w:w="108" w:type="dxa"/>
            </w:tcMar>
            <w:vAlign w:val="center"/>
          </w:tcPr>
          <w:p w14:paraId="1E31BE71" w14:textId="77777777" w:rsidR="00E42B18" w:rsidRDefault="009629C4">
            <w:pPr>
              <w:pStyle w:val="P68B1DB1-Normal121"/>
              <w:spacing w:after="0" w:line="240" w:lineRule="auto"/>
              <w:rPr>
                <w:noProof/>
              </w:rPr>
            </w:pPr>
            <w:r>
              <w:rPr>
                <w:noProof/>
              </w:rPr>
              <w:t>Investointi 4.4.3: Kansallisen palokunnan komentokaluston uusiminen</w:t>
            </w:r>
          </w:p>
        </w:tc>
        <w:tc>
          <w:tcPr>
            <w:tcW w:w="1110" w:type="dxa"/>
            <w:shd w:val="clear" w:color="auto" w:fill="C6EFCE"/>
            <w:tcMar>
              <w:left w:w="108" w:type="dxa"/>
              <w:right w:w="108" w:type="dxa"/>
            </w:tcMar>
            <w:vAlign w:val="center"/>
          </w:tcPr>
          <w:p w14:paraId="7563A7ED" w14:textId="77777777" w:rsidR="00E42B18" w:rsidRDefault="009629C4">
            <w:pPr>
              <w:pStyle w:val="P68B1DB1-Normal121"/>
              <w:spacing w:after="0" w:line="240" w:lineRule="auto"/>
              <w:jc w:val="center"/>
              <w:rPr>
                <w:noProof/>
              </w:rPr>
            </w:pPr>
            <w:r>
              <w:rPr>
                <w:noProof/>
              </w:rPr>
              <w:t>Virstanpylväs</w:t>
            </w:r>
          </w:p>
        </w:tc>
        <w:tc>
          <w:tcPr>
            <w:tcW w:w="2884" w:type="dxa"/>
            <w:shd w:val="clear" w:color="auto" w:fill="C6EFCE"/>
            <w:tcMar>
              <w:left w:w="108" w:type="dxa"/>
              <w:right w:w="108" w:type="dxa"/>
            </w:tcMar>
            <w:vAlign w:val="center"/>
          </w:tcPr>
          <w:p w14:paraId="0B2E15C1" w14:textId="77777777" w:rsidR="00E42B18" w:rsidRDefault="009629C4">
            <w:pPr>
              <w:pStyle w:val="P68B1DB1-Normal121"/>
              <w:spacing w:after="0" w:line="240" w:lineRule="auto"/>
              <w:rPr>
                <w:noProof/>
              </w:rPr>
            </w:pPr>
            <w:r>
              <w:rPr>
                <w:noProof/>
              </w:rPr>
              <w:t>Kaikkien julkisten hankintasopimusten tekeminen kansallisen palokunnan komentokaluston uudistamiseksi</w:t>
            </w:r>
          </w:p>
        </w:tc>
      </w:tr>
      <w:tr w:rsidR="00E42B18" w14:paraId="155EC458" w14:textId="77777777">
        <w:trPr>
          <w:trHeight w:val="300"/>
        </w:trPr>
        <w:tc>
          <w:tcPr>
            <w:tcW w:w="1155" w:type="dxa"/>
            <w:shd w:val="clear" w:color="auto" w:fill="C6EFCE"/>
            <w:tcMar>
              <w:left w:w="108" w:type="dxa"/>
              <w:right w:w="108" w:type="dxa"/>
            </w:tcMar>
            <w:vAlign w:val="center"/>
          </w:tcPr>
          <w:p w14:paraId="1DB13C5C" w14:textId="77777777" w:rsidR="00E42B18" w:rsidRDefault="009629C4">
            <w:pPr>
              <w:pStyle w:val="P68B1DB1-Normal121"/>
              <w:spacing w:after="0" w:line="240" w:lineRule="auto"/>
              <w:jc w:val="center"/>
              <w:rPr>
                <w:noProof/>
              </w:rPr>
            </w:pPr>
            <w:r>
              <w:rPr>
                <w:noProof/>
              </w:rPr>
              <w:t>M2C4–6</w:t>
            </w:r>
          </w:p>
        </w:tc>
        <w:tc>
          <w:tcPr>
            <w:tcW w:w="4209" w:type="dxa"/>
            <w:shd w:val="clear" w:color="auto" w:fill="C6EFCE"/>
            <w:tcMar>
              <w:left w:w="108" w:type="dxa"/>
              <w:right w:w="108" w:type="dxa"/>
            </w:tcMar>
            <w:vAlign w:val="center"/>
          </w:tcPr>
          <w:p w14:paraId="33654EBF" w14:textId="77777777" w:rsidR="00E42B18" w:rsidRDefault="009629C4">
            <w:pPr>
              <w:pStyle w:val="P68B1DB1-Normal121"/>
              <w:spacing w:after="0" w:line="240" w:lineRule="auto"/>
              <w:rPr>
                <w:noProof/>
              </w:rPr>
            </w:pPr>
            <w:r>
              <w:rPr>
                <w:noProof/>
              </w:rPr>
              <w:t>Investointi 3.2: Kansallispuistojen digitalisointi</w:t>
            </w:r>
          </w:p>
        </w:tc>
        <w:tc>
          <w:tcPr>
            <w:tcW w:w="1110" w:type="dxa"/>
            <w:shd w:val="clear" w:color="auto" w:fill="C6EFCE"/>
            <w:tcMar>
              <w:left w:w="108" w:type="dxa"/>
              <w:right w:w="108" w:type="dxa"/>
            </w:tcMar>
            <w:vAlign w:val="center"/>
          </w:tcPr>
          <w:p w14:paraId="508ABE24" w14:textId="77777777" w:rsidR="00E42B18" w:rsidRDefault="009629C4">
            <w:pPr>
              <w:pStyle w:val="P68B1DB1-Normal121"/>
              <w:spacing w:after="0" w:line="240" w:lineRule="auto"/>
              <w:jc w:val="center"/>
              <w:rPr>
                <w:noProof/>
              </w:rPr>
            </w:pPr>
            <w:r>
              <w:rPr>
                <w:noProof/>
              </w:rPr>
              <w:t>Kohde</w:t>
            </w:r>
          </w:p>
        </w:tc>
        <w:tc>
          <w:tcPr>
            <w:tcW w:w="2884" w:type="dxa"/>
            <w:shd w:val="clear" w:color="auto" w:fill="C6EFCE"/>
            <w:tcMar>
              <w:left w:w="108" w:type="dxa"/>
              <w:right w:w="108" w:type="dxa"/>
            </w:tcMar>
            <w:vAlign w:val="center"/>
          </w:tcPr>
          <w:p w14:paraId="75AD533A" w14:textId="77777777" w:rsidR="00E42B18" w:rsidRDefault="009629C4">
            <w:pPr>
              <w:pStyle w:val="P68B1DB1-Normal121"/>
              <w:spacing w:after="0" w:line="240" w:lineRule="auto"/>
              <w:rPr>
                <w:noProof/>
              </w:rPr>
            </w:pPr>
            <w:r>
              <w:rPr>
                <w:noProof/>
              </w:rPr>
              <w:t xml:space="preserve">Hallinnon yksinkertaistaminen ja digitaalisten palvelujen kehittäminen kansallispuistojen ja suojeltujen merialueiden vierailijoille </w:t>
            </w:r>
          </w:p>
        </w:tc>
      </w:tr>
      <w:tr w:rsidR="00E42B18" w14:paraId="5EF0E810" w14:textId="77777777">
        <w:trPr>
          <w:trHeight w:val="300"/>
        </w:trPr>
        <w:tc>
          <w:tcPr>
            <w:tcW w:w="1155" w:type="dxa"/>
            <w:shd w:val="clear" w:color="auto" w:fill="C6EFCE"/>
            <w:tcMar>
              <w:left w:w="108" w:type="dxa"/>
              <w:right w:w="108" w:type="dxa"/>
            </w:tcMar>
            <w:vAlign w:val="center"/>
          </w:tcPr>
          <w:p w14:paraId="6F9F2993" w14:textId="77777777" w:rsidR="00E42B18" w:rsidRDefault="009629C4">
            <w:pPr>
              <w:pStyle w:val="P68B1DB1-Normal121"/>
              <w:spacing w:after="0" w:line="240" w:lineRule="auto"/>
              <w:jc w:val="center"/>
              <w:rPr>
                <w:noProof/>
              </w:rPr>
            </w:pPr>
            <w:r>
              <w:rPr>
                <w:noProof/>
              </w:rPr>
              <w:t>M3C2–10</w:t>
            </w:r>
          </w:p>
        </w:tc>
        <w:tc>
          <w:tcPr>
            <w:tcW w:w="4209" w:type="dxa"/>
            <w:shd w:val="clear" w:color="auto" w:fill="C6EFCE"/>
            <w:tcMar>
              <w:left w:w="108" w:type="dxa"/>
              <w:right w:w="108" w:type="dxa"/>
            </w:tcMar>
            <w:vAlign w:val="center"/>
          </w:tcPr>
          <w:p w14:paraId="480AE2CA" w14:textId="77777777" w:rsidR="00E42B18" w:rsidRDefault="009629C4">
            <w:pPr>
              <w:pStyle w:val="P68B1DB1-Normal121"/>
              <w:spacing w:after="0" w:line="240" w:lineRule="auto"/>
              <w:rPr>
                <w:noProof/>
              </w:rPr>
            </w:pPr>
            <w:r>
              <w:rPr>
                <w:noProof/>
              </w:rPr>
              <w:t>Uudistus 2.2: Kansallisen digitaalisen logistiikan alustan perustaminen tavara- ja/tai matkustajapalvelujen digitalisoinnin toteuttamiseksi</w:t>
            </w:r>
          </w:p>
        </w:tc>
        <w:tc>
          <w:tcPr>
            <w:tcW w:w="1110" w:type="dxa"/>
            <w:shd w:val="clear" w:color="auto" w:fill="C6EFCE"/>
            <w:tcMar>
              <w:left w:w="108" w:type="dxa"/>
              <w:right w:w="108" w:type="dxa"/>
            </w:tcMar>
            <w:vAlign w:val="center"/>
          </w:tcPr>
          <w:p w14:paraId="64AB38EC" w14:textId="77777777" w:rsidR="00E42B18" w:rsidRDefault="009629C4">
            <w:pPr>
              <w:pStyle w:val="P68B1DB1-Normal121"/>
              <w:spacing w:after="0" w:line="240" w:lineRule="auto"/>
              <w:jc w:val="center"/>
              <w:rPr>
                <w:noProof/>
              </w:rPr>
            </w:pPr>
            <w:r>
              <w:rPr>
                <w:noProof/>
              </w:rPr>
              <w:t>Virstanpylväs</w:t>
            </w:r>
          </w:p>
        </w:tc>
        <w:tc>
          <w:tcPr>
            <w:tcW w:w="2884" w:type="dxa"/>
            <w:shd w:val="clear" w:color="auto" w:fill="C6EFCE"/>
            <w:tcMar>
              <w:left w:w="108" w:type="dxa"/>
              <w:right w:w="108" w:type="dxa"/>
            </w:tcMar>
            <w:vAlign w:val="center"/>
          </w:tcPr>
          <w:p w14:paraId="17B391E6" w14:textId="77777777" w:rsidR="00E42B18" w:rsidRDefault="009629C4">
            <w:pPr>
              <w:pStyle w:val="P68B1DB1-Normal121"/>
              <w:spacing w:after="0" w:line="240" w:lineRule="auto"/>
              <w:rPr>
                <w:noProof/>
              </w:rPr>
            </w:pPr>
            <w:r>
              <w:rPr>
                <w:noProof/>
              </w:rPr>
              <w:t xml:space="preserve">Kansallinen digitaalisen logistiikan alusta </w:t>
            </w:r>
          </w:p>
        </w:tc>
      </w:tr>
      <w:tr w:rsidR="00E42B18" w14:paraId="03E5C265" w14:textId="77777777">
        <w:trPr>
          <w:trHeight w:val="300"/>
        </w:trPr>
        <w:tc>
          <w:tcPr>
            <w:tcW w:w="1155" w:type="dxa"/>
            <w:shd w:val="clear" w:color="auto" w:fill="C6EFCE"/>
            <w:tcMar>
              <w:left w:w="108" w:type="dxa"/>
              <w:right w:w="108" w:type="dxa"/>
            </w:tcMar>
            <w:vAlign w:val="center"/>
          </w:tcPr>
          <w:p w14:paraId="5B03A0E7" w14:textId="77777777" w:rsidR="00E42B18" w:rsidRDefault="009629C4">
            <w:pPr>
              <w:pStyle w:val="P68B1DB1-Normal121"/>
              <w:spacing w:after="0" w:line="240" w:lineRule="auto"/>
              <w:jc w:val="center"/>
              <w:rPr>
                <w:noProof/>
              </w:rPr>
            </w:pPr>
            <w:r>
              <w:rPr>
                <w:noProof/>
              </w:rPr>
              <w:t>M6C2–15</w:t>
            </w:r>
          </w:p>
        </w:tc>
        <w:tc>
          <w:tcPr>
            <w:tcW w:w="4209" w:type="dxa"/>
            <w:shd w:val="clear" w:color="auto" w:fill="C6EFCE"/>
            <w:tcMar>
              <w:left w:w="108" w:type="dxa"/>
              <w:right w:w="108" w:type="dxa"/>
            </w:tcMar>
            <w:vAlign w:val="center"/>
          </w:tcPr>
          <w:p w14:paraId="354097C2" w14:textId="77777777" w:rsidR="00E42B18" w:rsidRDefault="009629C4">
            <w:pPr>
              <w:pStyle w:val="P68B1DB1-Normal123"/>
              <w:spacing w:after="0" w:line="240" w:lineRule="auto"/>
              <w:rPr>
                <w:noProof/>
              </w:rPr>
            </w:pPr>
            <w:r>
              <w:rPr>
                <w:noProof/>
              </w:rPr>
              <w:t>Investointi 2.2: Terveydenhuoltojärjestelmän ammattilaisten teknisten, ammatillisten, digitaalisten ja johtamistaitojen kehittäminen</w:t>
            </w:r>
          </w:p>
        </w:tc>
        <w:tc>
          <w:tcPr>
            <w:tcW w:w="1110" w:type="dxa"/>
            <w:shd w:val="clear" w:color="auto" w:fill="C6EFCE"/>
            <w:tcMar>
              <w:left w:w="108" w:type="dxa"/>
              <w:right w:w="108" w:type="dxa"/>
            </w:tcMar>
            <w:vAlign w:val="center"/>
          </w:tcPr>
          <w:p w14:paraId="0A0ABF27" w14:textId="77777777" w:rsidR="00E42B18" w:rsidRDefault="009629C4">
            <w:pPr>
              <w:pStyle w:val="P68B1DB1-Normal123"/>
              <w:spacing w:after="0" w:line="240" w:lineRule="auto"/>
              <w:jc w:val="center"/>
              <w:rPr>
                <w:noProof/>
              </w:rPr>
            </w:pPr>
            <w:r>
              <w:rPr>
                <w:noProof/>
              </w:rPr>
              <w:t>Kohde</w:t>
            </w:r>
          </w:p>
        </w:tc>
        <w:tc>
          <w:tcPr>
            <w:tcW w:w="2884" w:type="dxa"/>
            <w:shd w:val="clear" w:color="auto" w:fill="C6EFCE"/>
            <w:tcMar>
              <w:left w:w="108" w:type="dxa"/>
              <w:right w:w="108" w:type="dxa"/>
            </w:tcMar>
            <w:vAlign w:val="center"/>
          </w:tcPr>
          <w:p w14:paraId="5953EE31" w14:textId="77777777" w:rsidR="00E42B18" w:rsidRDefault="009629C4">
            <w:pPr>
              <w:pStyle w:val="P68B1DB1-Normal123"/>
              <w:spacing w:after="0" w:line="240" w:lineRule="auto"/>
              <w:rPr>
                <w:noProof/>
              </w:rPr>
            </w:pPr>
            <w:r>
              <w:rPr>
                <w:noProof/>
              </w:rPr>
              <w:t>Yleislääkärin erityiskoulutukseen myönnetään lisäapurahoja.</w:t>
            </w:r>
          </w:p>
        </w:tc>
      </w:tr>
      <w:tr w:rsidR="00E42B18" w14:paraId="2C27F0E6" w14:textId="77777777">
        <w:trPr>
          <w:trHeight w:val="300"/>
        </w:trPr>
        <w:tc>
          <w:tcPr>
            <w:tcW w:w="1155" w:type="dxa"/>
            <w:shd w:val="clear" w:color="auto" w:fill="C6EFCE"/>
            <w:tcMar>
              <w:left w:w="108" w:type="dxa"/>
              <w:right w:w="108" w:type="dxa"/>
            </w:tcMar>
            <w:vAlign w:val="center"/>
          </w:tcPr>
          <w:p w14:paraId="205F4215" w14:textId="77777777" w:rsidR="00E42B18" w:rsidRDefault="009629C4">
            <w:pPr>
              <w:pStyle w:val="P68B1DB1-Normal121"/>
              <w:spacing w:after="0" w:line="240" w:lineRule="auto"/>
              <w:jc w:val="center"/>
              <w:rPr>
                <w:noProof/>
              </w:rPr>
            </w:pPr>
            <w:r>
              <w:rPr>
                <w:noProof/>
              </w:rPr>
              <w:t>M7–36</w:t>
            </w:r>
          </w:p>
        </w:tc>
        <w:tc>
          <w:tcPr>
            <w:tcW w:w="4209" w:type="dxa"/>
            <w:shd w:val="clear" w:color="auto" w:fill="C6EFCE"/>
            <w:tcMar>
              <w:left w:w="108" w:type="dxa"/>
              <w:right w:w="108" w:type="dxa"/>
            </w:tcMar>
            <w:vAlign w:val="center"/>
          </w:tcPr>
          <w:p w14:paraId="0176EB9C" w14:textId="77777777" w:rsidR="00E42B18" w:rsidRDefault="009629C4">
            <w:pPr>
              <w:pStyle w:val="P68B1DB1-Normal121"/>
              <w:spacing w:after="0" w:line="240" w:lineRule="auto"/>
              <w:rPr>
                <w:noProof/>
              </w:rPr>
            </w:pPr>
            <w:r>
              <w:rPr>
                <w:noProof/>
              </w:rPr>
              <w:t>Investointi 13: Adrianmeren linjan vaihe 1 (Sulmonan kompressoriasema ja Sestino-Minerbio-kaasuputki)</w:t>
            </w:r>
          </w:p>
        </w:tc>
        <w:tc>
          <w:tcPr>
            <w:tcW w:w="1110" w:type="dxa"/>
            <w:shd w:val="clear" w:color="auto" w:fill="C6EFCE"/>
            <w:tcMar>
              <w:left w:w="108" w:type="dxa"/>
              <w:right w:w="108" w:type="dxa"/>
            </w:tcMar>
            <w:vAlign w:val="center"/>
          </w:tcPr>
          <w:p w14:paraId="4A397A31" w14:textId="77777777" w:rsidR="00E42B18" w:rsidRDefault="009629C4">
            <w:pPr>
              <w:pStyle w:val="P68B1DB1-Normal121"/>
              <w:spacing w:after="0" w:line="240" w:lineRule="auto"/>
              <w:jc w:val="center"/>
              <w:rPr>
                <w:noProof/>
              </w:rPr>
            </w:pPr>
            <w:r>
              <w:rPr>
                <w:noProof/>
              </w:rPr>
              <w:t>Virstanpylväs</w:t>
            </w:r>
          </w:p>
        </w:tc>
        <w:tc>
          <w:tcPr>
            <w:tcW w:w="2884" w:type="dxa"/>
            <w:shd w:val="clear" w:color="auto" w:fill="C6EFCE"/>
            <w:tcMar>
              <w:left w:w="108" w:type="dxa"/>
              <w:right w:w="108" w:type="dxa"/>
            </w:tcMar>
            <w:vAlign w:val="center"/>
          </w:tcPr>
          <w:p w14:paraId="1A117E53" w14:textId="77777777" w:rsidR="00E42B18" w:rsidRDefault="009629C4">
            <w:pPr>
              <w:pStyle w:val="P68B1DB1-Normal121"/>
              <w:spacing w:after="0" w:line="240" w:lineRule="auto"/>
              <w:rPr>
                <w:noProof/>
              </w:rPr>
            </w:pPr>
            <w:r>
              <w:rPr>
                <w:noProof/>
              </w:rPr>
              <w:t>Hankintasopimukset</w:t>
            </w:r>
          </w:p>
        </w:tc>
      </w:tr>
      <w:tr w:rsidR="00E42B18" w14:paraId="290ED4FB" w14:textId="77777777">
        <w:trPr>
          <w:trHeight w:val="300"/>
        </w:trPr>
        <w:tc>
          <w:tcPr>
            <w:tcW w:w="1155" w:type="dxa"/>
            <w:shd w:val="clear" w:color="auto" w:fill="C6EFCE"/>
            <w:tcMar>
              <w:left w:w="108" w:type="dxa"/>
              <w:right w:w="108" w:type="dxa"/>
            </w:tcMar>
            <w:vAlign w:val="center"/>
          </w:tcPr>
          <w:p w14:paraId="13516A9E" w14:textId="77777777" w:rsidR="00E42B18" w:rsidRDefault="009629C4">
            <w:pPr>
              <w:pStyle w:val="P68B1DB1-Normal121"/>
              <w:spacing w:after="0" w:line="240" w:lineRule="auto"/>
              <w:jc w:val="center"/>
              <w:rPr>
                <w:noProof/>
              </w:rPr>
            </w:pPr>
            <w:r>
              <w:rPr>
                <w:noProof/>
              </w:rPr>
              <w:t>M7–38</w:t>
            </w:r>
          </w:p>
        </w:tc>
        <w:tc>
          <w:tcPr>
            <w:tcW w:w="4209" w:type="dxa"/>
            <w:shd w:val="clear" w:color="auto" w:fill="C6EFCE"/>
            <w:tcMar>
              <w:left w:w="108" w:type="dxa"/>
              <w:right w:w="108" w:type="dxa"/>
            </w:tcMar>
            <w:vAlign w:val="center"/>
          </w:tcPr>
          <w:p w14:paraId="3573F8AE" w14:textId="77777777" w:rsidR="00E42B18" w:rsidRDefault="009629C4">
            <w:pPr>
              <w:pStyle w:val="P68B1DB1-Normal121"/>
              <w:spacing w:after="0" w:line="240" w:lineRule="auto"/>
              <w:rPr>
                <w:noProof/>
              </w:rPr>
            </w:pPr>
            <w:r>
              <w:rPr>
                <w:noProof/>
              </w:rPr>
              <w:t>Investointi 14: Rajat ylittävä kaasun vientiinfrastruktuuri</w:t>
            </w:r>
          </w:p>
        </w:tc>
        <w:tc>
          <w:tcPr>
            <w:tcW w:w="1110" w:type="dxa"/>
            <w:shd w:val="clear" w:color="auto" w:fill="C6EFCE"/>
            <w:tcMar>
              <w:left w:w="108" w:type="dxa"/>
              <w:right w:w="108" w:type="dxa"/>
            </w:tcMar>
            <w:vAlign w:val="center"/>
          </w:tcPr>
          <w:p w14:paraId="3D17F76A" w14:textId="77777777" w:rsidR="00E42B18" w:rsidRDefault="009629C4">
            <w:pPr>
              <w:pStyle w:val="P68B1DB1-Normal121"/>
              <w:spacing w:after="0" w:line="240" w:lineRule="auto"/>
              <w:jc w:val="center"/>
              <w:rPr>
                <w:noProof/>
              </w:rPr>
            </w:pPr>
            <w:r>
              <w:rPr>
                <w:noProof/>
              </w:rPr>
              <w:t>Virstanpylväs</w:t>
            </w:r>
          </w:p>
        </w:tc>
        <w:tc>
          <w:tcPr>
            <w:tcW w:w="2884" w:type="dxa"/>
            <w:shd w:val="clear" w:color="auto" w:fill="C6EFCE"/>
            <w:tcMar>
              <w:left w:w="108" w:type="dxa"/>
              <w:right w:w="108" w:type="dxa"/>
            </w:tcMar>
            <w:vAlign w:val="center"/>
          </w:tcPr>
          <w:p w14:paraId="5B7B6CEE" w14:textId="77777777" w:rsidR="00E42B18" w:rsidRDefault="009629C4">
            <w:pPr>
              <w:pStyle w:val="P68B1DB1-Normal121"/>
              <w:spacing w:after="0" w:line="240" w:lineRule="auto"/>
              <w:rPr>
                <w:noProof/>
              </w:rPr>
            </w:pPr>
            <w:r>
              <w:rPr>
                <w:noProof/>
              </w:rPr>
              <w:t>Hankintasopimukset</w:t>
            </w:r>
          </w:p>
        </w:tc>
      </w:tr>
      <w:tr w:rsidR="00E42B18" w14:paraId="04D2AA79" w14:textId="77777777">
        <w:trPr>
          <w:trHeight w:val="300"/>
        </w:trPr>
        <w:tc>
          <w:tcPr>
            <w:tcW w:w="1155" w:type="dxa"/>
            <w:shd w:val="clear" w:color="auto" w:fill="C6EFCE"/>
            <w:tcMar>
              <w:left w:w="108" w:type="dxa"/>
              <w:right w:w="108" w:type="dxa"/>
            </w:tcMar>
            <w:vAlign w:val="center"/>
          </w:tcPr>
          <w:p w14:paraId="390D77F4" w14:textId="77777777" w:rsidR="00E42B18" w:rsidRDefault="00E42B18">
            <w:pPr>
              <w:spacing w:after="0" w:line="240" w:lineRule="auto"/>
              <w:jc w:val="center"/>
              <w:rPr>
                <w:rFonts w:ascii="Times New Roman" w:eastAsia="Times New Roman" w:hAnsi="Times New Roman" w:cs="Times New Roman"/>
                <w:noProof/>
              </w:rPr>
            </w:pPr>
          </w:p>
        </w:tc>
        <w:tc>
          <w:tcPr>
            <w:tcW w:w="4209" w:type="dxa"/>
            <w:shd w:val="clear" w:color="auto" w:fill="C6EFCE"/>
            <w:tcMar>
              <w:left w:w="108" w:type="dxa"/>
              <w:right w:w="108" w:type="dxa"/>
            </w:tcMar>
            <w:vAlign w:val="center"/>
          </w:tcPr>
          <w:p w14:paraId="54BF8C27" w14:textId="77777777" w:rsidR="00E42B18" w:rsidRDefault="009629C4">
            <w:pPr>
              <w:pStyle w:val="P68B1DB1-Normal121"/>
              <w:spacing w:after="0" w:line="240" w:lineRule="auto"/>
              <w:rPr>
                <w:noProof/>
              </w:rPr>
            </w:pPr>
            <w:r>
              <w:rPr>
                <w:noProof/>
              </w:rPr>
              <w:t xml:space="preserve"> </w:t>
            </w:r>
          </w:p>
        </w:tc>
        <w:tc>
          <w:tcPr>
            <w:tcW w:w="1110" w:type="dxa"/>
            <w:shd w:val="clear" w:color="auto" w:fill="C6EFCE"/>
            <w:tcMar>
              <w:left w:w="108" w:type="dxa"/>
              <w:right w:w="108" w:type="dxa"/>
            </w:tcMar>
            <w:vAlign w:val="center"/>
          </w:tcPr>
          <w:p w14:paraId="53709D11" w14:textId="77777777" w:rsidR="00E42B18" w:rsidRDefault="009629C4">
            <w:pPr>
              <w:pStyle w:val="P68B1DB1-Normal121"/>
              <w:spacing w:after="0" w:line="240" w:lineRule="auto"/>
              <w:jc w:val="center"/>
              <w:rPr>
                <w:noProof/>
              </w:rPr>
            </w:pPr>
            <w:r>
              <w:rPr>
                <w:noProof/>
              </w:rPr>
              <w:t>Maksuerän määrä</w:t>
            </w:r>
          </w:p>
        </w:tc>
        <w:tc>
          <w:tcPr>
            <w:tcW w:w="2884" w:type="dxa"/>
            <w:shd w:val="clear" w:color="auto" w:fill="C6EFCE"/>
            <w:tcMar>
              <w:left w:w="108" w:type="dxa"/>
              <w:right w:w="108" w:type="dxa"/>
            </w:tcMar>
            <w:vAlign w:val="center"/>
          </w:tcPr>
          <w:p w14:paraId="22467A68"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7908481227</w:t>
            </w:r>
            <w:r>
              <w:rPr>
                <w:noProof/>
                <w:sz w:val="23"/>
                <w:szCs w:val="23"/>
              </w:rPr>
              <w:t xml:space="preserve">  </w:t>
            </w:r>
            <w:r>
              <w:rPr>
                <w:noProof/>
                <w:color w:val="006100"/>
                <w:sz w:val="20"/>
                <w:szCs w:val="20"/>
              </w:rPr>
              <w:t>EUROA</w:t>
            </w:r>
          </w:p>
        </w:tc>
      </w:tr>
    </w:tbl>
    <w:p w14:paraId="20E28A66" w14:textId="77777777" w:rsidR="00E42B18" w:rsidRDefault="00E42B18">
      <w:pPr>
        <w:spacing w:after="0"/>
        <w:ind w:left="850"/>
        <w:contextualSpacing/>
        <w:jc w:val="both"/>
        <w:rPr>
          <w:rFonts w:ascii="Times New Roman" w:eastAsia="Times New Roman" w:hAnsi="Times New Roman" w:cs="Times New Roman"/>
          <w:noProof/>
        </w:rPr>
      </w:pPr>
    </w:p>
    <w:p w14:paraId="2DE42580" w14:textId="77777777" w:rsidR="00E42B18" w:rsidRDefault="009629C4">
      <w:pPr>
        <w:pStyle w:val="P68B1DB1-Heading34"/>
        <w:numPr>
          <w:ilvl w:val="1"/>
          <w:numId w:val="179"/>
        </w:numPr>
        <w:tabs>
          <w:tab w:val="clear" w:pos="850"/>
          <w:tab w:val="num" w:pos="1440"/>
        </w:tabs>
        <w:ind w:left="1440" w:hanging="360"/>
        <w:rPr>
          <w:noProof/>
        </w:rPr>
      </w:pPr>
      <w:r>
        <w:rPr>
          <w:noProof/>
        </w:rPr>
        <w:t>Seitsemäs erä (lainatuki):</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3628"/>
        <w:gridCol w:w="1110"/>
        <w:gridCol w:w="3480"/>
      </w:tblGrid>
      <w:tr w:rsidR="00E42B18" w14:paraId="758E6735" w14:textId="77777777">
        <w:trPr>
          <w:trHeight w:val="900"/>
          <w:tblHeader/>
        </w:trPr>
        <w:tc>
          <w:tcPr>
            <w:tcW w:w="1140" w:type="dxa"/>
            <w:vMerge w:val="restart"/>
            <w:shd w:val="clear" w:color="auto" w:fill="BDD7EE"/>
            <w:tcMar>
              <w:left w:w="108" w:type="dxa"/>
              <w:right w:w="108" w:type="dxa"/>
            </w:tcMar>
            <w:vAlign w:val="center"/>
          </w:tcPr>
          <w:p w14:paraId="247F6D0E" w14:textId="77777777" w:rsidR="00E42B18" w:rsidRDefault="009629C4">
            <w:pPr>
              <w:pStyle w:val="P68B1DB1-Normal120"/>
              <w:spacing w:after="0" w:line="240" w:lineRule="auto"/>
              <w:jc w:val="center"/>
              <w:rPr>
                <w:noProof/>
              </w:rPr>
            </w:pPr>
            <w:r>
              <w:rPr>
                <w:noProof/>
              </w:rPr>
              <w:t>Juokseva numero</w:t>
            </w:r>
          </w:p>
        </w:tc>
        <w:tc>
          <w:tcPr>
            <w:tcW w:w="3628" w:type="dxa"/>
            <w:vMerge w:val="restart"/>
            <w:shd w:val="clear" w:color="auto" w:fill="BDD7EE"/>
            <w:tcMar>
              <w:left w:w="108" w:type="dxa"/>
              <w:right w:w="108" w:type="dxa"/>
            </w:tcMar>
            <w:vAlign w:val="center"/>
          </w:tcPr>
          <w:p w14:paraId="4787657D" w14:textId="77777777" w:rsidR="00E42B18" w:rsidRDefault="009629C4">
            <w:pPr>
              <w:pStyle w:val="P68B1DB1-Normal120"/>
              <w:spacing w:after="0" w:line="240" w:lineRule="auto"/>
              <w:jc w:val="center"/>
              <w:rPr>
                <w:noProof/>
              </w:rPr>
            </w:pPr>
            <w:r>
              <w:rPr>
                <w:noProof/>
              </w:rPr>
              <w:t>Toimenpide (uudistus tai investointi)</w:t>
            </w:r>
          </w:p>
        </w:tc>
        <w:tc>
          <w:tcPr>
            <w:tcW w:w="1110" w:type="dxa"/>
            <w:vMerge w:val="restart"/>
            <w:shd w:val="clear" w:color="auto" w:fill="BDD7EE"/>
            <w:tcMar>
              <w:left w:w="108" w:type="dxa"/>
              <w:right w:w="108" w:type="dxa"/>
            </w:tcMar>
            <w:vAlign w:val="center"/>
          </w:tcPr>
          <w:p w14:paraId="304D371D" w14:textId="77777777" w:rsidR="00E42B18" w:rsidRDefault="009629C4">
            <w:pPr>
              <w:pStyle w:val="P68B1DB1-Normal120"/>
              <w:spacing w:after="0" w:line="240" w:lineRule="auto"/>
              <w:jc w:val="center"/>
              <w:rPr>
                <w:noProof/>
              </w:rPr>
            </w:pPr>
            <w:r>
              <w:rPr>
                <w:noProof/>
              </w:rPr>
              <w:t>Välitavoite/tavoite</w:t>
            </w:r>
          </w:p>
        </w:tc>
        <w:tc>
          <w:tcPr>
            <w:tcW w:w="3480" w:type="dxa"/>
            <w:vMerge w:val="restart"/>
            <w:shd w:val="clear" w:color="auto" w:fill="BDD7EE"/>
            <w:tcMar>
              <w:left w:w="108" w:type="dxa"/>
              <w:right w:w="108" w:type="dxa"/>
            </w:tcMar>
            <w:vAlign w:val="center"/>
          </w:tcPr>
          <w:p w14:paraId="1D48310C" w14:textId="77777777" w:rsidR="00E42B18" w:rsidRDefault="009629C4">
            <w:pPr>
              <w:pStyle w:val="P68B1DB1-Normal120"/>
              <w:spacing w:after="0" w:line="240" w:lineRule="auto"/>
              <w:jc w:val="center"/>
              <w:rPr>
                <w:noProof/>
              </w:rPr>
            </w:pPr>
            <w:r>
              <w:rPr>
                <w:noProof/>
              </w:rPr>
              <w:t>Nimi</w:t>
            </w:r>
          </w:p>
        </w:tc>
      </w:tr>
      <w:tr w:rsidR="00E42B18" w14:paraId="4375487C" w14:textId="77777777">
        <w:trPr>
          <w:trHeight w:val="510"/>
        </w:trPr>
        <w:tc>
          <w:tcPr>
            <w:tcW w:w="1140" w:type="dxa"/>
            <w:vMerge/>
            <w:vAlign w:val="center"/>
          </w:tcPr>
          <w:p w14:paraId="731A51E3" w14:textId="77777777" w:rsidR="00E42B18" w:rsidRDefault="00E42B18">
            <w:pPr>
              <w:spacing w:after="0" w:line="240" w:lineRule="auto"/>
              <w:jc w:val="center"/>
              <w:rPr>
                <w:rFonts w:ascii="Times New Roman" w:eastAsia="Times New Roman" w:hAnsi="Times New Roman" w:cs="Times New Roman"/>
                <w:noProof/>
              </w:rPr>
            </w:pPr>
          </w:p>
        </w:tc>
        <w:tc>
          <w:tcPr>
            <w:tcW w:w="3628" w:type="dxa"/>
            <w:vMerge/>
            <w:vAlign w:val="center"/>
          </w:tcPr>
          <w:p w14:paraId="53C4788F" w14:textId="77777777" w:rsidR="00E42B18" w:rsidRDefault="00E42B18">
            <w:pPr>
              <w:spacing w:after="0" w:line="240" w:lineRule="auto"/>
              <w:rPr>
                <w:rFonts w:ascii="Times New Roman" w:eastAsia="Times New Roman" w:hAnsi="Times New Roman" w:cs="Times New Roman"/>
                <w:noProof/>
              </w:rPr>
            </w:pPr>
          </w:p>
        </w:tc>
        <w:tc>
          <w:tcPr>
            <w:tcW w:w="1110" w:type="dxa"/>
            <w:vMerge/>
            <w:vAlign w:val="center"/>
          </w:tcPr>
          <w:p w14:paraId="3351F2F9" w14:textId="77777777" w:rsidR="00E42B18" w:rsidRDefault="00E42B18">
            <w:pPr>
              <w:spacing w:after="0" w:line="240" w:lineRule="auto"/>
              <w:jc w:val="center"/>
              <w:rPr>
                <w:rFonts w:ascii="Times New Roman" w:eastAsia="Times New Roman" w:hAnsi="Times New Roman" w:cs="Times New Roman"/>
                <w:noProof/>
              </w:rPr>
            </w:pPr>
          </w:p>
        </w:tc>
        <w:tc>
          <w:tcPr>
            <w:tcW w:w="3480" w:type="dxa"/>
            <w:vMerge/>
            <w:vAlign w:val="center"/>
          </w:tcPr>
          <w:p w14:paraId="69E2F8F2" w14:textId="77777777" w:rsidR="00E42B18" w:rsidRDefault="00E42B18">
            <w:pPr>
              <w:spacing w:after="0" w:line="240" w:lineRule="auto"/>
              <w:rPr>
                <w:rFonts w:ascii="Times New Roman" w:eastAsia="Times New Roman" w:hAnsi="Times New Roman" w:cs="Times New Roman"/>
                <w:noProof/>
              </w:rPr>
            </w:pPr>
          </w:p>
        </w:tc>
      </w:tr>
      <w:tr w:rsidR="00E42B18" w14:paraId="2263CB4B" w14:textId="77777777">
        <w:trPr>
          <w:trHeight w:val="300"/>
        </w:trPr>
        <w:tc>
          <w:tcPr>
            <w:tcW w:w="1140" w:type="dxa"/>
            <w:shd w:val="clear" w:color="auto" w:fill="C6EFCE"/>
            <w:tcMar>
              <w:left w:w="108" w:type="dxa"/>
              <w:right w:w="108" w:type="dxa"/>
            </w:tcMar>
            <w:vAlign w:val="center"/>
          </w:tcPr>
          <w:p w14:paraId="056A9E75" w14:textId="77777777" w:rsidR="00E42B18" w:rsidRDefault="009629C4">
            <w:pPr>
              <w:pStyle w:val="P68B1DB1-Normal121"/>
              <w:spacing w:after="0" w:line="240" w:lineRule="auto"/>
              <w:jc w:val="center"/>
              <w:rPr>
                <w:noProof/>
              </w:rPr>
            </w:pPr>
            <w:r>
              <w:rPr>
                <w:noProof/>
              </w:rPr>
              <w:t>M1C1–139</w:t>
            </w:r>
          </w:p>
        </w:tc>
        <w:tc>
          <w:tcPr>
            <w:tcW w:w="3628" w:type="dxa"/>
            <w:shd w:val="clear" w:color="auto" w:fill="C6EFCE"/>
            <w:tcMar>
              <w:left w:w="108" w:type="dxa"/>
              <w:right w:w="108" w:type="dxa"/>
            </w:tcMar>
            <w:vAlign w:val="center"/>
          </w:tcPr>
          <w:p w14:paraId="664DA713" w14:textId="77777777" w:rsidR="00E42B18" w:rsidRDefault="009629C4">
            <w:pPr>
              <w:pStyle w:val="P68B1DB1-Normal121"/>
              <w:spacing w:after="0" w:line="240" w:lineRule="auto"/>
              <w:rPr>
                <w:noProof/>
              </w:rPr>
            </w:pPr>
            <w:r>
              <w:rPr>
                <w:noProof/>
              </w:rPr>
              <w:t>Investointi 1.2 – Pilvipalvelut paikalliselle palestiinalaishallinnolle</w:t>
            </w:r>
          </w:p>
        </w:tc>
        <w:tc>
          <w:tcPr>
            <w:tcW w:w="1110" w:type="dxa"/>
            <w:shd w:val="clear" w:color="auto" w:fill="C6EFCE"/>
            <w:tcMar>
              <w:left w:w="108" w:type="dxa"/>
              <w:right w:w="108" w:type="dxa"/>
            </w:tcMar>
            <w:vAlign w:val="center"/>
          </w:tcPr>
          <w:p w14:paraId="4C0F6310"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05582A84" w14:textId="77777777" w:rsidR="00E42B18" w:rsidRDefault="009629C4">
            <w:pPr>
              <w:pStyle w:val="P68B1DB1-Normal121"/>
              <w:spacing w:after="0" w:line="240" w:lineRule="auto"/>
              <w:rPr>
                <w:noProof/>
              </w:rPr>
            </w:pPr>
            <w:r>
              <w:rPr>
                <w:noProof/>
              </w:rPr>
              <w:t>Pilvipalvelut paikalliselle julkishallinnolle T1</w:t>
            </w:r>
          </w:p>
        </w:tc>
      </w:tr>
      <w:tr w:rsidR="00E42B18" w14:paraId="73797587" w14:textId="77777777">
        <w:trPr>
          <w:trHeight w:val="300"/>
        </w:trPr>
        <w:tc>
          <w:tcPr>
            <w:tcW w:w="1140" w:type="dxa"/>
            <w:shd w:val="clear" w:color="auto" w:fill="C6EFCE"/>
            <w:tcMar>
              <w:left w:w="108" w:type="dxa"/>
              <w:right w:w="108" w:type="dxa"/>
            </w:tcMar>
            <w:vAlign w:val="center"/>
          </w:tcPr>
          <w:p w14:paraId="697ABEB5" w14:textId="77777777" w:rsidR="00E42B18" w:rsidRDefault="009629C4">
            <w:pPr>
              <w:pStyle w:val="P68B1DB1-Normal121"/>
              <w:spacing w:after="0" w:line="240" w:lineRule="auto"/>
              <w:jc w:val="center"/>
              <w:rPr>
                <w:noProof/>
              </w:rPr>
            </w:pPr>
            <w:r>
              <w:rPr>
                <w:noProof/>
              </w:rPr>
              <w:t>M2C2–25</w:t>
            </w:r>
          </w:p>
        </w:tc>
        <w:tc>
          <w:tcPr>
            <w:tcW w:w="3628" w:type="dxa"/>
            <w:shd w:val="clear" w:color="auto" w:fill="C6EFCE"/>
            <w:tcMar>
              <w:left w:w="108" w:type="dxa"/>
              <w:right w:w="108" w:type="dxa"/>
            </w:tcMar>
            <w:vAlign w:val="center"/>
          </w:tcPr>
          <w:p w14:paraId="24F30404" w14:textId="77777777" w:rsidR="00E42B18" w:rsidRDefault="009629C4">
            <w:pPr>
              <w:pStyle w:val="P68B1DB1-Normal121"/>
              <w:spacing w:after="0" w:line="240" w:lineRule="auto"/>
              <w:rPr>
                <w:noProof/>
              </w:rPr>
            </w:pPr>
            <w:r>
              <w:rPr>
                <w:noProof/>
              </w:rPr>
              <w:t xml:space="preserve">Investointi 4.2 Nopean joukkoliikenteen järjestelmien kehittäminen </w:t>
            </w:r>
          </w:p>
        </w:tc>
        <w:tc>
          <w:tcPr>
            <w:tcW w:w="1110" w:type="dxa"/>
            <w:shd w:val="clear" w:color="auto" w:fill="C6EFCE"/>
            <w:tcMar>
              <w:left w:w="108" w:type="dxa"/>
              <w:right w:w="108" w:type="dxa"/>
            </w:tcMar>
            <w:vAlign w:val="center"/>
          </w:tcPr>
          <w:p w14:paraId="19EDD443"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53F4DAC4" w14:textId="77777777" w:rsidR="00E42B18" w:rsidRDefault="009629C4">
            <w:pPr>
              <w:pStyle w:val="P68B1DB1-Normal122"/>
              <w:spacing w:after="0" w:line="240" w:lineRule="auto"/>
              <w:rPr>
                <w:noProof/>
              </w:rPr>
            </w:pPr>
            <w:r>
              <w:rPr>
                <w:noProof/>
                <w:color w:val="006100"/>
              </w:rPr>
              <w:t>Kaikkien päästöttömän liikkuvan kaluston hankintaa koskevien julkisten hankintasopimusten tekeminen ja toimenpiteet nopeiden joukkoliikennejärjestelmien infrastruktuurin parantamiseksi</w:t>
            </w:r>
          </w:p>
        </w:tc>
      </w:tr>
      <w:tr w:rsidR="00E42B18" w14:paraId="1A5F5993" w14:textId="77777777">
        <w:trPr>
          <w:trHeight w:val="300"/>
        </w:trPr>
        <w:tc>
          <w:tcPr>
            <w:tcW w:w="1140" w:type="dxa"/>
            <w:shd w:val="clear" w:color="auto" w:fill="C6EFCE"/>
            <w:tcMar>
              <w:left w:w="108" w:type="dxa"/>
              <w:right w:w="108" w:type="dxa"/>
            </w:tcMar>
            <w:vAlign w:val="center"/>
          </w:tcPr>
          <w:p w14:paraId="159EC491" w14:textId="77777777" w:rsidR="00E42B18" w:rsidRDefault="009629C4">
            <w:pPr>
              <w:pStyle w:val="P68B1DB1-Normal121"/>
              <w:spacing w:after="0" w:line="240" w:lineRule="auto"/>
              <w:jc w:val="center"/>
              <w:rPr>
                <w:noProof/>
              </w:rPr>
            </w:pPr>
            <w:r>
              <w:rPr>
                <w:noProof/>
              </w:rPr>
              <w:t>M2C4–11</w:t>
            </w:r>
          </w:p>
        </w:tc>
        <w:tc>
          <w:tcPr>
            <w:tcW w:w="3628" w:type="dxa"/>
            <w:shd w:val="clear" w:color="auto" w:fill="C6EFCE"/>
            <w:tcMar>
              <w:left w:w="108" w:type="dxa"/>
              <w:right w:w="108" w:type="dxa"/>
            </w:tcMar>
            <w:vAlign w:val="center"/>
          </w:tcPr>
          <w:p w14:paraId="06E7A05B" w14:textId="77777777" w:rsidR="00E42B18" w:rsidRDefault="009629C4">
            <w:pPr>
              <w:pStyle w:val="P68B1DB1-Normal121"/>
              <w:spacing w:after="0" w:line="240" w:lineRule="auto"/>
              <w:rPr>
                <w:noProof/>
              </w:rPr>
            </w:pPr>
            <w:r>
              <w:rPr>
                <w:noProof/>
              </w:rPr>
              <w:t>Investointi 2.1.a. Toimenpiteet tulvariskien ja hydrogeologisten riskien vähentämiseksi – interventiot Emilia Romagnassa, Toscanassa ja Marchessa</w:t>
            </w:r>
          </w:p>
        </w:tc>
        <w:tc>
          <w:tcPr>
            <w:tcW w:w="1110" w:type="dxa"/>
            <w:shd w:val="clear" w:color="auto" w:fill="C6EFCE"/>
            <w:tcMar>
              <w:left w:w="108" w:type="dxa"/>
              <w:right w:w="108" w:type="dxa"/>
            </w:tcMar>
            <w:vAlign w:val="center"/>
          </w:tcPr>
          <w:p w14:paraId="7EFF86F1"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2BE8BB1F" w14:textId="77777777" w:rsidR="00E42B18" w:rsidRDefault="009629C4">
            <w:pPr>
              <w:pStyle w:val="P68B1DB1-Normal121"/>
              <w:spacing w:after="0" w:line="240" w:lineRule="auto"/>
              <w:rPr>
                <w:noProof/>
              </w:rPr>
            </w:pPr>
            <w:r>
              <w:rPr>
                <w:noProof/>
              </w:rPr>
              <w:t>Interventioiden yksilöinti poikkeustilavaltuutetun määräyksellä (määräyksillä)</w:t>
            </w:r>
          </w:p>
        </w:tc>
      </w:tr>
      <w:tr w:rsidR="00E42B18" w14:paraId="4EC85EB6" w14:textId="77777777">
        <w:trPr>
          <w:trHeight w:val="300"/>
        </w:trPr>
        <w:tc>
          <w:tcPr>
            <w:tcW w:w="1140" w:type="dxa"/>
            <w:shd w:val="clear" w:color="auto" w:fill="C6EFCE"/>
            <w:tcMar>
              <w:left w:w="108" w:type="dxa"/>
              <w:right w:w="108" w:type="dxa"/>
            </w:tcMar>
            <w:vAlign w:val="center"/>
          </w:tcPr>
          <w:p w14:paraId="56FC108D" w14:textId="77777777" w:rsidR="00E42B18" w:rsidRDefault="009629C4">
            <w:pPr>
              <w:pStyle w:val="P68B1DB1-Normal121"/>
              <w:spacing w:after="0" w:line="240" w:lineRule="auto"/>
              <w:jc w:val="center"/>
              <w:rPr>
                <w:noProof/>
              </w:rPr>
            </w:pPr>
            <w:r>
              <w:rPr>
                <w:noProof/>
              </w:rPr>
              <w:t>M7–46</w:t>
            </w:r>
          </w:p>
        </w:tc>
        <w:tc>
          <w:tcPr>
            <w:tcW w:w="3628" w:type="dxa"/>
            <w:shd w:val="clear" w:color="auto" w:fill="C6EFCE"/>
            <w:tcMar>
              <w:left w:w="108" w:type="dxa"/>
              <w:right w:w="108" w:type="dxa"/>
            </w:tcMar>
            <w:vAlign w:val="center"/>
          </w:tcPr>
          <w:p w14:paraId="1F13DB40" w14:textId="77777777" w:rsidR="00E42B18" w:rsidRDefault="009629C4">
            <w:pPr>
              <w:pStyle w:val="P68B1DB1-Normal121"/>
              <w:spacing w:after="0" w:line="240" w:lineRule="auto"/>
              <w:rPr>
                <w:noProof/>
              </w:rPr>
            </w:pPr>
            <w:r>
              <w:rPr>
                <w:noProof/>
              </w:rPr>
              <w:t>Investointi 17: Julkisten asuinrakennusten energiaperuskorjausten rahoitusväline</w:t>
            </w:r>
          </w:p>
        </w:tc>
        <w:tc>
          <w:tcPr>
            <w:tcW w:w="1110" w:type="dxa"/>
            <w:shd w:val="clear" w:color="auto" w:fill="C6EFCE"/>
            <w:tcMar>
              <w:left w:w="108" w:type="dxa"/>
              <w:right w:w="108" w:type="dxa"/>
            </w:tcMar>
            <w:vAlign w:val="center"/>
          </w:tcPr>
          <w:p w14:paraId="57CEDA8C"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35A324D2" w14:textId="77777777" w:rsidR="00E42B18" w:rsidRDefault="009629C4">
            <w:pPr>
              <w:pStyle w:val="P68B1DB1-Normal121"/>
              <w:spacing w:after="0" w:line="240" w:lineRule="auto"/>
              <w:rPr>
                <w:noProof/>
              </w:rPr>
            </w:pPr>
            <w:r>
              <w:rPr>
                <w:noProof/>
              </w:rPr>
              <w:t>Tehtävänmäärityksen tavoitteen määrittely</w:t>
            </w:r>
          </w:p>
        </w:tc>
      </w:tr>
      <w:tr w:rsidR="00E42B18" w14:paraId="2051B19A" w14:textId="77777777">
        <w:trPr>
          <w:trHeight w:val="300"/>
        </w:trPr>
        <w:tc>
          <w:tcPr>
            <w:tcW w:w="1140" w:type="dxa"/>
            <w:shd w:val="clear" w:color="auto" w:fill="C6EFCE"/>
            <w:tcMar>
              <w:left w:w="108" w:type="dxa"/>
              <w:right w:w="108" w:type="dxa"/>
            </w:tcMar>
            <w:vAlign w:val="center"/>
          </w:tcPr>
          <w:p w14:paraId="77E63E76" w14:textId="77777777" w:rsidR="00E42B18" w:rsidRDefault="009629C4">
            <w:pPr>
              <w:pStyle w:val="P68B1DB1-Normal121"/>
              <w:spacing w:after="0" w:line="240" w:lineRule="auto"/>
              <w:jc w:val="center"/>
              <w:rPr>
                <w:noProof/>
              </w:rPr>
            </w:pPr>
            <w:r>
              <w:rPr>
                <w:noProof/>
              </w:rPr>
              <w:t>M1C1–140</w:t>
            </w:r>
          </w:p>
        </w:tc>
        <w:tc>
          <w:tcPr>
            <w:tcW w:w="3628" w:type="dxa"/>
            <w:shd w:val="clear" w:color="auto" w:fill="C6EFCE"/>
            <w:tcMar>
              <w:left w:w="108" w:type="dxa"/>
              <w:right w:w="108" w:type="dxa"/>
            </w:tcMar>
            <w:vAlign w:val="center"/>
          </w:tcPr>
          <w:p w14:paraId="56F7269B" w14:textId="77777777" w:rsidR="00E42B18" w:rsidRDefault="009629C4">
            <w:pPr>
              <w:pStyle w:val="P68B1DB1-Normal121"/>
              <w:spacing w:after="0" w:line="240" w:lineRule="auto"/>
              <w:rPr>
                <w:noProof/>
              </w:rPr>
            </w:pPr>
            <w:r>
              <w:rPr>
                <w:noProof/>
              </w:rPr>
              <w:t>Investointi 1.4.1 – Kansalaiskokemus – Digitaalisten julkisten palvelujen laadun ja käytettävyyden parantaminen</w:t>
            </w:r>
          </w:p>
        </w:tc>
        <w:tc>
          <w:tcPr>
            <w:tcW w:w="1110" w:type="dxa"/>
            <w:shd w:val="clear" w:color="auto" w:fill="C6EFCE"/>
            <w:tcMar>
              <w:left w:w="108" w:type="dxa"/>
              <w:right w:w="108" w:type="dxa"/>
            </w:tcMar>
            <w:vAlign w:val="center"/>
          </w:tcPr>
          <w:p w14:paraId="6290FE52"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6F796CD9" w14:textId="77777777" w:rsidR="00E42B18" w:rsidRDefault="009629C4">
            <w:pPr>
              <w:pStyle w:val="P68B1DB1-Normal121"/>
              <w:spacing w:after="0" w:line="240" w:lineRule="auto"/>
              <w:rPr>
                <w:noProof/>
              </w:rPr>
            </w:pPr>
            <w:r>
              <w:rPr>
                <w:noProof/>
              </w:rPr>
              <w:t>Digitaalisten julkisten palvelujen laadun ja käytettävyyden parantaminen T1</w:t>
            </w:r>
          </w:p>
        </w:tc>
      </w:tr>
      <w:tr w:rsidR="00E42B18" w14:paraId="144346FB" w14:textId="77777777">
        <w:trPr>
          <w:trHeight w:val="300"/>
        </w:trPr>
        <w:tc>
          <w:tcPr>
            <w:tcW w:w="1140" w:type="dxa"/>
            <w:shd w:val="clear" w:color="auto" w:fill="C6EFCE"/>
            <w:tcMar>
              <w:left w:w="108" w:type="dxa"/>
              <w:right w:w="108" w:type="dxa"/>
            </w:tcMar>
            <w:vAlign w:val="center"/>
          </w:tcPr>
          <w:p w14:paraId="791722A7" w14:textId="77777777" w:rsidR="00E42B18" w:rsidRDefault="009629C4">
            <w:pPr>
              <w:pStyle w:val="P68B1DB1-Normal121"/>
              <w:spacing w:after="0" w:line="240" w:lineRule="auto"/>
              <w:jc w:val="center"/>
              <w:rPr>
                <w:noProof/>
              </w:rPr>
            </w:pPr>
            <w:r>
              <w:rPr>
                <w:noProof/>
              </w:rPr>
              <w:t>M1C1–141</w:t>
            </w:r>
          </w:p>
        </w:tc>
        <w:tc>
          <w:tcPr>
            <w:tcW w:w="3628" w:type="dxa"/>
            <w:shd w:val="clear" w:color="auto" w:fill="C6EFCE"/>
            <w:tcMar>
              <w:left w:w="108" w:type="dxa"/>
              <w:right w:w="108" w:type="dxa"/>
            </w:tcMar>
            <w:vAlign w:val="center"/>
          </w:tcPr>
          <w:p w14:paraId="07996C57" w14:textId="77777777" w:rsidR="00E42B18" w:rsidRDefault="009629C4">
            <w:pPr>
              <w:pStyle w:val="P68B1DB1-Normal121"/>
              <w:spacing w:after="0" w:line="240" w:lineRule="auto"/>
              <w:rPr>
                <w:noProof/>
              </w:rPr>
            </w:pPr>
            <w:r>
              <w:rPr>
                <w:noProof/>
              </w:rPr>
              <w:t>Investointi 1.6.4 – Puolustusministeriön digitalisointi</w:t>
            </w:r>
          </w:p>
        </w:tc>
        <w:tc>
          <w:tcPr>
            <w:tcW w:w="1110" w:type="dxa"/>
            <w:shd w:val="clear" w:color="auto" w:fill="C6EFCE"/>
            <w:tcMar>
              <w:left w:w="108" w:type="dxa"/>
              <w:right w:w="108" w:type="dxa"/>
            </w:tcMar>
            <w:vAlign w:val="center"/>
          </w:tcPr>
          <w:p w14:paraId="23DDE8E6"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133C883D" w14:textId="77777777" w:rsidR="00E42B18" w:rsidRDefault="009629C4">
            <w:pPr>
              <w:pStyle w:val="P68B1DB1-Normal121"/>
              <w:spacing w:after="0" w:line="240" w:lineRule="auto"/>
              <w:rPr>
                <w:noProof/>
              </w:rPr>
            </w:pPr>
            <w:r>
              <w:rPr>
                <w:noProof/>
              </w:rPr>
              <w:t>Puolustusministeriön menettelyjen digitalisointi T2</w:t>
            </w:r>
          </w:p>
        </w:tc>
      </w:tr>
      <w:tr w:rsidR="00E42B18" w14:paraId="4B8F99A1" w14:textId="77777777">
        <w:trPr>
          <w:trHeight w:val="300"/>
        </w:trPr>
        <w:tc>
          <w:tcPr>
            <w:tcW w:w="1140" w:type="dxa"/>
            <w:shd w:val="clear" w:color="auto" w:fill="C6EFCE"/>
            <w:tcMar>
              <w:left w:w="108" w:type="dxa"/>
              <w:right w:w="108" w:type="dxa"/>
            </w:tcMar>
            <w:vAlign w:val="center"/>
          </w:tcPr>
          <w:p w14:paraId="7406D536" w14:textId="77777777" w:rsidR="00E42B18" w:rsidRDefault="009629C4">
            <w:pPr>
              <w:pStyle w:val="P68B1DB1-Normal121"/>
              <w:spacing w:after="0" w:line="240" w:lineRule="auto"/>
              <w:jc w:val="center"/>
              <w:rPr>
                <w:noProof/>
              </w:rPr>
            </w:pPr>
            <w:r>
              <w:rPr>
                <w:noProof/>
              </w:rPr>
              <w:t>M1C1–142</w:t>
            </w:r>
          </w:p>
        </w:tc>
        <w:tc>
          <w:tcPr>
            <w:tcW w:w="3628" w:type="dxa"/>
            <w:shd w:val="clear" w:color="auto" w:fill="C6EFCE"/>
            <w:tcMar>
              <w:left w:w="108" w:type="dxa"/>
              <w:right w:w="108" w:type="dxa"/>
            </w:tcMar>
            <w:vAlign w:val="center"/>
          </w:tcPr>
          <w:p w14:paraId="452E6424" w14:textId="77777777" w:rsidR="00E42B18" w:rsidRDefault="009629C4">
            <w:pPr>
              <w:pStyle w:val="P68B1DB1-Normal121"/>
              <w:spacing w:after="0" w:line="240" w:lineRule="auto"/>
              <w:rPr>
                <w:noProof/>
              </w:rPr>
            </w:pPr>
            <w:r>
              <w:rPr>
                <w:noProof/>
              </w:rPr>
              <w:t>Investointi 1.6.4 – Puolustusministeriön digitalisointi</w:t>
            </w:r>
          </w:p>
        </w:tc>
        <w:tc>
          <w:tcPr>
            <w:tcW w:w="1110" w:type="dxa"/>
            <w:shd w:val="clear" w:color="auto" w:fill="C6EFCE"/>
            <w:tcMar>
              <w:left w:w="108" w:type="dxa"/>
              <w:right w:w="108" w:type="dxa"/>
            </w:tcMar>
            <w:vAlign w:val="center"/>
          </w:tcPr>
          <w:p w14:paraId="1FC485BB"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514B29CE" w14:textId="77777777" w:rsidR="00E42B18" w:rsidRDefault="009629C4">
            <w:pPr>
              <w:pStyle w:val="P68B1DB1-Normal121"/>
              <w:spacing w:after="0" w:line="240" w:lineRule="auto"/>
              <w:rPr>
                <w:noProof/>
              </w:rPr>
            </w:pPr>
            <w:r>
              <w:rPr>
                <w:noProof/>
              </w:rPr>
              <w:t>Puolustusministeriön todistusten digitalisointi T2</w:t>
            </w:r>
          </w:p>
        </w:tc>
      </w:tr>
      <w:tr w:rsidR="00E42B18" w14:paraId="1C259CF6" w14:textId="77777777">
        <w:trPr>
          <w:trHeight w:val="300"/>
        </w:trPr>
        <w:tc>
          <w:tcPr>
            <w:tcW w:w="1140" w:type="dxa"/>
            <w:shd w:val="clear" w:color="auto" w:fill="C6EFCE"/>
            <w:tcMar>
              <w:left w:w="108" w:type="dxa"/>
              <w:right w:w="108" w:type="dxa"/>
            </w:tcMar>
            <w:vAlign w:val="center"/>
          </w:tcPr>
          <w:p w14:paraId="5F058E80" w14:textId="77777777" w:rsidR="00E42B18" w:rsidRDefault="009629C4">
            <w:pPr>
              <w:pStyle w:val="P68B1DB1-Normal121"/>
              <w:spacing w:after="0" w:line="240" w:lineRule="auto"/>
              <w:jc w:val="center"/>
              <w:rPr>
                <w:noProof/>
              </w:rPr>
            </w:pPr>
            <w:r>
              <w:rPr>
                <w:noProof/>
              </w:rPr>
              <w:t>M1C1–143</w:t>
            </w:r>
          </w:p>
        </w:tc>
        <w:tc>
          <w:tcPr>
            <w:tcW w:w="3628" w:type="dxa"/>
            <w:shd w:val="clear" w:color="auto" w:fill="C6EFCE"/>
            <w:tcMar>
              <w:left w:w="108" w:type="dxa"/>
              <w:right w:w="108" w:type="dxa"/>
            </w:tcMar>
            <w:vAlign w:val="center"/>
          </w:tcPr>
          <w:p w14:paraId="7338BC9B" w14:textId="77777777" w:rsidR="00E42B18" w:rsidRDefault="009629C4">
            <w:pPr>
              <w:pStyle w:val="P68B1DB1-Normal121"/>
              <w:spacing w:after="0" w:line="240" w:lineRule="auto"/>
              <w:rPr>
                <w:noProof/>
              </w:rPr>
            </w:pPr>
            <w:r>
              <w:rPr>
                <w:noProof/>
              </w:rPr>
              <w:t>Investointi 1.6.4 – Puolustusministeriön digitalisointi</w:t>
            </w:r>
          </w:p>
        </w:tc>
        <w:tc>
          <w:tcPr>
            <w:tcW w:w="1110" w:type="dxa"/>
            <w:shd w:val="clear" w:color="auto" w:fill="C6EFCE"/>
            <w:tcMar>
              <w:left w:w="108" w:type="dxa"/>
              <w:right w:w="108" w:type="dxa"/>
            </w:tcMar>
            <w:vAlign w:val="center"/>
          </w:tcPr>
          <w:p w14:paraId="62A88D07"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77373628" w14:textId="77777777" w:rsidR="00E42B18" w:rsidRDefault="009629C4">
            <w:pPr>
              <w:pStyle w:val="P68B1DB1-Normal121"/>
              <w:spacing w:after="0" w:line="240" w:lineRule="auto"/>
              <w:rPr>
                <w:noProof/>
              </w:rPr>
            </w:pPr>
            <w:r>
              <w:rPr>
                <w:noProof/>
              </w:rPr>
              <w:t>Puolustusministeriö – operaation kriittisten ja muiden kriittisten sovellusten siirtäminen infrastruktuurin avoimuuden avulla toteutettavan tietosuojan täydentämistä koskevaan ratkaisuun (S.C.I.P.I.O.) T2</w:t>
            </w:r>
          </w:p>
        </w:tc>
      </w:tr>
      <w:tr w:rsidR="00E42B18" w14:paraId="35849683" w14:textId="77777777">
        <w:trPr>
          <w:trHeight w:val="300"/>
        </w:trPr>
        <w:tc>
          <w:tcPr>
            <w:tcW w:w="1140" w:type="dxa"/>
            <w:shd w:val="clear" w:color="auto" w:fill="C6EFCE"/>
            <w:tcMar>
              <w:left w:w="108" w:type="dxa"/>
              <w:right w:w="108" w:type="dxa"/>
            </w:tcMar>
            <w:vAlign w:val="center"/>
          </w:tcPr>
          <w:p w14:paraId="6A0349BA" w14:textId="77777777" w:rsidR="00E42B18" w:rsidRDefault="009629C4">
            <w:pPr>
              <w:pStyle w:val="P68B1DB1-Normal121"/>
              <w:spacing w:after="0" w:line="240" w:lineRule="auto"/>
              <w:jc w:val="center"/>
              <w:rPr>
                <w:noProof/>
              </w:rPr>
            </w:pPr>
            <w:r>
              <w:rPr>
                <w:noProof/>
              </w:rPr>
              <w:t>M1C2–19</w:t>
            </w:r>
          </w:p>
        </w:tc>
        <w:tc>
          <w:tcPr>
            <w:tcW w:w="3628" w:type="dxa"/>
            <w:shd w:val="clear" w:color="auto" w:fill="C6EFCE"/>
            <w:tcMar>
              <w:left w:w="108" w:type="dxa"/>
              <w:right w:w="108" w:type="dxa"/>
            </w:tcMar>
            <w:vAlign w:val="center"/>
          </w:tcPr>
          <w:p w14:paraId="1B3065E6" w14:textId="77777777" w:rsidR="00E42B18" w:rsidRDefault="009629C4">
            <w:pPr>
              <w:pStyle w:val="P68B1DB1-Normal121"/>
              <w:spacing w:after="0" w:line="240" w:lineRule="auto"/>
              <w:rPr>
                <w:noProof/>
              </w:rPr>
            </w:pPr>
            <w:r>
              <w:rPr>
                <w:noProof/>
              </w:rPr>
              <w:t>Investointi 3: Nopeat internetyhteydet (laajakaista ja 5G)</w:t>
            </w:r>
          </w:p>
        </w:tc>
        <w:tc>
          <w:tcPr>
            <w:tcW w:w="1110" w:type="dxa"/>
            <w:shd w:val="clear" w:color="auto" w:fill="C6EFCE"/>
            <w:tcMar>
              <w:left w:w="108" w:type="dxa"/>
              <w:right w:w="108" w:type="dxa"/>
            </w:tcMar>
            <w:vAlign w:val="center"/>
          </w:tcPr>
          <w:p w14:paraId="2AC1EFAA"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6D140EB1" w14:textId="77777777" w:rsidR="00E42B18" w:rsidRDefault="009629C4">
            <w:pPr>
              <w:pStyle w:val="P68B1DB1-Normal121"/>
              <w:spacing w:after="0" w:line="240" w:lineRule="auto"/>
              <w:rPr>
                <w:noProof/>
              </w:rPr>
            </w:pPr>
            <w:r>
              <w:rPr>
                <w:noProof/>
              </w:rPr>
              <w:t>Saaret, joilla on ultralaajakaistayhteydet</w:t>
            </w:r>
          </w:p>
        </w:tc>
      </w:tr>
      <w:tr w:rsidR="00E42B18" w14:paraId="53698349" w14:textId="77777777">
        <w:trPr>
          <w:trHeight w:val="300"/>
        </w:trPr>
        <w:tc>
          <w:tcPr>
            <w:tcW w:w="1140" w:type="dxa"/>
            <w:shd w:val="clear" w:color="auto" w:fill="C6EFCE"/>
            <w:tcMar>
              <w:left w:w="108" w:type="dxa"/>
              <w:right w:w="108" w:type="dxa"/>
            </w:tcMar>
            <w:vAlign w:val="center"/>
          </w:tcPr>
          <w:p w14:paraId="3A8EDCF5" w14:textId="77777777" w:rsidR="00E42B18" w:rsidRDefault="009629C4">
            <w:pPr>
              <w:pStyle w:val="P68B1DB1-Normal121"/>
              <w:spacing w:after="0" w:line="240" w:lineRule="auto"/>
              <w:jc w:val="center"/>
              <w:rPr>
                <w:noProof/>
              </w:rPr>
            </w:pPr>
            <w:r>
              <w:rPr>
                <w:noProof/>
              </w:rPr>
              <w:t>M1C3–27</w:t>
            </w:r>
          </w:p>
        </w:tc>
        <w:tc>
          <w:tcPr>
            <w:tcW w:w="3628" w:type="dxa"/>
            <w:shd w:val="clear" w:color="auto" w:fill="C6EFCE"/>
            <w:tcMar>
              <w:left w:w="108" w:type="dxa"/>
              <w:right w:w="108" w:type="dxa"/>
            </w:tcMar>
            <w:vAlign w:val="center"/>
          </w:tcPr>
          <w:p w14:paraId="15BF73C8" w14:textId="77777777" w:rsidR="00E42B18" w:rsidRDefault="009629C4">
            <w:pPr>
              <w:pStyle w:val="P68B1DB1-Normal121"/>
              <w:spacing w:after="0" w:line="240" w:lineRule="auto"/>
              <w:rPr>
                <w:noProof/>
              </w:rPr>
            </w:pPr>
            <w:r>
              <w:rPr>
                <w:noProof/>
              </w:rPr>
              <w:t>Investointi- 4.3 Caput Mundi-Next Generation EU -väline matkailun suurtapahtumia varten</w:t>
            </w:r>
          </w:p>
        </w:tc>
        <w:tc>
          <w:tcPr>
            <w:tcW w:w="1110" w:type="dxa"/>
            <w:shd w:val="clear" w:color="auto" w:fill="C6EFCE"/>
            <w:tcMar>
              <w:left w:w="108" w:type="dxa"/>
              <w:right w:w="108" w:type="dxa"/>
            </w:tcMar>
            <w:vAlign w:val="center"/>
          </w:tcPr>
          <w:p w14:paraId="6CC96BC9"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0638FDB4" w14:textId="77777777" w:rsidR="00E42B18" w:rsidRDefault="009629C4">
            <w:pPr>
              <w:pStyle w:val="P68B1DB1-Normal121"/>
              <w:spacing w:after="0" w:line="240" w:lineRule="auto"/>
              <w:rPr>
                <w:noProof/>
              </w:rPr>
            </w:pPr>
            <w:r>
              <w:rPr>
                <w:noProof/>
              </w:rPr>
              <w:t xml:space="preserve">Niiden kulttuuri- ja matkailukohteiden määrä, joiden uudelleenkoulutus saavutti keskimäärin 50 prosenttia Stato Avanzamento Lavorista (SAL) (ensimmäinen erä) </w:t>
            </w:r>
          </w:p>
        </w:tc>
      </w:tr>
      <w:tr w:rsidR="00E42B18" w14:paraId="37FDEABB" w14:textId="77777777">
        <w:trPr>
          <w:trHeight w:val="300"/>
        </w:trPr>
        <w:tc>
          <w:tcPr>
            <w:tcW w:w="1140" w:type="dxa"/>
            <w:shd w:val="clear" w:color="auto" w:fill="C6EFCE"/>
            <w:tcMar>
              <w:left w:w="108" w:type="dxa"/>
              <w:right w:w="108" w:type="dxa"/>
            </w:tcMar>
            <w:vAlign w:val="center"/>
          </w:tcPr>
          <w:p w14:paraId="11DE5765" w14:textId="77777777" w:rsidR="00E42B18" w:rsidRDefault="009629C4">
            <w:pPr>
              <w:pStyle w:val="P68B1DB1-Normal121"/>
              <w:spacing w:after="0" w:line="240" w:lineRule="auto"/>
              <w:jc w:val="center"/>
              <w:rPr>
                <w:noProof/>
              </w:rPr>
            </w:pPr>
            <w:r>
              <w:rPr>
                <w:noProof/>
              </w:rPr>
              <w:t>M2C1–16ter</w:t>
            </w:r>
          </w:p>
        </w:tc>
        <w:tc>
          <w:tcPr>
            <w:tcW w:w="3628" w:type="dxa"/>
            <w:shd w:val="clear" w:color="auto" w:fill="C6EFCE"/>
            <w:tcMar>
              <w:left w:w="108" w:type="dxa"/>
              <w:right w:w="108" w:type="dxa"/>
            </w:tcMar>
            <w:vAlign w:val="center"/>
          </w:tcPr>
          <w:p w14:paraId="19CB894C" w14:textId="77777777" w:rsidR="00E42B18" w:rsidRDefault="009629C4">
            <w:pPr>
              <w:pStyle w:val="P68B1DB1-Normal121"/>
              <w:spacing w:after="0" w:line="240" w:lineRule="auto"/>
              <w:rPr>
                <w:noProof/>
              </w:rPr>
            </w:pPr>
            <w:r>
              <w:rPr>
                <w:noProof/>
              </w:rPr>
              <w:t>Investointi 1.1 – Uusien jätehuoltolaitosten käyttöönotto ja olemassa olevien laitosten nykyaikaistaminen</w:t>
            </w:r>
          </w:p>
        </w:tc>
        <w:tc>
          <w:tcPr>
            <w:tcW w:w="1110" w:type="dxa"/>
            <w:shd w:val="clear" w:color="auto" w:fill="C6EFCE"/>
            <w:tcMar>
              <w:left w:w="108" w:type="dxa"/>
              <w:right w:w="108" w:type="dxa"/>
            </w:tcMar>
            <w:vAlign w:val="center"/>
          </w:tcPr>
          <w:p w14:paraId="305EE6A7"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43C3576E" w14:textId="77777777" w:rsidR="00E42B18" w:rsidRDefault="009629C4">
            <w:pPr>
              <w:pStyle w:val="P68B1DB1-Normal121"/>
              <w:spacing w:after="0" w:line="240" w:lineRule="auto"/>
              <w:rPr>
                <w:noProof/>
              </w:rPr>
            </w:pPr>
            <w:r>
              <w:rPr>
                <w:noProof/>
              </w:rPr>
              <w:t>Alueelliset erot erilliskeräysasteissa</w:t>
            </w:r>
          </w:p>
        </w:tc>
      </w:tr>
      <w:tr w:rsidR="00E42B18" w14:paraId="0045435F" w14:textId="77777777">
        <w:trPr>
          <w:trHeight w:val="300"/>
        </w:trPr>
        <w:tc>
          <w:tcPr>
            <w:tcW w:w="1140" w:type="dxa"/>
            <w:shd w:val="clear" w:color="auto" w:fill="C6EFCE"/>
            <w:tcMar>
              <w:left w:w="108" w:type="dxa"/>
              <w:right w:w="108" w:type="dxa"/>
            </w:tcMar>
            <w:vAlign w:val="center"/>
          </w:tcPr>
          <w:p w14:paraId="2322E49F" w14:textId="77777777" w:rsidR="00E42B18" w:rsidRDefault="009629C4">
            <w:pPr>
              <w:pStyle w:val="P68B1DB1-Normal121"/>
              <w:spacing w:after="0" w:line="240" w:lineRule="auto"/>
              <w:jc w:val="center"/>
              <w:rPr>
                <w:noProof/>
              </w:rPr>
            </w:pPr>
            <w:r>
              <w:rPr>
                <w:noProof/>
              </w:rPr>
              <w:t>M2C1–25</w:t>
            </w:r>
          </w:p>
        </w:tc>
        <w:tc>
          <w:tcPr>
            <w:tcW w:w="3628" w:type="dxa"/>
            <w:shd w:val="clear" w:color="auto" w:fill="C6EFCE"/>
            <w:tcMar>
              <w:left w:w="108" w:type="dxa"/>
              <w:right w:w="108" w:type="dxa"/>
            </w:tcMar>
            <w:vAlign w:val="center"/>
          </w:tcPr>
          <w:p w14:paraId="0CA975B1" w14:textId="77777777" w:rsidR="00E42B18" w:rsidRDefault="009629C4">
            <w:pPr>
              <w:pStyle w:val="P68B1DB1-Normal121"/>
              <w:spacing w:after="0" w:line="240" w:lineRule="auto"/>
              <w:rPr>
                <w:noProof/>
              </w:rPr>
            </w:pPr>
            <w:r>
              <w:rPr>
                <w:noProof/>
              </w:rPr>
              <w:t>Investointi 3.4: Fondo Contratti di Filiera (FCF) maatalouselintarvike-, kalastus- ja vesiviljely-, metsätalous-, kukkaviljely- ja taimitarha-alojen toimitusketjusopimusten tukemiseksi</w:t>
            </w:r>
          </w:p>
        </w:tc>
        <w:tc>
          <w:tcPr>
            <w:tcW w:w="1110" w:type="dxa"/>
            <w:shd w:val="clear" w:color="auto" w:fill="C6EFCE"/>
            <w:tcMar>
              <w:left w:w="108" w:type="dxa"/>
              <w:right w:w="108" w:type="dxa"/>
            </w:tcMar>
            <w:vAlign w:val="center"/>
          </w:tcPr>
          <w:p w14:paraId="5C14B72E"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21C43C2D" w14:textId="77777777" w:rsidR="00E42B18" w:rsidRDefault="009629C4">
            <w:pPr>
              <w:pStyle w:val="P68B1DB1-Normal121"/>
              <w:spacing w:after="0" w:line="240" w:lineRule="auto"/>
              <w:rPr>
                <w:noProof/>
              </w:rPr>
            </w:pPr>
            <w:r>
              <w:rPr>
                <w:noProof/>
              </w:rPr>
              <w:t>Ministeriö on siirtänyt varojen kokonaismäärän</w:t>
            </w:r>
          </w:p>
        </w:tc>
      </w:tr>
      <w:tr w:rsidR="00E42B18" w14:paraId="1FEC5152" w14:textId="77777777">
        <w:trPr>
          <w:trHeight w:val="300"/>
        </w:trPr>
        <w:tc>
          <w:tcPr>
            <w:tcW w:w="1140" w:type="dxa"/>
            <w:shd w:val="clear" w:color="auto" w:fill="C6EFCE"/>
            <w:tcMar>
              <w:left w:w="108" w:type="dxa"/>
              <w:right w:w="108" w:type="dxa"/>
            </w:tcMar>
            <w:vAlign w:val="center"/>
          </w:tcPr>
          <w:p w14:paraId="7C364FC0" w14:textId="77777777" w:rsidR="00E42B18" w:rsidRDefault="009629C4">
            <w:pPr>
              <w:pStyle w:val="P68B1DB1-Normal121"/>
              <w:spacing w:after="0" w:line="240" w:lineRule="auto"/>
              <w:jc w:val="center"/>
              <w:rPr>
                <w:noProof/>
              </w:rPr>
            </w:pPr>
            <w:r>
              <w:rPr>
                <w:noProof/>
              </w:rPr>
              <w:t>M2C2–9</w:t>
            </w:r>
          </w:p>
        </w:tc>
        <w:tc>
          <w:tcPr>
            <w:tcW w:w="3628" w:type="dxa"/>
            <w:shd w:val="clear" w:color="auto" w:fill="C6EFCE"/>
            <w:tcMar>
              <w:left w:w="108" w:type="dxa"/>
              <w:right w:w="108" w:type="dxa"/>
            </w:tcMar>
            <w:vAlign w:val="center"/>
          </w:tcPr>
          <w:p w14:paraId="4A9E7A74" w14:textId="77777777" w:rsidR="00E42B18" w:rsidRDefault="009629C4">
            <w:pPr>
              <w:pStyle w:val="P68B1DB1-Normal121"/>
              <w:spacing w:after="0" w:line="240" w:lineRule="auto"/>
              <w:rPr>
                <w:noProof/>
              </w:rPr>
            </w:pPr>
            <w:r>
              <w:rPr>
                <w:noProof/>
              </w:rPr>
              <w:t>Investointi 2.1 Älykkään verkon vahvistaminen</w:t>
            </w:r>
          </w:p>
        </w:tc>
        <w:tc>
          <w:tcPr>
            <w:tcW w:w="1110" w:type="dxa"/>
            <w:shd w:val="clear" w:color="auto" w:fill="C6EFCE"/>
            <w:tcMar>
              <w:left w:w="108" w:type="dxa"/>
              <w:right w:w="108" w:type="dxa"/>
            </w:tcMar>
            <w:vAlign w:val="center"/>
          </w:tcPr>
          <w:p w14:paraId="3CCC8630"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0D44B54F" w14:textId="77777777" w:rsidR="00E42B18" w:rsidRDefault="009629C4">
            <w:pPr>
              <w:pStyle w:val="P68B1DB1-Normal121"/>
              <w:spacing w:after="0" w:line="240" w:lineRule="auto"/>
              <w:rPr>
                <w:noProof/>
              </w:rPr>
            </w:pPr>
            <w:r>
              <w:rPr>
                <w:noProof/>
              </w:rPr>
              <w:t>Älykkäät verkot – uusiutuvan energian jakeluverkon kapasiteetin lisääminen</w:t>
            </w:r>
          </w:p>
        </w:tc>
      </w:tr>
      <w:tr w:rsidR="00E42B18" w14:paraId="28AA07FF" w14:textId="77777777">
        <w:trPr>
          <w:trHeight w:val="300"/>
        </w:trPr>
        <w:tc>
          <w:tcPr>
            <w:tcW w:w="1140" w:type="dxa"/>
            <w:shd w:val="clear" w:color="auto" w:fill="C6EFCE"/>
            <w:tcMar>
              <w:left w:w="108" w:type="dxa"/>
              <w:right w:w="108" w:type="dxa"/>
            </w:tcMar>
            <w:vAlign w:val="center"/>
          </w:tcPr>
          <w:p w14:paraId="47F8846A" w14:textId="77777777" w:rsidR="00E42B18" w:rsidRDefault="009629C4">
            <w:pPr>
              <w:pStyle w:val="P68B1DB1-Normal121"/>
              <w:spacing w:after="0" w:line="240" w:lineRule="auto"/>
              <w:jc w:val="center"/>
              <w:rPr>
                <w:noProof/>
              </w:rPr>
            </w:pPr>
            <w:r>
              <w:rPr>
                <w:noProof/>
              </w:rPr>
              <w:t>M2C2–34</w:t>
            </w:r>
          </w:p>
        </w:tc>
        <w:tc>
          <w:tcPr>
            <w:tcW w:w="3628" w:type="dxa"/>
            <w:shd w:val="clear" w:color="auto" w:fill="C6EFCE"/>
            <w:tcMar>
              <w:left w:w="108" w:type="dxa"/>
              <w:right w:w="108" w:type="dxa"/>
            </w:tcMar>
            <w:vAlign w:val="center"/>
          </w:tcPr>
          <w:p w14:paraId="23FCB73E" w14:textId="77777777" w:rsidR="00E42B18" w:rsidRDefault="009629C4">
            <w:pPr>
              <w:pStyle w:val="P68B1DB1-Normal121"/>
              <w:spacing w:after="0" w:line="240" w:lineRule="auto"/>
              <w:rPr>
                <w:noProof/>
              </w:rPr>
            </w:pPr>
            <w:r>
              <w:rPr>
                <w:noProof/>
              </w:rPr>
              <w:t>Investointi 4.4.1: Alueellisen julkisen liikenteen linja-autokannan vahvistaminen päästöttömillä linja-autoilla</w:t>
            </w:r>
          </w:p>
        </w:tc>
        <w:tc>
          <w:tcPr>
            <w:tcW w:w="1110" w:type="dxa"/>
            <w:shd w:val="clear" w:color="auto" w:fill="C6EFCE"/>
            <w:tcMar>
              <w:left w:w="108" w:type="dxa"/>
              <w:right w:w="108" w:type="dxa"/>
            </w:tcMar>
            <w:vAlign w:val="center"/>
          </w:tcPr>
          <w:p w14:paraId="310E8C1B"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1621C5B2" w14:textId="77777777" w:rsidR="00E42B18" w:rsidRDefault="009629C4">
            <w:pPr>
              <w:pStyle w:val="P68B1DB1-Normal121"/>
              <w:spacing w:after="0" w:line="240" w:lineRule="auto"/>
              <w:rPr>
                <w:noProof/>
              </w:rPr>
            </w:pPr>
            <w:r>
              <w:rPr>
                <w:noProof/>
              </w:rPr>
              <w:t>Rekisteröityjen päästöttömien matalalattiabussien lukumäärä</w:t>
            </w:r>
          </w:p>
        </w:tc>
      </w:tr>
      <w:tr w:rsidR="00E42B18" w14:paraId="1C1459CD" w14:textId="77777777">
        <w:trPr>
          <w:trHeight w:val="300"/>
        </w:trPr>
        <w:tc>
          <w:tcPr>
            <w:tcW w:w="1140" w:type="dxa"/>
            <w:shd w:val="clear" w:color="auto" w:fill="C6EFCE"/>
            <w:tcMar>
              <w:left w:w="108" w:type="dxa"/>
              <w:right w:w="108" w:type="dxa"/>
            </w:tcMar>
            <w:vAlign w:val="center"/>
          </w:tcPr>
          <w:p w14:paraId="1E017C4F" w14:textId="77777777" w:rsidR="00E42B18" w:rsidRDefault="009629C4">
            <w:pPr>
              <w:pStyle w:val="P68B1DB1-Normal121"/>
              <w:spacing w:after="0" w:line="240" w:lineRule="auto"/>
              <w:jc w:val="center"/>
              <w:rPr>
                <w:noProof/>
              </w:rPr>
            </w:pPr>
            <w:r>
              <w:rPr>
                <w:noProof/>
              </w:rPr>
              <w:t>M2C2–34a</w:t>
            </w:r>
          </w:p>
        </w:tc>
        <w:tc>
          <w:tcPr>
            <w:tcW w:w="3628" w:type="dxa"/>
            <w:shd w:val="clear" w:color="auto" w:fill="C6EFCE"/>
            <w:tcMar>
              <w:left w:w="108" w:type="dxa"/>
              <w:right w:w="108" w:type="dxa"/>
            </w:tcMar>
            <w:vAlign w:val="center"/>
          </w:tcPr>
          <w:p w14:paraId="3A0A9ECB" w14:textId="77777777" w:rsidR="00E42B18" w:rsidRDefault="009629C4">
            <w:pPr>
              <w:pStyle w:val="P68B1DB1-Normal121"/>
              <w:spacing w:after="0" w:line="240" w:lineRule="auto"/>
              <w:rPr>
                <w:noProof/>
              </w:rPr>
            </w:pPr>
            <w:r>
              <w:rPr>
                <w:noProof/>
              </w:rPr>
              <w:t>Investointi 4.4.2:  Alueellisen julkisen liikenteen rautatiekaluston vahvistaminen päästöttömillä junilla ja yleispalvelulla</w:t>
            </w:r>
          </w:p>
        </w:tc>
        <w:tc>
          <w:tcPr>
            <w:tcW w:w="1110" w:type="dxa"/>
            <w:shd w:val="clear" w:color="auto" w:fill="C6EFCE"/>
            <w:tcMar>
              <w:left w:w="108" w:type="dxa"/>
              <w:right w:w="108" w:type="dxa"/>
            </w:tcMar>
            <w:vAlign w:val="center"/>
          </w:tcPr>
          <w:p w14:paraId="447A9F26"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2F3840A2" w14:textId="77777777" w:rsidR="00E42B18" w:rsidRDefault="009629C4">
            <w:pPr>
              <w:pStyle w:val="P68B1DB1-Normal121"/>
              <w:spacing w:after="0" w:line="240" w:lineRule="auto"/>
              <w:rPr>
                <w:noProof/>
              </w:rPr>
            </w:pPr>
            <w:r>
              <w:rPr>
                <w:noProof/>
              </w:rPr>
              <w:t>Päästöttömien junien lukumäärä</w:t>
            </w:r>
          </w:p>
        </w:tc>
      </w:tr>
      <w:tr w:rsidR="00E42B18" w14:paraId="77C96979" w14:textId="77777777">
        <w:trPr>
          <w:trHeight w:val="300"/>
        </w:trPr>
        <w:tc>
          <w:tcPr>
            <w:tcW w:w="1140" w:type="dxa"/>
            <w:shd w:val="clear" w:color="auto" w:fill="C6EFCE"/>
            <w:tcMar>
              <w:left w:w="108" w:type="dxa"/>
              <w:right w:w="108" w:type="dxa"/>
            </w:tcMar>
            <w:vAlign w:val="center"/>
          </w:tcPr>
          <w:p w14:paraId="53C5C3DF" w14:textId="77777777" w:rsidR="00E42B18" w:rsidRDefault="009629C4">
            <w:pPr>
              <w:pStyle w:val="P68B1DB1-Normal121"/>
              <w:spacing w:after="0" w:line="240" w:lineRule="auto"/>
              <w:jc w:val="center"/>
              <w:rPr>
                <w:noProof/>
              </w:rPr>
            </w:pPr>
            <w:r>
              <w:rPr>
                <w:noProof/>
              </w:rPr>
              <w:t>M2C2–38a</w:t>
            </w:r>
          </w:p>
        </w:tc>
        <w:tc>
          <w:tcPr>
            <w:tcW w:w="3628" w:type="dxa"/>
            <w:shd w:val="clear" w:color="auto" w:fill="C6EFCE"/>
            <w:tcMar>
              <w:left w:w="108" w:type="dxa"/>
              <w:right w:w="108" w:type="dxa"/>
            </w:tcMar>
            <w:vAlign w:val="center"/>
          </w:tcPr>
          <w:p w14:paraId="64F816E7" w14:textId="77777777" w:rsidR="00E42B18" w:rsidRDefault="009629C4">
            <w:pPr>
              <w:pStyle w:val="P68B1DB1-Normal121"/>
              <w:spacing w:after="0" w:line="240" w:lineRule="auto"/>
              <w:rPr>
                <w:noProof/>
              </w:rPr>
            </w:pPr>
            <w:r>
              <w:rPr>
                <w:noProof/>
              </w:rPr>
              <w:t>Investointi 5.1: Tuki ekologisen siirtymän tuotantojärjestelmälle, nettonollateknologiat sekä strategisten toimitusketjujen kilpailukyky ja häiriönsietokyky</w:t>
            </w:r>
          </w:p>
        </w:tc>
        <w:tc>
          <w:tcPr>
            <w:tcW w:w="1110" w:type="dxa"/>
            <w:shd w:val="clear" w:color="auto" w:fill="C6EFCE"/>
            <w:tcMar>
              <w:left w:w="108" w:type="dxa"/>
              <w:right w:w="108" w:type="dxa"/>
            </w:tcMar>
            <w:vAlign w:val="center"/>
          </w:tcPr>
          <w:p w14:paraId="1C939468"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64B11041" w14:textId="77777777" w:rsidR="00E42B18" w:rsidRDefault="009629C4">
            <w:pPr>
              <w:pStyle w:val="P68B1DB1-Normal121"/>
              <w:spacing w:after="0" w:line="240" w:lineRule="auto"/>
              <w:rPr>
                <w:noProof/>
              </w:rPr>
            </w:pPr>
            <w:r>
              <w:rPr>
                <w:noProof/>
              </w:rPr>
              <w:t>Täytäntöönpanosopimus</w:t>
            </w:r>
          </w:p>
        </w:tc>
      </w:tr>
      <w:tr w:rsidR="00E42B18" w14:paraId="15B74A13" w14:textId="77777777">
        <w:trPr>
          <w:trHeight w:val="300"/>
        </w:trPr>
        <w:tc>
          <w:tcPr>
            <w:tcW w:w="1140" w:type="dxa"/>
            <w:shd w:val="clear" w:color="auto" w:fill="C6EFCE"/>
            <w:tcMar>
              <w:left w:w="108" w:type="dxa"/>
              <w:right w:w="108" w:type="dxa"/>
            </w:tcMar>
            <w:vAlign w:val="center"/>
          </w:tcPr>
          <w:p w14:paraId="04E03B53" w14:textId="77777777" w:rsidR="00E42B18" w:rsidRDefault="009629C4">
            <w:pPr>
              <w:pStyle w:val="P68B1DB1-Normal121"/>
              <w:spacing w:after="0" w:line="240" w:lineRule="auto"/>
              <w:jc w:val="center"/>
              <w:rPr>
                <w:noProof/>
              </w:rPr>
            </w:pPr>
            <w:r>
              <w:rPr>
                <w:noProof/>
              </w:rPr>
              <w:t>M2C2–39</w:t>
            </w:r>
          </w:p>
        </w:tc>
        <w:tc>
          <w:tcPr>
            <w:tcW w:w="3628" w:type="dxa"/>
            <w:shd w:val="clear" w:color="auto" w:fill="C6EFCE"/>
            <w:tcMar>
              <w:left w:w="108" w:type="dxa"/>
              <w:right w:w="108" w:type="dxa"/>
            </w:tcMar>
            <w:vAlign w:val="center"/>
          </w:tcPr>
          <w:p w14:paraId="29509614" w14:textId="77777777" w:rsidR="00E42B18" w:rsidRDefault="009629C4">
            <w:pPr>
              <w:pStyle w:val="P68B1DB1-Normal121"/>
              <w:spacing w:after="0" w:line="240" w:lineRule="auto"/>
              <w:rPr>
                <w:noProof/>
              </w:rPr>
            </w:pPr>
            <w:r>
              <w:rPr>
                <w:noProof/>
              </w:rPr>
              <w:t>Investointi 5.1. Tuki ekologisen siirtymän tuotantojärjestelmälle, nettonollateknologiat sekä strategisten toimitusten kilpailukyky ja häiriönsietokyky</w:t>
            </w:r>
          </w:p>
        </w:tc>
        <w:tc>
          <w:tcPr>
            <w:tcW w:w="1110" w:type="dxa"/>
            <w:shd w:val="clear" w:color="auto" w:fill="C6EFCE"/>
            <w:tcMar>
              <w:left w:w="108" w:type="dxa"/>
              <w:right w:w="108" w:type="dxa"/>
            </w:tcMar>
            <w:vAlign w:val="center"/>
          </w:tcPr>
          <w:p w14:paraId="139A3637"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1E1E9142" w14:textId="77777777" w:rsidR="00E42B18" w:rsidRDefault="009629C4">
            <w:pPr>
              <w:pStyle w:val="P68B1DB1-Normal121"/>
              <w:spacing w:after="0" w:line="240" w:lineRule="auto"/>
              <w:rPr>
                <w:noProof/>
              </w:rPr>
            </w:pPr>
            <w:r>
              <w:rPr>
                <w:noProof/>
              </w:rPr>
              <w:t>Italian yritys- ja Made-ministeriö on saattanut päätökseen varojen siirron Invitalia S.p.A:lle.</w:t>
            </w:r>
          </w:p>
        </w:tc>
      </w:tr>
      <w:tr w:rsidR="00E42B18" w14:paraId="3F191E61" w14:textId="77777777">
        <w:trPr>
          <w:trHeight w:val="300"/>
        </w:trPr>
        <w:tc>
          <w:tcPr>
            <w:tcW w:w="1140" w:type="dxa"/>
            <w:shd w:val="clear" w:color="auto" w:fill="C6EFCE"/>
            <w:tcMar>
              <w:left w:w="108" w:type="dxa"/>
              <w:right w:w="108" w:type="dxa"/>
            </w:tcMar>
            <w:vAlign w:val="center"/>
          </w:tcPr>
          <w:p w14:paraId="33A17E1D" w14:textId="77777777" w:rsidR="00E42B18" w:rsidRDefault="009629C4">
            <w:pPr>
              <w:pStyle w:val="P68B1DB1-Normal121"/>
              <w:spacing w:after="0" w:line="240" w:lineRule="auto"/>
              <w:jc w:val="center"/>
              <w:rPr>
                <w:noProof/>
              </w:rPr>
            </w:pPr>
            <w:r>
              <w:rPr>
                <w:noProof/>
              </w:rPr>
              <w:t>M2C2–42a</w:t>
            </w:r>
          </w:p>
        </w:tc>
        <w:tc>
          <w:tcPr>
            <w:tcW w:w="3628" w:type="dxa"/>
            <w:shd w:val="clear" w:color="auto" w:fill="C6EFCE"/>
            <w:tcMar>
              <w:left w:w="108" w:type="dxa"/>
              <w:right w:w="108" w:type="dxa"/>
            </w:tcMar>
            <w:vAlign w:val="center"/>
          </w:tcPr>
          <w:p w14:paraId="556FF5C0" w14:textId="77777777" w:rsidR="00E42B18" w:rsidRDefault="009629C4">
            <w:pPr>
              <w:pStyle w:val="P68B1DB1-Normal121"/>
              <w:spacing w:after="0" w:line="240" w:lineRule="auto"/>
              <w:rPr>
                <w:noProof/>
              </w:rPr>
            </w:pPr>
            <w:r>
              <w:rPr>
                <w:noProof/>
              </w:rPr>
              <w:t>Investointi 5.4 – Pääomanlisäys vihreän siirtymän rahastoon (GTF)</w:t>
            </w:r>
          </w:p>
        </w:tc>
        <w:tc>
          <w:tcPr>
            <w:tcW w:w="1110" w:type="dxa"/>
            <w:shd w:val="clear" w:color="auto" w:fill="C6EFCE"/>
            <w:tcMar>
              <w:left w:w="108" w:type="dxa"/>
              <w:right w:w="108" w:type="dxa"/>
            </w:tcMar>
            <w:vAlign w:val="center"/>
          </w:tcPr>
          <w:p w14:paraId="4333B113"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311CF614" w14:textId="77777777" w:rsidR="00E42B18" w:rsidRDefault="009629C4">
            <w:pPr>
              <w:pStyle w:val="P68B1DB1-Normal121"/>
              <w:spacing w:after="0" w:line="240" w:lineRule="auto"/>
              <w:rPr>
                <w:noProof/>
              </w:rPr>
            </w:pPr>
            <w:r>
              <w:rPr>
                <w:noProof/>
              </w:rPr>
              <w:t>Pääomanlisäys vihreän siirtymän rahastoon</w:t>
            </w:r>
          </w:p>
        </w:tc>
      </w:tr>
      <w:tr w:rsidR="00E42B18" w14:paraId="47B94D9E" w14:textId="77777777">
        <w:trPr>
          <w:trHeight w:val="300"/>
        </w:trPr>
        <w:tc>
          <w:tcPr>
            <w:tcW w:w="1140" w:type="dxa"/>
            <w:shd w:val="clear" w:color="auto" w:fill="C6EFCE"/>
            <w:tcMar>
              <w:left w:w="108" w:type="dxa"/>
              <w:right w:w="108" w:type="dxa"/>
            </w:tcMar>
            <w:vAlign w:val="center"/>
          </w:tcPr>
          <w:p w14:paraId="41AF4328" w14:textId="77777777" w:rsidR="00E42B18" w:rsidRDefault="009629C4">
            <w:pPr>
              <w:pStyle w:val="P68B1DB1-Normal121"/>
              <w:spacing w:after="0" w:line="240" w:lineRule="auto"/>
              <w:jc w:val="center"/>
              <w:rPr>
                <w:noProof/>
              </w:rPr>
            </w:pPr>
            <w:r>
              <w:rPr>
                <w:noProof/>
              </w:rPr>
              <w:t>M2C2–44</w:t>
            </w:r>
          </w:p>
        </w:tc>
        <w:tc>
          <w:tcPr>
            <w:tcW w:w="3628" w:type="dxa"/>
            <w:shd w:val="clear" w:color="auto" w:fill="C6EFCE"/>
            <w:tcMar>
              <w:left w:w="108" w:type="dxa"/>
              <w:right w:w="108" w:type="dxa"/>
            </w:tcMar>
            <w:vAlign w:val="center"/>
          </w:tcPr>
          <w:p w14:paraId="7BB04027" w14:textId="77777777" w:rsidR="00E42B18" w:rsidRDefault="009629C4">
            <w:pPr>
              <w:pStyle w:val="P68B1DB1-Normal121"/>
              <w:spacing w:after="0" w:line="240" w:lineRule="auto"/>
              <w:rPr>
                <w:noProof/>
              </w:rPr>
            </w:pPr>
            <w:r>
              <w:rPr>
                <w:noProof/>
              </w:rPr>
              <w:t>Investointi 1.1 Maatalousjännitejärjestelmien kehittäminen</w:t>
            </w:r>
          </w:p>
        </w:tc>
        <w:tc>
          <w:tcPr>
            <w:tcW w:w="1110" w:type="dxa"/>
            <w:shd w:val="clear" w:color="auto" w:fill="C6EFCE"/>
            <w:tcMar>
              <w:left w:w="108" w:type="dxa"/>
              <w:right w:w="108" w:type="dxa"/>
            </w:tcMar>
            <w:vAlign w:val="center"/>
          </w:tcPr>
          <w:p w14:paraId="339A0437"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36A0891F" w14:textId="77777777" w:rsidR="00E42B18" w:rsidRDefault="009629C4">
            <w:pPr>
              <w:pStyle w:val="P68B1DB1-Normal121"/>
              <w:spacing w:after="0" w:line="240" w:lineRule="auto"/>
              <w:rPr>
                <w:noProof/>
              </w:rPr>
            </w:pPr>
            <w:r>
              <w:rPr>
                <w:noProof/>
              </w:rPr>
              <w:t>Kaikkien aurinkosähköpaneelien asentamista maataloussähköjärjestelmiin koskevien julkisten hankintasopimusten tekeminen</w:t>
            </w:r>
          </w:p>
        </w:tc>
      </w:tr>
      <w:tr w:rsidR="00E42B18" w14:paraId="204D2A24" w14:textId="77777777">
        <w:trPr>
          <w:trHeight w:val="300"/>
        </w:trPr>
        <w:tc>
          <w:tcPr>
            <w:tcW w:w="1140" w:type="dxa"/>
            <w:shd w:val="clear" w:color="auto" w:fill="C6EFCE"/>
            <w:tcMar>
              <w:left w:w="108" w:type="dxa"/>
              <w:right w:w="108" w:type="dxa"/>
            </w:tcMar>
            <w:vAlign w:val="center"/>
          </w:tcPr>
          <w:p w14:paraId="2AE37AB2" w14:textId="77777777" w:rsidR="00E42B18" w:rsidRDefault="009629C4">
            <w:pPr>
              <w:pStyle w:val="P68B1DB1-Normal121"/>
              <w:spacing w:after="0" w:line="240" w:lineRule="auto"/>
              <w:jc w:val="center"/>
              <w:rPr>
                <w:noProof/>
              </w:rPr>
            </w:pPr>
            <w:r>
              <w:rPr>
                <w:noProof/>
              </w:rPr>
              <w:t>M2C4–22</w:t>
            </w:r>
          </w:p>
        </w:tc>
        <w:tc>
          <w:tcPr>
            <w:tcW w:w="3628" w:type="dxa"/>
            <w:shd w:val="clear" w:color="auto" w:fill="C6EFCE"/>
            <w:tcMar>
              <w:left w:w="108" w:type="dxa"/>
              <w:right w:w="108" w:type="dxa"/>
            </w:tcMar>
            <w:vAlign w:val="center"/>
          </w:tcPr>
          <w:p w14:paraId="73E6BF66" w14:textId="77777777" w:rsidR="00E42B18" w:rsidRDefault="009629C4">
            <w:pPr>
              <w:pStyle w:val="P68B1DB1-Normal121"/>
              <w:spacing w:after="0" w:line="240" w:lineRule="auto"/>
              <w:rPr>
                <w:noProof/>
              </w:rPr>
            </w:pPr>
            <w:r>
              <w:rPr>
                <w:noProof/>
              </w:rPr>
              <w:t>Investointi 3.3 Po-alueen ennallistaminen</w:t>
            </w:r>
          </w:p>
        </w:tc>
        <w:tc>
          <w:tcPr>
            <w:tcW w:w="1110" w:type="dxa"/>
            <w:shd w:val="clear" w:color="auto" w:fill="C6EFCE"/>
            <w:tcMar>
              <w:left w:w="108" w:type="dxa"/>
              <w:right w:w="108" w:type="dxa"/>
            </w:tcMar>
            <w:vAlign w:val="center"/>
          </w:tcPr>
          <w:p w14:paraId="7649A9DB"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030635DE" w14:textId="77777777" w:rsidR="00E42B18" w:rsidRDefault="009629C4">
            <w:pPr>
              <w:pStyle w:val="P68B1DB1-Normal121"/>
              <w:spacing w:after="0" w:line="240" w:lineRule="auto"/>
              <w:rPr>
                <w:noProof/>
              </w:rPr>
            </w:pPr>
            <w:r>
              <w:rPr>
                <w:noProof/>
              </w:rPr>
              <w:t xml:space="preserve">Joenpohjan keinotekoisuuden vähentäminen Po-alueen T1 elvyttämistä varten </w:t>
            </w:r>
          </w:p>
        </w:tc>
      </w:tr>
      <w:tr w:rsidR="00E42B18" w14:paraId="532D4097" w14:textId="77777777">
        <w:trPr>
          <w:trHeight w:val="300"/>
        </w:trPr>
        <w:tc>
          <w:tcPr>
            <w:tcW w:w="1140" w:type="dxa"/>
            <w:shd w:val="clear" w:color="auto" w:fill="C6EFCE"/>
            <w:tcMar>
              <w:left w:w="108" w:type="dxa"/>
              <w:right w:w="108" w:type="dxa"/>
            </w:tcMar>
            <w:vAlign w:val="center"/>
          </w:tcPr>
          <w:p w14:paraId="4B566C2A" w14:textId="77777777" w:rsidR="00E42B18" w:rsidRDefault="009629C4">
            <w:pPr>
              <w:pStyle w:val="P68B1DB1-Normal121"/>
              <w:spacing w:after="0" w:line="240" w:lineRule="auto"/>
              <w:jc w:val="center"/>
              <w:rPr>
                <w:noProof/>
              </w:rPr>
            </w:pPr>
            <w:r>
              <w:rPr>
                <w:noProof/>
              </w:rPr>
              <w:t>M2C4–31</w:t>
            </w:r>
          </w:p>
        </w:tc>
        <w:tc>
          <w:tcPr>
            <w:tcW w:w="3628" w:type="dxa"/>
            <w:shd w:val="clear" w:color="auto" w:fill="C6EFCE"/>
            <w:tcMar>
              <w:left w:w="108" w:type="dxa"/>
              <w:right w:w="108" w:type="dxa"/>
            </w:tcMar>
            <w:vAlign w:val="center"/>
          </w:tcPr>
          <w:p w14:paraId="4D8063DE" w14:textId="77777777" w:rsidR="00E42B18" w:rsidRDefault="009629C4">
            <w:pPr>
              <w:pStyle w:val="P68B1DB1-Normal121"/>
              <w:spacing w:after="0" w:line="240" w:lineRule="auto"/>
              <w:rPr>
                <w:noProof/>
              </w:rPr>
            </w:pPr>
            <w:r>
              <w:rPr>
                <w:noProof/>
              </w:rPr>
              <w:t>Investointi 4.2. Vedenjakeluverkkojen hävikin vähentäminen, mukaan lukien verkkojen digitalisointi ja seuranta</w:t>
            </w:r>
          </w:p>
        </w:tc>
        <w:tc>
          <w:tcPr>
            <w:tcW w:w="1110" w:type="dxa"/>
            <w:shd w:val="clear" w:color="auto" w:fill="C6EFCE"/>
            <w:tcMar>
              <w:left w:w="108" w:type="dxa"/>
              <w:right w:w="108" w:type="dxa"/>
            </w:tcMar>
            <w:vAlign w:val="center"/>
          </w:tcPr>
          <w:p w14:paraId="518428F8"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56248C75" w14:textId="77777777" w:rsidR="00E42B18" w:rsidRDefault="009629C4">
            <w:pPr>
              <w:pStyle w:val="P68B1DB1-Normal121"/>
              <w:spacing w:after="0" w:line="240" w:lineRule="auto"/>
              <w:rPr>
                <w:noProof/>
              </w:rPr>
            </w:pPr>
            <w:r>
              <w:rPr>
                <w:noProof/>
              </w:rPr>
              <w:t>Vedenjakeluverkkoihin liittyvät toimet, mukaan lukien T1-verkkojen digitalisointi ja seuranta</w:t>
            </w:r>
          </w:p>
        </w:tc>
      </w:tr>
      <w:tr w:rsidR="00E42B18" w14:paraId="4BD323AB" w14:textId="77777777">
        <w:trPr>
          <w:trHeight w:val="300"/>
        </w:trPr>
        <w:tc>
          <w:tcPr>
            <w:tcW w:w="1140" w:type="dxa"/>
            <w:shd w:val="clear" w:color="auto" w:fill="C6EFCE"/>
            <w:tcMar>
              <w:left w:w="108" w:type="dxa"/>
              <w:right w:w="108" w:type="dxa"/>
            </w:tcMar>
            <w:vAlign w:val="center"/>
          </w:tcPr>
          <w:p w14:paraId="0A13C3C4" w14:textId="77777777" w:rsidR="00E42B18" w:rsidRDefault="009629C4">
            <w:pPr>
              <w:pStyle w:val="P68B1DB1-Normal121"/>
              <w:spacing w:after="0" w:line="240" w:lineRule="auto"/>
              <w:jc w:val="center"/>
              <w:rPr>
                <w:noProof/>
              </w:rPr>
            </w:pPr>
            <w:r>
              <w:rPr>
                <w:noProof/>
              </w:rPr>
              <w:t>M2C4–34</w:t>
            </w:r>
          </w:p>
        </w:tc>
        <w:tc>
          <w:tcPr>
            <w:tcW w:w="3628" w:type="dxa"/>
            <w:shd w:val="clear" w:color="auto" w:fill="C6EFCE"/>
            <w:tcMar>
              <w:left w:w="108" w:type="dxa"/>
              <w:right w:w="108" w:type="dxa"/>
            </w:tcMar>
            <w:vAlign w:val="center"/>
          </w:tcPr>
          <w:p w14:paraId="3349E0B0" w14:textId="77777777" w:rsidR="00E42B18" w:rsidRDefault="009629C4">
            <w:pPr>
              <w:pStyle w:val="P68B1DB1-Normal121"/>
              <w:spacing w:after="0" w:line="240" w:lineRule="auto"/>
              <w:rPr>
                <w:noProof/>
              </w:rPr>
            </w:pPr>
            <w:r>
              <w:rPr>
                <w:noProof/>
              </w:rPr>
              <w:t>Investointi 4.3 Investoinnit kasteluviljelyjärjestelmän kestokykyyn vesivarojen hoidon parantamiseksi</w:t>
            </w:r>
          </w:p>
        </w:tc>
        <w:tc>
          <w:tcPr>
            <w:tcW w:w="1110" w:type="dxa"/>
            <w:shd w:val="clear" w:color="auto" w:fill="C6EFCE"/>
            <w:tcMar>
              <w:left w:w="108" w:type="dxa"/>
              <w:right w:w="108" w:type="dxa"/>
            </w:tcMar>
            <w:vAlign w:val="center"/>
          </w:tcPr>
          <w:p w14:paraId="343D9967"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3A32D99D" w14:textId="77777777" w:rsidR="00E42B18" w:rsidRDefault="009629C4">
            <w:pPr>
              <w:pStyle w:val="P68B1DB1-Normal121"/>
              <w:spacing w:after="0" w:line="240" w:lineRule="auto"/>
              <w:rPr>
                <w:noProof/>
              </w:rPr>
            </w:pPr>
            <w:r>
              <w:rPr>
                <w:noProof/>
              </w:rPr>
              <w:t>Toimenpiteet, joilla parannetaan kasteluviljelyjärjestelmän häiriönsietokykyä vesivarojen hoidon parantamiseksi</w:t>
            </w:r>
          </w:p>
        </w:tc>
      </w:tr>
      <w:tr w:rsidR="00E42B18" w14:paraId="4D30A6E5" w14:textId="77777777">
        <w:trPr>
          <w:trHeight w:val="300"/>
        </w:trPr>
        <w:tc>
          <w:tcPr>
            <w:tcW w:w="1140" w:type="dxa"/>
            <w:shd w:val="clear" w:color="auto" w:fill="C6EFCE"/>
            <w:tcMar>
              <w:left w:w="108" w:type="dxa"/>
              <w:right w:w="108" w:type="dxa"/>
            </w:tcMar>
            <w:vAlign w:val="center"/>
          </w:tcPr>
          <w:p w14:paraId="7E0C2378" w14:textId="77777777" w:rsidR="00E42B18" w:rsidRDefault="009629C4">
            <w:pPr>
              <w:pStyle w:val="P68B1DB1-Normal121"/>
              <w:spacing w:after="0" w:line="240" w:lineRule="auto"/>
              <w:jc w:val="center"/>
              <w:rPr>
                <w:noProof/>
              </w:rPr>
            </w:pPr>
            <w:r>
              <w:rPr>
                <w:noProof/>
              </w:rPr>
              <w:t>M2C4–35</w:t>
            </w:r>
          </w:p>
        </w:tc>
        <w:tc>
          <w:tcPr>
            <w:tcW w:w="3628" w:type="dxa"/>
            <w:shd w:val="clear" w:color="auto" w:fill="C6EFCE"/>
            <w:tcMar>
              <w:left w:w="108" w:type="dxa"/>
              <w:right w:w="108" w:type="dxa"/>
            </w:tcMar>
            <w:vAlign w:val="center"/>
          </w:tcPr>
          <w:p w14:paraId="32B9B652" w14:textId="77777777" w:rsidR="00E42B18" w:rsidRDefault="009629C4">
            <w:pPr>
              <w:pStyle w:val="P68B1DB1-Normal121"/>
              <w:spacing w:after="0" w:line="240" w:lineRule="auto"/>
              <w:rPr>
                <w:noProof/>
              </w:rPr>
            </w:pPr>
            <w:r>
              <w:rPr>
                <w:noProof/>
              </w:rPr>
              <w:t>Investointi 4.3 Investoinnit kasteluviljelyjärjestelmän kestokykyyn vesivarojen hoidon parantamiseksi</w:t>
            </w:r>
          </w:p>
        </w:tc>
        <w:tc>
          <w:tcPr>
            <w:tcW w:w="1110" w:type="dxa"/>
            <w:shd w:val="clear" w:color="auto" w:fill="C6EFCE"/>
            <w:tcMar>
              <w:left w:w="108" w:type="dxa"/>
              <w:right w:w="108" w:type="dxa"/>
            </w:tcMar>
            <w:vAlign w:val="center"/>
          </w:tcPr>
          <w:p w14:paraId="199427DB"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63C9BBA5" w14:textId="77777777" w:rsidR="00E42B18" w:rsidRDefault="009629C4">
            <w:pPr>
              <w:pStyle w:val="P68B1DB1-Normal121"/>
              <w:spacing w:after="0" w:line="240" w:lineRule="auto"/>
              <w:rPr>
                <w:noProof/>
              </w:rPr>
            </w:pPr>
            <w:r>
              <w:rPr>
                <w:noProof/>
              </w:rPr>
              <w:t>Toimenpiteet, joilla parannetaan kasteluviljelyjärjestelmän häiriönsietokykyä vesivarojen hoidon parantamiseksi</w:t>
            </w:r>
          </w:p>
        </w:tc>
      </w:tr>
      <w:tr w:rsidR="00E42B18" w14:paraId="6FC9E110" w14:textId="77777777">
        <w:trPr>
          <w:trHeight w:val="300"/>
        </w:trPr>
        <w:tc>
          <w:tcPr>
            <w:tcW w:w="1140" w:type="dxa"/>
            <w:shd w:val="clear" w:color="auto" w:fill="C6EFCE"/>
            <w:tcMar>
              <w:left w:w="108" w:type="dxa"/>
              <w:right w:w="108" w:type="dxa"/>
            </w:tcMar>
            <w:vAlign w:val="center"/>
          </w:tcPr>
          <w:p w14:paraId="5E7F85FE" w14:textId="77777777" w:rsidR="00E42B18" w:rsidRDefault="009629C4">
            <w:pPr>
              <w:pStyle w:val="P68B1DB1-Normal121"/>
              <w:spacing w:after="0" w:line="240" w:lineRule="auto"/>
              <w:jc w:val="center"/>
              <w:rPr>
                <w:noProof/>
              </w:rPr>
            </w:pPr>
            <w:r>
              <w:rPr>
                <w:noProof/>
              </w:rPr>
              <w:t>M3C1–15</w:t>
            </w:r>
          </w:p>
        </w:tc>
        <w:tc>
          <w:tcPr>
            <w:tcW w:w="3628" w:type="dxa"/>
            <w:shd w:val="clear" w:color="auto" w:fill="C6EFCE"/>
            <w:tcMar>
              <w:left w:w="108" w:type="dxa"/>
              <w:right w:w="108" w:type="dxa"/>
            </w:tcMar>
            <w:vAlign w:val="center"/>
          </w:tcPr>
          <w:p w14:paraId="5D444334" w14:textId="77777777" w:rsidR="00E42B18" w:rsidRDefault="009629C4">
            <w:pPr>
              <w:pStyle w:val="P68B1DB1-Normal121"/>
              <w:spacing w:after="0" w:line="240" w:lineRule="auto"/>
              <w:rPr>
                <w:noProof/>
              </w:rPr>
            </w:pPr>
            <w:r>
              <w:rPr>
                <w:noProof/>
              </w:rPr>
              <w:t>Investointi 1.5 – Suurkaupunkialueiden solmukohtien ja keskeisten kansallisten yhteyksien vahvistaminen</w:t>
            </w:r>
          </w:p>
        </w:tc>
        <w:tc>
          <w:tcPr>
            <w:tcW w:w="1110" w:type="dxa"/>
            <w:shd w:val="clear" w:color="auto" w:fill="C6EFCE"/>
            <w:tcMar>
              <w:left w:w="108" w:type="dxa"/>
              <w:right w:w="108" w:type="dxa"/>
            </w:tcMar>
            <w:vAlign w:val="center"/>
          </w:tcPr>
          <w:p w14:paraId="1ED30B3E"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21630BD6" w14:textId="77777777" w:rsidR="00E42B18" w:rsidRDefault="009629C4">
            <w:pPr>
              <w:pStyle w:val="P68B1DB1-Normal121"/>
              <w:spacing w:after="0" w:line="240" w:lineRule="auto"/>
              <w:rPr>
                <w:noProof/>
              </w:rPr>
            </w:pPr>
            <w:r>
              <w:rPr>
                <w:noProof/>
              </w:rPr>
              <w:t>700 km suurkaupunkisolmukohdista ja keskeisistä kansallisista yhteyksistä rakennettuja parannettuja rataosuuksia</w:t>
            </w:r>
          </w:p>
        </w:tc>
      </w:tr>
      <w:tr w:rsidR="00E42B18" w14:paraId="0266AC1C" w14:textId="77777777">
        <w:trPr>
          <w:trHeight w:val="300"/>
        </w:trPr>
        <w:tc>
          <w:tcPr>
            <w:tcW w:w="1140" w:type="dxa"/>
            <w:shd w:val="clear" w:color="auto" w:fill="C6EFCE"/>
            <w:tcMar>
              <w:left w:w="108" w:type="dxa"/>
              <w:right w:w="108" w:type="dxa"/>
            </w:tcMar>
            <w:vAlign w:val="center"/>
          </w:tcPr>
          <w:p w14:paraId="2ECC183A" w14:textId="77777777" w:rsidR="00E42B18" w:rsidRDefault="009629C4">
            <w:pPr>
              <w:pStyle w:val="P68B1DB1-Normal121"/>
              <w:spacing w:after="0" w:line="240" w:lineRule="auto"/>
              <w:jc w:val="center"/>
              <w:rPr>
                <w:noProof/>
              </w:rPr>
            </w:pPr>
            <w:r>
              <w:rPr>
                <w:noProof/>
              </w:rPr>
              <w:t>M3C1–19</w:t>
            </w:r>
          </w:p>
        </w:tc>
        <w:tc>
          <w:tcPr>
            <w:tcW w:w="3628" w:type="dxa"/>
            <w:shd w:val="clear" w:color="auto" w:fill="C6EFCE"/>
            <w:tcMar>
              <w:left w:w="108" w:type="dxa"/>
              <w:right w:w="108" w:type="dxa"/>
            </w:tcMar>
            <w:vAlign w:val="center"/>
          </w:tcPr>
          <w:p w14:paraId="66CA34D2" w14:textId="77777777" w:rsidR="00E42B18" w:rsidRDefault="009629C4">
            <w:pPr>
              <w:pStyle w:val="P68B1DB1-Normal121"/>
              <w:spacing w:after="0" w:line="240" w:lineRule="auto"/>
              <w:rPr>
                <w:noProof/>
              </w:rPr>
            </w:pPr>
            <w:r>
              <w:rPr>
                <w:noProof/>
              </w:rPr>
              <w:t>Investointi 1.8 – Rautatieasemien päivittäminen (RFI-hallinto; etelässä)</w:t>
            </w:r>
          </w:p>
        </w:tc>
        <w:tc>
          <w:tcPr>
            <w:tcW w:w="1110" w:type="dxa"/>
            <w:shd w:val="clear" w:color="auto" w:fill="C6EFCE"/>
            <w:tcMar>
              <w:left w:w="108" w:type="dxa"/>
              <w:right w:w="108" w:type="dxa"/>
            </w:tcMar>
            <w:vAlign w:val="center"/>
          </w:tcPr>
          <w:p w14:paraId="76594EA0"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5B2A575F" w14:textId="77777777" w:rsidR="00E42B18" w:rsidRDefault="009629C4">
            <w:pPr>
              <w:pStyle w:val="P68B1DB1-Normal121"/>
              <w:spacing w:after="0" w:line="240" w:lineRule="auto"/>
              <w:rPr>
                <w:noProof/>
              </w:rPr>
            </w:pPr>
            <w:r>
              <w:rPr>
                <w:noProof/>
              </w:rPr>
              <w:t>Parannetut ja esteettömät rautatieasemat</w:t>
            </w:r>
          </w:p>
        </w:tc>
      </w:tr>
      <w:tr w:rsidR="00E42B18" w14:paraId="5855CE2D" w14:textId="77777777">
        <w:trPr>
          <w:trHeight w:val="300"/>
        </w:trPr>
        <w:tc>
          <w:tcPr>
            <w:tcW w:w="1140" w:type="dxa"/>
            <w:shd w:val="clear" w:color="auto" w:fill="C6EFCE"/>
            <w:tcMar>
              <w:left w:w="108" w:type="dxa"/>
              <w:right w:w="108" w:type="dxa"/>
            </w:tcMar>
            <w:vAlign w:val="center"/>
          </w:tcPr>
          <w:p w14:paraId="37E5646C" w14:textId="77777777" w:rsidR="00E42B18" w:rsidRDefault="009629C4">
            <w:pPr>
              <w:pStyle w:val="P68B1DB1-Normal121"/>
              <w:spacing w:after="0" w:line="240" w:lineRule="auto"/>
              <w:jc w:val="center"/>
              <w:rPr>
                <w:noProof/>
              </w:rPr>
            </w:pPr>
            <w:r>
              <w:rPr>
                <w:noProof/>
              </w:rPr>
              <w:t>M4C2–21bis</w:t>
            </w:r>
          </w:p>
        </w:tc>
        <w:tc>
          <w:tcPr>
            <w:tcW w:w="3628" w:type="dxa"/>
            <w:shd w:val="clear" w:color="auto" w:fill="C6EFCE"/>
            <w:tcMar>
              <w:left w:w="108" w:type="dxa"/>
              <w:right w:w="108" w:type="dxa"/>
            </w:tcMar>
            <w:vAlign w:val="center"/>
          </w:tcPr>
          <w:p w14:paraId="764A4A31" w14:textId="77777777" w:rsidR="00E42B18" w:rsidRDefault="009629C4">
            <w:pPr>
              <w:pStyle w:val="P68B1DB1-Normal121"/>
              <w:spacing w:after="0" w:line="240" w:lineRule="auto"/>
              <w:rPr>
                <w:noProof/>
              </w:rPr>
            </w:pPr>
            <w:r>
              <w:rPr>
                <w:noProof/>
              </w:rPr>
              <w:t>Investointi 3.2 – Pääomanlisäys digitaalisen siirtymän rahastoon (DTF)</w:t>
            </w:r>
          </w:p>
        </w:tc>
        <w:tc>
          <w:tcPr>
            <w:tcW w:w="1110" w:type="dxa"/>
            <w:shd w:val="clear" w:color="auto" w:fill="C6EFCE"/>
            <w:tcMar>
              <w:left w:w="108" w:type="dxa"/>
              <w:right w:w="108" w:type="dxa"/>
            </w:tcMar>
            <w:vAlign w:val="center"/>
          </w:tcPr>
          <w:p w14:paraId="1B0D2B2B"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633DE3B7" w14:textId="77777777" w:rsidR="00E42B18" w:rsidRDefault="009629C4">
            <w:pPr>
              <w:pStyle w:val="P68B1DB1-Normal121"/>
              <w:spacing w:after="0" w:line="240" w:lineRule="auto"/>
              <w:rPr>
                <w:noProof/>
              </w:rPr>
            </w:pPr>
            <w:r>
              <w:rPr>
                <w:noProof/>
              </w:rPr>
              <w:t>Pääomanlisäys digitaalisen siirtymän rahastoon</w:t>
            </w:r>
          </w:p>
        </w:tc>
      </w:tr>
      <w:tr w:rsidR="00E42B18" w14:paraId="19EE13A7" w14:textId="77777777">
        <w:trPr>
          <w:trHeight w:val="300"/>
        </w:trPr>
        <w:tc>
          <w:tcPr>
            <w:tcW w:w="1140" w:type="dxa"/>
            <w:shd w:val="clear" w:color="auto" w:fill="C6EFCE"/>
            <w:tcMar>
              <w:left w:w="108" w:type="dxa"/>
              <w:right w:w="108" w:type="dxa"/>
            </w:tcMar>
            <w:vAlign w:val="center"/>
          </w:tcPr>
          <w:p w14:paraId="6ED3875C" w14:textId="77777777" w:rsidR="00E42B18" w:rsidRDefault="009629C4">
            <w:pPr>
              <w:pStyle w:val="P68B1DB1-Normal121"/>
              <w:spacing w:after="0" w:line="240" w:lineRule="auto"/>
              <w:jc w:val="center"/>
              <w:rPr>
                <w:noProof/>
              </w:rPr>
            </w:pPr>
            <w:r>
              <w:rPr>
                <w:noProof/>
              </w:rPr>
              <w:t>M5C3–12</w:t>
            </w:r>
          </w:p>
        </w:tc>
        <w:tc>
          <w:tcPr>
            <w:tcW w:w="3628" w:type="dxa"/>
            <w:shd w:val="clear" w:color="auto" w:fill="C6EFCE"/>
            <w:tcMar>
              <w:left w:w="108" w:type="dxa"/>
              <w:right w:w="108" w:type="dxa"/>
            </w:tcMar>
            <w:vAlign w:val="center"/>
          </w:tcPr>
          <w:p w14:paraId="43FCCDA8" w14:textId="77777777" w:rsidR="00E42B18" w:rsidRDefault="009629C4">
            <w:pPr>
              <w:pStyle w:val="P68B1DB1-Normal121"/>
              <w:spacing w:after="0" w:line="240" w:lineRule="auto"/>
              <w:rPr>
                <w:noProof/>
              </w:rPr>
            </w:pPr>
            <w:r>
              <w:rPr>
                <w:noProof/>
              </w:rPr>
              <w:t>Investointi 1.4: Erityistalousalueen infrastruktuuri-investoinnit</w:t>
            </w:r>
          </w:p>
        </w:tc>
        <w:tc>
          <w:tcPr>
            <w:tcW w:w="1110" w:type="dxa"/>
            <w:shd w:val="clear" w:color="auto" w:fill="C6EFCE"/>
            <w:tcMar>
              <w:left w:w="108" w:type="dxa"/>
              <w:right w:w="108" w:type="dxa"/>
            </w:tcMar>
            <w:vAlign w:val="center"/>
          </w:tcPr>
          <w:p w14:paraId="546A7BF9"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1422E669" w14:textId="77777777" w:rsidR="00E42B18" w:rsidRDefault="009629C4">
            <w:pPr>
              <w:pStyle w:val="P68B1DB1-Normal121"/>
              <w:spacing w:after="0" w:line="240" w:lineRule="auto"/>
              <w:rPr>
                <w:noProof/>
              </w:rPr>
            </w:pPr>
            <w:r>
              <w:rPr>
                <w:noProof/>
              </w:rPr>
              <w:t>Rakennustöiden aloittaminen infrastruktuuritukihankkeissa erityistalousalueilla</w:t>
            </w:r>
          </w:p>
        </w:tc>
      </w:tr>
      <w:tr w:rsidR="00E42B18" w14:paraId="0B735BB3" w14:textId="77777777">
        <w:trPr>
          <w:trHeight w:val="300"/>
        </w:trPr>
        <w:tc>
          <w:tcPr>
            <w:tcW w:w="1140" w:type="dxa"/>
            <w:shd w:val="clear" w:color="auto" w:fill="C6EFCE"/>
            <w:tcMar>
              <w:left w:w="108" w:type="dxa"/>
              <w:right w:w="108" w:type="dxa"/>
            </w:tcMar>
            <w:vAlign w:val="center"/>
          </w:tcPr>
          <w:p w14:paraId="5D74A869" w14:textId="77777777" w:rsidR="00E42B18" w:rsidRDefault="009629C4">
            <w:pPr>
              <w:pStyle w:val="P68B1DB1-Normal121"/>
              <w:spacing w:after="0" w:line="240" w:lineRule="auto"/>
              <w:jc w:val="center"/>
              <w:rPr>
                <w:noProof/>
              </w:rPr>
            </w:pPr>
            <w:r>
              <w:rPr>
                <w:noProof/>
              </w:rPr>
              <w:t>M6C1–7</w:t>
            </w:r>
          </w:p>
        </w:tc>
        <w:tc>
          <w:tcPr>
            <w:tcW w:w="3628" w:type="dxa"/>
            <w:shd w:val="clear" w:color="auto" w:fill="C6EFCE"/>
            <w:tcMar>
              <w:left w:w="108" w:type="dxa"/>
              <w:right w:w="108" w:type="dxa"/>
            </w:tcMar>
            <w:vAlign w:val="center"/>
          </w:tcPr>
          <w:p w14:paraId="5F6DAD91" w14:textId="77777777" w:rsidR="00E42B18" w:rsidRDefault="009629C4">
            <w:pPr>
              <w:pStyle w:val="P68B1DB1-Normal121"/>
              <w:spacing w:after="0" w:line="240" w:lineRule="auto"/>
              <w:rPr>
                <w:noProof/>
              </w:rPr>
            </w:pPr>
            <w:r>
              <w:rPr>
                <w:noProof/>
              </w:rPr>
              <w:t>Investointi 1.2: Koti ensimmäisenä hoitopaikkana ja etälääketiede</w:t>
            </w:r>
          </w:p>
        </w:tc>
        <w:tc>
          <w:tcPr>
            <w:tcW w:w="1110" w:type="dxa"/>
            <w:shd w:val="clear" w:color="auto" w:fill="C6EFCE"/>
            <w:tcMar>
              <w:left w:w="108" w:type="dxa"/>
              <w:right w:w="108" w:type="dxa"/>
            </w:tcMar>
            <w:vAlign w:val="center"/>
          </w:tcPr>
          <w:p w14:paraId="0DA88353"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14C2ACFE" w14:textId="77777777" w:rsidR="00E42B18" w:rsidRDefault="009629C4">
            <w:pPr>
              <w:pStyle w:val="P68B1DB1-Normal121"/>
              <w:spacing w:after="0" w:line="240" w:lineRule="auto"/>
              <w:rPr>
                <w:noProof/>
              </w:rPr>
            </w:pPr>
            <w:r>
              <w:rPr>
                <w:noProof/>
              </w:rPr>
              <w:t>Täysin toimintakykyiset koordinointikeskukset (toinen erä)</w:t>
            </w:r>
          </w:p>
        </w:tc>
      </w:tr>
      <w:tr w:rsidR="00E42B18" w14:paraId="2B5E75DC" w14:textId="77777777">
        <w:trPr>
          <w:trHeight w:val="300"/>
        </w:trPr>
        <w:tc>
          <w:tcPr>
            <w:tcW w:w="1140" w:type="dxa"/>
            <w:shd w:val="clear" w:color="auto" w:fill="C6EFCE"/>
            <w:tcMar>
              <w:left w:w="108" w:type="dxa"/>
              <w:right w:w="108" w:type="dxa"/>
            </w:tcMar>
            <w:vAlign w:val="center"/>
          </w:tcPr>
          <w:p w14:paraId="6391AA2E" w14:textId="77777777" w:rsidR="00E42B18" w:rsidRDefault="009629C4">
            <w:pPr>
              <w:pStyle w:val="P68B1DB1-Normal121"/>
              <w:spacing w:after="0" w:line="240" w:lineRule="auto"/>
              <w:jc w:val="center"/>
              <w:rPr>
                <w:noProof/>
              </w:rPr>
            </w:pPr>
            <w:r>
              <w:rPr>
                <w:noProof/>
              </w:rPr>
              <w:t>M7–43</w:t>
            </w:r>
          </w:p>
        </w:tc>
        <w:tc>
          <w:tcPr>
            <w:tcW w:w="3628" w:type="dxa"/>
            <w:shd w:val="clear" w:color="auto" w:fill="C6EFCE"/>
            <w:tcMar>
              <w:left w:w="108" w:type="dxa"/>
              <w:right w:w="108" w:type="dxa"/>
            </w:tcMar>
            <w:vAlign w:val="center"/>
          </w:tcPr>
          <w:p w14:paraId="663AA3D7" w14:textId="77777777" w:rsidR="00E42B18" w:rsidRDefault="009629C4">
            <w:pPr>
              <w:pStyle w:val="P68B1DB1-Normal121"/>
              <w:spacing w:after="0" w:line="240" w:lineRule="auto"/>
              <w:rPr>
                <w:noProof/>
              </w:rPr>
            </w:pPr>
            <w:r>
              <w:rPr>
                <w:noProof/>
              </w:rPr>
              <w:t>Investointi 16: Tuki pk-yrityksille, jotta ne voivat tuottaa itse tuotantoaan uusiutuvista energialähteistä</w:t>
            </w:r>
          </w:p>
        </w:tc>
        <w:tc>
          <w:tcPr>
            <w:tcW w:w="1110" w:type="dxa"/>
            <w:shd w:val="clear" w:color="auto" w:fill="C6EFCE"/>
            <w:tcMar>
              <w:left w:w="108" w:type="dxa"/>
              <w:right w:w="108" w:type="dxa"/>
            </w:tcMar>
            <w:vAlign w:val="center"/>
          </w:tcPr>
          <w:p w14:paraId="72AC55FB"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586B6715" w14:textId="77777777" w:rsidR="00E42B18" w:rsidRDefault="009629C4">
            <w:pPr>
              <w:pStyle w:val="P68B1DB1-Normal121"/>
              <w:spacing w:after="0" w:line="240" w:lineRule="auto"/>
              <w:rPr>
                <w:noProof/>
              </w:rPr>
            </w:pPr>
            <w:r>
              <w:rPr>
                <w:noProof/>
              </w:rPr>
              <w:t>Täytäntöönpanosopimus</w:t>
            </w:r>
          </w:p>
        </w:tc>
      </w:tr>
      <w:tr w:rsidR="00E42B18" w14:paraId="2C3C5FE1" w14:textId="77777777">
        <w:trPr>
          <w:trHeight w:val="300"/>
        </w:trPr>
        <w:tc>
          <w:tcPr>
            <w:tcW w:w="1140" w:type="dxa"/>
            <w:shd w:val="clear" w:color="auto" w:fill="C6EFCE"/>
            <w:tcMar>
              <w:left w:w="108" w:type="dxa"/>
              <w:right w:w="108" w:type="dxa"/>
            </w:tcMar>
            <w:vAlign w:val="center"/>
          </w:tcPr>
          <w:p w14:paraId="61DC3B9B" w14:textId="77777777" w:rsidR="00E42B18" w:rsidRDefault="009629C4">
            <w:pPr>
              <w:pStyle w:val="P68B1DB1-Normal121"/>
              <w:spacing w:after="0" w:line="240" w:lineRule="auto"/>
              <w:jc w:val="center"/>
              <w:rPr>
                <w:noProof/>
              </w:rPr>
            </w:pPr>
            <w:r>
              <w:rPr>
                <w:noProof/>
              </w:rPr>
              <w:t>M7–44</w:t>
            </w:r>
          </w:p>
        </w:tc>
        <w:tc>
          <w:tcPr>
            <w:tcW w:w="3628" w:type="dxa"/>
            <w:shd w:val="clear" w:color="auto" w:fill="C6EFCE"/>
            <w:tcMar>
              <w:left w:w="108" w:type="dxa"/>
              <w:right w:w="108" w:type="dxa"/>
            </w:tcMar>
            <w:vAlign w:val="center"/>
          </w:tcPr>
          <w:p w14:paraId="58E79C79" w14:textId="77777777" w:rsidR="00E42B18" w:rsidRDefault="009629C4">
            <w:pPr>
              <w:pStyle w:val="P68B1DB1-Normal121"/>
              <w:spacing w:after="0" w:line="240" w:lineRule="auto"/>
              <w:rPr>
                <w:noProof/>
              </w:rPr>
            </w:pPr>
            <w:r>
              <w:rPr>
                <w:noProof/>
              </w:rPr>
              <w:t>Investointi 16: Tuki pk-yrityksille, jotta ne voivat tuottaa itse tuotantoaan uusiutuvista energialähteistä</w:t>
            </w:r>
          </w:p>
        </w:tc>
        <w:tc>
          <w:tcPr>
            <w:tcW w:w="1110" w:type="dxa"/>
            <w:shd w:val="clear" w:color="auto" w:fill="C6EFCE"/>
            <w:tcMar>
              <w:left w:w="108" w:type="dxa"/>
              <w:right w:w="108" w:type="dxa"/>
            </w:tcMar>
            <w:vAlign w:val="center"/>
          </w:tcPr>
          <w:p w14:paraId="486AAEC4" w14:textId="77777777" w:rsidR="00E42B18" w:rsidRDefault="009629C4">
            <w:pPr>
              <w:pStyle w:val="P68B1DB1-Normal121"/>
              <w:spacing w:after="0" w:line="240" w:lineRule="auto"/>
              <w:jc w:val="center"/>
              <w:rPr>
                <w:noProof/>
              </w:rPr>
            </w:pPr>
            <w:r>
              <w:rPr>
                <w:noProof/>
              </w:rPr>
              <w:t>Virstanpylväs</w:t>
            </w:r>
          </w:p>
        </w:tc>
        <w:tc>
          <w:tcPr>
            <w:tcW w:w="3480" w:type="dxa"/>
            <w:shd w:val="clear" w:color="auto" w:fill="C6EFCE"/>
            <w:tcMar>
              <w:left w:w="108" w:type="dxa"/>
              <w:right w:w="108" w:type="dxa"/>
            </w:tcMar>
            <w:vAlign w:val="center"/>
          </w:tcPr>
          <w:p w14:paraId="3FBF62C1" w14:textId="77777777" w:rsidR="00E42B18" w:rsidRDefault="009629C4">
            <w:pPr>
              <w:pStyle w:val="P68B1DB1-Normal121"/>
              <w:spacing w:after="0" w:line="240" w:lineRule="auto"/>
              <w:rPr>
                <w:noProof/>
              </w:rPr>
            </w:pPr>
            <w:r>
              <w:rPr>
                <w:noProof/>
              </w:rPr>
              <w:t>Italian yritys- ja Made-ministeriö on saattanut päätökseen varojen siirron Invitalialle.</w:t>
            </w:r>
          </w:p>
        </w:tc>
      </w:tr>
      <w:tr w:rsidR="00E42B18" w14:paraId="0B29B6FE" w14:textId="77777777">
        <w:trPr>
          <w:trHeight w:val="300"/>
        </w:trPr>
        <w:tc>
          <w:tcPr>
            <w:tcW w:w="1140" w:type="dxa"/>
            <w:shd w:val="clear" w:color="auto" w:fill="C6EFCE"/>
            <w:tcMar>
              <w:left w:w="108" w:type="dxa"/>
              <w:right w:w="108" w:type="dxa"/>
            </w:tcMar>
            <w:vAlign w:val="center"/>
          </w:tcPr>
          <w:p w14:paraId="23370572" w14:textId="77777777" w:rsidR="00E42B18" w:rsidRDefault="009629C4">
            <w:pPr>
              <w:pStyle w:val="P68B1DB1-Normal121"/>
              <w:spacing w:after="0" w:line="240" w:lineRule="auto"/>
              <w:jc w:val="center"/>
              <w:rPr>
                <w:noProof/>
              </w:rPr>
            </w:pPr>
            <w:r>
              <w:rPr>
                <w:noProof/>
              </w:rPr>
              <w:t>M2C4–20</w:t>
            </w:r>
          </w:p>
        </w:tc>
        <w:tc>
          <w:tcPr>
            <w:tcW w:w="3628" w:type="dxa"/>
            <w:shd w:val="clear" w:color="auto" w:fill="C6EFCE"/>
            <w:tcMar>
              <w:left w:w="108" w:type="dxa"/>
              <w:right w:w="108" w:type="dxa"/>
            </w:tcMar>
            <w:vAlign w:val="center"/>
          </w:tcPr>
          <w:p w14:paraId="10D89D91" w14:textId="77777777" w:rsidR="00E42B18" w:rsidRDefault="009629C4">
            <w:pPr>
              <w:pStyle w:val="P68B1DB1-Normal121"/>
              <w:spacing w:after="0" w:line="240" w:lineRule="auto"/>
              <w:rPr>
                <w:noProof/>
              </w:rPr>
            </w:pPr>
            <w:r>
              <w:rPr>
                <w:noProof/>
              </w:rPr>
              <w:t>Sijoittaminen. 3.1: Kaupunkien ja niiden lähialueiden metsien suojelu ja parantaminen</w:t>
            </w:r>
          </w:p>
        </w:tc>
        <w:tc>
          <w:tcPr>
            <w:tcW w:w="1110" w:type="dxa"/>
            <w:shd w:val="clear" w:color="auto" w:fill="C6EFCE"/>
            <w:tcMar>
              <w:left w:w="108" w:type="dxa"/>
              <w:right w:w="108" w:type="dxa"/>
            </w:tcMar>
            <w:vAlign w:val="center"/>
          </w:tcPr>
          <w:p w14:paraId="61216B29" w14:textId="77777777" w:rsidR="00E42B18" w:rsidRDefault="009629C4">
            <w:pPr>
              <w:pStyle w:val="P68B1DB1-Normal121"/>
              <w:spacing w:after="0" w:line="240" w:lineRule="auto"/>
              <w:jc w:val="center"/>
              <w:rPr>
                <w:noProof/>
              </w:rPr>
            </w:pPr>
            <w:r>
              <w:rPr>
                <w:noProof/>
              </w:rPr>
              <w:t>Kohde</w:t>
            </w:r>
          </w:p>
        </w:tc>
        <w:tc>
          <w:tcPr>
            <w:tcW w:w="3480" w:type="dxa"/>
            <w:shd w:val="clear" w:color="auto" w:fill="C6EFCE"/>
            <w:tcMar>
              <w:left w:w="108" w:type="dxa"/>
              <w:right w:w="108" w:type="dxa"/>
            </w:tcMar>
            <w:vAlign w:val="center"/>
          </w:tcPr>
          <w:p w14:paraId="5A18F988" w14:textId="77777777" w:rsidR="00E42B18" w:rsidRDefault="009629C4">
            <w:pPr>
              <w:pStyle w:val="P68B1DB1-Normal121"/>
              <w:spacing w:after="0" w:line="240" w:lineRule="auto"/>
              <w:rPr>
                <w:noProof/>
              </w:rPr>
            </w:pPr>
            <w:r>
              <w:rPr>
                <w:noProof/>
              </w:rPr>
              <w:t xml:space="preserve">Kasvipuut kaupunkien ja niiden lähialueiden viheralueiden suojeluun ja hyödyntämiseen </w:t>
            </w:r>
          </w:p>
        </w:tc>
      </w:tr>
      <w:tr w:rsidR="00E42B18" w14:paraId="0E27E8EA" w14:textId="77777777">
        <w:trPr>
          <w:trHeight w:val="300"/>
        </w:trPr>
        <w:tc>
          <w:tcPr>
            <w:tcW w:w="1140" w:type="dxa"/>
            <w:shd w:val="clear" w:color="auto" w:fill="C6EFCE"/>
            <w:tcMar>
              <w:left w:w="108" w:type="dxa"/>
              <w:right w:w="108" w:type="dxa"/>
            </w:tcMar>
            <w:vAlign w:val="center"/>
          </w:tcPr>
          <w:p w14:paraId="5A5DE6EB" w14:textId="77777777" w:rsidR="00E42B18" w:rsidRDefault="00E42B18">
            <w:pPr>
              <w:spacing w:after="0" w:line="240" w:lineRule="auto"/>
              <w:jc w:val="center"/>
              <w:rPr>
                <w:rFonts w:ascii="Times New Roman" w:eastAsia="Times New Roman" w:hAnsi="Times New Roman" w:cs="Times New Roman"/>
                <w:noProof/>
              </w:rPr>
            </w:pPr>
          </w:p>
        </w:tc>
        <w:tc>
          <w:tcPr>
            <w:tcW w:w="3628" w:type="dxa"/>
            <w:shd w:val="clear" w:color="auto" w:fill="C6EFCE"/>
            <w:tcMar>
              <w:left w:w="108" w:type="dxa"/>
              <w:right w:w="108" w:type="dxa"/>
            </w:tcMar>
            <w:vAlign w:val="center"/>
          </w:tcPr>
          <w:p w14:paraId="5F70AB7F" w14:textId="77777777" w:rsidR="00E42B18" w:rsidRDefault="009629C4">
            <w:pPr>
              <w:pStyle w:val="P68B1DB1-Normal121"/>
              <w:spacing w:after="0" w:line="240" w:lineRule="auto"/>
              <w:rPr>
                <w:noProof/>
              </w:rPr>
            </w:pPr>
            <w:r>
              <w:rPr>
                <w:noProof/>
              </w:rPr>
              <w:t xml:space="preserve"> </w:t>
            </w:r>
          </w:p>
        </w:tc>
        <w:tc>
          <w:tcPr>
            <w:tcW w:w="1110" w:type="dxa"/>
            <w:shd w:val="clear" w:color="auto" w:fill="C6EFCE"/>
            <w:tcMar>
              <w:left w:w="108" w:type="dxa"/>
              <w:right w:w="108" w:type="dxa"/>
            </w:tcMar>
            <w:vAlign w:val="center"/>
          </w:tcPr>
          <w:p w14:paraId="00701715" w14:textId="77777777" w:rsidR="00E42B18" w:rsidRDefault="009629C4">
            <w:pPr>
              <w:pStyle w:val="P68B1DB1-Normal121"/>
              <w:spacing w:after="0" w:line="240" w:lineRule="auto"/>
              <w:jc w:val="center"/>
              <w:rPr>
                <w:noProof/>
              </w:rPr>
            </w:pPr>
            <w:r>
              <w:rPr>
                <w:noProof/>
              </w:rPr>
              <w:t>Maksuerän määrä</w:t>
            </w:r>
          </w:p>
        </w:tc>
        <w:tc>
          <w:tcPr>
            <w:tcW w:w="3480" w:type="dxa"/>
            <w:shd w:val="clear" w:color="auto" w:fill="C6EFCE"/>
            <w:tcMar>
              <w:left w:w="108" w:type="dxa"/>
              <w:right w:w="108" w:type="dxa"/>
            </w:tcMar>
            <w:vAlign w:val="center"/>
          </w:tcPr>
          <w:p w14:paraId="67324257"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15715972025</w:t>
            </w:r>
            <w:r>
              <w:rPr>
                <w:noProof/>
                <w:sz w:val="23"/>
                <w:szCs w:val="23"/>
              </w:rPr>
              <w:t xml:space="preserve">  </w:t>
            </w:r>
            <w:r>
              <w:rPr>
                <w:noProof/>
                <w:color w:val="006100"/>
                <w:sz w:val="20"/>
                <w:szCs w:val="20"/>
              </w:rPr>
              <w:t>EUROA</w:t>
            </w:r>
          </w:p>
        </w:tc>
      </w:tr>
    </w:tbl>
    <w:p w14:paraId="2C1F07C4" w14:textId="77777777" w:rsidR="00E42B18" w:rsidRDefault="00E42B18">
      <w:pPr>
        <w:spacing w:after="0"/>
        <w:ind w:left="850"/>
        <w:contextualSpacing/>
        <w:jc w:val="both"/>
        <w:rPr>
          <w:rFonts w:ascii="Times New Roman" w:eastAsia="Times New Roman" w:hAnsi="Times New Roman" w:cs="Times New Roman"/>
          <w:noProof/>
        </w:rPr>
      </w:pPr>
    </w:p>
    <w:p w14:paraId="3D79AADE" w14:textId="77777777" w:rsidR="00E42B18" w:rsidRDefault="00E42B18">
      <w:pPr>
        <w:spacing w:after="0"/>
        <w:ind w:left="850"/>
        <w:contextualSpacing/>
        <w:jc w:val="both"/>
        <w:rPr>
          <w:rFonts w:ascii="Times New Roman" w:eastAsia="Times New Roman" w:hAnsi="Times New Roman" w:cs="Times New Roman"/>
          <w:noProof/>
        </w:rPr>
      </w:pPr>
    </w:p>
    <w:p w14:paraId="7F9CD71E" w14:textId="77777777" w:rsidR="00E42B18" w:rsidRDefault="00E42B18">
      <w:pPr>
        <w:spacing w:after="0"/>
        <w:ind w:left="850"/>
        <w:contextualSpacing/>
        <w:jc w:val="both"/>
        <w:rPr>
          <w:rFonts w:ascii="Times New Roman" w:eastAsia="Times New Roman" w:hAnsi="Times New Roman" w:cs="Times New Roman"/>
          <w:noProof/>
        </w:rPr>
      </w:pPr>
    </w:p>
    <w:p w14:paraId="3EF59D40" w14:textId="77777777" w:rsidR="00E42B18" w:rsidRDefault="009629C4">
      <w:pPr>
        <w:pStyle w:val="P68B1DB1-Normal8"/>
        <w:rPr>
          <w:noProof/>
        </w:rPr>
      </w:pPr>
      <w:r>
        <w:rPr>
          <w:noProof/>
        </w:rPr>
        <w:br w:type="page"/>
      </w:r>
    </w:p>
    <w:p w14:paraId="6F9E63C2" w14:textId="77777777" w:rsidR="00E42B18" w:rsidRDefault="009629C4">
      <w:pPr>
        <w:pStyle w:val="P68B1DB1-Heading34"/>
        <w:numPr>
          <w:ilvl w:val="1"/>
          <w:numId w:val="179"/>
        </w:numPr>
        <w:tabs>
          <w:tab w:val="clear" w:pos="850"/>
          <w:tab w:val="num" w:pos="1440"/>
        </w:tabs>
        <w:ind w:left="1440" w:hanging="360"/>
        <w:rPr>
          <w:noProof/>
        </w:rPr>
      </w:pPr>
      <w:r>
        <w:rPr>
          <w:noProof/>
        </w:rPr>
        <w:t>Kahdeksas erä (lainatuki):</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5"/>
        <w:gridCol w:w="3784"/>
        <w:gridCol w:w="1260"/>
        <w:gridCol w:w="2979"/>
      </w:tblGrid>
      <w:tr w:rsidR="00E42B18" w14:paraId="2053FE2E" w14:textId="77777777">
        <w:trPr>
          <w:trHeight w:val="900"/>
          <w:tblHeader/>
        </w:trPr>
        <w:tc>
          <w:tcPr>
            <w:tcW w:w="1335" w:type="dxa"/>
            <w:vMerge w:val="restart"/>
            <w:shd w:val="clear" w:color="auto" w:fill="BDD7EE"/>
            <w:tcMar>
              <w:left w:w="108" w:type="dxa"/>
              <w:right w:w="108" w:type="dxa"/>
            </w:tcMar>
            <w:vAlign w:val="center"/>
          </w:tcPr>
          <w:p w14:paraId="2A65FC91" w14:textId="77777777" w:rsidR="00E42B18" w:rsidRDefault="009629C4">
            <w:pPr>
              <w:pStyle w:val="P68B1DB1-Normal120"/>
              <w:spacing w:after="0" w:line="240" w:lineRule="auto"/>
              <w:jc w:val="center"/>
              <w:rPr>
                <w:noProof/>
              </w:rPr>
            </w:pPr>
            <w:r>
              <w:rPr>
                <w:noProof/>
              </w:rPr>
              <w:t>Juokseva numero</w:t>
            </w:r>
          </w:p>
        </w:tc>
        <w:tc>
          <w:tcPr>
            <w:tcW w:w="3784" w:type="dxa"/>
            <w:vMerge w:val="restart"/>
            <w:shd w:val="clear" w:color="auto" w:fill="BDD7EE"/>
            <w:tcMar>
              <w:left w:w="108" w:type="dxa"/>
              <w:right w:w="108" w:type="dxa"/>
            </w:tcMar>
            <w:vAlign w:val="center"/>
          </w:tcPr>
          <w:p w14:paraId="25972084" w14:textId="77777777" w:rsidR="00E42B18" w:rsidRDefault="009629C4">
            <w:pPr>
              <w:pStyle w:val="P68B1DB1-Normal120"/>
              <w:spacing w:after="0" w:line="240" w:lineRule="auto"/>
              <w:jc w:val="center"/>
              <w:rPr>
                <w:noProof/>
              </w:rPr>
            </w:pPr>
            <w:r>
              <w:rPr>
                <w:noProof/>
              </w:rPr>
              <w:t>Toimenpide (uudistus tai investointi)</w:t>
            </w:r>
          </w:p>
        </w:tc>
        <w:tc>
          <w:tcPr>
            <w:tcW w:w="1260" w:type="dxa"/>
            <w:vMerge w:val="restart"/>
            <w:shd w:val="clear" w:color="auto" w:fill="BDD7EE"/>
            <w:tcMar>
              <w:left w:w="108" w:type="dxa"/>
              <w:right w:w="108" w:type="dxa"/>
            </w:tcMar>
            <w:vAlign w:val="center"/>
          </w:tcPr>
          <w:p w14:paraId="31C739A0" w14:textId="77777777" w:rsidR="00E42B18" w:rsidRDefault="009629C4">
            <w:pPr>
              <w:pStyle w:val="P68B1DB1-Normal120"/>
              <w:spacing w:after="0" w:line="240" w:lineRule="auto"/>
              <w:jc w:val="center"/>
              <w:rPr>
                <w:noProof/>
              </w:rPr>
            </w:pPr>
            <w:r>
              <w:rPr>
                <w:noProof/>
              </w:rPr>
              <w:t>Välitavoite/tavoite</w:t>
            </w:r>
          </w:p>
        </w:tc>
        <w:tc>
          <w:tcPr>
            <w:tcW w:w="2979" w:type="dxa"/>
            <w:vMerge w:val="restart"/>
            <w:shd w:val="clear" w:color="auto" w:fill="BDD7EE"/>
            <w:tcMar>
              <w:left w:w="108" w:type="dxa"/>
              <w:right w:w="108" w:type="dxa"/>
            </w:tcMar>
            <w:vAlign w:val="center"/>
          </w:tcPr>
          <w:p w14:paraId="42FA8884" w14:textId="77777777" w:rsidR="00E42B18" w:rsidRDefault="009629C4">
            <w:pPr>
              <w:pStyle w:val="P68B1DB1-Normal120"/>
              <w:spacing w:after="0" w:line="240" w:lineRule="auto"/>
              <w:jc w:val="center"/>
              <w:rPr>
                <w:noProof/>
              </w:rPr>
            </w:pPr>
            <w:r>
              <w:rPr>
                <w:noProof/>
              </w:rPr>
              <w:t>Nimi</w:t>
            </w:r>
          </w:p>
        </w:tc>
      </w:tr>
      <w:tr w:rsidR="00E42B18" w14:paraId="5F699770" w14:textId="77777777">
        <w:trPr>
          <w:trHeight w:val="510"/>
        </w:trPr>
        <w:tc>
          <w:tcPr>
            <w:tcW w:w="1335" w:type="dxa"/>
            <w:vMerge/>
            <w:vAlign w:val="center"/>
          </w:tcPr>
          <w:p w14:paraId="514AF676" w14:textId="77777777" w:rsidR="00E42B18" w:rsidRDefault="00E42B18">
            <w:pPr>
              <w:spacing w:after="0" w:line="240" w:lineRule="auto"/>
              <w:jc w:val="center"/>
              <w:rPr>
                <w:rFonts w:ascii="Times New Roman" w:eastAsia="Times New Roman" w:hAnsi="Times New Roman" w:cs="Times New Roman"/>
                <w:noProof/>
              </w:rPr>
            </w:pPr>
          </w:p>
        </w:tc>
        <w:tc>
          <w:tcPr>
            <w:tcW w:w="3784" w:type="dxa"/>
            <w:vMerge/>
            <w:vAlign w:val="center"/>
          </w:tcPr>
          <w:p w14:paraId="43DDFF35" w14:textId="77777777" w:rsidR="00E42B18" w:rsidRDefault="00E42B18">
            <w:pPr>
              <w:spacing w:after="0" w:line="240" w:lineRule="auto"/>
              <w:rPr>
                <w:rFonts w:ascii="Times New Roman" w:eastAsia="Times New Roman" w:hAnsi="Times New Roman" w:cs="Times New Roman"/>
                <w:noProof/>
              </w:rPr>
            </w:pPr>
          </w:p>
        </w:tc>
        <w:tc>
          <w:tcPr>
            <w:tcW w:w="1260" w:type="dxa"/>
            <w:vMerge/>
            <w:vAlign w:val="center"/>
          </w:tcPr>
          <w:p w14:paraId="36947523" w14:textId="77777777" w:rsidR="00E42B18" w:rsidRDefault="00E42B18">
            <w:pPr>
              <w:spacing w:after="0" w:line="240" w:lineRule="auto"/>
              <w:jc w:val="center"/>
              <w:rPr>
                <w:rFonts w:ascii="Times New Roman" w:eastAsia="Times New Roman" w:hAnsi="Times New Roman" w:cs="Times New Roman"/>
                <w:noProof/>
              </w:rPr>
            </w:pPr>
          </w:p>
        </w:tc>
        <w:tc>
          <w:tcPr>
            <w:tcW w:w="2979" w:type="dxa"/>
            <w:vMerge/>
            <w:vAlign w:val="center"/>
          </w:tcPr>
          <w:p w14:paraId="785E943B" w14:textId="77777777" w:rsidR="00E42B18" w:rsidRDefault="00E42B18">
            <w:pPr>
              <w:spacing w:after="0" w:line="240" w:lineRule="auto"/>
              <w:rPr>
                <w:rFonts w:ascii="Times New Roman" w:eastAsia="Times New Roman" w:hAnsi="Times New Roman" w:cs="Times New Roman"/>
                <w:noProof/>
              </w:rPr>
            </w:pPr>
          </w:p>
        </w:tc>
      </w:tr>
      <w:tr w:rsidR="00E42B18" w14:paraId="7905C74B" w14:textId="77777777">
        <w:trPr>
          <w:trHeight w:val="300"/>
        </w:trPr>
        <w:tc>
          <w:tcPr>
            <w:tcW w:w="1335" w:type="dxa"/>
            <w:shd w:val="clear" w:color="auto" w:fill="C6EFCE"/>
            <w:tcMar>
              <w:left w:w="108" w:type="dxa"/>
              <w:right w:w="108" w:type="dxa"/>
            </w:tcMar>
            <w:vAlign w:val="center"/>
          </w:tcPr>
          <w:p w14:paraId="70E39534" w14:textId="77777777" w:rsidR="00E42B18" w:rsidRDefault="009629C4">
            <w:pPr>
              <w:pStyle w:val="P68B1DB1-Normal121"/>
              <w:spacing w:after="0" w:line="240" w:lineRule="auto"/>
              <w:jc w:val="center"/>
              <w:rPr>
                <w:noProof/>
              </w:rPr>
            </w:pPr>
            <w:r>
              <w:rPr>
                <w:noProof/>
              </w:rPr>
              <w:t>M7–47</w:t>
            </w:r>
          </w:p>
        </w:tc>
        <w:tc>
          <w:tcPr>
            <w:tcW w:w="3784" w:type="dxa"/>
            <w:shd w:val="clear" w:color="auto" w:fill="C6EFCE"/>
            <w:tcMar>
              <w:left w:w="108" w:type="dxa"/>
              <w:right w:w="108" w:type="dxa"/>
            </w:tcMar>
            <w:vAlign w:val="center"/>
          </w:tcPr>
          <w:p w14:paraId="65DFCCD9" w14:textId="77777777" w:rsidR="00E42B18" w:rsidRDefault="009629C4">
            <w:pPr>
              <w:pStyle w:val="P68B1DB1-Normal121"/>
              <w:spacing w:after="0" w:line="240" w:lineRule="auto"/>
              <w:rPr>
                <w:noProof/>
              </w:rPr>
            </w:pPr>
            <w:r>
              <w:rPr>
                <w:noProof/>
              </w:rPr>
              <w:t>Investointi 17: Julkisten asuinrakennusten energiaperuskorjausten rahoitusväline</w:t>
            </w:r>
          </w:p>
        </w:tc>
        <w:tc>
          <w:tcPr>
            <w:tcW w:w="1260" w:type="dxa"/>
            <w:shd w:val="clear" w:color="auto" w:fill="C6EFCE"/>
            <w:tcMar>
              <w:left w:w="108" w:type="dxa"/>
              <w:right w:w="108" w:type="dxa"/>
            </w:tcMar>
            <w:vAlign w:val="center"/>
          </w:tcPr>
          <w:p w14:paraId="55C27C78" w14:textId="77777777" w:rsidR="00E42B18" w:rsidRDefault="009629C4">
            <w:pPr>
              <w:pStyle w:val="P68B1DB1-Normal121"/>
              <w:spacing w:after="0" w:line="240" w:lineRule="auto"/>
              <w:jc w:val="center"/>
              <w:rPr>
                <w:noProof/>
              </w:rPr>
            </w:pPr>
            <w:r>
              <w:rPr>
                <w:noProof/>
              </w:rPr>
              <w:t>Virstanpylväs</w:t>
            </w:r>
          </w:p>
        </w:tc>
        <w:tc>
          <w:tcPr>
            <w:tcW w:w="2979" w:type="dxa"/>
            <w:shd w:val="clear" w:color="auto" w:fill="C6EFCE"/>
            <w:tcMar>
              <w:left w:w="108" w:type="dxa"/>
              <w:right w:w="108" w:type="dxa"/>
            </w:tcMar>
            <w:vAlign w:val="center"/>
          </w:tcPr>
          <w:p w14:paraId="212DE70E" w14:textId="77777777" w:rsidR="00E42B18" w:rsidRDefault="009629C4">
            <w:pPr>
              <w:pStyle w:val="P68B1DB1-Normal121"/>
              <w:spacing w:after="0" w:line="240" w:lineRule="auto"/>
              <w:rPr>
                <w:noProof/>
              </w:rPr>
            </w:pPr>
            <w:r>
              <w:rPr>
                <w:noProof/>
              </w:rPr>
              <w:t>Täytäntöönpanosopimus</w:t>
            </w:r>
          </w:p>
        </w:tc>
      </w:tr>
      <w:tr w:rsidR="00E42B18" w14:paraId="407DF1B6" w14:textId="77777777">
        <w:trPr>
          <w:trHeight w:val="300"/>
        </w:trPr>
        <w:tc>
          <w:tcPr>
            <w:tcW w:w="1335" w:type="dxa"/>
            <w:shd w:val="clear" w:color="auto" w:fill="C6EFCE"/>
            <w:tcMar>
              <w:left w:w="108" w:type="dxa"/>
              <w:right w:w="108" w:type="dxa"/>
            </w:tcMar>
            <w:vAlign w:val="center"/>
          </w:tcPr>
          <w:p w14:paraId="6DBB85D3" w14:textId="77777777" w:rsidR="00E42B18" w:rsidRDefault="009629C4">
            <w:pPr>
              <w:pStyle w:val="P68B1DB1-Normal121"/>
              <w:spacing w:after="0" w:line="240" w:lineRule="auto"/>
              <w:jc w:val="center"/>
              <w:rPr>
                <w:noProof/>
              </w:rPr>
            </w:pPr>
            <w:r>
              <w:rPr>
                <w:noProof/>
              </w:rPr>
              <w:t>M7–48</w:t>
            </w:r>
          </w:p>
        </w:tc>
        <w:tc>
          <w:tcPr>
            <w:tcW w:w="3784" w:type="dxa"/>
            <w:shd w:val="clear" w:color="auto" w:fill="C6EFCE"/>
            <w:tcMar>
              <w:left w:w="108" w:type="dxa"/>
              <w:right w:w="108" w:type="dxa"/>
            </w:tcMar>
            <w:vAlign w:val="center"/>
          </w:tcPr>
          <w:p w14:paraId="4E09D9FA" w14:textId="77777777" w:rsidR="00E42B18" w:rsidRDefault="009629C4">
            <w:pPr>
              <w:pStyle w:val="P68B1DB1-Normal121"/>
              <w:spacing w:after="0" w:line="240" w:lineRule="auto"/>
              <w:rPr>
                <w:noProof/>
              </w:rPr>
            </w:pPr>
            <w:r>
              <w:rPr>
                <w:noProof/>
              </w:rPr>
              <w:t>Investointi 17: Julkisten asuinrakennusten energiaperuskorjausten rahoitusväline</w:t>
            </w:r>
          </w:p>
        </w:tc>
        <w:tc>
          <w:tcPr>
            <w:tcW w:w="1260" w:type="dxa"/>
            <w:shd w:val="clear" w:color="auto" w:fill="C6EFCE"/>
            <w:tcMar>
              <w:left w:w="108" w:type="dxa"/>
              <w:right w:w="108" w:type="dxa"/>
            </w:tcMar>
            <w:vAlign w:val="center"/>
          </w:tcPr>
          <w:p w14:paraId="6AFC1C11" w14:textId="77777777" w:rsidR="00E42B18" w:rsidRDefault="009629C4">
            <w:pPr>
              <w:pStyle w:val="P68B1DB1-Normal121"/>
              <w:spacing w:after="0" w:line="240" w:lineRule="auto"/>
              <w:jc w:val="center"/>
              <w:rPr>
                <w:noProof/>
              </w:rPr>
            </w:pPr>
            <w:r>
              <w:rPr>
                <w:noProof/>
              </w:rPr>
              <w:t>Virstanpylväs</w:t>
            </w:r>
          </w:p>
        </w:tc>
        <w:tc>
          <w:tcPr>
            <w:tcW w:w="2979" w:type="dxa"/>
            <w:shd w:val="clear" w:color="auto" w:fill="C6EFCE"/>
            <w:tcMar>
              <w:left w:w="108" w:type="dxa"/>
              <w:right w:w="108" w:type="dxa"/>
            </w:tcMar>
            <w:vAlign w:val="center"/>
          </w:tcPr>
          <w:p w14:paraId="64CDA69E" w14:textId="77777777" w:rsidR="00E42B18" w:rsidRDefault="009629C4">
            <w:pPr>
              <w:pStyle w:val="P68B1DB1-Normal121"/>
              <w:spacing w:after="0" w:line="240" w:lineRule="auto"/>
              <w:rPr>
                <w:noProof/>
              </w:rPr>
            </w:pPr>
            <w:r>
              <w:rPr>
                <w:noProof/>
              </w:rPr>
              <w:t>Ministeriö on saattanut investoinnin päätökseen</w:t>
            </w:r>
          </w:p>
        </w:tc>
      </w:tr>
      <w:tr w:rsidR="00E42B18" w14:paraId="5EB47AEC" w14:textId="77777777">
        <w:trPr>
          <w:trHeight w:val="300"/>
        </w:trPr>
        <w:tc>
          <w:tcPr>
            <w:tcW w:w="1335" w:type="dxa"/>
            <w:shd w:val="clear" w:color="auto" w:fill="C6EFCE"/>
            <w:tcMar>
              <w:left w:w="108" w:type="dxa"/>
              <w:right w:w="108" w:type="dxa"/>
            </w:tcMar>
            <w:vAlign w:val="center"/>
          </w:tcPr>
          <w:p w14:paraId="3AAEA5B0" w14:textId="77777777" w:rsidR="00E42B18" w:rsidRDefault="009629C4">
            <w:pPr>
              <w:pStyle w:val="P68B1DB1-Normal121"/>
              <w:spacing w:after="0" w:line="240" w:lineRule="auto"/>
              <w:jc w:val="center"/>
              <w:rPr>
                <w:noProof/>
              </w:rPr>
            </w:pPr>
            <w:r>
              <w:rPr>
                <w:noProof/>
              </w:rPr>
              <w:t>M1C1–146</w:t>
            </w:r>
          </w:p>
        </w:tc>
        <w:tc>
          <w:tcPr>
            <w:tcW w:w="3784" w:type="dxa"/>
            <w:shd w:val="clear" w:color="auto" w:fill="C6EFCE"/>
            <w:tcMar>
              <w:left w:w="108" w:type="dxa"/>
              <w:right w:w="108" w:type="dxa"/>
            </w:tcMar>
            <w:vAlign w:val="center"/>
          </w:tcPr>
          <w:p w14:paraId="59173138" w14:textId="77777777" w:rsidR="00E42B18" w:rsidRDefault="009629C4">
            <w:pPr>
              <w:pStyle w:val="P68B1DB1-Normal121"/>
              <w:spacing w:after="0" w:line="240" w:lineRule="auto"/>
              <w:rPr>
                <w:noProof/>
              </w:rPr>
            </w:pPr>
            <w:r>
              <w:rPr>
                <w:noProof/>
              </w:rPr>
              <w:t>Investointi 1.4.4 – Kansallisten digitaalisen identiteetin alustojen (SPID, CIE) ja kansallisen rekisterin (ANPR) käyttöönotto</w:t>
            </w:r>
          </w:p>
        </w:tc>
        <w:tc>
          <w:tcPr>
            <w:tcW w:w="1260" w:type="dxa"/>
            <w:shd w:val="clear" w:color="auto" w:fill="C6EFCE"/>
            <w:tcMar>
              <w:left w:w="108" w:type="dxa"/>
              <w:right w:w="108" w:type="dxa"/>
            </w:tcMar>
            <w:vAlign w:val="center"/>
          </w:tcPr>
          <w:p w14:paraId="69C81AD7" w14:textId="77777777" w:rsidR="00E42B18" w:rsidRDefault="009629C4">
            <w:pPr>
              <w:pStyle w:val="P68B1DB1-Normal121"/>
              <w:spacing w:after="0" w:line="240" w:lineRule="auto"/>
              <w:jc w:val="center"/>
              <w:rPr>
                <w:noProof/>
              </w:rPr>
            </w:pPr>
            <w:r>
              <w:rPr>
                <w:noProof/>
              </w:rPr>
              <w:t>Kohde</w:t>
            </w:r>
          </w:p>
        </w:tc>
        <w:tc>
          <w:tcPr>
            <w:tcW w:w="2979" w:type="dxa"/>
            <w:shd w:val="clear" w:color="auto" w:fill="C6EFCE"/>
            <w:tcMar>
              <w:left w:w="108" w:type="dxa"/>
              <w:right w:w="108" w:type="dxa"/>
            </w:tcMar>
            <w:vAlign w:val="center"/>
          </w:tcPr>
          <w:p w14:paraId="3CBAA0B8" w14:textId="77777777" w:rsidR="00E42B18" w:rsidRDefault="009629C4">
            <w:pPr>
              <w:pStyle w:val="P68B1DB1-Normal121"/>
              <w:spacing w:after="0" w:line="240" w:lineRule="auto"/>
              <w:rPr>
                <w:noProof/>
              </w:rPr>
            </w:pPr>
            <w:r>
              <w:rPr>
                <w:noProof/>
              </w:rPr>
              <w:t>Kansallinen digitaalisen identiteetin alusta (CIE)</w:t>
            </w:r>
          </w:p>
        </w:tc>
      </w:tr>
      <w:tr w:rsidR="00E42B18" w14:paraId="2918C631" w14:textId="77777777">
        <w:trPr>
          <w:trHeight w:val="300"/>
        </w:trPr>
        <w:tc>
          <w:tcPr>
            <w:tcW w:w="1335" w:type="dxa"/>
            <w:shd w:val="clear" w:color="auto" w:fill="C6EFCE"/>
            <w:tcMar>
              <w:left w:w="108" w:type="dxa"/>
              <w:right w:w="108" w:type="dxa"/>
            </w:tcMar>
            <w:vAlign w:val="center"/>
          </w:tcPr>
          <w:p w14:paraId="4CDCA5E5" w14:textId="77777777" w:rsidR="00E42B18" w:rsidRDefault="009629C4">
            <w:pPr>
              <w:pStyle w:val="P68B1DB1-Normal121"/>
              <w:spacing w:after="0" w:line="240" w:lineRule="auto"/>
              <w:jc w:val="center"/>
              <w:rPr>
                <w:noProof/>
              </w:rPr>
            </w:pPr>
            <w:r>
              <w:rPr>
                <w:noProof/>
              </w:rPr>
              <w:t>M1C3–16</w:t>
            </w:r>
          </w:p>
        </w:tc>
        <w:tc>
          <w:tcPr>
            <w:tcW w:w="3784" w:type="dxa"/>
            <w:shd w:val="clear" w:color="auto" w:fill="C6EFCE"/>
            <w:tcMar>
              <w:left w:w="108" w:type="dxa"/>
              <w:right w:w="108" w:type="dxa"/>
            </w:tcMar>
            <w:vAlign w:val="center"/>
          </w:tcPr>
          <w:p w14:paraId="47D52D30" w14:textId="77777777" w:rsidR="00E42B18" w:rsidRDefault="009629C4">
            <w:pPr>
              <w:pStyle w:val="P68B1DB1-Normal121"/>
              <w:spacing w:after="0" w:line="240" w:lineRule="auto"/>
              <w:rPr>
                <w:noProof/>
              </w:rPr>
            </w:pPr>
            <w:r>
              <w:rPr>
                <w:noProof/>
              </w:rPr>
              <w:t>Investoinnit – 2.1 Pienten historiallisten kaupunkien houkuttelevuus</w:t>
            </w:r>
          </w:p>
        </w:tc>
        <w:tc>
          <w:tcPr>
            <w:tcW w:w="1260" w:type="dxa"/>
            <w:shd w:val="clear" w:color="auto" w:fill="C6EFCE"/>
            <w:tcMar>
              <w:left w:w="108" w:type="dxa"/>
              <w:right w:w="108" w:type="dxa"/>
            </w:tcMar>
            <w:vAlign w:val="center"/>
          </w:tcPr>
          <w:p w14:paraId="583372F6" w14:textId="77777777" w:rsidR="00E42B18" w:rsidRDefault="009629C4">
            <w:pPr>
              <w:pStyle w:val="P68B1DB1-Normal121"/>
              <w:spacing w:after="0" w:line="240" w:lineRule="auto"/>
              <w:jc w:val="center"/>
              <w:rPr>
                <w:noProof/>
              </w:rPr>
            </w:pPr>
            <w:r>
              <w:rPr>
                <w:noProof/>
              </w:rPr>
              <w:t>Virstanpylväs</w:t>
            </w:r>
          </w:p>
        </w:tc>
        <w:tc>
          <w:tcPr>
            <w:tcW w:w="2979" w:type="dxa"/>
            <w:shd w:val="clear" w:color="auto" w:fill="C6EFCE"/>
            <w:tcMar>
              <w:left w:w="108" w:type="dxa"/>
              <w:right w:w="108" w:type="dxa"/>
            </w:tcMar>
            <w:vAlign w:val="center"/>
          </w:tcPr>
          <w:p w14:paraId="48CE301E" w14:textId="77777777" w:rsidR="00E42B18" w:rsidRDefault="009629C4">
            <w:pPr>
              <w:pStyle w:val="P68B1DB1-Normal121"/>
              <w:spacing w:after="0" w:line="240" w:lineRule="auto"/>
              <w:rPr>
                <w:noProof/>
              </w:rPr>
            </w:pPr>
            <w:r>
              <w:rPr>
                <w:noProof/>
              </w:rPr>
              <w:t>Pienten historiallisten kaupunkien tukemien yritysten listaamista koskevan asetuksen hyväksyminen</w:t>
            </w:r>
          </w:p>
        </w:tc>
      </w:tr>
      <w:tr w:rsidR="00E42B18" w14:paraId="6C99B528" w14:textId="77777777">
        <w:trPr>
          <w:trHeight w:val="300"/>
        </w:trPr>
        <w:tc>
          <w:tcPr>
            <w:tcW w:w="1335" w:type="dxa"/>
            <w:shd w:val="clear" w:color="auto" w:fill="C6EFCE"/>
            <w:tcMar>
              <w:left w:w="108" w:type="dxa"/>
              <w:right w:w="108" w:type="dxa"/>
            </w:tcMar>
            <w:vAlign w:val="center"/>
          </w:tcPr>
          <w:p w14:paraId="367810BB" w14:textId="77777777" w:rsidR="00E42B18" w:rsidRDefault="009629C4">
            <w:pPr>
              <w:pStyle w:val="P68B1DB1-Normal121"/>
              <w:spacing w:after="0" w:line="240" w:lineRule="auto"/>
              <w:jc w:val="center"/>
              <w:rPr>
                <w:noProof/>
              </w:rPr>
            </w:pPr>
            <w:r>
              <w:rPr>
                <w:noProof/>
              </w:rPr>
              <w:t>M2C4–9</w:t>
            </w:r>
          </w:p>
        </w:tc>
        <w:tc>
          <w:tcPr>
            <w:tcW w:w="3784" w:type="dxa"/>
            <w:shd w:val="clear" w:color="auto" w:fill="C6EFCE"/>
            <w:tcMar>
              <w:left w:w="108" w:type="dxa"/>
              <w:right w:w="108" w:type="dxa"/>
            </w:tcMar>
            <w:vAlign w:val="center"/>
          </w:tcPr>
          <w:p w14:paraId="3726A1FD" w14:textId="77777777" w:rsidR="00E42B18" w:rsidRDefault="009629C4">
            <w:pPr>
              <w:pStyle w:val="P68B1DB1-Normal121"/>
              <w:spacing w:after="0" w:line="240" w:lineRule="auto"/>
              <w:rPr>
                <w:noProof/>
              </w:rPr>
            </w:pPr>
            <w:r>
              <w:rPr>
                <w:noProof/>
              </w:rPr>
              <w:t>Investointi 1.1. Kehittyneen ja integroidun seuranta- ja ennustejärjestelmän täytäntöönpano</w:t>
            </w:r>
          </w:p>
        </w:tc>
        <w:tc>
          <w:tcPr>
            <w:tcW w:w="1260" w:type="dxa"/>
            <w:shd w:val="clear" w:color="auto" w:fill="C6EFCE"/>
            <w:tcMar>
              <w:left w:w="108" w:type="dxa"/>
              <w:right w:w="108" w:type="dxa"/>
            </w:tcMar>
            <w:vAlign w:val="center"/>
          </w:tcPr>
          <w:p w14:paraId="60212865" w14:textId="77777777" w:rsidR="00E42B18" w:rsidRDefault="009629C4">
            <w:pPr>
              <w:pStyle w:val="P68B1DB1-Normal121"/>
              <w:spacing w:after="0" w:line="240" w:lineRule="auto"/>
              <w:jc w:val="center"/>
              <w:rPr>
                <w:noProof/>
              </w:rPr>
            </w:pPr>
            <w:r>
              <w:rPr>
                <w:noProof/>
              </w:rPr>
              <w:t>Virstanpylväs</w:t>
            </w:r>
          </w:p>
        </w:tc>
        <w:tc>
          <w:tcPr>
            <w:tcW w:w="2979" w:type="dxa"/>
            <w:shd w:val="clear" w:color="auto" w:fill="C6EFCE"/>
            <w:tcMar>
              <w:left w:w="108" w:type="dxa"/>
              <w:right w:w="108" w:type="dxa"/>
            </w:tcMar>
            <w:vAlign w:val="center"/>
          </w:tcPr>
          <w:p w14:paraId="7317A173" w14:textId="77777777" w:rsidR="00E42B18" w:rsidRDefault="009629C4">
            <w:pPr>
              <w:pStyle w:val="P68B1DB1-Normal121"/>
              <w:spacing w:after="0" w:line="240" w:lineRule="auto"/>
              <w:rPr>
                <w:noProof/>
              </w:rPr>
            </w:pPr>
            <w:r>
              <w:rPr>
                <w:noProof/>
              </w:rPr>
              <w:t xml:space="preserve">Seuranta- ja ennustejärjestelmä on käytettävissä  </w:t>
            </w:r>
          </w:p>
        </w:tc>
      </w:tr>
      <w:tr w:rsidR="00E42B18" w14:paraId="580B8559" w14:textId="77777777">
        <w:trPr>
          <w:trHeight w:val="300"/>
        </w:trPr>
        <w:tc>
          <w:tcPr>
            <w:tcW w:w="1335" w:type="dxa"/>
            <w:shd w:val="clear" w:color="auto" w:fill="C6EFCE"/>
            <w:tcMar>
              <w:left w:w="108" w:type="dxa"/>
              <w:right w:w="108" w:type="dxa"/>
            </w:tcMar>
            <w:vAlign w:val="center"/>
          </w:tcPr>
          <w:p w14:paraId="5FC7AD73" w14:textId="77777777" w:rsidR="00E42B18" w:rsidRDefault="009629C4">
            <w:pPr>
              <w:pStyle w:val="P68B1DB1-Normal121"/>
              <w:spacing w:after="0" w:line="240" w:lineRule="auto"/>
              <w:jc w:val="center"/>
              <w:rPr>
                <w:noProof/>
              </w:rPr>
            </w:pPr>
            <w:r>
              <w:rPr>
                <w:noProof/>
              </w:rPr>
              <w:t>M2C4–26</w:t>
            </w:r>
          </w:p>
        </w:tc>
        <w:tc>
          <w:tcPr>
            <w:tcW w:w="3784" w:type="dxa"/>
            <w:shd w:val="clear" w:color="auto" w:fill="C6EFCE"/>
            <w:tcMar>
              <w:left w:w="108" w:type="dxa"/>
              <w:right w:w="108" w:type="dxa"/>
            </w:tcMar>
            <w:vAlign w:val="center"/>
          </w:tcPr>
          <w:p w14:paraId="0A56009A" w14:textId="77777777" w:rsidR="00E42B18" w:rsidRDefault="009629C4">
            <w:pPr>
              <w:pStyle w:val="P68B1DB1-Normal121"/>
              <w:spacing w:after="0" w:line="240" w:lineRule="auto"/>
              <w:rPr>
                <w:noProof/>
              </w:rPr>
            </w:pPr>
            <w:r>
              <w:rPr>
                <w:noProof/>
              </w:rPr>
              <w:t>Investointi 3.5. Merenpohjan ja merellisten luontotyyppien ennallistaminen ja suojelu</w:t>
            </w:r>
          </w:p>
        </w:tc>
        <w:tc>
          <w:tcPr>
            <w:tcW w:w="1260" w:type="dxa"/>
            <w:shd w:val="clear" w:color="auto" w:fill="C6EFCE"/>
            <w:tcMar>
              <w:left w:w="108" w:type="dxa"/>
              <w:right w:w="108" w:type="dxa"/>
            </w:tcMar>
            <w:vAlign w:val="center"/>
          </w:tcPr>
          <w:p w14:paraId="2061D609" w14:textId="77777777" w:rsidR="00E42B18" w:rsidRDefault="009629C4">
            <w:pPr>
              <w:pStyle w:val="P68B1DB1-Normal121"/>
              <w:spacing w:after="0" w:line="240" w:lineRule="auto"/>
              <w:jc w:val="center"/>
              <w:rPr>
                <w:noProof/>
              </w:rPr>
            </w:pPr>
            <w:r>
              <w:rPr>
                <w:noProof/>
              </w:rPr>
              <w:t>Kohde</w:t>
            </w:r>
          </w:p>
        </w:tc>
        <w:tc>
          <w:tcPr>
            <w:tcW w:w="2979" w:type="dxa"/>
            <w:shd w:val="clear" w:color="auto" w:fill="C6EFCE"/>
            <w:tcMar>
              <w:left w:w="108" w:type="dxa"/>
              <w:right w:w="108" w:type="dxa"/>
            </w:tcMar>
            <w:vAlign w:val="center"/>
          </w:tcPr>
          <w:p w14:paraId="645CD2B0" w14:textId="77777777" w:rsidR="00E42B18" w:rsidRDefault="009629C4">
            <w:pPr>
              <w:pStyle w:val="P68B1DB1-Normal121"/>
              <w:spacing w:after="0" w:line="240" w:lineRule="auto"/>
              <w:rPr>
                <w:noProof/>
              </w:rPr>
            </w:pPr>
            <w:r>
              <w:rPr>
                <w:noProof/>
              </w:rPr>
              <w:t xml:space="preserve">Merenpohjan ja merellisten luontotyyppien ennallistaminen ja suojelu </w:t>
            </w:r>
          </w:p>
        </w:tc>
      </w:tr>
      <w:tr w:rsidR="00E42B18" w14:paraId="5D709545" w14:textId="77777777">
        <w:trPr>
          <w:trHeight w:val="300"/>
        </w:trPr>
        <w:tc>
          <w:tcPr>
            <w:tcW w:w="1335" w:type="dxa"/>
            <w:shd w:val="clear" w:color="auto" w:fill="C6EFCE"/>
            <w:tcMar>
              <w:left w:w="108" w:type="dxa"/>
              <w:right w:w="108" w:type="dxa"/>
            </w:tcMar>
            <w:vAlign w:val="center"/>
          </w:tcPr>
          <w:p w14:paraId="4D079840" w14:textId="77777777" w:rsidR="00E42B18" w:rsidRDefault="009629C4">
            <w:pPr>
              <w:pStyle w:val="P68B1DB1-Normal121"/>
              <w:spacing w:after="0" w:line="240" w:lineRule="auto"/>
              <w:jc w:val="center"/>
              <w:rPr>
                <w:noProof/>
              </w:rPr>
            </w:pPr>
            <w:r>
              <w:rPr>
                <w:noProof/>
              </w:rPr>
              <w:t>M4C2–6</w:t>
            </w:r>
          </w:p>
        </w:tc>
        <w:tc>
          <w:tcPr>
            <w:tcW w:w="3784" w:type="dxa"/>
            <w:shd w:val="clear" w:color="auto" w:fill="C6EFCE"/>
            <w:tcMar>
              <w:left w:w="108" w:type="dxa"/>
              <w:right w:w="108" w:type="dxa"/>
            </w:tcMar>
            <w:vAlign w:val="center"/>
          </w:tcPr>
          <w:p w14:paraId="37689ED3" w14:textId="77777777" w:rsidR="00E42B18" w:rsidRDefault="009629C4">
            <w:pPr>
              <w:pStyle w:val="P68B1DB1-Normal121"/>
              <w:spacing w:after="0" w:line="240" w:lineRule="auto"/>
              <w:rPr>
                <w:noProof/>
              </w:rPr>
            </w:pPr>
            <w:r>
              <w:rPr>
                <w:noProof/>
              </w:rPr>
              <w:t>Investointi 1.1: Kansallista etua koskevat tutkimushankkeet (PRIN)</w:t>
            </w:r>
          </w:p>
        </w:tc>
        <w:tc>
          <w:tcPr>
            <w:tcW w:w="1260" w:type="dxa"/>
            <w:shd w:val="clear" w:color="auto" w:fill="C6EFCE"/>
            <w:tcMar>
              <w:left w:w="108" w:type="dxa"/>
              <w:right w:w="108" w:type="dxa"/>
            </w:tcMar>
            <w:vAlign w:val="center"/>
          </w:tcPr>
          <w:p w14:paraId="43A1DABF" w14:textId="77777777" w:rsidR="00E42B18" w:rsidRDefault="009629C4">
            <w:pPr>
              <w:pStyle w:val="P68B1DB1-Normal121"/>
              <w:spacing w:after="0" w:line="240" w:lineRule="auto"/>
              <w:jc w:val="center"/>
              <w:rPr>
                <w:noProof/>
              </w:rPr>
            </w:pPr>
            <w:r>
              <w:rPr>
                <w:noProof/>
              </w:rPr>
              <w:t>Virstanpylväs</w:t>
            </w:r>
          </w:p>
        </w:tc>
        <w:tc>
          <w:tcPr>
            <w:tcW w:w="2979" w:type="dxa"/>
            <w:shd w:val="clear" w:color="auto" w:fill="C6EFCE"/>
            <w:tcMar>
              <w:left w:w="108" w:type="dxa"/>
              <w:right w:w="108" w:type="dxa"/>
            </w:tcMar>
            <w:vAlign w:val="center"/>
          </w:tcPr>
          <w:p w14:paraId="33519FEA" w14:textId="77777777" w:rsidR="00E42B18" w:rsidRDefault="009629C4">
            <w:pPr>
              <w:pStyle w:val="P68B1DB1-Normal121"/>
              <w:spacing w:after="0" w:line="240" w:lineRule="auto"/>
              <w:rPr>
                <w:noProof/>
              </w:rPr>
            </w:pPr>
            <w:r>
              <w:rPr>
                <w:noProof/>
              </w:rPr>
              <w:t xml:space="preserve">Hankkeiden hyväksymispäätöksen (myöntävien päätösten) julkaiseminen </w:t>
            </w:r>
          </w:p>
        </w:tc>
      </w:tr>
      <w:tr w:rsidR="00E42B18" w14:paraId="1DD089AA" w14:textId="77777777">
        <w:trPr>
          <w:trHeight w:val="300"/>
        </w:trPr>
        <w:tc>
          <w:tcPr>
            <w:tcW w:w="1335" w:type="dxa"/>
            <w:shd w:val="clear" w:color="auto" w:fill="C6EFCE"/>
            <w:tcMar>
              <w:left w:w="108" w:type="dxa"/>
              <w:right w:w="108" w:type="dxa"/>
            </w:tcMar>
            <w:vAlign w:val="center"/>
          </w:tcPr>
          <w:p w14:paraId="431B59EC" w14:textId="77777777" w:rsidR="00E42B18" w:rsidRDefault="009629C4">
            <w:pPr>
              <w:pStyle w:val="P68B1DB1-Normal121"/>
              <w:spacing w:after="0" w:line="240" w:lineRule="auto"/>
              <w:jc w:val="center"/>
              <w:rPr>
                <w:noProof/>
              </w:rPr>
            </w:pPr>
            <w:r>
              <w:rPr>
                <w:noProof/>
              </w:rPr>
              <w:t>M4C2–7</w:t>
            </w:r>
          </w:p>
        </w:tc>
        <w:tc>
          <w:tcPr>
            <w:tcW w:w="3784" w:type="dxa"/>
            <w:shd w:val="clear" w:color="auto" w:fill="C6EFCE"/>
            <w:tcMar>
              <w:left w:w="108" w:type="dxa"/>
              <w:right w:w="108" w:type="dxa"/>
            </w:tcMar>
            <w:vAlign w:val="center"/>
          </w:tcPr>
          <w:p w14:paraId="0B55951E" w14:textId="77777777" w:rsidR="00E42B18" w:rsidRDefault="009629C4">
            <w:pPr>
              <w:pStyle w:val="P68B1DB1-Normal121"/>
              <w:spacing w:after="0" w:line="240" w:lineRule="auto"/>
              <w:rPr>
                <w:noProof/>
              </w:rPr>
            </w:pPr>
            <w:r>
              <w:rPr>
                <w:noProof/>
              </w:rPr>
              <w:t>Investointi 1.1: Kansallista etua koskevat tutkimushankkeet (PRIN)</w:t>
            </w:r>
          </w:p>
        </w:tc>
        <w:tc>
          <w:tcPr>
            <w:tcW w:w="1260" w:type="dxa"/>
            <w:shd w:val="clear" w:color="auto" w:fill="C6EFCE"/>
            <w:tcMar>
              <w:left w:w="108" w:type="dxa"/>
              <w:right w:w="108" w:type="dxa"/>
            </w:tcMar>
            <w:vAlign w:val="center"/>
          </w:tcPr>
          <w:p w14:paraId="6D466654" w14:textId="77777777" w:rsidR="00E42B18" w:rsidRDefault="009629C4">
            <w:pPr>
              <w:pStyle w:val="P68B1DB1-Normal121"/>
              <w:spacing w:after="0" w:line="240" w:lineRule="auto"/>
              <w:jc w:val="center"/>
              <w:rPr>
                <w:noProof/>
              </w:rPr>
            </w:pPr>
            <w:r>
              <w:rPr>
                <w:noProof/>
              </w:rPr>
              <w:t>Kohde</w:t>
            </w:r>
          </w:p>
        </w:tc>
        <w:tc>
          <w:tcPr>
            <w:tcW w:w="2979" w:type="dxa"/>
            <w:shd w:val="clear" w:color="auto" w:fill="C6EFCE"/>
            <w:tcMar>
              <w:left w:w="108" w:type="dxa"/>
              <w:right w:w="108" w:type="dxa"/>
            </w:tcMar>
            <w:vAlign w:val="center"/>
          </w:tcPr>
          <w:p w14:paraId="40D09AD4" w14:textId="4BABE478" w:rsidR="00E42B18" w:rsidRDefault="009629C4">
            <w:pPr>
              <w:pStyle w:val="P68B1DB1-Normal121"/>
              <w:spacing w:after="0" w:line="240" w:lineRule="auto"/>
              <w:rPr>
                <w:noProof/>
              </w:rPr>
            </w:pPr>
            <w:r>
              <w:rPr>
                <w:noProof/>
              </w:rPr>
              <w:t>Palvelukseen otettujen määräaikaisten tutkijoiden lukumäärä</w:t>
            </w:r>
          </w:p>
        </w:tc>
      </w:tr>
      <w:tr w:rsidR="00E42B18" w14:paraId="0B53CCBC" w14:textId="77777777">
        <w:trPr>
          <w:trHeight w:val="300"/>
        </w:trPr>
        <w:tc>
          <w:tcPr>
            <w:tcW w:w="1335" w:type="dxa"/>
            <w:shd w:val="clear" w:color="auto" w:fill="C6EFCE"/>
            <w:tcMar>
              <w:left w:w="108" w:type="dxa"/>
              <w:right w:w="108" w:type="dxa"/>
            </w:tcMar>
            <w:vAlign w:val="center"/>
          </w:tcPr>
          <w:p w14:paraId="643DFFA5" w14:textId="77777777" w:rsidR="00E42B18" w:rsidRDefault="009629C4">
            <w:pPr>
              <w:pStyle w:val="P68B1DB1-Normal121"/>
              <w:spacing w:after="0" w:line="240" w:lineRule="auto"/>
              <w:jc w:val="center"/>
              <w:rPr>
                <w:noProof/>
              </w:rPr>
            </w:pPr>
            <w:r>
              <w:rPr>
                <w:noProof/>
              </w:rPr>
              <w:t>M4C2–8</w:t>
            </w:r>
          </w:p>
        </w:tc>
        <w:tc>
          <w:tcPr>
            <w:tcW w:w="3784" w:type="dxa"/>
            <w:shd w:val="clear" w:color="auto" w:fill="C6EFCE"/>
            <w:tcMar>
              <w:left w:w="108" w:type="dxa"/>
              <w:right w:w="108" w:type="dxa"/>
            </w:tcMar>
            <w:vAlign w:val="center"/>
          </w:tcPr>
          <w:p w14:paraId="39854252" w14:textId="77777777" w:rsidR="00E42B18" w:rsidRDefault="009629C4">
            <w:pPr>
              <w:pStyle w:val="P68B1DB1-Normal121"/>
              <w:spacing w:after="0" w:line="240" w:lineRule="auto"/>
              <w:rPr>
                <w:noProof/>
              </w:rPr>
            </w:pPr>
            <w:r>
              <w:rPr>
                <w:noProof/>
              </w:rPr>
              <w:t>Investointi 1.3: Yliopistoihin, tutkimuskeskuksiin, yrityksiin ja perustutkimushankkeiden rahoitukseen liittyvät kumppanuudet</w:t>
            </w:r>
          </w:p>
        </w:tc>
        <w:tc>
          <w:tcPr>
            <w:tcW w:w="1260" w:type="dxa"/>
            <w:shd w:val="clear" w:color="auto" w:fill="C6EFCE"/>
            <w:tcMar>
              <w:left w:w="108" w:type="dxa"/>
              <w:right w:w="108" w:type="dxa"/>
            </w:tcMar>
            <w:vAlign w:val="center"/>
          </w:tcPr>
          <w:p w14:paraId="484E1469" w14:textId="77777777" w:rsidR="00E42B18" w:rsidRDefault="009629C4">
            <w:pPr>
              <w:pStyle w:val="P68B1DB1-Normal121"/>
              <w:spacing w:after="0" w:line="240" w:lineRule="auto"/>
              <w:jc w:val="center"/>
              <w:rPr>
                <w:noProof/>
              </w:rPr>
            </w:pPr>
            <w:r>
              <w:rPr>
                <w:noProof/>
              </w:rPr>
              <w:t>Kohde</w:t>
            </w:r>
          </w:p>
        </w:tc>
        <w:tc>
          <w:tcPr>
            <w:tcW w:w="2979" w:type="dxa"/>
            <w:shd w:val="clear" w:color="auto" w:fill="C6EFCE"/>
            <w:tcMar>
              <w:left w:w="108" w:type="dxa"/>
              <w:right w:w="108" w:type="dxa"/>
            </w:tcMar>
            <w:vAlign w:val="center"/>
          </w:tcPr>
          <w:p w14:paraId="7671EB10" w14:textId="77777777" w:rsidR="00E42B18" w:rsidRDefault="009629C4">
            <w:pPr>
              <w:pStyle w:val="P68B1DB1-Normal121"/>
              <w:spacing w:after="0" w:line="240" w:lineRule="auto"/>
              <w:rPr>
                <w:noProof/>
              </w:rPr>
            </w:pPr>
            <w:r>
              <w:rPr>
                <w:noProof/>
              </w:rPr>
              <w:t xml:space="preserve">Allekirjoitettujen tutkimuskumppanuuksien lukumäärä </w:t>
            </w:r>
          </w:p>
        </w:tc>
      </w:tr>
      <w:tr w:rsidR="00E42B18" w14:paraId="79B6E3CE" w14:textId="77777777">
        <w:trPr>
          <w:trHeight w:val="300"/>
        </w:trPr>
        <w:tc>
          <w:tcPr>
            <w:tcW w:w="1335" w:type="dxa"/>
            <w:shd w:val="clear" w:color="auto" w:fill="C6EFCE"/>
            <w:tcMar>
              <w:left w:w="108" w:type="dxa"/>
              <w:right w:w="108" w:type="dxa"/>
            </w:tcMar>
            <w:vAlign w:val="center"/>
          </w:tcPr>
          <w:p w14:paraId="28E20EF5" w14:textId="77777777" w:rsidR="00E42B18" w:rsidRDefault="009629C4">
            <w:pPr>
              <w:pStyle w:val="P68B1DB1-Normal121"/>
              <w:spacing w:after="0" w:line="240" w:lineRule="auto"/>
              <w:jc w:val="center"/>
              <w:rPr>
                <w:noProof/>
              </w:rPr>
            </w:pPr>
            <w:r>
              <w:rPr>
                <w:noProof/>
              </w:rPr>
              <w:t>M4C2–22</w:t>
            </w:r>
          </w:p>
        </w:tc>
        <w:tc>
          <w:tcPr>
            <w:tcW w:w="3784" w:type="dxa"/>
            <w:shd w:val="clear" w:color="auto" w:fill="C6EFCE"/>
            <w:tcMar>
              <w:left w:w="108" w:type="dxa"/>
              <w:right w:w="108" w:type="dxa"/>
            </w:tcMar>
            <w:vAlign w:val="center"/>
          </w:tcPr>
          <w:p w14:paraId="03648B80" w14:textId="77777777" w:rsidR="00E42B18" w:rsidRDefault="009629C4">
            <w:pPr>
              <w:pStyle w:val="P68B1DB1-Normal121"/>
              <w:spacing w:after="0" w:line="240" w:lineRule="auto"/>
              <w:rPr>
                <w:noProof/>
              </w:rPr>
            </w:pPr>
            <w:r>
              <w:rPr>
                <w:noProof/>
              </w:rPr>
              <w:t>Investointi 2.1: IPCEI-HANKE</w:t>
            </w:r>
          </w:p>
        </w:tc>
        <w:tc>
          <w:tcPr>
            <w:tcW w:w="1260" w:type="dxa"/>
            <w:shd w:val="clear" w:color="auto" w:fill="C6EFCE"/>
            <w:tcMar>
              <w:left w:w="108" w:type="dxa"/>
              <w:right w:w="108" w:type="dxa"/>
            </w:tcMar>
            <w:vAlign w:val="center"/>
          </w:tcPr>
          <w:p w14:paraId="43484D58" w14:textId="77777777" w:rsidR="00E42B18" w:rsidRDefault="009629C4">
            <w:pPr>
              <w:pStyle w:val="P68B1DB1-Normal121"/>
              <w:spacing w:after="0" w:line="240" w:lineRule="auto"/>
              <w:jc w:val="center"/>
              <w:rPr>
                <w:noProof/>
              </w:rPr>
            </w:pPr>
            <w:r>
              <w:rPr>
                <w:noProof/>
              </w:rPr>
              <w:t>Kohde</w:t>
            </w:r>
          </w:p>
        </w:tc>
        <w:tc>
          <w:tcPr>
            <w:tcW w:w="2979" w:type="dxa"/>
            <w:shd w:val="clear" w:color="auto" w:fill="C6EFCE"/>
            <w:tcMar>
              <w:left w:w="108" w:type="dxa"/>
              <w:right w:w="108" w:type="dxa"/>
            </w:tcMar>
            <w:vAlign w:val="center"/>
          </w:tcPr>
          <w:p w14:paraId="47CC0A60" w14:textId="77777777" w:rsidR="00E42B18" w:rsidRDefault="009629C4">
            <w:pPr>
              <w:pStyle w:val="P68B1DB1-Normal121"/>
              <w:spacing w:after="0" w:line="240" w:lineRule="auto"/>
              <w:rPr>
                <w:noProof/>
              </w:rPr>
            </w:pPr>
            <w:r>
              <w:rPr>
                <w:noProof/>
              </w:rPr>
              <w:t>Tuettujen hankkeiden lukumäärä</w:t>
            </w:r>
          </w:p>
        </w:tc>
      </w:tr>
      <w:tr w:rsidR="00E42B18" w14:paraId="4C3915DB" w14:textId="77777777">
        <w:trPr>
          <w:trHeight w:val="300"/>
        </w:trPr>
        <w:tc>
          <w:tcPr>
            <w:tcW w:w="1335" w:type="dxa"/>
            <w:shd w:val="clear" w:color="auto" w:fill="C6EFCE"/>
            <w:tcMar>
              <w:left w:w="108" w:type="dxa"/>
              <w:right w:w="108" w:type="dxa"/>
            </w:tcMar>
            <w:vAlign w:val="center"/>
          </w:tcPr>
          <w:p w14:paraId="5D0DEB73" w14:textId="77777777" w:rsidR="00E42B18" w:rsidRDefault="009629C4">
            <w:pPr>
              <w:pStyle w:val="P68B1DB1-Normal121"/>
              <w:spacing w:after="0" w:line="240" w:lineRule="auto"/>
              <w:jc w:val="center"/>
              <w:rPr>
                <w:noProof/>
              </w:rPr>
            </w:pPr>
            <w:r>
              <w:rPr>
                <w:noProof/>
              </w:rPr>
              <w:t>M6C1–6</w:t>
            </w:r>
          </w:p>
        </w:tc>
        <w:tc>
          <w:tcPr>
            <w:tcW w:w="3784" w:type="dxa"/>
            <w:shd w:val="clear" w:color="auto" w:fill="C6EFCE"/>
            <w:tcMar>
              <w:left w:w="108" w:type="dxa"/>
              <w:right w:w="108" w:type="dxa"/>
            </w:tcMar>
            <w:vAlign w:val="center"/>
          </w:tcPr>
          <w:p w14:paraId="7A0E8792" w14:textId="77777777" w:rsidR="00E42B18" w:rsidRDefault="009629C4">
            <w:pPr>
              <w:pStyle w:val="P68B1DB1-Normal121"/>
              <w:spacing w:after="0" w:line="240" w:lineRule="auto"/>
              <w:rPr>
                <w:noProof/>
              </w:rPr>
            </w:pPr>
            <w:r>
              <w:rPr>
                <w:noProof/>
              </w:rPr>
              <w:t>Investointi 1.2: Koti ensimmäisenä hoitopaikkana ja etälääketiede</w:t>
            </w:r>
          </w:p>
        </w:tc>
        <w:tc>
          <w:tcPr>
            <w:tcW w:w="1260" w:type="dxa"/>
            <w:shd w:val="clear" w:color="auto" w:fill="C6EFCE"/>
            <w:tcMar>
              <w:left w:w="108" w:type="dxa"/>
              <w:right w:w="108" w:type="dxa"/>
            </w:tcMar>
            <w:vAlign w:val="center"/>
          </w:tcPr>
          <w:p w14:paraId="1A73E25A" w14:textId="77777777" w:rsidR="00E42B18" w:rsidRDefault="009629C4">
            <w:pPr>
              <w:pStyle w:val="P68B1DB1-Normal121"/>
              <w:spacing w:after="0" w:line="240" w:lineRule="auto"/>
              <w:jc w:val="center"/>
              <w:rPr>
                <w:noProof/>
              </w:rPr>
            </w:pPr>
            <w:r>
              <w:rPr>
                <w:noProof/>
              </w:rPr>
              <w:t>Kohde</w:t>
            </w:r>
          </w:p>
        </w:tc>
        <w:tc>
          <w:tcPr>
            <w:tcW w:w="2979" w:type="dxa"/>
            <w:shd w:val="clear" w:color="auto" w:fill="C6EFCE"/>
            <w:tcMar>
              <w:left w:w="108" w:type="dxa"/>
              <w:right w:w="108" w:type="dxa"/>
            </w:tcMar>
            <w:vAlign w:val="center"/>
          </w:tcPr>
          <w:p w14:paraId="6ABF6957" w14:textId="77777777" w:rsidR="00E42B18" w:rsidRDefault="009629C4">
            <w:pPr>
              <w:pStyle w:val="P68B1DB1-Normal121"/>
              <w:spacing w:after="0" w:line="240" w:lineRule="auto"/>
              <w:rPr>
                <w:noProof/>
              </w:rPr>
            </w:pPr>
            <w:r>
              <w:rPr>
                <w:noProof/>
              </w:rPr>
              <w:t>Kotihoito</w:t>
            </w:r>
          </w:p>
        </w:tc>
      </w:tr>
      <w:tr w:rsidR="00E42B18" w14:paraId="1F5C26BF" w14:textId="77777777">
        <w:trPr>
          <w:trHeight w:val="300"/>
        </w:trPr>
        <w:tc>
          <w:tcPr>
            <w:tcW w:w="1335" w:type="dxa"/>
            <w:shd w:val="clear" w:color="auto" w:fill="C6EFCE"/>
            <w:tcMar>
              <w:left w:w="108" w:type="dxa"/>
              <w:right w:w="108" w:type="dxa"/>
            </w:tcMar>
            <w:vAlign w:val="center"/>
          </w:tcPr>
          <w:p w14:paraId="450857F0" w14:textId="77777777" w:rsidR="00E42B18" w:rsidRDefault="00E42B18">
            <w:pPr>
              <w:spacing w:after="0" w:line="240" w:lineRule="auto"/>
              <w:jc w:val="center"/>
              <w:rPr>
                <w:rFonts w:ascii="Times New Roman" w:eastAsia="Times New Roman" w:hAnsi="Times New Roman" w:cs="Times New Roman"/>
                <w:noProof/>
              </w:rPr>
            </w:pPr>
          </w:p>
        </w:tc>
        <w:tc>
          <w:tcPr>
            <w:tcW w:w="3784" w:type="dxa"/>
            <w:shd w:val="clear" w:color="auto" w:fill="C6EFCE"/>
            <w:tcMar>
              <w:left w:w="108" w:type="dxa"/>
              <w:right w:w="108" w:type="dxa"/>
            </w:tcMar>
            <w:vAlign w:val="center"/>
          </w:tcPr>
          <w:p w14:paraId="6C2262CF" w14:textId="77777777" w:rsidR="00E42B18" w:rsidRDefault="00E42B18">
            <w:pPr>
              <w:spacing w:after="0" w:line="240" w:lineRule="auto"/>
              <w:rPr>
                <w:rFonts w:ascii="Times New Roman" w:eastAsia="Times New Roman" w:hAnsi="Times New Roman" w:cs="Times New Roman"/>
                <w:noProof/>
              </w:rPr>
            </w:pPr>
          </w:p>
        </w:tc>
        <w:tc>
          <w:tcPr>
            <w:tcW w:w="1260" w:type="dxa"/>
            <w:shd w:val="clear" w:color="auto" w:fill="C6EFCE"/>
            <w:tcMar>
              <w:left w:w="108" w:type="dxa"/>
              <w:right w:w="108" w:type="dxa"/>
            </w:tcMar>
            <w:vAlign w:val="center"/>
          </w:tcPr>
          <w:p w14:paraId="7E358A1E" w14:textId="77777777" w:rsidR="00E42B18" w:rsidRDefault="009629C4">
            <w:pPr>
              <w:pStyle w:val="P68B1DB1-Normal121"/>
              <w:spacing w:after="0" w:line="240" w:lineRule="auto"/>
              <w:jc w:val="center"/>
              <w:rPr>
                <w:noProof/>
              </w:rPr>
            </w:pPr>
            <w:r>
              <w:rPr>
                <w:noProof/>
              </w:rPr>
              <w:t>Maksuerän määrä</w:t>
            </w:r>
          </w:p>
        </w:tc>
        <w:tc>
          <w:tcPr>
            <w:tcW w:w="2979" w:type="dxa"/>
            <w:shd w:val="clear" w:color="auto" w:fill="C6EFCE"/>
            <w:tcMar>
              <w:left w:w="108" w:type="dxa"/>
              <w:right w:w="108" w:type="dxa"/>
            </w:tcMar>
            <w:vAlign w:val="center"/>
          </w:tcPr>
          <w:p w14:paraId="6700A8E4" w14:textId="77777777" w:rsidR="00E42B18" w:rsidRDefault="009629C4">
            <w:pPr>
              <w:pStyle w:val="P68B1DB1-Normal8"/>
              <w:spacing w:after="0" w:line="240" w:lineRule="auto"/>
              <w:rPr>
                <w:noProof/>
                <w:highlight w:val="yellow"/>
              </w:rPr>
            </w:pPr>
            <w:r>
              <w:rPr>
                <w:noProof/>
                <w:color w:val="006100"/>
                <w:sz w:val="20"/>
                <w:szCs w:val="20"/>
              </w:rPr>
              <w:t>YHTEENSÄ</w:t>
            </w:r>
            <w:r>
              <w:rPr>
                <w:noProof/>
                <w:sz w:val="23"/>
                <w:szCs w:val="23"/>
              </w:rPr>
              <w:t xml:space="preserve"> </w:t>
            </w:r>
            <w:r>
              <w:rPr>
                <w:noProof/>
                <w:color w:val="006100"/>
                <w:sz w:val="20"/>
                <w:szCs w:val="20"/>
              </w:rPr>
              <w:t>11184566013</w:t>
            </w:r>
            <w:r>
              <w:rPr>
                <w:noProof/>
                <w:sz w:val="23"/>
                <w:szCs w:val="23"/>
              </w:rPr>
              <w:t xml:space="preserve">  </w:t>
            </w:r>
            <w:r>
              <w:rPr>
                <w:noProof/>
                <w:color w:val="006100"/>
                <w:sz w:val="20"/>
                <w:szCs w:val="20"/>
              </w:rPr>
              <w:t>EUROA</w:t>
            </w:r>
          </w:p>
        </w:tc>
      </w:tr>
    </w:tbl>
    <w:p w14:paraId="1CC1B017" w14:textId="0EF91158" w:rsidR="00E42B18" w:rsidRDefault="009629C4">
      <w:pPr>
        <w:pStyle w:val="P68B1DB1-Normal8"/>
        <w:spacing w:before="120" w:after="120" w:line="240" w:lineRule="auto"/>
        <w:jc w:val="both"/>
        <w:rPr>
          <w:noProof/>
        </w:rPr>
      </w:pPr>
      <w:r>
        <w:rPr>
          <w:noProof/>
        </w:rPr>
        <w:t xml:space="preserve"> </w:t>
      </w:r>
    </w:p>
    <w:p w14:paraId="4D8D1981" w14:textId="77777777" w:rsidR="00E42B18" w:rsidRDefault="009629C4">
      <w:pPr>
        <w:pStyle w:val="P68B1DB1-Heading34"/>
        <w:numPr>
          <w:ilvl w:val="1"/>
          <w:numId w:val="179"/>
        </w:numPr>
        <w:tabs>
          <w:tab w:val="clear" w:pos="850"/>
          <w:tab w:val="num" w:pos="1440"/>
        </w:tabs>
        <w:ind w:left="1440" w:hanging="360"/>
        <w:rPr>
          <w:noProof/>
        </w:rPr>
      </w:pPr>
      <w:r>
        <w:rPr>
          <w:noProof/>
        </w:rPr>
        <w:t>Yhdeksäs erä (lainatuki):</w:t>
      </w:r>
    </w:p>
    <w:tbl>
      <w:tblPr>
        <w:tblW w:w="923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4"/>
        <w:gridCol w:w="3541"/>
        <w:gridCol w:w="1276"/>
        <w:gridCol w:w="3260"/>
      </w:tblGrid>
      <w:tr w:rsidR="00E42B18" w14:paraId="0C5D457C" w14:textId="77777777">
        <w:trPr>
          <w:trHeight w:val="900"/>
          <w:tblHeader/>
        </w:trPr>
        <w:tc>
          <w:tcPr>
            <w:tcW w:w="1154" w:type="dxa"/>
            <w:vMerge w:val="restart"/>
            <w:shd w:val="clear" w:color="auto" w:fill="BDD7EE"/>
            <w:tcMar>
              <w:left w:w="108" w:type="dxa"/>
              <w:right w:w="108" w:type="dxa"/>
            </w:tcMar>
            <w:vAlign w:val="center"/>
          </w:tcPr>
          <w:p w14:paraId="391837B7" w14:textId="77777777" w:rsidR="00E42B18" w:rsidRDefault="009629C4">
            <w:pPr>
              <w:pStyle w:val="P68B1DB1-Normal120"/>
              <w:spacing w:after="0" w:line="240" w:lineRule="auto"/>
              <w:jc w:val="center"/>
              <w:rPr>
                <w:noProof/>
              </w:rPr>
            </w:pPr>
            <w:r>
              <w:rPr>
                <w:noProof/>
              </w:rPr>
              <w:t>Juokseva numero</w:t>
            </w:r>
          </w:p>
        </w:tc>
        <w:tc>
          <w:tcPr>
            <w:tcW w:w="3541" w:type="dxa"/>
            <w:vMerge w:val="restart"/>
            <w:shd w:val="clear" w:color="auto" w:fill="BDD7EE"/>
            <w:tcMar>
              <w:left w:w="108" w:type="dxa"/>
              <w:right w:w="108" w:type="dxa"/>
            </w:tcMar>
            <w:vAlign w:val="center"/>
          </w:tcPr>
          <w:p w14:paraId="711E36C0" w14:textId="77777777" w:rsidR="00E42B18" w:rsidRDefault="009629C4">
            <w:pPr>
              <w:pStyle w:val="P68B1DB1-Normal120"/>
              <w:spacing w:after="0" w:line="240" w:lineRule="auto"/>
              <w:jc w:val="center"/>
              <w:rPr>
                <w:noProof/>
              </w:rPr>
            </w:pPr>
            <w:r>
              <w:rPr>
                <w:noProof/>
              </w:rPr>
              <w:t>Toimenpide (uudistus tai investointi)</w:t>
            </w:r>
          </w:p>
        </w:tc>
        <w:tc>
          <w:tcPr>
            <w:tcW w:w="1276" w:type="dxa"/>
            <w:vMerge w:val="restart"/>
            <w:shd w:val="clear" w:color="auto" w:fill="BDD7EE"/>
            <w:tcMar>
              <w:left w:w="108" w:type="dxa"/>
              <w:right w:w="108" w:type="dxa"/>
            </w:tcMar>
            <w:vAlign w:val="center"/>
          </w:tcPr>
          <w:p w14:paraId="2F276AB2" w14:textId="77777777" w:rsidR="00E42B18" w:rsidRDefault="009629C4">
            <w:pPr>
              <w:pStyle w:val="P68B1DB1-Normal120"/>
              <w:spacing w:after="0" w:line="240" w:lineRule="auto"/>
              <w:jc w:val="center"/>
              <w:rPr>
                <w:noProof/>
              </w:rPr>
            </w:pPr>
            <w:r>
              <w:rPr>
                <w:noProof/>
              </w:rPr>
              <w:t>Välitavoite/tavoite</w:t>
            </w:r>
          </w:p>
        </w:tc>
        <w:tc>
          <w:tcPr>
            <w:tcW w:w="3260" w:type="dxa"/>
            <w:vMerge w:val="restart"/>
            <w:shd w:val="clear" w:color="auto" w:fill="BDD7EE"/>
            <w:tcMar>
              <w:left w:w="108" w:type="dxa"/>
              <w:right w:w="108" w:type="dxa"/>
            </w:tcMar>
            <w:vAlign w:val="center"/>
          </w:tcPr>
          <w:p w14:paraId="16350DC0" w14:textId="77777777" w:rsidR="00E42B18" w:rsidRDefault="009629C4">
            <w:pPr>
              <w:pStyle w:val="P68B1DB1-Normal120"/>
              <w:spacing w:after="0" w:line="240" w:lineRule="auto"/>
              <w:jc w:val="center"/>
              <w:rPr>
                <w:noProof/>
              </w:rPr>
            </w:pPr>
            <w:r>
              <w:rPr>
                <w:noProof/>
              </w:rPr>
              <w:t>Nimi</w:t>
            </w:r>
          </w:p>
        </w:tc>
      </w:tr>
      <w:tr w:rsidR="00E42B18" w14:paraId="29280B70" w14:textId="77777777">
        <w:trPr>
          <w:trHeight w:val="510"/>
        </w:trPr>
        <w:tc>
          <w:tcPr>
            <w:tcW w:w="1154" w:type="dxa"/>
            <w:vMerge/>
            <w:vAlign w:val="center"/>
          </w:tcPr>
          <w:p w14:paraId="713F6B81" w14:textId="77777777" w:rsidR="00E42B18" w:rsidRDefault="00E42B18">
            <w:pPr>
              <w:spacing w:after="0" w:line="240" w:lineRule="auto"/>
              <w:jc w:val="center"/>
              <w:rPr>
                <w:rFonts w:ascii="Times New Roman" w:eastAsia="Times New Roman" w:hAnsi="Times New Roman" w:cs="Times New Roman"/>
                <w:noProof/>
              </w:rPr>
            </w:pPr>
          </w:p>
        </w:tc>
        <w:tc>
          <w:tcPr>
            <w:tcW w:w="3541" w:type="dxa"/>
            <w:vMerge/>
            <w:vAlign w:val="center"/>
          </w:tcPr>
          <w:p w14:paraId="290C1C51" w14:textId="77777777" w:rsidR="00E42B18" w:rsidRDefault="00E42B18">
            <w:pPr>
              <w:spacing w:after="0" w:line="240" w:lineRule="auto"/>
              <w:rPr>
                <w:rFonts w:ascii="Times New Roman" w:eastAsia="Times New Roman" w:hAnsi="Times New Roman" w:cs="Times New Roman"/>
                <w:noProof/>
              </w:rPr>
            </w:pPr>
          </w:p>
        </w:tc>
        <w:tc>
          <w:tcPr>
            <w:tcW w:w="1276" w:type="dxa"/>
            <w:vMerge/>
            <w:vAlign w:val="center"/>
          </w:tcPr>
          <w:p w14:paraId="50A70AFE" w14:textId="77777777" w:rsidR="00E42B18" w:rsidRDefault="00E42B18">
            <w:pPr>
              <w:spacing w:after="0" w:line="240" w:lineRule="auto"/>
              <w:jc w:val="center"/>
              <w:rPr>
                <w:rFonts w:ascii="Times New Roman" w:eastAsia="Times New Roman" w:hAnsi="Times New Roman" w:cs="Times New Roman"/>
                <w:noProof/>
              </w:rPr>
            </w:pPr>
          </w:p>
        </w:tc>
        <w:tc>
          <w:tcPr>
            <w:tcW w:w="3260" w:type="dxa"/>
            <w:vMerge/>
            <w:vAlign w:val="center"/>
          </w:tcPr>
          <w:p w14:paraId="335D9BA0" w14:textId="77777777" w:rsidR="00E42B18" w:rsidRDefault="00E42B18">
            <w:pPr>
              <w:spacing w:after="0" w:line="240" w:lineRule="auto"/>
              <w:rPr>
                <w:rFonts w:ascii="Times New Roman" w:eastAsia="Times New Roman" w:hAnsi="Times New Roman" w:cs="Times New Roman"/>
                <w:noProof/>
              </w:rPr>
            </w:pPr>
          </w:p>
        </w:tc>
      </w:tr>
      <w:tr w:rsidR="00E42B18" w14:paraId="20CD8E39" w14:textId="77777777">
        <w:trPr>
          <w:trHeight w:val="300"/>
        </w:trPr>
        <w:tc>
          <w:tcPr>
            <w:tcW w:w="1154" w:type="dxa"/>
            <w:shd w:val="clear" w:color="auto" w:fill="C6EFCE"/>
            <w:tcMar>
              <w:left w:w="108" w:type="dxa"/>
              <w:right w:w="108" w:type="dxa"/>
            </w:tcMar>
            <w:vAlign w:val="center"/>
          </w:tcPr>
          <w:p w14:paraId="004B9804" w14:textId="77777777" w:rsidR="00E42B18" w:rsidRDefault="009629C4">
            <w:pPr>
              <w:pStyle w:val="P68B1DB1-Normal121"/>
              <w:spacing w:after="0" w:line="240" w:lineRule="auto"/>
              <w:jc w:val="center"/>
              <w:rPr>
                <w:noProof/>
              </w:rPr>
            </w:pPr>
            <w:r>
              <w:rPr>
                <w:noProof/>
              </w:rPr>
              <w:t>M1C1–145</w:t>
            </w:r>
          </w:p>
        </w:tc>
        <w:tc>
          <w:tcPr>
            <w:tcW w:w="3541" w:type="dxa"/>
            <w:shd w:val="clear" w:color="auto" w:fill="C6EFCE"/>
            <w:tcMar>
              <w:left w:w="108" w:type="dxa"/>
              <w:right w:w="108" w:type="dxa"/>
            </w:tcMar>
            <w:vAlign w:val="center"/>
          </w:tcPr>
          <w:p w14:paraId="6F137A23" w14:textId="77777777" w:rsidR="00E42B18" w:rsidRDefault="009629C4">
            <w:pPr>
              <w:pStyle w:val="P68B1DB1-Normal121"/>
              <w:spacing w:after="0" w:line="240" w:lineRule="auto"/>
              <w:rPr>
                <w:noProof/>
              </w:rPr>
            </w:pPr>
            <w:r>
              <w:rPr>
                <w:noProof/>
              </w:rPr>
              <w:t>Investointi 1.4.4 – Kansallisen digitaalisen identiteetin alustan (SPID, CIE) ja kansallisen rekisterin (ANPR) käyttöönotto</w:t>
            </w:r>
          </w:p>
        </w:tc>
        <w:tc>
          <w:tcPr>
            <w:tcW w:w="1276" w:type="dxa"/>
            <w:shd w:val="clear" w:color="auto" w:fill="C6EFCE"/>
            <w:tcMar>
              <w:left w:w="108" w:type="dxa"/>
              <w:right w:w="108" w:type="dxa"/>
            </w:tcMar>
            <w:vAlign w:val="center"/>
          </w:tcPr>
          <w:p w14:paraId="594182C2" w14:textId="77777777" w:rsidR="00E42B18" w:rsidRDefault="009629C4">
            <w:pPr>
              <w:pStyle w:val="P68B1DB1-Normal121"/>
              <w:spacing w:after="0" w:line="240" w:lineRule="auto"/>
              <w:jc w:val="center"/>
              <w:rPr>
                <w:noProof/>
              </w:rPr>
            </w:pPr>
            <w:r>
              <w:rPr>
                <w:noProof/>
              </w:rPr>
              <w:t>Kohde</w:t>
            </w:r>
          </w:p>
        </w:tc>
        <w:tc>
          <w:tcPr>
            <w:tcW w:w="3260" w:type="dxa"/>
            <w:shd w:val="clear" w:color="auto" w:fill="C6EFCE"/>
            <w:tcMar>
              <w:left w:w="108" w:type="dxa"/>
              <w:right w:w="108" w:type="dxa"/>
            </w:tcMar>
            <w:vAlign w:val="center"/>
          </w:tcPr>
          <w:p w14:paraId="41421FDF" w14:textId="77777777" w:rsidR="00E42B18" w:rsidRDefault="009629C4">
            <w:pPr>
              <w:pStyle w:val="P68B1DB1-Normal121"/>
              <w:spacing w:after="0" w:line="240" w:lineRule="auto"/>
              <w:rPr>
                <w:noProof/>
              </w:rPr>
            </w:pPr>
            <w:r>
              <w:rPr>
                <w:noProof/>
              </w:rPr>
              <w:t>Kansallinen digitaalisen identiteetin alusta (CIE) ja kansallinen rekisteri (ANPR)</w:t>
            </w:r>
          </w:p>
        </w:tc>
      </w:tr>
      <w:tr w:rsidR="00E42B18" w14:paraId="658708DF" w14:textId="77777777">
        <w:trPr>
          <w:trHeight w:val="300"/>
        </w:trPr>
        <w:tc>
          <w:tcPr>
            <w:tcW w:w="1154" w:type="dxa"/>
            <w:shd w:val="clear" w:color="auto" w:fill="C6EFCE"/>
            <w:tcMar>
              <w:left w:w="108" w:type="dxa"/>
              <w:right w:w="108" w:type="dxa"/>
            </w:tcMar>
            <w:vAlign w:val="center"/>
          </w:tcPr>
          <w:p w14:paraId="08D5DCE1" w14:textId="77777777" w:rsidR="00E42B18" w:rsidRDefault="009629C4">
            <w:pPr>
              <w:pStyle w:val="P68B1DB1-Normal121"/>
              <w:spacing w:after="0" w:line="240" w:lineRule="auto"/>
              <w:jc w:val="center"/>
              <w:rPr>
                <w:noProof/>
              </w:rPr>
            </w:pPr>
            <w:r>
              <w:rPr>
                <w:noProof/>
              </w:rPr>
              <w:t>M1C3–28</w:t>
            </w:r>
          </w:p>
        </w:tc>
        <w:tc>
          <w:tcPr>
            <w:tcW w:w="3541" w:type="dxa"/>
            <w:shd w:val="clear" w:color="auto" w:fill="C6EFCE"/>
            <w:tcMar>
              <w:left w:w="108" w:type="dxa"/>
              <w:right w:w="108" w:type="dxa"/>
            </w:tcMar>
            <w:vAlign w:val="center"/>
          </w:tcPr>
          <w:p w14:paraId="0F8751BF" w14:textId="77777777" w:rsidR="00E42B18" w:rsidRDefault="009629C4">
            <w:pPr>
              <w:pStyle w:val="P68B1DB1-Normal121"/>
              <w:spacing w:after="0" w:line="240" w:lineRule="auto"/>
              <w:rPr>
                <w:noProof/>
              </w:rPr>
            </w:pPr>
            <w:r>
              <w:rPr>
                <w:noProof/>
              </w:rPr>
              <w:t>Investointi 4.2:  Matkailualan yritysten kilpailukykyyn tarkoitetut rahastot</w:t>
            </w:r>
          </w:p>
        </w:tc>
        <w:tc>
          <w:tcPr>
            <w:tcW w:w="1276" w:type="dxa"/>
            <w:shd w:val="clear" w:color="auto" w:fill="C6EFCE"/>
            <w:tcMar>
              <w:left w:w="108" w:type="dxa"/>
              <w:right w:w="108" w:type="dxa"/>
            </w:tcMar>
            <w:vAlign w:val="center"/>
          </w:tcPr>
          <w:p w14:paraId="5557D418" w14:textId="77777777" w:rsidR="00E42B18" w:rsidRDefault="009629C4">
            <w:pPr>
              <w:pStyle w:val="P68B1DB1-Normal121"/>
              <w:spacing w:after="0" w:line="240" w:lineRule="auto"/>
              <w:jc w:val="center"/>
              <w:rPr>
                <w:noProof/>
              </w:rPr>
            </w:pPr>
            <w:r>
              <w:rPr>
                <w:noProof/>
              </w:rPr>
              <w:t>Kohde</w:t>
            </w:r>
          </w:p>
        </w:tc>
        <w:tc>
          <w:tcPr>
            <w:tcW w:w="3260" w:type="dxa"/>
            <w:shd w:val="clear" w:color="auto" w:fill="C6EFCE"/>
            <w:tcMar>
              <w:left w:w="108" w:type="dxa"/>
              <w:right w:w="108" w:type="dxa"/>
            </w:tcMar>
            <w:vAlign w:val="center"/>
          </w:tcPr>
          <w:p w14:paraId="2570700A" w14:textId="77777777" w:rsidR="00E42B18" w:rsidRDefault="009629C4">
            <w:pPr>
              <w:pStyle w:val="P68B1DB1-Normal121"/>
              <w:spacing w:after="0" w:line="240" w:lineRule="auto"/>
              <w:rPr>
                <w:noProof/>
              </w:rPr>
            </w:pPr>
            <w:r>
              <w:rPr>
                <w:noProof/>
              </w:rPr>
              <w:t xml:space="preserve">Niiden matkailuyritysten lukumäärä, jotka saavat tukea infrastruktuurien ja/tai palvelujen avustuksesta ja/tai verohyvityksestä; </w:t>
            </w:r>
          </w:p>
        </w:tc>
      </w:tr>
      <w:tr w:rsidR="00E42B18" w14:paraId="6C607EC5" w14:textId="77777777">
        <w:trPr>
          <w:trHeight w:val="300"/>
        </w:trPr>
        <w:tc>
          <w:tcPr>
            <w:tcW w:w="1154" w:type="dxa"/>
            <w:shd w:val="clear" w:color="auto" w:fill="C6EFCE"/>
            <w:tcMar>
              <w:left w:w="108" w:type="dxa"/>
              <w:right w:w="108" w:type="dxa"/>
            </w:tcMar>
            <w:vAlign w:val="center"/>
          </w:tcPr>
          <w:p w14:paraId="086C39AB" w14:textId="77777777" w:rsidR="00E42B18" w:rsidRDefault="009629C4">
            <w:pPr>
              <w:pStyle w:val="P68B1DB1-Normal121"/>
              <w:spacing w:after="0" w:line="240" w:lineRule="auto"/>
              <w:jc w:val="center"/>
              <w:rPr>
                <w:noProof/>
              </w:rPr>
            </w:pPr>
            <w:r>
              <w:rPr>
                <w:noProof/>
              </w:rPr>
              <w:t>M1C3–32</w:t>
            </w:r>
          </w:p>
        </w:tc>
        <w:tc>
          <w:tcPr>
            <w:tcW w:w="3541" w:type="dxa"/>
            <w:shd w:val="clear" w:color="auto" w:fill="C6EFCE"/>
            <w:tcMar>
              <w:left w:w="108" w:type="dxa"/>
              <w:right w:w="108" w:type="dxa"/>
            </w:tcMar>
            <w:vAlign w:val="center"/>
          </w:tcPr>
          <w:p w14:paraId="3AED02C1" w14:textId="77777777" w:rsidR="00E42B18" w:rsidRDefault="009629C4">
            <w:pPr>
              <w:pStyle w:val="P68B1DB1-Normal121"/>
              <w:spacing w:after="0" w:line="240" w:lineRule="auto"/>
              <w:rPr>
                <w:noProof/>
              </w:rPr>
            </w:pPr>
            <w:r>
              <w:rPr>
                <w:noProof/>
              </w:rPr>
              <w:t xml:space="preserve">Investointi 4.2:  Matkailualan yritysten kilpailukykyyn tarkoitetut rahastot </w:t>
            </w:r>
          </w:p>
        </w:tc>
        <w:tc>
          <w:tcPr>
            <w:tcW w:w="1276" w:type="dxa"/>
            <w:shd w:val="clear" w:color="auto" w:fill="C6EFCE"/>
            <w:tcMar>
              <w:left w:w="108" w:type="dxa"/>
              <w:right w:w="108" w:type="dxa"/>
            </w:tcMar>
            <w:vAlign w:val="center"/>
          </w:tcPr>
          <w:p w14:paraId="318F7158" w14:textId="77777777" w:rsidR="00E42B18" w:rsidRDefault="009629C4">
            <w:pPr>
              <w:pStyle w:val="P68B1DB1-Normal121"/>
              <w:spacing w:after="0" w:line="240" w:lineRule="auto"/>
              <w:jc w:val="center"/>
              <w:rPr>
                <w:noProof/>
              </w:rPr>
            </w:pPr>
            <w:r>
              <w:rPr>
                <w:noProof/>
              </w:rPr>
              <w:t>Kohde</w:t>
            </w:r>
          </w:p>
        </w:tc>
        <w:tc>
          <w:tcPr>
            <w:tcW w:w="3260" w:type="dxa"/>
            <w:shd w:val="clear" w:color="auto" w:fill="C6EFCE"/>
            <w:tcMar>
              <w:left w:w="108" w:type="dxa"/>
              <w:right w:w="108" w:type="dxa"/>
            </w:tcMar>
            <w:vAlign w:val="center"/>
          </w:tcPr>
          <w:p w14:paraId="66FBFE87" w14:textId="1C689BF3" w:rsidR="00E42B18" w:rsidRDefault="009629C4">
            <w:pPr>
              <w:pStyle w:val="P68B1DB1-Normal121"/>
              <w:spacing w:after="0" w:line="240" w:lineRule="auto"/>
              <w:rPr>
                <w:noProof/>
              </w:rPr>
            </w:pPr>
            <w:r>
              <w:rPr>
                <w:noProof/>
              </w:rPr>
              <w:t xml:space="preserve"> Pk-yritysten takuurahastosta tuettavien yritysten lukumäärä </w:t>
            </w:r>
          </w:p>
        </w:tc>
      </w:tr>
      <w:tr w:rsidR="00E42B18" w14:paraId="178D909F" w14:textId="77777777">
        <w:trPr>
          <w:trHeight w:val="300"/>
        </w:trPr>
        <w:tc>
          <w:tcPr>
            <w:tcW w:w="1154" w:type="dxa"/>
            <w:shd w:val="clear" w:color="auto" w:fill="C6EFCE"/>
            <w:tcMar>
              <w:left w:w="108" w:type="dxa"/>
              <w:right w:w="108" w:type="dxa"/>
            </w:tcMar>
            <w:vAlign w:val="center"/>
          </w:tcPr>
          <w:p w14:paraId="4CEC43D3" w14:textId="77777777" w:rsidR="00E42B18" w:rsidRDefault="009629C4">
            <w:pPr>
              <w:pStyle w:val="P68B1DB1-Normal121"/>
              <w:spacing w:after="0" w:line="240" w:lineRule="auto"/>
              <w:jc w:val="center"/>
              <w:rPr>
                <w:noProof/>
              </w:rPr>
            </w:pPr>
            <w:r>
              <w:rPr>
                <w:noProof/>
              </w:rPr>
              <w:t>M3C1–5</w:t>
            </w:r>
          </w:p>
        </w:tc>
        <w:tc>
          <w:tcPr>
            <w:tcW w:w="3541" w:type="dxa"/>
            <w:shd w:val="clear" w:color="auto" w:fill="C6EFCE"/>
            <w:tcMar>
              <w:left w:w="108" w:type="dxa"/>
              <w:right w:w="108" w:type="dxa"/>
            </w:tcMar>
            <w:vAlign w:val="center"/>
          </w:tcPr>
          <w:p w14:paraId="1EF2E406" w14:textId="77777777" w:rsidR="00E42B18" w:rsidRDefault="009629C4">
            <w:pPr>
              <w:pStyle w:val="P68B1DB1-Normal124"/>
              <w:spacing w:after="0" w:line="240" w:lineRule="auto"/>
              <w:rPr>
                <w:rFonts w:eastAsia="Times New Roman" w:hAnsi="Times New Roman" w:cs="Times New Roman"/>
                <w:noProof/>
              </w:rPr>
            </w:pPr>
            <w:r>
              <w:rPr>
                <w:noProof/>
              </w:rPr>
              <w:t xml:space="preserve">Investointi 1.1 </w:t>
            </w:r>
            <w:r>
              <w:rPr>
                <w:noProof/>
              </w:rPr>
              <w:t>–</w:t>
            </w:r>
            <w:r>
              <w:rPr>
                <w:noProof/>
              </w:rPr>
              <w:t xml:space="preserve"> Suurinopeuksiset rautatieyhteydet etel</w:t>
            </w:r>
            <w:r>
              <w:rPr>
                <w:noProof/>
              </w:rPr>
              <w:t>ää</w:t>
            </w:r>
            <w:r>
              <w:rPr>
                <w:noProof/>
              </w:rPr>
              <w:t>n matkustajia ja rahtia varten</w:t>
            </w:r>
            <w:r>
              <w:rPr>
                <w:noProof/>
              </w:rPr>
              <w:t> </w:t>
            </w:r>
          </w:p>
        </w:tc>
        <w:tc>
          <w:tcPr>
            <w:tcW w:w="1276" w:type="dxa"/>
            <w:shd w:val="clear" w:color="auto" w:fill="C6EFCE"/>
            <w:tcMar>
              <w:left w:w="108" w:type="dxa"/>
              <w:right w:w="108" w:type="dxa"/>
            </w:tcMar>
            <w:vAlign w:val="center"/>
          </w:tcPr>
          <w:p w14:paraId="67228302" w14:textId="77777777" w:rsidR="00E42B18" w:rsidRDefault="009629C4">
            <w:pPr>
              <w:pStyle w:val="P68B1DB1-Normal121"/>
              <w:spacing w:after="0" w:line="240" w:lineRule="auto"/>
              <w:jc w:val="center"/>
              <w:rPr>
                <w:noProof/>
              </w:rPr>
            </w:pPr>
            <w:r>
              <w:rPr>
                <w:noProof/>
              </w:rPr>
              <w:t>Kohde</w:t>
            </w:r>
          </w:p>
        </w:tc>
        <w:tc>
          <w:tcPr>
            <w:tcW w:w="3260" w:type="dxa"/>
            <w:shd w:val="clear" w:color="auto" w:fill="C6EFCE"/>
            <w:tcMar>
              <w:left w:w="108" w:type="dxa"/>
              <w:right w:w="108" w:type="dxa"/>
            </w:tcMar>
            <w:vAlign w:val="center"/>
          </w:tcPr>
          <w:p w14:paraId="3208D2D9" w14:textId="77777777" w:rsidR="00E42B18" w:rsidRDefault="009629C4">
            <w:pPr>
              <w:pStyle w:val="P68B1DB1-Normal121"/>
              <w:spacing w:after="0" w:line="240" w:lineRule="auto"/>
              <w:rPr>
                <w:noProof/>
              </w:rPr>
            </w:pPr>
            <w:r>
              <w:rPr>
                <w:noProof/>
              </w:rPr>
              <w:t>Suurnopeusrata radoilla Napoli-Bari ja Palermo-Catania</w:t>
            </w:r>
          </w:p>
        </w:tc>
      </w:tr>
      <w:tr w:rsidR="00E42B18" w14:paraId="3C0D876C" w14:textId="77777777">
        <w:trPr>
          <w:trHeight w:val="300"/>
        </w:trPr>
        <w:tc>
          <w:tcPr>
            <w:tcW w:w="1154" w:type="dxa"/>
            <w:shd w:val="clear" w:color="auto" w:fill="C6EFCE"/>
            <w:tcMar>
              <w:left w:w="108" w:type="dxa"/>
              <w:right w:w="108" w:type="dxa"/>
            </w:tcMar>
            <w:vAlign w:val="center"/>
          </w:tcPr>
          <w:p w14:paraId="2CF1E9AC" w14:textId="77777777" w:rsidR="00E42B18" w:rsidRDefault="009629C4">
            <w:pPr>
              <w:pStyle w:val="P68B1DB1-Normal121"/>
              <w:spacing w:after="0" w:line="240" w:lineRule="auto"/>
              <w:jc w:val="center"/>
              <w:rPr>
                <w:noProof/>
              </w:rPr>
            </w:pPr>
            <w:r>
              <w:rPr>
                <w:noProof/>
              </w:rPr>
              <w:t>M6C1–9</w:t>
            </w:r>
          </w:p>
        </w:tc>
        <w:tc>
          <w:tcPr>
            <w:tcW w:w="3541" w:type="dxa"/>
            <w:shd w:val="clear" w:color="auto" w:fill="C6EFCE"/>
            <w:tcMar>
              <w:left w:w="108" w:type="dxa"/>
              <w:right w:w="108" w:type="dxa"/>
            </w:tcMar>
            <w:vAlign w:val="center"/>
          </w:tcPr>
          <w:p w14:paraId="579E3104" w14:textId="77777777" w:rsidR="00E42B18" w:rsidRDefault="009629C4">
            <w:pPr>
              <w:pStyle w:val="P68B1DB1-Normal121"/>
              <w:spacing w:after="0" w:line="240" w:lineRule="auto"/>
              <w:rPr>
                <w:noProof/>
              </w:rPr>
            </w:pPr>
            <w:r>
              <w:rPr>
                <w:noProof/>
              </w:rPr>
              <w:t>Investointi 1.2: Koti ensimmäisenä hoitopaikkana ja etälääketiede</w:t>
            </w:r>
          </w:p>
        </w:tc>
        <w:tc>
          <w:tcPr>
            <w:tcW w:w="1276" w:type="dxa"/>
            <w:shd w:val="clear" w:color="auto" w:fill="C6EFCE"/>
            <w:tcMar>
              <w:left w:w="108" w:type="dxa"/>
              <w:right w:w="108" w:type="dxa"/>
            </w:tcMar>
            <w:vAlign w:val="center"/>
          </w:tcPr>
          <w:p w14:paraId="6ACB55DF" w14:textId="77777777" w:rsidR="00E42B18" w:rsidRDefault="009629C4">
            <w:pPr>
              <w:pStyle w:val="P68B1DB1-Normal121"/>
              <w:spacing w:after="0" w:line="240" w:lineRule="auto"/>
              <w:jc w:val="center"/>
              <w:rPr>
                <w:noProof/>
              </w:rPr>
            </w:pPr>
            <w:r>
              <w:rPr>
                <w:noProof/>
              </w:rPr>
              <w:t>Kohde</w:t>
            </w:r>
          </w:p>
        </w:tc>
        <w:tc>
          <w:tcPr>
            <w:tcW w:w="3260" w:type="dxa"/>
            <w:shd w:val="clear" w:color="auto" w:fill="C6EFCE"/>
            <w:tcMar>
              <w:left w:w="108" w:type="dxa"/>
              <w:right w:w="108" w:type="dxa"/>
            </w:tcMar>
            <w:vAlign w:val="center"/>
          </w:tcPr>
          <w:p w14:paraId="15AA29AD" w14:textId="77777777" w:rsidR="00E42B18" w:rsidRDefault="009629C4">
            <w:pPr>
              <w:pStyle w:val="P68B1DB1-Normal121"/>
              <w:spacing w:after="0" w:line="240" w:lineRule="auto"/>
              <w:rPr>
                <w:noProof/>
              </w:rPr>
            </w:pPr>
            <w:r>
              <w:rPr>
                <w:noProof/>
              </w:rPr>
              <w:t xml:space="preserve">Apu etälääketieteen välineiden avulla </w:t>
            </w:r>
          </w:p>
        </w:tc>
      </w:tr>
      <w:tr w:rsidR="00E42B18" w14:paraId="6EA9121D" w14:textId="77777777">
        <w:trPr>
          <w:trHeight w:val="300"/>
        </w:trPr>
        <w:tc>
          <w:tcPr>
            <w:tcW w:w="1154" w:type="dxa"/>
            <w:shd w:val="clear" w:color="auto" w:fill="C6EFCE"/>
            <w:tcMar>
              <w:left w:w="108" w:type="dxa"/>
              <w:right w:w="108" w:type="dxa"/>
            </w:tcMar>
            <w:vAlign w:val="center"/>
          </w:tcPr>
          <w:p w14:paraId="6E110F33" w14:textId="77777777" w:rsidR="00E42B18" w:rsidRDefault="009629C4">
            <w:pPr>
              <w:pStyle w:val="P68B1DB1-Normal121"/>
              <w:spacing w:after="0" w:line="240" w:lineRule="auto"/>
              <w:jc w:val="center"/>
              <w:rPr>
                <w:noProof/>
              </w:rPr>
            </w:pPr>
            <w:r>
              <w:rPr>
                <w:noProof/>
              </w:rPr>
              <w:t>M6C2–8</w:t>
            </w:r>
          </w:p>
        </w:tc>
        <w:tc>
          <w:tcPr>
            <w:tcW w:w="3541" w:type="dxa"/>
            <w:shd w:val="clear" w:color="auto" w:fill="C6EFCE"/>
            <w:tcMar>
              <w:left w:w="108" w:type="dxa"/>
              <w:right w:w="108" w:type="dxa"/>
            </w:tcMar>
            <w:vAlign w:val="center"/>
          </w:tcPr>
          <w:p w14:paraId="1F8116FC" w14:textId="77777777" w:rsidR="00E42B18" w:rsidRDefault="009629C4">
            <w:pPr>
              <w:pStyle w:val="P68B1DB1-Normal123"/>
              <w:spacing w:after="0" w:line="240" w:lineRule="auto"/>
              <w:rPr>
                <w:noProof/>
              </w:rPr>
            </w:pPr>
            <w:r>
              <w:rPr>
                <w:noProof/>
              </w:rPr>
              <w:t>Investointi 1.1: Sairaaloiden teknisten laitteiden digitaalinen päivitys</w:t>
            </w:r>
          </w:p>
        </w:tc>
        <w:tc>
          <w:tcPr>
            <w:tcW w:w="1276" w:type="dxa"/>
            <w:shd w:val="clear" w:color="auto" w:fill="C6EFCE"/>
            <w:tcMar>
              <w:left w:w="108" w:type="dxa"/>
              <w:right w:w="108" w:type="dxa"/>
            </w:tcMar>
            <w:vAlign w:val="center"/>
          </w:tcPr>
          <w:p w14:paraId="365B73F9" w14:textId="77777777" w:rsidR="00E42B18" w:rsidRDefault="009629C4">
            <w:pPr>
              <w:pStyle w:val="P68B1DB1-Normal123"/>
              <w:spacing w:after="0" w:line="240" w:lineRule="auto"/>
              <w:jc w:val="center"/>
              <w:rPr>
                <w:noProof/>
              </w:rPr>
            </w:pPr>
            <w:r>
              <w:rPr>
                <w:noProof/>
              </w:rPr>
              <w:t>Kohde</w:t>
            </w:r>
          </w:p>
        </w:tc>
        <w:tc>
          <w:tcPr>
            <w:tcW w:w="3260" w:type="dxa"/>
            <w:shd w:val="clear" w:color="auto" w:fill="C6EFCE"/>
            <w:tcMar>
              <w:left w:w="108" w:type="dxa"/>
              <w:right w:w="108" w:type="dxa"/>
            </w:tcMar>
            <w:vAlign w:val="center"/>
          </w:tcPr>
          <w:p w14:paraId="6D7CFAA9" w14:textId="77777777" w:rsidR="00E42B18" w:rsidRDefault="009629C4">
            <w:pPr>
              <w:pStyle w:val="P68B1DB1-Normal123"/>
              <w:spacing w:after="0" w:line="240" w:lineRule="auto"/>
              <w:rPr>
                <w:noProof/>
              </w:rPr>
            </w:pPr>
            <w:r>
              <w:rPr>
                <w:noProof/>
              </w:rPr>
              <w:t>Sairaalat digitoidaan (DEA – hätätila- ja vastaanottoosastot – taso I ja taso II)</w:t>
            </w:r>
          </w:p>
        </w:tc>
      </w:tr>
      <w:tr w:rsidR="00E42B18" w14:paraId="709F538B" w14:textId="77777777">
        <w:trPr>
          <w:trHeight w:val="300"/>
        </w:trPr>
        <w:tc>
          <w:tcPr>
            <w:tcW w:w="1154" w:type="dxa"/>
            <w:shd w:val="clear" w:color="auto" w:fill="C6EFCE"/>
            <w:tcMar>
              <w:left w:w="108" w:type="dxa"/>
              <w:right w:w="108" w:type="dxa"/>
            </w:tcMar>
            <w:vAlign w:val="center"/>
          </w:tcPr>
          <w:p w14:paraId="6728D1F4" w14:textId="77777777" w:rsidR="00E42B18" w:rsidRDefault="009629C4">
            <w:pPr>
              <w:pStyle w:val="P68B1DB1-Normal121"/>
              <w:spacing w:after="0" w:line="240" w:lineRule="auto"/>
              <w:jc w:val="center"/>
              <w:rPr>
                <w:noProof/>
              </w:rPr>
            </w:pPr>
            <w:r>
              <w:rPr>
                <w:noProof/>
              </w:rPr>
              <w:t>M6C2–11</w:t>
            </w:r>
          </w:p>
        </w:tc>
        <w:tc>
          <w:tcPr>
            <w:tcW w:w="3541" w:type="dxa"/>
            <w:shd w:val="clear" w:color="auto" w:fill="C6EFCE"/>
            <w:tcMar>
              <w:left w:w="108" w:type="dxa"/>
              <w:right w:w="108" w:type="dxa"/>
            </w:tcMar>
            <w:vAlign w:val="center"/>
          </w:tcPr>
          <w:p w14:paraId="240B5B61" w14:textId="77777777" w:rsidR="00E42B18" w:rsidRDefault="009629C4">
            <w:pPr>
              <w:pStyle w:val="P68B1DB1-Normal123"/>
              <w:spacing w:after="0" w:line="240" w:lineRule="auto"/>
              <w:rPr>
                <w:noProof/>
              </w:rPr>
            </w:pPr>
            <w:r>
              <w:rPr>
                <w:noProof/>
              </w:rPr>
              <w:t>Investointi 1.3: Teknisen infrastruktuurin sekä tiedonkeruu-, tietojenkäsittely-, data-analyysi- ja simulointivälineiden vahvistaminen</w:t>
            </w:r>
          </w:p>
        </w:tc>
        <w:tc>
          <w:tcPr>
            <w:tcW w:w="1276" w:type="dxa"/>
            <w:shd w:val="clear" w:color="auto" w:fill="C6EFCE"/>
            <w:tcMar>
              <w:left w:w="108" w:type="dxa"/>
              <w:right w:w="108" w:type="dxa"/>
            </w:tcMar>
            <w:vAlign w:val="center"/>
          </w:tcPr>
          <w:p w14:paraId="62BD54A1" w14:textId="77777777" w:rsidR="00E42B18" w:rsidRDefault="009629C4">
            <w:pPr>
              <w:pStyle w:val="P68B1DB1-Normal123"/>
              <w:spacing w:after="0" w:line="240" w:lineRule="auto"/>
              <w:jc w:val="center"/>
              <w:rPr>
                <w:noProof/>
              </w:rPr>
            </w:pPr>
            <w:r>
              <w:rPr>
                <w:noProof/>
              </w:rPr>
              <w:t>Kohde</w:t>
            </w:r>
          </w:p>
        </w:tc>
        <w:tc>
          <w:tcPr>
            <w:tcW w:w="3260" w:type="dxa"/>
            <w:shd w:val="clear" w:color="auto" w:fill="C6EFCE"/>
            <w:tcMar>
              <w:left w:w="108" w:type="dxa"/>
              <w:right w:w="108" w:type="dxa"/>
            </w:tcMar>
            <w:vAlign w:val="center"/>
          </w:tcPr>
          <w:p w14:paraId="14648DC4" w14:textId="77777777" w:rsidR="00E42B18" w:rsidRDefault="009629C4">
            <w:pPr>
              <w:pStyle w:val="P68B1DB1-Normal123"/>
              <w:spacing w:after="0" w:line="240" w:lineRule="auto"/>
              <w:rPr>
                <w:noProof/>
              </w:rPr>
            </w:pPr>
            <w:r>
              <w:rPr>
                <w:noProof/>
              </w:rPr>
              <w:t>Yleislääkärit, jotka käyttävät sähköistä terveysrekisteriä.</w:t>
            </w:r>
          </w:p>
        </w:tc>
      </w:tr>
      <w:tr w:rsidR="00E42B18" w14:paraId="6FF04E35" w14:textId="77777777">
        <w:trPr>
          <w:trHeight w:val="300"/>
        </w:trPr>
        <w:tc>
          <w:tcPr>
            <w:tcW w:w="1154" w:type="dxa"/>
            <w:shd w:val="clear" w:color="auto" w:fill="C6EFCE"/>
            <w:tcMar>
              <w:left w:w="108" w:type="dxa"/>
              <w:right w:w="108" w:type="dxa"/>
            </w:tcMar>
            <w:vAlign w:val="center"/>
          </w:tcPr>
          <w:p w14:paraId="2B54F64E" w14:textId="77777777" w:rsidR="00E42B18" w:rsidRDefault="009629C4">
            <w:pPr>
              <w:pStyle w:val="P68B1DB1-Normal121"/>
              <w:spacing w:after="0" w:line="240" w:lineRule="auto"/>
              <w:jc w:val="center"/>
              <w:rPr>
                <w:noProof/>
              </w:rPr>
            </w:pPr>
            <w:r>
              <w:rPr>
                <w:noProof/>
              </w:rPr>
              <w:t>M1C3–33</w:t>
            </w:r>
          </w:p>
        </w:tc>
        <w:tc>
          <w:tcPr>
            <w:tcW w:w="3541" w:type="dxa"/>
            <w:shd w:val="clear" w:color="auto" w:fill="C6EFCE"/>
            <w:tcMar>
              <w:left w:w="108" w:type="dxa"/>
              <w:right w:w="108" w:type="dxa"/>
            </w:tcMar>
            <w:vAlign w:val="center"/>
          </w:tcPr>
          <w:p w14:paraId="7579DD15" w14:textId="77777777" w:rsidR="00E42B18" w:rsidRDefault="009629C4">
            <w:pPr>
              <w:pStyle w:val="P68B1DB1-Normal121"/>
              <w:spacing w:after="0" w:line="240" w:lineRule="auto"/>
              <w:rPr>
                <w:noProof/>
              </w:rPr>
            </w:pPr>
            <w:r>
              <w:rPr>
                <w:noProof/>
              </w:rPr>
              <w:t>Investointi 4.2 Rahastot matkailuyritysten kilpailukykyä varten</w:t>
            </w:r>
          </w:p>
        </w:tc>
        <w:tc>
          <w:tcPr>
            <w:tcW w:w="1276" w:type="dxa"/>
            <w:shd w:val="clear" w:color="auto" w:fill="C6EFCE"/>
            <w:tcMar>
              <w:left w:w="108" w:type="dxa"/>
              <w:right w:w="108" w:type="dxa"/>
            </w:tcMar>
            <w:vAlign w:val="center"/>
          </w:tcPr>
          <w:p w14:paraId="5F236B28" w14:textId="77777777" w:rsidR="00E42B18" w:rsidRDefault="009629C4">
            <w:pPr>
              <w:pStyle w:val="P68B1DB1-Normal121"/>
              <w:spacing w:after="0" w:line="240" w:lineRule="auto"/>
              <w:jc w:val="center"/>
              <w:rPr>
                <w:noProof/>
              </w:rPr>
            </w:pPr>
            <w:r>
              <w:rPr>
                <w:noProof/>
              </w:rPr>
              <w:t>Kohde</w:t>
            </w:r>
          </w:p>
        </w:tc>
        <w:tc>
          <w:tcPr>
            <w:tcW w:w="3260" w:type="dxa"/>
            <w:shd w:val="clear" w:color="auto" w:fill="C6EFCE"/>
            <w:tcMar>
              <w:left w:w="108" w:type="dxa"/>
              <w:right w:w="108" w:type="dxa"/>
            </w:tcMar>
            <w:vAlign w:val="center"/>
          </w:tcPr>
          <w:p w14:paraId="6CD2D989" w14:textId="77777777" w:rsidR="00E42B18" w:rsidRDefault="009629C4">
            <w:pPr>
              <w:pStyle w:val="P68B1DB1-Normal121"/>
              <w:spacing w:after="0" w:line="240" w:lineRule="auto"/>
              <w:rPr>
                <w:noProof/>
              </w:rPr>
            </w:pPr>
            <w:r>
              <w:rPr>
                <w:noProof/>
              </w:rPr>
              <w:t xml:space="preserve">Fondo Rotativo: Lopullisten edunsaajien kanssa allekirjoitettu oikeudellinen sopimus  </w:t>
            </w:r>
          </w:p>
        </w:tc>
      </w:tr>
      <w:tr w:rsidR="00E42B18" w14:paraId="3589CFF0"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F547C1" w14:textId="77777777" w:rsidR="00E42B18" w:rsidRDefault="009629C4">
            <w:pPr>
              <w:pStyle w:val="P68B1DB1-Normal121"/>
              <w:spacing w:after="0" w:line="240" w:lineRule="auto"/>
              <w:jc w:val="center"/>
              <w:rPr>
                <w:noProof/>
              </w:rPr>
            </w:pPr>
            <w:r>
              <w:rPr>
                <w:noProof/>
              </w:rPr>
              <w:t>M1C3–9bis</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CEA4BD" w14:textId="77777777" w:rsidR="00E42B18" w:rsidRDefault="009629C4">
            <w:pPr>
              <w:pStyle w:val="P68B1DB1-Normal121"/>
              <w:spacing w:after="0" w:line="240" w:lineRule="auto"/>
              <w:rPr>
                <w:noProof/>
              </w:rPr>
            </w:pPr>
            <w:r>
              <w:rPr>
                <w:noProof/>
              </w:rPr>
              <w:t>Investointi 4.1 Digitaalisen matkailun keskus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92903E" w14:textId="77777777" w:rsidR="00E42B18" w:rsidRDefault="009629C4">
            <w:pPr>
              <w:pStyle w:val="P68B1DB1-Normal121"/>
              <w:spacing w:after="0" w:line="240" w:lineRule="auto"/>
              <w:jc w:val="center"/>
              <w:rPr>
                <w:noProof/>
              </w:rPr>
            </w:pPr>
            <w:r>
              <w:rPr>
                <w:noProof/>
              </w:rPr>
              <w:t>Kohde</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B49376" w14:textId="77777777" w:rsidR="00E42B18" w:rsidRDefault="009629C4">
            <w:pPr>
              <w:pStyle w:val="P68B1DB1-Normal121"/>
              <w:spacing w:after="0" w:line="240" w:lineRule="auto"/>
              <w:rPr>
                <w:noProof/>
              </w:rPr>
            </w:pPr>
            <w:r>
              <w:rPr>
                <w:noProof/>
              </w:rPr>
              <w:t xml:space="preserve">Matkailualan toimijoiden rekisteröinti digitaaliseen matkailukeskukseen ja pääsy keskuksen tarjoamiin palveluihin  </w:t>
            </w:r>
          </w:p>
        </w:tc>
      </w:tr>
      <w:tr w:rsidR="00E42B18" w14:paraId="36345369" w14:textId="77777777">
        <w:trPr>
          <w:trHeight w:val="300"/>
        </w:trPr>
        <w:tc>
          <w:tcPr>
            <w:tcW w:w="1154" w:type="dxa"/>
            <w:shd w:val="clear" w:color="auto" w:fill="C6EFCE"/>
            <w:tcMar>
              <w:left w:w="108" w:type="dxa"/>
              <w:right w:w="108" w:type="dxa"/>
            </w:tcMar>
            <w:vAlign w:val="center"/>
          </w:tcPr>
          <w:p w14:paraId="02FAFB44" w14:textId="77777777" w:rsidR="00E42B18" w:rsidRDefault="009629C4">
            <w:pPr>
              <w:pStyle w:val="P68B1DB1-Normal121"/>
              <w:spacing w:after="0" w:line="240" w:lineRule="auto"/>
              <w:jc w:val="center"/>
              <w:rPr>
                <w:noProof/>
              </w:rPr>
            </w:pPr>
            <w:r>
              <w:rPr>
                <w:noProof/>
              </w:rPr>
              <w:t>M1C3–18</w:t>
            </w:r>
          </w:p>
        </w:tc>
        <w:tc>
          <w:tcPr>
            <w:tcW w:w="3541" w:type="dxa"/>
            <w:shd w:val="clear" w:color="auto" w:fill="C6EFCE"/>
            <w:tcMar>
              <w:left w:w="108" w:type="dxa"/>
              <w:right w:w="108" w:type="dxa"/>
            </w:tcMar>
            <w:vAlign w:val="center"/>
          </w:tcPr>
          <w:p w14:paraId="71860158" w14:textId="77777777" w:rsidR="00E42B18" w:rsidRDefault="009629C4">
            <w:pPr>
              <w:pStyle w:val="P68B1DB1-Normal121"/>
              <w:spacing w:after="0" w:line="240" w:lineRule="auto"/>
              <w:rPr>
                <w:noProof/>
              </w:rPr>
            </w:pPr>
            <w:r>
              <w:rPr>
                <w:noProof/>
              </w:rPr>
              <w:t>Investointi 2.3 Ohjelmat paikkojen, puistojen ja historiallisten puutarhojen identiteetin parantamiseksi</w:t>
            </w:r>
          </w:p>
        </w:tc>
        <w:tc>
          <w:tcPr>
            <w:tcW w:w="1276" w:type="dxa"/>
            <w:shd w:val="clear" w:color="auto" w:fill="C6EFCE"/>
            <w:tcMar>
              <w:left w:w="108" w:type="dxa"/>
              <w:right w:w="108" w:type="dxa"/>
            </w:tcMar>
            <w:vAlign w:val="center"/>
          </w:tcPr>
          <w:p w14:paraId="3CEE7C2A" w14:textId="77777777" w:rsidR="00E42B18" w:rsidRDefault="009629C4">
            <w:pPr>
              <w:pStyle w:val="P68B1DB1-Normal121"/>
              <w:spacing w:after="0" w:line="240" w:lineRule="auto"/>
              <w:jc w:val="center"/>
              <w:rPr>
                <w:noProof/>
              </w:rPr>
            </w:pPr>
            <w:r>
              <w:rPr>
                <w:noProof/>
              </w:rPr>
              <w:t>Kohde</w:t>
            </w:r>
          </w:p>
        </w:tc>
        <w:tc>
          <w:tcPr>
            <w:tcW w:w="3260" w:type="dxa"/>
            <w:shd w:val="clear" w:color="auto" w:fill="C6EFCE"/>
            <w:tcMar>
              <w:left w:w="108" w:type="dxa"/>
              <w:right w:w="108" w:type="dxa"/>
            </w:tcMar>
            <w:vAlign w:val="center"/>
          </w:tcPr>
          <w:p w14:paraId="241E3718" w14:textId="77777777" w:rsidR="00E42B18" w:rsidRDefault="009629C4">
            <w:pPr>
              <w:pStyle w:val="P68B1DB1-Normal121"/>
              <w:spacing w:after="0" w:line="240" w:lineRule="auto"/>
              <w:rPr>
                <w:noProof/>
              </w:rPr>
            </w:pPr>
            <w:r>
              <w:rPr>
                <w:noProof/>
              </w:rPr>
              <w:t>Uudelleen hyväksyttyjen puistojen ja historiallisten puutarhojen lukumäärä</w:t>
            </w:r>
          </w:p>
        </w:tc>
      </w:tr>
      <w:tr w:rsidR="00E42B18" w14:paraId="1F23300C" w14:textId="77777777">
        <w:trPr>
          <w:trHeight w:val="300"/>
        </w:trPr>
        <w:tc>
          <w:tcPr>
            <w:tcW w:w="1154" w:type="dxa"/>
            <w:shd w:val="clear" w:color="auto" w:fill="C6EFCE"/>
            <w:tcMar>
              <w:left w:w="108" w:type="dxa"/>
              <w:right w:w="108" w:type="dxa"/>
            </w:tcMar>
            <w:vAlign w:val="center"/>
          </w:tcPr>
          <w:p w14:paraId="1070A5C2" w14:textId="77777777" w:rsidR="00E42B18" w:rsidRDefault="009629C4">
            <w:pPr>
              <w:pStyle w:val="P68B1DB1-Normal121"/>
              <w:spacing w:after="0" w:line="240" w:lineRule="auto"/>
              <w:jc w:val="center"/>
              <w:rPr>
                <w:noProof/>
              </w:rPr>
            </w:pPr>
            <w:r>
              <w:rPr>
                <w:noProof/>
              </w:rPr>
              <w:t>M2C1–23</w:t>
            </w:r>
          </w:p>
        </w:tc>
        <w:tc>
          <w:tcPr>
            <w:tcW w:w="3541" w:type="dxa"/>
            <w:shd w:val="clear" w:color="auto" w:fill="C6EFCE"/>
            <w:tcMar>
              <w:left w:w="108" w:type="dxa"/>
              <w:right w:w="108" w:type="dxa"/>
            </w:tcMar>
            <w:vAlign w:val="center"/>
          </w:tcPr>
          <w:p w14:paraId="4C93C94F" w14:textId="77777777" w:rsidR="00E42B18" w:rsidRDefault="009629C4">
            <w:pPr>
              <w:pStyle w:val="P68B1DB1-Normal121"/>
              <w:spacing w:after="0" w:line="240" w:lineRule="auto"/>
              <w:rPr>
                <w:noProof/>
              </w:rPr>
            </w:pPr>
            <w:r>
              <w:rPr>
                <w:noProof/>
              </w:rPr>
              <w:t>Investointi 3.4: Fondo Contratti di Filiera (FCF) maatalouselintarvike-, kalastus- ja vesiviljely-, metsätalous-, kukkaviljely- ja taimitarha-alojen toimitusketjusopimusten tukemiseksi</w:t>
            </w:r>
          </w:p>
        </w:tc>
        <w:tc>
          <w:tcPr>
            <w:tcW w:w="1276" w:type="dxa"/>
            <w:shd w:val="clear" w:color="auto" w:fill="C6EFCE"/>
            <w:tcMar>
              <w:left w:w="108" w:type="dxa"/>
              <w:right w:w="108" w:type="dxa"/>
            </w:tcMar>
            <w:vAlign w:val="center"/>
          </w:tcPr>
          <w:p w14:paraId="5C9EC0A0" w14:textId="77777777" w:rsidR="00E42B18" w:rsidRDefault="009629C4">
            <w:pPr>
              <w:pStyle w:val="P68B1DB1-Normal121"/>
              <w:spacing w:after="0" w:line="240" w:lineRule="auto"/>
              <w:jc w:val="center"/>
              <w:rPr>
                <w:noProof/>
              </w:rPr>
            </w:pPr>
            <w:r>
              <w:rPr>
                <w:noProof/>
              </w:rPr>
              <w:t>Virstanpylväs</w:t>
            </w:r>
          </w:p>
        </w:tc>
        <w:tc>
          <w:tcPr>
            <w:tcW w:w="3260" w:type="dxa"/>
            <w:shd w:val="clear" w:color="auto" w:fill="C6EFCE"/>
            <w:tcMar>
              <w:left w:w="108" w:type="dxa"/>
              <w:right w:w="108" w:type="dxa"/>
            </w:tcMar>
            <w:vAlign w:val="center"/>
          </w:tcPr>
          <w:p w14:paraId="5150ADAA" w14:textId="77777777" w:rsidR="00E42B18" w:rsidRDefault="009629C4">
            <w:pPr>
              <w:pStyle w:val="P68B1DB1-Normal121"/>
              <w:spacing w:after="0" w:line="240" w:lineRule="auto"/>
              <w:rPr>
                <w:noProof/>
              </w:rPr>
            </w:pPr>
            <w:r>
              <w:rPr>
                <w:noProof/>
              </w:rPr>
              <w:t>ISMEAlle siirretyt varat ja täytäntöönpanosopimuksen muuttaminen</w:t>
            </w:r>
          </w:p>
        </w:tc>
      </w:tr>
      <w:tr w:rsidR="00E42B18" w14:paraId="310AA06C"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F6F54F" w14:textId="77777777" w:rsidR="00E42B18" w:rsidRDefault="009629C4">
            <w:pPr>
              <w:pStyle w:val="P68B1DB1-Normal121"/>
              <w:spacing w:after="0" w:line="240" w:lineRule="auto"/>
              <w:jc w:val="center"/>
              <w:rPr>
                <w:noProof/>
              </w:rPr>
            </w:pPr>
            <w:r>
              <w:rPr>
                <w:noProof/>
              </w:rPr>
              <w:t>M4C1–31</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2D8CF9" w14:textId="77777777" w:rsidR="00E42B18" w:rsidRDefault="009629C4">
            <w:pPr>
              <w:pStyle w:val="P68B1DB1-Normal121"/>
              <w:spacing w:after="0" w:line="240" w:lineRule="auto"/>
              <w:rPr>
                <w:noProof/>
              </w:rPr>
            </w:pPr>
            <w:r>
              <w:rPr>
                <w:noProof/>
              </w:rPr>
              <w:t>Investointi 5: Opiskelijoiden asuntorahasto</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860BEA" w14:textId="77777777" w:rsidR="00E42B18" w:rsidRDefault="009629C4">
            <w:pPr>
              <w:pStyle w:val="P68B1DB1-Normal121"/>
              <w:spacing w:after="0" w:line="240" w:lineRule="auto"/>
              <w:jc w:val="center"/>
              <w:rPr>
                <w:noProof/>
              </w:rPr>
            </w:pPr>
            <w:r>
              <w:rPr>
                <w:noProof/>
              </w:rPr>
              <w:t>Virstanpylväs</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83F996" w14:textId="77777777" w:rsidR="00E42B18" w:rsidRDefault="009629C4">
            <w:pPr>
              <w:pStyle w:val="P68B1DB1-Normal121"/>
              <w:spacing w:after="0" w:line="240" w:lineRule="auto"/>
              <w:rPr>
                <w:noProof/>
              </w:rPr>
            </w:pPr>
            <w:r>
              <w:rPr>
                <w:noProof/>
              </w:rPr>
              <w:t>Täytäntöönpanosopimus</w:t>
            </w:r>
          </w:p>
        </w:tc>
      </w:tr>
      <w:tr w:rsidR="00E42B18" w14:paraId="21275B8B"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B91A29" w14:textId="77777777" w:rsidR="00E42B18" w:rsidRDefault="009629C4">
            <w:pPr>
              <w:pStyle w:val="P68B1DB1-Normal121"/>
              <w:spacing w:after="0" w:line="240" w:lineRule="auto"/>
              <w:jc w:val="center"/>
              <w:rPr>
                <w:noProof/>
              </w:rPr>
            </w:pPr>
            <w:r>
              <w:rPr>
                <w:noProof/>
              </w:rPr>
              <w:t>M5C1–19bis</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2D894F" w14:textId="77777777" w:rsidR="00E42B18" w:rsidRDefault="009629C4">
            <w:pPr>
              <w:pStyle w:val="P68B1DB1-Normal121"/>
              <w:spacing w:after="0" w:line="240" w:lineRule="auto"/>
              <w:rPr>
                <w:noProof/>
              </w:rPr>
            </w:pPr>
            <w:r>
              <w:rPr>
                <w:noProof/>
              </w:rPr>
              <w:t>Investointi 5 – Naisyritysten perustaminen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F983A1" w14:textId="77777777" w:rsidR="00E42B18" w:rsidRDefault="009629C4">
            <w:pPr>
              <w:pStyle w:val="P68B1DB1-Normal121"/>
              <w:spacing w:after="0" w:line="240" w:lineRule="auto"/>
              <w:jc w:val="center"/>
              <w:rPr>
                <w:noProof/>
              </w:rPr>
            </w:pPr>
            <w:r>
              <w:rPr>
                <w:noProof/>
              </w:rPr>
              <w:t>Virstanpylväs</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3B6891" w14:textId="77777777" w:rsidR="00E42B18" w:rsidRDefault="009629C4">
            <w:pPr>
              <w:pStyle w:val="P68B1DB1-Normal121"/>
              <w:spacing w:after="0" w:line="240" w:lineRule="auto"/>
              <w:rPr>
                <w:noProof/>
              </w:rPr>
            </w:pPr>
            <w:r>
              <w:rPr>
                <w:noProof/>
              </w:rPr>
              <w:t>Täytäntöönpanosopimus ja siirto Invitaliaan</w:t>
            </w:r>
          </w:p>
        </w:tc>
      </w:tr>
      <w:tr w:rsidR="00E42B18" w14:paraId="2F47054C"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DEFA74E" w14:textId="77777777" w:rsidR="00E42B18" w:rsidRDefault="009629C4">
            <w:pPr>
              <w:pStyle w:val="P68B1DB1-Normal121"/>
              <w:spacing w:after="0" w:line="240" w:lineRule="auto"/>
              <w:jc w:val="center"/>
              <w:rPr>
                <w:noProof/>
              </w:rPr>
            </w:pPr>
            <w:r>
              <w:rPr>
                <w:noProof/>
              </w:rPr>
              <w:t>M1C2–30</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243EF" w14:textId="77777777" w:rsidR="00E42B18" w:rsidRDefault="009629C4">
            <w:pPr>
              <w:pStyle w:val="P68B1DB1-Normal121"/>
              <w:spacing w:after="0" w:line="240" w:lineRule="auto"/>
              <w:rPr>
                <w:noProof/>
              </w:rPr>
            </w:pPr>
            <w:r>
              <w:rPr>
                <w:noProof/>
              </w:rPr>
              <w:t>Investointi 7 – Kansallinen yhteenliitettävyysrahasto</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25178C" w14:textId="77777777" w:rsidR="00E42B18" w:rsidRDefault="009629C4">
            <w:pPr>
              <w:pStyle w:val="P68B1DB1-Normal121"/>
              <w:spacing w:after="0" w:line="240" w:lineRule="auto"/>
              <w:jc w:val="center"/>
              <w:rPr>
                <w:noProof/>
              </w:rPr>
            </w:pPr>
            <w:r>
              <w:rPr>
                <w:noProof/>
              </w:rPr>
              <w:t>Virstanpylväs</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0502BD" w14:textId="77777777" w:rsidR="00E42B18" w:rsidRDefault="009629C4">
            <w:pPr>
              <w:pStyle w:val="P68B1DB1-Normal121"/>
              <w:spacing w:after="0" w:line="240" w:lineRule="auto"/>
              <w:rPr>
                <w:noProof/>
              </w:rPr>
            </w:pPr>
            <w:r>
              <w:rPr>
                <w:noProof/>
              </w:rPr>
              <w:t>Täytäntöönpanosopimus</w:t>
            </w:r>
          </w:p>
        </w:tc>
      </w:tr>
      <w:tr w:rsidR="00E42B18" w14:paraId="1B6AB2E3"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63BF030B" w14:textId="3CD3D37C" w:rsidR="00E42B18" w:rsidRDefault="009629C4">
            <w:pPr>
              <w:pStyle w:val="P68B1DB1-Normal121"/>
              <w:spacing w:after="0" w:line="240" w:lineRule="auto"/>
              <w:jc w:val="center"/>
              <w:rPr>
                <w:noProof/>
              </w:rPr>
            </w:pPr>
            <w:r>
              <w:rPr>
                <w:noProof/>
              </w:rPr>
              <w:t>M2C1–26</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E4A48C" w14:textId="2564FFEF" w:rsidR="00E42B18" w:rsidRDefault="009629C4">
            <w:pPr>
              <w:pStyle w:val="P68B1DB1-Normal121"/>
              <w:spacing w:after="0" w:line="240" w:lineRule="auto"/>
              <w:rPr>
                <w:noProof/>
              </w:rPr>
            </w:pPr>
            <w:r>
              <w:rPr>
                <w:noProof/>
              </w:rPr>
              <w:t>Investointi 4: AGRI-alar Park -järjestely</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8969C0" w14:textId="2EBB3D08" w:rsidR="00E42B18" w:rsidRDefault="009629C4">
            <w:pPr>
              <w:pStyle w:val="P68B1DB1-Normal121"/>
              <w:spacing w:after="0" w:line="240" w:lineRule="auto"/>
              <w:jc w:val="center"/>
              <w:rPr>
                <w:noProof/>
              </w:rPr>
            </w:pPr>
            <w:r>
              <w:rPr>
                <w:noProof/>
              </w:rPr>
              <w:t>Virstanpylväs</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AAAAE3" w14:textId="60212123" w:rsidR="00E42B18" w:rsidRDefault="009629C4">
            <w:pPr>
              <w:pStyle w:val="P68B1DB1-Normal121"/>
              <w:spacing w:after="0" w:line="240" w:lineRule="auto"/>
              <w:rPr>
                <w:noProof/>
              </w:rPr>
            </w:pPr>
            <w:r>
              <w:rPr>
                <w:noProof/>
              </w:rPr>
              <w:t>Täytäntöönpanosopimus</w:t>
            </w:r>
          </w:p>
        </w:tc>
      </w:tr>
      <w:tr w:rsidR="00E42B18" w14:paraId="19A3807B"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E7CEFE" w14:textId="3FEC8602" w:rsidR="00E42B18" w:rsidRDefault="009629C4">
            <w:pPr>
              <w:pStyle w:val="P68B1DB1-Normal121"/>
              <w:spacing w:after="0" w:line="240" w:lineRule="auto"/>
              <w:jc w:val="center"/>
              <w:rPr>
                <w:noProof/>
              </w:rPr>
            </w:pPr>
            <w:r>
              <w:rPr>
                <w:noProof/>
              </w:rPr>
              <w:t>M5C2–18</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FCB2ED" w14:textId="6FDDC8A6" w:rsidR="00E42B18" w:rsidRDefault="009629C4">
            <w:pPr>
              <w:pStyle w:val="P68B1DB1-Normal121"/>
              <w:spacing w:after="0" w:line="240" w:lineRule="auto"/>
              <w:rPr>
                <w:noProof/>
              </w:rPr>
            </w:pPr>
            <w:r>
              <w:rPr>
                <w:noProof/>
              </w:rPr>
              <w:t>Investointi 5 – Yhdennetyt kaupunkisuunnitelmat – EIP:n rahasto – rahasto</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6900F9" w14:textId="2A6784E9" w:rsidR="00E42B18" w:rsidRDefault="009629C4">
            <w:pPr>
              <w:pStyle w:val="P68B1DB1-Normal121"/>
              <w:spacing w:after="0" w:line="240" w:lineRule="auto"/>
              <w:jc w:val="center"/>
              <w:rPr>
                <w:noProof/>
              </w:rPr>
            </w:pPr>
            <w:r>
              <w:rPr>
                <w:noProof/>
              </w:rPr>
              <w:t>Kohde</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56FFE2" w14:textId="6062BB2E" w:rsidR="00E42B18" w:rsidRDefault="009629C4">
            <w:pPr>
              <w:pStyle w:val="P68B1DB1-Normal121"/>
              <w:spacing w:after="0" w:line="240" w:lineRule="auto"/>
              <w:rPr>
                <w:noProof/>
              </w:rPr>
            </w:pPr>
            <w:r>
              <w:rPr>
                <w:noProof/>
              </w:rPr>
              <w:t xml:space="preserve">Lopullisten edunsaajien kanssa allekirjoitetut oikeudelliset sopimukset, joiden kohteena olevien hankkeiden investointiarvo on vähintään 545000000 euroa   </w:t>
            </w:r>
          </w:p>
        </w:tc>
      </w:tr>
      <w:tr w:rsidR="00E42B18" w14:paraId="598C50AE" w14:textId="77777777">
        <w:trPr>
          <w:trHeight w:val="300"/>
        </w:trPr>
        <w:tc>
          <w:tcPr>
            <w:tcW w:w="1154" w:type="dxa"/>
            <w:shd w:val="clear" w:color="auto" w:fill="C6EFCE"/>
            <w:tcMar>
              <w:left w:w="108" w:type="dxa"/>
              <w:right w:w="108" w:type="dxa"/>
            </w:tcMar>
            <w:vAlign w:val="center"/>
          </w:tcPr>
          <w:p w14:paraId="127A4682" w14:textId="77777777" w:rsidR="00E42B18" w:rsidRDefault="00E42B18">
            <w:pPr>
              <w:spacing w:after="0" w:line="240" w:lineRule="auto"/>
              <w:jc w:val="center"/>
              <w:rPr>
                <w:rFonts w:ascii="Times New Roman" w:eastAsia="Times New Roman" w:hAnsi="Times New Roman" w:cs="Times New Roman"/>
                <w:noProof/>
              </w:rPr>
            </w:pPr>
          </w:p>
        </w:tc>
        <w:tc>
          <w:tcPr>
            <w:tcW w:w="3541" w:type="dxa"/>
            <w:shd w:val="clear" w:color="auto" w:fill="C6EFCE"/>
            <w:tcMar>
              <w:left w:w="108" w:type="dxa"/>
              <w:right w:w="108" w:type="dxa"/>
            </w:tcMar>
            <w:vAlign w:val="center"/>
          </w:tcPr>
          <w:p w14:paraId="77EFA4B7" w14:textId="77777777" w:rsidR="00E42B18" w:rsidRDefault="009629C4">
            <w:pPr>
              <w:pStyle w:val="P68B1DB1-Normal121"/>
              <w:spacing w:after="0" w:line="240" w:lineRule="auto"/>
              <w:rPr>
                <w:noProof/>
              </w:rPr>
            </w:pPr>
            <w:r>
              <w:rPr>
                <w:noProof/>
              </w:rPr>
              <w:t xml:space="preserve"> </w:t>
            </w:r>
          </w:p>
        </w:tc>
        <w:tc>
          <w:tcPr>
            <w:tcW w:w="1276" w:type="dxa"/>
            <w:shd w:val="clear" w:color="auto" w:fill="C6EFCE"/>
            <w:tcMar>
              <w:left w:w="108" w:type="dxa"/>
              <w:right w:w="108" w:type="dxa"/>
            </w:tcMar>
            <w:vAlign w:val="center"/>
          </w:tcPr>
          <w:p w14:paraId="3F8F093A" w14:textId="77777777" w:rsidR="00E42B18" w:rsidRDefault="009629C4">
            <w:pPr>
              <w:pStyle w:val="P68B1DB1-Normal121"/>
              <w:spacing w:after="0" w:line="240" w:lineRule="auto"/>
              <w:jc w:val="center"/>
              <w:rPr>
                <w:noProof/>
              </w:rPr>
            </w:pPr>
            <w:r>
              <w:rPr>
                <w:noProof/>
              </w:rPr>
              <w:t>Maksuerän määrä</w:t>
            </w:r>
          </w:p>
        </w:tc>
        <w:tc>
          <w:tcPr>
            <w:tcW w:w="3260" w:type="dxa"/>
            <w:shd w:val="clear" w:color="auto" w:fill="C6EFCE"/>
            <w:tcMar>
              <w:left w:w="108" w:type="dxa"/>
              <w:right w:w="108" w:type="dxa"/>
            </w:tcMar>
            <w:vAlign w:val="center"/>
          </w:tcPr>
          <w:p w14:paraId="6D61BC93" w14:textId="77777777" w:rsidR="00E42B18" w:rsidRDefault="009629C4">
            <w:pPr>
              <w:pStyle w:val="P68B1DB1-Normal8"/>
              <w:spacing w:after="0" w:line="240" w:lineRule="auto"/>
              <w:rPr>
                <w:noProof/>
              </w:rPr>
            </w:pPr>
            <w:r>
              <w:rPr>
                <w:noProof/>
                <w:color w:val="006100"/>
                <w:sz w:val="20"/>
                <w:szCs w:val="20"/>
              </w:rPr>
              <w:t>YHTEENSÄ</w:t>
            </w:r>
            <w:r>
              <w:rPr>
                <w:noProof/>
                <w:sz w:val="23"/>
                <w:szCs w:val="23"/>
              </w:rPr>
              <w:t xml:space="preserve"> </w:t>
            </w:r>
            <w:r>
              <w:rPr>
                <w:noProof/>
                <w:color w:val="006100"/>
                <w:sz w:val="20"/>
                <w:szCs w:val="20"/>
              </w:rPr>
              <w:t>7118464154</w:t>
            </w:r>
            <w:r>
              <w:rPr>
                <w:noProof/>
                <w:sz w:val="23"/>
                <w:szCs w:val="23"/>
              </w:rPr>
              <w:t xml:space="preserve">  </w:t>
            </w:r>
            <w:r>
              <w:rPr>
                <w:noProof/>
                <w:color w:val="006100"/>
                <w:sz w:val="20"/>
                <w:szCs w:val="20"/>
              </w:rPr>
              <w:t>EUROA</w:t>
            </w:r>
          </w:p>
        </w:tc>
      </w:tr>
    </w:tbl>
    <w:p w14:paraId="77001805" w14:textId="77777777" w:rsidR="00E42B18" w:rsidRDefault="00E42B18">
      <w:pPr>
        <w:rPr>
          <w:rFonts w:ascii="Times New Roman" w:eastAsia="Times New Roman" w:hAnsi="Times New Roman" w:cs="Times New Roman"/>
          <w:noProof/>
        </w:rPr>
      </w:pPr>
    </w:p>
    <w:p w14:paraId="59A67ED6" w14:textId="77777777" w:rsidR="00E42B18" w:rsidRDefault="009629C4">
      <w:pPr>
        <w:pStyle w:val="P68B1DB1-Heading34"/>
        <w:numPr>
          <w:ilvl w:val="1"/>
          <w:numId w:val="179"/>
        </w:numPr>
        <w:tabs>
          <w:tab w:val="clear" w:pos="850"/>
          <w:tab w:val="num" w:pos="1440"/>
        </w:tabs>
        <w:ind w:left="1440" w:hanging="360"/>
        <w:rPr>
          <w:noProof/>
        </w:rPr>
      </w:pPr>
      <w:r>
        <w:rPr>
          <w:noProof/>
        </w:rPr>
        <w:t>Kymmenes erä (lainatuki):</w:t>
      </w:r>
    </w:p>
    <w:tbl>
      <w:tblPr>
        <w:tblW w:w="923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6"/>
        <w:gridCol w:w="3449"/>
        <w:gridCol w:w="1134"/>
        <w:gridCol w:w="3402"/>
      </w:tblGrid>
      <w:tr w:rsidR="00E42B18" w14:paraId="3EA114BB" w14:textId="77777777">
        <w:trPr>
          <w:trHeight w:val="900"/>
          <w:tblHeader/>
        </w:trPr>
        <w:tc>
          <w:tcPr>
            <w:tcW w:w="1246" w:type="dxa"/>
            <w:vMerge w:val="restart"/>
            <w:shd w:val="clear" w:color="auto" w:fill="BDD7EE"/>
            <w:tcMar>
              <w:left w:w="108" w:type="dxa"/>
              <w:right w:w="108" w:type="dxa"/>
            </w:tcMar>
            <w:vAlign w:val="center"/>
          </w:tcPr>
          <w:p w14:paraId="635CBDDE" w14:textId="77777777" w:rsidR="00E42B18" w:rsidRDefault="009629C4">
            <w:pPr>
              <w:pStyle w:val="P68B1DB1-Normal120"/>
              <w:spacing w:after="0" w:line="240" w:lineRule="auto"/>
              <w:jc w:val="center"/>
              <w:rPr>
                <w:noProof/>
              </w:rPr>
            </w:pPr>
            <w:r>
              <w:rPr>
                <w:noProof/>
              </w:rPr>
              <w:t>Juokseva numero</w:t>
            </w:r>
          </w:p>
        </w:tc>
        <w:tc>
          <w:tcPr>
            <w:tcW w:w="3449" w:type="dxa"/>
            <w:vMerge w:val="restart"/>
            <w:shd w:val="clear" w:color="auto" w:fill="BDD7EE"/>
            <w:tcMar>
              <w:left w:w="108" w:type="dxa"/>
              <w:right w:w="108" w:type="dxa"/>
            </w:tcMar>
            <w:vAlign w:val="center"/>
          </w:tcPr>
          <w:p w14:paraId="77ECDD97" w14:textId="77777777" w:rsidR="00E42B18" w:rsidRDefault="009629C4">
            <w:pPr>
              <w:pStyle w:val="P68B1DB1-Normal120"/>
              <w:spacing w:after="0" w:line="240" w:lineRule="auto"/>
              <w:jc w:val="center"/>
              <w:rPr>
                <w:noProof/>
              </w:rPr>
            </w:pPr>
            <w:r>
              <w:rPr>
                <w:noProof/>
              </w:rPr>
              <w:t>Toimenpide (uudistus tai investointi)</w:t>
            </w:r>
          </w:p>
        </w:tc>
        <w:tc>
          <w:tcPr>
            <w:tcW w:w="1134" w:type="dxa"/>
            <w:vMerge w:val="restart"/>
            <w:shd w:val="clear" w:color="auto" w:fill="BDD7EE"/>
            <w:tcMar>
              <w:left w:w="108" w:type="dxa"/>
              <w:right w:w="108" w:type="dxa"/>
            </w:tcMar>
            <w:vAlign w:val="center"/>
          </w:tcPr>
          <w:p w14:paraId="54FDD1EE" w14:textId="77777777" w:rsidR="00E42B18" w:rsidRDefault="009629C4">
            <w:pPr>
              <w:pStyle w:val="P68B1DB1-Normal120"/>
              <w:spacing w:after="0" w:line="240" w:lineRule="auto"/>
              <w:jc w:val="center"/>
              <w:rPr>
                <w:noProof/>
              </w:rPr>
            </w:pPr>
            <w:r>
              <w:rPr>
                <w:noProof/>
              </w:rPr>
              <w:t>Välitavoite/tavoite</w:t>
            </w:r>
          </w:p>
        </w:tc>
        <w:tc>
          <w:tcPr>
            <w:tcW w:w="3402" w:type="dxa"/>
            <w:vMerge w:val="restart"/>
            <w:shd w:val="clear" w:color="auto" w:fill="BDD7EE"/>
            <w:tcMar>
              <w:left w:w="108" w:type="dxa"/>
              <w:right w:w="108" w:type="dxa"/>
            </w:tcMar>
            <w:vAlign w:val="center"/>
          </w:tcPr>
          <w:p w14:paraId="286B7CD7" w14:textId="77777777" w:rsidR="00E42B18" w:rsidRDefault="009629C4">
            <w:pPr>
              <w:pStyle w:val="P68B1DB1-Normal120"/>
              <w:spacing w:after="0" w:line="240" w:lineRule="auto"/>
              <w:jc w:val="center"/>
              <w:rPr>
                <w:noProof/>
              </w:rPr>
            </w:pPr>
            <w:r>
              <w:rPr>
                <w:noProof/>
              </w:rPr>
              <w:t>Nimi</w:t>
            </w:r>
          </w:p>
        </w:tc>
      </w:tr>
      <w:tr w:rsidR="00E42B18" w14:paraId="2DDC408E" w14:textId="77777777">
        <w:trPr>
          <w:trHeight w:val="510"/>
        </w:trPr>
        <w:tc>
          <w:tcPr>
            <w:tcW w:w="1246" w:type="dxa"/>
            <w:vMerge/>
            <w:vAlign w:val="center"/>
          </w:tcPr>
          <w:p w14:paraId="44A50E7E" w14:textId="77777777" w:rsidR="00E42B18" w:rsidRDefault="00E42B18">
            <w:pPr>
              <w:spacing w:after="0" w:line="240" w:lineRule="auto"/>
              <w:jc w:val="center"/>
              <w:rPr>
                <w:rFonts w:ascii="Times New Roman" w:eastAsia="Times New Roman" w:hAnsi="Times New Roman" w:cs="Times New Roman"/>
                <w:noProof/>
              </w:rPr>
            </w:pPr>
          </w:p>
        </w:tc>
        <w:tc>
          <w:tcPr>
            <w:tcW w:w="3449" w:type="dxa"/>
            <w:vMerge/>
            <w:vAlign w:val="center"/>
          </w:tcPr>
          <w:p w14:paraId="0B29D955" w14:textId="77777777" w:rsidR="00E42B18" w:rsidRDefault="00E42B18">
            <w:pPr>
              <w:spacing w:after="0" w:line="240" w:lineRule="auto"/>
              <w:rPr>
                <w:rFonts w:ascii="Times New Roman" w:eastAsia="Times New Roman" w:hAnsi="Times New Roman" w:cs="Times New Roman"/>
                <w:noProof/>
              </w:rPr>
            </w:pPr>
          </w:p>
        </w:tc>
        <w:tc>
          <w:tcPr>
            <w:tcW w:w="1134" w:type="dxa"/>
            <w:vMerge/>
            <w:vAlign w:val="center"/>
          </w:tcPr>
          <w:p w14:paraId="5F835863" w14:textId="77777777" w:rsidR="00E42B18" w:rsidRDefault="00E42B18">
            <w:pPr>
              <w:spacing w:after="0" w:line="240" w:lineRule="auto"/>
              <w:jc w:val="center"/>
              <w:rPr>
                <w:rFonts w:ascii="Times New Roman" w:eastAsia="Times New Roman" w:hAnsi="Times New Roman" w:cs="Times New Roman"/>
                <w:noProof/>
              </w:rPr>
            </w:pPr>
          </w:p>
        </w:tc>
        <w:tc>
          <w:tcPr>
            <w:tcW w:w="3402" w:type="dxa"/>
            <w:vMerge/>
            <w:vAlign w:val="center"/>
          </w:tcPr>
          <w:p w14:paraId="4CE2A4E2" w14:textId="77777777" w:rsidR="00E42B18" w:rsidRDefault="00E42B18">
            <w:pPr>
              <w:spacing w:after="0" w:line="240" w:lineRule="auto"/>
              <w:rPr>
                <w:rFonts w:ascii="Times New Roman" w:eastAsia="Times New Roman" w:hAnsi="Times New Roman" w:cs="Times New Roman"/>
                <w:noProof/>
              </w:rPr>
            </w:pPr>
          </w:p>
        </w:tc>
      </w:tr>
      <w:tr w:rsidR="00E42B18" w14:paraId="5A6FEF3A" w14:textId="77777777">
        <w:trPr>
          <w:trHeight w:val="300"/>
        </w:trPr>
        <w:tc>
          <w:tcPr>
            <w:tcW w:w="1246" w:type="dxa"/>
            <w:shd w:val="clear" w:color="auto" w:fill="C6EFCE"/>
            <w:tcMar>
              <w:left w:w="108" w:type="dxa"/>
              <w:right w:w="108" w:type="dxa"/>
            </w:tcMar>
            <w:vAlign w:val="center"/>
          </w:tcPr>
          <w:p w14:paraId="75A541E1" w14:textId="77777777" w:rsidR="00E42B18" w:rsidRDefault="009629C4">
            <w:pPr>
              <w:pStyle w:val="P68B1DB1-Normal121"/>
              <w:spacing w:after="0" w:line="240" w:lineRule="auto"/>
              <w:jc w:val="center"/>
              <w:rPr>
                <w:noProof/>
              </w:rPr>
            </w:pPr>
            <w:r>
              <w:rPr>
                <w:noProof/>
              </w:rPr>
              <w:t>M2C3–6</w:t>
            </w:r>
          </w:p>
        </w:tc>
        <w:tc>
          <w:tcPr>
            <w:tcW w:w="3449" w:type="dxa"/>
            <w:shd w:val="clear" w:color="auto" w:fill="C6EFCE"/>
            <w:tcMar>
              <w:left w:w="108" w:type="dxa"/>
              <w:right w:w="108" w:type="dxa"/>
            </w:tcMar>
            <w:vAlign w:val="center"/>
          </w:tcPr>
          <w:p w14:paraId="5FDD3AB7" w14:textId="77777777" w:rsidR="00E42B18" w:rsidRDefault="009629C4">
            <w:pPr>
              <w:pStyle w:val="P68B1DB1-Normal121"/>
              <w:spacing w:after="0" w:line="240" w:lineRule="auto"/>
              <w:rPr>
                <w:noProof/>
              </w:rPr>
            </w:pPr>
            <w:r>
              <w:rPr>
                <w:noProof/>
              </w:rPr>
              <w:t>Investointi 1.1: Uusien koulujen rakentaminen rakennusten vaihtamisen avulla</w:t>
            </w:r>
          </w:p>
        </w:tc>
        <w:tc>
          <w:tcPr>
            <w:tcW w:w="1134" w:type="dxa"/>
            <w:shd w:val="clear" w:color="auto" w:fill="C6EFCE"/>
            <w:tcMar>
              <w:left w:w="108" w:type="dxa"/>
              <w:right w:w="108" w:type="dxa"/>
            </w:tcMar>
            <w:vAlign w:val="center"/>
          </w:tcPr>
          <w:p w14:paraId="45226090"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52DF453C" w14:textId="77777777" w:rsidR="00E42B18" w:rsidRDefault="009629C4">
            <w:pPr>
              <w:pStyle w:val="P68B1DB1-Normal121"/>
              <w:spacing w:after="0" w:line="240" w:lineRule="auto"/>
              <w:rPr>
                <w:noProof/>
              </w:rPr>
            </w:pPr>
            <w:r>
              <w:rPr>
                <w:noProof/>
              </w:rPr>
              <w:t>Rakennusten uusimisen avulla rakennetaan vähintään 166 uutta koulua.</w:t>
            </w:r>
          </w:p>
        </w:tc>
      </w:tr>
      <w:tr w:rsidR="00E42B18" w14:paraId="2ABF07AD" w14:textId="77777777">
        <w:trPr>
          <w:trHeight w:val="300"/>
        </w:trPr>
        <w:tc>
          <w:tcPr>
            <w:tcW w:w="1246" w:type="dxa"/>
            <w:shd w:val="clear" w:color="auto" w:fill="C6EFCE"/>
            <w:tcMar>
              <w:left w:w="108" w:type="dxa"/>
              <w:right w:w="108" w:type="dxa"/>
            </w:tcMar>
            <w:vAlign w:val="center"/>
          </w:tcPr>
          <w:p w14:paraId="13397B82" w14:textId="77777777" w:rsidR="00E42B18" w:rsidRDefault="009629C4">
            <w:pPr>
              <w:pStyle w:val="P68B1DB1-Normal121"/>
              <w:spacing w:after="0" w:line="240" w:lineRule="auto"/>
              <w:jc w:val="center"/>
              <w:rPr>
                <w:noProof/>
              </w:rPr>
            </w:pPr>
            <w:r>
              <w:rPr>
                <w:noProof/>
              </w:rPr>
              <w:t>M2C3–8</w:t>
            </w:r>
          </w:p>
        </w:tc>
        <w:tc>
          <w:tcPr>
            <w:tcW w:w="3449" w:type="dxa"/>
            <w:shd w:val="clear" w:color="auto" w:fill="C6EFCE"/>
            <w:tcMar>
              <w:left w:w="108" w:type="dxa"/>
              <w:right w:w="108" w:type="dxa"/>
            </w:tcMar>
            <w:vAlign w:val="center"/>
          </w:tcPr>
          <w:p w14:paraId="1F43F23C" w14:textId="77777777" w:rsidR="00E42B18" w:rsidRDefault="009629C4">
            <w:pPr>
              <w:pStyle w:val="P68B1DB1-Normal121"/>
              <w:spacing w:after="0" w:line="240" w:lineRule="auto"/>
              <w:rPr>
                <w:noProof/>
              </w:rPr>
            </w:pPr>
            <w:r>
              <w:rPr>
                <w:noProof/>
              </w:rPr>
              <w:t>Investointi 1.2 – Oikeushallinnon osittain tai kokonaan käyttämien julkisten kiinteistöjen tasaaminen</w:t>
            </w:r>
          </w:p>
        </w:tc>
        <w:tc>
          <w:tcPr>
            <w:tcW w:w="1134" w:type="dxa"/>
            <w:shd w:val="clear" w:color="auto" w:fill="C6EFCE"/>
            <w:tcMar>
              <w:left w:w="108" w:type="dxa"/>
              <w:right w:w="108" w:type="dxa"/>
            </w:tcMar>
            <w:vAlign w:val="center"/>
          </w:tcPr>
          <w:p w14:paraId="0CB0B0A1"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174D93E" w14:textId="77777777" w:rsidR="00E42B18" w:rsidRDefault="009629C4">
            <w:pPr>
              <w:pStyle w:val="P68B1DB1-Normal121"/>
              <w:spacing w:after="0" w:line="240" w:lineRule="auto"/>
              <w:rPr>
                <w:noProof/>
              </w:rPr>
            </w:pPr>
            <w:r>
              <w:rPr>
                <w:noProof/>
              </w:rPr>
              <w:t>Työt, joiden kohteena on vähintään 289000 neliömetriä julkista kiinteistöomaisuutta</w:t>
            </w:r>
          </w:p>
        </w:tc>
      </w:tr>
      <w:tr w:rsidR="00E42B18" w14:paraId="379989C1" w14:textId="77777777">
        <w:trPr>
          <w:trHeight w:val="300"/>
        </w:trPr>
        <w:tc>
          <w:tcPr>
            <w:tcW w:w="1246" w:type="dxa"/>
            <w:shd w:val="clear" w:color="auto" w:fill="C6EFCE"/>
            <w:tcMar>
              <w:left w:w="108" w:type="dxa"/>
              <w:right w:w="108" w:type="dxa"/>
            </w:tcMar>
            <w:vAlign w:val="center"/>
          </w:tcPr>
          <w:p w14:paraId="7D963DE7" w14:textId="77777777" w:rsidR="00E42B18" w:rsidRDefault="009629C4">
            <w:pPr>
              <w:pStyle w:val="P68B1DB1-Normal121"/>
              <w:spacing w:after="0" w:line="240" w:lineRule="auto"/>
              <w:jc w:val="center"/>
              <w:rPr>
                <w:noProof/>
              </w:rPr>
            </w:pPr>
            <w:r>
              <w:rPr>
                <w:noProof/>
              </w:rPr>
              <w:t>M2C3–10</w:t>
            </w:r>
          </w:p>
        </w:tc>
        <w:tc>
          <w:tcPr>
            <w:tcW w:w="3449" w:type="dxa"/>
            <w:shd w:val="clear" w:color="auto" w:fill="C6EFCE"/>
            <w:tcMar>
              <w:left w:w="108" w:type="dxa"/>
              <w:right w:w="108" w:type="dxa"/>
            </w:tcMar>
            <w:vAlign w:val="center"/>
          </w:tcPr>
          <w:p w14:paraId="07D1C0C1" w14:textId="77777777" w:rsidR="00E42B18" w:rsidRDefault="009629C4">
            <w:pPr>
              <w:pStyle w:val="P68B1DB1-Normal121"/>
              <w:spacing w:after="0" w:line="240" w:lineRule="auto"/>
              <w:rPr>
                <w:noProof/>
              </w:rPr>
            </w:pPr>
            <w:r>
              <w:rPr>
                <w:noProof/>
              </w:rPr>
              <w:t>Investointi 3.1: Tehokkaan kaukolämmön edistäminen</w:t>
            </w:r>
          </w:p>
        </w:tc>
        <w:tc>
          <w:tcPr>
            <w:tcW w:w="1134" w:type="dxa"/>
            <w:shd w:val="clear" w:color="auto" w:fill="C6EFCE"/>
            <w:tcMar>
              <w:left w:w="108" w:type="dxa"/>
              <w:right w:w="108" w:type="dxa"/>
            </w:tcMar>
            <w:vAlign w:val="center"/>
          </w:tcPr>
          <w:p w14:paraId="14DC6D14"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67515E3F" w14:textId="77777777" w:rsidR="00E42B18" w:rsidRDefault="009629C4">
            <w:pPr>
              <w:pStyle w:val="P68B1DB1-Normal121"/>
              <w:spacing w:after="0" w:line="240" w:lineRule="auto"/>
              <w:rPr>
                <w:noProof/>
              </w:rPr>
            </w:pPr>
            <w:r>
              <w:rPr>
                <w:noProof/>
              </w:rPr>
              <w:t xml:space="preserve">Kaukolämpöverkkojen rakentaminen tai laajentaminen energiankulutuksen vähentämiseksi </w:t>
            </w:r>
          </w:p>
        </w:tc>
      </w:tr>
      <w:tr w:rsidR="00E42B18" w14:paraId="530933F3" w14:textId="77777777">
        <w:trPr>
          <w:trHeight w:val="300"/>
        </w:trPr>
        <w:tc>
          <w:tcPr>
            <w:tcW w:w="1246" w:type="dxa"/>
            <w:shd w:val="clear" w:color="auto" w:fill="C6EFCE"/>
            <w:tcMar>
              <w:left w:w="108" w:type="dxa"/>
              <w:right w:w="108" w:type="dxa"/>
            </w:tcMar>
            <w:vAlign w:val="center"/>
          </w:tcPr>
          <w:p w14:paraId="1846760D" w14:textId="77777777" w:rsidR="00E42B18" w:rsidRDefault="009629C4">
            <w:pPr>
              <w:pStyle w:val="P68B1DB1-Normal121"/>
              <w:spacing w:after="0" w:line="240" w:lineRule="auto"/>
              <w:jc w:val="center"/>
              <w:rPr>
                <w:noProof/>
              </w:rPr>
            </w:pPr>
            <w:r>
              <w:rPr>
                <w:noProof/>
              </w:rPr>
              <w:t>M2C4–23</w:t>
            </w:r>
          </w:p>
        </w:tc>
        <w:tc>
          <w:tcPr>
            <w:tcW w:w="3449" w:type="dxa"/>
            <w:shd w:val="clear" w:color="auto" w:fill="C6EFCE"/>
            <w:tcMar>
              <w:left w:w="108" w:type="dxa"/>
              <w:right w:w="108" w:type="dxa"/>
            </w:tcMar>
            <w:vAlign w:val="center"/>
          </w:tcPr>
          <w:p w14:paraId="622B8865" w14:textId="77777777" w:rsidR="00E42B18" w:rsidRDefault="009629C4">
            <w:pPr>
              <w:pStyle w:val="P68B1DB1-Normal121"/>
              <w:spacing w:after="0" w:line="240" w:lineRule="auto"/>
              <w:rPr>
                <w:noProof/>
              </w:rPr>
            </w:pPr>
            <w:r>
              <w:rPr>
                <w:noProof/>
              </w:rPr>
              <w:t>Investointi 3.3 Po-alueen ennallistaminen</w:t>
            </w:r>
          </w:p>
        </w:tc>
        <w:tc>
          <w:tcPr>
            <w:tcW w:w="1134" w:type="dxa"/>
            <w:shd w:val="clear" w:color="auto" w:fill="C6EFCE"/>
            <w:tcMar>
              <w:left w:w="108" w:type="dxa"/>
              <w:right w:w="108" w:type="dxa"/>
            </w:tcMar>
            <w:vAlign w:val="center"/>
          </w:tcPr>
          <w:p w14:paraId="3B1C62F5"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4B0D29CB" w14:textId="77777777" w:rsidR="00E42B18" w:rsidRDefault="009629C4">
            <w:pPr>
              <w:pStyle w:val="P68B1DB1-Normal121"/>
              <w:spacing w:after="0" w:line="240" w:lineRule="auto"/>
              <w:rPr>
                <w:noProof/>
              </w:rPr>
            </w:pPr>
            <w:r>
              <w:rPr>
                <w:noProof/>
              </w:rPr>
              <w:t>Joenpohjan keinotekoisuuden vähentäminen Po-alueen T2 elvyttämistä varten</w:t>
            </w:r>
          </w:p>
        </w:tc>
      </w:tr>
      <w:tr w:rsidR="00E42B18" w14:paraId="5A01352D" w14:textId="77777777">
        <w:trPr>
          <w:trHeight w:val="300"/>
        </w:trPr>
        <w:tc>
          <w:tcPr>
            <w:tcW w:w="1246" w:type="dxa"/>
            <w:shd w:val="clear" w:color="auto" w:fill="C6EFCE"/>
            <w:tcMar>
              <w:left w:w="108" w:type="dxa"/>
              <w:right w:w="108" w:type="dxa"/>
            </w:tcMar>
            <w:vAlign w:val="center"/>
          </w:tcPr>
          <w:p w14:paraId="231ADE00" w14:textId="77777777" w:rsidR="00E42B18" w:rsidRDefault="009629C4">
            <w:pPr>
              <w:pStyle w:val="P68B1DB1-Normal121"/>
              <w:spacing w:after="0" w:line="240" w:lineRule="auto"/>
              <w:jc w:val="center"/>
              <w:rPr>
                <w:noProof/>
              </w:rPr>
            </w:pPr>
            <w:r>
              <w:rPr>
                <w:noProof/>
              </w:rPr>
              <w:t>M2C4–25</w:t>
            </w:r>
          </w:p>
        </w:tc>
        <w:tc>
          <w:tcPr>
            <w:tcW w:w="3449" w:type="dxa"/>
            <w:shd w:val="clear" w:color="auto" w:fill="C6EFCE"/>
            <w:tcMar>
              <w:left w:w="108" w:type="dxa"/>
              <w:right w:w="108" w:type="dxa"/>
            </w:tcMar>
            <w:vAlign w:val="center"/>
          </w:tcPr>
          <w:p w14:paraId="58C36EFB" w14:textId="77777777" w:rsidR="00E42B18" w:rsidRDefault="009629C4">
            <w:pPr>
              <w:pStyle w:val="P68B1DB1-Normal121"/>
              <w:spacing w:after="0" w:line="240" w:lineRule="auto"/>
              <w:rPr>
                <w:noProof/>
              </w:rPr>
            </w:pPr>
            <w:r>
              <w:rPr>
                <w:noProof/>
              </w:rPr>
              <w:t>Investointi 3.4. Harvinaisten alueiden maaperän kunnostaminen</w:t>
            </w:r>
          </w:p>
        </w:tc>
        <w:tc>
          <w:tcPr>
            <w:tcW w:w="1134" w:type="dxa"/>
            <w:shd w:val="clear" w:color="auto" w:fill="C6EFCE"/>
            <w:tcMar>
              <w:left w:w="108" w:type="dxa"/>
              <w:right w:w="108" w:type="dxa"/>
            </w:tcMar>
            <w:vAlign w:val="center"/>
          </w:tcPr>
          <w:p w14:paraId="5C8569E0"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053B964A" w14:textId="77777777" w:rsidR="00E42B18" w:rsidRDefault="009629C4">
            <w:pPr>
              <w:pStyle w:val="P68B1DB1-Normal121"/>
              <w:spacing w:after="0" w:line="240" w:lineRule="auto"/>
              <w:rPr>
                <w:noProof/>
              </w:rPr>
            </w:pPr>
            <w:r>
              <w:rPr>
                <w:noProof/>
              </w:rPr>
              <w:t xml:space="preserve">Isännättömien alueiden elvyttäminen </w:t>
            </w:r>
          </w:p>
        </w:tc>
      </w:tr>
      <w:tr w:rsidR="00E42B18" w14:paraId="343DE3E4" w14:textId="77777777">
        <w:trPr>
          <w:trHeight w:val="300"/>
        </w:trPr>
        <w:tc>
          <w:tcPr>
            <w:tcW w:w="1246" w:type="dxa"/>
            <w:shd w:val="clear" w:color="auto" w:fill="C6EFCE"/>
            <w:tcMar>
              <w:left w:w="108" w:type="dxa"/>
              <w:right w:w="108" w:type="dxa"/>
            </w:tcMar>
            <w:vAlign w:val="center"/>
          </w:tcPr>
          <w:p w14:paraId="7B61E433" w14:textId="77777777" w:rsidR="00E42B18" w:rsidRDefault="009629C4">
            <w:pPr>
              <w:pStyle w:val="P68B1DB1-Normal121"/>
              <w:spacing w:after="0" w:line="240" w:lineRule="auto"/>
              <w:jc w:val="center"/>
              <w:rPr>
                <w:noProof/>
              </w:rPr>
            </w:pPr>
            <w:r>
              <w:rPr>
                <w:noProof/>
              </w:rPr>
              <w:t>M2C4–29</w:t>
            </w:r>
          </w:p>
        </w:tc>
        <w:tc>
          <w:tcPr>
            <w:tcW w:w="3449" w:type="dxa"/>
            <w:shd w:val="clear" w:color="auto" w:fill="C6EFCE"/>
            <w:tcMar>
              <w:left w:w="108" w:type="dxa"/>
              <w:right w:w="108" w:type="dxa"/>
            </w:tcMar>
            <w:vAlign w:val="center"/>
          </w:tcPr>
          <w:p w14:paraId="757C6518" w14:textId="77777777" w:rsidR="00E42B18" w:rsidRDefault="009629C4">
            <w:pPr>
              <w:pStyle w:val="P68B1DB1-Normal121"/>
              <w:spacing w:after="0" w:line="240" w:lineRule="auto"/>
              <w:rPr>
                <w:noProof/>
              </w:rPr>
            </w:pPr>
            <w:r>
              <w:rPr>
                <w:noProof/>
              </w:rPr>
              <w:t>Investointi 4.1. Investoinnit vedensaannin turvaamiseksi käytettäviin ensisijaisiin vesi-infrastruktuureihin</w:t>
            </w:r>
          </w:p>
        </w:tc>
        <w:tc>
          <w:tcPr>
            <w:tcW w:w="1134" w:type="dxa"/>
            <w:shd w:val="clear" w:color="auto" w:fill="C6EFCE"/>
            <w:tcMar>
              <w:left w:w="108" w:type="dxa"/>
              <w:right w:w="108" w:type="dxa"/>
            </w:tcMar>
            <w:vAlign w:val="center"/>
          </w:tcPr>
          <w:p w14:paraId="403F5190"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5828E74A" w14:textId="77777777" w:rsidR="00E42B18" w:rsidRDefault="009629C4">
            <w:pPr>
              <w:pStyle w:val="P68B1DB1-Normal121"/>
              <w:spacing w:after="0" w:line="240" w:lineRule="auto"/>
              <w:rPr>
                <w:noProof/>
              </w:rPr>
            </w:pPr>
            <w:r>
              <w:rPr>
                <w:noProof/>
              </w:rPr>
              <w:t>Vesi-infrastruktuuriin liittyvien töiden loppuun saattaminen</w:t>
            </w:r>
          </w:p>
        </w:tc>
      </w:tr>
      <w:tr w:rsidR="00E42B18" w14:paraId="4C44B813" w14:textId="77777777">
        <w:trPr>
          <w:trHeight w:val="300"/>
        </w:trPr>
        <w:tc>
          <w:tcPr>
            <w:tcW w:w="1246" w:type="dxa"/>
            <w:shd w:val="clear" w:color="auto" w:fill="C6EFCE"/>
            <w:tcMar>
              <w:left w:w="108" w:type="dxa"/>
              <w:right w:w="108" w:type="dxa"/>
            </w:tcMar>
            <w:vAlign w:val="center"/>
          </w:tcPr>
          <w:p w14:paraId="455C6BC8" w14:textId="77777777" w:rsidR="00E42B18" w:rsidRDefault="009629C4">
            <w:pPr>
              <w:pStyle w:val="P68B1DB1-Normal121"/>
              <w:spacing w:after="0" w:line="240" w:lineRule="auto"/>
              <w:jc w:val="center"/>
              <w:rPr>
                <w:noProof/>
              </w:rPr>
            </w:pPr>
            <w:r>
              <w:rPr>
                <w:noProof/>
              </w:rPr>
              <w:t>M2C4–38</w:t>
            </w:r>
          </w:p>
        </w:tc>
        <w:tc>
          <w:tcPr>
            <w:tcW w:w="3449" w:type="dxa"/>
            <w:shd w:val="clear" w:color="auto" w:fill="C6EFCE"/>
            <w:tcMar>
              <w:left w:w="108" w:type="dxa"/>
              <w:right w:w="108" w:type="dxa"/>
            </w:tcMar>
            <w:vAlign w:val="center"/>
          </w:tcPr>
          <w:p w14:paraId="059FBC37" w14:textId="77777777" w:rsidR="00E42B18" w:rsidRDefault="009629C4">
            <w:pPr>
              <w:pStyle w:val="P68B1DB1-Normal121"/>
              <w:spacing w:after="0" w:line="240" w:lineRule="auto"/>
              <w:rPr>
                <w:noProof/>
              </w:rPr>
            </w:pPr>
            <w:r>
              <w:rPr>
                <w:noProof/>
              </w:rPr>
              <w:t>Investointi 4.4 Investoinnit viemäri- ja puhdistustoimintaan</w:t>
            </w:r>
          </w:p>
        </w:tc>
        <w:tc>
          <w:tcPr>
            <w:tcW w:w="1134" w:type="dxa"/>
            <w:shd w:val="clear" w:color="auto" w:fill="C6EFCE"/>
            <w:tcMar>
              <w:left w:w="108" w:type="dxa"/>
              <w:right w:w="108" w:type="dxa"/>
            </w:tcMar>
            <w:vAlign w:val="center"/>
          </w:tcPr>
          <w:p w14:paraId="5C043450"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2857D2F5" w14:textId="77777777" w:rsidR="00E42B18" w:rsidRDefault="009629C4">
            <w:pPr>
              <w:pStyle w:val="P68B1DB1-Normal121"/>
              <w:spacing w:after="0" w:line="240" w:lineRule="auto"/>
              <w:rPr>
                <w:noProof/>
              </w:rPr>
            </w:pPr>
            <w:r>
              <w:rPr>
                <w:noProof/>
              </w:rPr>
              <w:t>Viemäröinti- ja puhdistustoimenpiteet T2</w:t>
            </w:r>
          </w:p>
        </w:tc>
      </w:tr>
      <w:tr w:rsidR="00E42B18" w14:paraId="6747EA62" w14:textId="77777777">
        <w:trPr>
          <w:trHeight w:val="300"/>
        </w:trPr>
        <w:tc>
          <w:tcPr>
            <w:tcW w:w="1246" w:type="dxa"/>
            <w:shd w:val="clear" w:color="auto" w:fill="C6EFCE"/>
            <w:tcMar>
              <w:left w:w="108" w:type="dxa"/>
              <w:right w:w="108" w:type="dxa"/>
            </w:tcMar>
            <w:vAlign w:val="center"/>
          </w:tcPr>
          <w:p w14:paraId="03569E27" w14:textId="77777777" w:rsidR="00E42B18" w:rsidRDefault="009629C4">
            <w:pPr>
              <w:pStyle w:val="P68B1DB1-Normal121"/>
              <w:spacing w:after="0" w:line="240" w:lineRule="auto"/>
              <w:jc w:val="center"/>
              <w:rPr>
                <w:noProof/>
              </w:rPr>
            </w:pPr>
            <w:r>
              <w:rPr>
                <w:noProof/>
              </w:rPr>
              <w:t>M5C2–20</w:t>
            </w:r>
          </w:p>
        </w:tc>
        <w:tc>
          <w:tcPr>
            <w:tcW w:w="3449" w:type="dxa"/>
            <w:shd w:val="clear" w:color="auto" w:fill="C6EFCE"/>
            <w:tcMar>
              <w:left w:w="108" w:type="dxa"/>
              <w:right w:w="108" w:type="dxa"/>
            </w:tcMar>
            <w:vAlign w:val="center"/>
          </w:tcPr>
          <w:p w14:paraId="2CFDEB34" w14:textId="77777777" w:rsidR="00E42B18" w:rsidRDefault="009629C4">
            <w:pPr>
              <w:pStyle w:val="P68B1DB1-Normal121"/>
              <w:spacing w:after="0" w:line="240" w:lineRule="auto"/>
              <w:rPr>
                <w:noProof/>
              </w:rPr>
            </w:pPr>
            <w:r>
              <w:rPr>
                <w:noProof/>
              </w:rPr>
              <w:t>Investointi 6 – Asumisen laatua koskeva innovaatio-ohjelma</w:t>
            </w:r>
          </w:p>
        </w:tc>
        <w:tc>
          <w:tcPr>
            <w:tcW w:w="1134" w:type="dxa"/>
            <w:shd w:val="clear" w:color="auto" w:fill="C6EFCE"/>
            <w:tcMar>
              <w:left w:w="108" w:type="dxa"/>
              <w:right w:w="108" w:type="dxa"/>
            </w:tcMar>
            <w:vAlign w:val="center"/>
          </w:tcPr>
          <w:p w14:paraId="2434E3BD"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C1185D5" w14:textId="77777777" w:rsidR="00E42B18" w:rsidRDefault="009629C4">
            <w:pPr>
              <w:pStyle w:val="P68B1DB1-Normal121"/>
              <w:spacing w:after="0" w:line="240" w:lineRule="auto"/>
              <w:rPr>
                <w:noProof/>
              </w:rPr>
            </w:pPr>
            <w:r>
              <w:rPr>
                <w:noProof/>
              </w:rPr>
              <w:t xml:space="preserve">Rakennettujen, ostettujen tai kunnostettujen asuntojen lukumäärä </w:t>
            </w:r>
          </w:p>
        </w:tc>
      </w:tr>
      <w:tr w:rsidR="00E42B18" w14:paraId="4BCAC295" w14:textId="77777777">
        <w:trPr>
          <w:trHeight w:val="300"/>
        </w:trPr>
        <w:tc>
          <w:tcPr>
            <w:tcW w:w="1246" w:type="dxa"/>
            <w:shd w:val="clear" w:color="auto" w:fill="C6EFCE"/>
            <w:tcMar>
              <w:left w:w="108" w:type="dxa"/>
              <w:right w:w="108" w:type="dxa"/>
            </w:tcMar>
            <w:vAlign w:val="center"/>
          </w:tcPr>
          <w:p w14:paraId="4CF79FAC" w14:textId="77777777" w:rsidR="00E42B18" w:rsidRDefault="009629C4">
            <w:pPr>
              <w:pStyle w:val="P68B1DB1-Normal121"/>
              <w:spacing w:after="0" w:line="240" w:lineRule="auto"/>
              <w:jc w:val="center"/>
              <w:rPr>
                <w:noProof/>
              </w:rPr>
            </w:pPr>
            <w:r>
              <w:rPr>
                <w:noProof/>
              </w:rPr>
              <w:t>M1C1–151</w:t>
            </w:r>
          </w:p>
        </w:tc>
        <w:tc>
          <w:tcPr>
            <w:tcW w:w="3449" w:type="dxa"/>
            <w:shd w:val="clear" w:color="auto" w:fill="C6EFCE"/>
            <w:tcMar>
              <w:left w:w="108" w:type="dxa"/>
              <w:right w:w="108" w:type="dxa"/>
            </w:tcMar>
            <w:vAlign w:val="center"/>
          </w:tcPr>
          <w:p w14:paraId="52B55CCE" w14:textId="77777777" w:rsidR="00E42B18" w:rsidRDefault="009629C4">
            <w:pPr>
              <w:pStyle w:val="P68B1DB1-Normal121"/>
              <w:spacing w:after="0" w:line="240" w:lineRule="auto"/>
              <w:rPr>
                <w:noProof/>
              </w:rPr>
            </w:pPr>
            <w:r>
              <w:rPr>
                <w:noProof/>
              </w:rPr>
              <w:t>Investointi 1.4.5 – Julkisten ilmoitusten digitalisointi</w:t>
            </w:r>
          </w:p>
        </w:tc>
        <w:tc>
          <w:tcPr>
            <w:tcW w:w="1134" w:type="dxa"/>
            <w:shd w:val="clear" w:color="auto" w:fill="C6EFCE"/>
            <w:tcMar>
              <w:left w:w="108" w:type="dxa"/>
              <w:right w:w="108" w:type="dxa"/>
            </w:tcMar>
            <w:vAlign w:val="center"/>
          </w:tcPr>
          <w:p w14:paraId="12B62414"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092D38D" w14:textId="77777777" w:rsidR="00E42B18" w:rsidRDefault="009629C4">
            <w:pPr>
              <w:pStyle w:val="P68B1DB1-Normal121"/>
              <w:spacing w:after="0" w:line="240" w:lineRule="auto"/>
              <w:rPr>
                <w:noProof/>
              </w:rPr>
            </w:pPr>
            <w:r>
              <w:rPr>
                <w:noProof/>
              </w:rPr>
              <w:t>Digitaalisten julkisten ilmoitusten käyttöönoton lisääminen T2</w:t>
            </w:r>
          </w:p>
        </w:tc>
      </w:tr>
      <w:tr w:rsidR="00E42B18" w14:paraId="51D602BB" w14:textId="77777777">
        <w:trPr>
          <w:trHeight w:val="300"/>
        </w:trPr>
        <w:tc>
          <w:tcPr>
            <w:tcW w:w="1246" w:type="dxa"/>
            <w:shd w:val="clear" w:color="auto" w:fill="C6EFCE"/>
            <w:tcMar>
              <w:left w:w="108" w:type="dxa"/>
              <w:right w:w="108" w:type="dxa"/>
            </w:tcMar>
            <w:vAlign w:val="center"/>
          </w:tcPr>
          <w:p w14:paraId="3C97996F" w14:textId="77777777" w:rsidR="00E42B18" w:rsidRDefault="009629C4">
            <w:pPr>
              <w:pStyle w:val="P68B1DB1-Normal121"/>
              <w:spacing w:after="0" w:line="240" w:lineRule="auto"/>
              <w:jc w:val="center"/>
              <w:rPr>
                <w:noProof/>
              </w:rPr>
            </w:pPr>
            <w:r>
              <w:rPr>
                <w:noProof/>
              </w:rPr>
              <w:t>M1C1–155</w:t>
            </w:r>
          </w:p>
        </w:tc>
        <w:tc>
          <w:tcPr>
            <w:tcW w:w="3449" w:type="dxa"/>
            <w:shd w:val="clear" w:color="auto" w:fill="C6EFCE"/>
            <w:tcMar>
              <w:left w:w="108" w:type="dxa"/>
              <w:right w:w="108" w:type="dxa"/>
            </w:tcMar>
            <w:vAlign w:val="center"/>
          </w:tcPr>
          <w:p w14:paraId="1EE5FFDB" w14:textId="77777777" w:rsidR="00E42B18" w:rsidRDefault="009629C4">
            <w:pPr>
              <w:pStyle w:val="P68B1DB1-Normal121"/>
              <w:spacing w:after="0" w:line="240" w:lineRule="auto"/>
              <w:rPr>
                <w:noProof/>
              </w:rPr>
            </w:pPr>
            <w:r>
              <w:rPr>
                <w:noProof/>
              </w:rPr>
              <w:t>Investointi 1.6.3 – Kansallisen sosiaaliturvalaitoksen (INPS) ja työtapaturmavakuutuslaitoksen (INAIL) digitalisointi</w:t>
            </w:r>
          </w:p>
        </w:tc>
        <w:tc>
          <w:tcPr>
            <w:tcW w:w="1134" w:type="dxa"/>
            <w:shd w:val="clear" w:color="auto" w:fill="C6EFCE"/>
            <w:tcMar>
              <w:left w:w="108" w:type="dxa"/>
              <w:right w:w="108" w:type="dxa"/>
            </w:tcMar>
            <w:vAlign w:val="center"/>
          </w:tcPr>
          <w:p w14:paraId="789547CD"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1F07C1C" w14:textId="77777777" w:rsidR="00E42B18" w:rsidRDefault="009629C4">
            <w:pPr>
              <w:pStyle w:val="P68B1DB1-Normal121"/>
              <w:spacing w:after="0" w:line="240" w:lineRule="auto"/>
              <w:rPr>
                <w:noProof/>
              </w:rPr>
            </w:pPr>
            <w:r>
              <w:rPr>
                <w:noProof/>
              </w:rPr>
              <w:t>INAIL – Uudelleensuunnittelu ja digitoidut prosessit/palvelut T2</w:t>
            </w:r>
          </w:p>
        </w:tc>
      </w:tr>
      <w:tr w:rsidR="00E42B18" w14:paraId="1DCA2A6E" w14:textId="77777777">
        <w:trPr>
          <w:trHeight w:val="300"/>
        </w:trPr>
        <w:tc>
          <w:tcPr>
            <w:tcW w:w="1246" w:type="dxa"/>
            <w:shd w:val="clear" w:color="auto" w:fill="C6EFCE"/>
            <w:tcMar>
              <w:left w:w="108" w:type="dxa"/>
              <w:right w:w="108" w:type="dxa"/>
            </w:tcMar>
            <w:vAlign w:val="center"/>
          </w:tcPr>
          <w:p w14:paraId="1A33A17E" w14:textId="77777777" w:rsidR="00E42B18" w:rsidRDefault="009629C4">
            <w:pPr>
              <w:pStyle w:val="P68B1DB1-Normal121"/>
              <w:spacing w:after="0" w:line="240" w:lineRule="auto"/>
              <w:jc w:val="center"/>
              <w:rPr>
                <w:noProof/>
              </w:rPr>
            </w:pPr>
            <w:r>
              <w:rPr>
                <w:noProof/>
              </w:rPr>
              <w:t>M1C2–15</w:t>
            </w:r>
          </w:p>
        </w:tc>
        <w:tc>
          <w:tcPr>
            <w:tcW w:w="3449" w:type="dxa"/>
            <w:shd w:val="clear" w:color="auto" w:fill="C6EFCE"/>
            <w:tcMar>
              <w:left w:w="108" w:type="dxa"/>
              <w:right w:w="108" w:type="dxa"/>
            </w:tcMar>
            <w:vAlign w:val="center"/>
          </w:tcPr>
          <w:p w14:paraId="49C72548" w14:textId="77777777" w:rsidR="00E42B18" w:rsidRDefault="009629C4">
            <w:pPr>
              <w:pStyle w:val="P68B1DB1-Normal121"/>
              <w:spacing w:after="0" w:line="240" w:lineRule="auto"/>
              <w:rPr>
                <w:noProof/>
              </w:rPr>
            </w:pPr>
            <w:r>
              <w:rPr>
                <w:noProof/>
              </w:rPr>
              <w:t>Investointi 2: Mikroelektroniikan innovointi ja teknologia</w:t>
            </w:r>
          </w:p>
        </w:tc>
        <w:tc>
          <w:tcPr>
            <w:tcW w:w="1134" w:type="dxa"/>
            <w:shd w:val="clear" w:color="auto" w:fill="C6EFCE"/>
            <w:tcMar>
              <w:left w:w="108" w:type="dxa"/>
              <w:right w:w="108" w:type="dxa"/>
            </w:tcMar>
            <w:vAlign w:val="center"/>
          </w:tcPr>
          <w:p w14:paraId="77EE1212"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0338315B" w14:textId="77777777" w:rsidR="00E42B18" w:rsidRDefault="009629C4">
            <w:pPr>
              <w:pStyle w:val="P68B1DB1-Normal121"/>
              <w:spacing w:after="0" w:line="240" w:lineRule="auto"/>
              <w:rPr>
                <w:noProof/>
              </w:rPr>
            </w:pPr>
            <w:r>
              <w:rPr>
                <w:noProof/>
              </w:rPr>
              <w:t>Piikarbide-alustojen tuotantokapasiteetti</w:t>
            </w:r>
          </w:p>
        </w:tc>
      </w:tr>
      <w:tr w:rsidR="00E42B18" w14:paraId="4CF9B07A" w14:textId="77777777">
        <w:trPr>
          <w:trHeight w:val="300"/>
        </w:trPr>
        <w:tc>
          <w:tcPr>
            <w:tcW w:w="1246" w:type="dxa"/>
            <w:shd w:val="clear" w:color="auto" w:fill="C6EFCE"/>
            <w:tcMar>
              <w:left w:w="108" w:type="dxa"/>
              <w:right w:w="108" w:type="dxa"/>
            </w:tcMar>
            <w:vAlign w:val="center"/>
          </w:tcPr>
          <w:p w14:paraId="6FCA848B" w14:textId="77777777" w:rsidR="00E42B18" w:rsidRDefault="009629C4">
            <w:pPr>
              <w:pStyle w:val="P68B1DB1-Normal121"/>
              <w:spacing w:after="0" w:line="240" w:lineRule="auto"/>
              <w:jc w:val="center"/>
              <w:rPr>
                <w:noProof/>
              </w:rPr>
            </w:pPr>
            <w:r>
              <w:rPr>
                <w:noProof/>
              </w:rPr>
              <w:t>M1C2–17</w:t>
            </w:r>
          </w:p>
        </w:tc>
        <w:tc>
          <w:tcPr>
            <w:tcW w:w="3449" w:type="dxa"/>
            <w:shd w:val="clear" w:color="auto" w:fill="C6EFCE"/>
            <w:tcMar>
              <w:left w:w="108" w:type="dxa"/>
              <w:right w:w="108" w:type="dxa"/>
            </w:tcMar>
            <w:vAlign w:val="center"/>
          </w:tcPr>
          <w:p w14:paraId="474BBD62" w14:textId="77777777" w:rsidR="00E42B18" w:rsidRDefault="009629C4">
            <w:pPr>
              <w:pStyle w:val="P68B1DB1-Normal121"/>
              <w:spacing w:after="0" w:line="240" w:lineRule="auto"/>
              <w:rPr>
                <w:noProof/>
              </w:rPr>
            </w:pPr>
            <w:r>
              <w:rPr>
                <w:noProof/>
              </w:rPr>
              <w:t>Investointi 3: Nopeat internetyhteydet (laajakaista ja 5G)</w:t>
            </w:r>
          </w:p>
        </w:tc>
        <w:tc>
          <w:tcPr>
            <w:tcW w:w="1134" w:type="dxa"/>
            <w:shd w:val="clear" w:color="auto" w:fill="C6EFCE"/>
            <w:tcMar>
              <w:left w:w="108" w:type="dxa"/>
              <w:right w:w="108" w:type="dxa"/>
            </w:tcMar>
            <w:vAlign w:val="center"/>
          </w:tcPr>
          <w:p w14:paraId="3FAD403A"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485D2EC" w14:textId="77777777" w:rsidR="00E42B18" w:rsidRDefault="009629C4">
            <w:pPr>
              <w:pStyle w:val="P68B1DB1-Normal121"/>
              <w:spacing w:after="0" w:line="240" w:lineRule="auto"/>
              <w:rPr>
                <w:noProof/>
              </w:rPr>
            </w:pPr>
            <w:r>
              <w:rPr>
                <w:noProof/>
              </w:rPr>
              <w:t>Talojen numerot, joissa on 1 Gbit/s:n yhteydet</w:t>
            </w:r>
          </w:p>
        </w:tc>
      </w:tr>
      <w:tr w:rsidR="00E42B18" w14:paraId="511B510B" w14:textId="77777777">
        <w:trPr>
          <w:trHeight w:val="300"/>
        </w:trPr>
        <w:tc>
          <w:tcPr>
            <w:tcW w:w="1246" w:type="dxa"/>
            <w:shd w:val="clear" w:color="auto" w:fill="C6EFCE"/>
            <w:tcMar>
              <w:left w:w="108" w:type="dxa"/>
              <w:right w:w="108" w:type="dxa"/>
            </w:tcMar>
            <w:vAlign w:val="center"/>
          </w:tcPr>
          <w:p w14:paraId="21F42531" w14:textId="77777777" w:rsidR="00E42B18" w:rsidRDefault="009629C4">
            <w:pPr>
              <w:pStyle w:val="P68B1DB1-Normal121"/>
              <w:spacing w:after="0" w:line="240" w:lineRule="auto"/>
              <w:jc w:val="center"/>
              <w:rPr>
                <w:noProof/>
              </w:rPr>
            </w:pPr>
            <w:r>
              <w:rPr>
                <w:noProof/>
              </w:rPr>
              <w:t>M1C2–18</w:t>
            </w:r>
          </w:p>
        </w:tc>
        <w:tc>
          <w:tcPr>
            <w:tcW w:w="3449" w:type="dxa"/>
            <w:shd w:val="clear" w:color="auto" w:fill="C6EFCE"/>
            <w:tcMar>
              <w:left w:w="108" w:type="dxa"/>
              <w:right w:w="108" w:type="dxa"/>
            </w:tcMar>
            <w:vAlign w:val="center"/>
          </w:tcPr>
          <w:p w14:paraId="2E439FB8" w14:textId="77777777" w:rsidR="00E42B18" w:rsidRDefault="009629C4">
            <w:pPr>
              <w:pStyle w:val="P68B1DB1-Normal121"/>
              <w:spacing w:after="0" w:line="240" w:lineRule="auto"/>
              <w:rPr>
                <w:noProof/>
              </w:rPr>
            </w:pPr>
            <w:r>
              <w:rPr>
                <w:noProof/>
              </w:rPr>
              <w:t>Investointi 3: Nopeat internetyhteydet (laajakaista ja 5G)</w:t>
            </w:r>
          </w:p>
        </w:tc>
        <w:tc>
          <w:tcPr>
            <w:tcW w:w="1134" w:type="dxa"/>
            <w:shd w:val="clear" w:color="auto" w:fill="C6EFCE"/>
            <w:tcMar>
              <w:left w:w="108" w:type="dxa"/>
              <w:right w:w="108" w:type="dxa"/>
            </w:tcMar>
            <w:vAlign w:val="center"/>
          </w:tcPr>
          <w:p w14:paraId="7353244A"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57A431E7" w14:textId="77777777" w:rsidR="00E42B18" w:rsidRDefault="009629C4">
            <w:pPr>
              <w:pStyle w:val="P68B1DB1-Normal121"/>
              <w:spacing w:after="0" w:line="240" w:lineRule="auto"/>
              <w:rPr>
                <w:noProof/>
              </w:rPr>
            </w:pPr>
            <w:r>
              <w:rPr>
                <w:noProof/>
              </w:rPr>
              <w:t>Koulurakennukset ja terveydenhuoltopalvelut, joissa on 1 Gbit/s:n yhteydet</w:t>
            </w:r>
          </w:p>
        </w:tc>
      </w:tr>
      <w:tr w:rsidR="00E42B18" w14:paraId="5977F143" w14:textId="77777777">
        <w:trPr>
          <w:trHeight w:val="300"/>
        </w:trPr>
        <w:tc>
          <w:tcPr>
            <w:tcW w:w="1246" w:type="dxa"/>
            <w:shd w:val="clear" w:color="auto" w:fill="C6EFCE"/>
            <w:tcMar>
              <w:left w:w="108" w:type="dxa"/>
              <w:right w:w="108" w:type="dxa"/>
            </w:tcMar>
            <w:vAlign w:val="center"/>
          </w:tcPr>
          <w:p w14:paraId="200102F1" w14:textId="77777777" w:rsidR="00E42B18" w:rsidRDefault="009629C4">
            <w:pPr>
              <w:pStyle w:val="P68B1DB1-Normal121"/>
              <w:spacing w:after="0" w:line="240" w:lineRule="auto"/>
              <w:jc w:val="center"/>
              <w:rPr>
                <w:noProof/>
              </w:rPr>
            </w:pPr>
            <w:r>
              <w:rPr>
                <w:noProof/>
              </w:rPr>
              <w:t>M1C2–20</w:t>
            </w:r>
          </w:p>
        </w:tc>
        <w:tc>
          <w:tcPr>
            <w:tcW w:w="3449" w:type="dxa"/>
            <w:shd w:val="clear" w:color="auto" w:fill="C6EFCE"/>
            <w:tcMar>
              <w:left w:w="108" w:type="dxa"/>
              <w:right w:w="108" w:type="dxa"/>
            </w:tcMar>
            <w:vAlign w:val="center"/>
          </w:tcPr>
          <w:p w14:paraId="61DA9943" w14:textId="77777777" w:rsidR="00E42B18" w:rsidRDefault="009629C4">
            <w:pPr>
              <w:pStyle w:val="P68B1DB1-Normal121"/>
              <w:spacing w:after="0" w:line="240" w:lineRule="auto"/>
              <w:rPr>
                <w:noProof/>
              </w:rPr>
            </w:pPr>
            <w:r>
              <w:rPr>
                <w:noProof/>
              </w:rPr>
              <w:t>Investointi 3: Nopeat internetyhteydet (laajakaista ja 5G)</w:t>
            </w:r>
          </w:p>
        </w:tc>
        <w:tc>
          <w:tcPr>
            <w:tcW w:w="1134" w:type="dxa"/>
            <w:shd w:val="clear" w:color="auto" w:fill="C6EFCE"/>
            <w:tcMar>
              <w:left w:w="108" w:type="dxa"/>
              <w:right w:w="108" w:type="dxa"/>
            </w:tcMar>
            <w:vAlign w:val="center"/>
          </w:tcPr>
          <w:p w14:paraId="1A3684A5"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388B7799" w14:textId="77777777" w:rsidR="00E42B18" w:rsidRDefault="009629C4">
            <w:pPr>
              <w:pStyle w:val="P68B1DB1-Normal121"/>
              <w:spacing w:after="0" w:line="240" w:lineRule="auto"/>
              <w:rPr>
                <w:noProof/>
              </w:rPr>
            </w:pPr>
            <w:r>
              <w:rPr>
                <w:noProof/>
              </w:rPr>
              <w:t>Kaupunkien ulkopuoliset tiet ja käytävät, joissa on 5G-kattavuus</w:t>
            </w:r>
          </w:p>
        </w:tc>
      </w:tr>
      <w:tr w:rsidR="00E42B18" w14:paraId="212E895D" w14:textId="77777777">
        <w:trPr>
          <w:trHeight w:val="300"/>
        </w:trPr>
        <w:tc>
          <w:tcPr>
            <w:tcW w:w="1246" w:type="dxa"/>
            <w:shd w:val="clear" w:color="auto" w:fill="C6EFCE"/>
            <w:tcMar>
              <w:left w:w="108" w:type="dxa"/>
              <w:right w:w="108" w:type="dxa"/>
            </w:tcMar>
            <w:vAlign w:val="center"/>
          </w:tcPr>
          <w:p w14:paraId="696F7885" w14:textId="77777777" w:rsidR="00E42B18" w:rsidRDefault="009629C4">
            <w:pPr>
              <w:pStyle w:val="P68B1DB1-Normal121"/>
              <w:spacing w:after="0" w:line="240" w:lineRule="auto"/>
              <w:jc w:val="center"/>
              <w:rPr>
                <w:noProof/>
              </w:rPr>
            </w:pPr>
            <w:r>
              <w:rPr>
                <w:noProof/>
              </w:rPr>
              <w:t>M1C2–21</w:t>
            </w:r>
          </w:p>
        </w:tc>
        <w:tc>
          <w:tcPr>
            <w:tcW w:w="3449" w:type="dxa"/>
            <w:shd w:val="clear" w:color="auto" w:fill="C6EFCE"/>
            <w:tcMar>
              <w:left w:w="108" w:type="dxa"/>
              <w:right w:w="108" w:type="dxa"/>
            </w:tcMar>
            <w:vAlign w:val="center"/>
          </w:tcPr>
          <w:p w14:paraId="746F76B5" w14:textId="77777777" w:rsidR="00E42B18" w:rsidRDefault="009629C4">
            <w:pPr>
              <w:pStyle w:val="P68B1DB1-Normal121"/>
              <w:spacing w:after="0" w:line="240" w:lineRule="auto"/>
              <w:rPr>
                <w:noProof/>
              </w:rPr>
            </w:pPr>
            <w:r>
              <w:rPr>
                <w:noProof/>
              </w:rPr>
              <w:t>Investointi 3: Nopeat internetyhteydet (laajakaista ja 5G)</w:t>
            </w:r>
          </w:p>
        </w:tc>
        <w:tc>
          <w:tcPr>
            <w:tcW w:w="1134" w:type="dxa"/>
            <w:shd w:val="clear" w:color="auto" w:fill="C6EFCE"/>
            <w:tcMar>
              <w:left w:w="108" w:type="dxa"/>
              <w:right w:w="108" w:type="dxa"/>
            </w:tcMar>
            <w:vAlign w:val="center"/>
          </w:tcPr>
          <w:p w14:paraId="7329E946"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29E71572" w14:textId="77777777" w:rsidR="00E42B18" w:rsidRDefault="009629C4">
            <w:pPr>
              <w:pStyle w:val="P68B1DB1-Normal121"/>
              <w:spacing w:after="0" w:line="240" w:lineRule="auto"/>
              <w:rPr>
                <w:noProof/>
              </w:rPr>
            </w:pPr>
            <w:r>
              <w:rPr>
                <w:noProof/>
              </w:rPr>
              <w:t>5G-verkon piiriin kuuluvat markkinoiden toimintapuutteet</w:t>
            </w:r>
          </w:p>
        </w:tc>
      </w:tr>
      <w:tr w:rsidR="00E42B18" w14:paraId="4FD531CA" w14:textId="77777777">
        <w:trPr>
          <w:trHeight w:val="300"/>
        </w:trPr>
        <w:tc>
          <w:tcPr>
            <w:tcW w:w="1246" w:type="dxa"/>
            <w:shd w:val="clear" w:color="auto" w:fill="C6EFCE"/>
            <w:tcMar>
              <w:left w:w="108" w:type="dxa"/>
              <w:right w:w="108" w:type="dxa"/>
            </w:tcMar>
            <w:vAlign w:val="center"/>
          </w:tcPr>
          <w:p w14:paraId="11586B30" w14:textId="77777777" w:rsidR="00E42B18" w:rsidRDefault="009629C4">
            <w:pPr>
              <w:pStyle w:val="P68B1DB1-Normal121"/>
              <w:spacing w:after="0" w:line="240" w:lineRule="auto"/>
              <w:jc w:val="center"/>
              <w:rPr>
                <w:noProof/>
              </w:rPr>
            </w:pPr>
            <w:r>
              <w:rPr>
                <w:noProof/>
              </w:rPr>
              <w:t>M1C3–21</w:t>
            </w:r>
          </w:p>
        </w:tc>
        <w:tc>
          <w:tcPr>
            <w:tcW w:w="3449" w:type="dxa"/>
            <w:shd w:val="clear" w:color="auto" w:fill="C6EFCE"/>
            <w:tcMar>
              <w:left w:w="108" w:type="dxa"/>
              <w:right w:w="108" w:type="dxa"/>
            </w:tcMar>
            <w:vAlign w:val="center"/>
          </w:tcPr>
          <w:p w14:paraId="0814BEF9" w14:textId="77777777" w:rsidR="00E42B18" w:rsidRDefault="009629C4">
            <w:pPr>
              <w:pStyle w:val="P68B1DB1-Normal121"/>
              <w:spacing w:after="0" w:line="240" w:lineRule="auto"/>
              <w:rPr>
                <w:noProof/>
              </w:rPr>
            </w:pPr>
            <w:r>
              <w:rPr>
                <w:noProof/>
              </w:rPr>
              <w:t>”Investointi 3.2: Elokuvateollisuuden kehittäminen (Cinecittà-hanke)</w:t>
            </w:r>
          </w:p>
        </w:tc>
        <w:tc>
          <w:tcPr>
            <w:tcW w:w="1134" w:type="dxa"/>
            <w:shd w:val="clear" w:color="auto" w:fill="C6EFCE"/>
            <w:tcMar>
              <w:left w:w="108" w:type="dxa"/>
              <w:right w:w="108" w:type="dxa"/>
            </w:tcMar>
            <w:vAlign w:val="center"/>
          </w:tcPr>
          <w:p w14:paraId="1EEF0238"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5234D4D1" w14:textId="77777777" w:rsidR="00E42B18" w:rsidRDefault="009629C4">
            <w:pPr>
              <w:pStyle w:val="P68B1DB1-Normal121"/>
              <w:spacing w:after="0" w:line="240" w:lineRule="auto"/>
              <w:rPr>
                <w:noProof/>
              </w:rPr>
            </w:pPr>
            <w:r>
              <w:rPr>
                <w:noProof/>
              </w:rPr>
              <w:t>Rakennettujen tai kunnostettujen studioiden lukumäärä</w:t>
            </w:r>
          </w:p>
        </w:tc>
      </w:tr>
      <w:tr w:rsidR="00E42B18" w14:paraId="32CE3766" w14:textId="77777777">
        <w:trPr>
          <w:trHeight w:val="300"/>
        </w:trPr>
        <w:tc>
          <w:tcPr>
            <w:tcW w:w="1246" w:type="dxa"/>
            <w:shd w:val="clear" w:color="auto" w:fill="C6EFCE"/>
            <w:tcMar>
              <w:left w:w="108" w:type="dxa"/>
              <w:right w:w="108" w:type="dxa"/>
            </w:tcMar>
            <w:vAlign w:val="center"/>
          </w:tcPr>
          <w:p w14:paraId="40E3E062" w14:textId="77777777" w:rsidR="00E42B18" w:rsidRDefault="009629C4">
            <w:pPr>
              <w:pStyle w:val="P68B1DB1-Normal121"/>
              <w:spacing w:after="0" w:line="240" w:lineRule="auto"/>
              <w:jc w:val="center"/>
              <w:rPr>
                <w:noProof/>
              </w:rPr>
            </w:pPr>
            <w:r>
              <w:rPr>
                <w:noProof/>
              </w:rPr>
              <w:t>M1C3–36</w:t>
            </w:r>
          </w:p>
        </w:tc>
        <w:tc>
          <w:tcPr>
            <w:tcW w:w="3449" w:type="dxa"/>
            <w:shd w:val="clear" w:color="auto" w:fill="C6EFCE"/>
            <w:tcMar>
              <w:left w:w="108" w:type="dxa"/>
              <w:right w:w="108" w:type="dxa"/>
            </w:tcMar>
            <w:vAlign w:val="center"/>
          </w:tcPr>
          <w:p w14:paraId="0123ECD1" w14:textId="77777777" w:rsidR="00E42B18" w:rsidRDefault="009629C4">
            <w:pPr>
              <w:pStyle w:val="P68B1DB1-Normal121"/>
              <w:spacing w:after="0" w:line="240" w:lineRule="auto"/>
              <w:rPr>
                <w:noProof/>
              </w:rPr>
            </w:pPr>
            <w:r>
              <w:rPr>
                <w:noProof/>
              </w:rPr>
              <w:t>—Investointi – 4.3 Caput Mundi-Next Generation EU -väline matkailualan suurtapahtumia varten</w:t>
            </w:r>
          </w:p>
        </w:tc>
        <w:tc>
          <w:tcPr>
            <w:tcW w:w="1134" w:type="dxa"/>
            <w:shd w:val="clear" w:color="auto" w:fill="C6EFCE"/>
            <w:tcMar>
              <w:left w:w="108" w:type="dxa"/>
              <w:right w:w="108" w:type="dxa"/>
            </w:tcMar>
            <w:vAlign w:val="center"/>
          </w:tcPr>
          <w:p w14:paraId="5A40BFE7"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010EE0AF" w14:textId="77777777" w:rsidR="00E42B18" w:rsidRDefault="009629C4">
            <w:pPr>
              <w:pStyle w:val="P68B1DB1-Normal121"/>
              <w:spacing w:after="0" w:line="240" w:lineRule="auto"/>
              <w:rPr>
                <w:noProof/>
              </w:rPr>
            </w:pPr>
            <w:r>
              <w:rPr>
                <w:noProof/>
              </w:rPr>
              <w:t xml:space="preserve">Toimien lukumäärä kulttuuri- ja matkailukohteissa </w:t>
            </w:r>
          </w:p>
        </w:tc>
      </w:tr>
      <w:tr w:rsidR="00E42B18" w14:paraId="1196D524" w14:textId="77777777">
        <w:trPr>
          <w:trHeight w:val="300"/>
        </w:trPr>
        <w:tc>
          <w:tcPr>
            <w:tcW w:w="1246" w:type="dxa"/>
            <w:shd w:val="clear" w:color="auto" w:fill="C6EFCE"/>
            <w:tcMar>
              <w:left w:w="108" w:type="dxa"/>
              <w:right w:w="108" w:type="dxa"/>
            </w:tcMar>
            <w:vAlign w:val="center"/>
          </w:tcPr>
          <w:p w14:paraId="2C3002C6" w14:textId="77777777" w:rsidR="00E42B18" w:rsidRDefault="009629C4">
            <w:pPr>
              <w:pStyle w:val="P68B1DB1-Normal121"/>
              <w:spacing w:after="0" w:line="240" w:lineRule="auto"/>
              <w:jc w:val="center"/>
              <w:rPr>
                <w:noProof/>
              </w:rPr>
            </w:pPr>
            <w:r>
              <w:rPr>
                <w:noProof/>
              </w:rPr>
              <w:t>M2C1–16</w:t>
            </w:r>
          </w:p>
        </w:tc>
        <w:tc>
          <w:tcPr>
            <w:tcW w:w="3449" w:type="dxa"/>
            <w:shd w:val="clear" w:color="auto" w:fill="C6EFCE"/>
            <w:tcMar>
              <w:left w:w="108" w:type="dxa"/>
              <w:right w:w="108" w:type="dxa"/>
            </w:tcMar>
            <w:vAlign w:val="center"/>
          </w:tcPr>
          <w:p w14:paraId="48E7262E" w14:textId="77777777" w:rsidR="00E42B18" w:rsidRDefault="009629C4">
            <w:pPr>
              <w:pStyle w:val="P68B1DB1-Normal121"/>
              <w:spacing w:after="0" w:line="240" w:lineRule="auto"/>
              <w:rPr>
                <w:noProof/>
              </w:rPr>
            </w:pPr>
            <w:r>
              <w:rPr>
                <w:noProof/>
              </w:rPr>
              <w:t xml:space="preserve">  Investointi 1.1 – Uusien jätehuoltolaitosten käyttöönotto ja olemassa olevien laitosten nykyaikaistaminen</w:t>
            </w:r>
          </w:p>
        </w:tc>
        <w:tc>
          <w:tcPr>
            <w:tcW w:w="1134" w:type="dxa"/>
            <w:shd w:val="clear" w:color="auto" w:fill="C6EFCE"/>
            <w:tcMar>
              <w:left w:w="108" w:type="dxa"/>
              <w:right w:w="108" w:type="dxa"/>
            </w:tcMar>
            <w:vAlign w:val="center"/>
          </w:tcPr>
          <w:p w14:paraId="66B09667"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F86CDEE" w14:textId="77777777" w:rsidR="00E42B18" w:rsidRDefault="009629C4">
            <w:pPr>
              <w:pStyle w:val="P68B1DB1-Normal121"/>
              <w:spacing w:after="0" w:line="240" w:lineRule="auto"/>
              <w:rPr>
                <w:noProof/>
              </w:rPr>
            </w:pPr>
            <w:r>
              <w:rPr>
                <w:noProof/>
              </w:rPr>
              <w:t>Epäsäännölliset kaatopaikat</w:t>
            </w:r>
          </w:p>
        </w:tc>
      </w:tr>
      <w:tr w:rsidR="00E42B18" w14:paraId="2962EB70" w14:textId="77777777">
        <w:trPr>
          <w:trHeight w:val="300"/>
        </w:trPr>
        <w:tc>
          <w:tcPr>
            <w:tcW w:w="1246" w:type="dxa"/>
            <w:shd w:val="clear" w:color="auto" w:fill="C6EFCE"/>
            <w:tcMar>
              <w:left w:w="108" w:type="dxa"/>
              <w:right w:w="108" w:type="dxa"/>
            </w:tcMar>
            <w:vAlign w:val="center"/>
          </w:tcPr>
          <w:p w14:paraId="627B89F6" w14:textId="77777777" w:rsidR="00E42B18" w:rsidRDefault="009629C4">
            <w:pPr>
              <w:pStyle w:val="P68B1DB1-Normal121"/>
              <w:spacing w:after="0" w:line="240" w:lineRule="auto"/>
              <w:jc w:val="center"/>
              <w:rPr>
                <w:noProof/>
              </w:rPr>
            </w:pPr>
            <w:r>
              <w:rPr>
                <w:noProof/>
              </w:rPr>
              <w:t>M2C1–19</w:t>
            </w:r>
          </w:p>
        </w:tc>
        <w:tc>
          <w:tcPr>
            <w:tcW w:w="3449" w:type="dxa"/>
            <w:shd w:val="clear" w:color="auto" w:fill="C6EFCE"/>
            <w:tcMar>
              <w:left w:w="108" w:type="dxa"/>
              <w:right w:w="108" w:type="dxa"/>
            </w:tcMar>
            <w:vAlign w:val="center"/>
          </w:tcPr>
          <w:p w14:paraId="386891F0" w14:textId="77777777" w:rsidR="00E42B18" w:rsidRDefault="009629C4">
            <w:pPr>
              <w:pStyle w:val="P68B1DB1-Normal121"/>
              <w:spacing w:after="0" w:line="240" w:lineRule="auto"/>
              <w:rPr>
                <w:noProof/>
              </w:rPr>
            </w:pPr>
            <w:r>
              <w:rPr>
                <w:noProof/>
              </w:rPr>
              <w:t>Investointi 3.1: Vihreät saaret</w:t>
            </w:r>
          </w:p>
        </w:tc>
        <w:tc>
          <w:tcPr>
            <w:tcW w:w="1134" w:type="dxa"/>
            <w:shd w:val="clear" w:color="auto" w:fill="C6EFCE"/>
            <w:tcMar>
              <w:left w:w="108" w:type="dxa"/>
              <w:right w:w="108" w:type="dxa"/>
            </w:tcMar>
            <w:vAlign w:val="center"/>
          </w:tcPr>
          <w:p w14:paraId="1EB3696C"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63E027C7" w14:textId="77777777" w:rsidR="00E42B18" w:rsidRDefault="009629C4">
            <w:pPr>
              <w:pStyle w:val="P68B1DB1-Normal121"/>
              <w:spacing w:after="0" w:line="240" w:lineRule="auto"/>
              <w:rPr>
                <w:noProof/>
              </w:rPr>
            </w:pPr>
            <w:r>
              <w:rPr>
                <w:noProof/>
              </w:rPr>
              <w:t>Integroitujen hankkeiden toteuttaminen pienillä saarilla</w:t>
            </w:r>
          </w:p>
        </w:tc>
      </w:tr>
      <w:tr w:rsidR="00E42B18" w14:paraId="4336EB20" w14:textId="77777777">
        <w:trPr>
          <w:trHeight w:val="300"/>
        </w:trPr>
        <w:tc>
          <w:tcPr>
            <w:tcW w:w="1246" w:type="dxa"/>
            <w:shd w:val="clear" w:color="auto" w:fill="C6EFCE"/>
            <w:tcMar>
              <w:left w:w="108" w:type="dxa"/>
              <w:right w:w="108" w:type="dxa"/>
            </w:tcMar>
            <w:vAlign w:val="center"/>
          </w:tcPr>
          <w:p w14:paraId="52EF01FA" w14:textId="77777777" w:rsidR="00E42B18" w:rsidRDefault="009629C4">
            <w:pPr>
              <w:pStyle w:val="P68B1DB1-Normal121"/>
              <w:spacing w:after="0" w:line="240" w:lineRule="auto"/>
              <w:jc w:val="center"/>
              <w:rPr>
                <w:noProof/>
              </w:rPr>
            </w:pPr>
            <w:r>
              <w:rPr>
                <w:noProof/>
              </w:rPr>
              <w:t>M2C1–21</w:t>
            </w:r>
          </w:p>
        </w:tc>
        <w:tc>
          <w:tcPr>
            <w:tcW w:w="3449" w:type="dxa"/>
            <w:shd w:val="clear" w:color="auto" w:fill="C6EFCE"/>
            <w:tcMar>
              <w:left w:w="108" w:type="dxa"/>
              <w:right w:w="108" w:type="dxa"/>
            </w:tcMar>
            <w:vAlign w:val="center"/>
          </w:tcPr>
          <w:p w14:paraId="362BA8F1" w14:textId="77777777" w:rsidR="00E42B18" w:rsidRDefault="009629C4">
            <w:pPr>
              <w:pStyle w:val="P68B1DB1-Normal121"/>
              <w:spacing w:after="0" w:line="240" w:lineRule="auto"/>
              <w:rPr>
                <w:noProof/>
              </w:rPr>
            </w:pPr>
            <w:r>
              <w:rPr>
                <w:noProof/>
              </w:rPr>
              <w:t>Investointi 3.2: Vihreät yhteisöt</w:t>
            </w:r>
          </w:p>
        </w:tc>
        <w:tc>
          <w:tcPr>
            <w:tcW w:w="1134" w:type="dxa"/>
            <w:shd w:val="clear" w:color="auto" w:fill="C6EFCE"/>
            <w:tcMar>
              <w:left w:w="108" w:type="dxa"/>
              <w:right w:w="108" w:type="dxa"/>
            </w:tcMar>
            <w:vAlign w:val="center"/>
          </w:tcPr>
          <w:p w14:paraId="43FCE637"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58189C74" w14:textId="77777777" w:rsidR="00E42B18" w:rsidRDefault="009629C4">
            <w:pPr>
              <w:pStyle w:val="P68B1DB1-Normal121"/>
              <w:spacing w:after="0" w:line="240" w:lineRule="auto"/>
              <w:rPr>
                <w:noProof/>
              </w:rPr>
            </w:pPr>
            <w:r>
              <w:rPr>
                <w:noProof/>
              </w:rPr>
              <w:t>Täytäntöönpanohankkeet vihreissä yhteisöissä</w:t>
            </w:r>
          </w:p>
        </w:tc>
      </w:tr>
      <w:tr w:rsidR="00E42B18" w14:paraId="31EE0673" w14:textId="77777777">
        <w:trPr>
          <w:trHeight w:val="300"/>
        </w:trPr>
        <w:tc>
          <w:tcPr>
            <w:tcW w:w="1246" w:type="dxa"/>
            <w:shd w:val="clear" w:color="auto" w:fill="C6EFCE"/>
            <w:tcMar>
              <w:left w:w="108" w:type="dxa"/>
              <w:right w:w="108" w:type="dxa"/>
            </w:tcMar>
            <w:vAlign w:val="center"/>
          </w:tcPr>
          <w:p w14:paraId="2CE7146D" w14:textId="77777777" w:rsidR="00E42B18" w:rsidRDefault="009629C4">
            <w:pPr>
              <w:pStyle w:val="P68B1DB1-Normal121"/>
              <w:spacing w:after="0" w:line="240" w:lineRule="auto"/>
              <w:jc w:val="center"/>
              <w:rPr>
                <w:noProof/>
              </w:rPr>
            </w:pPr>
            <w:r>
              <w:rPr>
                <w:noProof/>
              </w:rPr>
              <w:t>M2C1–24</w:t>
            </w:r>
          </w:p>
        </w:tc>
        <w:tc>
          <w:tcPr>
            <w:tcW w:w="3449" w:type="dxa"/>
            <w:shd w:val="clear" w:color="auto" w:fill="C6EFCE"/>
            <w:tcMar>
              <w:left w:w="108" w:type="dxa"/>
              <w:right w:w="108" w:type="dxa"/>
            </w:tcMar>
            <w:vAlign w:val="center"/>
          </w:tcPr>
          <w:p w14:paraId="38075F5B" w14:textId="77777777" w:rsidR="00E42B18" w:rsidRDefault="009629C4">
            <w:pPr>
              <w:pStyle w:val="P68B1DB1-Normal121"/>
              <w:spacing w:after="0" w:line="240" w:lineRule="auto"/>
              <w:rPr>
                <w:noProof/>
              </w:rPr>
            </w:pPr>
            <w:r>
              <w:rPr>
                <w:noProof/>
              </w:rPr>
              <w:t>Investointi 3.4: Fondo Contratti di Filiera (FCF) maatalouselintarvike-, kalastus- ja vesiviljely-, metsätalous-, kukkaviljely- ja taimitarha-alojen toimitusketjusopimusten tukemiseksi</w:t>
            </w:r>
          </w:p>
        </w:tc>
        <w:tc>
          <w:tcPr>
            <w:tcW w:w="1134" w:type="dxa"/>
            <w:shd w:val="clear" w:color="auto" w:fill="C6EFCE"/>
            <w:tcMar>
              <w:left w:w="108" w:type="dxa"/>
              <w:right w:w="108" w:type="dxa"/>
            </w:tcMar>
            <w:vAlign w:val="center"/>
          </w:tcPr>
          <w:p w14:paraId="0DE20406"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32C1051D" w14:textId="77777777" w:rsidR="00E42B18" w:rsidRDefault="009629C4">
            <w:pPr>
              <w:pStyle w:val="P68B1DB1-Normal121"/>
              <w:spacing w:after="0" w:line="240" w:lineRule="auto"/>
              <w:rPr>
                <w:noProof/>
              </w:rPr>
            </w:pPr>
            <w:r>
              <w:rPr>
                <w:noProof/>
              </w:rPr>
              <w:t>Oikeudelliset sopimukset lopullisten edunsaajien kanssa</w:t>
            </w:r>
          </w:p>
        </w:tc>
      </w:tr>
      <w:tr w:rsidR="00E42B18" w14:paraId="24D04C0C" w14:textId="77777777">
        <w:trPr>
          <w:trHeight w:val="300"/>
        </w:trPr>
        <w:tc>
          <w:tcPr>
            <w:tcW w:w="1246" w:type="dxa"/>
            <w:shd w:val="clear" w:color="auto" w:fill="C6EFCE"/>
            <w:tcMar>
              <w:left w:w="108" w:type="dxa"/>
              <w:right w:w="108" w:type="dxa"/>
            </w:tcMar>
            <w:vAlign w:val="center"/>
          </w:tcPr>
          <w:p w14:paraId="137A263F" w14:textId="77777777" w:rsidR="00E42B18" w:rsidRDefault="009629C4">
            <w:pPr>
              <w:pStyle w:val="P68B1DB1-Normal121"/>
              <w:spacing w:after="0" w:line="240" w:lineRule="auto"/>
              <w:jc w:val="center"/>
              <w:rPr>
                <w:noProof/>
              </w:rPr>
            </w:pPr>
            <w:r>
              <w:rPr>
                <w:noProof/>
              </w:rPr>
              <w:t>M2C2–5</w:t>
            </w:r>
          </w:p>
        </w:tc>
        <w:tc>
          <w:tcPr>
            <w:tcW w:w="3449" w:type="dxa"/>
            <w:shd w:val="clear" w:color="auto" w:fill="C6EFCE"/>
            <w:tcMar>
              <w:left w:w="108" w:type="dxa"/>
              <w:right w:w="108" w:type="dxa"/>
            </w:tcMar>
            <w:vAlign w:val="center"/>
          </w:tcPr>
          <w:p w14:paraId="501A08C4" w14:textId="77777777" w:rsidR="00E42B18" w:rsidRDefault="009629C4">
            <w:pPr>
              <w:pStyle w:val="P68B1DB1-Normal121"/>
              <w:spacing w:after="0" w:line="240" w:lineRule="auto"/>
              <w:rPr>
                <w:noProof/>
              </w:rPr>
            </w:pPr>
            <w:r>
              <w:rPr>
                <w:noProof/>
              </w:rPr>
              <w:t>Investointi 1.4 Biometaanin kehittäminen kiertotalouden edistämiskriteerien mukaisesti</w:t>
            </w:r>
          </w:p>
        </w:tc>
        <w:tc>
          <w:tcPr>
            <w:tcW w:w="1134" w:type="dxa"/>
            <w:shd w:val="clear" w:color="auto" w:fill="C6EFCE"/>
            <w:tcMar>
              <w:left w:w="108" w:type="dxa"/>
              <w:right w:w="108" w:type="dxa"/>
            </w:tcMar>
            <w:vAlign w:val="center"/>
          </w:tcPr>
          <w:p w14:paraId="11CF24CB"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52C32E33" w14:textId="77777777" w:rsidR="00E42B18" w:rsidRDefault="009629C4">
            <w:pPr>
              <w:pStyle w:val="P68B1DB1-Normal121"/>
              <w:spacing w:after="0" w:line="240" w:lineRule="auto"/>
              <w:rPr>
                <w:noProof/>
              </w:rPr>
            </w:pPr>
            <w:r>
              <w:rPr>
                <w:noProof/>
              </w:rPr>
              <w:t xml:space="preserve">Täytäntöönpanosopimus, lopullisten edunsaajien kanssa allekirjoitetut oikeudelliset sopimukset ja investointien loppuun saattaminen </w:t>
            </w:r>
          </w:p>
        </w:tc>
      </w:tr>
      <w:tr w:rsidR="00E42B18" w14:paraId="2CB00E77" w14:textId="77777777">
        <w:trPr>
          <w:trHeight w:val="300"/>
        </w:trPr>
        <w:tc>
          <w:tcPr>
            <w:tcW w:w="1246" w:type="dxa"/>
            <w:shd w:val="clear" w:color="auto" w:fill="C6EFCE"/>
            <w:tcMar>
              <w:left w:w="108" w:type="dxa"/>
              <w:right w:w="108" w:type="dxa"/>
            </w:tcMar>
            <w:vAlign w:val="center"/>
          </w:tcPr>
          <w:p w14:paraId="660222F4" w14:textId="77777777" w:rsidR="00E42B18" w:rsidRDefault="009629C4">
            <w:pPr>
              <w:pStyle w:val="P68B1DB1-Normal121"/>
              <w:spacing w:after="0" w:line="240" w:lineRule="auto"/>
              <w:jc w:val="center"/>
              <w:rPr>
                <w:noProof/>
              </w:rPr>
            </w:pPr>
            <w:r>
              <w:rPr>
                <w:noProof/>
              </w:rPr>
              <w:t>M2C2–17</w:t>
            </w:r>
          </w:p>
        </w:tc>
        <w:tc>
          <w:tcPr>
            <w:tcW w:w="3449" w:type="dxa"/>
            <w:shd w:val="clear" w:color="auto" w:fill="C6EFCE"/>
            <w:tcMar>
              <w:left w:w="108" w:type="dxa"/>
              <w:right w:w="108" w:type="dxa"/>
            </w:tcMar>
            <w:vAlign w:val="center"/>
          </w:tcPr>
          <w:p w14:paraId="7B03C620" w14:textId="77777777" w:rsidR="00E42B18" w:rsidRDefault="009629C4">
            <w:pPr>
              <w:pStyle w:val="P68B1DB1-Normal121"/>
              <w:spacing w:after="0" w:line="240" w:lineRule="auto"/>
              <w:rPr>
                <w:noProof/>
              </w:rPr>
            </w:pPr>
            <w:r>
              <w:rPr>
                <w:noProof/>
              </w:rPr>
              <w:t xml:space="preserve">Investointi 3.4 Vetytestaus rautatieliikenteen ja tieliikenteen alalla </w:t>
            </w:r>
          </w:p>
        </w:tc>
        <w:tc>
          <w:tcPr>
            <w:tcW w:w="1134" w:type="dxa"/>
            <w:shd w:val="clear" w:color="auto" w:fill="C6EFCE"/>
            <w:tcMar>
              <w:left w:w="108" w:type="dxa"/>
              <w:right w:w="108" w:type="dxa"/>
            </w:tcMar>
            <w:vAlign w:val="center"/>
          </w:tcPr>
          <w:p w14:paraId="5AD4B182"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2CAABA0B" w14:textId="77777777" w:rsidR="00E42B18" w:rsidRDefault="009629C4">
            <w:pPr>
              <w:pStyle w:val="P68B1DB1-Normal121"/>
              <w:spacing w:after="0" w:line="240" w:lineRule="auto"/>
              <w:rPr>
                <w:noProof/>
              </w:rPr>
            </w:pPr>
            <w:r>
              <w:rPr>
                <w:noProof/>
              </w:rPr>
              <w:t xml:space="preserve">Rakennettujen vetytankkausasemien lukumäärä </w:t>
            </w:r>
          </w:p>
        </w:tc>
      </w:tr>
      <w:tr w:rsidR="00E42B18" w14:paraId="44EFDD55" w14:textId="77777777">
        <w:trPr>
          <w:trHeight w:val="300"/>
        </w:trPr>
        <w:tc>
          <w:tcPr>
            <w:tcW w:w="1246" w:type="dxa"/>
            <w:shd w:val="clear" w:color="auto" w:fill="C6EFCE"/>
            <w:tcMar>
              <w:left w:w="108" w:type="dxa"/>
              <w:right w:w="108" w:type="dxa"/>
            </w:tcMar>
            <w:vAlign w:val="center"/>
          </w:tcPr>
          <w:p w14:paraId="7927B63B" w14:textId="77777777" w:rsidR="00E42B18" w:rsidRDefault="009629C4">
            <w:pPr>
              <w:pStyle w:val="P68B1DB1-Normal121"/>
              <w:spacing w:after="0" w:line="240" w:lineRule="auto"/>
              <w:jc w:val="center"/>
              <w:rPr>
                <w:noProof/>
              </w:rPr>
            </w:pPr>
            <w:r>
              <w:rPr>
                <w:noProof/>
              </w:rPr>
              <w:t>M2C2–19</w:t>
            </w:r>
          </w:p>
        </w:tc>
        <w:tc>
          <w:tcPr>
            <w:tcW w:w="3449" w:type="dxa"/>
            <w:shd w:val="clear" w:color="auto" w:fill="C6EFCE"/>
            <w:tcMar>
              <w:left w:w="108" w:type="dxa"/>
              <w:right w:w="108" w:type="dxa"/>
            </w:tcMar>
            <w:vAlign w:val="center"/>
          </w:tcPr>
          <w:p w14:paraId="0386EED2" w14:textId="77777777" w:rsidR="00E42B18" w:rsidRDefault="009629C4">
            <w:pPr>
              <w:pStyle w:val="P68B1DB1-Normal121"/>
              <w:spacing w:after="0" w:line="240" w:lineRule="auto"/>
              <w:rPr>
                <w:noProof/>
              </w:rPr>
            </w:pPr>
            <w:r>
              <w:rPr>
                <w:noProof/>
              </w:rPr>
              <w:t>Investointi 3.5 Vetytutkimus ja -kehitys</w:t>
            </w:r>
          </w:p>
        </w:tc>
        <w:tc>
          <w:tcPr>
            <w:tcW w:w="1134" w:type="dxa"/>
            <w:shd w:val="clear" w:color="auto" w:fill="C6EFCE"/>
            <w:tcMar>
              <w:left w:w="108" w:type="dxa"/>
              <w:right w:w="108" w:type="dxa"/>
            </w:tcMar>
            <w:vAlign w:val="center"/>
          </w:tcPr>
          <w:p w14:paraId="6A84ABA7"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EBA1CCD" w14:textId="77777777" w:rsidR="00E42B18" w:rsidRDefault="009629C4">
            <w:pPr>
              <w:pStyle w:val="P68B1DB1-Normal121"/>
              <w:spacing w:after="0" w:line="240" w:lineRule="auto"/>
              <w:rPr>
                <w:noProof/>
              </w:rPr>
            </w:pPr>
            <w:r>
              <w:rPr>
                <w:noProof/>
              </w:rPr>
              <w:t>Vetyä koskevien tutkimus- ja kehityshankkeiden lukumäärä</w:t>
            </w:r>
          </w:p>
        </w:tc>
      </w:tr>
      <w:tr w:rsidR="00E42B18" w14:paraId="0572EFB5" w14:textId="77777777">
        <w:trPr>
          <w:trHeight w:val="300"/>
        </w:trPr>
        <w:tc>
          <w:tcPr>
            <w:tcW w:w="1246" w:type="dxa"/>
            <w:shd w:val="clear" w:color="auto" w:fill="C6EFCE"/>
            <w:tcMar>
              <w:left w:w="108" w:type="dxa"/>
              <w:right w:w="108" w:type="dxa"/>
            </w:tcMar>
            <w:vAlign w:val="center"/>
          </w:tcPr>
          <w:p w14:paraId="410ADF45" w14:textId="77777777" w:rsidR="00E42B18" w:rsidRDefault="009629C4">
            <w:pPr>
              <w:pStyle w:val="P68B1DB1-Normal121"/>
              <w:spacing w:after="0" w:line="240" w:lineRule="auto"/>
              <w:jc w:val="center"/>
              <w:rPr>
                <w:noProof/>
              </w:rPr>
            </w:pPr>
            <w:r>
              <w:rPr>
                <w:noProof/>
              </w:rPr>
              <w:t>M2C2–26</w:t>
            </w:r>
          </w:p>
        </w:tc>
        <w:tc>
          <w:tcPr>
            <w:tcW w:w="3449" w:type="dxa"/>
            <w:shd w:val="clear" w:color="auto" w:fill="C6EFCE"/>
            <w:tcMar>
              <w:left w:w="108" w:type="dxa"/>
              <w:right w:w="108" w:type="dxa"/>
            </w:tcMar>
            <w:vAlign w:val="center"/>
          </w:tcPr>
          <w:p w14:paraId="5924284A" w14:textId="77777777" w:rsidR="00E42B18" w:rsidRDefault="009629C4">
            <w:pPr>
              <w:pStyle w:val="P68B1DB1-Normal121"/>
              <w:spacing w:after="0" w:line="240" w:lineRule="auto"/>
              <w:rPr>
                <w:noProof/>
              </w:rPr>
            </w:pPr>
            <w:r>
              <w:rPr>
                <w:noProof/>
              </w:rPr>
              <w:t xml:space="preserve">Investointi 4.2 Nopean joukkoliikenteen järjestelmien kehittäminen </w:t>
            </w:r>
          </w:p>
        </w:tc>
        <w:tc>
          <w:tcPr>
            <w:tcW w:w="1134" w:type="dxa"/>
            <w:shd w:val="clear" w:color="auto" w:fill="C6EFCE"/>
            <w:tcMar>
              <w:left w:w="108" w:type="dxa"/>
              <w:right w:w="108" w:type="dxa"/>
            </w:tcMar>
            <w:vAlign w:val="center"/>
          </w:tcPr>
          <w:p w14:paraId="5B2A90FF"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0B0978FB" w14:textId="77777777" w:rsidR="00E42B18" w:rsidRDefault="009629C4">
            <w:pPr>
              <w:pStyle w:val="P68B1DB1-Normal121"/>
              <w:spacing w:after="0" w:line="240" w:lineRule="auto"/>
              <w:rPr>
                <w:noProof/>
              </w:rPr>
            </w:pPr>
            <w:r>
              <w:rPr>
                <w:noProof/>
              </w:rPr>
              <w:t xml:space="preserve">Joukkoliikenteen nopeaa kehittämistä varten rakennettu tai parannettu julkinen infrastruktuuri, ostettu liikkuva kalusto </w:t>
            </w:r>
          </w:p>
        </w:tc>
      </w:tr>
      <w:tr w:rsidR="00E42B18" w14:paraId="6D0406AA" w14:textId="77777777">
        <w:trPr>
          <w:trHeight w:val="300"/>
        </w:trPr>
        <w:tc>
          <w:tcPr>
            <w:tcW w:w="1246" w:type="dxa"/>
            <w:shd w:val="clear" w:color="auto" w:fill="C6EFCE"/>
            <w:tcMar>
              <w:left w:w="108" w:type="dxa"/>
              <w:right w:w="108" w:type="dxa"/>
            </w:tcMar>
            <w:vAlign w:val="center"/>
          </w:tcPr>
          <w:p w14:paraId="2562A0E9" w14:textId="77777777" w:rsidR="00E42B18" w:rsidRDefault="009629C4">
            <w:pPr>
              <w:pStyle w:val="P68B1DB1-Normal121"/>
              <w:spacing w:after="0" w:line="240" w:lineRule="auto"/>
              <w:jc w:val="center"/>
              <w:rPr>
                <w:noProof/>
              </w:rPr>
            </w:pPr>
            <w:r>
              <w:rPr>
                <w:noProof/>
              </w:rPr>
              <w:t>M2C2–35 a</w:t>
            </w:r>
          </w:p>
        </w:tc>
        <w:tc>
          <w:tcPr>
            <w:tcW w:w="3449" w:type="dxa"/>
            <w:shd w:val="clear" w:color="auto" w:fill="C6EFCE"/>
            <w:tcMar>
              <w:left w:w="108" w:type="dxa"/>
              <w:right w:w="108" w:type="dxa"/>
            </w:tcMar>
            <w:vAlign w:val="center"/>
          </w:tcPr>
          <w:p w14:paraId="53C3E049" w14:textId="77777777" w:rsidR="00E42B18" w:rsidRDefault="009629C4">
            <w:pPr>
              <w:pStyle w:val="P68B1DB1-Normal121"/>
              <w:spacing w:after="0" w:line="240" w:lineRule="auto"/>
              <w:rPr>
                <w:noProof/>
              </w:rPr>
            </w:pPr>
            <w:r>
              <w:rPr>
                <w:noProof/>
              </w:rPr>
              <w:t>Investointi 4.4.2:  Alueellisen julkisen liikenteen rautatiekaluston vahvistaminen päästöttömillä junilla ja yleispalvelulla</w:t>
            </w:r>
          </w:p>
        </w:tc>
        <w:tc>
          <w:tcPr>
            <w:tcW w:w="1134" w:type="dxa"/>
            <w:shd w:val="clear" w:color="auto" w:fill="C6EFCE"/>
            <w:tcMar>
              <w:left w:w="108" w:type="dxa"/>
              <w:right w:w="108" w:type="dxa"/>
            </w:tcMar>
            <w:vAlign w:val="center"/>
          </w:tcPr>
          <w:p w14:paraId="1C8041F7"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F6F545A" w14:textId="77777777" w:rsidR="00E42B18" w:rsidRDefault="009629C4">
            <w:pPr>
              <w:pStyle w:val="P68B1DB1-Normal121"/>
              <w:spacing w:after="0" w:line="240" w:lineRule="auto"/>
              <w:rPr>
                <w:noProof/>
              </w:rPr>
            </w:pPr>
            <w:r>
              <w:rPr>
                <w:noProof/>
              </w:rPr>
              <w:t xml:space="preserve">Rekisteröityjen junien lukumäärä </w:t>
            </w:r>
          </w:p>
        </w:tc>
      </w:tr>
      <w:tr w:rsidR="00E42B18" w14:paraId="071C21F0" w14:textId="77777777">
        <w:trPr>
          <w:trHeight w:val="300"/>
        </w:trPr>
        <w:tc>
          <w:tcPr>
            <w:tcW w:w="1246" w:type="dxa"/>
            <w:shd w:val="clear" w:color="auto" w:fill="C6EFCE"/>
            <w:tcMar>
              <w:left w:w="108" w:type="dxa"/>
              <w:right w:w="108" w:type="dxa"/>
            </w:tcMar>
            <w:vAlign w:val="center"/>
          </w:tcPr>
          <w:p w14:paraId="4E809F45" w14:textId="77777777" w:rsidR="00E42B18" w:rsidRDefault="009629C4">
            <w:pPr>
              <w:pStyle w:val="P68B1DB1-Normal121"/>
              <w:spacing w:after="0" w:line="240" w:lineRule="auto"/>
              <w:jc w:val="center"/>
              <w:rPr>
                <w:noProof/>
              </w:rPr>
            </w:pPr>
            <w:r>
              <w:rPr>
                <w:noProof/>
              </w:rPr>
              <w:t>M2C2–40</w:t>
            </w:r>
          </w:p>
        </w:tc>
        <w:tc>
          <w:tcPr>
            <w:tcW w:w="3449" w:type="dxa"/>
            <w:shd w:val="clear" w:color="auto" w:fill="C6EFCE"/>
            <w:tcMar>
              <w:left w:w="108" w:type="dxa"/>
              <w:right w:w="108" w:type="dxa"/>
            </w:tcMar>
            <w:vAlign w:val="center"/>
          </w:tcPr>
          <w:p w14:paraId="376AE91E" w14:textId="77777777" w:rsidR="00E42B18" w:rsidRDefault="009629C4">
            <w:pPr>
              <w:pStyle w:val="P68B1DB1-Normal121"/>
              <w:spacing w:after="0" w:line="240" w:lineRule="auto"/>
              <w:rPr>
                <w:noProof/>
              </w:rPr>
            </w:pPr>
            <w:r>
              <w:rPr>
                <w:noProof/>
              </w:rPr>
              <w:t>Investointi 5.1. Tuki ekologisen siirtymän tuotantojärjestelmälle, nettonollateknologiat sekä strategisten toimitusketjujen kilpailukyky ja häiriönsietokyky</w:t>
            </w:r>
          </w:p>
        </w:tc>
        <w:tc>
          <w:tcPr>
            <w:tcW w:w="1134" w:type="dxa"/>
            <w:shd w:val="clear" w:color="auto" w:fill="C6EFCE"/>
            <w:tcMar>
              <w:left w:w="108" w:type="dxa"/>
              <w:right w:w="108" w:type="dxa"/>
            </w:tcMar>
            <w:vAlign w:val="center"/>
          </w:tcPr>
          <w:p w14:paraId="1B7DEF94"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495CC5C6" w14:textId="77777777" w:rsidR="00E42B18" w:rsidRDefault="009629C4">
            <w:pPr>
              <w:pStyle w:val="P68B1DB1-Normal121"/>
              <w:spacing w:after="0" w:line="240" w:lineRule="auto"/>
              <w:rPr>
                <w:noProof/>
              </w:rPr>
            </w:pPr>
            <w:r>
              <w:rPr>
                <w:noProof/>
              </w:rPr>
              <w:t>Täytäntöönpanosopimuksen muuttaminen, lopullisten edunsaajien kanssa allekirjoitetut oikeudelliset sopimukset</w:t>
            </w:r>
          </w:p>
        </w:tc>
      </w:tr>
      <w:tr w:rsidR="00E42B18" w14:paraId="3580A672" w14:textId="77777777">
        <w:trPr>
          <w:trHeight w:val="300"/>
        </w:trPr>
        <w:tc>
          <w:tcPr>
            <w:tcW w:w="1246" w:type="dxa"/>
            <w:shd w:val="clear" w:color="auto" w:fill="C6EFCE"/>
            <w:tcMar>
              <w:left w:w="108" w:type="dxa"/>
              <w:right w:w="108" w:type="dxa"/>
            </w:tcMar>
            <w:vAlign w:val="center"/>
          </w:tcPr>
          <w:p w14:paraId="5D4EA1F8" w14:textId="77777777" w:rsidR="00E42B18" w:rsidRDefault="009629C4">
            <w:pPr>
              <w:pStyle w:val="P68B1DB1-Normal121"/>
              <w:spacing w:after="0" w:line="240" w:lineRule="auto"/>
              <w:jc w:val="center"/>
              <w:rPr>
                <w:noProof/>
              </w:rPr>
            </w:pPr>
            <w:r>
              <w:rPr>
                <w:noProof/>
              </w:rPr>
              <w:t>M2C2–43</w:t>
            </w:r>
          </w:p>
        </w:tc>
        <w:tc>
          <w:tcPr>
            <w:tcW w:w="3449" w:type="dxa"/>
            <w:shd w:val="clear" w:color="auto" w:fill="C6EFCE"/>
            <w:tcMar>
              <w:left w:w="108" w:type="dxa"/>
              <w:right w:w="108" w:type="dxa"/>
            </w:tcMar>
            <w:vAlign w:val="center"/>
          </w:tcPr>
          <w:p w14:paraId="2CA88043" w14:textId="77777777" w:rsidR="00E42B18" w:rsidRDefault="009629C4">
            <w:pPr>
              <w:pStyle w:val="P68B1DB1-Normal121"/>
              <w:spacing w:after="0" w:line="240" w:lineRule="auto"/>
              <w:rPr>
                <w:noProof/>
              </w:rPr>
            </w:pPr>
            <w:r>
              <w:rPr>
                <w:noProof/>
              </w:rPr>
              <w:t>Investointi 5.4 – Pääomanlisäys vihreän siirtymän rahastoon (GTF)</w:t>
            </w:r>
          </w:p>
        </w:tc>
        <w:tc>
          <w:tcPr>
            <w:tcW w:w="1134" w:type="dxa"/>
            <w:shd w:val="clear" w:color="auto" w:fill="C6EFCE"/>
            <w:tcMar>
              <w:left w:w="108" w:type="dxa"/>
              <w:right w:w="108" w:type="dxa"/>
            </w:tcMar>
            <w:vAlign w:val="center"/>
          </w:tcPr>
          <w:p w14:paraId="574D43A9"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4A298283" w14:textId="77777777" w:rsidR="00E42B18" w:rsidRDefault="009629C4">
            <w:pPr>
              <w:pStyle w:val="P68B1DB1-Normal121"/>
              <w:spacing w:after="0" w:line="240" w:lineRule="auto"/>
              <w:rPr>
                <w:noProof/>
              </w:rPr>
            </w:pPr>
            <w:r>
              <w:rPr>
                <w:noProof/>
              </w:rPr>
              <w:t>Mietinnön hyväksyminen</w:t>
            </w:r>
          </w:p>
        </w:tc>
      </w:tr>
      <w:tr w:rsidR="00E42B18" w14:paraId="19A06E8E" w14:textId="77777777">
        <w:trPr>
          <w:trHeight w:val="300"/>
        </w:trPr>
        <w:tc>
          <w:tcPr>
            <w:tcW w:w="1246" w:type="dxa"/>
            <w:shd w:val="clear" w:color="auto" w:fill="C6EFCE"/>
            <w:tcMar>
              <w:left w:w="108" w:type="dxa"/>
              <w:right w:w="108" w:type="dxa"/>
            </w:tcMar>
            <w:vAlign w:val="center"/>
          </w:tcPr>
          <w:p w14:paraId="237E2880" w14:textId="77777777" w:rsidR="00E42B18" w:rsidRDefault="009629C4">
            <w:pPr>
              <w:pStyle w:val="P68B1DB1-Normal121"/>
              <w:spacing w:after="0" w:line="240" w:lineRule="auto"/>
              <w:jc w:val="center"/>
              <w:rPr>
                <w:noProof/>
              </w:rPr>
            </w:pPr>
            <w:r>
              <w:rPr>
                <w:noProof/>
              </w:rPr>
              <w:t>M2C2–47</w:t>
            </w:r>
          </w:p>
        </w:tc>
        <w:tc>
          <w:tcPr>
            <w:tcW w:w="3449" w:type="dxa"/>
            <w:shd w:val="clear" w:color="auto" w:fill="C6EFCE"/>
            <w:tcMar>
              <w:left w:w="108" w:type="dxa"/>
              <w:right w:w="108" w:type="dxa"/>
            </w:tcMar>
            <w:vAlign w:val="center"/>
          </w:tcPr>
          <w:p w14:paraId="39E47C1C" w14:textId="77777777" w:rsidR="00E42B18" w:rsidRDefault="009629C4">
            <w:pPr>
              <w:pStyle w:val="P68B1DB1-Normal121"/>
              <w:spacing w:after="0" w:line="240" w:lineRule="auto"/>
              <w:rPr>
                <w:noProof/>
              </w:rPr>
            </w:pPr>
            <w:r>
              <w:rPr>
                <w:noProof/>
              </w:rPr>
              <w:t>Investointi 1.2 Uusiutuvien energialähteiden edistäminen energiayhteisöille ja yhdessä toimiville itse tuotettua uusiutuvaa energiaa käyttäville kuluttajille</w:t>
            </w:r>
          </w:p>
        </w:tc>
        <w:tc>
          <w:tcPr>
            <w:tcW w:w="1134" w:type="dxa"/>
            <w:shd w:val="clear" w:color="auto" w:fill="C6EFCE"/>
            <w:tcMar>
              <w:left w:w="108" w:type="dxa"/>
              <w:right w:w="108" w:type="dxa"/>
            </w:tcMar>
            <w:vAlign w:val="center"/>
          </w:tcPr>
          <w:p w14:paraId="0D7A0E33"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E7F6DB5" w14:textId="74337046" w:rsidR="00E42B18" w:rsidRDefault="009629C4">
            <w:pPr>
              <w:pStyle w:val="P68B1DB1-Normal121"/>
              <w:spacing w:after="0" w:line="240" w:lineRule="auto"/>
              <w:rPr>
                <w:noProof/>
              </w:rPr>
            </w:pPr>
            <w:r>
              <w:rPr>
                <w:noProof/>
              </w:rPr>
              <w:t>Uusiutuvista energialähteistä tuotetun uuden sähköntuotantokapasiteetin asentaminen energiayhteisöihin ja yhdessä toimiviin itse tuotettua uusiutuvaa energiaa käyttäviin kuluttajiin</w:t>
            </w:r>
          </w:p>
        </w:tc>
      </w:tr>
      <w:tr w:rsidR="00E42B18" w14:paraId="35D795BA" w14:textId="77777777">
        <w:trPr>
          <w:trHeight w:val="300"/>
        </w:trPr>
        <w:tc>
          <w:tcPr>
            <w:tcW w:w="1246" w:type="dxa"/>
            <w:shd w:val="clear" w:color="auto" w:fill="C6EFCE"/>
            <w:tcMar>
              <w:left w:w="108" w:type="dxa"/>
              <w:right w:w="108" w:type="dxa"/>
            </w:tcMar>
            <w:vAlign w:val="center"/>
          </w:tcPr>
          <w:p w14:paraId="3ABE0119" w14:textId="77777777" w:rsidR="00E42B18" w:rsidRDefault="009629C4">
            <w:pPr>
              <w:pStyle w:val="P68B1DB1-Normal121"/>
              <w:spacing w:after="0" w:line="240" w:lineRule="auto"/>
              <w:jc w:val="center"/>
              <w:rPr>
                <w:noProof/>
              </w:rPr>
            </w:pPr>
            <w:r>
              <w:rPr>
                <w:noProof/>
              </w:rPr>
              <w:t>M2C2–49</w:t>
            </w:r>
          </w:p>
        </w:tc>
        <w:tc>
          <w:tcPr>
            <w:tcW w:w="3449" w:type="dxa"/>
            <w:shd w:val="clear" w:color="auto" w:fill="C6EFCE"/>
            <w:tcMar>
              <w:left w:w="108" w:type="dxa"/>
              <w:right w:w="108" w:type="dxa"/>
            </w:tcMar>
            <w:vAlign w:val="center"/>
          </w:tcPr>
          <w:p w14:paraId="263CE8CF" w14:textId="77777777" w:rsidR="00E42B18" w:rsidRDefault="009629C4">
            <w:pPr>
              <w:pStyle w:val="P68B1DB1-Normal121"/>
              <w:spacing w:after="0" w:line="240" w:lineRule="auto"/>
              <w:rPr>
                <w:noProof/>
              </w:rPr>
            </w:pPr>
            <w:r>
              <w:rPr>
                <w:noProof/>
              </w:rPr>
              <w:t>Investointi 3.1 Vedyn tuotanto ympäristövaurioalueilla (vetylaaksot)</w:t>
            </w:r>
          </w:p>
        </w:tc>
        <w:tc>
          <w:tcPr>
            <w:tcW w:w="1134" w:type="dxa"/>
            <w:shd w:val="clear" w:color="auto" w:fill="C6EFCE"/>
            <w:tcMar>
              <w:left w:w="108" w:type="dxa"/>
              <w:right w:w="108" w:type="dxa"/>
            </w:tcMar>
            <w:vAlign w:val="center"/>
          </w:tcPr>
          <w:p w14:paraId="09BC270B"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2327C4F" w14:textId="77777777" w:rsidR="00E42B18" w:rsidRDefault="009629C4">
            <w:pPr>
              <w:pStyle w:val="P68B1DB1-Normal121"/>
              <w:spacing w:after="0" w:line="240" w:lineRule="auto"/>
              <w:rPr>
                <w:noProof/>
              </w:rPr>
            </w:pPr>
            <w:r>
              <w:rPr>
                <w:noProof/>
              </w:rPr>
              <w:t xml:space="preserve">Toteutettu hanke </w:t>
            </w:r>
          </w:p>
        </w:tc>
      </w:tr>
      <w:tr w:rsidR="00E42B18" w14:paraId="556B773A" w14:textId="77777777">
        <w:trPr>
          <w:trHeight w:val="300"/>
        </w:trPr>
        <w:tc>
          <w:tcPr>
            <w:tcW w:w="1246" w:type="dxa"/>
            <w:shd w:val="clear" w:color="auto" w:fill="C6EFCE"/>
            <w:tcMar>
              <w:left w:w="108" w:type="dxa"/>
              <w:right w:w="108" w:type="dxa"/>
            </w:tcMar>
            <w:vAlign w:val="center"/>
          </w:tcPr>
          <w:p w14:paraId="2A97CECC" w14:textId="77777777" w:rsidR="00E42B18" w:rsidRDefault="009629C4">
            <w:pPr>
              <w:pStyle w:val="P68B1DB1-Normal121"/>
              <w:spacing w:after="0" w:line="240" w:lineRule="auto"/>
              <w:jc w:val="center"/>
              <w:rPr>
                <w:noProof/>
              </w:rPr>
            </w:pPr>
            <w:r>
              <w:rPr>
                <w:noProof/>
              </w:rPr>
              <w:t>M2C2–53</w:t>
            </w:r>
          </w:p>
        </w:tc>
        <w:tc>
          <w:tcPr>
            <w:tcW w:w="3449" w:type="dxa"/>
            <w:shd w:val="clear" w:color="auto" w:fill="C6EFCE"/>
            <w:tcMar>
              <w:left w:w="108" w:type="dxa"/>
              <w:right w:w="108" w:type="dxa"/>
            </w:tcMar>
            <w:vAlign w:val="center"/>
          </w:tcPr>
          <w:p w14:paraId="1CE533DD" w14:textId="77777777" w:rsidR="00E42B18" w:rsidRDefault="009629C4">
            <w:pPr>
              <w:pStyle w:val="P68B1DB1-Normal121"/>
              <w:spacing w:after="0" w:line="240" w:lineRule="auto"/>
              <w:rPr>
                <w:noProof/>
              </w:rPr>
            </w:pPr>
            <w:r>
              <w:rPr>
                <w:noProof/>
              </w:rPr>
              <w:t>Investointi 5.2 Vety</w:t>
            </w:r>
          </w:p>
        </w:tc>
        <w:tc>
          <w:tcPr>
            <w:tcW w:w="1134" w:type="dxa"/>
            <w:shd w:val="clear" w:color="auto" w:fill="C6EFCE"/>
            <w:tcMar>
              <w:left w:w="108" w:type="dxa"/>
              <w:right w:w="108" w:type="dxa"/>
            </w:tcMar>
            <w:vAlign w:val="center"/>
          </w:tcPr>
          <w:p w14:paraId="20037144"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3F1CF839" w14:textId="77777777" w:rsidR="00E42B18" w:rsidRDefault="009629C4">
            <w:pPr>
              <w:pStyle w:val="P68B1DB1-Normal121"/>
              <w:spacing w:after="0" w:line="240" w:lineRule="auto"/>
              <w:rPr>
                <w:noProof/>
              </w:rPr>
            </w:pPr>
            <w:r>
              <w:rPr>
                <w:noProof/>
              </w:rPr>
              <w:t xml:space="preserve">Teollisuuslaitos rakennettu </w:t>
            </w:r>
          </w:p>
        </w:tc>
      </w:tr>
      <w:tr w:rsidR="00E42B18" w14:paraId="00208443" w14:textId="77777777">
        <w:trPr>
          <w:trHeight w:val="300"/>
        </w:trPr>
        <w:tc>
          <w:tcPr>
            <w:tcW w:w="1246" w:type="dxa"/>
            <w:shd w:val="clear" w:color="auto" w:fill="C6EFCE"/>
            <w:tcMar>
              <w:left w:w="108" w:type="dxa"/>
              <w:right w:w="108" w:type="dxa"/>
            </w:tcMar>
            <w:vAlign w:val="center"/>
          </w:tcPr>
          <w:p w14:paraId="16C9C1B7" w14:textId="77777777" w:rsidR="00E42B18" w:rsidRDefault="009629C4">
            <w:pPr>
              <w:pStyle w:val="P68B1DB1-Normal121"/>
              <w:spacing w:after="0" w:line="240" w:lineRule="auto"/>
              <w:jc w:val="center"/>
              <w:rPr>
                <w:noProof/>
              </w:rPr>
            </w:pPr>
            <w:r>
              <w:rPr>
                <w:noProof/>
              </w:rPr>
              <w:t>M2C4–6bis</w:t>
            </w:r>
          </w:p>
        </w:tc>
        <w:tc>
          <w:tcPr>
            <w:tcW w:w="3449" w:type="dxa"/>
            <w:shd w:val="clear" w:color="auto" w:fill="C6EFCE"/>
            <w:tcMar>
              <w:left w:w="108" w:type="dxa"/>
              <w:right w:w="108" w:type="dxa"/>
            </w:tcMar>
            <w:vAlign w:val="center"/>
          </w:tcPr>
          <w:p w14:paraId="5519548F" w14:textId="77777777" w:rsidR="00E42B18" w:rsidRDefault="009629C4">
            <w:pPr>
              <w:pStyle w:val="P68B1DB1-Normal121"/>
              <w:spacing w:after="0" w:line="240" w:lineRule="auto"/>
              <w:rPr>
                <w:noProof/>
              </w:rPr>
            </w:pPr>
            <w:r>
              <w:rPr>
                <w:noProof/>
              </w:rPr>
              <w:t>Investointi 3.2: Kansallispuistojen digitalisointi</w:t>
            </w:r>
          </w:p>
        </w:tc>
        <w:tc>
          <w:tcPr>
            <w:tcW w:w="1134" w:type="dxa"/>
            <w:shd w:val="clear" w:color="auto" w:fill="C6EFCE"/>
            <w:tcMar>
              <w:left w:w="108" w:type="dxa"/>
              <w:right w:w="108" w:type="dxa"/>
            </w:tcMar>
            <w:vAlign w:val="center"/>
          </w:tcPr>
          <w:p w14:paraId="47CDCBF0"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3D1595CC" w14:textId="77777777" w:rsidR="00E42B18" w:rsidRDefault="009629C4">
            <w:pPr>
              <w:pStyle w:val="P68B1DB1-Normal121"/>
              <w:spacing w:after="0" w:line="240" w:lineRule="auto"/>
              <w:rPr>
                <w:noProof/>
              </w:rPr>
            </w:pPr>
            <w:r>
              <w:rPr>
                <w:noProof/>
              </w:rPr>
              <w:t>Luonnon suojeluun ja toimitettujen luonnonvarojen seurantaan liittyvät toimet</w:t>
            </w:r>
          </w:p>
        </w:tc>
      </w:tr>
      <w:tr w:rsidR="00E42B18" w14:paraId="37EA69B9" w14:textId="77777777">
        <w:trPr>
          <w:trHeight w:val="300"/>
        </w:trPr>
        <w:tc>
          <w:tcPr>
            <w:tcW w:w="1246" w:type="dxa"/>
            <w:shd w:val="clear" w:color="auto" w:fill="C6EFCE"/>
            <w:tcMar>
              <w:left w:w="108" w:type="dxa"/>
              <w:right w:w="108" w:type="dxa"/>
            </w:tcMar>
            <w:vAlign w:val="center"/>
          </w:tcPr>
          <w:p w14:paraId="7A7EA6F3" w14:textId="77777777" w:rsidR="00E42B18" w:rsidRDefault="009629C4">
            <w:pPr>
              <w:pStyle w:val="P68B1DB1-Normal121"/>
              <w:spacing w:after="0" w:line="240" w:lineRule="auto"/>
              <w:jc w:val="center"/>
              <w:rPr>
                <w:noProof/>
              </w:rPr>
            </w:pPr>
            <w:r>
              <w:rPr>
                <w:noProof/>
              </w:rPr>
              <w:t>M2C4–11bis</w:t>
            </w:r>
          </w:p>
        </w:tc>
        <w:tc>
          <w:tcPr>
            <w:tcW w:w="3449" w:type="dxa"/>
            <w:shd w:val="clear" w:color="auto" w:fill="C6EFCE"/>
            <w:tcMar>
              <w:left w:w="108" w:type="dxa"/>
              <w:right w:w="108" w:type="dxa"/>
            </w:tcMar>
            <w:vAlign w:val="center"/>
          </w:tcPr>
          <w:p w14:paraId="67D7A359" w14:textId="77777777" w:rsidR="00E42B18" w:rsidRDefault="009629C4">
            <w:pPr>
              <w:pStyle w:val="P68B1DB1-Normal121"/>
              <w:spacing w:after="0" w:line="240" w:lineRule="auto"/>
              <w:rPr>
                <w:noProof/>
              </w:rPr>
            </w:pPr>
            <w:r>
              <w:rPr>
                <w:noProof/>
              </w:rPr>
              <w:t>Investointi 2.1.a. Toimenpiteet tulvariskien ja hydrogeologisten riskien vähentämiseksi – interventiot Emilia Romagnassa, Toscanassa ja Marchessa</w:t>
            </w:r>
          </w:p>
        </w:tc>
        <w:tc>
          <w:tcPr>
            <w:tcW w:w="1134" w:type="dxa"/>
            <w:shd w:val="clear" w:color="auto" w:fill="C6EFCE"/>
            <w:tcMar>
              <w:left w:w="108" w:type="dxa"/>
              <w:right w:w="108" w:type="dxa"/>
            </w:tcMar>
            <w:vAlign w:val="center"/>
          </w:tcPr>
          <w:p w14:paraId="56A28B49"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34C65652" w14:textId="77777777" w:rsidR="00E42B18" w:rsidRDefault="009629C4">
            <w:pPr>
              <w:pStyle w:val="P68B1DB1-Normal121"/>
              <w:spacing w:after="0" w:line="240" w:lineRule="auto"/>
              <w:rPr>
                <w:noProof/>
              </w:rPr>
            </w:pPr>
            <w:r>
              <w:rPr>
                <w:noProof/>
              </w:rPr>
              <w:t>Toteutetut hankkeet</w:t>
            </w:r>
          </w:p>
        </w:tc>
      </w:tr>
      <w:tr w:rsidR="00E42B18" w14:paraId="089CCD08" w14:textId="77777777">
        <w:trPr>
          <w:trHeight w:val="300"/>
        </w:trPr>
        <w:tc>
          <w:tcPr>
            <w:tcW w:w="1246" w:type="dxa"/>
            <w:shd w:val="clear" w:color="auto" w:fill="C6EFCE"/>
            <w:tcMar>
              <w:left w:w="108" w:type="dxa"/>
              <w:right w:w="108" w:type="dxa"/>
            </w:tcMar>
            <w:vAlign w:val="center"/>
          </w:tcPr>
          <w:p w14:paraId="36E6A132" w14:textId="77777777" w:rsidR="00E42B18" w:rsidRDefault="009629C4">
            <w:pPr>
              <w:pStyle w:val="P68B1DB1-Normal121"/>
              <w:spacing w:after="0" w:line="240" w:lineRule="auto"/>
              <w:jc w:val="center"/>
              <w:rPr>
                <w:noProof/>
              </w:rPr>
            </w:pPr>
            <w:r>
              <w:rPr>
                <w:noProof/>
              </w:rPr>
              <w:t>M2C4–13</w:t>
            </w:r>
          </w:p>
        </w:tc>
        <w:tc>
          <w:tcPr>
            <w:tcW w:w="3449" w:type="dxa"/>
            <w:shd w:val="clear" w:color="auto" w:fill="C6EFCE"/>
            <w:tcMar>
              <w:left w:w="108" w:type="dxa"/>
              <w:right w:w="108" w:type="dxa"/>
            </w:tcMar>
            <w:vAlign w:val="center"/>
          </w:tcPr>
          <w:p w14:paraId="48C2BD7A" w14:textId="77777777" w:rsidR="00E42B18" w:rsidRDefault="009629C4">
            <w:pPr>
              <w:pStyle w:val="P68B1DB1-Normal121"/>
              <w:spacing w:after="0" w:line="240" w:lineRule="auto"/>
              <w:rPr>
                <w:noProof/>
              </w:rPr>
            </w:pPr>
            <w:r>
              <w:rPr>
                <w:noProof/>
              </w:rPr>
              <w:t>Investointi 2.1b – Toimenpiteet tulvariskien ja hydrogeologisten riskien vähentämiseksi</w:t>
            </w:r>
          </w:p>
        </w:tc>
        <w:tc>
          <w:tcPr>
            <w:tcW w:w="1134" w:type="dxa"/>
            <w:shd w:val="clear" w:color="auto" w:fill="C6EFCE"/>
            <w:tcMar>
              <w:left w:w="108" w:type="dxa"/>
              <w:right w:w="108" w:type="dxa"/>
            </w:tcMar>
            <w:vAlign w:val="center"/>
          </w:tcPr>
          <w:p w14:paraId="71EBC1A4"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C70A5FD" w14:textId="77777777" w:rsidR="00E42B18" w:rsidRDefault="009629C4">
            <w:pPr>
              <w:pStyle w:val="P68B1DB1-Normal121"/>
              <w:spacing w:after="0" w:line="240" w:lineRule="auto"/>
              <w:rPr>
                <w:noProof/>
              </w:rPr>
            </w:pPr>
            <w:r>
              <w:rPr>
                <w:noProof/>
              </w:rPr>
              <w:t>Toteutetut tyypin D ja tyypin E interventiot</w:t>
            </w:r>
          </w:p>
        </w:tc>
      </w:tr>
      <w:tr w:rsidR="00E42B18" w14:paraId="312C481C" w14:textId="77777777">
        <w:trPr>
          <w:trHeight w:val="300"/>
        </w:trPr>
        <w:tc>
          <w:tcPr>
            <w:tcW w:w="1246" w:type="dxa"/>
            <w:shd w:val="clear" w:color="auto" w:fill="C6EFCE"/>
            <w:tcMar>
              <w:left w:w="108" w:type="dxa"/>
              <w:right w:w="108" w:type="dxa"/>
            </w:tcMar>
            <w:vAlign w:val="center"/>
          </w:tcPr>
          <w:p w14:paraId="02725199" w14:textId="77777777" w:rsidR="00E42B18" w:rsidRDefault="009629C4">
            <w:pPr>
              <w:pStyle w:val="P68B1DB1-Normal121"/>
              <w:spacing w:after="0" w:line="240" w:lineRule="auto"/>
              <w:jc w:val="center"/>
              <w:rPr>
                <w:noProof/>
              </w:rPr>
            </w:pPr>
            <w:r>
              <w:rPr>
                <w:noProof/>
              </w:rPr>
              <w:t>M2C4–20a</w:t>
            </w:r>
          </w:p>
        </w:tc>
        <w:tc>
          <w:tcPr>
            <w:tcW w:w="3449" w:type="dxa"/>
            <w:shd w:val="clear" w:color="auto" w:fill="C6EFCE"/>
            <w:tcMar>
              <w:left w:w="108" w:type="dxa"/>
              <w:right w:w="108" w:type="dxa"/>
            </w:tcMar>
            <w:vAlign w:val="center"/>
          </w:tcPr>
          <w:p w14:paraId="76B11C11" w14:textId="77777777" w:rsidR="00E42B18" w:rsidRDefault="009629C4">
            <w:pPr>
              <w:pStyle w:val="P68B1DB1-Normal121"/>
              <w:spacing w:after="0" w:line="240" w:lineRule="auto"/>
              <w:rPr>
                <w:noProof/>
              </w:rPr>
            </w:pPr>
            <w:r>
              <w:rPr>
                <w:noProof/>
              </w:rPr>
              <w:t>Sijoittaminen. 3.1: Kaupunkien ja niiden lähialueiden metsien suojelu ja parantaminen</w:t>
            </w:r>
          </w:p>
        </w:tc>
        <w:tc>
          <w:tcPr>
            <w:tcW w:w="1134" w:type="dxa"/>
            <w:shd w:val="clear" w:color="auto" w:fill="C6EFCE"/>
            <w:tcMar>
              <w:left w:w="108" w:type="dxa"/>
              <w:right w:w="108" w:type="dxa"/>
            </w:tcMar>
            <w:vAlign w:val="center"/>
          </w:tcPr>
          <w:p w14:paraId="038EAEF2"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3DA1A36" w14:textId="77777777" w:rsidR="00E42B18" w:rsidRDefault="009629C4">
            <w:pPr>
              <w:pStyle w:val="P68B1DB1-Normal121"/>
              <w:spacing w:after="0" w:line="240" w:lineRule="auto"/>
              <w:rPr>
                <w:noProof/>
              </w:rPr>
            </w:pPr>
            <w:r>
              <w:rPr>
                <w:noProof/>
              </w:rPr>
              <w:t xml:space="preserve">T3-kasvipuut kaupunkien ja niiden lähialueiden viheralueiden suojeluun ja hyödyntämiseen </w:t>
            </w:r>
          </w:p>
        </w:tc>
      </w:tr>
      <w:tr w:rsidR="00E42B18" w14:paraId="11396F58" w14:textId="77777777">
        <w:trPr>
          <w:trHeight w:val="300"/>
        </w:trPr>
        <w:tc>
          <w:tcPr>
            <w:tcW w:w="1246" w:type="dxa"/>
            <w:shd w:val="clear" w:color="auto" w:fill="C6EFCE"/>
            <w:tcMar>
              <w:left w:w="108" w:type="dxa"/>
              <w:right w:w="108" w:type="dxa"/>
            </w:tcMar>
            <w:vAlign w:val="center"/>
          </w:tcPr>
          <w:p w14:paraId="0AD72062" w14:textId="77777777" w:rsidR="00E42B18" w:rsidRDefault="009629C4">
            <w:pPr>
              <w:pStyle w:val="P68B1DB1-Normal121"/>
              <w:spacing w:after="0" w:line="240" w:lineRule="auto"/>
              <w:jc w:val="center"/>
              <w:rPr>
                <w:noProof/>
              </w:rPr>
            </w:pPr>
            <w:r>
              <w:rPr>
                <w:noProof/>
              </w:rPr>
              <w:t>M2C4–34a</w:t>
            </w:r>
          </w:p>
        </w:tc>
        <w:tc>
          <w:tcPr>
            <w:tcW w:w="3449" w:type="dxa"/>
            <w:shd w:val="clear" w:color="auto" w:fill="C6EFCE"/>
            <w:tcMar>
              <w:left w:w="108" w:type="dxa"/>
              <w:right w:w="108" w:type="dxa"/>
            </w:tcMar>
            <w:vAlign w:val="center"/>
          </w:tcPr>
          <w:p w14:paraId="7A020AA4" w14:textId="77777777" w:rsidR="00E42B18" w:rsidRDefault="009629C4">
            <w:pPr>
              <w:pStyle w:val="P68B1DB1-Normal121"/>
              <w:spacing w:after="0" w:line="240" w:lineRule="auto"/>
              <w:rPr>
                <w:noProof/>
              </w:rPr>
            </w:pPr>
            <w:r>
              <w:rPr>
                <w:noProof/>
              </w:rPr>
              <w:t>Investointi 4.3 Investoinnit kasteluviljelyjärjestelmän kestokykyyn vesivarojen hoidon parantamiseksi</w:t>
            </w:r>
          </w:p>
        </w:tc>
        <w:tc>
          <w:tcPr>
            <w:tcW w:w="1134" w:type="dxa"/>
            <w:shd w:val="clear" w:color="auto" w:fill="C6EFCE"/>
            <w:tcMar>
              <w:left w:w="108" w:type="dxa"/>
              <w:right w:w="108" w:type="dxa"/>
            </w:tcMar>
            <w:vAlign w:val="center"/>
          </w:tcPr>
          <w:p w14:paraId="3B5F3AE0"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4F62829C" w14:textId="77777777" w:rsidR="00E42B18" w:rsidRDefault="009629C4">
            <w:pPr>
              <w:pStyle w:val="P68B1DB1-Normal121"/>
              <w:spacing w:after="0" w:line="240" w:lineRule="auto"/>
              <w:rPr>
                <w:noProof/>
              </w:rPr>
            </w:pPr>
            <w:r>
              <w:rPr>
                <w:noProof/>
              </w:rPr>
              <w:t>Toimenpiteet, joilla parannetaan kasteluviljelyjärjestelmän häiriönsietokykyä vesivarojen hoidon parantamiseksi</w:t>
            </w:r>
          </w:p>
        </w:tc>
      </w:tr>
      <w:tr w:rsidR="00E42B18" w14:paraId="7196FDBC" w14:textId="77777777">
        <w:trPr>
          <w:trHeight w:val="300"/>
        </w:trPr>
        <w:tc>
          <w:tcPr>
            <w:tcW w:w="1246" w:type="dxa"/>
            <w:shd w:val="clear" w:color="auto" w:fill="C6EFCE"/>
            <w:tcMar>
              <w:left w:w="108" w:type="dxa"/>
              <w:right w:w="108" w:type="dxa"/>
            </w:tcMar>
            <w:vAlign w:val="center"/>
          </w:tcPr>
          <w:p w14:paraId="6371402F" w14:textId="77777777" w:rsidR="00E42B18" w:rsidRDefault="009629C4">
            <w:pPr>
              <w:pStyle w:val="P68B1DB1-Normal121"/>
              <w:spacing w:after="0" w:line="240" w:lineRule="auto"/>
              <w:jc w:val="center"/>
              <w:rPr>
                <w:noProof/>
              </w:rPr>
            </w:pPr>
            <w:r>
              <w:rPr>
                <w:noProof/>
              </w:rPr>
              <w:t>M3C1–6</w:t>
            </w:r>
          </w:p>
        </w:tc>
        <w:tc>
          <w:tcPr>
            <w:tcW w:w="3449" w:type="dxa"/>
            <w:shd w:val="clear" w:color="auto" w:fill="C6EFCE"/>
            <w:tcMar>
              <w:left w:w="108" w:type="dxa"/>
              <w:right w:w="108" w:type="dxa"/>
            </w:tcMar>
            <w:vAlign w:val="center"/>
          </w:tcPr>
          <w:p w14:paraId="0AB83447" w14:textId="77777777" w:rsidR="00E42B18" w:rsidRDefault="009629C4">
            <w:pPr>
              <w:pStyle w:val="P68B1DB1-Normal121"/>
              <w:spacing w:after="0" w:line="240" w:lineRule="auto"/>
              <w:rPr>
                <w:noProof/>
              </w:rPr>
            </w:pPr>
            <w:r>
              <w:rPr>
                <w:noProof/>
              </w:rPr>
              <w:t>Investointi 1.1 – Suurinopeuksiset rautatieyhteydet etelään matkustajia ja rahtia varten</w:t>
            </w:r>
          </w:p>
        </w:tc>
        <w:tc>
          <w:tcPr>
            <w:tcW w:w="1134" w:type="dxa"/>
            <w:shd w:val="clear" w:color="auto" w:fill="C6EFCE"/>
            <w:tcMar>
              <w:left w:w="108" w:type="dxa"/>
              <w:right w:w="108" w:type="dxa"/>
            </w:tcMar>
            <w:vAlign w:val="center"/>
          </w:tcPr>
          <w:p w14:paraId="57BA3C2B"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EA31630" w14:textId="77777777" w:rsidR="00E42B18" w:rsidRDefault="009629C4">
            <w:pPr>
              <w:pStyle w:val="P68B1DB1-Normal121"/>
              <w:spacing w:after="0" w:line="240" w:lineRule="auto"/>
              <w:rPr>
                <w:noProof/>
              </w:rPr>
            </w:pPr>
            <w:r>
              <w:rPr>
                <w:noProof/>
              </w:rPr>
              <w:t>Suurnopeusrata radoilla Napoli-Bari, Salerno-Reggio Calabria, Palermo-Catania</w:t>
            </w:r>
          </w:p>
        </w:tc>
      </w:tr>
      <w:tr w:rsidR="00E42B18" w14:paraId="38C32FE3" w14:textId="77777777">
        <w:trPr>
          <w:trHeight w:val="300"/>
        </w:trPr>
        <w:tc>
          <w:tcPr>
            <w:tcW w:w="1246" w:type="dxa"/>
            <w:shd w:val="clear" w:color="auto" w:fill="C6EFCE"/>
            <w:tcMar>
              <w:left w:w="108" w:type="dxa"/>
              <w:right w:w="108" w:type="dxa"/>
            </w:tcMar>
            <w:vAlign w:val="center"/>
          </w:tcPr>
          <w:p w14:paraId="48910E61" w14:textId="77777777" w:rsidR="00E42B18" w:rsidRDefault="009629C4">
            <w:pPr>
              <w:pStyle w:val="P68B1DB1-Normal121"/>
              <w:spacing w:after="0" w:line="240" w:lineRule="auto"/>
              <w:jc w:val="center"/>
              <w:rPr>
                <w:noProof/>
              </w:rPr>
            </w:pPr>
            <w:r>
              <w:rPr>
                <w:noProof/>
              </w:rPr>
              <w:t>M3C1–9</w:t>
            </w:r>
          </w:p>
        </w:tc>
        <w:tc>
          <w:tcPr>
            <w:tcW w:w="3449" w:type="dxa"/>
            <w:shd w:val="clear" w:color="auto" w:fill="C6EFCE"/>
            <w:tcMar>
              <w:left w:w="108" w:type="dxa"/>
              <w:right w:w="108" w:type="dxa"/>
            </w:tcMar>
            <w:vAlign w:val="center"/>
          </w:tcPr>
          <w:p w14:paraId="7FE18D74" w14:textId="77777777" w:rsidR="00E42B18" w:rsidRDefault="009629C4">
            <w:pPr>
              <w:pStyle w:val="P68B1DB1-Normal121"/>
              <w:spacing w:after="0" w:line="240" w:lineRule="auto"/>
              <w:rPr>
                <w:noProof/>
              </w:rPr>
            </w:pPr>
            <w:r>
              <w:rPr>
                <w:noProof/>
              </w:rPr>
              <w:t>Investointi 1.2 – pohjoisessa sijaitsevat suurnopeusradat, jotka liittyvät muuhun Eurooppaan</w:t>
            </w:r>
          </w:p>
        </w:tc>
        <w:tc>
          <w:tcPr>
            <w:tcW w:w="1134" w:type="dxa"/>
            <w:shd w:val="clear" w:color="auto" w:fill="C6EFCE"/>
            <w:tcMar>
              <w:left w:w="108" w:type="dxa"/>
              <w:right w:w="108" w:type="dxa"/>
            </w:tcMar>
            <w:vAlign w:val="center"/>
          </w:tcPr>
          <w:p w14:paraId="0AFCA2C4"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8FCE3FD" w14:textId="77777777" w:rsidR="00E42B18" w:rsidRDefault="009629C4">
            <w:pPr>
              <w:pStyle w:val="P68B1DB1-Normal121"/>
              <w:spacing w:after="0" w:line="240" w:lineRule="auto"/>
              <w:rPr>
                <w:noProof/>
              </w:rPr>
            </w:pPr>
            <w:r>
              <w:rPr>
                <w:noProof/>
              </w:rPr>
              <w:t>Suurnopeusrata radoilla Brescia-Verona-Vicenza-Padova; Liguria-Alpi.</w:t>
            </w:r>
          </w:p>
        </w:tc>
      </w:tr>
      <w:tr w:rsidR="00E42B18" w14:paraId="75D27351" w14:textId="77777777">
        <w:trPr>
          <w:trHeight w:val="300"/>
        </w:trPr>
        <w:tc>
          <w:tcPr>
            <w:tcW w:w="1246" w:type="dxa"/>
            <w:shd w:val="clear" w:color="auto" w:fill="C6EFCE"/>
            <w:tcMar>
              <w:left w:w="108" w:type="dxa"/>
              <w:right w:w="108" w:type="dxa"/>
            </w:tcMar>
            <w:vAlign w:val="center"/>
          </w:tcPr>
          <w:p w14:paraId="3310DC2D" w14:textId="77777777" w:rsidR="00E42B18" w:rsidRDefault="009629C4">
            <w:pPr>
              <w:pStyle w:val="P68B1DB1-Normal121"/>
              <w:spacing w:after="0" w:line="240" w:lineRule="auto"/>
              <w:jc w:val="center"/>
              <w:rPr>
                <w:noProof/>
              </w:rPr>
            </w:pPr>
            <w:r>
              <w:rPr>
                <w:noProof/>
              </w:rPr>
              <w:t>M3C1–11</w:t>
            </w:r>
          </w:p>
        </w:tc>
        <w:tc>
          <w:tcPr>
            <w:tcW w:w="3449" w:type="dxa"/>
            <w:shd w:val="clear" w:color="auto" w:fill="C6EFCE"/>
            <w:tcMar>
              <w:left w:w="108" w:type="dxa"/>
              <w:right w:w="108" w:type="dxa"/>
            </w:tcMar>
            <w:vAlign w:val="center"/>
          </w:tcPr>
          <w:p w14:paraId="28DB737B" w14:textId="77777777" w:rsidR="00E42B18" w:rsidRDefault="009629C4">
            <w:pPr>
              <w:pStyle w:val="P68B1DB1-Normal121"/>
              <w:spacing w:after="0" w:line="240" w:lineRule="auto"/>
              <w:rPr>
                <w:noProof/>
              </w:rPr>
            </w:pPr>
            <w:r>
              <w:rPr>
                <w:noProof/>
              </w:rPr>
              <w:t>Investointi 1.3 – Diagonaaliyhteydet</w:t>
            </w:r>
          </w:p>
        </w:tc>
        <w:tc>
          <w:tcPr>
            <w:tcW w:w="1134" w:type="dxa"/>
            <w:shd w:val="clear" w:color="auto" w:fill="C6EFCE"/>
            <w:tcMar>
              <w:left w:w="108" w:type="dxa"/>
              <w:right w:w="108" w:type="dxa"/>
            </w:tcMar>
            <w:vAlign w:val="center"/>
          </w:tcPr>
          <w:p w14:paraId="05E9F3F4"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B4088F1" w14:textId="77777777" w:rsidR="00E42B18" w:rsidRDefault="009629C4">
            <w:pPr>
              <w:pStyle w:val="P68B1DB1-Normal121"/>
              <w:spacing w:after="0" w:line="240" w:lineRule="auto"/>
              <w:rPr>
                <w:noProof/>
              </w:rPr>
            </w:pPr>
            <w:r>
              <w:rPr>
                <w:noProof/>
              </w:rPr>
              <w:t>Suurnopeusrata radoilla Orte-Falconara ja Taranto-Metaponto-Potenza-Battipaglia</w:t>
            </w:r>
          </w:p>
        </w:tc>
      </w:tr>
      <w:tr w:rsidR="00E42B18" w14:paraId="6D526144" w14:textId="77777777">
        <w:trPr>
          <w:trHeight w:val="300"/>
        </w:trPr>
        <w:tc>
          <w:tcPr>
            <w:tcW w:w="1246" w:type="dxa"/>
            <w:shd w:val="clear" w:color="auto" w:fill="C6EFCE"/>
            <w:tcMar>
              <w:left w:w="108" w:type="dxa"/>
              <w:right w:w="108" w:type="dxa"/>
            </w:tcMar>
            <w:vAlign w:val="center"/>
          </w:tcPr>
          <w:p w14:paraId="259EEEAD" w14:textId="77777777" w:rsidR="00E42B18" w:rsidRDefault="009629C4">
            <w:pPr>
              <w:pStyle w:val="P68B1DB1-Normal121"/>
              <w:spacing w:after="0" w:line="240" w:lineRule="auto"/>
              <w:jc w:val="center"/>
              <w:rPr>
                <w:noProof/>
              </w:rPr>
            </w:pPr>
            <w:r>
              <w:rPr>
                <w:noProof/>
              </w:rPr>
              <w:t>M3C1–14</w:t>
            </w:r>
          </w:p>
        </w:tc>
        <w:tc>
          <w:tcPr>
            <w:tcW w:w="3449" w:type="dxa"/>
            <w:shd w:val="clear" w:color="auto" w:fill="C6EFCE"/>
            <w:tcMar>
              <w:left w:w="108" w:type="dxa"/>
              <w:right w:w="108" w:type="dxa"/>
            </w:tcMar>
            <w:vAlign w:val="center"/>
          </w:tcPr>
          <w:p w14:paraId="5D372D40" w14:textId="77777777" w:rsidR="00E42B18" w:rsidRDefault="009629C4">
            <w:pPr>
              <w:pStyle w:val="P68B1DB1-Normal121"/>
              <w:spacing w:after="0" w:line="240" w:lineRule="auto"/>
              <w:rPr>
                <w:noProof/>
              </w:rPr>
            </w:pPr>
            <w:r>
              <w:rPr>
                <w:noProof/>
              </w:rPr>
              <w:t>Investointi 1.4 – Euroopan rautatieliikenteen hallintajärjestelmän (ERTMS) käyttöönotto</w:t>
            </w:r>
          </w:p>
        </w:tc>
        <w:tc>
          <w:tcPr>
            <w:tcW w:w="1134" w:type="dxa"/>
            <w:shd w:val="clear" w:color="auto" w:fill="C6EFCE"/>
            <w:tcMar>
              <w:left w:w="108" w:type="dxa"/>
              <w:right w:w="108" w:type="dxa"/>
            </w:tcMar>
            <w:vAlign w:val="center"/>
          </w:tcPr>
          <w:p w14:paraId="28CFD841"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48A7ED96" w14:textId="77777777" w:rsidR="00E42B18" w:rsidRDefault="009629C4">
            <w:pPr>
              <w:pStyle w:val="P68B1DB1-Normal8"/>
              <w:spacing w:after="0" w:line="240" w:lineRule="auto"/>
              <w:rPr>
                <w:noProof/>
              </w:rPr>
            </w:pPr>
            <w:r>
              <w:rPr>
                <w:noProof/>
                <w:color w:val="006100"/>
                <w:sz w:val="20"/>
                <w:szCs w:val="20"/>
              </w:rPr>
              <w:t>2</w:t>
            </w:r>
            <w:r>
              <w:rPr>
                <w:noProof/>
                <w:sz w:val="23"/>
                <w:szCs w:val="23"/>
              </w:rPr>
              <w:t xml:space="preserve"> </w:t>
            </w:r>
            <w:r>
              <w:rPr>
                <w:noProof/>
                <w:color w:val="006100"/>
                <w:sz w:val="20"/>
                <w:szCs w:val="20"/>
              </w:rPr>
              <w:t>785 kilometriä Euroopan rautatieliikenteen hallintajärjestelmällä varustettuja ratoja</w:t>
            </w:r>
          </w:p>
        </w:tc>
      </w:tr>
      <w:tr w:rsidR="00E42B18" w14:paraId="7AB7D4F5" w14:textId="77777777">
        <w:trPr>
          <w:trHeight w:val="300"/>
        </w:trPr>
        <w:tc>
          <w:tcPr>
            <w:tcW w:w="1246" w:type="dxa"/>
            <w:shd w:val="clear" w:color="auto" w:fill="C6EFCE"/>
            <w:tcMar>
              <w:left w:w="108" w:type="dxa"/>
              <w:right w:w="108" w:type="dxa"/>
            </w:tcMar>
            <w:vAlign w:val="center"/>
          </w:tcPr>
          <w:p w14:paraId="0C6A5C60" w14:textId="77777777" w:rsidR="00E42B18" w:rsidRDefault="009629C4">
            <w:pPr>
              <w:pStyle w:val="P68B1DB1-Normal121"/>
              <w:spacing w:after="0" w:line="240" w:lineRule="auto"/>
              <w:jc w:val="center"/>
              <w:rPr>
                <w:noProof/>
              </w:rPr>
            </w:pPr>
            <w:r>
              <w:rPr>
                <w:noProof/>
              </w:rPr>
              <w:t>M3C1–20</w:t>
            </w:r>
          </w:p>
        </w:tc>
        <w:tc>
          <w:tcPr>
            <w:tcW w:w="3449" w:type="dxa"/>
            <w:shd w:val="clear" w:color="auto" w:fill="C6EFCE"/>
            <w:tcMar>
              <w:left w:w="108" w:type="dxa"/>
              <w:right w:w="108" w:type="dxa"/>
            </w:tcMar>
            <w:vAlign w:val="center"/>
          </w:tcPr>
          <w:p w14:paraId="67668D4A" w14:textId="77777777" w:rsidR="00E42B18" w:rsidRDefault="009629C4">
            <w:pPr>
              <w:pStyle w:val="P68B1DB1-Normal121"/>
              <w:spacing w:after="0" w:line="240" w:lineRule="auto"/>
              <w:rPr>
                <w:noProof/>
              </w:rPr>
            </w:pPr>
            <w:r>
              <w:rPr>
                <w:noProof/>
              </w:rPr>
              <w:t>Investointi 1.8 – Rautatieasemien päivittäminen (RFI-hallinto; etelässä)</w:t>
            </w:r>
          </w:p>
        </w:tc>
        <w:tc>
          <w:tcPr>
            <w:tcW w:w="1134" w:type="dxa"/>
            <w:shd w:val="clear" w:color="auto" w:fill="C6EFCE"/>
            <w:tcMar>
              <w:left w:w="108" w:type="dxa"/>
              <w:right w:w="108" w:type="dxa"/>
            </w:tcMar>
            <w:vAlign w:val="center"/>
          </w:tcPr>
          <w:p w14:paraId="6447357C"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ADBBB94" w14:textId="77777777" w:rsidR="00E42B18" w:rsidRDefault="009629C4">
            <w:pPr>
              <w:pStyle w:val="P68B1DB1-Normal121"/>
              <w:spacing w:after="0" w:line="240" w:lineRule="auto"/>
              <w:rPr>
                <w:noProof/>
              </w:rPr>
            </w:pPr>
            <w:r>
              <w:rPr>
                <w:noProof/>
              </w:rPr>
              <w:t>Parannetut ja esteettömät rautatieasemat</w:t>
            </w:r>
          </w:p>
        </w:tc>
      </w:tr>
      <w:tr w:rsidR="00E42B18" w14:paraId="0156779B" w14:textId="77777777">
        <w:trPr>
          <w:trHeight w:val="300"/>
        </w:trPr>
        <w:tc>
          <w:tcPr>
            <w:tcW w:w="1246" w:type="dxa"/>
            <w:shd w:val="clear" w:color="auto" w:fill="C6EFCE"/>
            <w:tcMar>
              <w:left w:w="108" w:type="dxa"/>
              <w:right w:w="108" w:type="dxa"/>
            </w:tcMar>
            <w:vAlign w:val="center"/>
          </w:tcPr>
          <w:p w14:paraId="7971C40B" w14:textId="77777777" w:rsidR="00E42B18" w:rsidRDefault="009629C4">
            <w:pPr>
              <w:pStyle w:val="P68B1DB1-Normal121"/>
              <w:spacing w:after="0" w:line="240" w:lineRule="auto"/>
              <w:jc w:val="center"/>
              <w:rPr>
                <w:noProof/>
              </w:rPr>
            </w:pPr>
            <w:r>
              <w:rPr>
                <w:noProof/>
              </w:rPr>
              <w:t>M3C1–26</w:t>
            </w:r>
          </w:p>
        </w:tc>
        <w:tc>
          <w:tcPr>
            <w:tcW w:w="3449" w:type="dxa"/>
            <w:shd w:val="clear" w:color="auto" w:fill="C6EFCE"/>
            <w:tcMar>
              <w:left w:w="108" w:type="dxa"/>
              <w:right w:w="108" w:type="dxa"/>
            </w:tcMar>
            <w:vAlign w:val="center"/>
          </w:tcPr>
          <w:p w14:paraId="1C7AE2BE" w14:textId="77777777" w:rsidR="00E42B18" w:rsidRDefault="009629C4">
            <w:pPr>
              <w:pStyle w:val="P68B1DB1-Normal121"/>
              <w:spacing w:after="0" w:line="240" w:lineRule="auto"/>
              <w:rPr>
                <w:noProof/>
              </w:rPr>
            </w:pPr>
            <w:r>
              <w:rPr>
                <w:noProof/>
              </w:rPr>
              <w:t>Uudistus 1.3 – Rautatieinfrastruktuurin tehostaminen Italiassa</w:t>
            </w:r>
          </w:p>
        </w:tc>
        <w:tc>
          <w:tcPr>
            <w:tcW w:w="1134" w:type="dxa"/>
            <w:shd w:val="clear" w:color="auto" w:fill="C6EFCE"/>
            <w:tcMar>
              <w:left w:w="108" w:type="dxa"/>
              <w:right w:w="108" w:type="dxa"/>
            </w:tcMar>
            <w:vAlign w:val="center"/>
          </w:tcPr>
          <w:p w14:paraId="31595988"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4BCC8D53" w14:textId="746713B4" w:rsidR="00E42B18" w:rsidRDefault="009629C4">
            <w:pPr>
              <w:pStyle w:val="P68B1DB1-Normal121"/>
              <w:spacing w:after="0" w:line="240" w:lineRule="auto"/>
              <w:rPr>
                <w:noProof/>
              </w:rPr>
            </w:pPr>
            <w:r>
              <w:rPr>
                <w:noProof/>
              </w:rPr>
              <w:t>Primaarioikeuden ja johdetun oikeuden voimaantulo (ja täytäntöönpanosäädösten hyväksyminen)</w:t>
            </w:r>
          </w:p>
        </w:tc>
      </w:tr>
      <w:tr w:rsidR="00E42B18" w14:paraId="7137054B" w14:textId="77777777">
        <w:trPr>
          <w:trHeight w:val="814"/>
        </w:trPr>
        <w:tc>
          <w:tcPr>
            <w:tcW w:w="1246" w:type="dxa"/>
            <w:shd w:val="clear" w:color="auto" w:fill="C6EFCE"/>
            <w:tcMar>
              <w:left w:w="108" w:type="dxa"/>
              <w:right w:w="108" w:type="dxa"/>
            </w:tcMar>
            <w:vAlign w:val="center"/>
          </w:tcPr>
          <w:p w14:paraId="6D372F9A" w14:textId="77777777" w:rsidR="00E42B18" w:rsidRDefault="009629C4">
            <w:pPr>
              <w:pStyle w:val="P68B1DB1-Normal121"/>
              <w:spacing w:after="0" w:line="240" w:lineRule="auto"/>
              <w:jc w:val="center"/>
              <w:rPr>
                <w:noProof/>
              </w:rPr>
            </w:pPr>
            <w:r>
              <w:rPr>
                <w:noProof/>
              </w:rPr>
              <w:t>M4C1–30</w:t>
            </w:r>
          </w:p>
        </w:tc>
        <w:tc>
          <w:tcPr>
            <w:tcW w:w="3449" w:type="dxa"/>
            <w:shd w:val="clear" w:color="auto" w:fill="C6EFCE"/>
            <w:tcMar>
              <w:left w:w="108" w:type="dxa"/>
              <w:right w:w="108" w:type="dxa"/>
            </w:tcMar>
            <w:vAlign w:val="center"/>
          </w:tcPr>
          <w:p w14:paraId="792A0CEC" w14:textId="77777777" w:rsidR="00E42B18" w:rsidRDefault="009629C4">
            <w:pPr>
              <w:pStyle w:val="P68B1DB1-Normal121"/>
              <w:spacing w:after="0" w:line="240" w:lineRule="auto"/>
              <w:rPr>
                <w:noProof/>
              </w:rPr>
            </w:pPr>
            <w:r>
              <w:rPr>
                <w:noProof/>
              </w:rPr>
              <w:t>Uudistus 1.7: Opiskelija-asuntoja koskevan sääntelyn uudistaminen ja investoinnit opiskelija-asumiseen</w:t>
            </w:r>
          </w:p>
        </w:tc>
        <w:tc>
          <w:tcPr>
            <w:tcW w:w="1134" w:type="dxa"/>
            <w:shd w:val="clear" w:color="auto" w:fill="C6EFCE"/>
            <w:tcMar>
              <w:left w:w="108" w:type="dxa"/>
              <w:right w:w="108" w:type="dxa"/>
            </w:tcMar>
            <w:vAlign w:val="center"/>
          </w:tcPr>
          <w:p w14:paraId="5D3EA75A"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47A71E02" w14:textId="77777777" w:rsidR="00E42B18" w:rsidRDefault="009629C4">
            <w:pPr>
              <w:pStyle w:val="P68B1DB1-Normal121"/>
              <w:spacing w:after="0" w:line="240" w:lineRule="auto"/>
              <w:rPr>
                <w:noProof/>
              </w:rPr>
            </w:pPr>
            <w:r>
              <w:rPr>
                <w:noProof/>
              </w:rPr>
              <w:t>Opiskelijoiden yöpymistilat on perustettu</w:t>
            </w:r>
          </w:p>
        </w:tc>
      </w:tr>
      <w:tr w:rsidR="00E42B18" w14:paraId="0AA80999" w14:textId="77777777">
        <w:trPr>
          <w:trHeight w:val="300"/>
        </w:trPr>
        <w:tc>
          <w:tcPr>
            <w:tcW w:w="1246" w:type="dxa"/>
            <w:shd w:val="clear" w:color="auto" w:fill="C6EFCE"/>
            <w:tcMar>
              <w:left w:w="108" w:type="dxa"/>
              <w:right w:w="108" w:type="dxa"/>
            </w:tcMar>
            <w:vAlign w:val="center"/>
          </w:tcPr>
          <w:p w14:paraId="66D314E4" w14:textId="77777777" w:rsidR="00E42B18" w:rsidRDefault="009629C4">
            <w:pPr>
              <w:pStyle w:val="P68B1DB1-Normal121"/>
              <w:spacing w:after="0" w:line="240" w:lineRule="auto"/>
              <w:jc w:val="center"/>
              <w:rPr>
                <w:noProof/>
              </w:rPr>
            </w:pPr>
            <w:r>
              <w:rPr>
                <w:noProof/>
              </w:rPr>
              <w:t>M4C2–9</w:t>
            </w:r>
          </w:p>
        </w:tc>
        <w:tc>
          <w:tcPr>
            <w:tcW w:w="3449" w:type="dxa"/>
            <w:shd w:val="clear" w:color="auto" w:fill="C6EFCE"/>
            <w:tcMar>
              <w:left w:w="108" w:type="dxa"/>
              <w:right w:w="108" w:type="dxa"/>
            </w:tcMar>
            <w:vAlign w:val="center"/>
          </w:tcPr>
          <w:p w14:paraId="4AD55867" w14:textId="77777777" w:rsidR="00E42B18" w:rsidRDefault="009629C4">
            <w:pPr>
              <w:pStyle w:val="P68B1DB1-Normal121"/>
              <w:spacing w:after="0" w:line="240" w:lineRule="auto"/>
              <w:rPr>
                <w:noProof/>
              </w:rPr>
            </w:pPr>
            <w:r>
              <w:rPr>
                <w:noProof/>
              </w:rPr>
              <w:t>Investointi 1.4: ”Kansallisten T &amp; K-johtajien” perustaminen joidenkin keskeisten mahdollistavien teknologioiden alalla</w:t>
            </w:r>
          </w:p>
        </w:tc>
        <w:tc>
          <w:tcPr>
            <w:tcW w:w="1134" w:type="dxa"/>
            <w:shd w:val="clear" w:color="auto" w:fill="C6EFCE"/>
            <w:tcMar>
              <w:left w:w="108" w:type="dxa"/>
              <w:right w:w="108" w:type="dxa"/>
            </w:tcMar>
            <w:vAlign w:val="center"/>
          </w:tcPr>
          <w:p w14:paraId="75AD3EA2"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248B72E" w14:textId="77777777" w:rsidR="00E42B18" w:rsidRDefault="009629C4">
            <w:pPr>
              <w:pStyle w:val="P68B1DB1-Normal121"/>
              <w:spacing w:after="0" w:line="240" w:lineRule="auto"/>
              <w:rPr>
                <w:noProof/>
              </w:rPr>
            </w:pPr>
            <w:r>
              <w:rPr>
                <w:noProof/>
              </w:rPr>
              <w:t xml:space="preserve">Kansalliset keskukset ovat saaneet tutkimustoimintansa päätökseen </w:t>
            </w:r>
          </w:p>
        </w:tc>
      </w:tr>
      <w:tr w:rsidR="00E42B18" w14:paraId="1ED1EE50" w14:textId="77777777">
        <w:trPr>
          <w:trHeight w:val="300"/>
        </w:trPr>
        <w:tc>
          <w:tcPr>
            <w:tcW w:w="1246" w:type="dxa"/>
            <w:shd w:val="clear" w:color="auto" w:fill="C6EFCE"/>
            <w:tcMar>
              <w:left w:w="108" w:type="dxa"/>
              <w:right w:w="108" w:type="dxa"/>
            </w:tcMar>
            <w:vAlign w:val="center"/>
          </w:tcPr>
          <w:p w14:paraId="6B84FAA9" w14:textId="77777777" w:rsidR="00E42B18" w:rsidRDefault="009629C4">
            <w:pPr>
              <w:pStyle w:val="P68B1DB1-Normal121"/>
              <w:spacing w:after="0" w:line="240" w:lineRule="auto"/>
              <w:jc w:val="center"/>
              <w:rPr>
                <w:noProof/>
              </w:rPr>
            </w:pPr>
            <w:r>
              <w:rPr>
                <w:noProof/>
              </w:rPr>
              <w:t>M4C2–14</w:t>
            </w:r>
          </w:p>
        </w:tc>
        <w:tc>
          <w:tcPr>
            <w:tcW w:w="3449" w:type="dxa"/>
            <w:shd w:val="clear" w:color="auto" w:fill="C6EFCE"/>
            <w:tcMar>
              <w:left w:w="108" w:type="dxa"/>
              <w:right w:w="108" w:type="dxa"/>
            </w:tcMar>
            <w:vAlign w:val="center"/>
          </w:tcPr>
          <w:p w14:paraId="67911B8E" w14:textId="77777777" w:rsidR="00E42B18" w:rsidRDefault="009629C4">
            <w:pPr>
              <w:pStyle w:val="P68B1DB1-Normal121"/>
              <w:spacing w:after="0" w:line="240" w:lineRule="auto"/>
              <w:rPr>
                <w:noProof/>
              </w:rPr>
            </w:pPr>
            <w:r>
              <w:rPr>
                <w:noProof/>
              </w:rPr>
              <w:t xml:space="preserve">Investointi 2.3: /Teknologian siirtokeskukset </w:t>
            </w:r>
          </w:p>
        </w:tc>
        <w:tc>
          <w:tcPr>
            <w:tcW w:w="1134" w:type="dxa"/>
            <w:shd w:val="clear" w:color="auto" w:fill="C6EFCE"/>
            <w:tcMar>
              <w:left w:w="108" w:type="dxa"/>
              <w:right w:w="108" w:type="dxa"/>
            </w:tcMar>
            <w:vAlign w:val="center"/>
          </w:tcPr>
          <w:p w14:paraId="44DB01A9"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20DB7987" w14:textId="77777777" w:rsidR="00E42B18" w:rsidRDefault="009629C4">
            <w:pPr>
              <w:pStyle w:val="P68B1DB1-Normal8"/>
              <w:spacing w:after="0" w:line="240" w:lineRule="auto"/>
              <w:rPr>
                <w:noProof/>
              </w:rPr>
            </w:pPr>
            <w:r>
              <w:rPr>
                <w:noProof/>
                <w:color w:val="006100"/>
                <w:sz w:val="20"/>
                <w:szCs w:val="20"/>
              </w:rPr>
              <w:t>Rahallinen arvo 330000000 euroa</w:t>
            </w:r>
            <w:r>
              <w:rPr>
                <w:noProof/>
                <w:sz w:val="23"/>
                <w:szCs w:val="23"/>
              </w:rPr>
              <w:t xml:space="preserve"> </w:t>
            </w:r>
            <w:r>
              <w:rPr>
                <w:noProof/>
                <w:color w:val="006100"/>
                <w:sz w:val="20"/>
                <w:szCs w:val="20"/>
              </w:rPr>
              <w:t xml:space="preserve">. </w:t>
            </w:r>
          </w:p>
        </w:tc>
      </w:tr>
      <w:tr w:rsidR="00E42B18" w14:paraId="19F34F8E" w14:textId="77777777">
        <w:trPr>
          <w:trHeight w:val="300"/>
        </w:trPr>
        <w:tc>
          <w:tcPr>
            <w:tcW w:w="1246" w:type="dxa"/>
            <w:shd w:val="clear" w:color="auto" w:fill="C6EFCE"/>
            <w:tcMar>
              <w:left w:w="108" w:type="dxa"/>
              <w:right w:w="108" w:type="dxa"/>
            </w:tcMar>
            <w:vAlign w:val="center"/>
          </w:tcPr>
          <w:p w14:paraId="76B0245D" w14:textId="77777777" w:rsidR="00E42B18" w:rsidRDefault="009629C4">
            <w:pPr>
              <w:pStyle w:val="P68B1DB1-Normal121"/>
              <w:spacing w:after="0" w:line="240" w:lineRule="auto"/>
              <w:jc w:val="center"/>
              <w:rPr>
                <w:noProof/>
              </w:rPr>
            </w:pPr>
            <w:r>
              <w:rPr>
                <w:noProof/>
              </w:rPr>
              <w:t>M4C2–16 a</w:t>
            </w:r>
          </w:p>
        </w:tc>
        <w:tc>
          <w:tcPr>
            <w:tcW w:w="3449" w:type="dxa"/>
            <w:shd w:val="clear" w:color="auto" w:fill="C6EFCE"/>
            <w:tcMar>
              <w:left w:w="108" w:type="dxa"/>
              <w:right w:w="108" w:type="dxa"/>
            </w:tcMar>
            <w:vAlign w:val="center"/>
          </w:tcPr>
          <w:p w14:paraId="5E6FF18E" w14:textId="77777777" w:rsidR="00E42B18" w:rsidRDefault="009629C4">
            <w:pPr>
              <w:pStyle w:val="P68B1DB1-Normal121"/>
              <w:spacing w:after="0" w:line="240" w:lineRule="auto"/>
              <w:rPr>
                <w:noProof/>
              </w:rPr>
            </w:pPr>
            <w:r>
              <w:rPr>
                <w:noProof/>
              </w:rPr>
              <w:t>Investointi 3.1: Tutkimus- ja innovointi-infrastruktuurit</w:t>
            </w:r>
          </w:p>
        </w:tc>
        <w:tc>
          <w:tcPr>
            <w:tcW w:w="1134" w:type="dxa"/>
            <w:shd w:val="clear" w:color="auto" w:fill="C6EFCE"/>
            <w:tcMar>
              <w:left w:w="108" w:type="dxa"/>
              <w:right w:w="108" w:type="dxa"/>
            </w:tcMar>
            <w:vAlign w:val="center"/>
          </w:tcPr>
          <w:p w14:paraId="0792B27A"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21D5964A" w14:textId="77777777" w:rsidR="00E42B18" w:rsidRDefault="009629C4">
            <w:pPr>
              <w:pStyle w:val="P68B1DB1-Normal121"/>
              <w:spacing w:after="0" w:line="240" w:lineRule="auto"/>
              <w:rPr>
                <w:noProof/>
              </w:rPr>
            </w:pPr>
            <w:r>
              <w:rPr>
                <w:noProof/>
              </w:rPr>
              <w:t xml:space="preserve">Toimintansa lopettaneiden tutkimus- ja innovointi-infrastruktuurien lukumäärä </w:t>
            </w:r>
          </w:p>
        </w:tc>
      </w:tr>
      <w:tr w:rsidR="00E42B18" w14:paraId="3D9A9932" w14:textId="77777777">
        <w:trPr>
          <w:trHeight w:val="300"/>
        </w:trPr>
        <w:tc>
          <w:tcPr>
            <w:tcW w:w="1246" w:type="dxa"/>
            <w:shd w:val="clear" w:color="auto" w:fill="C6EFCE"/>
            <w:tcMar>
              <w:left w:w="108" w:type="dxa"/>
              <w:right w:w="108" w:type="dxa"/>
            </w:tcMar>
            <w:vAlign w:val="center"/>
          </w:tcPr>
          <w:p w14:paraId="263FB6AE" w14:textId="77777777" w:rsidR="00E42B18" w:rsidRDefault="009629C4">
            <w:pPr>
              <w:pStyle w:val="P68B1DB1-Normal121"/>
              <w:spacing w:after="0" w:line="240" w:lineRule="auto"/>
              <w:jc w:val="center"/>
              <w:rPr>
                <w:noProof/>
              </w:rPr>
            </w:pPr>
            <w:r>
              <w:rPr>
                <w:noProof/>
              </w:rPr>
              <w:t>M4C2–18 a</w:t>
            </w:r>
          </w:p>
        </w:tc>
        <w:tc>
          <w:tcPr>
            <w:tcW w:w="3449" w:type="dxa"/>
            <w:shd w:val="clear" w:color="auto" w:fill="C6EFCE"/>
            <w:tcMar>
              <w:left w:w="108" w:type="dxa"/>
              <w:right w:w="108" w:type="dxa"/>
            </w:tcMar>
            <w:vAlign w:val="center"/>
          </w:tcPr>
          <w:p w14:paraId="754FFE9C" w14:textId="77777777" w:rsidR="00E42B18" w:rsidRDefault="009629C4">
            <w:pPr>
              <w:pStyle w:val="P68B1DB1-Normal121"/>
              <w:spacing w:after="0" w:line="240" w:lineRule="auto"/>
              <w:rPr>
                <w:noProof/>
              </w:rPr>
            </w:pPr>
            <w:r>
              <w:rPr>
                <w:noProof/>
              </w:rPr>
              <w:t>Invesment1.5: ”Kestävyyttä edistävät innovaatioekosysteemit”, ”T &amp; K-toiminnan alueellisten johtajien rakentaminen”</w:t>
            </w:r>
          </w:p>
        </w:tc>
        <w:tc>
          <w:tcPr>
            <w:tcW w:w="1134" w:type="dxa"/>
            <w:shd w:val="clear" w:color="auto" w:fill="C6EFCE"/>
            <w:tcMar>
              <w:left w:w="108" w:type="dxa"/>
              <w:right w:w="108" w:type="dxa"/>
            </w:tcMar>
            <w:vAlign w:val="center"/>
          </w:tcPr>
          <w:p w14:paraId="18E798DE"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07E0293C" w14:textId="316BDE59" w:rsidR="00E42B18" w:rsidRDefault="009629C4">
            <w:pPr>
              <w:pStyle w:val="P68B1DB1-Normal121"/>
              <w:spacing w:after="0" w:line="240" w:lineRule="auto"/>
              <w:rPr>
                <w:noProof/>
              </w:rPr>
            </w:pPr>
            <w:r>
              <w:rPr>
                <w:noProof/>
              </w:rPr>
              <w:t>Innovaatioekosysteemien toteuttamat toimet</w:t>
            </w:r>
          </w:p>
        </w:tc>
      </w:tr>
      <w:tr w:rsidR="00E42B18" w14:paraId="5CFCAD4F" w14:textId="77777777">
        <w:trPr>
          <w:trHeight w:val="300"/>
        </w:trPr>
        <w:tc>
          <w:tcPr>
            <w:tcW w:w="1246" w:type="dxa"/>
            <w:shd w:val="clear" w:color="auto" w:fill="C6EFCE"/>
            <w:tcMar>
              <w:left w:w="108" w:type="dxa"/>
              <w:right w:w="108" w:type="dxa"/>
            </w:tcMar>
            <w:vAlign w:val="center"/>
          </w:tcPr>
          <w:p w14:paraId="6EF3E80E" w14:textId="77777777" w:rsidR="00E42B18" w:rsidRDefault="009629C4">
            <w:pPr>
              <w:pStyle w:val="P68B1DB1-Normal121"/>
              <w:spacing w:after="0" w:line="240" w:lineRule="auto"/>
              <w:jc w:val="center"/>
              <w:rPr>
                <w:noProof/>
              </w:rPr>
            </w:pPr>
            <w:r>
              <w:rPr>
                <w:noProof/>
              </w:rPr>
              <w:t>M4C2–21</w:t>
            </w:r>
          </w:p>
        </w:tc>
        <w:tc>
          <w:tcPr>
            <w:tcW w:w="3449" w:type="dxa"/>
            <w:shd w:val="clear" w:color="auto" w:fill="C6EFCE"/>
            <w:tcMar>
              <w:left w:w="108" w:type="dxa"/>
              <w:right w:w="108" w:type="dxa"/>
            </w:tcMar>
            <w:vAlign w:val="center"/>
          </w:tcPr>
          <w:p w14:paraId="1E1A5993" w14:textId="77777777" w:rsidR="00E42B18" w:rsidRDefault="009629C4">
            <w:pPr>
              <w:pStyle w:val="P68B1DB1-Normal121"/>
              <w:spacing w:after="0" w:line="240" w:lineRule="auto"/>
              <w:rPr>
                <w:noProof/>
              </w:rPr>
            </w:pPr>
            <w:r>
              <w:rPr>
                <w:noProof/>
              </w:rPr>
              <w:t>Investointi 3.2 – Pääomanlisäys digitaalisen siirtymän rahastoon (DTF)</w:t>
            </w:r>
          </w:p>
        </w:tc>
        <w:tc>
          <w:tcPr>
            <w:tcW w:w="1134" w:type="dxa"/>
            <w:shd w:val="clear" w:color="auto" w:fill="C6EFCE"/>
            <w:tcMar>
              <w:left w:w="108" w:type="dxa"/>
              <w:right w:w="108" w:type="dxa"/>
            </w:tcMar>
            <w:vAlign w:val="center"/>
          </w:tcPr>
          <w:p w14:paraId="73EB12DF"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1C3FF73D" w14:textId="77777777" w:rsidR="00E42B18" w:rsidRDefault="009629C4">
            <w:pPr>
              <w:pStyle w:val="P68B1DB1-Normal121"/>
              <w:spacing w:after="0" w:line="240" w:lineRule="auto"/>
              <w:rPr>
                <w:noProof/>
              </w:rPr>
            </w:pPr>
            <w:r>
              <w:rPr>
                <w:noProof/>
              </w:rPr>
              <w:t>Mietinnön hyväksyminen</w:t>
            </w:r>
          </w:p>
        </w:tc>
      </w:tr>
      <w:tr w:rsidR="00E42B18" w14:paraId="2ADE749A" w14:textId="77777777">
        <w:trPr>
          <w:trHeight w:val="300"/>
        </w:trPr>
        <w:tc>
          <w:tcPr>
            <w:tcW w:w="1246" w:type="dxa"/>
            <w:shd w:val="clear" w:color="auto" w:fill="C6EFCE"/>
            <w:tcMar>
              <w:left w:w="108" w:type="dxa"/>
              <w:right w:w="108" w:type="dxa"/>
            </w:tcMar>
            <w:vAlign w:val="center"/>
          </w:tcPr>
          <w:p w14:paraId="64919AD8" w14:textId="77777777" w:rsidR="00E42B18" w:rsidRDefault="009629C4">
            <w:pPr>
              <w:pStyle w:val="P68B1DB1-Normal121"/>
              <w:spacing w:after="0" w:line="240" w:lineRule="auto"/>
              <w:jc w:val="center"/>
              <w:rPr>
                <w:noProof/>
              </w:rPr>
            </w:pPr>
            <w:r>
              <w:rPr>
                <w:noProof/>
              </w:rPr>
              <w:t>M5C2–12</w:t>
            </w:r>
          </w:p>
        </w:tc>
        <w:tc>
          <w:tcPr>
            <w:tcW w:w="3449" w:type="dxa"/>
            <w:shd w:val="clear" w:color="auto" w:fill="C6EFCE"/>
            <w:tcMar>
              <w:left w:w="108" w:type="dxa"/>
              <w:right w:w="108" w:type="dxa"/>
            </w:tcMar>
            <w:vAlign w:val="center"/>
          </w:tcPr>
          <w:p w14:paraId="40EE46EE" w14:textId="77777777" w:rsidR="00E42B18" w:rsidRDefault="009629C4">
            <w:pPr>
              <w:pStyle w:val="P68B1DB1-Normal121"/>
              <w:spacing w:after="0" w:line="240" w:lineRule="auto"/>
              <w:rPr>
                <w:noProof/>
              </w:rPr>
            </w:pPr>
            <w:r>
              <w:rPr>
                <w:noProof/>
              </w:rPr>
              <w:t>Investointi 4 – Investoinnit kaupunkien elvyttämishankkeisiin, joilla pyritään vähentämään syrjäytymistilanteita ja sosiaalista huonontumista</w:t>
            </w:r>
          </w:p>
        </w:tc>
        <w:tc>
          <w:tcPr>
            <w:tcW w:w="1134" w:type="dxa"/>
            <w:shd w:val="clear" w:color="auto" w:fill="C6EFCE"/>
            <w:tcMar>
              <w:left w:w="108" w:type="dxa"/>
              <w:right w:w="108" w:type="dxa"/>
            </w:tcMar>
            <w:vAlign w:val="center"/>
          </w:tcPr>
          <w:p w14:paraId="1023F8F9"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4F131A22" w14:textId="77777777" w:rsidR="00E42B18" w:rsidRDefault="009629C4">
            <w:pPr>
              <w:pStyle w:val="P68B1DB1-Normal121"/>
              <w:spacing w:after="0" w:line="240" w:lineRule="auto"/>
              <w:rPr>
                <w:noProof/>
              </w:rPr>
            </w:pPr>
            <w:r>
              <w:rPr>
                <w:noProof/>
              </w:rPr>
              <w:t>Kunnat kattavat kaupunkialueiden elvyttämiseen liittyviä tukitoimia koskevat hankkeet</w:t>
            </w:r>
          </w:p>
        </w:tc>
      </w:tr>
      <w:tr w:rsidR="00E42B18" w14:paraId="589BEEE1" w14:textId="77777777">
        <w:trPr>
          <w:trHeight w:val="300"/>
        </w:trPr>
        <w:tc>
          <w:tcPr>
            <w:tcW w:w="1246" w:type="dxa"/>
            <w:shd w:val="clear" w:color="auto" w:fill="C6EFCE"/>
            <w:tcMar>
              <w:left w:w="108" w:type="dxa"/>
              <w:right w:w="108" w:type="dxa"/>
            </w:tcMar>
            <w:vAlign w:val="center"/>
          </w:tcPr>
          <w:p w14:paraId="332C0127" w14:textId="77777777" w:rsidR="00E42B18" w:rsidRDefault="009629C4">
            <w:pPr>
              <w:pStyle w:val="P68B1DB1-Normal121"/>
              <w:spacing w:after="0" w:line="240" w:lineRule="auto"/>
              <w:jc w:val="center"/>
              <w:rPr>
                <w:noProof/>
              </w:rPr>
            </w:pPr>
            <w:r>
              <w:rPr>
                <w:noProof/>
              </w:rPr>
              <w:t>M5C2–14</w:t>
            </w:r>
          </w:p>
        </w:tc>
        <w:tc>
          <w:tcPr>
            <w:tcW w:w="3449" w:type="dxa"/>
            <w:shd w:val="clear" w:color="auto" w:fill="C6EFCE"/>
            <w:tcMar>
              <w:left w:w="108" w:type="dxa"/>
              <w:right w:w="108" w:type="dxa"/>
            </w:tcMar>
            <w:vAlign w:val="center"/>
          </w:tcPr>
          <w:p w14:paraId="3A34FA67" w14:textId="77777777" w:rsidR="00E42B18" w:rsidRDefault="009629C4">
            <w:pPr>
              <w:pStyle w:val="P68B1DB1-Normal121"/>
              <w:spacing w:after="0" w:line="240" w:lineRule="auto"/>
              <w:rPr>
                <w:noProof/>
              </w:rPr>
            </w:pPr>
            <w:r>
              <w:rPr>
                <w:noProof/>
              </w:rPr>
              <w:t>Investointi 5 – Yhdennetyt kaupunkisuunnitelmat – yleiset hankkeet</w:t>
            </w:r>
          </w:p>
        </w:tc>
        <w:tc>
          <w:tcPr>
            <w:tcW w:w="1134" w:type="dxa"/>
            <w:shd w:val="clear" w:color="auto" w:fill="C6EFCE"/>
            <w:tcMar>
              <w:left w:w="108" w:type="dxa"/>
              <w:right w:w="108" w:type="dxa"/>
            </w:tcMar>
            <w:vAlign w:val="center"/>
          </w:tcPr>
          <w:p w14:paraId="1D7714F7"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C6C0F82" w14:textId="77777777" w:rsidR="00E42B18" w:rsidRDefault="009629C4">
            <w:pPr>
              <w:pStyle w:val="P68B1DB1-Normal121"/>
              <w:spacing w:after="0" w:line="240" w:lineRule="auto"/>
              <w:rPr>
                <w:noProof/>
              </w:rPr>
            </w:pPr>
            <w:r>
              <w:rPr>
                <w:noProof/>
              </w:rPr>
              <w:t>Yhdennettyjen suunnitteluhankkeiden loppuun saattaminen suurkaupunkialueilla</w:t>
            </w:r>
          </w:p>
        </w:tc>
      </w:tr>
      <w:tr w:rsidR="00E42B18" w14:paraId="1E9AE1A7" w14:textId="77777777">
        <w:trPr>
          <w:trHeight w:val="300"/>
        </w:trPr>
        <w:tc>
          <w:tcPr>
            <w:tcW w:w="1246" w:type="dxa"/>
            <w:shd w:val="clear" w:color="auto" w:fill="C6EFCE"/>
            <w:tcMar>
              <w:left w:w="108" w:type="dxa"/>
              <w:right w:w="108" w:type="dxa"/>
            </w:tcMar>
            <w:vAlign w:val="center"/>
          </w:tcPr>
          <w:p w14:paraId="712802EE" w14:textId="77777777" w:rsidR="00E42B18" w:rsidRDefault="009629C4">
            <w:pPr>
              <w:pStyle w:val="P68B1DB1-Normal121"/>
              <w:spacing w:after="0" w:line="240" w:lineRule="auto"/>
              <w:jc w:val="center"/>
              <w:rPr>
                <w:noProof/>
              </w:rPr>
            </w:pPr>
            <w:r>
              <w:rPr>
                <w:noProof/>
              </w:rPr>
              <w:t>M5C2–16</w:t>
            </w:r>
          </w:p>
        </w:tc>
        <w:tc>
          <w:tcPr>
            <w:tcW w:w="3449" w:type="dxa"/>
            <w:shd w:val="clear" w:color="auto" w:fill="C6EFCE"/>
            <w:tcMar>
              <w:left w:w="108" w:type="dxa"/>
              <w:right w:w="108" w:type="dxa"/>
            </w:tcMar>
            <w:vAlign w:val="center"/>
          </w:tcPr>
          <w:p w14:paraId="27055275" w14:textId="77777777" w:rsidR="00E42B18" w:rsidRDefault="009629C4">
            <w:pPr>
              <w:pStyle w:val="P68B1DB1-Normal121"/>
              <w:spacing w:after="0" w:line="240" w:lineRule="auto"/>
              <w:rPr>
                <w:noProof/>
              </w:rPr>
            </w:pPr>
            <w:r>
              <w:rPr>
                <w:noProof/>
              </w:rPr>
              <w:t>Investointi 5 – Yhdennetyt kaupunkisuunnitelmat – Tulevat laittomat asutusalueet työvoiman hyväksikäytön torjumiseksi maataloudessa</w:t>
            </w:r>
          </w:p>
        </w:tc>
        <w:tc>
          <w:tcPr>
            <w:tcW w:w="1134" w:type="dxa"/>
            <w:shd w:val="clear" w:color="auto" w:fill="C6EFCE"/>
            <w:tcMar>
              <w:left w:w="108" w:type="dxa"/>
              <w:right w:w="108" w:type="dxa"/>
            </w:tcMar>
            <w:vAlign w:val="center"/>
          </w:tcPr>
          <w:p w14:paraId="12391EDC"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346194EC" w14:textId="77777777" w:rsidR="00E42B18" w:rsidRDefault="009629C4">
            <w:pPr>
              <w:pStyle w:val="P68B1DB1-Normal121"/>
              <w:spacing w:after="0" w:line="240" w:lineRule="auto"/>
              <w:rPr>
                <w:noProof/>
              </w:rPr>
            </w:pPr>
            <w:r>
              <w:rPr>
                <w:noProof/>
              </w:rPr>
              <w:t>Maatalousalan työntekijöiden asumista koskevat hankkeet ja foorumin perustaminen</w:t>
            </w:r>
          </w:p>
        </w:tc>
      </w:tr>
      <w:tr w:rsidR="00E42B18" w14:paraId="032F0736" w14:textId="77777777">
        <w:trPr>
          <w:trHeight w:val="300"/>
        </w:trPr>
        <w:tc>
          <w:tcPr>
            <w:tcW w:w="1246" w:type="dxa"/>
            <w:shd w:val="clear" w:color="auto" w:fill="C6EFCE"/>
            <w:tcMar>
              <w:left w:w="108" w:type="dxa"/>
              <w:right w:w="108" w:type="dxa"/>
            </w:tcMar>
            <w:vAlign w:val="center"/>
          </w:tcPr>
          <w:p w14:paraId="12B05429" w14:textId="77777777" w:rsidR="00E42B18" w:rsidRDefault="009629C4">
            <w:pPr>
              <w:pStyle w:val="P68B1DB1-Normal121"/>
              <w:spacing w:after="0" w:line="240" w:lineRule="auto"/>
              <w:jc w:val="center"/>
              <w:rPr>
                <w:noProof/>
              </w:rPr>
            </w:pPr>
            <w:r>
              <w:rPr>
                <w:noProof/>
              </w:rPr>
              <w:t>M5C2–22</w:t>
            </w:r>
          </w:p>
        </w:tc>
        <w:tc>
          <w:tcPr>
            <w:tcW w:w="3449" w:type="dxa"/>
            <w:shd w:val="clear" w:color="auto" w:fill="C6EFCE"/>
            <w:tcMar>
              <w:left w:w="108" w:type="dxa"/>
              <w:right w:w="108" w:type="dxa"/>
            </w:tcMar>
            <w:vAlign w:val="center"/>
          </w:tcPr>
          <w:p w14:paraId="11997626" w14:textId="77777777" w:rsidR="00E42B18" w:rsidRDefault="009629C4">
            <w:pPr>
              <w:pStyle w:val="P68B1DB1-Normal121"/>
              <w:spacing w:after="0" w:line="240" w:lineRule="auto"/>
              <w:rPr>
                <w:noProof/>
              </w:rPr>
            </w:pPr>
            <w:r>
              <w:rPr>
                <w:noProof/>
              </w:rPr>
              <w:t xml:space="preserve">Investointi 7 – Urheilu ja sosiaalinen osallisuus </w:t>
            </w:r>
          </w:p>
        </w:tc>
        <w:tc>
          <w:tcPr>
            <w:tcW w:w="1134" w:type="dxa"/>
            <w:shd w:val="clear" w:color="auto" w:fill="C6EFCE"/>
            <w:tcMar>
              <w:left w:w="108" w:type="dxa"/>
              <w:right w:w="108" w:type="dxa"/>
            </w:tcMar>
            <w:vAlign w:val="center"/>
          </w:tcPr>
          <w:p w14:paraId="47564DB2"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54EF80DA" w14:textId="77777777" w:rsidR="00E42B18" w:rsidRDefault="009629C4">
            <w:pPr>
              <w:pStyle w:val="P68B1DB1-Normal121"/>
              <w:spacing w:after="0" w:line="240" w:lineRule="auto"/>
              <w:rPr>
                <w:noProof/>
              </w:rPr>
            </w:pPr>
            <w:r>
              <w:rPr>
                <w:noProof/>
              </w:rPr>
              <w:t>Töiden valmistumisesta annetut todistukset</w:t>
            </w:r>
          </w:p>
        </w:tc>
      </w:tr>
      <w:tr w:rsidR="00E42B18" w14:paraId="7EBACB0E" w14:textId="77777777">
        <w:trPr>
          <w:trHeight w:val="300"/>
        </w:trPr>
        <w:tc>
          <w:tcPr>
            <w:tcW w:w="1246" w:type="dxa"/>
            <w:shd w:val="clear" w:color="auto" w:fill="C6EFCE"/>
            <w:tcMar>
              <w:left w:w="108" w:type="dxa"/>
              <w:right w:w="108" w:type="dxa"/>
            </w:tcMar>
            <w:vAlign w:val="center"/>
          </w:tcPr>
          <w:p w14:paraId="3E345831" w14:textId="77777777" w:rsidR="00E42B18" w:rsidRDefault="009629C4">
            <w:pPr>
              <w:pStyle w:val="P68B1DB1-Normal121"/>
              <w:spacing w:after="0" w:line="240" w:lineRule="auto"/>
              <w:jc w:val="center"/>
              <w:rPr>
                <w:noProof/>
              </w:rPr>
            </w:pPr>
            <w:r>
              <w:rPr>
                <w:noProof/>
              </w:rPr>
              <w:t>M5C3–13</w:t>
            </w:r>
          </w:p>
        </w:tc>
        <w:tc>
          <w:tcPr>
            <w:tcW w:w="3449" w:type="dxa"/>
            <w:shd w:val="clear" w:color="auto" w:fill="C6EFCE"/>
            <w:tcMar>
              <w:left w:w="108" w:type="dxa"/>
              <w:right w:w="108" w:type="dxa"/>
            </w:tcMar>
            <w:vAlign w:val="center"/>
          </w:tcPr>
          <w:p w14:paraId="792824C5" w14:textId="77777777" w:rsidR="00E42B18" w:rsidRDefault="009629C4">
            <w:pPr>
              <w:pStyle w:val="P68B1DB1-Normal121"/>
              <w:spacing w:after="0" w:line="240" w:lineRule="auto"/>
              <w:rPr>
                <w:noProof/>
              </w:rPr>
            </w:pPr>
            <w:r>
              <w:rPr>
                <w:noProof/>
              </w:rPr>
              <w:t>Investointi 1.4: Erityistalousalueen infrastruktuuri-investoinnit</w:t>
            </w:r>
          </w:p>
        </w:tc>
        <w:tc>
          <w:tcPr>
            <w:tcW w:w="1134" w:type="dxa"/>
            <w:shd w:val="clear" w:color="auto" w:fill="C6EFCE"/>
            <w:tcMar>
              <w:left w:w="108" w:type="dxa"/>
              <w:right w:w="108" w:type="dxa"/>
            </w:tcMar>
            <w:vAlign w:val="center"/>
          </w:tcPr>
          <w:p w14:paraId="141789AA"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6608E80B" w14:textId="77777777" w:rsidR="00E42B18" w:rsidRDefault="009629C4">
            <w:pPr>
              <w:pStyle w:val="P68B1DB1-Normal121"/>
              <w:spacing w:after="0" w:line="240" w:lineRule="auto"/>
              <w:rPr>
                <w:noProof/>
              </w:rPr>
            </w:pPr>
            <w:r>
              <w:rPr>
                <w:noProof/>
              </w:rPr>
              <w:t>Erityistalousalueiden infrastruktuuriin liittyvien toimien loppuun saattaminen.</w:t>
            </w:r>
          </w:p>
        </w:tc>
      </w:tr>
      <w:tr w:rsidR="00E42B18" w14:paraId="30F5AB4E" w14:textId="77777777">
        <w:trPr>
          <w:trHeight w:val="300"/>
        </w:trPr>
        <w:tc>
          <w:tcPr>
            <w:tcW w:w="1246" w:type="dxa"/>
            <w:shd w:val="clear" w:color="auto" w:fill="C6EFCE"/>
            <w:tcMar>
              <w:left w:w="108" w:type="dxa"/>
              <w:right w:w="108" w:type="dxa"/>
            </w:tcMar>
            <w:vAlign w:val="center"/>
          </w:tcPr>
          <w:p w14:paraId="5F0CC8DA" w14:textId="77777777" w:rsidR="00E42B18" w:rsidRDefault="009629C4">
            <w:pPr>
              <w:pStyle w:val="P68B1DB1-Normal121"/>
              <w:spacing w:after="0" w:line="240" w:lineRule="auto"/>
              <w:jc w:val="center"/>
              <w:rPr>
                <w:noProof/>
              </w:rPr>
            </w:pPr>
            <w:r>
              <w:rPr>
                <w:noProof/>
              </w:rPr>
              <w:t>M6C1–3</w:t>
            </w:r>
          </w:p>
        </w:tc>
        <w:tc>
          <w:tcPr>
            <w:tcW w:w="3449" w:type="dxa"/>
            <w:shd w:val="clear" w:color="auto" w:fill="C6EFCE"/>
            <w:tcMar>
              <w:left w:w="108" w:type="dxa"/>
              <w:right w:w="108" w:type="dxa"/>
            </w:tcMar>
            <w:vAlign w:val="center"/>
          </w:tcPr>
          <w:p w14:paraId="08823B46" w14:textId="77777777" w:rsidR="00E42B18" w:rsidRDefault="009629C4">
            <w:pPr>
              <w:pStyle w:val="P68B1DB1-Normal121"/>
              <w:spacing w:after="0" w:line="240" w:lineRule="auto"/>
              <w:rPr>
                <w:noProof/>
              </w:rPr>
            </w:pPr>
            <w:r>
              <w:rPr>
                <w:noProof/>
              </w:rPr>
              <w:t>Investointi 1.1: Yhteisön terveyskeskukset alueellisen terveysavun parantamiseksi</w:t>
            </w:r>
          </w:p>
        </w:tc>
        <w:tc>
          <w:tcPr>
            <w:tcW w:w="1134" w:type="dxa"/>
            <w:shd w:val="clear" w:color="auto" w:fill="C6EFCE"/>
            <w:tcMar>
              <w:left w:w="108" w:type="dxa"/>
              <w:right w:w="108" w:type="dxa"/>
            </w:tcMar>
            <w:vAlign w:val="center"/>
          </w:tcPr>
          <w:p w14:paraId="0728AB60"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3E43252B" w14:textId="77777777" w:rsidR="00E42B18" w:rsidRDefault="009629C4">
            <w:pPr>
              <w:pStyle w:val="P68B1DB1-Normal121"/>
              <w:spacing w:after="0" w:line="240" w:lineRule="auto"/>
              <w:rPr>
                <w:noProof/>
              </w:rPr>
            </w:pPr>
            <w:r>
              <w:rPr>
                <w:noProof/>
              </w:rPr>
              <w:t xml:space="preserve">Yhteisön terveyskeskusten palvelut aktivoidaan </w:t>
            </w:r>
          </w:p>
        </w:tc>
      </w:tr>
      <w:tr w:rsidR="00E42B18" w14:paraId="71FF1C8A" w14:textId="77777777">
        <w:trPr>
          <w:trHeight w:val="300"/>
        </w:trPr>
        <w:tc>
          <w:tcPr>
            <w:tcW w:w="1246" w:type="dxa"/>
            <w:shd w:val="clear" w:color="auto" w:fill="C6EFCE"/>
            <w:tcMar>
              <w:left w:w="108" w:type="dxa"/>
              <w:right w:w="108" w:type="dxa"/>
            </w:tcMar>
            <w:vAlign w:val="center"/>
          </w:tcPr>
          <w:p w14:paraId="5BB98A27" w14:textId="77777777" w:rsidR="00E42B18" w:rsidRDefault="009629C4">
            <w:pPr>
              <w:pStyle w:val="P68B1DB1-Normal121"/>
              <w:spacing w:after="0" w:line="240" w:lineRule="auto"/>
              <w:jc w:val="center"/>
              <w:rPr>
                <w:noProof/>
              </w:rPr>
            </w:pPr>
            <w:r>
              <w:rPr>
                <w:noProof/>
              </w:rPr>
              <w:t>M6C1–11</w:t>
            </w:r>
          </w:p>
        </w:tc>
        <w:tc>
          <w:tcPr>
            <w:tcW w:w="3449" w:type="dxa"/>
            <w:shd w:val="clear" w:color="auto" w:fill="C6EFCE"/>
            <w:tcMar>
              <w:left w:w="108" w:type="dxa"/>
              <w:right w:w="108" w:type="dxa"/>
            </w:tcMar>
            <w:vAlign w:val="center"/>
          </w:tcPr>
          <w:p w14:paraId="77F5EA8F" w14:textId="77777777" w:rsidR="00E42B18" w:rsidRDefault="009629C4">
            <w:pPr>
              <w:pStyle w:val="P68B1DB1-Normal121"/>
              <w:spacing w:after="0" w:line="240" w:lineRule="auto"/>
              <w:rPr>
                <w:noProof/>
              </w:rPr>
            </w:pPr>
            <w:r>
              <w:rPr>
                <w:noProof/>
              </w:rPr>
              <w:t>Investointi 1.3: Keskitason terveydenhuollon ja siihen liittyvien palvelujen (yhteisösairaalat) vahvistaminen</w:t>
            </w:r>
          </w:p>
        </w:tc>
        <w:tc>
          <w:tcPr>
            <w:tcW w:w="1134" w:type="dxa"/>
            <w:shd w:val="clear" w:color="auto" w:fill="C6EFCE"/>
            <w:tcMar>
              <w:left w:w="108" w:type="dxa"/>
              <w:right w:w="108" w:type="dxa"/>
            </w:tcMar>
            <w:vAlign w:val="center"/>
          </w:tcPr>
          <w:p w14:paraId="30345B79"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63A5FD9B" w14:textId="123DBCD9" w:rsidR="00E42B18" w:rsidRDefault="009629C4">
            <w:pPr>
              <w:pStyle w:val="P68B1DB1-Normal121"/>
              <w:spacing w:after="0" w:line="240" w:lineRule="auto"/>
              <w:rPr>
                <w:noProof/>
              </w:rPr>
            </w:pPr>
            <w:r>
              <w:rPr>
                <w:noProof/>
              </w:rPr>
              <w:t xml:space="preserve">Kunnostetut, yhteenliitetyt ja teknisesti varustetut yhteisösairaalat </w:t>
            </w:r>
          </w:p>
        </w:tc>
      </w:tr>
      <w:tr w:rsidR="00E42B18" w14:paraId="60D40B2F" w14:textId="77777777">
        <w:trPr>
          <w:trHeight w:val="300"/>
        </w:trPr>
        <w:tc>
          <w:tcPr>
            <w:tcW w:w="1246" w:type="dxa"/>
            <w:shd w:val="clear" w:color="auto" w:fill="C6EFCE"/>
            <w:tcMar>
              <w:left w:w="108" w:type="dxa"/>
              <w:right w:w="108" w:type="dxa"/>
            </w:tcMar>
            <w:vAlign w:val="center"/>
          </w:tcPr>
          <w:p w14:paraId="62F6D64A" w14:textId="77777777" w:rsidR="00E42B18" w:rsidRDefault="009629C4">
            <w:pPr>
              <w:pStyle w:val="P68B1DB1-Normal121"/>
              <w:spacing w:after="0" w:line="240" w:lineRule="auto"/>
              <w:jc w:val="center"/>
              <w:rPr>
                <w:noProof/>
              </w:rPr>
            </w:pPr>
            <w:r>
              <w:rPr>
                <w:noProof/>
              </w:rPr>
              <w:t>M6C2–6</w:t>
            </w:r>
          </w:p>
        </w:tc>
        <w:tc>
          <w:tcPr>
            <w:tcW w:w="3449" w:type="dxa"/>
            <w:shd w:val="clear" w:color="auto" w:fill="C6EFCE"/>
            <w:tcMar>
              <w:left w:w="108" w:type="dxa"/>
              <w:right w:w="108" w:type="dxa"/>
            </w:tcMar>
            <w:vAlign w:val="center"/>
          </w:tcPr>
          <w:p w14:paraId="3287ADF9" w14:textId="77777777" w:rsidR="00E42B18" w:rsidRDefault="009629C4">
            <w:pPr>
              <w:pStyle w:val="P68B1DB1-Normal123"/>
              <w:spacing w:after="0" w:line="240" w:lineRule="auto"/>
              <w:rPr>
                <w:noProof/>
              </w:rPr>
            </w:pPr>
            <w:r>
              <w:rPr>
                <w:noProof/>
              </w:rPr>
              <w:t>Investointi 1.1: Sairaaloiden teknisten laitteiden digitaalinen päivitys</w:t>
            </w:r>
          </w:p>
        </w:tc>
        <w:tc>
          <w:tcPr>
            <w:tcW w:w="1134" w:type="dxa"/>
            <w:shd w:val="clear" w:color="auto" w:fill="C6EFCE"/>
            <w:tcMar>
              <w:left w:w="108" w:type="dxa"/>
              <w:right w:w="108" w:type="dxa"/>
            </w:tcMar>
            <w:vAlign w:val="center"/>
          </w:tcPr>
          <w:p w14:paraId="1A2A022D" w14:textId="77777777" w:rsidR="00E42B18" w:rsidRDefault="009629C4">
            <w:pPr>
              <w:pStyle w:val="P68B1DB1-Normal123"/>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58A22E38" w14:textId="77777777" w:rsidR="00E42B18" w:rsidRDefault="009629C4">
            <w:pPr>
              <w:pStyle w:val="P68B1DB1-Normal123"/>
              <w:spacing w:after="0" w:line="240" w:lineRule="auto"/>
              <w:rPr>
                <w:noProof/>
              </w:rPr>
            </w:pPr>
            <w:r>
              <w:rPr>
                <w:noProof/>
              </w:rPr>
              <w:t>Suurten diagnostisten laitteiden toimittaminen</w:t>
            </w:r>
          </w:p>
        </w:tc>
      </w:tr>
      <w:tr w:rsidR="00E42B18" w14:paraId="627BC4CB" w14:textId="77777777">
        <w:trPr>
          <w:trHeight w:val="300"/>
        </w:trPr>
        <w:tc>
          <w:tcPr>
            <w:tcW w:w="1246" w:type="dxa"/>
            <w:shd w:val="clear" w:color="auto" w:fill="C6EFCE"/>
            <w:tcMar>
              <w:left w:w="108" w:type="dxa"/>
              <w:right w:w="108" w:type="dxa"/>
            </w:tcMar>
            <w:vAlign w:val="center"/>
          </w:tcPr>
          <w:p w14:paraId="41BDF90B" w14:textId="77777777" w:rsidR="00E42B18" w:rsidRDefault="009629C4">
            <w:pPr>
              <w:pStyle w:val="P68B1DB1-Normal121"/>
              <w:spacing w:after="0" w:line="240" w:lineRule="auto"/>
              <w:jc w:val="center"/>
              <w:rPr>
                <w:noProof/>
              </w:rPr>
            </w:pPr>
            <w:r>
              <w:rPr>
                <w:noProof/>
              </w:rPr>
              <w:t>M6C2–9</w:t>
            </w:r>
          </w:p>
        </w:tc>
        <w:tc>
          <w:tcPr>
            <w:tcW w:w="3449" w:type="dxa"/>
            <w:shd w:val="clear" w:color="auto" w:fill="C6EFCE"/>
            <w:tcMar>
              <w:left w:w="108" w:type="dxa"/>
              <w:right w:w="108" w:type="dxa"/>
            </w:tcMar>
            <w:vAlign w:val="center"/>
          </w:tcPr>
          <w:p w14:paraId="3007F536" w14:textId="77777777" w:rsidR="00E42B18" w:rsidRDefault="009629C4">
            <w:pPr>
              <w:pStyle w:val="P68B1DB1-Normal123"/>
              <w:spacing w:after="0" w:line="240" w:lineRule="auto"/>
              <w:rPr>
                <w:noProof/>
              </w:rPr>
            </w:pPr>
            <w:r>
              <w:rPr>
                <w:noProof/>
              </w:rPr>
              <w:t>Investointi 1.1: Sairaaloiden teknisten laitteiden digitaalinen päivitys</w:t>
            </w:r>
          </w:p>
        </w:tc>
        <w:tc>
          <w:tcPr>
            <w:tcW w:w="1134" w:type="dxa"/>
            <w:shd w:val="clear" w:color="auto" w:fill="C6EFCE"/>
            <w:tcMar>
              <w:left w:w="108" w:type="dxa"/>
              <w:right w:w="108" w:type="dxa"/>
            </w:tcMar>
            <w:vAlign w:val="center"/>
          </w:tcPr>
          <w:p w14:paraId="3C56E6C5" w14:textId="77777777" w:rsidR="00E42B18" w:rsidRDefault="009629C4">
            <w:pPr>
              <w:pStyle w:val="P68B1DB1-Normal123"/>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6CDFD859" w14:textId="77777777" w:rsidR="00E42B18" w:rsidRDefault="009629C4">
            <w:pPr>
              <w:pStyle w:val="P68B1DB1-Normal123"/>
              <w:spacing w:after="0" w:line="240" w:lineRule="auto"/>
              <w:rPr>
                <w:noProof/>
              </w:rPr>
            </w:pPr>
            <w:r>
              <w:rPr>
                <w:noProof/>
              </w:rPr>
              <w:t>Lisävuodet, joita tarjotaan tehohoitoyksiköissä ja ali-intensiivisessä hoidossa</w:t>
            </w:r>
          </w:p>
        </w:tc>
      </w:tr>
      <w:tr w:rsidR="00E42B18" w14:paraId="6277A35E" w14:textId="77777777">
        <w:trPr>
          <w:trHeight w:val="300"/>
        </w:trPr>
        <w:tc>
          <w:tcPr>
            <w:tcW w:w="1246" w:type="dxa"/>
            <w:shd w:val="clear" w:color="auto" w:fill="C6EFCE"/>
            <w:tcMar>
              <w:left w:w="108" w:type="dxa"/>
              <w:right w:w="108" w:type="dxa"/>
            </w:tcMar>
            <w:vAlign w:val="center"/>
          </w:tcPr>
          <w:p w14:paraId="41398054" w14:textId="77777777" w:rsidR="00E42B18" w:rsidRDefault="009629C4">
            <w:pPr>
              <w:pStyle w:val="P68B1DB1-Normal121"/>
              <w:spacing w:after="0" w:line="240" w:lineRule="auto"/>
              <w:jc w:val="center"/>
              <w:rPr>
                <w:noProof/>
              </w:rPr>
            </w:pPr>
            <w:r>
              <w:rPr>
                <w:noProof/>
              </w:rPr>
              <w:t>M6C2–10</w:t>
            </w:r>
          </w:p>
        </w:tc>
        <w:tc>
          <w:tcPr>
            <w:tcW w:w="3449" w:type="dxa"/>
            <w:shd w:val="clear" w:color="auto" w:fill="C6EFCE"/>
            <w:tcMar>
              <w:left w:w="108" w:type="dxa"/>
              <w:right w:w="108" w:type="dxa"/>
            </w:tcMar>
            <w:vAlign w:val="center"/>
          </w:tcPr>
          <w:p w14:paraId="55FCF586" w14:textId="77777777" w:rsidR="00E42B18" w:rsidRDefault="009629C4">
            <w:pPr>
              <w:pStyle w:val="P68B1DB1-Normal123"/>
              <w:spacing w:after="0" w:line="240" w:lineRule="auto"/>
              <w:rPr>
                <w:noProof/>
              </w:rPr>
            </w:pPr>
            <w:r>
              <w:rPr>
                <w:noProof/>
              </w:rPr>
              <w:t>Investointi 1.2: Kohti turvallista ja kestävää sairaalaa</w:t>
            </w:r>
          </w:p>
        </w:tc>
        <w:tc>
          <w:tcPr>
            <w:tcW w:w="1134" w:type="dxa"/>
            <w:shd w:val="clear" w:color="auto" w:fill="C6EFCE"/>
            <w:tcMar>
              <w:left w:w="108" w:type="dxa"/>
              <w:right w:w="108" w:type="dxa"/>
            </w:tcMar>
            <w:vAlign w:val="center"/>
          </w:tcPr>
          <w:p w14:paraId="6463FBCE" w14:textId="77777777" w:rsidR="00E42B18" w:rsidRDefault="009629C4">
            <w:pPr>
              <w:pStyle w:val="P68B1DB1-Normal123"/>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6ABFFDC7" w14:textId="77777777" w:rsidR="00E42B18" w:rsidRDefault="009629C4">
            <w:pPr>
              <w:pStyle w:val="P68B1DB1-Normal123"/>
              <w:spacing w:after="0" w:line="240" w:lineRule="auto"/>
              <w:rPr>
                <w:noProof/>
              </w:rPr>
            </w:pPr>
            <w:r>
              <w:rPr>
                <w:noProof/>
              </w:rPr>
              <w:t>Seismisten torjuntatoimien toteuttaminen sairaaloissa</w:t>
            </w:r>
          </w:p>
        </w:tc>
      </w:tr>
      <w:tr w:rsidR="00E42B18" w14:paraId="1297A5B5" w14:textId="77777777">
        <w:trPr>
          <w:trHeight w:val="300"/>
        </w:trPr>
        <w:tc>
          <w:tcPr>
            <w:tcW w:w="1246" w:type="dxa"/>
            <w:shd w:val="clear" w:color="auto" w:fill="C6EFCE"/>
            <w:tcMar>
              <w:left w:w="108" w:type="dxa"/>
              <w:right w:w="108" w:type="dxa"/>
            </w:tcMar>
            <w:vAlign w:val="center"/>
          </w:tcPr>
          <w:p w14:paraId="22C33274" w14:textId="77777777" w:rsidR="00E42B18" w:rsidRDefault="009629C4">
            <w:pPr>
              <w:pStyle w:val="P68B1DB1-Normal121"/>
              <w:spacing w:after="0" w:line="240" w:lineRule="auto"/>
              <w:jc w:val="center"/>
              <w:rPr>
                <w:noProof/>
              </w:rPr>
            </w:pPr>
            <w:r>
              <w:rPr>
                <w:noProof/>
              </w:rPr>
              <w:t>M6C2–10 a</w:t>
            </w:r>
          </w:p>
        </w:tc>
        <w:tc>
          <w:tcPr>
            <w:tcW w:w="3449" w:type="dxa"/>
            <w:shd w:val="clear" w:color="auto" w:fill="C6EFCE"/>
            <w:tcMar>
              <w:left w:w="108" w:type="dxa"/>
              <w:right w:w="108" w:type="dxa"/>
            </w:tcMar>
            <w:vAlign w:val="center"/>
          </w:tcPr>
          <w:p w14:paraId="357355CC" w14:textId="77777777" w:rsidR="00E42B18" w:rsidRDefault="009629C4">
            <w:pPr>
              <w:pStyle w:val="P68B1DB1-Normal123"/>
              <w:spacing w:after="0" w:line="240" w:lineRule="auto"/>
              <w:rPr>
                <w:noProof/>
              </w:rPr>
            </w:pPr>
            <w:r>
              <w:rPr>
                <w:noProof/>
              </w:rPr>
              <w:t>Investointi 1.2: Kohti turvallista ja kestävää sairaalaa</w:t>
            </w:r>
          </w:p>
        </w:tc>
        <w:tc>
          <w:tcPr>
            <w:tcW w:w="1134" w:type="dxa"/>
            <w:shd w:val="clear" w:color="auto" w:fill="C6EFCE"/>
            <w:tcMar>
              <w:left w:w="108" w:type="dxa"/>
              <w:right w:w="108" w:type="dxa"/>
            </w:tcMar>
            <w:vAlign w:val="center"/>
          </w:tcPr>
          <w:p w14:paraId="24AF3BCB" w14:textId="77777777" w:rsidR="00E42B18" w:rsidRDefault="009629C4">
            <w:pPr>
              <w:pStyle w:val="P68B1DB1-Normal123"/>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1959590" w14:textId="77777777" w:rsidR="00E42B18" w:rsidRDefault="009629C4">
            <w:pPr>
              <w:pStyle w:val="P68B1DB1-Normal123"/>
              <w:spacing w:after="0" w:line="240" w:lineRule="auto"/>
              <w:rPr>
                <w:noProof/>
              </w:rPr>
            </w:pPr>
            <w:r>
              <w:rPr>
                <w:noProof/>
              </w:rPr>
              <w:t>Elpymis- ja palautumistukivälineen varojen maksaminen rahoituslain 67/88 20 artiklan mukaisiin hankkeisiin</w:t>
            </w:r>
          </w:p>
        </w:tc>
      </w:tr>
      <w:tr w:rsidR="00E42B18" w14:paraId="348ACAF3" w14:textId="77777777">
        <w:trPr>
          <w:trHeight w:val="300"/>
        </w:trPr>
        <w:tc>
          <w:tcPr>
            <w:tcW w:w="1246" w:type="dxa"/>
            <w:shd w:val="clear" w:color="auto" w:fill="C6EFCE"/>
            <w:tcMar>
              <w:left w:w="108" w:type="dxa"/>
              <w:right w:w="108" w:type="dxa"/>
            </w:tcMar>
            <w:vAlign w:val="center"/>
          </w:tcPr>
          <w:p w14:paraId="5EBCD5E9" w14:textId="77777777" w:rsidR="00E42B18" w:rsidRDefault="009629C4">
            <w:pPr>
              <w:pStyle w:val="P68B1DB1-Normal121"/>
              <w:spacing w:after="0" w:line="240" w:lineRule="auto"/>
              <w:jc w:val="center"/>
              <w:rPr>
                <w:noProof/>
              </w:rPr>
            </w:pPr>
            <w:r>
              <w:rPr>
                <w:noProof/>
              </w:rPr>
              <w:t>M6C2–12</w:t>
            </w:r>
          </w:p>
        </w:tc>
        <w:tc>
          <w:tcPr>
            <w:tcW w:w="3449" w:type="dxa"/>
            <w:shd w:val="clear" w:color="auto" w:fill="C6EFCE"/>
            <w:tcMar>
              <w:left w:w="108" w:type="dxa"/>
              <w:right w:w="108" w:type="dxa"/>
            </w:tcMar>
            <w:vAlign w:val="center"/>
          </w:tcPr>
          <w:p w14:paraId="0D673E97" w14:textId="77777777" w:rsidR="00E42B18" w:rsidRDefault="009629C4">
            <w:pPr>
              <w:pStyle w:val="P68B1DB1-Normal123"/>
              <w:spacing w:after="0" w:line="240" w:lineRule="auto"/>
              <w:rPr>
                <w:noProof/>
              </w:rPr>
            </w:pPr>
            <w:r>
              <w:rPr>
                <w:noProof/>
              </w:rPr>
              <w:t>Investointi 1.3: Teknisen infrastruktuurin sekä tiedonkeruu-, tietojenkäsittely-, data-analyysi- ja simulointivälineiden vahvistaminen</w:t>
            </w:r>
          </w:p>
        </w:tc>
        <w:tc>
          <w:tcPr>
            <w:tcW w:w="1134" w:type="dxa"/>
            <w:shd w:val="clear" w:color="auto" w:fill="C6EFCE"/>
            <w:tcMar>
              <w:left w:w="108" w:type="dxa"/>
              <w:right w:w="108" w:type="dxa"/>
            </w:tcMar>
            <w:vAlign w:val="center"/>
          </w:tcPr>
          <w:p w14:paraId="4CD8CC65" w14:textId="77777777" w:rsidR="00E42B18" w:rsidRDefault="009629C4">
            <w:pPr>
              <w:pStyle w:val="P68B1DB1-Normal123"/>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3426189B" w14:textId="77777777" w:rsidR="00E42B18" w:rsidRDefault="009629C4">
            <w:pPr>
              <w:pStyle w:val="P68B1DB1-Normal123"/>
              <w:spacing w:after="0" w:line="240" w:lineRule="auto"/>
              <w:rPr>
                <w:noProof/>
              </w:rPr>
            </w:pPr>
            <w:r>
              <w:rPr>
                <w:noProof/>
              </w:rPr>
              <w:t>Sairausvakuutuskorttijärjestelmä ja sähköisten terveystietojen yhteentoimivuuden infrastruktuuri ovat toiminnassa.</w:t>
            </w:r>
          </w:p>
        </w:tc>
      </w:tr>
      <w:tr w:rsidR="00E42B18" w14:paraId="5136ADAE" w14:textId="77777777">
        <w:trPr>
          <w:trHeight w:val="300"/>
        </w:trPr>
        <w:tc>
          <w:tcPr>
            <w:tcW w:w="1246" w:type="dxa"/>
            <w:shd w:val="clear" w:color="auto" w:fill="C6EFCE"/>
            <w:tcMar>
              <w:left w:w="108" w:type="dxa"/>
              <w:right w:w="108" w:type="dxa"/>
            </w:tcMar>
            <w:vAlign w:val="center"/>
          </w:tcPr>
          <w:p w14:paraId="4B98A18C" w14:textId="77777777" w:rsidR="00E42B18" w:rsidRDefault="009629C4">
            <w:pPr>
              <w:pStyle w:val="P68B1DB1-Normal121"/>
              <w:spacing w:after="0" w:line="240" w:lineRule="auto"/>
              <w:jc w:val="center"/>
              <w:rPr>
                <w:noProof/>
              </w:rPr>
            </w:pPr>
            <w:r>
              <w:rPr>
                <w:noProof/>
              </w:rPr>
              <w:t>M6C2–13</w:t>
            </w:r>
          </w:p>
        </w:tc>
        <w:tc>
          <w:tcPr>
            <w:tcW w:w="3449" w:type="dxa"/>
            <w:shd w:val="clear" w:color="auto" w:fill="C6EFCE"/>
            <w:tcMar>
              <w:left w:w="108" w:type="dxa"/>
              <w:right w:w="108" w:type="dxa"/>
            </w:tcMar>
            <w:vAlign w:val="center"/>
          </w:tcPr>
          <w:p w14:paraId="397A4676" w14:textId="77777777" w:rsidR="00E42B18" w:rsidRDefault="009629C4">
            <w:pPr>
              <w:pStyle w:val="P68B1DB1-Normal123"/>
              <w:spacing w:after="0" w:line="240" w:lineRule="auto"/>
              <w:rPr>
                <w:noProof/>
              </w:rPr>
            </w:pPr>
            <w:r>
              <w:rPr>
                <w:noProof/>
              </w:rPr>
              <w:t>Investointi 1.3: Teknisen infrastruktuurin sekä tiedonkeruu-, tietojenkäsittely-, data-analyysi- ja simulointivälineiden vahvistaminen</w:t>
            </w:r>
          </w:p>
        </w:tc>
        <w:tc>
          <w:tcPr>
            <w:tcW w:w="1134" w:type="dxa"/>
            <w:shd w:val="clear" w:color="auto" w:fill="C6EFCE"/>
            <w:tcMar>
              <w:left w:w="108" w:type="dxa"/>
              <w:right w:w="108" w:type="dxa"/>
            </w:tcMar>
            <w:vAlign w:val="center"/>
          </w:tcPr>
          <w:p w14:paraId="22EDE51A" w14:textId="77777777" w:rsidR="00E42B18" w:rsidRDefault="009629C4">
            <w:pPr>
              <w:pStyle w:val="P68B1DB1-Normal123"/>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B7ACDD2" w14:textId="77777777" w:rsidR="00E42B18" w:rsidRDefault="009629C4">
            <w:pPr>
              <w:pStyle w:val="P68B1DB1-Normal123"/>
              <w:spacing w:after="0" w:line="240" w:lineRule="auto"/>
              <w:rPr>
                <w:noProof/>
              </w:rPr>
            </w:pPr>
            <w:r>
              <w:rPr>
                <w:noProof/>
              </w:rPr>
              <w:t>Sähköistä terveysrekisteriä käytetään useimmissa terveysrekistereissä.</w:t>
            </w:r>
          </w:p>
        </w:tc>
      </w:tr>
      <w:tr w:rsidR="00E42B18" w14:paraId="16B66833" w14:textId="77777777">
        <w:trPr>
          <w:trHeight w:val="300"/>
        </w:trPr>
        <w:tc>
          <w:tcPr>
            <w:tcW w:w="1246" w:type="dxa"/>
            <w:shd w:val="clear" w:color="auto" w:fill="C6EFCE"/>
            <w:tcMar>
              <w:left w:w="108" w:type="dxa"/>
              <w:right w:w="108" w:type="dxa"/>
            </w:tcMar>
            <w:vAlign w:val="center"/>
          </w:tcPr>
          <w:p w14:paraId="39B1D57C" w14:textId="77777777" w:rsidR="00E42B18" w:rsidRDefault="009629C4">
            <w:pPr>
              <w:pStyle w:val="P68B1DB1-Normal121"/>
              <w:spacing w:after="0" w:line="240" w:lineRule="auto"/>
              <w:jc w:val="center"/>
              <w:rPr>
                <w:noProof/>
              </w:rPr>
            </w:pPr>
            <w:r>
              <w:rPr>
                <w:noProof/>
              </w:rPr>
              <w:t>M7–37</w:t>
            </w:r>
          </w:p>
        </w:tc>
        <w:tc>
          <w:tcPr>
            <w:tcW w:w="3449" w:type="dxa"/>
            <w:shd w:val="clear" w:color="auto" w:fill="C6EFCE"/>
            <w:tcMar>
              <w:left w:w="108" w:type="dxa"/>
              <w:right w:w="108" w:type="dxa"/>
            </w:tcMar>
            <w:vAlign w:val="center"/>
          </w:tcPr>
          <w:p w14:paraId="7657D7C0" w14:textId="77777777" w:rsidR="00E42B18" w:rsidRDefault="009629C4">
            <w:pPr>
              <w:pStyle w:val="P68B1DB1-Normal121"/>
              <w:spacing w:after="0" w:line="240" w:lineRule="auto"/>
              <w:rPr>
                <w:noProof/>
              </w:rPr>
            </w:pPr>
            <w:r>
              <w:rPr>
                <w:noProof/>
              </w:rPr>
              <w:t>Investointi 13: Adrianmeren linjan vaihe 1 (Sulmonan kompressoriasema ja Sestino-Minerbio-kaasuputki)</w:t>
            </w:r>
          </w:p>
        </w:tc>
        <w:tc>
          <w:tcPr>
            <w:tcW w:w="1134" w:type="dxa"/>
            <w:shd w:val="clear" w:color="auto" w:fill="C6EFCE"/>
            <w:tcMar>
              <w:left w:w="108" w:type="dxa"/>
              <w:right w:w="108" w:type="dxa"/>
            </w:tcMar>
            <w:vAlign w:val="center"/>
          </w:tcPr>
          <w:p w14:paraId="22FCDB8F"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597FCBB3" w14:textId="77777777" w:rsidR="00E42B18" w:rsidRDefault="009629C4">
            <w:pPr>
              <w:pStyle w:val="P68B1DB1-Normal121"/>
              <w:spacing w:after="0" w:line="240" w:lineRule="auto"/>
              <w:rPr>
                <w:noProof/>
              </w:rPr>
            </w:pPr>
            <w:r>
              <w:rPr>
                <w:noProof/>
              </w:rPr>
              <w:t>Töiden valmistumisesta annetut todistukset</w:t>
            </w:r>
          </w:p>
        </w:tc>
      </w:tr>
      <w:tr w:rsidR="00E42B18" w14:paraId="2EC60B44" w14:textId="77777777">
        <w:trPr>
          <w:trHeight w:val="300"/>
        </w:trPr>
        <w:tc>
          <w:tcPr>
            <w:tcW w:w="1246" w:type="dxa"/>
            <w:shd w:val="clear" w:color="auto" w:fill="C6EFCE"/>
            <w:tcMar>
              <w:left w:w="108" w:type="dxa"/>
              <w:right w:w="108" w:type="dxa"/>
            </w:tcMar>
            <w:vAlign w:val="center"/>
          </w:tcPr>
          <w:p w14:paraId="6EC81BA8" w14:textId="77777777" w:rsidR="00E42B18" w:rsidRDefault="009629C4">
            <w:pPr>
              <w:pStyle w:val="P68B1DB1-Normal121"/>
              <w:spacing w:after="0" w:line="240" w:lineRule="auto"/>
              <w:jc w:val="center"/>
              <w:rPr>
                <w:noProof/>
              </w:rPr>
            </w:pPr>
            <w:r>
              <w:rPr>
                <w:noProof/>
              </w:rPr>
              <w:t>M7–39</w:t>
            </w:r>
          </w:p>
        </w:tc>
        <w:tc>
          <w:tcPr>
            <w:tcW w:w="3449" w:type="dxa"/>
            <w:shd w:val="clear" w:color="auto" w:fill="C6EFCE"/>
            <w:tcMar>
              <w:left w:w="108" w:type="dxa"/>
              <w:right w:w="108" w:type="dxa"/>
            </w:tcMar>
            <w:vAlign w:val="center"/>
          </w:tcPr>
          <w:p w14:paraId="0DD9DF8A" w14:textId="77777777" w:rsidR="00E42B18" w:rsidRDefault="009629C4">
            <w:pPr>
              <w:pStyle w:val="P68B1DB1-Normal121"/>
              <w:spacing w:after="0" w:line="240" w:lineRule="auto"/>
              <w:rPr>
                <w:noProof/>
              </w:rPr>
            </w:pPr>
            <w:r>
              <w:rPr>
                <w:noProof/>
              </w:rPr>
              <w:t>Investointi 14: Rajat ylittävä kaasun vientiinfrastruktuuri</w:t>
            </w:r>
          </w:p>
        </w:tc>
        <w:tc>
          <w:tcPr>
            <w:tcW w:w="1134" w:type="dxa"/>
            <w:shd w:val="clear" w:color="auto" w:fill="C6EFCE"/>
            <w:tcMar>
              <w:left w:w="108" w:type="dxa"/>
              <w:right w:w="108" w:type="dxa"/>
            </w:tcMar>
            <w:vAlign w:val="center"/>
          </w:tcPr>
          <w:p w14:paraId="7A616CFF"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069F77DD" w14:textId="77777777" w:rsidR="00E42B18" w:rsidRDefault="009629C4">
            <w:pPr>
              <w:pStyle w:val="P68B1DB1-Normal121"/>
              <w:spacing w:after="0" w:line="240" w:lineRule="auto"/>
              <w:rPr>
                <w:noProof/>
              </w:rPr>
            </w:pPr>
            <w:r>
              <w:rPr>
                <w:noProof/>
              </w:rPr>
              <w:t>Töiden valmistumisesta annetut todistukset</w:t>
            </w:r>
          </w:p>
        </w:tc>
      </w:tr>
      <w:tr w:rsidR="00E42B18" w14:paraId="11EB092B" w14:textId="77777777">
        <w:trPr>
          <w:trHeight w:val="300"/>
        </w:trPr>
        <w:tc>
          <w:tcPr>
            <w:tcW w:w="1246" w:type="dxa"/>
            <w:shd w:val="clear" w:color="auto" w:fill="C6EFCE"/>
            <w:tcMar>
              <w:left w:w="108" w:type="dxa"/>
              <w:right w:w="108" w:type="dxa"/>
            </w:tcMar>
            <w:vAlign w:val="center"/>
          </w:tcPr>
          <w:p w14:paraId="7EAAE918" w14:textId="77777777" w:rsidR="00E42B18" w:rsidRDefault="009629C4">
            <w:pPr>
              <w:pStyle w:val="P68B1DB1-Normal121"/>
              <w:spacing w:after="0" w:line="240" w:lineRule="auto"/>
              <w:jc w:val="center"/>
              <w:rPr>
                <w:noProof/>
              </w:rPr>
            </w:pPr>
            <w:r>
              <w:rPr>
                <w:noProof/>
              </w:rPr>
              <w:t>M7–41</w:t>
            </w:r>
          </w:p>
        </w:tc>
        <w:tc>
          <w:tcPr>
            <w:tcW w:w="3449" w:type="dxa"/>
            <w:shd w:val="clear" w:color="auto" w:fill="C6EFCE"/>
            <w:tcMar>
              <w:left w:w="108" w:type="dxa"/>
              <w:right w:w="108" w:type="dxa"/>
            </w:tcMar>
            <w:vAlign w:val="center"/>
          </w:tcPr>
          <w:p w14:paraId="7DBD432A" w14:textId="77777777" w:rsidR="00E42B18" w:rsidRDefault="009629C4">
            <w:pPr>
              <w:pStyle w:val="P68B1DB1-Normal121"/>
              <w:spacing w:after="0" w:line="240" w:lineRule="auto"/>
              <w:rPr>
                <w:noProof/>
              </w:rPr>
            </w:pPr>
            <w:r>
              <w:rPr>
                <w:noProof/>
              </w:rPr>
              <w:t xml:space="preserve">Investointi 15: Transizione 5.0 </w:t>
            </w:r>
          </w:p>
        </w:tc>
        <w:tc>
          <w:tcPr>
            <w:tcW w:w="1134" w:type="dxa"/>
            <w:shd w:val="clear" w:color="auto" w:fill="C6EFCE"/>
            <w:tcMar>
              <w:left w:w="108" w:type="dxa"/>
              <w:right w:w="108" w:type="dxa"/>
            </w:tcMar>
            <w:vAlign w:val="center"/>
          </w:tcPr>
          <w:p w14:paraId="60C68F6D"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3C793B77" w14:textId="77777777" w:rsidR="00E42B18" w:rsidRDefault="009629C4">
            <w:pPr>
              <w:pStyle w:val="P68B1DB1-Normal121"/>
              <w:spacing w:after="0" w:line="240" w:lineRule="auto"/>
              <w:rPr>
                <w:noProof/>
              </w:rPr>
            </w:pPr>
            <w:r>
              <w:rPr>
                <w:noProof/>
              </w:rPr>
              <w:t>Elpymis- ja palautumistukivälineen varojen myöntäminen</w:t>
            </w:r>
          </w:p>
        </w:tc>
      </w:tr>
      <w:tr w:rsidR="00E42B18" w14:paraId="3A9E54E2" w14:textId="77777777">
        <w:trPr>
          <w:trHeight w:val="300"/>
        </w:trPr>
        <w:tc>
          <w:tcPr>
            <w:tcW w:w="1246" w:type="dxa"/>
            <w:shd w:val="clear" w:color="auto" w:fill="C6EFCE"/>
            <w:tcMar>
              <w:left w:w="108" w:type="dxa"/>
              <w:right w:w="108" w:type="dxa"/>
            </w:tcMar>
            <w:vAlign w:val="center"/>
          </w:tcPr>
          <w:p w14:paraId="00CB6E4C" w14:textId="77777777" w:rsidR="00E42B18" w:rsidRDefault="009629C4">
            <w:pPr>
              <w:pStyle w:val="P68B1DB1-Normal121"/>
              <w:spacing w:after="0" w:line="240" w:lineRule="auto"/>
              <w:jc w:val="center"/>
              <w:rPr>
                <w:noProof/>
              </w:rPr>
            </w:pPr>
            <w:r>
              <w:rPr>
                <w:noProof/>
              </w:rPr>
              <w:t>M7–42</w:t>
            </w:r>
          </w:p>
        </w:tc>
        <w:tc>
          <w:tcPr>
            <w:tcW w:w="3449" w:type="dxa"/>
            <w:shd w:val="clear" w:color="auto" w:fill="C6EFCE"/>
            <w:tcMar>
              <w:left w:w="108" w:type="dxa"/>
              <w:right w:w="108" w:type="dxa"/>
            </w:tcMar>
            <w:vAlign w:val="center"/>
          </w:tcPr>
          <w:p w14:paraId="17530B84" w14:textId="77777777" w:rsidR="00E42B18" w:rsidRDefault="009629C4">
            <w:pPr>
              <w:pStyle w:val="P68B1DB1-Normal121"/>
              <w:spacing w:after="0" w:line="240" w:lineRule="auto"/>
              <w:rPr>
                <w:noProof/>
              </w:rPr>
            </w:pPr>
            <w:r>
              <w:rPr>
                <w:noProof/>
              </w:rPr>
              <w:t>Investointi 15: Transizione 5.0</w:t>
            </w:r>
          </w:p>
        </w:tc>
        <w:tc>
          <w:tcPr>
            <w:tcW w:w="1134" w:type="dxa"/>
            <w:shd w:val="clear" w:color="auto" w:fill="C6EFCE"/>
            <w:tcMar>
              <w:left w:w="108" w:type="dxa"/>
              <w:right w:w="108" w:type="dxa"/>
            </w:tcMar>
            <w:vAlign w:val="center"/>
          </w:tcPr>
          <w:p w14:paraId="67ED7961"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1C566CF3" w14:textId="77777777" w:rsidR="00E42B18" w:rsidRDefault="009629C4">
            <w:pPr>
              <w:pStyle w:val="P68B1DB1-Normal121"/>
              <w:spacing w:after="0" w:line="240" w:lineRule="auto"/>
              <w:rPr>
                <w:noProof/>
              </w:rPr>
            </w:pPr>
            <w:r>
              <w:rPr>
                <w:noProof/>
              </w:rPr>
              <w:t>0,4 Mtoe energiansäästöä energian loppukulutuksessa vuosina 2024–2026</w:t>
            </w:r>
          </w:p>
        </w:tc>
      </w:tr>
      <w:tr w:rsidR="00E42B18" w14:paraId="0C15D73B" w14:textId="77777777">
        <w:trPr>
          <w:trHeight w:val="300"/>
        </w:trPr>
        <w:tc>
          <w:tcPr>
            <w:tcW w:w="1246" w:type="dxa"/>
            <w:shd w:val="clear" w:color="auto" w:fill="C6EFCE"/>
            <w:tcMar>
              <w:left w:w="108" w:type="dxa"/>
              <w:right w:w="108" w:type="dxa"/>
            </w:tcMar>
            <w:vAlign w:val="center"/>
          </w:tcPr>
          <w:p w14:paraId="672B3B30" w14:textId="77777777" w:rsidR="00E42B18" w:rsidRDefault="009629C4">
            <w:pPr>
              <w:pStyle w:val="P68B1DB1-Normal121"/>
              <w:spacing w:after="0" w:line="240" w:lineRule="auto"/>
              <w:jc w:val="center"/>
              <w:rPr>
                <w:noProof/>
              </w:rPr>
            </w:pPr>
            <w:r>
              <w:rPr>
                <w:noProof/>
              </w:rPr>
              <w:t>M7–45</w:t>
            </w:r>
          </w:p>
        </w:tc>
        <w:tc>
          <w:tcPr>
            <w:tcW w:w="3449" w:type="dxa"/>
            <w:shd w:val="clear" w:color="auto" w:fill="C6EFCE"/>
            <w:tcMar>
              <w:left w:w="108" w:type="dxa"/>
              <w:right w:w="108" w:type="dxa"/>
            </w:tcMar>
            <w:vAlign w:val="center"/>
          </w:tcPr>
          <w:p w14:paraId="008A9F85" w14:textId="77777777" w:rsidR="00E42B18" w:rsidRDefault="009629C4">
            <w:pPr>
              <w:pStyle w:val="P68B1DB1-Normal121"/>
              <w:spacing w:after="0" w:line="240" w:lineRule="auto"/>
              <w:rPr>
                <w:noProof/>
              </w:rPr>
            </w:pPr>
            <w:r>
              <w:rPr>
                <w:noProof/>
              </w:rPr>
              <w:t>Investointi 16: Tuki pk-yrityksille, jotta ne voivat tuottaa itse tuotantoaan uusiutuvista energialähteistä</w:t>
            </w:r>
          </w:p>
        </w:tc>
        <w:tc>
          <w:tcPr>
            <w:tcW w:w="1134" w:type="dxa"/>
            <w:shd w:val="clear" w:color="auto" w:fill="C6EFCE"/>
            <w:tcMar>
              <w:left w:w="108" w:type="dxa"/>
              <w:right w:w="108" w:type="dxa"/>
            </w:tcMar>
            <w:vAlign w:val="center"/>
          </w:tcPr>
          <w:p w14:paraId="61166730"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33818D48" w14:textId="77777777" w:rsidR="00E42B18" w:rsidRDefault="009629C4">
            <w:pPr>
              <w:pStyle w:val="P68B1DB1-Normal121"/>
              <w:spacing w:after="0" w:line="240" w:lineRule="auto"/>
              <w:rPr>
                <w:noProof/>
              </w:rPr>
            </w:pPr>
            <w:r>
              <w:rPr>
                <w:noProof/>
              </w:rPr>
              <w:t>Oikeudelliset sopimukset lopullisten edunsaajien kanssa</w:t>
            </w:r>
          </w:p>
        </w:tc>
      </w:tr>
      <w:tr w:rsidR="00E42B18" w14:paraId="4974B148" w14:textId="77777777">
        <w:trPr>
          <w:trHeight w:val="300"/>
        </w:trPr>
        <w:tc>
          <w:tcPr>
            <w:tcW w:w="1246" w:type="dxa"/>
            <w:shd w:val="clear" w:color="auto" w:fill="C6EFCE"/>
            <w:tcMar>
              <w:left w:w="108" w:type="dxa"/>
              <w:right w:w="108" w:type="dxa"/>
            </w:tcMar>
            <w:vAlign w:val="center"/>
          </w:tcPr>
          <w:p w14:paraId="3CEE9E44" w14:textId="77777777" w:rsidR="00E42B18" w:rsidRDefault="009629C4">
            <w:pPr>
              <w:pStyle w:val="P68B1DB1-Normal121"/>
              <w:spacing w:after="0" w:line="240" w:lineRule="auto"/>
              <w:jc w:val="center"/>
              <w:rPr>
                <w:noProof/>
              </w:rPr>
            </w:pPr>
            <w:r>
              <w:rPr>
                <w:noProof/>
              </w:rPr>
              <w:t>M7–49</w:t>
            </w:r>
          </w:p>
        </w:tc>
        <w:tc>
          <w:tcPr>
            <w:tcW w:w="3449" w:type="dxa"/>
            <w:shd w:val="clear" w:color="auto" w:fill="C6EFCE"/>
            <w:tcMar>
              <w:left w:w="108" w:type="dxa"/>
              <w:right w:w="108" w:type="dxa"/>
            </w:tcMar>
            <w:vAlign w:val="center"/>
          </w:tcPr>
          <w:p w14:paraId="293A7A82" w14:textId="77777777" w:rsidR="00E42B18" w:rsidRDefault="009629C4">
            <w:pPr>
              <w:pStyle w:val="P68B1DB1-Normal121"/>
              <w:spacing w:after="0" w:line="240" w:lineRule="auto"/>
              <w:rPr>
                <w:noProof/>
              </w:rPr>
            </w:pPr>
            <w:r>
              <w:rPr>
                <w:noProof/>
              </w:rPr>
              <w:t>Investointi 17: Julkisten asuinrakennusten energiaperuskorjausten rahoitusväline</w:t>
            </w:r>
          </w:p>
        </w:tc>
        <w:tc>
          <w:tcPr>
            <w:tcW w:w="1134" w:type="dxa"/>
            <w:shd w:val="clear" w:color="auto" w:fill="C6EFCE"/>
            <w:tcMar>
              <w:left w:w="108" w:type="dxa"/>
              <w:right w:w="108" w:type="dxa"/>
            </w:tcMar>
            <w:vAlign w:val="center"/>
          </w:tcPr>
          <w:p w14:paraId="437AA4F8"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53178C78" w14:textId="77777777" w:rsidR="00E42B18" w:rsidRDefault="009629C4">
            <w:pPr>
              <w:pStyle w:val="P68B1DB1-Normal121"/>
              <w:spacing w:after="0" w:line="240" w:lineRule="auto"/>
              <w:rPr>
                <w:noProof/>
              </w:rPr>
            </w:pPr>
            <w:r>
              <w:rPr>
                <w:noProof/>
              </w:rPr>
              <w:t>Lopullisten tuensaajien kanssa allekirjoitetut oikeudelliset sopimukset</w:t>
            </w:r>
          </w:p>
        </w:tc>
      </w:tr>
      <w:tr w:rsidR="00E42B18" w14:paraId="485736F4" w14:textId="77777777">
        <w:trPr>
          <w:trHeight w:val="300"/>
        </w:trPr>
        <w:tc>
          <w:tcPr>
            <w:tcW w:w="1246" w:type="dxa"/>
            <w:shd w:val="clear" w:color="auto" w:fill="C6EFCE"/>
            <w:tcMar>
              <w:left w:w="108" w:type="dxa"/>
              <w:right w:w="108" w:type="dxa"/>
            </w:tcMar>
            <w:vAlign w:val="center"/>
          </w:tcPr>
          <w:p w14:paraId="1CC20142" w14:textId="77777777" w:rsidR="00E42B18" w:rsidRDefault="009629C4">
            <w:pPr>
              <w:pStyle w:val="P68B1DB1-Normal121"/>
              <w:spacing w:after="0" w:line="240" w:lineRule="auto"/>
              <w:jc w:val="center"/>
              <w:rPr>
                <w:noProof/>
              </w:rPr>
            </w:pPr>
            <w:r>
              <w:rPr>
                <w:noProof/>
              </w:rPr>
              <w:t>M1C3–29</w:t>
            </w:r>
          </w:p>
        </w:tc>
        <w:tc>
          <w:tcPr>
            <w:tcW w:w="3449" w:type="dxa"/>
            <w:shd w:val="clear" w:color="auto" w:fill="C6EFCE"/>
            <w:tcMar>
              <w:left w:w="108" w:type="dxa"/>
              <w:right w:w="108" w:type="dxa"/>
            </w:tcMar>
            <w:vAlign w:val="center"/>
          </w:tcPr>
          <w:p w14:paraId="59B6FC3E" w14:textId="77777777" w:rsidR="00E42B18" w:rsidRDefault="009629C4">
            <w:pPr>
              <w:pStyle w:val="P68B1DB1-Normal121"/>
              <w:spacing w:after="0" w:line="240" w:lineRule="auto"/>
              <w:rPr>
                <w:noProof/>
              </w:rPr>
            </w:pPr>
            <w:r>
              <w:rPr>
                <w:noProof/>
              </w:rPr>
              <w:t>Investointi 4.2:  Matkailualan yritysten kilpailukykyyn tarkoitetut rahastot</w:t>
            </w:r>
          </w:p>
        </w:tc>
        <w:tc>
          <w:tcPr>
            <w:tcW w:w="1134" w:type="dxa"/>
            <w:shd w:val="clear" w:color="auto" w:fill="C6EFCE"/>
            <w:tcMar>
              <w:left w:w="108" w:type="dxa"/>
              <w:right w:w="108" w:type="dxa"/>
            </w:tcMar>
            <w:vAlign w:val="center"/>
          </w:tcPr>
          <w:p w14:paraId="5BF7CA5C"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4C1B2495" w14:textId="77777777" w:rsidR="00E42B18" w:rsidRDefault="009629C4">
            <w:pPr>
              <w:pStyle w:val="P68B1DB1-Normal121"/>
              <w:spacing w:after="0" w:line="240" w:lineRule="auto"/>
              <w:rPr>
                <w:noProof/>
              </w:rPr>
            </w:pPr>
            <w:r>
              <w:rPr>
                <w:noProof/>
              </w:rPr>
              <w:t xml:space="preserve">Euroopan investointipankin temaattisista rahastoista tuettavien matkailuhankkeiden lukumäärä </w:t>
            </w:r>
          </w:p>
        </w:tc>
      </w:tr>
      <w:tr w:rsidR="00E42B18" w14:paraId="266DBC5A" w14:textId="77777777">
        <w:trPr>
          <w:trHeight w:val="300"/>
        </w:trPr>
        <w:tc>
          <w:tcPr>
            <w:tcW w:w="1246" w:type="dxa"/>
            <w:shd w:val="clear" w:color="auto" w:fill="C6EFCE"/>
            <w:tcMar>
              <w:left w:w="108" w:type="dxa"/>
              <w:right w:w="108" w:type="dxa"/>
            </w:tcMar>
            <w:vAlign w:val="center"/>
          </w:tcPr>
          <w:p w14:paraId="54E40BC7" w14:textId="77777777" w:rsidR="00E42B18" w:rsidRDefault="009629C4">
            <w:pPr>
              <w:pStyle w:val="P68B1DB1-Normal121"/>
              <w:spacing w:after="0" w:line="240" w:lineRule="auto"/>
              <w:jc w:val="center"/>
              <w:rPr>
                <w:noProof/>
              </w:rPr>
            </w:pPr>
            <w:r>
              <w:rPr>
                <w:noProof/>
              </w:rPr>
              <w:t>M3C2–9</w:t>
            </w:r>
          </w:p>
        </w:tc>
        <w:tc>
          <w:tcPr>
            <w:tcW w:w="3449" w:type="dxa"/>
            <w:shd w:val="clear" w:color="auto" w:fill="C6EFCE"/>
            <w:tcMar>
              <w:left w:w="108" w:type="dxa"/>
              <w:right w:w="108" w:type="dxa"/>
            </w:tcMar>
            <w:vAlign w:val="center"/>
          </w:tcPr>
          <w:p w14:paraId="4BA4A2AA" w14:textId="77777777" w:rsidR="00E42B18" w:rsidRDefault="009629C4">
            <w:pPr>
              <w:pStyle w:val="P68B1DB1-Normal121"/>
              <w:spacing w:after="0" w:line="240" w:lineRule="auto"/>
              <w:rPr>
                <w:noProof/>
              </w:rPr>
            </w:pPr>
            <w:r>
              <w:rPr>
                <w:noProof/>
              </w:rPr>
              <w:t xml:space="preserve">Investointi 1.1: Vihreät satamat: uusiutuvaa energiaa ja energiatehokkuutta koskevat toimet satamissa </w:t>
            </w:r>
          </w:p>
        </w:tc>
        <w:tc>
          <w:tcPr>
            <w:tcW w:w="1134" w:type="dxa"/>
            <w:shd w:val="clear" w:color="auto" w:fill="C6EFCE"/>
            <w:tcMar>
              <w:left w:w="108" w:type="dxa"/>
              <w:right w:w="108" w:type="dxa"/>
            </w:tcMar>
            <w:vAlign w:val="center"/>
          </w:tcPr>
          <w:p w14:paraId="060137A4"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7C046EC" w14:textId="77777777" w:rsidR="00E42B18" w:rsidRDefault="009629C4">
            <w:pPr>
              <w:pStyle w:val="P68B1DB1-Normal121"/>
              <w:spacing w:after="0" w:line="240" w:lineRule="auto"/>
              <w:rPr>
                <w:noProof/>
              </w:rPr>
            </w:pPr>
            <w:r>
              <w:rPr>
                <w:noProof/>
              </w:rPr>
              <w:t>Vihreät satamat: töiden loppuun saattaminen</w:t>
            </w:r>
          </w:p>
        </w:tc>
      </w:tr>
      <w:tr w:rsidR="00E42B18" w14:paraId="53707D05" w14:textId="77777777">
        <w:trPr>
          <w:trHeight w:val="300"/>
        </w:trPr>
        <w:tc>
          <w:tcPr>
            <w:tcW w:w="1246" w:type="dxa"/>
            <w:shd w:val="clear" w:color="auto" w:fill="C6EFCE"/>
            <w:tcMar>
              <w:left w:w="108" w:type="dxa"/>
              <w:right w:w="108" w:type="dxa"/>
            </w:tcMar>
            <w:vAlign w:val="center"/>
          </w:tcPr>
          <w:p w14:paraId="5ADFA2D5" w14:textId="77777777" w:rsidR="00E42B18" w:rsidRDefault="009629C4">
            <w:pPr>
              <w:pStyle w:val="P68B1DB1-Normal121"/>
              <w:spacing w:after="0" w:line="240" w:lineRule="auto"/>
              <w:jc w:val="center"/>
              <w:rPr>
                <w:noProof/>
              </w:rPr>
            </w:pPr>
            <w:r>
              <w:rPr>
                <w:noProof/>
              </w:rPr>
              <w:t>M1C2–23bis</w:t>
            </w:r>
          </w:p>
        </w:tc>
        <w:tc>
          <w:tcPr>
            <w:tcW w:w="3449" w:type="dxa"/>
            <w:shd w:val="clear" w:color="auto" w:fill="C6EFCE"/>
            <w:tcMar>
              <w:left w:w="108" w:type="dxa"/>
              <w:right w:w="108" w:type="dxa"/>
            </w:tcMar>
            <w:vAlign w:val="center"/>
          </w:tcPr>
          <w:p w14:paraId="5076B2EC" w14:textId="77777777" w:rsidR="00E42B18" w:rsidRDefault="009629C4">
            <w:pPr>
              <w:pStyle w:val="P68B1DB1-Normal121"/>
              <w:spacing w:after="0" w:line="240" w:lineRule="auto"/>
              <w:rPr>
                <w:noProof/>
              </w:rPr>
            </w:pPr>
            <w:r>
              <w:rPr>
                <w:noProof/>
              </w:rPr>
              <w:t xml:space="preserve">Investointi 4: Satelliittiteknologia ja avaruustalous </w:t>
            </w:r>
          </w:p>
        </w:tc>
        <w:tc>
          <w:tcPr>
            <w:tcW w:w="1134" w:type="dxa"/>
            <w:shd w:val="clear" w:color="auto" w:fill="C6EFCE"/>
            <w:tcMar>
              <w:left w:w="108" w:type="dxa"/>
              <w:right w:w="108" w:type="dxa"/>
            </w:tcMar>
            <w:vAlign w:val="center"/>
          </w:tcPr>
          <w:p w14:paraId="74BAF700"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43A2B116" w14:textId="77777777" w:rsidR="00E42B18" w:rsidRDefault="009629C4">
            <w:pPr>
              <w:pStyle w:val="P68B1DB1-Normal121"/>
              <w:spacing w:after="0" w:line="240" w:lineRule="auto"/>
              <w:rPr>
                <w:noProof/>
              </w:rPr>
            </w:pPr>
            <w:r>
              <w:rPr>
                <w:noProof/>
              </w:rPr>
              <w:t>Satelliittiteknologia- ja avaruushankkeiden loppuun saattaminen</w:t>
            </w:r>
          </w:p>
        </w:tc>
      </w:tr>
      <w:tr w:rsidR="00E42B18" w14:paraId="48E43B79" w14:textId="77777777">
        <w:trPr>
          <w:trHeight w:val="300"/>
        </w:trPr>
        <w:tc>
          <w:tcPr>
            <w:tcW w:w="1246" w:type="dxa"/>
            <w:shd w:val="clear" w:color="auto" w:fill="C6EFCE"/>
            <w:tcMar>
              <w:left w:w="108" w:type="dxa"/>
              <w:right w:w="108" w:type="dxa"/>
            </w:tcMar>
            <w:vAlign w:val="center"/>
          </w:tcPr>
          <w:p w14:paraId="1D791577" w14:textId="77777777" w:rsidR="00E42B18" w:rsidRDefault="009629C4">
            <w:pPr>
              <w:pStyle w:val="P68B1DB1-Normal121"/>
              <w:spacing w:after="0" w:line="240" w:lineRule="auto"/>
              <w:jc w:val="center"/>
              <w:rPr>
                <w:noProof/>
              </w:rPr>
            </w:pPr>
            <w:r>
              <w:rPr>
                <w:noProof/>
              </w:rPr>
              <w:t>M1C3–16bis</w:t>
            </w:r>
          </w:p>
        </w:tc>
        <w:tc>
          <w:tcPr>
            <w:tcW w:w="3449" w:type="dxa"/>
            <w:shd w:val="clear" w:color="auto" w:fill="C6EFCE"/>
            <w:tcMar>
              <w:left w:w="108" w:type="dxa"/>
              <w:right w:w="108" w:type="dxa"/>
            </w:tcMar>
            <w:vAlign w:val="center"/>
          </w:tcPr>
          <w:p w14:paraId="4939383E" w14:textId="77777777" w:rsidR="00E42B18" w:rsidRDefault="009629C4">
            <w:pPr>
              <w:pStyle w:val="P68B1DB1-Normal121"/>
              <w:spacing w:after="0" w:line="240" w:lineRule="auto"/>
              <w:rPr>
                <w:noProof/>
              </w:rPr>
            </w:pPr>
            <w:r>
              <w:rPr>
                <w:noProof/>
              </w:rPr>
              <w:t xml:space="preserve">Investointi-2.1: Pienten historiallisten kaupunkien houkuttelevuus </w:t>
            </w:r>
          </w:p>
        </w:tc>
        <w:tc>
          <w:tcPr>
            <w:tcW w:w="1134" w:type="dxa"/>
            <w:shd w:val="clear" w:color="auto" w:fill="C6EFCE"/>
            <w:tcMar>
              <w:left w:w="108" w:type="dxa"/>
              <w:right w:w="108" w:type="dxa"/>
            </w:tcMar>
            <w:vAlign w:val="center"/>
          </w:tcPr>
          <w:p w14:paraId="332F7D56"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3FE82BC7" w14:textId="77777777" w:rsidR="00E42B18" w:rsidRDefault="009629C4">
            <w:pPr>
              <w:pStyle w:val="P68B1DB1-Normal121"/>
              <w:spacing w:after="0" w:line="240" w:lineRule="auto"/>
              <w:rPr>
                <w:noProof/>
              </w:rPr>
            </w:pPr>
            <w:r>
              <w:rPr>
                <w:noProof/>
              </w:rPr>
              <w:t>Pienten historiallisten kaupunkien kulttuurista elvyttämistä koskevat hankkeet</w:t>
            </w:r>
          </w:p>
        </w:tc>
      </w:tr>
      <w:tr w:rsidR="00E42B18" w14:paraId="1781DC30" w14:textId="77777777">
        <w:trPr>
          <w:trHeight w:val="1065"/>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6CA640D" w14:textId="77777777" w:rsidR="00E42B18" w:rsidRDefault="009629C4">
            <w:pPr>
              <w:pStyle w:val="P68B1DB1-Normal121"/>
              <w:spacing w:after="0" w:line="240" w:lineRule="auto"/>
              <w:jc w:val="center"/>
              <w:rPr>
                <w:noProof/>
              </w:rPr>
            </w:pPr>
            <w:r>
              <w:rPr>
                <w:noProof/>
              </w:rPr>
              <w:t>M1C3–17</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6D316C" w14:textId="77777777" w:rsidR="00E42B18" w:rsidRDefault="009629C4">
            <w:pPr>
              <w:pStyle w:val="P68B1DB1-Normal121"/>
              <w:spacing w:after="0" w:line="240" w:lineRule="auto"/>
              <w:rPr>
                <w:noProof/>
              </w:rPr>
            </w:pPr>
            <w:r>
              <w:rPr>
                <w:noProof/>
              </w:rPr>
              <w:t>Investoinnit – 2.2 Maaseudun arkkitehtuurin ja maiseman suojelu ja parantaminen</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0DC8E2" w14:textId="77777777" w:rsidR="00E42B18" w:rsidRDefault="009629C4">
            <w:pPr>
              <w:pStyle w:val="P68B1DB1-Normal121"/>
              <w:spacing w:after="0" w:line="240" w:lineRule="auto"/>
              <w:jc w:val="center"/>
              <w:rPr>
                <w:noProof/>
              </w:rPr>
            </w:pPr>
            <w:r>
              <w:rPr>
                <w:noProof/>
              </w:rPr>
              <w:t>Kohde</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E07F56" w14:textId="77777777" w:rsidR="00E42B18" w:rsidRDefault="009629C4">
            <w:pPr>
              <w:pStyle w:val="P68B1DB1-Normal121"/>
              <w:spacing w:after="0" w:line="240" w:lineRule="auto"/>
              <w:rPr>
                <w:noProof/>
              </w:rPr>
            </w:pPr>
            <w:r>
              <w:rPr>
                <w:noProof/>
              </w:rPr>
              <w:t>Maaseudun arkkitehtuurin ja maiseman suojelua ja parantamista koskevat toimet päätökseen</w:t>
            </w:r>
          </w:p>
        </w:tc>
      </w:tr>
      <w:tr w:rsidR="00E42B18" w14:paraId="5DEEA733" w14:textId="77777777">
        <w:trPr>
          <w:trHeight w:val="300"/>
        </w:trPr>
        <w:tc>
          <w:tcPr>
            <w:tcW w:w="1246" w:type="dxa"/>
            <w:shd w:val="clear" w:color="auto" w:fill="C6EFCE"/>
            <w:tcMar>
              <w:left w:w="108" w:type="dxa"/>
              <w:right w:w="108" w:type="dxa"/>
            </w:tcMar>
            <w:vAlign w:val="center"/>
          </w:tcPr>
          <w:p w14:paraId="6BE8DE06" w14:textId="77777777" w:rsidR="00E42B18" w:rsidRDefault="009629C4">
            <w:pPr>
              <w:pStyle w:val="P68B1DB1-Normal121"/>
              <w:spacing w:after="0" w:line="240" w:lineRule="auto"/>
              <w:jc w:val="center"/>
              <w:rPr>
                <w:noProof/>
              </w:rPr>
            </w:pPr>
            <w:r>
              <w:rPr>
                <w:noProof/>
              </w:rPr>
              <w:t>M1C3–19</w:t>
            </w:r>
          </w:p>
        </w:tc>
        <w:tc>
          <w:tcPr>
            <w:tcW w:w="3449" w:type="dxa"/>
            <w:shd w:val="clear" w:color="auto" w:fill="C6EFCE"/>
            <w:tcMar>
              <w:left w:w="108" w:type="dxa"/>
              <w:right w:w="108" w:type="dxa"/>
            </w:tcMar>
            <w:vAlign w:val="center"/>
          </w:tcPr>
          <w:p w14:paraId="5F9A7C0C" w14:textId="77777777" w:rsidR="00E42B18" w:rsidRDefault="009629C4">
            <w:pPr>
              <w:pStyle w:val="P68B1DB1-Normal121"/>
              <w:spacing w:after="0" w:line="240" w:lineRule="auto"/>
              <w:rPr>
                <w:noProof/>
              </w:rPr>
            </w:pPr>
            <w:r>
              <w:rPr>
                <w:noProof/>
              </w:rPr>
              <w:t>Investointi – 2.4 Uskontopaikkojen seisminen turvallisuus, FEC-perinnön (Fondo Edifici di Culto) ennallistaminen ja taideteosten suojat (elvytystaide)</w:t>
            </w:r>
          </w:p>
        </w:tc>
        <w:tc>
          <w:tcPr>
            <w:tcW w:w="1134" w:type="dxa"/>
            <w:shd w:val="clear" w:color="auto" w:fill="C6EFCE"/>
            <w:tcMar>
              <w:left w:w="108" w:type="dxa"/>
              <w:right w:w="108" w:type="dxa"/>
            </w:tcMar>
            <w:vAlign w:val="center"/>
          </w:tcPr>
          <w:p w14:paraId="4495B98B"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3EFBD387" w14:textId="6582935E" w:rsidR="00E42B18" w:rsidRDefault="009629C4">
            <w:pPr>
              <w:pStyle w:val="P68B1DB1-Normal121"/>
              <w:spacing w:after="0" w:line="240" w:lineRule="auto"/>
              <w:rPr>
                <w:noProof/>
              </w:rPr>
            </w:pPr>
            <w:r>
              <w:rPr>
                <w:noProof/>
              </w:rPr>
              <w:t>Toimet uskonnonharjoituspaikkojen seismisen turvallisuuden varmistamiseksi, FEC:n (Fondo Edifici di Culto) perinnön restaurointi ja taideteosten suojat valmistuneet</w:t>
            </w:r>
          </w:p>
        </w:tc>
      </w:tr>
      <w:tr w:rsidR="00E42B18" w14:paraId="2CB5BB0E" w14:textId="77777777">
        <w:trPr>
          <w:trHeight w:val="300"/>
        </w:trPr>
        <w:tc>
          <w:tcPr>
            <w:tcW w:w="1246" w:type="dxa"/>
            <w:shd w:val="clear" w:color="auto" w:fill="C6EFCE"/>
            <w:tcMar>
              <w:left w:w="108" w:type="dxa"/>
              <w:right w:w="108" w:type="dxa"/>
            </w:tcMar>
            <w:vAlign w:val="center"/>
          </w:tcPr>
          <w:p w14:paraId="27914278" w14:textId="77777777" w:rsidR="00E42B18" w:rsidRDefault="009629C4">
            <w:pPr>
              <w:pStyle w:val="P68B1DB1-Normal121"/>
              <w:spacing w:after="0" w:line="240" w:lineRule="auto"/>
              <w:jc w:val="center"/>
              <w:rPr>
                <w:noProof/>
              </w:rPr>
            </w:pPr>
            <w:r>
              <w:rPr>
                <w:noProof/>
              </w:rPr>
              <w:t>M2C1–10</w:t>
            </w:r>
          </w:p>
        </w:tc>
        <w:tc>
          <w:tcPr>
            <w:tcW w:w="3449" w:type="dxa"/>
            <w:shd w:val="clear" w:color="auto" w:fill="C6EFCE"/>
            <w:tcMar>
              <w:left w:w="108" w:type="dxa"/>
              <w:right w:w="108" w:type="dxa"/>
            </w:tcMar>
            <w:vAlign w:val="center"/>
          </w:tcPr>
          <w:p w14:paraId="0AAFC180" w14:textId="77777777" w:rsidR="00E42B18" w:rsidRDefault="009629C4">
            <w:pPr>
              <w:pStyle w:val="P68B1DB1-Normal121"/>
              <w:spacing w:after="0" w:line="240" w:lineRule="auto"/>
              <w:rPr>
                <w:noProof/>
              </w:rPr>
            </w:pPr>
            <w:r>
              <w:rPr>
                <w:noProof/>
              </w:rPr>
              <w:t>Investointi 2.1: Maatalous-, kalastus- ja vesiviljelyalan, metsätalouden, kukkaviljelyn ja taimitarhan logistiikkasuunnitelma</w:t>
            </w:r>
          </w:p>
        </w:tc>
        <w:tc>
          <w:tcPr>
            <w:tcW w:w="1134" w:type="dxa"/>
            <w:shd w:val="clear" w:color="auto" w:fill="C6EFCE"/>
            <w:tcMar>
              <w:left w:w="108" w:type="dxa"/>
              <w:right w:w="108" w:type="dxa"/>
            </w:tcMar>
            <w:vAlign w:val="center"/>
          </w:tcPr>
          <w:p w14:paraId="139EFF0E"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55AB6E5D" w14:textId="77777777" w:rsidR="00E42B18" w:rsidRDefault="009629C4">
            <w:pPr>
              <w:pStyle w:val="P68B1DB1-Normal121"/>
              <w:spacing w:after="0" w:line="240" w:lineRule="auto"/>
              <w:rPr>
                <w:noProof/>
              </w:rPr>
            </w:pPr>
            <w:r>
              <w:rPr>
                <w:noProof/>
              </w:rPr>
              <w:t>Interventiot logistiikan parantamiseksi maatalouselintarvike-, kalastus- ja vesiviljelyalalla, metsätaloudessa, kukkaviljelyssä ja taimitarha-alalla</w:t>
            </w:r>
          </w:p>
        </w:tc>
      </w:tr>
      <w:tr w:rsidR="00E42B18" w14:paraId="58BCCAB5" w14:textId="77777777">
        <w:trPr>
          <w:trHeight w:val="300"/>
        </w:trPr>
        <w:tc>
          <w:tcPr>
            <w:tcW w:w="1246" w:type="dxa"/>
            <w:shd w:val="clear" w:color="auto" w:fill="C6EFCE"/>
            <w:tcMar>
              <w:left w:w="108" w:type="dxa"/>
              <w:right w:w="108" w:type="dxa"/>
            </w:tcMar>
            <w:vAlign w:val="center"/>
          </w:tcPr>
          <w:p w14:paraId="52D5D6AF" w14:textId="179BB4C2" w:rsidR="00E42B18" w:rsidRDefault="009629C4">
            <w:pPr>
              <w:pStyle w:val="P68B1DB1-Normal121"/>
              <w:spacing w:after="0" w:line="240" w:lineRule="auto"/>
              <w:jc w:val="center"/>
              <w:rPr>
                <w:noProof/>
              </w:rPr>
            </w:pPr>
            <w:r>
              <w:rPr>
                <w:noProof/>
              </w:rPr>
              <w:t>M2C1–16quater</w:t>
            </w:r>
          </w:p>
        </w:tc>
        <w:tc>
          <w:tcPr>
            <w:tcW w:w="3449" w:type="dxa"/>
            <w:shd w:val="clear" w:color="auto" w:fill="C6EFCE"/>
            <w:tcMar>
              <w:left w:w="108" w:type="dxa"/>
              <w:right w:w="108" w:type="dxa"/>
            </w:tcMar>
            <w:vAlign w:val="center"/>
          </w:tcPr>
          <w:p w14:paraId="7099E62A" w14:textId="77777777" w:rsidR="00E42B18" w:rsidRDefault="009629C4">
            <w:pPr>
              <w:pStyle w:val="P68B1DB1-Normal121"/>
              <w:spacing w:after="0" w:line="240" w:lineRule="auto"/>
              <w:rPr>
                <w:noProof/>
              </w:rPr>
            </w:pPr>
            <w:r>
              <w:rPr>
                <w:noProof/>
              </w:rPr>
              <w:t>Investointi 1.1 – Uusien jätehuoltolaitosten käyttöönotto ja olemassa olevien laitosten ja kiertotalouden lippulaivahankkeiden nykyaikaistaminen</w:t>
            </w:r>
          </w:p>
        </w:tc>
        <w:tc>
          <w:tcPr>
            <w:tcW w:w="1134" w:type="dxa"/>
            <w:shd w:val="clear" w:color="auto" w:fill="C6EFCE"/>
            <w:tcMar>
              <w:left w:w="108" w:type="dxa"/>
              <w:right w:w="108" w:type="dxa"/>
            </w:tcMar>
            <w:vAlign w:val="center"/>
          </w:tcPr>
          <w:p w14:paraId="5B1FDD5B"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07BCEE3" w14:textId="44208526" w:rsidR="00E42B18" w:rsidRDefault="009629C4">
            <w:pPr>
              <w:pStyle w:val="P68B1DB1-Normal121"/>
              <w:spacing w:after="0" w:line="240" w:lineRule="auto"/>
              <w:rPr>
                <w:noProof/>
              </w:rPr>
            </w:pPr>
            <w:r>
              <w:rPr>
                <w:noProof/>
              </w:rPr>
              <w:t xml:space="preserve">Projec valmis  </w:t>
            </w:r>
          </w:p>
        </w:tc>
      </w:tr>
      <w:tr w:rsidR="00E42B18" w14:paraId="422FD69E"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4EF7DC" w14:textId="77777777" w:rsidR="00E42B18" w:rsidRDefault="009629C4">
            <w:pPr>
              <w:pStyle w:val="P68B1DB1-Normal121"/>
              <w:spacing w:after="0" w:line="240" w:lineRule="auto"/>
              <w:jc w:val="center"/>
              <w:rPr>
                <w:noProof/>
              </w:rPr>
            </w:pPr>
            <w:r>
              <w:rPr>
                <w:noProof/>
              </w:rPr>
              <w:t>M2C2–45</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878220" w14:textId="77777777" w:rsidR="00E42B18" w:rsidRDefault="009629C4">
            <w:pPr>
              <w:pStyle w:val="P68B1DB1-Normal121"/>
              <w:spacing w:after="0" w:line="240" w:lineRule="auto"/>
              <w:rPr>
                <w:noProof/>
              </w:rPr>
            </w:pPr>
            <w:r>
              <w:rPr>
                <w:noProof/>
              </w:rPr>
              <w:t>Investointi 1.1: Maatalousjännitejärjestelmien kehittäminen</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7B8E1" w14:textId="77777777" w:rsidR="00E42B18" w:rsidRDefault="009629C4">
            <w:pPr>
              <w:pStyle w:val="P68B1DB1-Normal121"/>
              <w:spacing w:after="0" w:line="240" w:lineRule="auto"/>
              <w:jc w:val="center"/>
              <w:rPr>
                <w:noProof/>
              </w:rPr>
            </w:pPr>
            <w:r>
              <w:rPr>
                <w:noProof/>
              </w:rPr>
              <w:t>Virstanpylväs</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9C4C81" w14:textId="77777777" w:rsidR="00E42B18" w:rsidRDefault="009629C4">
            <w:pPr>
              <w:pStyle w:val="P68B1DB1-Normal121"/>
              <w:spacing w:after="0" w:line="240" w:lineRule="auto"/>
              <w:rPr>
                <w:noProof/>
              </w:rPr>
            </w:pPr>
            <w:r>
              <w:rPr>
                <w:noProof/>
              </w:rPr>
              <w:t>Täytäntöönpanosopimus, lopullisten edunsaajien kanssa allekirjoitetut oikeudelliset sopimukset ja investointien loppuun saattaminen</w:t>
            </w:r>
          </w:p>
        </w:tc>
      </w:tr>
      <w:tr w:rsidR="00E42B18" w14:paraId="274C2514"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EF2ED3" w14:textId="77777777" w:rsidR="00E42B18" w:rsidRDefault="009629C4">
            <w:pPr>
              <w:pStyle w:val="P68B1DB1-Normal121"/>
              <w:spacing w:after="0" w:line="240" w:lineRule="auto"/>
              <w:jc w:val="center"/>
              <w:rPr>
                <w:noProof/>
              </w:rPr>
            </w:pPr>
            <w:r>
              <w:rPr>
                <w:noProof/>
              </w:rPr>
              <w:t>M4C1–18</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E42EDE" w14:textId="77777777" w:rsidR="00E42B18" w:rsidRDefault="009629C4">
            <w:pPr>
              <w:pStyle w:val="P68B1DB1-Normal121"/>
              <w:spacing w:after="0" w:line="240" w:lineRule="auto"/>
              <w:rPr>
                <w:noProof/>
              </w:rPr>
            </w:pPr>
            <w:r>
              <w:rPr>
                <w:noProof/>
              </w:rPr>
              <w:t>Investointi 1.1: Päiväkoteja ja esikouluja sekä varhaiskasvatuspalveluja koskeva suunnitelma</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E6C8CD" w14:textId="77777777" w:rsidR="00E42B18" w:rsidRDefault="009629C4">
            <w:pPr>
              <w:pStyle w:val="P68B1DB1-Normal121"/>
              <w:spacing w:after="0" w:line="240" w:lineRule="auto"/>
              <w:jc w:val="center"/>
              <w:rPr>
                <w:noProof/>
              </w:rPr>
            </w:pPr>
            <w:r>
              <w:rPr>
                <w:noProof/>
              </w:rPr>
              <w:t>Kohde</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B22542" w14:textId="77777777" w:rsidR="00E42B18" w:rsidRDefault="009629C4">
            <w:pPr>
              <w:pStyle w:val="P68B1DB1-Normal121"/>
              <w:spacing w:after="0" w:line="240" w:lineRule="auto"/>
              <w:rPr>
                <w:noProof/>
              </w:rPr>
            </w:pPr>
            <w:r>
              <w:rPr>
                <w:noProof/>
              </w:rPr>
              <w:t>Koulutus- ja varhaiskasvatuspalveluihin aktivoidut uudet paikat (nollasta kuuteen vuoteen)</w:t>
            </w:r>
          </w:p>
        </w:tc>
      </w:tr>
      <w:tr w:rsidR="00E42B18" w14:paraId="506A8E65"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372A69" w14:textId="77777777" w:rsidR="00E42B18" w:rsidRDefault="009629C4">
            <w:pPr>
              <w:pStyle w:val="P68B1DB1-Normal121"/>
              <w:spacing w:after="0" w:line="240" w:lineRule="auto"/>
              <w:jc w:val="center"/>
              <w:rPr>
                <w:noProof/>
              </w:rPr>
            </w:pPr>
            <w:r>
              <w:rPr>
                <w:noProof/>
              </w:rPr>
              <w:t>M4C1–21</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62D62F" w14:textId="77777777" w:rsidR="00E42B18" w:rsidRDefault="009629C4">
            <w:pPr>
              <w:pStyle w:val="P68B1DB1-Normal121"/>
              <w:spacing w:after="0" w:line="240" w:lineRule="auto"/>
              <w:rPr>
                <w:noProof/>
              </w:rPr>
            </w:pPr>
            <w:r>
              <w:rPr>
                <w:noProof/>
              </w:rPr>
              <w:t>Investointi 1.2: Kokopäivätyön jatkamista koskeva suunnitelma</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BFB352" w14:textId="77777777" w:rsidR="00E42B18" w:rsidRDefault="009629C4">
            <w:pPr>
              <w:pStyle w:val="P68B1DB1-Normal121"/>
              <w:spacing w:after="0" w:line="240" w:lineRule="auto"/>
              <w:jc w:val="center"/>
              <w:rPr>
                <w:noProof/>
              </w:rPr>
            </w:pPr>
            <w:r>
              <w:rPr>
                <w:noProof/>
              </w:rPr>
              <w:t>Kohde</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4F4082" w14:textId="77777777" w:rsidR="00E42B18" w:rsidRDefault="009629C4">
            <w:pPr>
              <w:pStyle w:val="P68B1DB1-Normal121"/>
              <w:spacing w:after="0" w:line="240" w:lineRule="auto"/>
              <w:rPr>
                <w:noProof/>
              </w:rPr>
            </w:pPr>
            <w:r>
              <w:rPr>
                <w:noProof/>
              </w:rPr>
              <w:t>Oppilaita koulun ulkopuolella isännöivät rakenteet</w:t>
            </w:r>
          </w:p>
        </w:tc>
      </w:tr>
      <w:tr w:rsidR="00E42B18" w14:paraId="0C812F13"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E5AA5C" w14:textId="77777777" w:rsidR="00E42B18" w:rsidRDefault="009629C4">
            <w:pPr>
              <w:pStyle w:val="P68B1DB1-Normal121"/>
              <w:spacing w:after="0" w:line="240" w:lineRule="auto"/>
              <w:jc w:val="center"/>
              <w:rPr>
                <w:noProof/>
              </w:rPr>
            </w:pPr>
            <w:r>
              <w:rPr>
                <w:noProof/>
              </w:rPr>
              <w:t>M4C1–26</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C553F3" w14:textId="77777777" w:rsidR="00E42B18" w:rsidRDefault="009629C4">
            <w:pPr>
              <w:pStyle w:val="P68B1DB1-Normal121"/>
              <w:spacing w:after="0" w:line="240" w:lineRule="auto"/>
              <w:rPr>
                <w:noProof/>
              </w:rPr>
            </w:pPr>
            <w:r>
              <w:rPr>
                <w:noProof/>
              </w:rPr>
              <w:t>Investointi 3.3: Koulurakennusten turvallisuutta ja rakenteellista kuntoutusta koskeva suunnitelma</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328AE3" w14:textId="77777777" w:rsidR="00E42B18" w:rsidRDefault="009629C4">
            <w:pPr>
              <w:pStyle w:val="P68B1DB1-Normal121"/>
              <w:spacing w:after="0" w:line="240" w:lineRule="auto"/>
              <w:jc w:val="center"/>
              <w:rPr>
                <w:noProof/>
              </w:rPr>
            </w:pPr>
            <w:r>
              <w:rPr>
                <w:noProof/>
              </w:rPr>
              <w:t>Kohde</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06F8BD" w14:textId="77777777" w:rsidR="00E42B18" w:rsidRDefault="009629C4">
            <w:pPr>
              <w:pStyle w:val="P68B1DB1-Normal121"/>
              <w:spacing w:after="0" w:line="240" w:lineRule="auto"/>
              <w:rPr>
                <w:noProof/>
              </w:rPr>
            </w:pPr>
            <w:r>
              <w:rPr>
                <w:noProof/>
              </w:rPr>
              <w:t>Korjattujen koulurakennusten neliömetri</w:t>
            </w:r>
          </w:p>
        </w:tc>
      </w:tr>
      <w:tr w:rsidR="00E42B18" w14:paraId="0C1D6002"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F79929" w14:textId="77777777" w:rsidR="00E42B18" w:rsidRDefault="009629C4">
            <w:pPr>
              <w:pStyle w:val="P68B1DB1-Normal121"/>
              <w:spacing w:after="0" w:line="240" w:lineRule="auto"/>
              <w:jc w:val="center"/>
              <w:rPr>
                <w:noProof/>
              </w:rPr>
            </w:pPr>
            <w:r>
              <w:rPr>
                <w:noProof/>
              </w:rPr>
              <w:t>M4C1–32</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BB88A4" w14:textId="77777777" w:rsidR="00E42B18" w:rsidRDefault="009629C4">
            <w:pPr>
              <w:pStyle w:val="P68B1DB1-Normal121"/>
              <w:spacing w:after="0" w:line="240" w:lineRule="auto"/>
              <w:rPr>
                <w:noProof/>
              </w:rPr>
            </w:pPr>
            <w:r>
              <w:rPr>
                <w:noProof/>
              </w:rPr>
              <w:t>Investointi 5: Opiskelijoiden asuntorahasto</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75F81C" w14:textId="77777777" w:rsidR="00E42B18" w:rsidRDefault="009629C4">
            <w:pPr>
              <w:pStyle w:val="P68B1DB1-Normal121"/>
              <w:spacing w:after="0" w:line="240" w:lineRule="auto"/>
              <w:jc w:val="center"/>
              <w:rPr>
                <w:noProof/>
              </w:rPr>
            </w:pPr>
            <w:r>
              <w:rPr>
                <w:noProof/>
              </w:rPr>
              <w:t>Kohde</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BC1FD1" w14:textId="77777777" w:rsidR="00E42B18" w:rsidRDefault="009629C4">
            <w:pPr>
              <w:pStyle w:val="P68B1DB1-Normal121"/>
              <w:spacing w:after="0" w:line="240" w:lineRule="auto"/>
              <w:rPr>
                <w:noProof/>
              </w:rPr>
            </w:pPr>
            <w:r>
              <w:rPr>
                <w:noProof/>
              </w:rPr>
              <w:t>Lopullisten edunsaajien kanssa allekirjoitetut oikeudelliset sopimukset ja investointien loppuun saattaminen</w:t>
            </w:r>
          </w:p>
        </w:tc>
      </w:tr>
      <w:tr w:rsidR="00E42B18" w14:paraId="0879F3E5"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F8E05A" w14:textId="77777777" w:rsidR="00E42B18" w:rsidRDefault="009629C4">
            <w:pPr>
              <w:pStyle w:val="P68B1DB1-Normal121"/>
              <w:spacing w:after="0" w:line="240" w:lineRule="auto"/>
              <w:jc w:val="center"/>
              <w:rPr>
                <w:noProof/>
              </w:rPr>
            </w:pPr>
            <w:r>
              <w:rPr>
                <w:noProof/>
              </w:rPr>
              <w:t>M5C1–20</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C3BC4E" w14:textId="77777777" w:rsidR="00E42B18" w:rsidRDefault="009629C4">
            <w:pPr>
              <w:pStyle w:val="P68B1DB1-Normal121"/>
              <w:spacing w:after="0" w:line="240" w:lineRule="auto"/>
              <w:rPr>
                <w:noProof/>
              </w:rPr>
            </w:pPr>
            <w:r>
              <w:rPr>
                <w:noProof/>
              </w:rPr>
              <w:t>Investointi 5: Naisyritysten perustaminen</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1BCD7D" w14:textId="77777777" w:rsidR="00E42B18" w:rsidRDefault="009629C4">
            <w:pPr>
              <w:pStyle w:val="P68B1DB1-Normal121"/>
              <w:spacing w:after="0" w:line="240" w:lineRule="auto"/>
              <w:jc w:val="center"/>
              <w:rPr>
                <w:noProof/>
              </w:rPr>
            </w:pPr>
            <w:r>
              <w:rPr>
                <w:noProof/>
              </w:rPr>
              <w:t>Kohde</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A6DD05" w14:textId="77777777" w:rsidR="00E42B18" w:rsidRDefault="009629C4">
            <w:pPr>
              <w:pStyle w:val="P68B1DB1-Normal121"/>
              <w:spacing w:after="0" w:line="240" w:lineRule="auto"/>
              <w:rPr>
                <w:noProof/>
              </w:rPr>
            </w:pPr>
            <w:r>
              <w:rPr>
                <w:noProof/>
              </w:rPr>
              <w:t xml:space="preserve">Lopullisten tuensaajien kanssa allekirjoitetut oikeudelliset sopimukset </w:t>
            </w:r>
          </w:p>
        </w:tc>
      </w:tr>
      <w:tr w:rsidR="00E42B18" w14:paraId="6D9B6D2B"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8E51F6" w14:textId="77777777" w:rsidR="00E42B18" w:rsidRDefault="009629C4">
            <w:pPr>
              <w:pStyle w:val="P68B1DB1-Normal121"/>
              <w:spacing w:after="0" w:line="240" w:lineRule="auto"/>
              <w:jc w:val="center"/>
              <w:rPr>
                <w:noProof/>
              </w:rPr>
            </w:pPr>
            <w:r>
              <w:rPr>
                <w:noProof/>
              </w:rPr>
              <w:t>M5C2–6</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3EB25ED" w14:textId="77777777" w:rsidR="00E42B18" w:rsidRDefault="009629C4">
            <w:pPr>
              <w:pStyle w:val="P68B1DB1-Normal121"/>
              <w:spacing w:after="0" w:line="240" w:lineRule="auto"/>
              <w:rPr>
                <w:noProof/>
              </w:rPr>
            </w:pPr>
            <w:r>
              <w:rPr>
                <w:noProof/>
              </w:rPr>
              <w:t>Investointi 1 – Tuetaan haavoittuvassa asemassa olevia ihmisiä ja ehkäistään laitoshoitoa</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1AF3F4" w14:textId="77777777" w:rsidR="00E42B18" w:rsidRDefault="009629C4">
            <w:pPr>
              <w:pStyle w:val="P68B1DB1-Normal121"/>
              <w:spacing w:after="0" w:line="240" w:lineRule="auto"/>
              <w:jc w:val="center"/>
              <w:rPr>
                <w:noProof/>
              </w:rPr>
            </w:pPr>
            <w:r>
              <w:rPr>
                <w:noProof/>
              </w:rPr>
              <w:t>Kohde</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0D9F0C" w14:textId="77777777" w:rsidR="00E42B18" w:rsidRDefault="009629C4">
            <w:pPr>
              <w:pStyle w:val="P68B1DB1-Normal121"/>
              <w:spacing w:after="0" w:line="240" w:lineRule="auto"/>
              <w:rPr>
                <w:noProof/>
              </w:rPr>
            </w:pPr>
            <w:r>
              <w:rPr>
                <w:noProof/>
              </w:rPr>
              <w:t>Sosiaalialueilla loppuun saatetut haavoittuvassa asemassa olevien ihmisten tukemiseen tähtäävät toimet</w:t>
            </w:r>
          </w:p>
        </w:tc>
      </w:tr>
      <w:tr w:rsidR="00E42B18" w14:paraId="59E94139"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B7F457" w14:textId="77777777" w:rsidR="00E42B18" w:rsidRDefault="009629C4">
            <w:pPr>
              <w:pStyle w:val="P68B1DB1-Normal121"/>
              <w:spacing w:after="0" w:line="240" w:lineRule="auto"/>
              <w:jc w:val="center"/>
              <w:rPr>
                <w:noProof/>
              </w:rPr>
            </w:pPr>
            <w:r>
              <w:rPr>
                <w:noProof/>
              </w:rPr>
              <w:t>M5C2–8</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25B932" w14:textId="77777777" w:rsidR="00E42B18" w:rsidRDefault="009629C4">
            <w:pPr>
              <w:pStyle w:val="P68B1DB1-Normal121"/>
              <w:spacing w:after="0" w:line="240" w:lineRule="auto"/>
              <w:rPr>
                <w:noProof/>
              </w:rPr>
            </w:pPr>
            <w:r>
              <w:rPr>
                <w:noProof/>
              </w:rPr>
              <w:t>Investointi 2 – Vammaisten itsehallintomallit</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3E9C4A" w14:textId="77777777" w:rsidR="00E42B18" w:rsidRDefault="009629C4">
            <w:pPr>
              <w:pStyle w:val="P68B1DB1-Normal121"/>
              <w:spacing w:after="0" w:line="240" w:lineRule="auto"/>
              <w:jc w:val="center"/>
              <w:rPr>
                <w:noProof/>
              </w:rPr>
            </w:pPr>
            <w:r>
              <w:rPr>
                <w:noProof/>
              </w:rPr>
              <w:t>Kohde</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8FE96B9" w14:textId="77777777" w:rsidR="00E42B18" w:rsidRDefault="009629C4">
            <w:pPr>
              <w:pStyle w:val="P68B1DB1-Normal121"/>
              <w:spacing w:after="0" w:line="240" w:lineRule="auto"/>
              <w:rPr>
                <w:noProof/>
              </w:rPr>
            </w:pPr>
            <w:r>
              <w:rPr>
                <w:noProof/>
              </w:rPr>
              <w:t>Tuensaajat ovat saaneet kotitilan ja/tai tieto- ja viestintäteknisten laitteiden kunnostuksen ja siihen liittyvän digitaalisia taitoja koskevan koulutuksen</w:t>
            </w:r>
          </w:p>
        </w:tc>
      </w:tr>
      <w:tr w:rsidR="00E42B18" w14:paraId="4AEC28A3" w14:textId="77777777">
        <w:trPr>
          <w:trHeight w:val="300"/>
        </w:trPr>
        <w:tc>
          <w:tcPr>
            <w:tcW w:w="1246" w:type="dxa"/>
            <w:shd w:val="clear" w:color="auto" w:fill="C6EFCE"/>
            <w:tcMar>
              <w:left w:w="108" w:type="dxa"/>
              <w:right w:w="108" w:type="dxa"/>
            </w:tcMar>
            <w:vAlign w:val="center"/>
          </w:tcPr>
          <w:p w14:paraId="64781806" w14:textId="77777777" w:rsidR="00E42B18" w:rsidRDefault="009629C4">
            <w:pPr>
              <w:pStyle w:val="P68B1DB1-Normal121"/>
              <w:spacing w:after="0" w:line="240" w:lineRule="auto"/>
              <w:jc w:val="center"/>
              <w:rPr>
                <w:noProof/>
              </w:rPr>
            </w:pPr>
            <w:r>
              <w:rPr>
                <w:noProof/>
              </w:rPr>
              <w:t>M5C2–10</w:t>
            </w:r>
          </w:p>
        </w:tc>
        <w:tc>
          <w:tcPr>
            <w:tcW w:w="3449" w:type="dxa"/>
            <w:shd w:val="clear" w:color="auto" w:fill="C6EFCE"/>
            <w:tcMar>
              <w:left w:w="108" w:type="dxa"/>
              <w:right w:w="108" w:type="dxa"/>
            </w:tcMar>
            <w:vAlign w:val="center"/>
          </w:tcPr>
          <w:p w14:paraId="6E3E82BB" w14:textId="77777777" w:rsidR="00E42B18" w:rsidRDefault="009629C4">
            <w:pPr>
              <w:pStyle w:val="P68B1DB1-Normal121"/>
              <w:spacing w:after="0" w:line="240" w:lineRule="auto"/>
              <w:rPr>
                <w:noProof/>
              </w:rPr>
            </w:pPr>
            <w:r>
              <w:rPr>
                <w:noProof/>
              </w:rPr>
              <w:t>Investointi 3 – Asuminen ensimmäisessä asunnossa ja sen jälkeen</w:t>
            </w:r>
          </w:p>
        </w:tc>
        <w:tc>
          <w:tcPr>
            <w:tcW w:w="1134" w:type="dxa"/>
            <w:shd w:val="clear" w:color="auto" w:fill="C6EFCE"/>
            <w:tcMar>
              <w:left w:w="108" w:type="dxa"/>
              <w:right w:w="108" w:type="dxa"/>
            </w:tcMar>
            <w:vAlign w:val="center"/>
          </w:tcPr>
          <w:p w14:paraId="6F2A36FE"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418CA03D" w14:textId="77777777" w:rsidR="00E42B18" w:rsidRDefault="009629C4">
            <w:pPr>
              <w:pStyle w:val="P68B1DB1-Normal121"/>
              <w:spacing w:after="0" w:line="240" w:lineRule="auto"/>
              <w:rPr>
                <w:noProof/>
              </w:rPr>
            </w:pPr>
            <w:r>
              <w:rPr>
                <w:noProof/>
              </w:rPr>
              <w:t>Henkilöt, jotka elävät vakavassa aineellisessa puutteessa ja jotka ovat olleet vastuussa asunto ensin -hankkeista vähintään kuuden kuukauden ajan ja postiasemista</w:t>
            </w:r>
          </w:p>
        </w:tc>
      </w:tr>
      <w:tr w:rsidR="00E42B18" w14:paraId="2CB4D7B9" w14:textId="77777777">
        <w:trPr>
          <w:trHeight w:val="300"/>
        </w:trPr>
        <w:tc>
          <w:tcPr>
            <w:tcW w:w="1246" w:type="dxa"/>
            <w:shd w:val="clear" w:color="auto" w:fill="C6EFCE"/>
            <w:tcMar>
              <w:left w:w="108" w:type="dxa"/>
              <w:right w:w="108" w:type="dxa"/>
            </w:tcMar>
            <w:vAlign w:val="center"/>
          </w:tcPr>
          <w:p w14:paraId="60DFE54E" w14:textId="77777777" w:rsidR="00E42B18" w:rsidRDefault="009629C4">
            <w:pPr>
              <w:pStyle w:val="P68B1DB1-Normal121"/>
              <w:spacing w:after="0" w:line="240" w:lineRule="auto"/>
              <w:jc w:val="center"/>
              <w:rPr>
                <w:noProof/>
              </w:rPr>
            </w:pPr>
            <w:r>
              <w:rPr>
                <w:noProof/>
              </w:rPr>
              <w:t>M1C2–31</w:t>
            </w:r>
          </w:p>
        </w:tc>
        <w:tc>
          <w:tcPr>
            <w:tcW w:w="3449" w:type="dxa"/>
            <w:shd w:val="clear" w:color="auto" w:fill="C6EFCE"/>
            <w:tcMar>
              <w:left w:w="108" w:type="dxa"/>
              <w:right w:w="108" w:type="dxa"/>
            </w:tcMar>
            <w:vAlign w:val="center"/>
          </w:tcPr>
          <w:p w14:paraId="086CD75A" w14:textId="77777777" w:rsidR="00E42B18" w:rsidRDefault="009629C4">
            <w:pPr>
              <w:pStyle w:val="P68B1DB1-Normal121"/>
              <w:spacing w:after="0" w:line="240" w:lineRule="auto"/>
              <w:rPr>
                <w:noProof/>
              </w:rPr>
            </w:pPr>
            <w:r>
              <w:rPr>
                <w:noProof/>
              </w:rPr>
              <w:t>Investointi 7 – Kansallinen yhteenliitettävyysrahasto</w:t>
            </w:r>
          </w:p>
        </w:tc>
        <w:tc>
          <w:tcPr>
            <w:tcW w:w="1134" w:type="dxa"/>
            <w:shd w:val="clear" w:color="auto" w:fill="C6EFCE"/>
            <w:tcMar>
              <w:left w:w="108" w:type="dxa"/>
              <w:right w:w="108" w:type="dxa"/>
            </w:tcMar>
            <w:vAlign w:val="center"/>
          </w:tcPr>
          <w:p w14:paraId="528E4E64"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38624319" w14:textId="77777777" w:rsidR="00E42B18" w:rsidRDefault="009629C4">
            <w:pPr>
              <w:pStyle w:val="P68B1DB1-Normal121"/>
              <w:spacing w:after="0" w:line="240" w:lineRule="auto"/>
              <w:rPr>
                <w:noProof/>
              </w:rPr>
            </w:pPr>
            <w:r>
              <w:rPr>
                <w:noProof/>
              </w:rPr>
              <w:t>Lopullisten edunsaajien kanssa allekirjoitetut oikeudelliset sopimukset ja investointien loppuun saattaminen</w:t>
            </w:r>
          </w:p>
        </w:tc>
      </w:tr>
      <w:tr w:rsidR="00E42B18" w14:paraId="4673D794" w14:textId="77777777">
        <w:trPr>
          <w:trHeight w:val="300"/>
        </w:trPr>
        <w:tc>
          <w:tcPr>
            <w:tcW w:w="1246" w:type="dxa"/>
            <w:shd w:val="clear" w:color="auto" w:fill="C6EFCE"/>
            <w:tcMar>
              <w:left w:w="108" w:type="dxa"/>
              <w:right w:w="108" w:type="dxa"/>
            </w:tcMar>
            <w:vAlign w:val="center"/>
          </w:tcPr>
          <w:p w14:paraId="30C48C2E" w14:textId="77777777" w:rsidR="00E42B18" w:rsidRDefault="009629C4">
            <w:pPr>
              <w:pStyle w:val="P68B1DB1-Normal121"/>
              <w:spacing w:after="0" w:line="240" w:lineRule="auto"/>
              <w:jc w:val="center"/>
              <w:rPr>
                <w:noProof/>
              </w:rPr>
            </w:pPr>
            <w:r>
              <w:rPr>
                <w:noProof/>
              </w:rPr>
              <w:t>M1C2–32</w:t>
            </w:r>
          </w:p>
        </w:tc>
        <w:tc>
          <w:tcPr>
            <w:tcW w:w="3449" w:type="dxa"/>
            <w:shd w:val="clear" w:color="auto" w:fill="C6EFCE"/>
            <w:tcMar>
              <w:left w:w="108" w:type="dxa"/>
              <w:right w:w="108" w:type="dxa"/>
            </w:tcMar>
            <w:vAlign w:val="center"/>
          </w:tcPr>
          <w:p w14:paraId="7F428E7C" w14:textId="77777777" w:rsidR="00E42B18" w:rsidRDefault="009629C4">
            <w:pPr>
              <w:pStyle w:val="P68B1DB1-Normal121"/>
              <w:spacing w:after="0" w:line="240" w:lineRule="auto"/>
              <w:rPr>
                <w:noProof/>
              </w:rPr>
            </w:pPr>
            <w:r>
              <w:rPr>
                <w:noProof/>
              </w:rPr>
              <w:t xml:space="preserve">Investointi 8 – InvestEU-ohjelman jäsenvaltiojako </w:t>
            </w:r>
          </w:p>
        </w:tc>
        <w:tc>
          <w:tcPr>
            <w:tcW w:w="1134" w:type="dxa"/>
            <w:shd w:val="clear" w:color="auto" w:fill="C6EFCE"/>
            <w:tcMar>
              <w:left w:w="108" w:type="dxa"/>
              <w:right w:w="108" w:type="dxa"/>
            </w:tcMar>
            <w:vAlign w:val="center"/>
          </w:tcPr>
          <w:p w14:paraId="376119B8"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23246643" w14:textId="77777777" w:rsidR="00E42B18" w:rsidRDefault="009629C4">
            <w:pPr>
              <w:pStyle w:val="P68B1DB1-Normal121"/>
              <w:spacing w:after="0" w:line="240" w:lineRule="auto"/>
              <w:rPr>
                <w:noProof/>
              </w:rPr>
            </w:pPr>
            <w:r>
              <w:rPr>
                <w:noProof/>
              </w:rPr>
              <w:t xml:space="preserve">Italian hallituksen ja Euroopan komission välisen rahoitusosuussopimuksen allekirjoittaminen </w:t>
            </w:r>
          </w:p>
        </w:tc>
      </w:tr>
      <w:tr w:rsidR="00E42B18" w14:paraId="200509C1" w14:textId="77777777">
        <w:trPr>
          <w:trHeight w:val="300"/>
        </w:trPr>
        <w:tc>
          <w:tcPr>
            <w:tcW w:w="1246" w:type="dxa"/>
            <w:shd w:val="clear" w:color="auto" w:fill="C6EFCE"/>
            <w:tcMar>
              <w:left w:w="108" w:type="dxa"/>
              <w:right w:w="108" w:type="dxa"/>
            </w:tcMar>
            <w:vAlign w:val="center"/>
          </w:tcPr>
          <w:p w14:paraId="65222E4B" w14:textId="77777777" w:rsidR="00E42B18" w:rsidRDefault="009629C4">
            <w:pPr>
              <w:pStyle w:val="P68B1DB1-Normal121"/>
              <w:spacing w:after="0" w:line="240" w:lineRule="auto"/>
              <w:jc w:val="center"/>
              <w:rPr>
                <w:noProof/>
              </w:rPr>
            </w:pPr>
            <w:r>
              <w:rPr>
                <w:noProof/>
              </w:rPr>
              <w:t>M1C2–33</w:t>
            </w:r>
          </w:p>
        </w:tc>
        <w:tc>
          <w:tcPr>
            <w:tcW w:w="3449" w:type="dxa"/>
            <w:shd w:val="clear" w:color="auto" w:fill="C6EFCE"/>
            <w:tcMar>
              <w:left w:w="108" w:type="dxa"/>
              <w:right w:w="108" w:type="dxa"/>
            </w:tcMar>
            <w:vAlign w:val="center"/>
          </w:tcPr>
          <w:p w14:paraId="6B56D1CE" w14:textId="77777777" w:rsidR="00E42B18" w:rsidRDefault="009629C4">
            <w:pPr>
              <w:pStyle w:val="P68B1DB1-Normal121"/>
              <w:spacing w:after="0" w:line="240" w:lineRule="auto"/>
              <w:rPr>
                <w:noProof/>
              </w:rPr>
            </w:pPr>
            <w:r>
              <w:rPr>
                <w:noProof/>
              </w:rPr>
              <w:t>Investointi 8 – InvestEU-ohjelman jäsenvaltiojako</w:t>
            </w:r>
          </w:p>
        </w:tc>
        <w:tc>
          <w:tcPr>
            <w:tcW w:w="1134" w:type="dxa"/>
            <w:shd w:val="clear" w:color="auto" w:fill="C6EFCE"/>
            <w:tcMar>
              <w:left w:w="108" w:type="dxa"/>
              <w:right w:w="108" w:type="dxa"/>
            </w:tcMar>
            <w:vAlign w:val="center"/>
          </w:tcPr>
          <w:p w14:paraId="7CBBAE83"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4722E055" w14:textId="77777777" w:rsidR="00E42B18" w:rsidRDefault="009629C4">
            <w:pPr>
              <w:pStyle w:val="P68B1DB1-Normal121"/>
              <w:spacing w:after="0" w:line="240" w:lineRule="auto"/>
              <w:rPr>
                <w:noProof/>
              </w:rPr>
            </w:pPr>
            <w:r>
              <w:rPr>
                <w:noProof/>
              </w:rPr>
              <w:t xml:space="preserve">InvestEU-investointikomitean hyväksymät rahoitus- tai investointitoimet </w:t>
            </w:r>
          </w:p>
        </w:tc>
      </w:tr>
      <w:tr w:rsidR="00E42B18" w14:paraId="53F04979" w14:textId="77777777">
        <w:trPr>
          <w:trHeight w:val="300"/>
        </w:trPr>
        <w:tc>
          <w:tcPr>
            <w:tcW w:w="1246" w:type="dxa"/>
            <w:shd w:val="clear" w:color="auto" w:fill="C6EFCE"/>
            <w:tcMar>
              <w:left w:w="108" w:type="dxa"/>
              <w:right w:w="108" w:type="dxa"/>
            </w:tcMar>
            <w:vAlign w:val="center"/>
          </w:tcPr>
          <w:p w14:paraId="7C53E1AA" w14:textId="6A4FB837" w:rsidR="00E42B18" w:rsidRDefault="009629C4">
            <w:pPr>
              <w:pStyle w:val="P68B1DB1-Normal121"/>
              <w:spacing w:after="0" w:line="240" w:lineRule="auto"/>
              <w:jc w:val="center"/>
              <w:rPr>
                <w:noProof/>
              </w:rPr>
            </w:pPr>
            <w:r>
              <w:rPr>
                <w:noProof/>
              </w:rPr>
              <w:t>M3C1–27</w:t>
            </w:r>
          </w:p>
        </w:tc>
        <w:tc>
          <w:tcPr>
            <w:tcW w:w="3449" w:type="dxa"/>
            <w:shd w:val="clear" w:color="auto" w:fill="C6EFCE"/>
            <w:tcMar>
              <w:left w:w="108" w:type="dxa"/>
              <w:right w:w="108" w:type="dxa"/>
            </w:tcMar>
            <w:vAlign w:val="center"/>
          </w:tcPr>
          <w:p w14:paraId="39052B92" w14:textId="3DF28477" w:rsidR="00E42B18" w:rsidRDefault="009629C4">
            <w:pPr>
              <w:pStyle w:val="P68B1DB1-Normal121"/>
              <w:spacing w:after="0" w:line="240" w:lineRule="auto"/>
              <w:rPr>
                <w:noProof/>
              </w:rPr>
            </w:pPr>
            <w:r>
              <w:rPr>
                <w:noProof/>
              </w:rPr>
              <w:t xml:space="preserve">Uudistus 1.3 – Rautatieinfrastruktuurin tehostaminen Italiassa </w:t>
            </w:r>
          </w:p>
        </w:tc>
        <w:tc>
          <w:tcPr>
            <w:tcW w:w="1134" w:type="dxa"/>
            <w:shd w:val="clear" w:color="auto" w:fill="C6EFCE"/>
            <w:tcMar>
              <w:left w:w="108" w:type="dxa"/>
              <w:right w:w="108" w:type="dxa"/>
            </w:tcMar>
            <w:vAlign w:val="center"/>
          </w:tcPr>
          <w:p w14:paraId="166560C6" w14:textId="77777777"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4A3E5283" w14:textId="77777777" w:rsidR="00E42B18" w:rsidRDefault="009629C4">
            <w:pPr>
              <w:pStyle w:val="P68B1DB1-Normal121"/>
              <w:spacing w:after="0" w:line="240" w:lineRule="auto"/>
              <w:rPr>
                <w:noProof/>
              </w:rPr>
            </w:pPr>
            <w:r>
              <w:rPr>
                <w:noProof/>
              </w:rPr>
              <w:t xml:space="preserve">ROSCOn perussääntöä koskeva rahoitus- ja liiketoimintasuunnitelma sekä resurssien ja varojen siirto </w:t>
            </w:r>
          </w:p>
        </w:tc>
      </w:tr>
      <w:tr w:rsidR="00E42B18" w14:paraId="6A1F20C9" w14:textId="77777777">
        <w:trPr>
          <w:trHeight w:val="300"/>
        </w:trPr>
        <w:tc>
          <w:tcPr>
            <w:tcW w:w="1246" w:type="dxa"/>
            <w:shd w:val="clear" w:color="auto" w:fill="C6EFCE"/>
            <w:tcMar>
              <w:left w:w="108" w:type="dxa"/>
              <w:right w:w="108" w:type="dxa"/>
            </w:tcMar>
            <w:vAlign w:val="center"/>
          </w:tcPr>
          <w:p w14:paraId="443F97A6" w14:textId="77777777" w:rsidR="00E42B18" w:rsidRDefault="009629C4">
            <w:pPr>
              <w:pStyle w:val="P68B1DB1-Normal121"/>
              <w:spacing w:after="0" w:line="240" w:lineRule="auto"/>
              <w:jc w:val="center"/>
              <w:rPr>
                <w:noProof/>
              </w:rPr>
            </w:pPr>
            <w:r>
              <w:rPr>
                <w:noProof/>
              </w:rPr>
              <w:t>M5C3–14</w:t>
            </w:r>
          </w:p>
        </w:tc>
        <w:tc>
          <w:tcPr>
            <w:tcW w:w="3449" w:type="dxa"/>
            <w:shd w:val="clear" w:color="auto" w:fill="C6EFCE"/>
            <w:tcMar>
              <w:left w:w="108" w:type="dxa"/>
              <w:right w:w="108" w:type="dxa"/>
            </w:tcMar>
            <w:vAlign w:val="center"/>
          </w:tcPr>
          <w:p w14:paraId="56A99C56" w14:textId="77777777" w:rsidR="00E42B18" w:rsidRDefault="009629C4">
            <w:pPr>
              <w:pStyle w:val="P68B1DB1-Normal121"/>
              <w:spacing w:after="0" w:line="240" w:lineRule="auto"/>
              <w:rPr>
                <w:noProof/>
              </w:rPr>
            </w:pPr>
            <w:r>
              <w:rPr>
                <w:noProof/>
              </w:rPr>
              <w:t>Investointi 1.5 – Etelä-Italiaan ja erityistalousalueeseen (SEZ) tehtäviä investointeja koskeva verohyvitysjärjestelmä</w:t>
            </w:r>
          </w:p>
        </w:tc>
        <w:tc>
          <w:tcPr>
            <w:tcW w:w="1134" w:type="dxa"/>
            <w:shd w:val="clear" w:color="auto" w:fill="C6EFCE"/>
            <w:tcMar>
              <w:left w:w="108" w:type="dxa"/>
              <w:right w:w="108" w:type="dxa"/>
            </w:tcMar>
            <w:vAlign w:val="center"/>
          </w:tcPr>
          <w:p w14:paraId="43DF71B3"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6E19AD6D" w14:textId="77777777" w:rsidR="00E42B18" w:rsidRDefault="009629C4">
            <w:pPr>
              <w:pStyle w:val="P68B1DB1-Normal121"/>
              <w:spacing w:after="0" w:line="240" w:lineRule="auto"/>
              <w:rPr>
                <w:noProof/>
              </w:rPr>
            </w:pPr>
            <w:r>
              <w:rPr>
                <w:noProof/>
              </w:rPr>
              <w:t>Yrityksille vuosina 2023–2025 esitettyjen veroilmoitusten perusteella myönnetyt Etelä-Italian ja erityistalousalueiden verohyvitykset</w:t>
            </w:r>
          </w:p>
        </w:tc>
      </w:tr>
      <w:tr w:rsidR="00E42B18" w14:paraId="7C3BF548" w14:textId="77777777">
        <w:trPr>
          <w:trHeight w:val="300"/>
        </w:trPr>
        <w:tc>
          <w:tcPr>
            <w:tcW w:w="1246" w:type="dxa"/>
            <w:shd w:val="clear" w:color="auto" w:fill="C6EFCE"/>
            <w:tcMar>
              <w:left w:w="108" w:type="dxa"/>
              <w:right w:w="108" w:type="dxa"/>
            </w:tcMar>
            <w:vAlign w:val="center"/>
          </w:tcPr>
          <w:p w14:paraId="4739B854" w14:textId="77777777" w:rsidR="00E42B18" w:rsidRDefault="009629C4">
            <w:pPr>
              <w:pStyle w:val="P68B1DB1-Normal121"/>
              <w:spacing w:after="0" w:line="240" w:lineRule="auto"/>
              <w:jc w:val="center"/>
              <w:rPr>
                <w:noProof/>
              </w:rPr>
            </w:pPr>
            <w:r>
              <w:rPr>
                <w:noProof/>
              </w:rPr>
              <w:t>M3C1–28</w:t>
            </w:r>
          </w:p>
        </w:tc>
        <w:tc>
          <w:tcPr>
            <w:tcW w:w="3449" w:type="dxa"/>
            <w:shd w:val="clear" w:color="auto" w:fill="C6EFCE"/>
            <w:tcMar>
              <w:left w:w="108" w:type="dxa"/>
              <w:right w:w="108" w:type="dxa"/>
            </w:tcMar>
            <w:vAlign w:val="center"/>
          </w:tcPr>
          <w:p w14:paraId="0C614B48" w14:textId="77777777" w:rsidR="00E42B18" w:rsidRDefault="009629C4">
            <w:pPr>
              <w:pStyle w:val="P68B1DB1-Normal121"/>
              <w:spacing w:after="0" w:line="240" w:lineRule="auto"/>
              <w:rPr>
                <w:noProof/>
              </w:rPr>
            </w:pPr>
            <w:r>
              <w:rPr>
                <w:noProof/>
              </w:rPr>
              <w:t>Investointi 1.10 – Suurkaupunkialueiden solmukohtien sekä alueiden välisten ja alueellisten rautatielinjojen vahvistaminen</w:t>
            </w:r>
          </w:p>
        </w:tc>
        <w:tc>
          <w:tcPr>
            <w:tcW w:w="1134" w:type="dxa"/>
            <w:shd w:val="clear" w:color="auto" w:fill="C6EFCE"/>
            <w:tcMar>
              <w:left w:w="108" w:type="dxa"/>
              <w:right w:w="108" w:type="dxa"/>
            </w:tcMar>
            <w:vAlign w:val="center"/>
          </w:tcPr>
          <w:p w14:paraId="0B91B7B1"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7040AD0E" w14:textId="77777777" w:rsidR="00E42B18" w:rsidRDefault="009629C4">
            <w:pPr>
              <w:pStyle w:val="P68B1DB1-Normal121"/>
              <w:spacing w:after="0" w:line="240" w:lineRule="auto"/>
              <w:rPr>
                <w:noProof/>
              </w:rPr>
            </w:pPr>
            <w:r>
              <w:rPr>
                <w:noProof/>
              </w:rPr>
              <w:t>3 309 km parannettuja rataosuuksia rakennettu</w:t>
            </w:r>
          </w:p>
        </w:tc>
      </w:tr>
      <w:tr w:rsidR="00E42B18" w14:paraId="078DEB77" w14:textId="77777777">
        <w:trPr>
          <w:trHeight w:val="300"/>
        </w:trPr>
        <w:tc>
          <w:tcPr>
            <w:tcW w:w="1246" w:type="dxa"/>
            <w:shd w:val="clear" w:color="auto" w:fill="C6EFCE"/>
            <w:tcMar>
              <w:left w:w="108" w:type="dxa"/>
              <w:right w:w="108" w:type="dxa"/>
            </w:tcMar>
            <w:vAlign w:val="center"/>
          </w:tcPr>
          <w:p w14:paraId="233DCD75" w14:textId="77777777" w:rsidR="00E42B18" w:rsidRDefault="009629C4">
            <w:pPr>
              <w:pStyle w:val="P68B1DB1-Normal121"/>
              <w:spacing w:after="0" w:line="240" w:lineRule="auto"/>
              <w:jc w:val="center"/>
              <w:rPr>
                <w:noProof/>
              </w:rPr>
            </w:pPr>
            <w:r>
              <w:rPr>
                <w:noProof/>
              </w:rPr>
              <w:t>M2C4–40</w:t>
            </w:r>
          </w:p>
        </w:tc>
        <w:tc>
          <w:tcPr>
            <w:tcW w:w="3449" w:type="dxa"/>
            <w:shd w:val="clear" w:color="auto" w:fill="C6EFCE"/>
            <w:tcMar>
              <w:left w:w="108" w:type="dxa"/>
              <w:right w:w="108" w:type="dxa"/>
            </w:tcMar>
            <w:vAlign w:val="center"/>
          </w:tcPr>
          <w:p w14:paraId="14FFD68D" w14:textId="77777777" w:rsidR="00E42B18" w:rsidRDefault="009629C4">
            <w:pPr>
              <w:pStyle w:val="P68B1DB1-Normal121"/>
              <w:spacing w:after="0" w:line="240" w:lineRule="auto"/>
              <w:rPr>
                <w:noProof/>
              </w:rPr>
            </w:pPr>
            <w:r>
              <w:rPr>
                <w:noProof/>
              </w:rPr>
              <w:t>Investointi 4.5 – Vesi-infrastruktuuri-investointien tukiohjelma</w:t>
            </w:r>
          </w:p>
        </w:tc>
        <w:tc>
          <w:tcPr>
            <w:tcW w:w="1134" w:type="dxa"/>
            <w:shd w:val="clear" w:color="auto" w:fill="C6EFCE"/>
            <w:tcMar>
              <w:left w:w="108" w:type="dxa"/>
              <w:right w:w="108" w:type="dxa"/>
            </w:tcMar>
            <w:vAlign w:val="center"/>
          </w:tcPr>
          <w:p w14:paraId="35D698EB"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04B543F8" w14:textId="77777777" w:rsidR="00E42B18" w:rsidRDefault="009629C4">
            <w:pPr>
              <w:pStyle w:val="P68B1DB1-Normal121"/>
              <w:spacing w:after="0" w:line="240" w:lineRule="auto"/>
              <w:rPr>
                <w:noProof/>
              </w:rPr>
            </w:pPr>
            <w:r>
              <w:rPr>
                <w:noProof/>
              </w:rPr>
              <w:t>Invitalia S.p.A. on tehnyt lopullisten edunsaajien kanssa oikeudellisia avustussopimuksia määrästä, joka tarvitaan, jotta elpymis- ja palautumistukivälineen investoinneista voidaan käyttää 100 prosenttia järjestelmään (hallinnointipalkkiot huomioon ottaen). Vähintään 40 prosentilla tästä rahoituksesta on edistettävä ilmastotavoitteita elpymis- ja palautumistukivälinettä koskevan asetuksen liitteessä VI esitetyn menetelmän mukaisesti.</w:t>
            </w:r>
          </w:p>
          <w:p w14:paraId="38FD3758" w14:textId="77777777" w:rsidR="00E42B18" w:rsidRDefault="00E42B18">
            <w:pPr>
              <w:spacing w:after="0" w:line="240" w:lineRule="auto"/>
              <w:rPr>
                <w:rFonts w:ascii="Times New Roman" w:eastAsia="Times New Roman" w:hAnsi="Times New Roman" w:cs="Times New Roman"/>
                <w:noProof/>
                <w:color w:val="006100"/>
                <w:sz w:val="20"/>
                <w:szCs w:val="20"/>
              </w:rPr>
            </w:pPr>
          </w:p>
          <w:p w14:paraId="6540F1ED" w14:textId="4D371548" w:rsidR="00E42B18" w:rsidRDefault="009629C4">
            <w:pPr>
              <w:pStyle w:val="P68B1DB1-Normal121"/>
              <w:spacing w:after="0" w:line="240" w:lineRule="auto"/>
              <w:rPr>
                <w:noProof/>
              </w:rPr>
            </w:pPr>
            <w:r>
              <w:rPr>
                <w:noProof/>
              </w:rPr>
              <w:t>Italia siirtää 1200000000 euroa Invitalia S.p.A:lle tukivälinettä varten.</w:t>
            </w:r>
          </w:p>
        </w:tc>
      </w:tr>
      <w:tr w:rsidR="00E42B18" w14:paraId="2E32898A" w14:textId="77777777">
        <w:trPr>
          <w:trHeight w:val="300"/>
        </w:trPr>
        <w:tc>
          <w:tcPr>
            <w:tcW w:w="1246" w:type="dxa"/>
            <w:shd w:val="clear" w:color="auto" w:fill="C6EFCE"/>
            <w:tcMar>
              <w:left w:w="108" w:type="dxa"/>
              <w:right w:w="108" w:type="dxa"/>
            </w:tcMar>
            <w:vAlign w:val="center"/>
          </w:tcPr>
          <w:p w14:paraId="6A8EE9F4" w14:textId="77777777" w:rsidR="00E42B18" w:rsidRDefault="009629C4">
            <w:pPr>
              <w:pStyle w:val="P68B1DB1-Normal121"/>
              <w:spacing w:after="0" w:line="240" w:lineRule="auto"/>
              <w:jc w:val="center"/>
              <w:rPr>
                <w:noProof/>
              </w:rPr>
            </w:pPr>
            <w:r>
              <w:rPr>
                <w:noProof/>
              </w:rPr>
              <w:t>M1C2–34</w:t>
            </w:r>
          </w:p>
        </w:tc>
        <w:tc>
          <w:tcPr>
            <w:tcW w:w="3449" w:type="dxa"/>
            <w:shd w:val="clear" w:color="auto" w:fill="C6EFCE"/>
            <w:tcMar>
              <w:left w:w="108" w:type="dxa"/>
              <w:right w:w="108" w:type="dxa"/>
            </w:tcMar>
            <w:vAlign w:val="center"/>
          </w:tcPr>
          <w:p w14:paraId="07B2188D" w14:textId="77777777" w:rsidR="00E42B18" w:rsidRDefault="009629C4">
            <w:pPr>
              <w:pStyle w:val="P68B1DB1-Normal121"/>
              <w:spacing w:after="0" w:line="240" w:lineRule="auto"/>
              <w:rPr>
                <w:noProof/>
              </w:rPr>
            </w:pPr>
            <w:r>
              <w:rPr>
                <w:noProof/>
              </w:rPr>
              <w:t>Investointi 9 – Siirtymä 4.0 – Laajennus</w:t>
            </w:r>
          </w:p>
        </w:tc>
        <w:tc>
          <w:tcPr>
            <w:tcW w:w="1134" w:type="dxa"/>
            <w:shd w:val="clear" w:color="auto" w:fill="C6EFCE"/>
            <w:tcMar>
              <w:left w:w="108" w:type="dxa"/>
              <w:right w:w="108" w:type="dxa"/>
            </w:tcMar>
            <w:vAlign w:val="center"/>
          </w:tcPr>
          <w:p w14:paraId="566483B5" w14:textId="77777777" w:rsidR="00E42B18" w:rsidRDefault="009629C4">
            <w:pPr>
              <w:pStyle w:val="P68B1DB1-Normal121"/>
              <w:spacing w:after="0" w:line="240" w:lineRule="auto"/>
              <w:jc w:val="center"/>
              <w:rPr>
                <w:noProof/>
              </w:rPr>
            </w:pPr>
            <w:r>
              <w:rPr>
                <w:noProof/>
              </w:rPr>
              <w:t>Kohde</w:t>
            </w:r>
          </w:p>
        </w:tc>
        <w:tc>
          <w:tcPr>
            <w:tcW w:w="3402" w:type="dxa"/>
            <w:shd w:val="clear" w:color="auto" w:fill="C6EFCE"/>
            <w:tcMar>
              <w:left w:w="108" w:type="dxa"/>
              <w:right w:w="108" w:type="dxa"/>
            </w:tcMar>
            <w:vAlign w:val="center"/>
          </w:tcPr>
          <w:p w14:paraId="691D9037" w14:textId="77777777" w:rsidR="00E42B18" w:rsidRDefault="009629C4">
            <w:pPr>
              <w:pStyle w:val="P68B1DB1-Normal121"/>
              <w:spacing w:after="0" w:line="240" w:lineRule="auto"/>
              <w:rPr>
                <w:noProof/>
              </w:rPr>
            </w:pPr>
            <w:r>
              <w:rPr>
                <w:noProof/>
              </w:rPr>
              <w:t>Siirtymä 4.0 yrityksille vuosina 2021–2026 esitettyjen asiakirjojen perusteella myönnetyt verohyvitykset</w:t>
            </w:r>
          </w:p>
        </w:tc>
      </w:tr>
      <w:tr w:rsidR="00E42B18" w14:paraId="0AD5C3F7" w14:textId="77777777">
        <w:trPr>
          <w:trHeight w:val="300"/>
        </w:trPr>
        <w:tc>
          <w:tcPr>
            <w:tcW w:w="1246" w:type="dxa"/>
            <w:shd w:val="clear" w:color="auto" w:fill="C6EFCE"/>
            <w:tcMar>
              <w:left w:w="108" w:type="dxa"/>
              <w:right w:w="108" w:type="dxa"/>
            </w:tcMar>
            <w:vAlign w:val="center"/>
          </w:tcPr>
          <w:p w14:paraId="32B9D695" w14:textId="06BF488F" w:rsidR="00E42B18" w:rsidRDefault="009629C4">
            <w:pPr>
              <w:pStyle w:val="P68B1DB1-Normal121"/>
              <w:spacing w:after="0" w:line="240" w:lineRule="auto"/>
              <w:jc w:val="center"/>
              <w:rPr>
                <w:noProof/>
              </w:rPr>
            </w:pPr>
            <w:r>
              <w:rPr>
                <w:noProof/>
              </w:rPr>
              <w:t>M2C1–27</w:t>
            </w:r>
          </w:p>
        </w:tc>
        <w:tc>
          <w:tcPr>
            <w:tcW w:w="3449" w:type="dxa"/>
            <w:shd w:val="clear" w:color="auto" w:fill="C6EFCE"/>
            <w:tcMar>
              <w:left w:w="108" w:type="dxa"/>
              <w:right w:w="108" w:type="dxa"/>
            </w:tcMar>
            <w:vAlign w:val="center"/>
          </w:tcPr>
          <w:p w14:paraId="1E69DEDC" w14:textId="734F4381" w:rsidR="00E42B18" w:rsidRDefault="009629C4">
            <w:pPr>
              <w:pStyle w:val="P68B1DB1-Normal121"/>
              <w:spacing w:after="0" w:line="240" w:lineRule="auto"/>
              <w:rPr>
                <w:noProof/>
              </w:rPr>
            </w:pPr>
            <w:r>
              <w:rPr>
                <w:noProof/>
              </w:rPr>
              <w:t>Investointi 4: AGRI-alar Park -järjestely</w:t>
            </w:r>
          </w:p>
        </w:tc>
        <w:tc>
          <w:tcPr>
            <w:tcW w:w="1134" w:type="dxa"/>
            <w:shd w:val="clear" w:color="auto" w:fill="C6EFCE"/>
            <w:tcMar>
              <w:left w:w="108" w:type="dxa"/>
              <w:right w:w="108" w:type="dxa"/>
            </w:tcMar>
            <w:vAlign w:val="center"/>
          </w:tcPr>
          <w:p w14:paraId="5E975165" w14:textId="42DD967D" w:rsidR="00E42B18" w:rsidRDefault="009629C4">
            <w:pPr>
              <w:pStyle w:val="P68B1DB1-Normal121"/>
              <w:spacing w:after="0" w:line="240" w:lineRule="auto"/>
              <w:jc w:val="center"/>
              <w:rPr>
                <w:noProof/>
              </w:rPr>
            </w:pPr>
            <w:r>
              <w:rPr>
                <w:noProof/>
              </w:rPr>
              <w:t>Virstanpylväs</w:t>
            </w:r>
          </w:p>
        </w:tc>
        <w:tc>
          <w:tcPr>
            <w:tcW w:w="3402" w:type="dxa"/>
            <w:shd w:val="clear" w:color="auto" w:fill="C6EFCE"/>
            <w:tcMar>
              <w:left w:w="108" w:type="dxa"/>
              <w:right w:w="108" w:type="dxa"/>
            </w:tcMar>
            <w:vAlign w:val="center"/>
          </w:tcPr>
          <w:p w14:paraId="6E1A87B9" w14:textId="49E2FF2B" w:rsidR="00E42B18" w:rsidRDefault="009629C4">
            <w:pPr>
              <w:pStyle w:val="P68B1DB1-Normal121"/>
              <w:spacing w:after="0" w:line="240" w:lineRule="auto"/>
              <w:rPr>
                <w:noProof/>
              </w:rPr>
            </w:pPr>
            <w:r>
              <w:rPr>
                <w:noProof/>
              </w:rPr>
              <w:t>Lopullisten edunsaajien kanssa allekirjoitetut oikeudelliset sopimukset ja investointien loppuun saattaminen</w:t>
            </w:r>
          </w:p>
        </w:tc>
      </w:tr>
      <w:tr w:rsidR="00E42B18" w14:paraId="7DD767F6"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273B96" w14:textId="77777777" w:rsidR="00E42B18" w:rsidRDefault="009629C4">
            <w:pPr>
              <w:pStyle w:val="P68B1DB1-Normal121"/>
              <w:spacing w:after="0" w:line="240" w:lineRule="auto"/>
              <w:jc w:val="center"/>
              <w:rPr>
                <w:noProof/>
              </w:rPr>
            </w:pPr>
            <w:r>
              <w:rPr>
                <w:noProof/>
              </w:rPr>
              <w:t>M2C4–39</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259567" w14:textId="77777777" w:rsidR="00E42B18" w:rsidRDefault="009629C4">
            <w:pPr>
              <w:pStyle w:val="P68B1DB1-Normal121"/>
              <w:spacing w:after="0" w:line="240" w:lineRule="auto"/>
              <w:rPr>
                <w:noProof/>
              </w:rPr>
            </w:pPr>
            <w:r>
              <w:rPr>
                <w:noProof/>
              </w:rPr>
              <w:t>Investointi 4.5 – Vesi-infrastruktuuri-investointien tukiohjelma</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E154D4" w14:textId="77777777" w:rsidR="00E42B18" w:rsidRDefault="009629C4">
            <w:pPr>
              <w:pStyle w:val="P68B1DB1-Normal121"/>
              <w:spacing w:after="0" w:line="240" w:lineRule="auto"/>
              <w:jc w:val="center"/>
              <w:rPr>
                <w:noProof/>
              </w:rPr>
            </w:pPr>
            <w:r>
              <w:rPr>
                <w:noProof/>
              </w:rPr>
              <w:t>Virstanpylväs</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801CA2" w14:textId="77777777" w:rsidR="00E42B18" w:rsidRDefault="009629C4">
            <w:pPr>
              <w:pStyle w:val="P68B1DB1-Normal121"/>
              <w:spacing w:after="0" w:line="240" w:lineRule="auto"/>
              <w:rPr>
                <w:noProof/>
              </w:rPr>
            </w:pPr>
            <w:r>
              <w:rPr>
                <w:noProof/>
              </w:rPr>
              <w:t xml:space="preserve">Täytäntöönpanosopimuksen voimaantulo </w:t>
            </w:r>
          </w:p>
        </w:tc>
      </w:tr>
      <w:tr w:rsidR="00E42B18" w14:paraId="4CC1E651" w14:textId="77777777">
        <w:trPr>
          <w:trHeight w:val="300"/>
        </w:trPr>
        <w:tc>
          <w:tcPr>
            <w:tcW w:w="1246" w:type="dxa"/>
            <w:shd w:val="clear" w:color="auto" w:fill="C6EFCE"/>
            <w:tcMar>
              <w:left w:w="108" w:type="dxa"/>
              <w:right w:w="108" w:type="dxa"/>
            </w:tcMar>
            <w:vAlign w:val="center"/>
          </w:tcPr>
          <w:p w14:paraId="63D33AC3" w14:textId="77777777" w:rsidR="00E42B18" w:rsidRDefault="00E42B18">
            <w:pPr>
              <w:spacing w:after="0" w:line="240" w:lineRule="auto"/>
              <w:jc w:val="center"/>
              <w:rPr>
                <w:rFonts w:ascii="Times New Roman" w:eastAsia="Times New Roman" w:hAnsi="Times New Roman" w:cs="Times New Roman"/>
                <w:noProof/>
                <w:color w:val="006100"/>
                <w:sz w:val="20"/>
                <w:szCs w:val="20"/>
              </w:rPr>
            </w:pPr>
          </w:p>
        </w:tc>
        <w:tc>
          <w:tcPr>
            <w:tcW w:w="3449" w:type="dxa"/>
            <w:shd w:val="clear" w:color="auto" w:fill="C6EFCE"/>
            <w:tcMar>
              <w:left w:w="108" w:type="dxa"/>
              <w:right w:w="108" w:type="dxa"/>
            </w:tcMar>
            <w:vAlign w:val="center"/>
          </w:tcPr>
          <w:p w14:paraId="39823D8E" w14:textId="77777777" w:rsidR="00E42B18" w:rsidRDefault="00E42B18">
            <w:pPr>
              <w:spacing w:after="0" w:line="240" w:lineRule="auto"/>
              <w:rPr>
                <w:rFonts w:ascii="Times New Roman" w:eastAsia="Times New Roman" w:hAnsi="Times New Roman" w:cs="Times New Roman"/>
                <w:noProof/>
                <w:color w:val="006100"/>
                <w:sz w:val="20"/>
                <w:szCs w:val="20"/>
              </w:rPr>
            </w:pPr>
          </w:p>
        </w:tc>
        <w:tc>
          <w:tcPr>
            <w:tcW w:w="1134" w:type="dxa"/>
            <w:shd w:val="clear" w:color="auto" w:fill="C6EFCE"/>
            <w:tcMar>
              <w:left w:w="108" w:type="dxa"/>
              <w:right w:w="108" w:type="dxa"/>
            </w:tcMar>
            <w:vAlign w:val="center"/>
          </w:tcPr>
          <w:p w14:paraId="54804DF2" w14:textId="77777777" w:rsidR="00E42B18" w:rsidRDefault="009629C4">
            <w:pPr>
              <w:pStyle w:val="P68B1DB1-Normal121"/>
              <w:spacing w:after="0" w:line="240" w:lineRule="auto"/>
              <w:jc w:val="center"/>
              <w:rPr>
                <w:noProof/>
              </w:rPr>
            </w:pPr>
            <w:r>
              <w:rPr>
                <w:noProof/>
              </w:rPr>
              <w:t>Maksuerän määrä</w:t>
            </w:r>
          </w:p>
        </w:tc>
        <w:tc>
          <w:tcPr>
            <w:tcW w:w="3402" w:type="dxa"/>
            <w:shd w:val="clear" w:color="auto" w:fill="C6EFCE"/>
            <w:tcMar>
              <w:left w:w="108" w:type="dxa"/>
              <w:right w:w="108" w:type="dxa"/>
            </w:tcMar>
            <w:vAlign w:val="center"/>
          </w:tcPr>
          <w:p w14:paraId="593B2331" w14:textId="77777777" w:rsidR="00E42B18" w:rsidRDefault="009629C4">
            <w:pPr>
              <w:pStyle w:val="P68B1DB1-Normal8"/>
              <w:spacing w:after="0" w:line="240" w:lineRule="auto"/>
              <w:rPr>
                <w:noProof/>
                <w:color w:val="006100"/>
                <w:sz w:val="20"/>
                <w:szCs w:val="20"/>
              </w:rPr>
            </w:pPr>
            <w:r>
              <w:rPr>
                <w:noProof/>
                <w:color w:val="006100"/>
                <w:sz w:val="20"/>
                <w:szCs w:val="20"/>
              </w:rPr>
              <w:t>YHTEENSÄ</w:t>
            </w:r>
            <w:r>
              <w:rPr>
                <w:noProof/>
                <w:sz w:val="23"/>
                <w:szCs w:val="23"/>
              </w:rPr>
              <w:t xml:space="preserve"> </w:t>
            </w:r>
            <w:r>
              <w:rPr>
                <w:noProof/>
                <w:color w:val="006100"/>
                <w:sz w:val="20"/>
                <w:szCs w:val="20"/>
              </w:rPr>
              <w:t>19919595964</w:t>
            </w:r>
            <w:r>
              <w:rPr>
                <w:noProof/>
                <w:sz w:val="23"/>
                <w:szCs w:val="23"/>
              </w:rPr>
              <w:t xml:space="preserve">  </w:t>
            </w:r>
            <w:r>
              <w:rPr>
                <w:noProof/>
                <w:color w:val="006100"/>
                <w:sz w:val="20"/>
                <w:szCs w:val="20"/>
              </w:rPr>
              <w:t>EUROA</w:t>
            </w:r>
          </w:p>
        </w:tc>
      </w:tr>
    </w:tbl>
    <w:p w14:paraId="45AD9142" w14:textId="77777777" w:rsidR="00E42B18" w:rsidRDefault="00E42B18">
      <w:pPr>
        <w:pStyle w:val="Heading2"/>
        <w:rPr>
          <w:rFonts w:ascii="Times New Roman" w:hAnsi="Times New Roman" w:cs="Times New Roman"/>
          <w:b/>
          <w:bCs/>
          <w:noProof/>
          <w:color w:val="auto"/>
          <w:sz w:val="24"/>
          <w:szCs w:val="24"/>
        </w:rPr>
      </w:pPr>
    </w:p>
    <w:p w14:paraId="2EAA7708" w14:textId="77777777" w:rsidR="00E42B18" w:rsidRDefault="009629C4">
      <w:pPr>
        <w:pStyle w:val="P68B1DB1-Normal7"/>
        <w:rPr>
          <w:rFonts w:eastAsiaTheme="majorEastAsia"/>
          <w:b/>
          <w:bCs/>
          <w:noProof/>
        </w:rPr>
      </w:pPr>
      <w:r>
        <w:rPr>
          <w:noProof/>
        </w:rPr>
        <w:br w:type="page"/>
      </w:r>
    </w:p>
    <w:p w14:paraId="5CA53084" w14:textId="77777777" w:rsidR="00E42B18" w:rsidRDefault="009629C4">
      <w:pPr>
        <w:pStyle w:val="P68B1DB1-Heading2117"/>
        <w:rPr>
          <w:bCs/>
          <w:noProof/>
        </w:rPr>
      </w:pPr>
      <w:r>
        <w:rPr>
          <w:noProof/>
        </w:rPr>
        <w:t xml:space="preserve">3 JAKSO: LISÄJÄRJESTELYT </w:t>
      </w:r>
    </w:p>
    <w:p w14:paraId="48432426" w14:textId="77777777" w:rsidR="00E42B18" w:rsidRDefault="009629C4">
      <w:pPr>
        <w:pStyle w:val="P68B1DB1-Normal125"/>
        <w:numPr>
          <w:ilvl w:val="0"/>
          <w:numId w:val="178"/>
        </w:numPr>
        <w:spacing w:before="120" w:after="120" w:line="240" w:lineRule="auto"/>
        <w:jc w:val="both"/>
        <w:rPr>
          <w:noProof/>
        </w:rPr>
      </w:pPr>
      <w:r>
        <w:rPr>
          <w:noProof/>
        </w:rPr>
        <w:t>Elpymis- ja palautumissuunnitelman seuranta- ja täytäntöönpanojärjestelyt</w:t>
      </w:r>
    </w:p>
    <w:p w14:paraId="52CEAABB" w14:textId="77777777" w:rsidR="00E42B18" w:rsidRDefault="009629C4">
      <w:pPr>
        <w:pStyle w:val="P68B1DB1-Normal38"/>
        <w:spacing w:before="120" w:after="120" w:line="240" w:lineRule="auto"/>
        <w:jc w:val="both"/>
        <w:rPr>
          <w:noProof/>
        </w:rPr>
      </w:pPr>
      <w:r>
        <w:rPr>
          <w:noProof/>
        </w:rPr>
        <w:t>Italian elpymis- ja palautumissuunnitelman seurannassa ja täytäntöönpanossa on noudatettava seuraavia järjestelyjä:</w:t>
      </w:r>
    </w:p>
    <w:p w14:paraId="5D78BB79" w14:textId="77777777" w:rsidR="00E42B18" w:rsidRDefault="009629C4">
      <w:pPr>
        <w:pStyle w:val="P68B1DB1-Normal38"/>
        <w:spacing w:before="120" w:after="120" w:line="240" w:lineRule="auto"/>
        <w:jc w:val="both"/>
        <w:rPr>
          <w:noProof/>
        </w:rPr>
      </w:pPr>
      <w:r>
        <w:rPr>
          <w:noProof/>
        </w:rPr>
        <w:t>Kuten 31 päivänä toukokuuta 2021 annetussa asetuksessa nro 77, sellaisena kuin se on muutettuna 24 päivänä helmikuuta 2023 annetulla asetuksella nro 13, säädetään, suunnitelman seurantaa ja täytäntöönpanoa varten perustetaan useita koordinointirakenteita. Näitä ovat erityisesti: I) ministerineuvoston puheenjohtajavaltioon perustettu korkean tason ohjauskomitea (”cabina di regia”), jonka päätehtävänä on ohjata ja koordinoida suunnitelman täytäntöönpanoa; II) ministerineuvoston puheenjohtajakaudella ainakin suunnitelman keston ajaksi perustettu operaatiorakenne, jolla on valtuudet toimia suunnitelman täytäntöönpanon ja seurannan keskitettynä koordinointirakenteena; talous- ja valtiovarainministeriön tekninen rakenne, joka vastaa suunnitelman täytäntöönpanon operatiivisesta seurannasta, menettelyjen ja menojen sääntöjenmukaisuuden valvonnasta ja raportoinnista sekä täytäntöönpanovaiheen teknisestä ja operatiivisesta tuesta. Pääministerin kanslian yhteyteen perustettava tehtävärakenne toimii kansallisen tason keskitettynä yhteyspisteenä Euroopan komissioon päin. Talous- ja valtiovarainministeriö vastaa suunnitelman tulosten arvioinnista. Työmarkkinaosapuolet ja muut sidosryhmät osallistuvat tiettyihin ”Cabina di regian” kokouksiin, jotta voidaan varmistaa niiden osallistuminen suunnitelman täytäntöönpanoon. Lisäksi kunkin suunnitelmaan sisältyvistä toimenpiteistä vastaavan keskushallinnon tasolla määritellään koordinointirakenteet, joiden tehtävänä on asiaankuuluvien tukitoimien hallinnointi, seuranta, raportointi ja valvonta, mukaan lukien täytäntöönpanon valvonta sekä välitavoitteiden ja tavoitteiden saavuttamisessa edistyminen. Lisäksi suunnitellaan täytäntöönpanomekanismeja täytäntöönpanoon liittyvissä kysymyksissä, muun muassa ottamalla käyttöön korvausvaltuudet suunnitelman toimenpiteistä vastaavien viranomaisten suhteen, jotta voidaan taata hankkeiden oikea-aikainen ja tehokas toteuttaminen, ja käyttöön otetaan ennakkomekanismeja konfliktien ratkaisemiseksi.</w:t>
      </w:r>
    </w:p>
    <w:p w14:paraId="7BBCEE3D" w14:textId="615582C2" w:rsidR="00E42B18" w:rsidRDefault="009629C4">
      <w:pPr>
        <w:pStyle w:val="P68B1DB1-Normal38"/>
        <w:spacing w:before="120" w:after="120" w:line="240" w:lineRule="auto"/>
        <w:jc w:val="both"/>
        <w:rPr>
          <w:noProof/>
        </w:rPr>
      </w:pPr>
      <w:r>
        <w:rPr>
          <w:noProof/>
        </w:rPr>
        <w:t xml:space="preserve">Hallinnollisten valvonta- ja täytäntöönpanovalmiuksien vahvistamiseksi suunnitellaan väliaikaisen henkilöstön palkkaamista, myös keskushallintoihin, jotka vastaavat suunnitelman toimista, sekä talous- ja valtiovarainministeriöön (mukaan lukien keskuskoordinointirakenne ja valtion kirjanpitohallinto), kuten 9 päivänä kesäkuuta 2021 annetussa asetuksessa nro 80 säädetään, sekä Etelä-Italian hallintoelimiin. Tämän odotetaan lisäävän EU:n varojen suunnitteluun ja käyttöön liittyvää inhimillistä pääomaa, kuten erityisesti vuonna 2020 annetussa laissa nro 178 säädetään. Lisäksi resursseja osoitetaan pääministerin kanslian yhteyteen perustettuun tehtävärakenteeseen sen tehokkaan toiminnan varmistamiseksi 24 päivänä helmikuuta 2023 annetun asetuksen nro 13 mukaisesti. Lisäksi hankkeiden täytäntöönpanossa suunnitellaan teknistä ja operatiivista tukea keskus- ja paikallishallinnolle muun muassa käyttämällä julkisia pääomayhtiöitä, asiantuntijapoolia teknistä apua varten ja mahdollisuutta turvautua ulkopuoliseen asiantuntemukseen. Näiden toimien ohella toteutetaan toimenpiteitä byrokratian vähentämiseksi ja hallinnollisten menettelyjen yksinkertaistamiseksi 31 päivänä toukokuuta 2021 annetun asetuksen nro 77 ja 24 päivänä helmikuuta 2023 annetun asetuksen nro 13 mukaisesti. </w:t>
      </w:r>
    </w:p>
    <w:p w14:paraId="715C8A03" w14:textId="1E462A85" w:rsidR="00E42B18" w:rsidRDefault="009629C4">
      <w:pPr>
        <w:pStyle w:val="P68B1DB1-Normal38"/>
        <w:spacing w:before="120" w:after="120" w:line="240" w:lineRule="auto"/>
        <w:jc w:val="both"/>
        <w:rPr>
          <w:noProof/>
        </w:rPr>
      </w:pPr>
      <w:r>
        <w:rPr>
          <w:noProof/>
        </w:rPr>
        <w:t>Järjestelyissä määrätään myös integroidun tietojärjestelmän (ReGiS) käytöstä. Talous- ja valtiovarainministeriön alaisuudessa toimivan, taloussuhteista Euroopan unioniin vastaavan nykyisen tarkastusyksikön (IGRUE) tehtävänä on koordinoida tarkastusjärjestelmiä ja suorittaa tarkastukset valtion aluetilinpitoviraston (RTS) tuella. Tehostetut järjestelyt Guardia di Finanzan ja asiaankuuluvien riippumattomien viranomaisten, kuten kansallisen korruptiontorjuntaviraston ANACin, kanssa, pysyvät voimassa, mikä vahvistaa Italian oikeusjärjestelmässä näille viranomaisille jo annettua roolia julkisen talouden, myös EU:lta saatujen varojen, suojaamisessa.</w:t>
      </w:r>
    </w:p>
    <w:p w14:paraId="04D9E5E5" w14:textId="77777777" w:rsidR="00E42B18" w:rsidRDefault="009629C4">
      <w:pPr>
        <w:pStyle w:val="P68B1DB1-Normal38"/>
        <w:rPr>
          <w:noProof/>
        </w:rPr>
      </w:pPr>
      <w:r>
        <w:rPr>
          <w:noProof/>
        </w:rPr>
        <w:br w:type="page"/>
      </w:r>
    </w:p>
    <w:p w14:paraId="60FE7E75" w14:textId="77777777" w:rsidR="00E42B18" w:rsidRDefault="00E42B18">
      <w:pPr>
        <w:spacing w:before="120" w:after="120" w:line="240" w:lineRule="auto"/>
        <w:jc w:val="both"/>
        <w:rPr>
          <w:rFonts w:ascii="Times New Roman" w:eastAsia="Calibri" w:hAnsi="Times New Roman" w:cs="Times New Roman"/>
          <w:noProof/>
        </w:rPr>
      </w:pPr>
    </w:p>
    <w:p w14:paraId="06279AEA" w14:textId="77777777" w:rsidR="00E42B18" w:rsidRDefault="009629C4">
      <w:pPr>
        <w:pStyle w:val="P68B1DB1-Normal29"/>
        <w:numPr>
          <w:ilvl w:val="0"/>
          <w:numId w:val="178"/>
        </w:numPr>
        <w:spacing w:before="120" w:after="120" w:line="240" w:lineRule="auto"/>
        <w:jc w:val="both"/>
        <w:rPr>
          <w:noProof/>
        </w:rPr>
      </w:pPr>
      <w:r>
        <w:rPr>
          <w:noProof/>
        </w:rPr>
        <w:t>Järjestelyt, joiden mukaisesti komissio saa täyden pääsyn perustana oleviin tietoihin</w:t>
      </w:r>
    </w:p>
    <w:p w14:paraId="386EC65E" w14:textId="77777777" w:rsidR="00E42B18" w:rsidRDefault="009629C4">
      <w:pPr>
        <w:pStyle w:val="P68B1DB1-Normal38"/>
        <w:spacing w:before="120" w:after="120" w:line="240" w:lineRule="auto"/>
        <w:jc w:val="both"/>
        <w:rPr>
          <w:noProof/>
        </w:rPr>
      </w:pPr>
      <w:r>
        <w:rPr>
          <w:noProof/>
        </w:rPr>
        <w:t>Italialla on oltava käytössään seuraavat järjestelyt, jotta komissiolla olisi täysi pääsy asiaankuuluviin taustatietoihin.</w:t>
      </w:r>
    </w:p>
    <w:p w14:paraId="0CBCE94E" w14:textId="77777777" w:rsidR="00E42B18" w:rsidRDefault="009629C4">
      <w:pPr>
        <w:pStyle w:val="P68B1DB1-Normal38"/>
        <w:spacing w:before="120" w:after="120" w:line="240" w:lineRule="auto"/>
        <w:jc w:val="both"/>
        <w:rPr>
          <w:noProof/>
        </w:rPr>
      </w:pPr>
      <w:r>
        <w:rPr>
          <w:noProof/>
        </w:rPr>
        <w:t>Talous- ja valtiovarainministeriö toimii teknisenä rakenteena seurantaa varten, mukaan lukien välitavoitteiden ja tavoitteiden saavuttamisessa tapahtunut edistys, ja tarvittaessa valvonta- ja tarkastustoimien täytäntöönpanossa sekä raportoinnissa ja maksupyynnöissä. Se koordinoi välitavoitteita ja tavoitteita koskevaa raportointia, asiaankuuluvia indikaattoreita mutta myös laadullisia taloudellisia tietoja ja muita tietoja, kuten tietoja lopullisista edunsaajista. Tietojen koodaus tapahtuu suunnitelman toimenpiteistä vastaavien keskushallintojen tasolla, ja keskushallinnot toimittavat vaaditut tiedot talous- ja valtiovarainministeriölle. Kun tämän liitteen 2.1 kohdassa esitetyt sovitut välitavoitteet ja tavoitteet on saavutettu, Italian on asetuksen (EU) 2021/241 24 artiklan 2 kohdan mukaisesti toimitettava komissiolle asianmukaisesti perusteltu pyyntö rahoitusosuuden ja tarvittaessa lainan maksamiseksi. Italian on varmistettava, että komissiolla on pyynnöstä täysi pääsy asiaankuuluviin taustatietoihin, jotka tukevat maksupyynnön asianmukaisia perusteluja, sekä asetuksen (EU) 2021/241 24 artiklan 3 kohdan mukaista maksupyynnön arviointia että tarkastus- ja valvontatarkoituksia varten.</w:t>
      </w:r>
    </w:p>
    <w:p w14:paraId="3E350CC9" w14:textId="77777777" w:rsidR="00E42B18" w:rsidRDefault="00E42B18">
      <w:pPr>
        <w:rPr>
          <w:noProof/>
        </w:rPr>
      </w:pPr>
    </w:p>
    <w:sectPr w:rsidR="00E42B18">
      <w:headerReference w:type="default" r:id="rId332"/>
      <w:footerReference w:type="default" r:id="rId3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E4FCD" w14:textId="77777777" w:rsidR="002B4222" w:rsidRDefault="002B4222">
      <w:pPr>
        <w:spacing w:after="0" w:line="240" w:lineRule="auto"/>
      </w:pPr>
      <w:r>
        <w:separator/>
      </w:r>
    </w:p>
  </w:endnote>
  <w:endnote w:type="continuationSeparator" w:id="0">
    <w:p w14:paraId="700D54C2" w14:textId="77777777" w:rsidR="002B4222" w:rsidRDefault="002B4222">
      <w:pPr>
        <w:spacing w:after="0" w:line="240" w:lineRule="auto"/>
      </w:pPr>
      <w:r>
        <w:continuationSeparator/>
      </w:r>
    </w:p>
  </w:endnote>
  <w:endnote w:type="continuationNotice" w:id="1">
    <w:p w14:paraId="33771B7A" w14:textId="77777777" w:rsidR="002B4222" w:rsidRDefault="002B42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quot;Times New Roman&quot;,serif">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EC Square Sans Pro">
    <w:altName w:val="Cambria"/>
    <w:charset w:val="00"/>
    <w:family w:val="swiss"/>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E3473" w14:textId="4DBA529A" w:rsidR="008664B6" w:rsidRPr="008664B6" w:rsidRDefault="008664B6" w:rsidP="008664B6">
    <w:pPr>
      <w:pStyle w:val="FooterCoverPage"/>
      <w:rPr>
        <w:rFonts w:ascii="Arial" w:hAnsi="Arial" w:cs="Arial"/>
        <w:b/>
        <w:sz w:val="48"/>
      </w:rPr>
    </w:pPr>
    <w:r w:rsidRPr="008664B6">
      <w:rPr>
        <w:rFonts w:ascii="Arial" w:hAnsi="Arial" w:cs="Arial"/>
        <w:b/>
        <w:sz w:val="48"/>
      </w:rPr>
      <w:t>FI</w:t>
    </w:r>
    <w:r w:rsidRPr="008664B6">
      <w:rPr>
        <w:rFonts w:ascii="Arial" w:hAnsi="Arial" w:cs="Arial"/>
        <w:b/>
        <w:sz w:val="48"/>
      </w:rPr>
      <w:tab/>
    </w:r>
    <w:r w:rsidRPr="008664B6">
      <w:rPr>
        <w:rFonts w:ascii="Arial" w:hAnsi="Arial" w:cs="Arial"/>
        <w:b/>
        <w:sz w:val="48"/>
      </w:rPr>
      <w:tab/>
    </w:r>
    <w:r w:rsidRPr="008664B6">
      <w:tab/>
    </w:r>
    <w:r w:rsidRPr="008664B6">
      <w:rPr>
        <w:rFonts w:ascii="Arial" w:hAnsi="Arial" w:cs="Arial"/>
        <w:b/>
        <w:sz w:val="48"/>
      </w:rPr>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C8A50" w14:textId="7245E488" w:rsidR="008664B6" w:rsidRPr="008664B6" w:rsidRDefault="008664B6" w:rsidP="008664B6">
    <w:pPr>
      <w:pStyle w:val="FooterCoverPage"/>
      <w:rPr>
        <w:rFonts w:ascii="Arial" w:hAnsi="Arial" w:cs="Arial"/>
        <w:b/>
        <w:sz w:val="48"/>
      </w:rPr>
    </w:pPr>
    <w:r w:rsidRPr="008664B6">
      <w:rPr>
        <w:rFonts w:ascii="Arial" w:hAnsi="Arial" w:cs="Arial"/>
        <w:b/>
        <w:sz w:val="48"/>
      </w:rPr>
      <w:t>FI</w:t>
    </w:r>
    <w:r w:rsidRPr="008664B6">
      <w:rPr>
        <w:rFonts w:ascii="Arial" w:hAnsi="Arial" w:cs="Arial"/>
        <w:b/>
        <w:sz w:val="48"/>
      </w:rPr>
      <w:tab/>
    </w:r>
    <w:r w:rsidRPr="008664B6">
      <w:rPr>
        <w:rFonts w:ascii="Arial" w:hAnsi="Arial" w:cs="Arial"/>
        <w:b/>
        <w:sz w:val="48"/>
      </w:rPr>
      <w:tab/>
    </w:r>
    <w:r w:rsidRPr="008664B6">
      <w:tab/>
    </w:r>
    <w:r w:rsidRPr="008664B6">
      <w:rPr>
        <w:rFonts w:ascii="Arial" w:hAnsi="Arial" w:cs="Arial"/>
        <w:b/>
        <w:sz w:val="48"/>
      </w:rPr>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72AAA" w14:textId="77777777" w:rsidR="008664B6" w:rsidRPr="008664B6" w:rsidRDefault="008664B6" w:rsidP="008664B6">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F60F7" w14:textId="77777777" w:rsidR="00E42B18" w:rsidRDefault="00E42B1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44638651"/>
      <w:docPartObj>
        <w:docPartGallery w:val="Page Numbers (Bottom of Page)"/>
        <w:docPartUnique/>
      </w:docPartObj>
    </w:sdtPr>
    <w:sdtEndPr/>
    <w:sdtContent>
      <w:p w14:paraId="15AFD4EF" w14:textId="2F09D7B9" w:rsidR="00E42B18" w:rsidRDefault="009629C4">
        <w:pPr>
          <w:pStyle w:val="Footer"/>
          <w:jc w:val="center"/>
        </w:pPr>
        <w:r>
          <w:fldChar w:fldCharType="begin"/>
        </w:r>
        <w:r>
          <w:instrText xml:space="preserve"> PAGE   \* MERGEFORMAT </w:instrText>
        </w:r>
        <w:r>
          <w:fldChar w:fldCharType="separate"/>
        </w:r>
        <w:r w:rsidR="008664B6">
          <w:rPr>
            <w:noProof/>
          </w:rPr>
          <w:t>4</w:t>
        </w:r>
        <w:r>
          <w:fldChar w:fldCharType="end"/>
        </w:r>
      </w:p>
    </w:sdtContent>
  </w:sdt>
  <w:p w14:paraId="158885D5" w14:textId="77777777" w:rsidR="00E42B18" w:rsidRDefault="00E42B18">
    <w:pPr>
      <w:pStyle w:val="FooterCouncil"/>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6CD63" w14:textId="77777777" w:rsidR="00E42B18" w:rsidRDefault="00E42B1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84E9A" w14:textId="77777777" w:rsidR="00E42B18" w:rsidRDefault="00E42B1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22449238"/>
      <w:docPartObj>
        <w:docPartGallery w:val="Page Numbers (Bottom of Page)"/>
        <w:docPartUnique/>
      </w:docPartObj>
    </w:sdtPr>
    <w:sdtEndPr/>
    <w:sdtContent>
      <w:p w14:paraId="637B417B" w14:textId="6DD1737A" w:rsidR="00E42B18" w:rsidRDefault="009629C4">
        <w:pPr>
          <w:pStyle w:val="Footer"/>
          <w:jc w:val="center"/>
        </w:pPr>
        <w:r>
          <w:fldChar w:fldCharType="begin"/>
        </w:r>
        <w:r>
          <w:instrText xml:space="preserve"> PAGE   \* MERGEFORMAT </w:instrText>
        </w:r>
        <w:r>
          <w:fldChar w:fldCharType="separate"/>
        </w:r>
        <w:r w:rsidR="008664B6">
          <w:rPr>
            <w:noProof/>
          </w:rPr>
          <w:t>8</w:t>
        </w:r>
        <w:r>
          <w:fldChar w:fldCharType="end"/>
        </w:r>
      </w:p>
    </w:sdtContent>
  </w:sdt>
  <w:p w14:paraId="0A8C0572" w14:textId="77777777" w:rsidR="00E42B18" w:rsidRDefault="00E42B18">
    <w:pPr>
      <w:pStyle w:val="FooterCouncil"/>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9FE4B" w14:textId="77777777" w:rsidR="00E42B18" w:rsidRDefault="00E42B1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AC862" w14:textId="77777777" w:rsidR="00E42B18" w:rsidRDefault="00E42B1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30924729"/>
      <w:docPartObj>
        <w:docPartGallery w:val="Page Numbers (Bottom of Page)"/>
        <w:docPartUnique/>
      </w:docPartObj>
    </w:sdtPr>
    <w:sdtEndPr/>
    <w:sdtContent>
      <w:p w14:paraId="1A49A47D" w14:textId="77777777" w:rsidR="00E42B18" w:rsidRDefault="009629C4">
        <w:pPr>
          <w:pStyle w:val="Footer"/>
          <w:jc w:val="center"/>
        </w:pPr>
        <w:r>
          <w:fldChar w:fldCharType="begin"/>
        </w:r>
        <w:r>
          <w:instrText xml:space="preserve"> PAGE   \* MERGEFORMAT </w:instrText>
        </w:r>
        <w:r>
          <w:fldChar w:fldCharType="separate"/>
        </w:r>
        <w:r>
          <w:t>125</w:t>
        </w:r>
        <w:r>
          <w:fldChar w:fldCharType="end"/>
        </w:r>
      </w:p>
    </w:sdtContent>
  </w:sdt>
  <w:p w14:paraId="1637FED8" w14:textId="77777777" w:rsidR="00E42B18" w:rsidRDefault="00E42B18">
    <w:pPr>
      <w:pStyle w:val="FooterCouncil"/>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D710A" w14:textId="77777777" w:rsidR="00E42B18" w:rsidRDefault="00E42B18">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7069611"/>
      <w:docPartObj>
        <w:docPartGallery w:val="Page Numbers (Bottom of Page)"/>
        <w:docPartUnique/>
      </w:docPartObj>
    </w:sdtPr>
    <w:sdtEndPr/>
    <w:sdtContent>
      <w:p w14:paraId="2B26B7A3" w14:textId="77777777" w:rsidR="00122E7C" w:rsidRDefault="00122E7C">
        <w:pPr>
          <w:pStyle w:val="Footer"/>
          <w:jc w:val="center"/>
        </w:pPr>
        <w:r>
          <w:fldChar w:fldCharType="begin"/>
        </w:r>
        <w:r>
          <w:instrText xml:space="preserve"> PAGE   \* MERGEFORMAT </w:instrText>
        </w:r>
        <w:r>
          <w:fldChar w:fldCharType="separate"/>
        </w:r>
        <w:r>
          <w:t>125</w:t>
        </w:r>
        <w:r>
          <w:fldChar w:fldCharType="end"/>
        </w:r>
      </w:p>
    </w:sdtContent>
  </w:sdt>
  <w:p w14:paraId="075FB3E5" w14:textId="77777777" w:rsidR="00122E7C" w:rsidRDefault="00122E7C">
    <w:pPr>
      <w:pStyle w:val="FooterCouncil"/>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88590742"/>
      <w:docPartObj>
        <w:docPartGallery w:val="Page Numbers (Bottom of Page)"/>
        <w:docPartUnique/>
      </w:docPartObj>
    </w:sdtPr>
    <w:sdtEndPr/>
    <w:sdtContent>
      <w:p w14:paraId="77F389EE" w14:textId="77777777" w:rsidR="00122E7C" w:rsidRDefault="00122E7C">
        <w:pPr>
          <w:pStyle w:val="Footer"/>
          <w:jc w:val="center"/>
        </w:pPr>
        <w:r>
          <w:fldChar w:fldCharType="begin"/>
        </w:r>
        <w:r>
          <w:instrText xml:space="preserve"> PAGE   \* MERGEFORMAT </w:instrText>
        </w:r>
        <w:r>
          <w:fldChar w:fldCharType="separate"/>
        </w:r>
        <w:r>
          <w:t>125</w:t>
        </w:r>
        <w:r>
          <w:fldChar w:fldCharType="end"/>
        </w:r>
      </w:p>
    </w:sdtContent>
  </w:sdt>
  <w:p w14:paraId="54FF797A" w14:textId="77777777" w:rsidR="00122E7C" w:rsidRDefault="00122E7C">
    <w:pPr>
      <w:pStyle w:val="FooterCouncil"/>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6284C" w14:textId="77777777" w:rsidR="00E42B18" w:rsidRDefault="00E42B18">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69438783"/>
      <w:docPartObj>
        <w:docPartGallery w:val="Page Numbers (Bottom of Page)"/>
        <w:docPartUnique/>
      </w:docPartObj>
    </w:sdtPr>
    <w:sdtEndPr/>
    <w:sdtContent>
      <w:p w14:paraId="0C14A3A0"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0ED5EF8B" w14:textId="77777777" w:rsidR="00E42B18" w:rsidRDefault="00E42B18">
    <w:pPr>
      <w:pStyle w:val="FooterCouncil"/>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8BA4C" w14:textId="77777777" w:rsidR="00E42B18" w:rsidRDefault="00E42B18">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14F1A" w14:textId="77777777" w:rsidR="00E42B18" w:rsidRDefault="00E42B18">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06992641"/>
      <w:docPartObj>
        <w:docPartGallery w:val="Page Numbers (Bottom of Page)"/>
        <w:docPartUnique/>
      </w:docPartObj>
    </w:sdtPr>
    <w:sdtEndPr/>
    <w:sdtContent>
      <w:p w14:paraId="7902460E"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67467335" w14:textId="77777777" w:rsidR="00E42B18" w:rsidRDefault="00E42B18">
    <w:pPr>
      <w:pStyle w:val="FooterCouncil"/>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2617F" w14:textId="77777777" w:rsidR="00E42B18" w:rsidRDefault="00E42B18">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1CCD6" w14:textId="77777777" w:rsidR="00E42B18" w:rsidRDefault="00E42B18">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71273559"/>
      <w:docPartObj>
        <w:docPartGallery w:val="Page Numbers (Bottom of Page)"/>
        <w:docPartUnique/>
      </w:docPartObj>
    </w:sdtPr>
    <w:sdtEndPr/>
    <w:sdtContent>
      <w:p w14:paraId="6D2843FF"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3CC5750A" w14:textId="77777777" w:rsidR="00E42B18" w:rsidRDefault="00E42B18">
    <w:pPr>
      <w:pStyle w:val="FooterCouncil"/>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DE4D3" w14:textId="77777777" w:rsidR="00E42B18" w:rsidRDefault="00E42B18">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89412576"/>
      <w:docPartObj>
        <w:docPartGallery w:val="Page Numbers (Bottom of Page)"/>
        <w:docPartUnique/>
      </w:docPartObj>
    </w:sdtPr>
    <w:sdtEndPr/>
    <w:sdtContent>
      <w:p w14:paraId="4C7288C3" w14:textId="77777777" w:rsidR="00122E7C" w:rsidRDefault="00122E7C">
        <w:pPr>
          <w:pStyle w:val="Footer"/>
          <w:jc w:val="center"/>
        </w:pPr>
        <w:r>
          <w:fldChar w:fldCharType="begin"/>
        </w:r>
        <w:r>
          <w:instrText xml:space="preserve"> PAGE   \* MERGEFORMAT </w:instrText>
        </w:r>
        <w:r>
          <w:fldChar w:fldCharType="separate"/>
        </w:r>
        <w:r>
          <w:t>150</w:t>
        </w:r>
        <w:r>
          <w:fldChar w:fldCharType="end"/>
        </w:r>
      </w:p>
    </w:sdtContent>
  </w:sdt>
  <w:p w14:paraId="60F571B0" w14:textId="77777777" w:rsidR="00122E7C" w:rsidRDefault="00122E7C">
    <w:pPr>
      <w:pStyle w:val="FooterCouncil"/>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20757558"/>
      <w:docPartObj>
        <w:docPartGallery w:val="Page Numbers (Bottom of Page)"/>
        <w:docPartUnique/>
      </w:docPartObj>
    </w:sdtPr>
    <w:sdtEndPr/>
    <w:sdtContent>
      <w:p w14:paraId="2DAE1122"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09D417B4" w14:textId="77777777" w:rsidR="00E42B18" w:rsidRDefault="00E42B18">
    <w:pPr>
      <w:pStyle w:val="FooterCouncil"/>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EB488" w14:textId="77777777" w:rsidR="00E42B18" w:rsidRDefault="00E42B18">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73375581"/>
      <w:docPartObj>
        <w:docPartGallery w:val="Page Numbers (Bottom of Page)"/>
        <w:docPartUnique/>
      </w:docPartObj>
    </w:sdtPr>
    <w:sdtEndPr/>
    <w:sdtContent>
      <w:p w14:paraId="4B15B08D" w14:textId="77777777" w:rsidR="00E42B18" w:rsidRDefault="009629C4">
        <w:pPr>
          <w:pStyle w:val="Footer"/>
          <w:jc w:val="center"/>
        </w:pPr>
        <w:r>
          <w:fldChar w:fldCharType="begin"/>
        </w:r>
        <w:r>
          <w:instrText xml:space="preserve"> PAGE   \* MERGEFORMAT </w:instrText>
        </w:r>
        <w:r>
          <w:fldChar w:fldCharType="separate"/>
        </w:r>
        <w:r>
          <w:t>188</w:t>
        </w:r>
        <w:r>
          <w:fldChar w:fldCharType="end"/>
        </w:r>
      </w:p>
    </w:sdtContent>
  </w:sdt>
  <w:p w14:paraId="1A22EFA3" w14:textId="77777777" w:rsidR="00E42B18" w:rsidRDefault="00E42B18">
    <w:pPr>
      <w:pStyle w:val="FooterCouncil"/>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CF846" w14:textId="77777777" w:rsidR="00E42B18" w:rsidRDefault="00E42B18">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4F8D3" w14:textId="77777777" w:rsidR="00E42B18" w:rsidRDefault="00E42B18">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17821140"/>
      <w:docPartObj>
        <w:docPartGallery w:val="Page Numbers (Bottom of Page)"/>
        <w:docPartUnique/>
      </w:docPartObj>
    </w:sdtPr>
    <w:sdtEndPr/>
    <w:sdtContent>
      <w:p w14:paraId="4AB8E351" w14:textId="77777777" w:rsidR="00E42B18" w:rsidRDefault="009629C4">
        <w:pPr>
          <w:pStyle w:val="Footer"/>
          <w:jc w:val="center"/>
        </w:pPr>
        <w:r>
          <w:fldChar w:fldCharType="begin"/>
        </w:r>
        <w:r>
          <w:instrText xml:space="preserve"> PAGE   \* MERGEFORMAT </w:instrText>
        </w:r>
        <w:r>
          <w:fldChar w:fldCharType="separate"/>
        </w:r>
        <w:r>
          <w:t>252</w:t>
        </w:r>
        <w:r>
          <w:fldChar w:fldCharType="end"/>
        </w:r>
      </w:p>
    </w:sdtContent>
  </w:sdt>
  <w:p w14:paraId="31F56FB2" w14:textId="77777777" w:rsidR="00E42B18" w:rsidRDefault="00E42B18">
    <w:pPr>
      <w:pStyle w:val="FooterCouncil"/>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C44B5" w14:textId="77777777" w:rsidR="00E42B18" w:rsidRDefault="00E42B18">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91495645"/>
      <w:docPartObj>
        <w:docPartGallery w:val="Page Numbers (Bottom of Page)"/>
        <w:docPartUnique/>
      </w:docPartObj>
    </w:sdtPr>
    <w:sdtEndPr/>
    <w:sdtContent>
      <w:p w14:paraId="045D52FF" w14:textId="77777777" w:rsidR="00122E7C" w:rsidRDefault="00122E7C">
        <w:pPr>
          <w:pStyle w:val="Footer"/>
          <w:jc w:val="center"/>
        </w:pPr>
        <w:r>
          <w:fldChar w:fldCharType="begin"/>
        </w:r>
        <w:r>
          <w:instrText xml:space="preserve"> PAGE   \* MERGEFORMAT </w:instrText>
        </w:r>
        <w:r>
          <w:fldChar w:fldCharType="separate"/>
        </w:r>
        <w:r>
          <w:t>252</w:t>
        </w:r>
        <w:r>
          <w:fldChar w:fldCharType="end"/>
        </w:r>
      </w:p>
    </w:sdtContent>
  </w:sdt>
  <w:p w14:paraId="0B45BC35" w14:textId="77777777" w:rsidR="00122E7C" w:rsidRDefault="00122E7C">
    <w:pPr>
      <w:pStyle w:val="FooterCouncil"/>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21087832"/>
      <w:docPartObj>
        <w:docPartGallery w:val="Page Numbers (Bottom of Page)"/>
        <w:docPartUnique/>
      </w:docPartObj>
    </w:sdtPr>
    <w:sdtEndPr/>
    <w:sdtContent>
      <w:p w14:paraId="016A6297" w14:textId="77777777" w:rsidR="00122E7C" w:rsidRDefault="00122E7C">
        <w:pPr>
          <w:pStyle w:val="Footer"/>
          <w:jc w:val="center"/>
        </w:pPr>
        <w:r>
          <w:fldChar w:fldCharType="begin"/>
        </w:r>
        <w:r>
          <w:instrText xml:space="preserve"> PAGE   \* MERGEFORMAT </w:instrText>
        </w:r>
        <w:r>
          <w:fldChar w:fldCharType="separate"/>
        </w:r>
        <w:r>
          <w:t>252</w:t>
        </w:r>
        <w:r>
          <w:fldChar w:fldCharType="end"/>
        </w:r>
      </w:p>
    </w:sdtContent>
  </w:sdt>
  <w:p w14:paraId="6954ED21" w14:textId="77777777" w:rsidR="00122E7C" w:rsidRDefault="00122E7C">
    <w:pPr>
      <w:pStyle w:val="FooterCouncil"/>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38405075"/>
      <w:docPartObj>
        <w:docPartGallery w:val="Page Numbers (Bottom of Page)"/>
        <w:docPartUnique/>
      </w:docPartObj>
    </w:sdtPr>
    <w:sdtEndPr/>
    <w:sdtContent>
      <w:p w14:paraId="168CECDC" w14:textId="77777777" w:rsidR="00122E7C" w:rsidRDefault="00122E7C">
        <w:pPr>
          <w:pStyle w:val="Footer"/>
          <w:jc w:val="center"/>
        </w:pPr>
        <w:r>
          <w:fldChar w:fldCharType="begin"/>
        </w:r>
        <w:r>
          <w:instrText xml:space="preserve"> PAGE   \* MERGEFORMAT </w:instrText>
        </w:r>
        <w:r>
          <w:fldChar w:fldCharType="separate"/>
        </w:r>
        <w:r>
          <w:t>252</w:t>
        </w:r>
        <w:r>
          <w:fldChar w:fldCharType="end"/>
        </w:r>
      </w:p>
    </w:sdtContent>
  </w:sdt>
  <w:p w14:paraId="37676154" w14:textId="77777777" w:rsidR="00122E7C" w:rsidRDefault="00122E7C">
    <w:pPr>
      <w:pStyle w:val="FooterCouncil"/>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894780933"/>
      <w:docPartObj>
        <w:docPartGallery w:val="Page Numbers (Bottom of Page)"/>
        <w:docPartUnique/>
      </w:docPartObj>
    </w:sdtPr>
    <w:sdtEndPr/>
    <w:sdtContent>
      <w:p w14:paraId="44BCF1E1" w14:textId="77777777" w:rsidR="00122E7C" w:rsidRDefault="00122E7C">
        <w:pPr>
          <w:pStyle w:val="Footer"/>
          <w:jc w:val="center"/>
        </w:pPr>
        <w:r>
          <w:fldChar w:fldCharType="begin"/>
        </w:r>
        <w:r>
          <w:instrText xml:space="preserve"> PAGE   \* MERGEFORMAT </w:instrText>
        </w:r>
        <w:r>
          <w:fldChar w:fldCharType="separate"/>
        </w:r>
        <w:r>
          <w:t>252</w:t>
        </w:r>
        <w:r>
          <w:fldChar w:fldCharType="end"/>
        </w:r>
      </w:p>
    </w:sdtContent>
  </w:sdt>
  <w:p w14:paraId="1F981C55" w14:textId="77777777" w:rsidR="00122E7C" w:rsidRDefault="00122E7C">
    <w:pPr>
      <w:pStyle w:val="FooterCouncil"/>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05212967"/>
      <w:docPartObj>
        <w:docPartGallery w:val="Page Numbers (Bottom of Page)"/>
        <w:docPartUnique/>
      </w:docPartObj>
    </w:sdtPr>
    <w:sdtEndPr/>
    <w:sdtContent>
      <w:p w14:paraId="6D272CAD" w14:textId="77777777" w:rsidR="00122E7C" w:rsidRDefault="00122E7C">
        <w:pPr>
          <w:pStyle w:val="Footer"/>
          <w:jc w:val="center"/>
        </w:pPr>
        <w:r>
          <w:fldChar w:fldCharType="begin"/>
        </w:r>
        <w:r>
          <w:instrText xml:space="preserve"> PAGE   \* MERGEFORMAT </w:instrText>
        </w:r>
        <w:r>
          <w:fldChar w:fldCharType="separate"/>
        </w:r>
        <w:r>
          <w:t>252</w:t>
        </w:r>
        <w:r>
          <w:fldChar w:fldCharType="end"/>
        </w:r>
      </w:p>
    </w:sdtContent>
  </w:sdt>
  <w:p w14:paraId="12E9E35C" w14:textId="77777777" w:rsidR="00122E7C" w:rsidRDefault="00122E7C">
    <w:pPr>
      <w:pStyle w:val="FooterCouncil"/>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0515B" w14:textId="77777777" w:rsidR="00E42B18" w:rsidRDefault="00E42B18">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104251616"/>
      <w:docPartObj>
        <w:docPartGallery w:val="Page Numbers (Bottom of Page)"/>
        <w:docPartUnique/>
      </w:docPartObj>
    </w:sdtPr>
    <w:sdtEndPr/>
    <w:sdtContent>
      <w:p w14:paraId="0037A069"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711182E1" w14:textId="77777777" w:rsidR="00E42B18" w:rsidRDefault="00E42B18">
    <w:pPr>
      <w:pStyle w:val="FooterCouncil"/>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EEC8" w14:textId="77777777" w:rsidR="00E42B18" w:rsidRDefault="00E42B18">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65E31" w14:textId="77777777" w:rsidR="00E42B18" w:rsidRDefault="00E42B18">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53387456"/>
      <w:docPartObj>
        <w:docPartGallery w:val="Page Numbers (Bottom of Page)"/>
        <w:docPartUnique/>
      </w:docPartObj>
    </w:sdtPr>
    <w:sdtEndPr/>
    <w:sdtContent>
      <w:p w14:paraId="7FC8B172"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514C6D41" w14:textId="77777777" w:rsidR="00E42B18" w:rsidRDefault="00E42B18">
    <w:pPr>
      <w:pStyle w:val="FooterCouncil"/>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22A4A" w14:textId="77777777" w:rsidR="00E42B18" w:rsidRDefault="00E42B18">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08437440"/>
      <w:docPartObj>
        <w:docPartGallery w:val="Page Numbers (Bottom of Page)"/>
        <w:docPartUnique/>
      </w:docPartObj>
    </w:sdtPr>
    <w:sdtEndPr/>
    <w:sdtContent>
      <w:p w14:paraId="0D1E9511" w14:textId="77777777" w:rsidR="00E42B18" w:rsidRDefault="009629C4">
        <w:pPr>
          <w:pStyle w:val="Footer"/>
          <w:jc w:val="center"/>
        </w:pPr>
        <w:r>
          <w:fldChar w:fldCharType="begin"/>
        </w:r>
        <w:r>
          <w:instrText xml:space="preserve"> PAGE   \* MERGEFORMAT </w:instrText>
        </w:r>
        <w:r>
          <w:fldChar w:fldCharType="separate"/>
        </w:r>
        <w:r>
          <w:t>301</w:t>
        </w:r>
        <w:r>
          <w:fldChar w:fldCharType="end"/>
        </w:r>
      </w:p>
    </w:sdtContent>
  </w:sdt>
  <w:p w14:paraId="69496CCA" w14:textId="77777777" w:rsidR="00E42B18" w:rsidRDefault="00E42B18">
    <w:pPr>
      <w:pStyle w:val="FooterCouncil"/>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40527726"/>
      <w:docPartObj>
        <w:docPartGallery w:val="Page Numbers (Bottom of Page)"/>
        <w:docPartUnique/>
      </w:docPartObj>
    </w:sdtPr>
    <w:sdtEndPr/>
    <w:sdtContent>
      <w:p w14:paraId="722009B0" w14:textId="77777777" w:rsidR="00122E7C" w:rsidRDefault="00122E7C">
        <w:pPr>
          <w:pStyle w:val="Footer"/>
          <w:jc w:val="center"/>
        </w:pPr>
        <w:r>
          <w:fldChar w:fldCharType="begin"/>
        </w:r>
        <w:r>
          <w:instrText xml:space="preserve"> PAGE   \* MERGEFORMAT </w:instrText>
        </w:r>
        <w:r>
          <w:fldChar w:fldCharType="separate"/>
        </w:r>
        <w:r>
          <w:t>301</w:t>
        </w:r>
        <w:r>
          <w:fldChar w:fldCharType="end"/>
        </w:r>
      </w:p>
    </w:sdtContent>
  </w:sdt>
  <w:p w14:paraId="5220982D" w14:textId="77777777" w:rsidR="00122E7C" w:rsidRDefault="00122E7C">
    <w:pPr>
      <w:pStyle w:val="FooterCouncil"/>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9C194" w14:textId="77777777" w:rsidR="00E42B18" w:rsidRDefault="00E42B18">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83844078"/>
      <w:docPartObj>
        <w:docPartGallery w:val="Page Numbers (Bottom of Page)"/>
        <w:docPartUnique/>
      </w:docPartObj>
    </w:sdtPr>
    <w:sdtEndPr/>
    <w:sdtContent>
      <w:p w14:paraId="4C95E0B3" w14:textId="77777777" w:rsidR="00E42B18" w:rsidRDefault="009629C4">
        <w:pPr>
          <w:pStyle w:val="Footer"/>
          <w:jc w:val="center"/>
        </w:pPr>
        <w:r>
          <w:fldChar w:fldCharType="begin"/>
        </w:r>
        <w:r>
          <w:instrText xml:space="preserve"> PAGE   \* MERGEFORMAT </w:instrText>
        </w:r>
        <w:r>
          <w:fldChar w:fldCharType="separate"/>
        </w:r>
        <w:r>
          <w:t>303</w:t>
        </w:r>
        <w:r>
          <w:fldChar w:fldCharType="end"/>
        </w:r>
      </w:p>
    </w:sdtContent>
  </w:sdt>
  <w:p w14:paraId="2CDA133D" w14:textId="77777777" w:rsidR="00E42B18" w:rsidRDefault="00E42B18">
    <w:pPr>
      <w:pStyle w:val="FooterCouncil"/>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DA44F" w14:textId="77777777" w:rsidR="00E42B18" w:rsidRDefault="00E42B18">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5D96B" w14:textId="77777777" w:rsidR="00E42B18" w:rsidRDefault="00E42B18">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83001240"/>
      <w:docPartObj>
        <w:docPartGallery w:val="Page Numbers (Bottom of Page)"/>
        <w:docPartUnique/>
      </w:docPartObj>
    </w:sdtPr>
    <w:sdtEndPr/>
    <w:sdtContent>
      <w:p w14:paraId="732E22B6" w14:textId="77777777" w:rsidR="00E42B18" w:rsidRDefault="009629C4">
        <w:pPr>
          <w:pStyle w:val="Footer"/>
          <w:jc w:val="center"/>
        </w:pPr>
        <w:r>
          <w:fldChar w:fldCharType="begin"/>
        </w:r>
        <w:r>
          <w:instrText xml:space="preserve"> PAGE   \* MERGEFORMAT </w:instrText>
        </w:r>
        <w:r>
          <w:fldChar w:fldCharType="separate"/>
        </w:r>
        <w:r>
          <w:t>305</w:t>
        </w:r>
        <w:r>
          <w:fldChar w:fldCharType="end"/>
        </w:r>
      </w:p>
    </w:sdtContent>
  </w:sdt>
  <w:p w14:paraId="4BF68858" w14:textId="77777777" w:rsidR="00E42B18" w:rsidRDefault="00E42B18">
    <w:pPr>
      <w:pStyle w:val="FooterCouncil"/>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D49D7" w14:textId="77777777" w:rsidR="00E42B18" w:rsidRDefault="00E42B18">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F72C7" w14:textId="77777777" w:rsidR="00E42B18" w:rsidRDefault="00E42B18">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71768562"/>
      <w:docPartObj>
        <w:docPartGallery w:val="Page Numbers (Bottom of Page)"/>
        <w:docPartUnique/>
      </w:docPartObj>
    </w:sdtPr>
    <w:sdtEndPr/>
    <w:sdtContent>
      <w:p w14:paraId="7D2ED769" w14:textId="77777777" w:rsidR="00E42B18" w:rsidRDefault="009629C4">
        <w:pPr>
          <w:pStyle w:val="Footer"/>
          <w:jc w:val="center"/>
        </w:pPr>
        <w:r>
          <w:fldChar w:fldCharType="begin"/>
        </w:r>
        <w:r>
          <w:instrText xml:space="preserve"> PAGE   \* MERGEFORMAT </w:instrText>
        </w:r>
        <w:r>
          <w:fldChar w:fldCharType="separate"/>
        </w:r>
        <w:r>
          <w:t>311</w:t>
        </w:r>
        <w:r>
          <w:fldChar w:fldCharType="end"/>
        </w:r>
      </w:p>
    </w:sdtContent>
  </w:sdt>
  <w:p w14:paraId="090ACE95" w14:textId="77777777" w:rsidR="00E42B18" w:rsidRDefault="00E42B18">
    <w:pPr>
      <w:pStyle w:val="FooterCouncil"/>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EDF68" w14:textId="77777777" w:rsidR="00E42B18" w:rsidRDefault="00E42B18">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018567702"/>
      <w:docPartObj>
        <w:docPartGallery w:val="Page Numbers (Bottom of Page)"/>
        <w:docPartUnique/>
      </w:docPartObj>
    </w:sdtPr>
    <w:sdtEndPr/>
    <w:sdtContent>
      <w:p w14:paraId="1A2544CF" w14:textId="77777777" w:rsidR="00122E7C" w:rsidRDefault="00122E7C">
        <w:pPr>
          <w:pStyle w:val="Footer"/>
          <w:jc w:val="center"/>
        </w:pPr>
        <w:r>
          <w:fldChar w:fldCharType="begin"/>
        </w:r>
        <w:r>
          <w:instrText xml:space="preserve"> PAGE   \* MERGEFORMAT </w:instrText>
        </w:r>
        <w:r>
          <w:fldChar w:fldCharType="separate"/>
        </w:r>
        <w:r>
          <w:t>311</w:t>
        </w:r>
        <w:r>
          <w:fldChar w:fldCharType="end"/>
        </w:r>
      </w:p>
    </w:sdtContent>
  </w:sdt>
  <w:p w14:paraId="22CD7CDD" w14:textId="77777777" w:rsidR="00122E7C" w:rsidRDefault="00122E7C">
    <w:pPr>
      <w:pStyle w:val="FooterCouncil"/>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AE054" w14:textId="77777777" w:rsidR="00E42B18" w:rsidRDefault="00E42B18">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20093231"/>
      <w:docPartObj>
        <w:docPartGallery w:val="Page Numbers (Bottom of Page)"/>
        <w:docPartUnique/>
      </w:docPartObj>
    </w:sdtPr>
    <w:sdtEndPr/>
    <w:sdtContent>
      <w:p w14:paraId="3654EAC1" w14:textId="77777777" w:rsidR="00E42B18" w:rsidRDefault="009629C4">
        <w:pPr>
          <w:pStyle w:val="Footer"/>
          <w:jc w:val="center"/>
        </w:pPr>
        <w:r>
          <w:fldChar w:fldCharType="begin"/>
        </w:r>
        <w:r>
          <w:instrText xml:space="preserve"> PAGE   \* MERGEFORMAT </w:instrText>
        </w:r>
        <w:r>
          <w:fldChar w:fldCharType="separate"/>
        </w:r>
        <w:r>
          <w:t>316</w:t>
        </w:r>
        <w:r>
          <w:fldChar w:fldCharType="end"/>
        </w:r>
      </w:p>
    </w:sdtContent>
  </w:sdt>
  <w:p w14:paraId="72BEB777" w14:textId="77777777" w:rsidR="00E42B18" w:rsidRDefault="00E42B18">
    <w:pPr>
      <w:pStyle w:val="FooterCouncil"/>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C77A8" w14:textId="77777777" w:rsidR="00E42B18" w:rsidRDefault="00E42B18">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2B878" w14:textId="77777777" w:rsidR="00E42B18" w:rsidRDefault="00E42B18">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88578604"/>
      <w:docPartObj>
        <w:docPartGallery w:val="Page Numbers (Bottom of Page)"/>
        <w:docPartUnique/>
      </w:docPartObj>
    </w:sdtPr>
    <w:sdtEndPr/>
    <w:sdtContent>
      <w:p w14:paraId="42B3B8C4" w14:textId="77777777" w:rsidR="00E42B18" w:rsidRDefault="009629C4">
        <w:pPr>
          <w:pStyle w:val="Footer"/>
          <w:jc w:val="center"/>
        </w:pPr>
        <w:r>
          <w:fldChar w:fldCharType="begin"/>
        </w:r>
        <w:r>
          <w:instrText xml:space="preserve"> PAGE   \* MERGEFORMAT </w:instrText>
        </w:r>
        <w:r>
          <w:fldChar w:fldCharType="separate"/>
        </w:r>
        <w:r>
          <w:t>321</w:t>
        </w:r>
        <w:r>
          <w:fldChar w:fldCharType="end"/>
        </w:r>
      </w:p>
    </w:sdtContent>
  </w:sdt>
  <w:p w14:paraId="03C407FB" w14:textId="77777777" w:rsidR="00E42B18" w:rsidRDefault="00E42B18">
    <w:pPr>
      <w:pStyle w:val="FooterCouncil"/>
    </w:pP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BDA08" w14:textId="77777777" w:rsidR="00E42B18" w:rsidRDefault="00E42B18">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08CF8" w14:textId="77777777" w:rsidR="00E42B18" w:rsidRDefault="00E42B18">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02795532"/>
      <w:docPartObj>
        <w:docPartGallery w:val="Page Numbers (Bottom of Page)"/>
        <w:docPartUnique/>
      </w:docPartObj>
    </w:sdtPr>
    <w:sdtEndPr/>
    <w:sdtContent>
      <w:p w14:paraId="12914846" w14:textId="77777777" w:rsidR="00E42B18" w:rsidRDefault="009629C4">
        <w:pPr>
          <w:pStyle w:val="Footer"/>
          <w:jc w:val="center"/>
        </w:pPr>
        <w:r>
          <w:fldChar w:fldCharType="begin"/>
        </w:r>
        <w:r>
          <w:instrText xml:space="preserve"> PAGE   \* MERGEFORMAT </w:instrText>
        </w:r>
        <w:r>
          <w:fldChar w:fldCharType="separate"/>
        </w:r>
        <w:r>
          <w:t>329</w:t>
        </w:r>
        <w:r>
          <w:fldChar w:fldCharType="end"/>
        </w:r>
      </w:p>
    </w:sdtContent>
  </w:sdt>
  <w:p w14:paraId="6A8E4DD0" w14:textId="77777777" w:rsidR="00E42B18" w:rsidRDefault="00E42B18">
    <w:pPr>
      <w:pStyle w:val="FooterCouncil"/>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6995D" w14:textId="77777777" w:rsidR="00E42B18" w:rsidRDefault="00E42B18">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2D269" w14:textId="77777777" w:rsidR="00E42B18" w:rsidRDefault="00E42B18">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420231685"/>
      <w:docPartObj>
        <w:docPartGallery w:val="Page Numbers (Bottom of Page)"/>
        <w:docPartUnique/>
      </w:docPartObj>
    </w:sdtPr>
    <w:sdtEndPr/>
    <w:sdtContent>
      <w:p w14:paraId="3571F17F" w14:textId="77777777" w:rsidR="00E42B18" w:rsidRDefault="009629C4">
        <w:pPr>
          <w:pStyle w:val="Footer"/>
          <w:jc w:val="center"/>
        </w:pPr>
        <w:r>
          <w:fldChar w:fldCharType="begin"/>
        </w:r>
        <w:r>
          <w:instrText xml:space="preserve"> PAGE   \* MERGEFORMAT </w:instrText>
        </w:r>
        <w:r>
          <w:fldChar w:fldCharType="separate"/>
        </w:r>
        <w:r>
          <w:t>333</w:t>
        </w:r>
        <w:r>
          <w:fldChar w:fldCharType="end"/>
        </w:r>
      </w:p>
    </w:sdtContent>
  </w:sdt>
  <w:p w14:paraId="6F4A6CCD" w14:textId="77777777" w:rsidR="00E42B18" w:rsidRDefault="00E42B18">
    <w:pPr>
      <w:pStyle w:val="FooterCouncil"/>
    </w:pP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D82FD" w14:textId="77777777" w:rsidR="00E42B18" w:rsidRDefault="00E42B18">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A9ACB" w14:textId="77777777" w:rsidR="00E42B18" w:rsidRDefault="00E42B18">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099909044"/>
      <w:docPartObj>
        <w:docPartGallery w:val="Page Numbers (Bottom of Page)"/>
        <w:docPartUnique/>
      </w:docPartObj>
    </w:sdtPr>
    <w:sdtEndPr/>
    <w:sdtContent>
      <w:p w14:paraId="126C709C" w14:textId="77777777" w:rsidR="00E42B18" w:rsidRDefault="009629C4">
        <w:pPr>
          <w:pStyle w:val="Footer"/>
          <w:jc w:val="center"/>
        </w:pPr>
        <w:r>
          <w:fldChar w:fldCharType="begin"/>
        </w:r>
        <w:r>
          <w:instrText xml:space="preserve"> PAGE   \* MERGEFORMAT </w:instrText>
        </w:r>
        <w:r>
          <w:fldChar w:fldCharType="separate"/>
        </w:r>
        <w:r>
          <w:t>346</w:t>
        </w:r>
        <w:r>
          <w:fldChar w:fldCharType="end"/>
        </w:r>
      </w:p>
    </w:sdtContent>
  </w:sdt>
  <w:p w14:paraId="6528BDA0" w14:textId="77777777" w:rsidR="00E42B18" w:rsidRDefault="00E42B18">
    <w:pPr>
      <w:pStyle w:val="FooterCouncil"/>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E8AB3" w14:textId="77777777" w:rsidR="00E42B18" w:rsidRDefault="00E42B18">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FDFE" w14:textId="77777777" w:rsidR="00E42B18" w:rsidRDefault="00E42B18">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33151712"/>
      <w:docPartObj>
        <w:docPartGallery w:val="Page Numbers (Bottom of Page)"/>
        <w:docPartUnique/>
      </w:docPartObj>
    </w:sdtPr>
    <w:sdtEndPr/>
    <w:sdtContent>
      <w:p w14:paraId="496D1DD3" w14:textId="77777777" w:rsidR="00E42B18" w:rsidRDefault="009629C4">
        <w:pPr>
          <w:pStyle w:val="Footer"/>
          <w:jc w:val="center"/>
        </w:pPr>
        <w:r>
          <w:fldChar w:fldCharType="begin"/>
        </w:r>
        <w:r>
          <w:instrText xml:space="preserve"> PAGE   \* MERGEFORMAT </w:instrText>
        </w:r>
        <w:r>
          <w:fldChar w:fldCharType="separate"/>
        </w:r>
        <w:r>
          <w:t>348</w:t>
        </w:r>
        <w:r>
          <w:fldChar w:fldCharType="end"/>
        </w:r>
      </w:p>
    </w:sdtContent>
  </w:sdt>
  <w:p w14:paraId="7A1E035D" w14:textId="77777777" w:rsidR="00E42B18" w:rsidRDefault="00E42B18">
    <w:pPr>
      <w:pStyle w:val="FooterCouncil"/>
    </w:pP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B8A8D" w14:textId="77777777" w:rsidR="00E42B18" w:rsidRDefault="00E42B18">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CC578" w14:textId="77777777" w:rsidR="00E42B18" w:rsidRDefault="00E42B18">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129649965"/>
      <w:docPartObj>
        <w:docPartGallery w:val="Page Numbers (Bottom of Page)"/>
        <w:docPartUnique/>
      </w:docPartObj>
    </w:sdtPr>
    <w:sdtEndPr/>
    <w:sdtContent>
      <w:p w14:paraId="21D91727"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2059EBF7" w14:textId="77777777" w:rsidR="00E42B18" w:rsidRDefault="00E42B18">
    <w:pPr>
      <w:pStyle w:val="FooterCouncil"/>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1B9AE" w14:textId="77777777" w:rsidR="00E42B18" w:rsidRDefault="00E42B18">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23601" w14:textId="77777777" w:rsidR="00E42B18" w:rsidRDefault="00E42B18">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72535438"/>
      <w:docPartObj>
        <w:docPartGallery w:val="Page Numbers (Bottom of Page)"/>
        <w:docPartUnique/>
      </w:docPartObj>
    </w:sdtPr>
    <w:sdtEndPr/>
    <w:sdtContent>
      <w:p w14:paraId="4269E7DA"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73F066D1" w14:textId="77777777" w:rsidR="00E42B18" w:rsidRDefault="00E42B18">
    <w:pPr>
      <w:pStyle w:val="FooterCouncil"/>
    </w:pP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2548D" w14:textId="77777777" w:rsidR="00E42B18" w:rsidRDefault="00E42B18">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EA315" w14:textId="77777777" w:rsidR="00E42B18" w:rsidRDefault="00E42B18">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38553045"/>
      <w:docPartObj>
        <w:docPartGallery w:val="Page Numbers (Bottom of Page)"/>
        <w:docPartUnique/>
      </w:docPartObj>
    </w:sdtPr>
    <w:sdtEndPr/>
    <w:sdtContent>
      <w:p w14:paraId="15941337"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6CB1D8C1" w14:textId="77777777" w:rsidR="00E42B18" w:rsidRDefault="00E42B18">
    <w:pPr>
      <w:pStyle w:val="FooterCouncil"/>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02A6C" w14:textId="77777777" w:rsidR="00E42B18" w:rsidRDefault="00E42B18">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93985010"/>
      <w:docPartObj>
        <w:docPartGallery w:val="Page Numbers (Bottom of Page)"/>
        <w:docPartUnique/>
      </w:docPartObj>
    </w:sdtPr>
    <w:sdtEndPr/>
    <w:sdtContent>
      <w:p w14:paraId="2283CB69" w14:textId="77777777" w:rsidR="00122E7C" w:rsidRDefault="00122E7C">
        <w:pPr>
          <w:pStyle w:val="Footer"/>
          <w:jc w:val="center"/>
        </w:pPr>
        <w:r>
          <w:fldChar w:fldCharType="begin"/>
        </w:r>
        <w:r>
          <w:instrText xml:space="preserve"> PAGE   \* MERGEFORMAT </w:instrText>
        </w:r>
        <w:r>
          <w:fldChar w:fldCharType="separate"/>
        </w:r>
        <w:r>
          <w:t>150</w:t>
        </w:r>
        <w:r>
          <w:fldChar w:fldCharType="end"/>
        </w:r>
      </w:p>
    </w:sdtContent>
  </w:sdt>
  <w:p w14:paraId="351F4866" w14:textId="77777777" w:rsidR="00122E7C" w:rsidRDefault="00122E7C">
    <w:pPr>
      <w:pStyle w:val="FooterCouncil"/>
    </w:pP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FBEAB" w14:textId="77777777" w:rsidR="00E42B18" w:rsidRDefault="00E42B18">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70300025"/>
      <w:docPartObj>
        <w:docPartGallery w:val="Page Numbers (Bottom of Page)"/>
        <w:docPartUnique/>
      </w:docPartObj>
    </w:sdtPr>
    <w:sdtEndPr/>
    <w:sdtContent>
      <w:p w14:paraId="497E0612"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02BBBA9B" w14:textId="77777777" w:rsidR="00E42B18" w:rsidRDefault="00E42B18">
    <w:pPr>
      <w:pStyle w:val="FooterCouncil"/>
    </w:pP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C5D2B" w14:textId="77777777" w:rsidR="00E42B18" w:rsidRDefault="00E42B18">
    <w:pPr>
      <w:pStyle w:val="Footer"/>
    </w:pP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42337" w14:textId="77777777" w:rsidR="00E42B18" w:rsidRDefault="00E42B18">
    <w:pPr>
      <w:pStyle w:val="Footer"/>
    </w:pPr>
  </w:p>
</w:ftr>
</file>

<file path=word/footer8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6409279"/>
      <w:docPartObj>
        <w:docPartGallery w:val="Page Numbers (Bottom of Page)"/>
        <w:docPartUnique/>
      </w:docPartObj>
    </w:sdtPr>
    <w:sdtEndPr/>
    <w:sdtContent>
      <w:p w14:paraId="2708DEBA"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1A5547A9" w14:textId="77777777" w:rsidR="00E42B18" w:rsidRDefault="00E42B18">
    <w:pPr>
      <w:pStyle w:val="FooterCouncil"/>
    </w:pPr>
  </w:p>
</w:ftr>
</file>

<file path=word/footer8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FC273" w14:textId="77777777" w:rsidR="00E42B18" w:rsidRDefault="00E42B18">
    <w:pPr>
      <w:pStyle w:val="Footer"/>
    </w:pPr>
  </w:p>
</w:ftr>
</file>

<file path=word/footer8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42AB8" w14:textId="77777777" w:rsidR="00E42B18" w:rsidRDefault="00E42B18">
    <w:pPr>
      <w:pStyle w:val="Footer"/>
    </w:pPr>
  </w:p>
</w:ftr>
</file>

<file path=word/footer9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472487318"/>
      <w:docPartObj>
        <w:docPartGallery w:val="Page Numbers (Bottom of Page)"/>
        <w:docPartUnique/>
      </w:docPartObj>
    </w:sdtPr>
    <w:sdtEndPr/>
    <w:sdtContent>
      <w:p w14:paraId="015A18CA"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78759F2C" w14:textId="77777777" w:rsidR="00E42B18" w:rsidRDefault="00E42B18">
    <w:pPr>
      <w:pStyle w:val="FooterCouncil"/>
    </w:pPr>
  </w:p>
</w:ftr>
</file>

<file path=word/footer9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75E63" w14:textId="77777777" w:rsidR="00E42B18" w:rsidRDefault="00E42B18">
    <w:pPr>
      <w:pStyle w:val="Footer"/>
    </w:pPr>
  </w:p>
</w:ftr>
</file>

<file path=word/footer9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FBA72" w14:textId="77777777" w:rsidR="00E42B18" w:rsidRDefault="00E42B18">
    <w:pPr>
      <w:pStyle w:val="Footer"/>
    </w:pPr>
  </w:p>
</w:ftr>
</file>

<file path=word/footer9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30604405"/>
      <w:docPartObj>
        <w:docPartGallery w:val="Page Numbers (Bottom of Page)"/>
        <w:docPartUnique/>
      </w:docPartObj>
    </w:sdtPr>
    <w:sdtEndPr/>
    <w:sdtContent>
      <w:p w14:paraId="0FED1D7D"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16910274" w14:textId="77777777" w:rsidR="00E42B18" w:rsidRDefault="00E42B18">
    <w:pPr>
      <w:pStyle w:val="FooterCouncil"/>
    </w:pPr>
  </w:p>
</w:ftr>
</file>

<file path=word/footer9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1A30D" w14:textId="77777777" w:rsidR="00E42B18" w:rsidRDefault="00E42B18">
    <w:pPr>
      <w:pStyle w:val="Footer"/>
    </w:pPr>
  </w:p>
</w:ftr>
</file>

<file path=word/footer9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5984869"/>
      <w:docPartObj>
        <w:docPartGallery w:val="Page Numbers (Bottom of Page)"/>
        <w:docPartUnique/>
      </w:docPartObj>
    </w:sdtPr>
    <w:sdtEndPr/>
    <w:sdtContent>
      <w:p w14:paraId="0673C3AF"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2226C58D" w14:textId="77777777" w:rsidR="00E42B18" w:rsidRDefault="00E42B18">
    <w:pPr>
      <w:pStyle w:val="FooterCouncil"/>
    </w:pPr>
  </w:p>
</w:ftr>
</file>

<file path=word/footer9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6C09A" w14:textId="77777777" w:rsidR="00E42B18" w:rsidRDefault="00E42B18">
    <w:pPr>
      <w:pStyle w:val="Footer"/>
    </w:pPr>
  </w:p>
</w:ftr>
</file>

<file path=word/footer9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10333636"/>
      <w:docPartObj>
        <w:docPartGallery w:val="Page Numbers (Bottom of Page)"/>
        <w:docPartUnique/>
      </w:docPartObj>
    </w:sdtPr>
    <w:sdtEndPr/>
    <w:sdtContent>
      <w:p w14:paraId="409DFC8F"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07EEC089" w14:textId="77777777" w:rsidR="00E42B18" w:rsidRDefault="00E42B18">
    <w:pPr>
      <w:pStyle w:val="FooterCouncil"/>
    </w:pPr>
  </w:p>
</w:ftr>
</file>

<file path=word/footer9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D46C7" w14:textId="77777777" w:rsidR="00E42B18" w:rsidRDefault="00E42B18">
    <w:pPr>
      <w:pStyle w:val="Footer"/>
    </w:pPr>
  </w:p>
</w:ftr>
</file>

<file path=word/footer9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030218303"/>
      <w:docPartObj>
        <w:docPartGallery w:val="Page Numbers (Bottom of Page)"/>
        <w:docPartUnique/>
      </w:docPartObj>
    </w:sdtPr>
    <w:sdtEndPr/>
    <w:sdtContent>
      <w:p w14:paraId="286B2416"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31541DBC" w14:textId="77777777" w:rsidR="00E42B18" w:rsidRDefault="00E42B18">
    <w:pPr>
      <w:pStyle w:val="FooterCouncil"/>
    </w:pPr>
  </w:p>
</w:ftr>
</file>

<file path=word/footer10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B20DD" w14:textId="77777777" w:rsidR="00E42B18" w:rsidRDefault="00E42B18">
    <w:pPr>
      <w:pStyle w:val="Footer"/>
    </w:pPr>
  </w:p>
</w:ftr>
</file>

<file path=word/footer10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85582437"/>
      <w:docPartObj>
        <w:docPartGallery w:val="Page Numbers (Bottom of Page)"/>
        <w:docPartUnique/>
      </w:docPartObj>
    </w:sdtPr>
    <w:sdtEndPr/>
    <w:sdtContent>
      <w:p w14:paraId="2671F551"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7CDCDE31" w14:textId="77777777" w:rsidR="00E42B18" w:rsidRDefault="00E42B18">
    <w:pPr>
      <w:pStyle w:val="FooterCouncil"/>
    </w:pPr>
  </w:p>
</w:ftr>
</file>

<file path=word/footer10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20211" w14:textId="77777777" w:rsidR="00E42B18" w:rsidRDefault="00E42B18">
    <w:pPr>
      <w:pStyle w:val="Footer"/>
    </w:pPr>
  </w:p>
</w:ftr>
</file>

<file path=word/footer10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FF179" w14:textId="77777777" w:rsidR="00E42B18" w:rsidRDefault="00E42B18">
    <w:pPr>
      <w:pStyle w:val="Footer"/>
    </w:pPr>
  </w:p>
</w:ftr>
</file>

<file path=word/footer10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473987498"/>
      <w:docPartObj>
        <w:docPartGallery w:val="Page Numbers (Bottom of Page)"/>
        <w:docPartUnique/>
      </w:docPartObj>
    </w:sdtPr>
    <w:sdtEndPr/>
    <w:sdtContent>
      <w:p w14:paraId="4EAFFB8B"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5051DA43" w14:textId="77777777" w:rsidR="00E42B18" w:rsidRDefault="00E42B18">
    <w:pPr>
      <w:pStyle w:val="FooterCouncil"/>
    </w:pPr>
  </w:p>
</w:ftr>
</file>

<file path=word/footer10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1DDA" w14:textId="77777777" w:rsidR="00E42B18" w:rsidRDefault="00E42B18">
    <w:pPr>
      <w:pStyle w:val="Footer"/>
    </w:pPr>
  </w:p>
</w:ftr>
</file>

<file path=word/footer10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CE2C1" w14:textId="77777777" w:rsidR="00E42B18" w:rsidRDefault="00E42B18">
    <w:pPr>
      <w:pStyle w:val="Footer"/>
    </w:pPr>
  </w:p>
</w:ftr>
</file>

<file path=word/footer10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77548900"/>
      <w:docPartObj>
        <w:docPartGallery w:val="Page Numbers (Bottom of Page)"/>
        <w:docPartUnique/>
      </w:docPartObj>
    </w:sdtPr>
    <w:sdtEndPr/>
    <w:sdtContent>
      <w:p w14:paraId="0BA6BD50"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16B96CCC" w14:textId="77777777" w:rsidR="00E42B18" w:rsidRDefault="00E42B18">
    <w:pPr>
      <w:pStyle w:val="FooterCouncil"/>
    </w:pPr>
  </w:p>
</w:ftr>
</file>

<file path=word/footer10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52431" w14:textId="77777777" w:rsidR="00E42B18" w:rsidRDefault="00E42B18">
    <w:pPr>
      <w:pStyle w:val="Footer"/>
    </w:pPr>
  </w:p>
</w:ftr>
</file>

<file path=word/footer10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35D04" w14:textId="77777777" w:rsidR="00E42B18" w:rsidRDefault="00E42B18">
    <w:pPr>
      <w:pStyle w:val="Footer"/>
    </w:pPr>
  </w:p>
</w:ftr>
</file>

<file path=word/footer1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977180683"/>
      <w:docPartObj>
        <w:docPartGallery w:val="Page Numbers (Bottom of Page)"/>
        <w:docPartUnique/>
      </w:docPartObj>
    </w:sdtPr>
    <w:sdtEndPr/>
    <w:sdtContent>
      <w:p w14:paraId="5AC18C2C"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4E2B6A4C" w14:textId="77777777" w:rsidR="00E42B18" w:rsidRDefault="00E42B18">
    <w:pPr>
      <w:pStyle w:val="FooterCouncil"/>
    </w:pPr>
  </w:p>
</w:ftr>
</file>

<file path=word/footer1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14D0D" w14:textId="77777777" w:rsidR="00E42B18" w:rsidRDefault="00E42B18">
    <w:pPr>
      <w:pStyle w:val="Footer"/>
    </w:pPr>
  </w:p>
</w:ftr>
</file>

<file path=word/footer1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D272B" w14:textId="77777777" w:rsidR="00E42B18" w:rsidRDefault="00E42B18">
    <w:pPr>
      <w:pStyle w:val="Footer"/>
    </w:pPr>
  </w:p>
</w:ftr>
</file>

<file path=word/footer1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569031883"/>
      <w:docPartObj>
        <w:docPartGallery w:val="Page Numbers (Bottom of Page)"/>
        <w:docPartUnique/>
      </w:docPartObj>
    </w:sdtPr>
    <w:sdtEndPr/>
    <w:sdtContent>
      <w:p w14:paraId="4936FD2C"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5D9B6550" w14:textId="77777777" w:rsidR="00E42B18" w:rsidRDefault="00E42B18">
    <w:pPr>
      <w:pStyle w:val="FooterCouncil"/>
    </w:pPr>
  </w:p>
</w:ftr>
</file>

<file path=word/footer1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A219F" w14:textId="77777777" w:rsidR="00E42B18" w:rsidRDefault="00E42B18">
    <w:pPr>
      <w:pStyle w:val="Footer"/>
    </w:pPr>
  </w:p>
</w:ftr>
</file>

<file path=word/footer1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F7DAD" w14:textId="77777777" w:rsidR="00E42B18" w:rsidRDefault="00E42B18">
    <w:pPr>
      <w:pStyle w:val="Footer"/>
    </w:pPr>
  </w:p>
</w:ftr>
</file>

<file path=word/footer1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29578663"/>
      <w:docPartObj>
        <w:docPartGallery w:val="Page Numbers (Bottom of Page)"/>
        <w:docPartUnique/>
      </w:docPartObj>
    </w:sdtPr>
    <w:sdtEndPr/>
    <w:sdtContent>
      <w:p w14:paraId="73AA753C"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6D60672B" w14:textId="77777777" w:rsidR="00E42B18" w:rsidRDefault="00E42B18">
    <w:pPr>
      <w:pStyle w:val="FooterCouncil"/>
    </w:pPr>
  </w:p>
</w:ftr>
</file>

<file path=word/footer1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C3073" w14:textId="77777777" w:rsidR="00E42B18" w:rsidRDefault="00E42B18">
    <w:pPr>
      <w:pStyle w:val="Footer"/>
    </w:pPr>
  </w:p>
</w:ftr>
</file>

<file path=word/footer1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48428" w14:textId="77777777" w:rsidR="00E42B18" w:rsidRDefault="00E42B18">
    <w:pPr>
      <w:pStyle w:val="Footer"/>
    </w:pPr>
  </w:p>
</w:ftr>
</file>

<file path=word/footer1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86676152"/>
      <w:docPartObj>
        <w:docPartGallery w:val="Page Numbers (Bottom of Page)"/>
        <w:docPartUnique/>
      </w:docPartObj>
    </w:sdtPr>
    <w:sdtEndPr/>
    <w:sdtContent>
      <w:p w14:paraId="0C65622B"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2873CBB0" w14:textId="77777777" w:rsidR="00E42B18" w:rsidRDefault="00E42B18">
    <w:pPr>
      <w:pStyle w:val="FooterCouncil"/>
    </w:pPr>
  </w:p>
</w:ftr>
</file>

<file path=word/footer1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6970B" w14:textId="77777777" w:rsidR="00E42B18" w:rsidRDefault="00E42B18">
    <w:pPr>
      <w:pStyle w:val="Footer"/>
    </w:pPr>
  </w:p>
</w:ftr>
</file>

<file path=word/footer1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C8D67" w14:textId="77777777" w:rsidR="00E42B18" w:rsidRDefault="00E42B18">
    <w:pPr>
      <w:pStyle w:val="Footer"/>
    </w:pPr>
  </w:p>
</w:ftr>
</file>

<file path=word/footer1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4835686"/>
      <w:docPartObj>
        <w:docPartGallery w:val="Page Numbers (Bottom of Page)"/>
        <w:docPartUnique/>
      </w:docPartObj>
    </w:sdtPr>
    <w:sdtEndPr/>
    <w:sdtContent>
      <w:p w14:paraId="73676C06"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61A821A2" w14:textId="77777777" w:rsidR="00E42B18" w:rsidRDefault="00E42B18">
    <w:pPr>
      <w:pStyle w:val="FooterCouncil"/>
    </w:pPr>
  </w:p>
</w:ftr>
</file>

<file path=word/footer1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1B537" w14:textId="77777777" w:rsidR="00E42B18" w:rsidRDefault="00E42B18">
    <w:pPr>
      <w:pStyle w:val="Footer"/>
    </w:pPr>
  </w:p>
</w:ftr>
</file>

<file path=word/footer1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794D1" w14:textId="77777777" w:rsidR="00E42B18" w:rsidRDefault="00E42B18">
    <w:pPr>
      <w:pStyle w:val="Footer"/>
    </w:pPr>
  </w:p>
</w:ftr>
</file>

<file path=word/footer1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0979719"/>
      <w:docPartObj>
        <w:docPartGallery w:val="Page Numbers (Bottom of Page)"/>
        <w:docPartUnique/>
      </w:docPartObj>
    </w:sdtPr>
    <w:sdtEndPr/>
    <w:sdtContent>
      <w:p w14:paraId="655EDE84"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038B4C4B" w14:textId="77777777" w:rsidR="00E42B18" w:rsidRDefault="00E42B18">
    <w:pPr>
      <w:pStyle w:val="FooterCouncil"/>
    </w:pPr>
  </w:p>
</w:ftr>
</file>

<file path=word/footer1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F1292" w14:textId="77777777" w:rsidR="00E42B18" w:rsidRDefault="00E42B18">
    <w:pPr>
      <w:pStyle w:val="Footer"/>
    </w:pPr>
  </w:p>
</w:ftr>
</file>

<file path=word/footer1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A4A9D" w14:textId="77777777" w:rsidR="00E42B18" w:rsidRDefault="00E42B18">
    <w:pPr>
      <w:pStyle w:val="Footer"/>
    </w:pPr>
  </w:p>
</w:ftr>
</file>

<file path=word/footer1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14969950"/>
      <w:docPartObj>
        <w:docPartGallery w:val="Page Numbers (Bottom of Page)"/>
        <w:docPartUnique/>
      </w:docPartObj>
    </w:sdtPr>
    <w:sdtEndPr/>
    <w:sdtContent>
      <w:p w14:paraId="0C2DC4F2"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52E91CEE" w14:textId="77777777" w:rsidR="00E42B18" w:rsidRDefault="00E42B18">
    <w:pPr>
      <w:pStyle w:val="FooterCouncil"/>
    </w:pPr>
  </w:p>
</w:ftr>
</file>

<file path=word/footer1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39920" w14:textId="77777777" w:rsidR="00E42B18" w:rsidRDefault="00E42B18">
    <w:pPr>
      <w:pStyle w:val="Footer"/>
    </w:pPr>
  </w:p>
</w:ftr>
</file>

<file path=word/footer1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FE8AA" w14:textId="77777777" w:rsidR="00E42B18" w:rsidRDefault="00E42B18">
    <w:pPr>
      <w:pStyle w:val="Footer"/>
    </w:pPr>
  </w:p>
</w:ftr>
</file>

<file path=word/footer1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74695283"/>
      <w:docPartObj>
        <w:docPartGallery w:val="Page Numbers (Bottom of Page)"/>
        <w:docPartUnique/>
      </w:docPartObj>
    </w:sdtPr>
    <w:sdtEndPr/>
    <w:sdtContent>
      <w:p w14:paraId="6FC1DFB2"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7BAF95A3" w14:textId="77777777" w:rsidR="00E42B18" w:rsidRDefault="00E42B18">
    <w:pPr>
      <w:pStyle w:val="FooterCouncil"/>
    </w:pPr>
  </w:p>
</w:ftr>
</file>

<file path=word/footer1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17BE2" w14:textId="77777777" w:rsidR="00E42B18" w:rsidRDefault="00E42B18">
    <w:pPr>
      <w:pStyle w:val="Footer"/>
    </w:pPr>
  </w:p>
</w:ftr>
</file>

<file path=word/footer1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54511586"/>
      <w:docPartObj>
        <w:docPartGallery w:val="Page Numbers (Bottom of Page)"/>
        <w:docPartUnique/>
      </w:docPartObj>
    </w:sdtPr>
    <w:sdtEndPr/>
    <w:sdtContent>
      <w:p w14:paraId="713BEEE0"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23480867" w14:textId="77777777" w:rsidR="00E42B18" w:rsidRDefault="00E42B18">
    <w:pPr>
      <w:pStyle w:val="FooterCouncil"/>
    </w:pPr>
  </w:p>
</w:ftr>
</file>

<file path=word/footer1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9EC3C" w14:textId="77777777" w:rsidR="00E42B18" w:rsidRDefault="00E42B18">
    <w:pPr>
      <w:pStyle w:val="Footer"/>
    </w:pPr>
  </w:p>
</w:ftr>
</file>

<file path=word/footer1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4108887"/>
      <w:docPartObj>
        <w:docPartGallery w:val="Page Numbers (Bottom of Page)"/>
        <w:docPartUnique/>
      </w:docPartObj>
    </w:sdtPr>
    <w:sdtEndPr/>
    <w:sdtContent>
      <w:p w14:paraId="1D450129"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7B4A47CD" w14:textId="77777777" w:rsidR="00E42B18" w:rsidRDefault="00E42B18">
    <w:pPr>
      <w:pStyle w:val="FooterCouncil"/>
    </w:pPr>
  </w:p>
</w:ftr>
</file>

<file path=word/footer1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4EEE6" w14:textId="77777777" w:rsidR="00E42B18" w:rsidRDefault="00E42B18">
    <w:pPr>
      <w:pStyle w:val="Footer"/>
    </w:pPr>
  </w:p>
</w:ftr>
</file>

<file path=word/footer1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14FF9" w14:textId="77777777" w:rsidR="00E42B18" w:rsidRDefault="00E42B18">
    <w:pPr>
      <w:pStyle w:val="Footer"/>
    </w:pPr>
  </w:p>
</w:ftr>
</file>

<file path=word/footer1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84245955"/>
      <w:docPartObj>
        <w:docPartGallery w:val="Page Numbers (Bottom of Page)"/>
        <w:docPartUnique/>
      </w:docPartObj>
    </w:sdtPr>
    <w:sdtEndPr/>
    <w:sdtContent>
      <w:p w14:paraId="7CDF7A54"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2464DBE8" w14:textId="77777777" w:rsidR="00E42B18" w:rsidRDefault="00E42B18">
    <w:pPr>
      <w:pStyle w:val="FooterCouncil"/>
    </w:pPr>
  </w:p>
</w:ftr>
</file>

<file path=word/footer1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878E5" w14:textId="77777777" w:rsidR="00E42B18" w:rsidRDefault="00E42B18">
    <w:pPr>
      <w:pStyle w:val="Footer"/>
    </w:pPr>
  </w:p>
</w:ftr>
</file>

<file path=word/footer1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28630" w14:textId="77777777" w:rsidR="00E42B18" w:rsidRDefault="00E42B18">
    <w:pPr>
      <w:pStyle w:val="Footer"/>
    </w:pPr>
  </w:p>
</w:ftr>
</file>

<file path=word/footer1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91572551"/>
      <w:docPartObj>
        <w:docPartGallery w:val="Page Numbers (Bottom of Page)"/>
        <w:docPartUnique/>
      </w:docPartObj>
    </w:sdtPr>
    <w:sdtEndPr/>
    <w:sdtContent>
      <w:p w14:paraId="1D52D1F4"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0D4D32D8" w14:textId="77777777" w:rsidR="00E42B18" w:rsidRDefault="00E42B18">
    <w:pPr>
      <w:pStyle w:val="FooterCouncil"/>
    </w:pPr>
  </w:p>
</w:ftr>
</file>

<file path=word/footer1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FD3AE" w14:textId="77777777" w:rsidR="00E42B18" w:rsidRDefault="00E42B18">
    <w:pPr>
      <w:pStyle w:val="Footer"/>
    </w:pPr>
  </w:p>
</w:ftr>
</file>

<file path=word/footer1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8E949" w14:textId="77777777" w:rsidR="00E42B18" w:rsidRDefault="00E42B18">
    <w:pPr>
      <w:pStyle w:val="Footer"/>
    </w:pPr>
  </w:p>
</w:ftr>
</file>

<file path=word/footer1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504122785"/>
      <w:docPartObj>
        <w:docPartGallery w:val="Page Numbers (Bottom of Page)"/>
        <w:docPartUnique/>
      </w:docPartObj>
    </w:sdtPr>
    <w:sdtEndPr/>
    <w:sdtContent>
      <w:p w14:paraId="2F9B1B9E"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6C7F4E98" w14:textId="77777777" w:rsidR="00E42B18" w:rsidRDefault="00E42B18">
    <w:pPr>
      <w:pStyle w:val="FooterCouncil"/>
    </w:pPr>
  </w:p>
</w:ftr>
</file>

<file path=word/footer1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951BB" w14:textId="77777777" w:rsidR="00E42B18" w:rsidRDefault="00E42B18">
    <w:pPr>
      <w:pStyle w:val="Footer"/>
    </w:pPr>
  </w:p>
</w:ftr>
</file>

<file path=word/footer1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CC395" w14:textId="77777777" w:rsidR="00E42B18" w:rsidRDefault="00E42B18">
    <w:pPr>
      <w:pStyle w:val="Footer"/>
    </w:pPr>
  </w:p>
</w:ftr>
</file>

<file path=word/footer1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78580418"/>
      <w:docPartObj>
        <w:docPartGallery w:val="Page Numbers (Bottom of Page)"/>
        <w:docPartUnique/>
      </w:docPartObj>
    </w:sdtPr>
    <w:sdtEndPr/>
    <w:sdtContent>
      <w:p w14:paraId="725D276A"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7ABE0E4E" w14:textId="77777777" w:rsidR="00E42B18" w:rsidRDefault="00E42B18">
    <w:pPr>
      <w:pStyle w:val="FooterCouncil"/>
    </w:pPr>
  </w:p>
</w:ftr>
</file>

<file path=word/footer1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B2F55" w14:textId="77777777" w:rsidR="00E42B18" w:rsidRDefault="00E42B18">
    <w:pPr>
      <w:pStyle w:val="Footer"/>
    </w:pPr>
  </w:p>
</w:ftr>
</file>

<file path=word/footer1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E26CF" w14:textId="77777777" w:rsidR="00E42B18" w:rsidRDefault="00E42B18">
    <w:pPr>
      <w:pStyle w:val="Footer"/>
    </w:pPr>
  </w:p>
</w:ftr>
</file>

<file path=word/footer1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35876722"/>
      <w:docPartObj>
        <w:docPartGallery w:val="Page Numbers (Bottom of Page)"/>
        <w:docPartUnique/>
      </w:docPartObj>
    </w:sdtPr>
    <w:sdtEndPr/>
    <w:sdtContent>
      <w:p w14:paraId="6157DFA4"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032B8BC5" w14:textId="77777777" w:rsidR="00E42B18" w:rsidRDefault="00E42B18">
    <w:pPr>
      <w:pStyle w:val="Footer"/>
    </w:pPr>
  </w:p>
</w:ftr>
</file>

<file path=word/footer1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BAD08" w14:textId="77777777" w:rsidR="00E42B18" w:rsidRDefault="00E42B18">
    <w:pPr>
      <w:pStyle w:val="Footer"/>
    </w:pPr>
  </w:p>
</w:ftr>
</file>

<file path=word/footer1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5F132" w14:textId="77777777" w:rsidR="00E42B18" w:rsidRDefault="00E42B18">
    <w:pPr>
      <w:pStyle w:val="Footer"/>
    </w:pPr>
  </w:p>
</w:ftr>
</file>

<file path=word/footer1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17611416"/>
      <w:docPartObj>
        <w:docPartGallery w:val="Page Numbers (Bottom of Page)"/>
        <w:docPartUnique/>
      </w:docPartObj>
    </w:sdtPr>
    <w:sdtEndPr/>
    <w:sdtContent>
      <w:p w14:paraId="528D6C66"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16845681" w14:textId="77777777" w:rsidR="00E42B18" w:rsidRDefault="00E42B18">
    <w:pPr>
      <w:pStyle w:val="FooterCouncil"/>
    </w:pPr>
  </w:p>
</w:ftr>
</file>

<file path=word/footer1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89133" w14:textId="77777777" w:rsidR="00E42B18" w:rsidRDefault="00E42B18">
    <w:pPr>
      <w:pStyle w:val="Footer"/>
    </w:pPr>
  </w:p>
</w:ftr>
</file>

<file path=word/footer1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65493268"/>
      <w:docPartObj>
        <w:docPartGallery w:val="Page Numbers (Bottom of Page)"/>
        <w:docPartUnique/>
      </w:docPartObj>
    </w:sdtPr>
    <w:sdtEndPr/>
    <w:sdtContent>
      <w:p w14:paraId="1FBA63FF"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4C9AED66" w14:textId="77777777" w:rsidR="00E42B18" w:rsidRDefault="00E42B18">
    <w:pPr>
      <w:pStyle w:val="FooterCouncil"/>
    </w:pPr>
  </w:p>
</w:ftr>
</file>

<file path=word/footer1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12C3" w14:textId="77777777" w:rsidR="00E42B18" w:rsidRDefault="00E42B18">
    <w:pPr>
      <w:pStyle w:val="Footer"/>
    </w:pPr>
  </w:p>
</w:ftr>
</file>

<file path=word/footer1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77860876"/>
      <w:docPartObj>
        <w:docPartGallery w:val="Page Numbers (Bottom of Page)"/>
        <w:docPartUnique/>
      </w:docPartObj>
    </w:sdtPr>
    <w:sdtEndPr/>
    <w:sdtContent>
      <w:p w14:paraId="062A5B08"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21F2EF04" w14:textId="77777777" w:rsidR="00E42B18" w:rsidRDefault="00E42B18">
    <w:pPr>
      <w:pStyle w:val="FooterCouncil"/>
    </w:pPr>
  </w:p>
</w:ftr>
</file>

<file path=word/footer1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18F57" w14:textId="77777777" w:rsidR="00E42B18" w:rsidRDefault="00E42B18">
    <w:pPr>
      <w:pStyle w:val="Footer"/>
    </w:pPr>
  </w:p>
</w:ftr>
</file>

<file path=word/footer1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52744885"/>
      <w:docPartObj>
        <w:docPartGallery w:val="Page Numbers (Bottom of Page)"/>
        <w:docPartUnique/>
      </w:docPartObj>
    </w:sdtPr>
    <w:sdtEndPr/>
    <w:sdtContent>
      <w:p w14:paraId="370EFB43" w14:textId="77777777" w:rsidR="00122E7C" w:rsidRDefault="00122E7C">
        <w:pPr>
          <w:pStyle w:val="Footer"/>
          <w:jc w:val="center"/>
        </w:pPr>
        <w:r>
          <w:fldChar w:fldCharType="begin"/>
        </w:r>
        <w:r>
          <w:instrText xml:space="preserve"> PAGE   \* MERGEFORMAT </w:instrText>
        </w:r>
        <w:r>
          <w:fldChar w:fldCharType="separate"/>
        </w:r>
        <w:r>
          <w:t>150</w:t>
        </w:r>
        <w:r>
          <w:fldChar w:fldCharType="end"/>
        </w:r>
      </w:p>
    </w:sdtContent>
  </w:sdt>
  <w:p w14:paraId="54CA1833" w14:textId="77777777" w:rsidR="00122E7C" w:rsidRDefault="00122E7C">
    <w:pPr>
      <w:pStyle w:val="FooterCouncil"/>
    </w:pPr>
  </w:p>
</w:ftr>
</file>

<file path=word/footer1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65108023"/>
      <w:docPartObj>
        <w:docPartGallery w:val="Page Numbers (Bottom of Page)"/>
        <w:docPartUnique/>
      </w:docPartObj>
    </w:sdtPr>
    <w:sdtEndPr/>
    <w:sdtContent>
      <w:p w14:paraId="163D7DEC" w14:textId="77777777" w:rsidR="00E42B18" w:rsidRDefault="009629C4">
        <w:pPr>
          <w:pStyle w:val="Footer"/>
          <w:jc w:val="center"/>
        </w:pPr>
        <w:r>
          <w:fldChar w:fldCharType="begin"/>
        </w:r>
        <w:r>
          <w:instrText xml:space="preserve"> PAGE   \* MERGEFORMAT </w:instrText>
        </w:r>
        <w:r>
          <w:fldChar w:fldCharType="separate"/>
        </w:r>
        <w:r>
          <w:t>150</w:t>
        </w:r>
        <w:r>
          <w:fldChar w:fldCharType="end"/>
        </w:r>
      </w:p>
    </w:sdtContent>
  </w:sdt>
  <w:p w14:paraId="5014921D" w14:textId="77777777" w:rsidR="00E42B18" w:rsidRDefault="00E42B18">
    <w:pPr>
      <w:pStyle w:val="FooterCounci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AE8948" w14:textId="77777777" w:rsidR="002B4222" w:rsidRDefault="002B4222">
      <w:pPr>
        <w:spacing w:after="0" w:line="240" w:lineRule="auto"/>
      </w:pPr>
      <w:r>
        <w:separator/>
      </w:r>
    </w:p>
  </w:footnote>
  <w:footnote w:type="continuationSeparator" w:id="0">
    <w:p w14:paraId="4F6BED55" w14:textId="77777777" w:rsidR="002B4222" w:rsidRDefault="002B4222">
      <w:pPr>
        <w:spacing w:after="0" w:line="240" w:lineRule="auto"/>
      </w:pPr>
      <w:r>
        <w:continuationSeparator/>
      </w:r>
    </w:p>
  </w:footnote>
  <w:footnote w:type="continuationNotice" w:id="1">
    <w:p w14:paraId="1F67B53F" w14:textId="77777777" w:rsidR="002B4222" w:rsidRDefault="002B4222">
      <w:pPr>
        <w:spacing w:after="0" w:line="240" w:lineRule="auto"/>
      </w:pPr>
    </w:p>
  </w:footnote>
  <w:footnote w:id="2">
    <w:p w14:paraId="364F768C" w14:textId="77777777" w:rsidR="00E42B18" w:rsidRDefault="009629C4">
      <w:pPr>
        <w:spacing w:after="0" w:line="240" w:lineRule="auto"/>
        <w:jc w:val="both"/>
        <w:rPr>
          <w:rFonts w:ascii="Times New Roman" w:hAnsi="Times New Roman" w:cs="Times New Roman"/>
          <w:sz w:val="20"/>
          <w:szCs w:val="20"/>
        </w:rPr>
      </w:pPr>
      <w:r>
        <w:footnoteRef/>
      </w:r>
      <w:r>
        <w:t xml:space="preserve"> </w:t>
      </w:r>
      <w:r>
        <w:rPr>
          <w:rFonts w:ascii="Times New Roman" w:hAnsi="Times New Roman" w:cs="Times New Roman"/>
          <w:sz w:val="20"/>
          <w:szCs w:val="20"/>
        </w:rPr>
        <w:t>Lukuun ottamatta tämän toimenpiteen mukaisia hankkeita, jotka koskevat sähkön ja/tai lämmön tuotantoa sekä niihin liittyvää maakaasua käyttävää siirto- ja jakeluinfrastruktuuria ja jotka täyttävät ”ei merkittävää haittaa” -periaatteesta annettujen teknisten ohjeiden (2021/C58/01) liitteessä III esitetyt ehdot.</w:t>
      </w:r>
    </w:p>
  </w:footnote>
  <w:footnote w:id="3">
    <w:p w14:paraId="21839C26" w14:textId="77777777" w:rsidR="00E42B18" w:rsidRDefault="009629C4">
      <w:pPr>
        <w:pStyle w:val="P68B1DB1-Normal113"/>
        <w:spacing w:after="0" w:line="240" w:lineRule="auto"/>
        <w:jc w:val="both"/>
        <w:rPr>
          <w:szCs w:val="20"/>
        </w:rPr>
      </w:pPr>
      <w:r>
        <w:rPr>
          <w:rFonts w:ascii="Times New Roman" w:hAnsi="Times New Roman" w:cs="Times New Roman"/>
          <w:szCs w:val="20"/>
        </w:rPr>
        <w:footnoteRef/>
      </w:r>
      <w:r>
        <w:rPr>
          <w:rFonts w:ascii="Times New Roman" w:hAnsi="Times New Roman" w:cs="Times New Roman"/>
          <w:szCs w:val="20"/>
        </w:rPr>
        <w:t xml:space="preserve"> Jos tuetulla toiminnalla saavutetaan ennustetut kasvihuonekaasupäästöt, jotka eivät ole merkittävästi alhaisempia kuin asianomaiset vertailuarvot, olisi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footnote>
  <w:footnote w:id="4">
    <w:p w14:paraId="510A15A0" w14:textId="77777777" w:rsidR="00E42B18" w:rsidRDefault="009629C4">
      <w:pPr>
        <w:spacing w:after="0" w:line="240" w:lineRule="auto"/>
        <w:jc w:val="both"/>
        <w:rPr>
          <w:rFonts w:ascii="Times New Roman" w:hAnsi="Times New Roman" w:cs="Times New Roman"/>
          <w:sz w:val="20"/>
          <w:szCs w:val="20"/>
        </w:rPr>
      </w:pPr>
      <w:r>
        <w:footnoteRef/>
      </w:r>
      <w:r>
        <w:t xml:space="preserve"> </w:t>
      </w:r>
      <w:r>
        <w:rPr>
          <w:rFonts w:ascii="Times New Roman" w:hAnsi="Times New Roman" w:cs="Times New Roman"/>
          <w:sz w:val="20"/>
          <w:szCs w:val="20"/>
        </w:rPr>
        <w:t>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w:t>
      </w:r>
    </w:p>
  </w:footnote>
  <w:footnote w:id="5">
    <w:p w14:paraId="0AEC8155" w14:textId="77777777" w:rsidR="00E42B18" w:rsidRDefault="009629C4">
      <w:pPr>
        <w:pStyle w:val="P68B1DB1-Normal126"/>
        <w:spacing w:after="0" w:line="240" w:lineRule="auto"/>
        <w:jc w:val="both"/>
      </w:pPr>
      <w: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w:t>
      </w:r>
    </w:p>
  </w:footnote>
  <w:footnote w:id="6">
    <w:p w14:paraId="2E2A4411" w14:textId="77777777" w:rsidR="00E42B18" w:rsidRDefault="009629C4">
      <w:pPr>
        <w:pStyle w:val="FootnoteText"/>
        <w:ind w:left="0" w:firstLine="0"/>
      </w:pPr>
      <w:r>
        <w:rPr>
          <w:rStyle w:val="FootnoteReference"/>
        </w:rPr>
        <w:footnoteRef/>
      </w:r>
      <w: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7">
    <w:p w14:paraId="2681FDC5" w14:textId="77777777" w:rsidR="00E42B18" w:rsidRDefault="009629C4">
      <w:pPr>
        <w:pStyle w:val="FootnoteText"/>
        <w:ind w:left="0" w:firstLine="0"/>
        <w:rPr>
          <w:rFonts w:eastAsia="EC Square Sans Pro"/>
        </w:rPr>
      </w:pPr>
      <w:r>
        <w:rPr>
          <w:rStyle w:val="FootnoteReference"/>
        </w:rPr>
        <w:footnoteRef/>
      </w:r>
      <w:r>
        <w:t xml:space="preserve"> </w:t>
      </w:r>
      <w:r>
        <w:rPr>
          <w:rFonts w:eastAsia="EC Square Sans Pro"/>
        </w:rPr>
        <w:t xml:space="preserve">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 </w:t>
      </w:r>
    </w:p>
  </w:footnote>
  <w:footnote w:id="8">
    <w:p w14:paraId="63F12DE1"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 </w:t>
      </w:r>
    </w:p>
  </w:footnote>
  <w:footnote w:id="9">
    <w:p w14:paraId="3679FD3C"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 </w:t>
      </w:r>
    </w:p>
  </w:footnote>
  <w:footnote w:id="10">
    <w:p w14:paraId="00F4C13D" w14:textId="77777777" w:rsidR="00E42B18" w:rsidRDefault="009629C4">
      <w:pPr>
        <w:spacing w:after="0"/>
        <w:jc w:val="both"/>
        <w:rPr>
          <w:rFonts w:ascii="Times New Roman" w:hAnsi="Times New Roman" w:cs="Times New Roman"/>
          <w:sz w:val="20"/>
          <w:szCs w:val="20"/>
        </w:rPr>
      </w:pPr>
      <w:r>
        <w:rPr>
          <w:rStyle w:val="FootnoteReference"/>
        </w:rPr>
        <w:footnoteRef/>
      </w:r>
      <w:r>
        <w:rPr>
          <w:rFonts w:ascii="Times New Roman" w:hAnsi="Times New Roman" w:cs="Times New Roman"/>
          <w:sz w:val="20"/>
          <w:szCs w:val="20"/>
        </w:rPr>
        <w:t>Lukuun ottamatta a) hankkeita, jotka koskevat sähkön ja/tai lämmön tuotantoa sekä niihin liittyvää maakaasua käyttävää siirto- ja jakeluinfrastruktuuria ja jotka täyttävät ”ei merkittävää haittaa” -periaatetta koskevien teknisten ohjeiden (2021/C58/01) liitteessä III vahvistetut edellytykset, ja b) ii alakohdassa tarkoitettuja toimintoja ja omaisuuseriä, joiden osalta fossiilisten polttoaineiden käyttö on väliaikaista ja teknisesti mahdotonta välttää oikea-aikaista siirtymistä fossiilisista polttoaineista vapaaseen toimintaan.</w:t>
      </w:r>
    </w:p>
  </w:footnote>
  <w:footnote w:id="11">
    <w:p w14:paraId="230872FC" w14:textId="50692238" w:rsidR="00E42B18" w:rsidRDefault="009629C4">
      <w:pPr>
        <w:pStyle w:val="FootnoteText"/>
        <w:ind w:left="0" w:firstLine="0"/>
      </w:pPr>
      <w:r>
        <w:rPr>
          <w:rStyle w:val="FootnoteReference"/>
        </w:rPr>
        <w:footnoteRef/>
      </w:r>
      <w:r>
        <w:t xml:space="preserve"> Jos tuetulla toiminnalla saavutetaan ennustetut kasvihuonekaasupäästöt, jotka eivät ole merkittävästi alhaisempia kuin asianomaiset vertailuarvot, on annettava selvitys syistä, joiden vuoksi tämä ei ole mahdollista. Komission täytäntöönpanoasetuksessa (EU) 2021/447 vahvistetut vertailuarvot maksutta tapahtuvaa jakoa varten päästökauppajärjestelmän soveltamisalaan kuuluville toiminnoille</w:t>
      </w:r>
    </w:p>
  </w:footnote>
  <w:footnote w:id="12">
    <w:p w14:paraId="4645AFF0" w14:textId="6C52A571" w:rsidR="00E42B18" w:rsidRDefault="009629C4">
      <w:pPr>
        <w:pStyle w:val="FootnoteText"/>
        <w:ind w:left="0" w:firstLine="0"/>
      </w:pPr>
      <w:r>
        <w:rPr>
          <w:rStyle w:val="FootnoteReference"/>
        </w:rPr>
        <w:footnoteRef/>
      </w:r>
      <w:r>
        <w:t xml:space="preserve"> Tätä poikkeusta ei sovelleta toimiin laitoksissa, jotka on tarkoitettu yksinomaan kierrätettäväksi kelpaamattoman vaarallisen jätteen käsittelyyn, eikä olemassa oleviin laitoksiin, joissa toimien tarkoituksena on energiatehokkuuden lisääminen, pakokaasujen talteenotto varastointia tai käyttöä varten tai materiaalien talteenotto polttotuhkasta edellyttäen, että tällaiset toimet eivät lisää laitosten jätteenkäsittelykapasiteettia tai pidentä laitosten käyttöikää; josta esitetään näyttöä laitostasolla</w:t>
      </w:r>
    </w:p>
  </w:footnote>
  <w:footnote w:id="13">
    <w:p w14:paraId="7A7B606D" w14:textId="77777777" w:rsidR="00E42B18" w:rsidRDefault="009629C4">
      <w:pPr>
        <w:pStyle w:val="FootnoteText"/>
        <w:ind w:left="0" w:firstLine="0"/>
      </w:pPr>
      <w:r>
        <w:rPr>
          <w:rStyle w:val="FootnoteReference"/>
        </w:rPr>
        <w:footnoteRef/>
      </w:r>
      <w:r>
        <w:t xml:space="preserve"> Tätä poikkeusta ei sovelleta olemassa olevissa mekaanisissa biologisissa käsittelylaitoksissa toteutettaviin toimiin, jos toimien tarkoituksena on lisätä energiatehokkuutta tai jälkiasentaa erotetun jätteen kierrätystoimiin biojätteen kompostointia ja biojätteen anaerobista mädätystä edellyttäen, että tällaiset toimet eivät lisää laitosten jätteenkäsittelykapasiteettia tai pidentä laitosten käyttöikää; josta esitetään näyttöä laitostasolla</w:t>
      </w:r>
    </w:p>
  </w:footnote>
  <w:footnote w:id="14">
    <w:p w14:paraId="368C5BB4" w14:textId="77777777" w:rsidR="00E42B18" w:rsidRDefault="009629C4">
      <w:pPr>
        <w:pStyle w:val="FootnoteText"/>
        <w:ind w:left="0" w:firstLine="0"/>
      </w:pPr>
      <w:r>
        <w:rPr>
          <w:rStyle w:val="FootnoteReference"/>
        </w:rPr>
        <w:footnoteRef/>
      </w:r>
      <w:r>
        <w:t xml:space="preserve"> Lukuun ottamatta a) tämän toimenpiteen mukaisia hankkeita, jotka koskevat sähkön ja/tai lämmön tuotantoa sekä siihen liittyvää maakaasua käyttävää siirto- ja jakeluinfrastruktuuria ja jotka täyttävät ”ei merkittävää haittaa” -periaatetta koskevien teknisten ohjeiden (2021/C58/01) liitteessä III vahvistetut edellytykset, ja b) ii alakohdassa tarkoitettuja toimintoja ja omaisuuseriä, joiden osalta fossiilisten polttoaineiden käyttö on väliaikaista ja teknisesti mahdotonta välttää oikea-aikaista siirtymistä fossiilisista polttoaineista vapaaseen toimintaan.</w:t>
      </w:r>
    </w:p>
  </w:footnote>
  <w:footnote w:id="15">
    <w:p w14:paraId="41A6E0F5" w14:textId="77777777" w:rsidR="00E42B18" w:rsidRDefault="009629C4">
      <w:pPr>
        <w:pStyle w:val="FootnoteText"/>
        <w:ind w:left="0" w:firstLine="0"/>
      </w:pPr>
      <w:r>
        <w:rPr>
          <w:rStyle w:val="FootnoteReference"/>
        </w:rPr>
        <w:footnoteRef/>
      </w:r>
      <w:r>
        <w:t xml:space="preserve"> Jos tuetulla toiminnalla saavutetaan ennustetut kasvihuonekaasupäästöt, jotka eivät ole merkittävästi alhaisempia kuin asianomaiset vertailuarvot, olisi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footnote>
  <w:footnote w:id="16">
    <w:p w14:paraId="3A10E54E"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w:t>
      </w:r>
    </w:p>
  </w:footnote>
  <w:footnote w:id="17">
    <w:p w14:paraId="3539B40F"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w:t>
      </w:r>
    </w:p>
  </w:footnote>
  <w:footnote w:id="18">
    <w:p w14:paraId="01BD6B4F" w14:textId="42D72CD5" w:rsidR="00E42B18" w:rsidRDefault="009629C4">
      <w:pPr>
        <w:pStyle w:val="FootnoteText"/>
        <w:ind w:left="0" w:firstLine="0"/>
      </w:pPr>
      <w:r>
        <w:rPr>
          <w:rStyle w:val="FootnoteReference"/>
        </w:rPr>
        <w:footnoteRef/>
      </w:r>
      <w:r>
        <w:t xml:space="preserve"> Lukuun ottamatta a) tämän toimenpiteen mukaisia hankkeita, jotka koskevat sähkön ja/tai lämmön tuotantoa sekä siihen liittyvää maakaasua käyttävää siirto- ja jakeluinfrastruktuuria ja jotka täyttävät ”ei merkittävää haittaa” -periaatetta koskevien teknisten ohjeiden (2021/C58/01) liitteessä III vahvistetut edellytykset, ja b) ii alakohdassa tarkoitettuja toimintoja ja omaisuuseriä, joiden osalta fossiilisten polttoaineiden käyttö on väliaikaista ja teknisesti mahdotonta välttää oikea-aikaista siirtymistä fossiilisista polttoaineista vapaaseen toimintaan.</w:t>
      </w:r>
    </w:p>
  </w:footnote>
  <w:footnote w:id="19">
    <w:p w14:paraId="5ACA7097" w14:textId="77777777" w:rsidR="00E42B18" w:rsidRDefault="009629C4">
      <w:pPr>
        <w:pStyle w:val="FootnoteText"/>
        <w:ind w:left="0" w:firstLine="0"/>
      </w:pPr>
      <w:r>
        <w:rPr>
          <w:rStyle w:val="FootnoteReference"/>
        </w:rPr>
        <w:footnoteRef/>
      </w:r>
      <w:r>
        <w:t xml:space="preserve"> Jos tuetulla toiminnalla saavutetaan ennustetut kasvihuonekaasupäästöt, jotka eivät ole merkittävästi alhaisempia kuin asianomaiset vertailuarvot, olisi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footnote>
  <w:footnote w:id="20">
    <w:p w14:paraId="234E4838" w14:textId="09192011" w:rsidR="00E42B18" w:rsidRDefault="009629C4">
      <w:pPr>
        <w:pStyle w:val="FootnoteText"/>
        <w:ind w:left="0" w:firstLine="0"/>
      </w:pPr>
      <w:r>
        <w:rPr>
          <w:rStyle w:val="FootnoteReference"/>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w:t>
      </w:r>
    </w:p>
  </w:footnote>
  <w:footnote w:id="21">
    <w:p w14:paraId="0D356463"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w:t>
      </w:r>
    </w:p>
  </w:footnote>
  <w:footnote w:id="22">
    <w:p w14:paraId="59A3E652" w14:textId="017732FB" w:rsidR="00E42B18" w:rsidRDefault="009629C4">
      <w:pPr>
        <w:pStyle w:val="FootnoteText"/>
        <w:ind w:left="0" w:firstLine="0"/>
      </w:pPr>
      <w:r>
        <w:rPr>
          <w:rStyle w:val="FootnoteReference"/>
        </w:rPr>
        <w:footnoteRef/>
      </w:r>
      <w: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23">
    <w:p w14:paraId="5EDBC356" w14:textId="43276090" w:rsidR="00E42B18" w:rsidRDefault="009629C4">
      <w:pPr>
        <w:pStyle w:val="FootnoteText"/>
        <w:ind w:left="0" w:firstLine="0"/>
      </w:pPr>
      <w:r>
        <w:rPr>
          <w:rStyle w:val="FootnoteReference"/>
        </w:rPr>
        <w:footnoteRef/>
      </w:r>
      <w:r>
        <w:t xml:space="preserve"> Jos tuetulla toiminnalla saavutetaan ennustetut kasvihuonekaasupäästöt, jotka eivät ole merkittävästi alhaisempia kuin asianomaiset vertailuarvot, on annettava selvitys syistä, joiden vuoksi tämä ei ole mahdollista. Komission täytäntöönpanoasetuksessa (EU) 2021/447 vahvistetut vertailuarvot maksutta tapahtuvaa jakoa varten päästökauppajärjestelmän soveltamisalaan kuuluville toiminnoille</w:t>
      </w:r>
    </w:p>
  </w:footnote>
  <w:footnote w:id="24">
    <w:p w14:paraId="4F5613C7" w14:textId="67FD14AF" w:rsidR="00E42B18" w:rsidRDefault="009629C4">
      <w:pPr>
        <w:pStyle w:val="FootnoteText"/>
        <w:ind w:left="0" w:firstLine="0"/>
      </w:pPr>
      <w:r>
        <w:rPr>
          <w:rStyle w:val="FootnoteReference"/>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 </w:t>
      </w:r>
    </w:p>
  </w:footnote>
  <w:footnote w:id="25">
    <w:p w14:paraId="2358574C" w14:textId="72CD2514"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 </w:t>
      </w:r>
    </w:p>
  </w:footnote>
  <w:footnote w:id="26">
    <w:p w14:paraId="085F4836" w14:textId="24C59B28" w:rsidR="00E42B18" w:rsidRDefault="009629C4">
      <w:pPr>
        <w:pStyle w:val="FootnoteText"/>
        <w:ind w:left="0" w:firstLine="0"/>
      </w:pPr>
      <w:r>
        <w:rPr>
          <w:rStyle w:val="FootnoteReference"/>
        </w:rPr>
        <w:footnoteRef/>
      </w:r>
      <w:r>
        <w:t xml:space="preserve"> Yksittäisiin hankkeisiin liittyvien lopullisten tuensaajien on esitettävä kunkin tuetun hankkeen osalta perustelut valitulle tukitoimialalle sekä kuvaus hankkeesta ilmastoosuuden laskemista varten. Ilmastorahoitusosuuden laskemista varten oman pääoman ehtoisten, oman pääoman luonteisten, yritysjoukkolainojen tai vastaavien välineiden, joita ei ole kohdennettu tiettyihin hankkeisiin, lopullisten tuensaajien on esitettävä perustelut valituille tukitoimialoille. Toteutuskumppanin on myös toimitettava jäsenvaltiolle puolivuosittainen kertomus kunkin hankkeen/toimen täytäntöönpanosta.</w:t>
      </w:r>
    </w:p>
  </w:footnote>
  <w:footnote w:id="27">
    <w:p w14:paraId="39AD15BC" w14:textId="6001C0E1" w:rsidR="00E42B18" w:rsidRDefault="009629C4">
      <w:pPr>
        <w:pStyle w:val="FootnoteText"/>
        <w:ind w:left="0" w:firstLine="0"/>
      </w:pPr>
      <w:r>
        <w:rPr>
          <w:rStyle w:val="FootnoteReference"/>
        </w:rPr>
        <w:footnoteRef/>
      </w:r>
      <w: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28">
    <w:p w14:paraId="39EA8B56" w14:textId="6E27082C" w:rsidR="00E42B18" w:rsidRDefault="009629C4">
      <w:pPr>
        <w:pStyle w:val="FootnoteText"/>
        <w:ind w:left="0" w:firstLine="0"/>
      </w:pPr>
      <w:r>
        <w:rPr>
          <w:rStyle w:val="FootnoteReference"/>
        </w:rPr>
        <w:footnoteRef/>
      </w:r>
      <w:r>
        <w:t xml:space="preserve"> Jos tuetulla toiminnalla saavutetaan ennustetut kasvihuonekaasupäästöt, jotka eivät ole merkittävästi alhaisempia kuin asianomaiset vertailuarvot, on annettava selvitys syistä, joiden vuoksi tämä ei ole mahdollista. Komission täytäntöönpanoasetuksessa (EU) 2021/447 vahvistetut vertailuarvot maksutta tapahtuvaa jakoa varten päästökauppajärjestelmän soveltamisalaan kuuluville toiminnoille</w:t>
      </w:r>
    </w:p>
  </w:footnote>
  <w:footnote w:id="29">
    <w:p w14:paraId="270AFB94" w14:textId="4762D7C7" w:rsidR="00E42B18" w:rsidRDefault="009629C4">
      <w:pPr>
        <w:pStyle w:val="FootnoteText"/>
        <w:ind w:left="0" w:firstLine="0"/>
      </w:pPr>
      <w:r>
        <w:rPr>
          <w:rStyle w:val="FootnoteReference"/>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 </w:t>
      </w:r>
    </w:p>
  </w:footnote>
  <w:footnote w:id="30">
    <w:p w14:paraId="712803BE" w14:textId="0176D412"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  </w:t>
      </w:r>
    </w:p>
  </w:footnote>
  <w:footnote w:id="31">
    <w:p w14:paraId="6FBE0893" w14:textId="4BDE0727" w:rsidR="00E42B18" w:rsidRDefault="009629C4">
      <w:pPr>
        <w:pStyle w:val="FootnoteText"/>
        <w:ind w:left="0" w:firstLine="0"/>
      </w:pPr>
      <w:r>
        <w:rPr>
          <w:rStyle w:val="FootnoteReference"/>
        </w:rPr>
        <w:footnoteRef/>
      </w:r>
      <w:r>
        <w:t xml:space="preserve"> Yksittäisiin hankkeisiin liittyvien lopullisten tuensaajien on esitettävä kunkin tuetun hankkeen osalta perustelut valitulle tukitoimialalle sekä kuvaus hankkeesta ilmastoosuuden laskemista varten. Ilmastorahoitusosuuden laskemista varten oman pääoman ehtoisten, oman pääoman luonteisten, yritysjoukkolainojen tai vastaavien välineiden, joita ei ole kohdennettu tiettyihin hankkeisiin, lopullisten tuensaajien on esitettävä perustelut valituille tukitoimialoille. Toteutuskumppanin on myös toimitettava jäsenvaltiolle puolivuosittainen kertomus kunkin hankkeen/toimen täytäntöönpanosta.</w:t>
      </w:r>
    </w:p>
  </w:footnote>
  <w:footnote w:id="32">
    <w:p w14:paraId="5FEF3435" w14:textId="77777777" w:rsidR="00E42B18" w:rsidRDefault="009629C4">
      <w:pPr>
        <w:pStyle w:val="FootnoteText"/>
        <w:ind w:left="0" w:firstLine="0"/>
        <w:rPr>
          <w:rStyle w:val="FootnoteReference"/>
          <w:vertAlign w:val="baseline"/>
        </w:rPr>
      </w:pPr>
      <w:r>
        <w:rPr>
          <w:rStyle w:val="FootnoteReference"/>
        </w:rPr>
        <w:footnoteRef/>
      </w:r>
      <w:r>
        <w:rPr>
          <w:rStyle w:val="FootnoteReference"/>
        </w:rPr>
        <w:t xml:space="preserve"> </w:t>
      </w:r>
      <w:r>
        <w:t>Erityisesti 13 prosentin enimmäismäärä ei sisällä siirrettäviä, GTF:ään liittyviä tulospalkkioita eikä kaikkia kolmansien osapuolten rahastoihin liittyviä kustannuksia ja hallinnointipalkkioita.</w:t>
      </w:r>
    </w:p>
  </w:footnote>
  <w:footnote w:id="33">
    <w:p w14:paraId="76B2B589" w14:textId="77777777" w:rsidR="00E42B18" w:rsidRDefault="009629C4">
      <w:pPr>
        <w:pStyle w:val="FootnoteText"/>
        <w:ind w:left="0" w:firstLine="0"/>
        <w:rPr>
          <w:rStyle w:val="FootnoteReference"/>
        </w:rPr>
      </w:pPr>
      <w:r>
        <w:rPr>
          <w:rStyle w:val="FootnoteReference"/>
        </w:rPr>
        <w:footnoteRef/>
      </w:r>
      <w:r>
        <w:rPr>
          <w:rStyle w:val="FootnoteReference"/>
        </w:rPr>
        <w:t xml:space="preserve"> </w:t>
      </w:r>
      <w:r>
        <w:rPr>
          <w:rStyle w:val="FootnoteReference"/>
          <w:vertAlign w:val="baseline"/>
        </w:rPr>
        <w:t>Erityisesti suorien sijoitusten tapauksessa GTF:n on toimittava tarjoamalla oman pääoman ehtoista tai oman pääoman luonteista tukea; epäsuorien investointien tapauksessa GTF:n on toimittava rahoittamalla kolmannen osapuolen rahastoja, joiden on toimittava tarjoamalla vähintään yksi seuraavista: oman pääoman ehtoiset tai oman pääoman luonteiset, vieraan pääoman ehtoiset tai vieraan pääoman luonteiset instrumentit.</w:t>
      </w:r>
    </w:p>
  </w:footnote>
  <w:footnote w:id="34">
    <w:p w14:paraId="40EB3245" w14:textId="77777777" w:rsidR="00E42B18" w:rsidRDefault="009629C4">
      <w:pPr>
        <w:pStyle w:val="FootnoteText"/>
        <w:ind w:left="0" w:firstLine="0"/>
        <w:rPr>
          <w:rStyle w:val="FootnoteReference"/>
        </w:rPr>
      </w:pPr>
      <w:r>
        <w:rPr>
          <w:rStyle w:val="FootnoteReference"/>
        </w:rPr>
        <w:t xml:space="preserve">Lopullisen tuensaajan </w:t>
      </w:r>
      <w:r>
        <w:rPr>
          <w:rStyle w:val="FootnoteReference"/>
        </w:rPr>
        <w:footnoteRef/>
      </w:r>
      <w:r>
        <w:rPr>
          <w:rStyle w:val="FootnoteReference"/>
        </w:rPr>
        <w:t xml:space="preserve"> </w:t>
      </w:r>
      <w:r>
        <w:rPr>
          <w:rStyle w:val="FootnoteReference"/>
          <w:vertAlign w:val="baseline"/>
        </w:rPr>
        <w:t>katsotaan keskittyvän ”olennaisesti” toimialaan tai liiketoimintaan, jos kyseisen alan tai toiminnan katsotaan olevan olennainen osa lopullisen tuensaajan liiketoimintaa suhteessa lopullisen tuensaajan bruttotuloihin, voittoon tai asiakaspohjaan. Rajoitetusta alasta tai toiminnasta saatavat bruttotulot saavat joka tapauksessa olla enintään 50 prosenttia bruttotuloista.</w:t>
      </w:r>
    </w:p>
  </w:footnote>
  <w:footnote w:id="35">
    <w:p w14:paraId="19F45151" w14:textId="77777777" w:rsidR="00E42B18" w:rsidRDefault="009629C4">
      <w:pPr>
        <w:pStyle w:val="FootnoteText"/>
        <w:ind w:left="0" w:firstLine="0"/>
        <w:rPr>
          <w:rStyle w:val="FootnoteReference"/>
        </w:rPr>
      </w:pPr>
      <w:r>
        <w:rPr>
          <w:rStyle w:val="FootnoteReference"/>
        </w:rPr>
        <w:footnoteRef/>
      </w:r>
      <w:r>
        <w:rPr>
          <w:rStyle w:val="FootnoteReference"/>
        </w:rPr>
        <w:t xml:space="preserve"> </w:t>
      </w:r>
      <w:r>
        <w:t>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36">
    <w:p w14:paraId="4CE05882" w14:textId="77777777" w:rsidR="00E42B18" w:rsidRDefault="009629C4">
      <w:pPr>
        <w:pStyle w:val="FootnoteText"/>
        <w:ind w:left="0" w:firstLine="0"/>
        <w:rPr>
          <w:rStyle w:val="FootnoteReference"/>
        </w:rPr>
      </w:pPr>
      <w:r>
        <w:rPr>
          <w:rStyle w:val="FootnoteReference"/>
        </w:rPr>
        <w:footnoteRef/>
      </w:r>
      <w:r>
        <w:rPr>
          <w:rStyle w:val="FootnoteReference"/>
        </w:rPr>
        <w:t xml:space="preserve"> </w:t>
      </w:r>
      <w:r>
        <w:rPr>
          <w:rFonts w:eastAsia="EC Square Sans Pro"/>
        </w:rPr>
        <w:t>Sisällytetään EU:n päästökauppajärjestelmään toiminnot ja varat, joilla saavutetaan ennustetut kasvihuonekaasupäästöt, jotka eivät alita asiaankuuluvia vertailuarvoja. 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footnote>
  <w:footnote w:id="37">
    <w:p w14:paraId="55B04306" w14:textId="77777777" w:rsidR="00E42B18" w:rsidRDefault="009629C4">
      <w:pPr>
        <w:pStyle w:val="FootnoteText"/>
        <w:ind w:left="0" w:firstLine="0"/>
        <w:rPr>
          <w:rStyle w:val="FootnoteReference"/>
        </w:rPr>
      </w:pPr>
      <w:r>
        <w:rPr>
          <w:rStyle w:val="FootnoteReference"/>
        </w:rPr>
        <w:footnoteRef/>
      </w:r>
      <w:r>
        <w:rPr>
          <w:rStyle w:val="FootnoteReference"/>
        </w:rPr>
        <w:t xml:space="preserve"> </w:t>
      </w:r>
      <w:r>
        <w:rPr>
          <w:rFonts w:eastAsia="EC Square Sans Pro"/>
        </w:rPr>
        <w:t>Saastuttavat ajoneuvot määritellään päästöttömiksi ajoneuvoiksi.</w:t>
      </w:r>
    </w:p>
  </w:footnote>
  <w:footnote w:id="38">
    <w:p w14:paraId="6608282D" w14:textId="77777777" w:rsidR="00E42B18" w:rsidRDefault="009629C4">
      <w:pPr>
        <w:pStyle w:val="FootnoteText"/>
        <w:ind w:left="0" w:firstLine="0"/>
      </w:pPr>
      <w:r>
        <w:rPr>
          <w:rStyle w:val="FootnoteReference"/>
        </w:rPr>
        <w:footnoteRef/>
      </w:r>
      <w:r>
        <w:rPr>
          <w:rStyle w:val="FootnoteReference"/>
        </w:rPr>
        <w:t xml:space="preserve"> </w:t>
      </w:r>
      <w:r>
        <w:rPr>
          <w:rFonts w:eastAsia="EC Square Sans Pro"/>
        </w:rPr>
        <w:t>Tätä poikkeusta ei sovelleta toimiin laitoksissa, jotka on tarkoitettu yksinomaan kierrätettäväksi kelpaamattoman vaarallisen jätteen käsittelyyn, eikä olemassa oleviin laitoksiin, joissa tämän toimenpiteen mukaisten toimien tarkoituksena on energiatehokkuuden lisääminen, pakokaasujen talteenotto varastointia tai käyttöä varten tai materiaalien talteenotto polttotuhkasta edellyttäen, että tällaiset tämän toimenpiteen mukaiset toimet eivät lisää laitosten jätteenkäsittelykapasiteettia tai pidentä laitosten käyttöikää; tästä on toimitettava näyttöä laitoskohtaisesti.</w:t>
      </w:r>
    </w:p>
  </w:footnote>
  <w:footnote w:id="39">
    <w:p w14:paraId="473DA147" w14:textId="77777777" w:rsidR="00E42B18" w:rsidRDefault="009629C4">
      <w:pPr>
        <w:pStyle w:val="FootnoteText"/>
      </w:pPr>
      <w:r>
        <w:rPr>
          <w:rStyle w:val="FootnoteReference"/>
        </w:rPr>
        <w:footnoteRef/>
      </w:r>
      <w:r>
        <w:t xml:space="preserve"> Asetuksen (EU) 2021/241 liitteessä VI olevan tukitoimialan 72 a mukaisesti sitä sovelletaan myös kaksimuotoisiin juniin.</w:t>
      </w:r>
    </w:p>
  </w:footnote>
  <w:footnote w:id="40">
    <w:p w14:paraId="31AC05CF" w14:textId="25C74B52" w:rsidR="00E42B18" w:rsidRDefault="009629C4">
      <w:pPr>
        <w:pStyle w:val="FootnoteText"/>
        <w:ind w:left="0" w:firstLine="0"/>
      </w:pPr>
      <w:r>
        <w:rPr>
          <w:rStyle w:val="FootnoteReference"/>
        </w:rPr>
        <w:footnoteRef/>
      </w:r>
      <w:r>
        <w:t xml:space="preserve"> Yksittäisiin hankkeisiin liittyvien lopullisten tuensaajien on esitettävä kunkin tuetun hankkeen osalta perustelut valitulle tukitoimialalle sekä kuvaus hankkeesta ilmastoosuuden laskemista varten. Ilmastorahoitusosuuden laskemista varten oman pääoman ehtoisten, oman pääoman luonteisten, yritysjoukkolainojen tai vastaavien välineiden, joita ei ole kohdennettu tiettyihin hankkeisiin, lopullisten tuensaajien on esitettävä perustelut valituille tukitoimialoille. Toteutuskumppanin on myös toimitettava jäsenvaltiolle puolivuosittainen kertomus kunkin hankkeen/toimen täytäntöönpanosta.</w:t>
      </w:r>
    </w:p>
  </w:footnote>
  <w:footnote w:id="41">
    <w:p w14:paraId="2260F10B" w14:textId="77777777" w:rsidR="00E42B18" w:rsidRDefault="009629C4">
      <w:pPr>
        <w:pStyle w:val="FootnoteText"/>
        <w:ind w:left="0" w:firstLine="0"/>
      </w:pPr>
      <w:r>
        <w:rPr>
          <w:rStyle w:val="FootnoteReference"/>
          <w:rFonts w:eastAsia="Yu Gothic Light"/>
        </w:rPr>
        <w:footnoteRef/>
      </w:r>
      <w: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42">
    <w:p w14:paraId="7C0BFB13" w14:textId="77777777" w:rsidR="00E42B18" w:rsidRDefault="009629C4">
      <w:pPr>
        <w:pStyle w:val="FootnoteText"/>
        <w:ind w:left="0" w:firstLine="0"/>
        <w:rPr>
          <w:rFonts w:eastAsia="EC Square Sans Pro"/>
        </w:rPr>
      </w:pPr>
      <w:r>
        <w:rPr>
          <w:rStyle w:val="FootnoteReference"/>
          <w:rFonts w:eastAsia="Yu Gothic Light"/>
        </w:rPr>
        <w:footnoteRef/>
      </w:r>
      <w:r>
        <w:t xml:space="preserve"> </w:t>
      </w:r>
      <w:r>
        <w:rPr>
          <w:rFonts w:eastAsia="EC Square Sans Pro"/>
        </w:rPr>
        <w:t xml:space="preserve">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 </w:t>
      </w:r>
    </w:p>
  </w:footnote>
  <w:footnote w:id="43">
    <w:p w14:paraId="72ABFE10" w14:textId="77777777" w:rsidR="00E42B18" w:rsidRDefault="009629C4">
      <w:pPr>
        <w:pStyle w:val="FootnoteText"/>
        <w:ind w:left="0" w:firstLine="0"/>
      </w:pPr>
      <w:r>
        <w:rPr>
          <w:rStyle w:val="FootnoteReference"/>
          <w:rFonts w:eastAsia="Yu Gothic Light"/>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 </w:t>
      </w:r>
    </w:p>
  </w:footnote>
  <w:footnote w:id="44">
    <w:p w14:paraId="4B3E96E2" w14:textId="77777777" w:rsidR="00E42B18" w:rsidRDefault="009629C4">
      <w:pPr>
        <w:pStyle w:val="FootnoteText"/>
        <w:ind w:left="0" w:firstLine="0"/>
      </w:pPr>
      <w:r>
        <w:rPr>
          <w:rStyle w:val="FootnoteReference"/>
          <w:rFonts w:eastAsia="Yu Gothic Light"/>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 </w:t>
      </w:r>
    </w:p>
  </w:footnote>
  <w:footnote w:id="45">
    <w:p w14:paraId="2B1C95AF" w14:textId="77777777" w:rsidR="00E42B18" w:rsidRDefault="009629C4">
      <w:pPr>
        <w:pStyle w:val="FootnoteText"/>
        <w:ind w:left="0" w:firstLine="0"/>
      </w:pPr>
      <w:r>
        <w:rPr>
          <w:rStyle w:val="FootnoteReference"/>
        </w:rPr>
        <w:footnoteRef/>
      </w:r>
      <w:r>
        <w:t xml:space="preserve"> Yksittäisiin hankkeisiin liittyvien lopullisten tuensaajien on esitettävä kunkin tuetun hankkeen osalta perustelut valitulle tukitoimialalle sekä kuvaus hankkeesta ilmastoosuuden laskemista varten. Ilmastorahoitusosuuden laskemista varten oman pääoman ehtoisten tai oman pääoman luonteisten joukkovelkakirjalainojen, yritysjoukkolainojen tai vastaavien välineiden, joita ei ole kohdennettu tiettyihin hankkeisiin, lopullisten tuensaajien on esitettävä perustelut valituille tukitoimialoille. Toteutuskumppanin on myös toimitettava jäsenvaltiolle puolivuosittainen kertomus kunkin hankkeen/toimen täytäntöönpanosta.</w:t>
      </w:r>
    </w:p>
  </w:footnote>
  <w:footnote w:id="46">
    <w:p w14:paraId="2076CAB8" w14:textId="0FB6856E" w:rsidR="00E42B18" w:rsidRDefault="009629C4">
      <w:pPr>
        <w:spacing w:after="0"/>
        <w:jc w:val="both"/>
        <w:rPr>
          <w:rFonts w:ascii="Times New Roman" w:hAnsi="Times New Roman" w:cs="Times New Roman"/>
          <w:sz w:val="20"/>
          <w:szCs w:val="20"/>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Lukuun ottamatta a) maakaasua käyttävää sähkön- ja/tai lämmöntuotantoon liittyviä omaisuuseriä ja toimintoja sekä niihin liittyvää siirto- ja jakeluinfrastruktuuria, jotka täyttävät ”ei merkittävää haittaa” -periaatetta koskevien teknisten ohjeiden (2021/C58/01) liitteessä III vahvistetut edellytykset, ja b) ii alakohdassa tarkoitetut toiminnot ja omaisuuserät, joiden osalta fossiilisten polttoaineiden käyttö on väliaikaista ja teknisesti mahdotonta välttää oikea-aikaisesti siirryttäessä kohti fossiilisista polttoaineista vapaata toimintaa.</w:t>
      </w:r>
    </w:p>
  </w:footnote>
  <w:footnote w:id="47">
    <w:p w14:paraId="084BC864" w14:textId="678612A7" w:rsidR="00E42B18" w:rsidRDefault="009629C4">
      <w:pPr>
        <w:spacing w:after="0"/>
        <w:jc w:val="both"/>
        <w:rPr>
          <w:rFonts w:ascii="Times New Roman" w:eastAsia="Aptos" w:hAnsi="Times New Roman" w:cs="Times New Roman"/>
          <w:sz w:val="20"/>
          <w:szCs w:val="20"/>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Jos tuetulla toiminnalla saavutetaan ennustetut kasvihuonekaasupäästöt, jotka eivät ole merkittävästi alhaisempia kuin asianomaiset vertailuarvot, on annettava selvitys syistä, joiden vuoksi tämä ei ole mahdollista. Komission täytäntöönpanoasetuksessa (EU) 2021/447 vahvistetut vertailuarvot maksutta tapahtuvaa jakoa varten päästökauppajärjestelmän soveltamisalaan kuuluville toiminnoille</w:t>
      </w:r>
    </w:p>
  </w:footnote>
  <w:footnote w:id="48">
    <w:p w14:paraId="5E536C1C" w14:textId="68298A53" w:rsidR="00E42B18" w:rsidRDefault="009629C4">
      <w:pPr>
        <w:spacing w:after="0"/>
        <w:jc w:val="both"/>
        <w:rPr>
          <w:rFonts w:ascii="Times New Roman" w:eastAsia="Aptos" w:hAnsi="Times New Roman" w:cs="Times New Roman"/>
          <w:sz w:val="20"/>
          <w:szCs w:val="20"/>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w:t>
      </w:r>
    </w:p>
  </w:footnote>
  <w:footnote w:id="49">
    <w:p w14:paraId="41674876" w14:textId="1CAC894A" w:rsidR="00E42B18" w:rsidRDefault="009629C4">
      <w:pPr>
        <w:spacing w:after="0"/>
        <w:jc w:val="both"/>
        <w:rPr>
          <w:rFonts w:ascii="Aptos" w:eastAsia="Aptos" w:hAnsi="Aptos" w:cs="Aptos"/>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w:t>
      </w:r>
      <w:r>
        <w:rPr>
          <w:rFonts w:ascii="Calibri" w:eastAsia="Calibri" w:hAnsi="Calibri" w:cs="Calibri"/>
        </w:rPr>
        <w:t> </w:t>
      </w:r>
    </w:p>
  </w:footnote>
  <w:footnote w:id="50">
    <w:p w14:paraId="59EE7A40" w14:textId="77777777" w:rsidR="00E42B18" w:rsidRDefault="00E42B18">
      <w:pPr>
        <w:pStyle w:val="FootnoteText"/>
        <w:ind w:left="0" w:firstLine="0"/>
      </w:pPr>
    </w:p>
    <w:p w14:paraId="2CD4D05A" w14:textId="0732CD84" w:rsidR="00E42B18" w:rsidRDefault="009629C4">
      <w:pPr>
        <w:pStyle w:val="FootnoteText"/>
        <w:ind w:left="0" w:firstLine="0"/>
      </w:pPr>
      <w:r>
        <w:rPr>
          <w:rStyle w:val="FootnoteReference"/>
        </w:rPr>
        <w:footnoteRef/>
      </w:r>
      <w:r>
        <w:t xml:space="preserve"> Yksittäisiin hankkeisiin liittyvien lopullisten tuensaajien on esitettävä kunkin tuetun hankkeen osalta perustelut valitulle tukitoimialalle sekä kuvaus hankkeesta ilmastoosuuden laskemista varten. Ilmastorahoitusosuuden laskemista varten oman pääoman ehtoisten, oman pääoman luonteisten, yritysjoukkolainojen tai vastaavien välineiden, joita ei ole kohdennettu tiettyihin hankkeisiin, lopullisten tuensaajien on esitettävä perustelut valituille tukitoimialoille. Toteutuskumppanin on myös toimitettava jäsenvaltiolle puolivuosittainen kertomus kunkin hankkeen/toimen täytäntöönpanosta.</w:t>
      </w:r>
    </w:p>
  </w:footnote>
  <w:footnote w:id="51">
    <w:p w14:paraId="4EF9C993" w14:textId="77777777" w:rsidR="00E42B18" w:rsidRDefault="009629C4">
      <w:pPr>
        <w:pStyle w:val="FootnoteText"/>
        <w:ind w:left="0" w:firstLine="0"/>
      </w:pPr>
      <w:r>
        <w:rPr>
          <w:rStyle w:val="FootnoteReference"/>
        </w:rPr>
        <w:footnoteRef/>
      </w:r>
      <w:r>
        <w:t>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52">
    <w:p w14:paraId="5FB6DCE0" w14:textId="77777777" w:rsidR="00E42B18" w:rsidRDefault="009629C4">
      <w:pPr>
        <w:pStyle w:val="FootnoteText"/>
        <w:ind w:left="0" w:firstLine="0"/>
      </w:pPr>
      <w:r>
        <w:rPr>
          <w:rStyle w:val="FootnoteReference"/>
        </w:rPr>
        <w:footnoteRef/>
      </w:r>
      <w:r>
        <w:t xml:space="preserve"> Jos tuetulla toiminnalla saavutetaan ennustetut kasvihuonekaasupäästöt, jotka eivät ole merkittävästi alhaisempia kuin asianomaiset vertailuarvot, on annettava selvitys syistä, joiden vuoksi tämä ei ole mahdollista. Komission täytäntöönpanoasetuksessa (EU) 2021/447 vahvistetut vertailuarvot maksutta tapahtuvaa jakoa varten päästökauppajärjestelmän soveltamisalaan kuuluville toiminnoille</w:t>
      </w:r>
    </w:p>
  </w:footnote>
  <w:footnote w:id="53">
    <w:p w14:paraId="05445A5D"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w:t>
      </w:r>
    </w:p>
  </w:footnote>
  <w:footnote w:id="54">
    <w:p w14:paraId="2A4B6539"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 </w:t>
      </w:r>
    </w:p>
  </w:footnote>
  <w:footnote w:id="55">
    <w:p w14:paraId="2CF9F919" w14:textId="77777777" w:rsidR="00E42B18" w:rsidRDefault="009629C4">
      <w:pPr>
        <w:pStyle w:val="FootnoteText"/>
        <w:ind w:left="0" w:firstLine="0"/>
      </w:pPr>
      <w:r>
        <w:rPr>
          <w:rStyle w:val="FootnoteReference"/>
        </w:rPr>
        <w:footnoteRef/>
      </w:r>
      <w: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56">
    <w:p w14:paraId="0CD610FF" w14:textId="77777777" w:rsidR="00E42B18" w:rsidRDefault="009629C4">
      <w:pPr>
        <w:pStyle w:val="FootnoteText"/>
        <w:ind w:left="0" w:firstLine="0"/>
      </w:pPr>
      <w:r>
        <w:rPr>
          <w:rStyle w:val="FootnoteReference"/>
        </w:rPr>
        <w:footnoteRef/>
      </w:r>
      <w:r>
        <w:t xml:space="preserve"> 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footnote>
  <w:footnote w:id="57">
    <w:p w14:paraId="0B56C31B"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 </w:t>
      </w:r>
    </w:p>
  </w:footnote>
  <w:footnote w:id="58">
    <w:p w14:paraId="1A87ACB1"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 </w:t>
      </w:r>
    </w:p>
  </w:footnote>
  <w:footnote w:id="59">
    <w:p w14:paraId="61F8B985" w14:textId="77777777" w:rsidR="00E42B18" w:rsidRDefault="009629C4">
      <w:pPr>
        <w:pStyle w:val="FootnoteText"/>
        <w:ind w:left="0" w:firstLine="0"/>
      </w:pPr>
      <w:r>
        <w:rPr>
          <w:rStyle w:val="FootnoteReference"/>
        </w:rPr>
        <w:footnoteRef/>
      </w:r>
      <w:r>
        <w:t xml:space="preserve"> Yksittäisiin hankkeisiin liittyvien lopullisten tuensaajien on esitettävä kunkin tuetun hankkeen osalta perustelut valitulle tukitoimialalle sekä kuvaus hankkeesta ilmastoosuuden laskemista varten. Ilmastorahoitusosuuden laskemista varten oman pääoman ehtoisten tai oman pääoman luonteisten joukkovelkakirjalainojen, yritysjoukkolainojen tai vastaavien välineiden, joita ei ole kohdennettu tiettyihin hankkeisiin, lopullisten tuensaajien on esitettävä perustelut valituille tukitoimialoille. Toteutuskumppanin on myös toimitettava jäsenvaltiolle puolivuosittainen kertomus kunkin hankkeen/toimen täytäntöönpanosta.</w:t>
      </w:r>
    </w:p>
  </w:footnote>
  <w:footnote w:id="60">
    <w:p w14:paraId="1DF21E80" w14:textId="77777777" w:rsidR="00E42B18" w:rsidRDefault="009629C4">
      <w:pPr>
        <w:pStyle w:val="FootnoteText"/>
        <w:ind w:left="0" w:firstLine="0"/>
      </w:pPr>
      <w:r>
        <w:rPr>
          <w:rStyle w:val="FootnoteReference"/>
        </w:rPr>
        <w:footnoteRef/>
      </w:r>
      <w: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61">
    <w:p w14:paraId="6C88DFA7" w14:textId="77777777" w:rsidR="00E42B18" w:rsidRDefault="009629C4">
      <w:pPr>
        <w:pStyle w:val="FootnoteText"/>
        <w:ind w:left="0" w:firstLine="0"/>
      </w:pPr>
      <w:r>
        <w:rPr>
          <w:rStyle w:val="FootnoteReference"/>
        </w:rPr>
        <w:footnoteRef/>
      </w:r>
      <w:r>
        <w:t xml:space="preserve"> 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footnote>
  <w:footnote w:id="62">
    <w:p w14:paraId="59F8EAA0"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w:t>
      </w:r>
    </w:p>
  </w:footnote>
  <w:footnote w:id="63">
    <w:p w14:paraId="3D4DD7C3"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w:t>
      </w:r>
    </w:p>
  </w:footnote>
  <w:footnote w:id="64">
    <w:p w14:paraId="6E5B334C" w14:textId="77777777" w:rsidR="00E42B18" w:rsidRDefault="009629C4">
      <w:pPr>
        <w:pStyle w:val="FootnoteText"/>
        <w:ind w:left="0" w:firstLine="0"/>
        <w:rPr>
          <w:rStyle w:val="FootnoteReference"/>
          <w:vertAlign w:val="baseline"/>
        </w:rPr>
      </w:pPr>
      <w:r>
        <w:rPr>
          <w:rStyle w:val="FootnoteReference"/>
        </w:rPr>
        <w:footnoteRef/>
      </w:r>
      <w:r>
        <w:rPr>
          <w:rStyle w:val="FootnoteReference"/>
        </w:rPr>
        <w:t xml:space="preserve"> </w:t>
      </w:r>
      <w:r>
        <w:t>Erityisesti 13 prosentin enimmäismäärä ei sisällä siirrettäviä, GTF:ään liittyviä tulospalkkioita eikä kaikkia kolmansien osapuolten rahastoihin liittyviä kustannuksia ja hallinnointipalkkioita.</w:t>
      </w:r>
    </w:p>
  </w:footnote>
  <w:footnote w:id="65">
    <w:p w14:paraId="3BCBD42F" w14:textId="77777777" w:rsidR="00E42B18" w:rsidRDefault="009629C4">
      <w:pPr>
        <w:pStyle w:val="FootnoteText"/>
        <w:ind w:left="0" w:firstLine="0"/>
        <w:rPr>
          <w:rStyle w:val="FootnoteReference"/>
        </w:rPr>
      </w:pPr>
      <w:r>
        <w:rPr>
          <w:rStyle w:val="FootnoteReference"/>
        </w:rPr>
        <w:footnoteRef/>
      </w:r>
      <w:r>
        <w:rPr>
          <w:rStyle w:val="FootnoteReference"/>
        </w:rPr>
        <w:t xml:space="preserve"> </w:t>
      </w:r>
      <w:r>
        <w:rPr>
          <w:rStyle w:val="FootnoteReference"/>
          <w:vertAlign w:val="baseline"/>
        </w:rPr>
        <w:t>Erityisesti suorien sijoitusten tapauksessa GTF:n on toimittava tarjoamalla oman pääoman ehtoista tai oman pääoman luonteista tukea; epäsuorien investointien tapauksessa GTF:n on toimittava rahoittamalla kolmannen osapuolen rahastoja, joiden on toimittava tarjoamalla vähintään yksi seuraavista: oman pääoman ehtoiset tai oman pääoman luonteiset, vieraan pääoman ehtoiset tai vieraan pääoman luonteiset instrumentit.</w:t>
      </w:r>
    </w:p>
  </w:footnote>
  <w:footnote w:id="66">
    <w:p w14:paraId="1597E65E" w14:textId="77777777" w:rsidR="00E42B18" w:rsidRDefault="009629C4">
      <w:pPr>
        <w:pStyle w:val="FootnoteText"/>
        <w:ind w:left="0" w:firstLine="0"/>
        <w:rPr>
          <w:rStyle w:val="FootnoteReference"/>
        </w:rPr>
      </w:pPr>
      <w:r>
        <w:rPr>
          <w:rStyle w:val="FootnoteReference"/>
        </w:rPr>
        <w:t xml:space="preserve">Lopullisen tuensaajan </w:t>
      </w:r>
      <w:r>
        <w:rPr>
          <w:rStyle w:val="FootnoteReference"/>
        </w:rPr>
        <w:footnoteRef/>
      </w:r>
      <w:r>
        <w:rPr>
          <w:rStyle w:val="FootnoteReference"/>
        </w:rPr>
        <w:t xml:space="preserve"> </w:t>
      </w:r>
      <w:r>
        <w:rPr>
          <w:rStyle w:val="FootnoteReference"/>
          <w:vertAlign w:val="baseline"/>
        </w:rPr>
        <w:t>katsotaan keskittyvän ”olennaisesti” toimialaan tai liiketoimintaan, jos kyseisen alan tai toiminnan katsotaan olevan olennainen osa lopullisen tuensaajan liiketoimintaa suhteessa lopullisen tuensaajan bruttotuloihin, voittoon tai asiakaspohjaan. Rajoitetusta alasta tai toiminnasta saatavat bruttotulot saavat joka tapauksessa olla enintään 50 prosenttia bruttotuloista.</w:t>
      </w:r>
    </w:p>
  </w:footnote>
  <w:footnote w:id="67">
    <w:p w14:paraId="7F6D6F13" w14:textId="77777777" w:rsidR="00E42B18" w:rsidRDefault="009629C4">
      <w:pPr>
        <w:pStyle w:val="FootnoteText"/>
        <w:ind w:left="0" w:firstLine="0"/>
        <w:rPr>
          <w:rStyle w:val="FootnoteReference"/>
        </w:rPr>
      </w:pPr>
      <w:r>
        <w:rPr>
          <w:rStyle w:val="FootnoteReference"/>
        </w:rPr>
        <w:footnoteRef/>
      </w:r>
      <w:r>
        <w:rPr>
          <w:rStyle w:val="FootnoteReference"/>
        </w:rPr>
        <w:t xml:space="preserve"> </w:t>
      </w:r>
      <w:r>
        <w:t>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68">
    <w:p w14:paraId="244B1E52" w14:textId="77777777" w:rsidR="00E42B18" w:rsidRDefault="009629C4">
      <w:pPr>
        <w:pStyle w:val="FootnoteText"/>
        <w:ind w:left="0" w:firstLine="0"/>
        <w:rPr>
          <w:rStyle w:val="FootnoteReference"/>
        </w:rPr>
      </w:pPr>
      <w:r>
        <w:rPr>
          <w:rStyle w:val="FootnoteReference"/>
        </w:rPr>
        <w:footnoteRef/>
      </w:r>
      <w:r>
        <w:rPr>
          <w:rStyle w:val="FootnoteReference"/>
        </w:rPr>
        <w:t xml:space="preserve"> </w:t>
      </w:r>
      <w:r>
        <w:rPr>
          <w:rFonts w:eastAsia="EC Square Sans Pro"/>
        </w:rPr>
        <w:t>Sisällytetään EU:n päästökauppajärjestelmään toiminnot ja varat, joilla saavutetaan ennustetut kasvihuonekaasupäästöt, jotka eivät alita asiaankuuluvia vertailuarvoja. 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footnote>
  <w:footnote w:id="69">
    <w:p w14:paraId="70D6F159" w14:textId="77777777" w:rsidR="00E42B18" w:rsidRDefault="009629C4">
      <w:pPr>
        <w:pStyle w:val="FootnoteText"/>
        <w:ind w:left="0" w:firstLine="0"/>
        <w:rPr>
          <w:rStyle w:val="FootnoteReference"/>
        </w:rPr>
      </w:pPr>
      <w:r>
        <w:rPr>
          <w:rStyle w:val="FootnoteReference"/>
        </w:rPr>
        <w:footnoteRef/>
      </w:r>
      <w:r>
        <w:rPr>
          <w:rStyle w:val="FootnoteReference"/>
        </w:rPr>
        <w:t xml:space="preserve"> </w:t>
      </w:r>
      <w:r>
        <w:rPr>
          <w:rFonts w:eastAsia="EC Square Sans Pro"/>
        </w:rPr>
        <w:t>Saastuttavat ajoneuvot määritellään päästöttömiksi ajoneuvoiksi.</w:t>
      </w:r>
    </w:p>
  </w:footnote>
  <w:footnote w:id="70">
    <w:p w14:paraId="00F5E111" w14:textId="77777777" w:rsidR="00E42B18" w:rsidRDefault="009629C4">
      <w:pPr>
        <w:pStyle w:val="FootnoteText"/>
        <w:ind w:left="0" w:firstLine="0"/>
      </w:pPr>
      <w:r>
        <w:rPr>
          <w:rStyle w:val="FootnoteReference"/>
        </w:rPr>
        <w:footnoteRef/>
      </w:r>
      <w:r>
        <w:rPr>
          <w:rStyle w:val="FootnoteReference"/>
        </w:rPr>
        <w:t xml:space="preserve"> </w:t>
      </w:r>
      <w:r>
        <w:rPr>
          <w:rFonts w:eastAsia="EC Square Sans Pro"/>
        </w:rPr>
        <w:t>Tätä poikkeusta ei sovelleta toimiin laitoksissa, jotka on tarkoitettu yksinomaan kierrätettäväksi kelpaamattoman vaarallisen jätteen käsittelyyn, eikä olemassa oleviin laitoksiin, joissa tämän toimenpiteen mukaisten toimien tarkoituksena on energiatehokkuuden lisääminen, pakokaasujen talteenotto varastointia tai käyttöä varten tai materiaalien talteenotto polttotuhkasta edellyttäen, että tällaiset tämän toimenpiteen mukaiset toimet eivät lisää laitosten jätteenkäsittelykapasiteettia tai pidentä laitosten käyttöikää; tästä on toimitettava näyttöä laitoskohtaisesti.</w:t>
      </w:r>
    </w:p>
  </w:footnote>
  <w:footnote w:id="71">
    <w:p w14:paraId="57F8253E" w14:textId="77777777" w:rsidR="00E42B18" w:rsidRDefault="009629C4">
      <w:pPr>
        <w:pStyle w:val="FootnoteText"/>
        <w:ind w:left="0" w:firstLine="0"/>
      </w:pPr>
      <w:r>
        <w:rPr>
          <w:rStyle w:val="FootnoteReference"/>
          <w:rFonts w:eastAsiaTheme="majorEastAsia"/>
        </w:rPr>
        <w:footnoteRef/>
      </w:r>
      <w:r>
        <w:t xml:space="preserve"> Lukuun ottamatta a) sähkön ja/tai lämmön tuotantoon liittyviä omaisuuseriä ja toimintoja sekä niihin liittyvää maakaasua käyttävää siirto- ja jakeluinfrastruktuuria, jotka täyttävät ”ei merkittävää haittaa” -periaatetta koskevien teknisten ohjeiden (2021/C58/01) liitteessä III vahvistetut edellytykset.</w:t>
      </w:r>
    </w:p>
  </w:footnote>
  <w:footnote w:id="72">
    <w:p w14:paraId="5666D2DB" w14:textId="6E0FC9E3" w:rsidR="00E42B18" w:rsidRDefault="009629C4">
      <w:pPr>
        <w:pStyle w:val="FootnoteText"/>
        <w:ind w:left="0" w:firstLine="0"/>
      </w:pPr>
      <w:r>
        <w:rPr>
          <w:rStyle w:val="FootnoteReference"/>
        </w:rPr>
        <w:footnoteRef/>
      </w:r>
      <w:r>
        <w:t xml:space="preserve"> Yksittäisiin hankkeisiin liittyvien lopullisten tuensaajien on esitettävä kunkin tuetun hankkeen osalta perustelut valitulle tukitoimialalle sekä kuvaus hankkeesta ilmastoosuuden laskemista varten. Ilmastorahoitusosuuden laskemista varten oman pääoman ehtoisten, oman pääoman luonteisten, yritysjoukkolainojen tai vastaavien välineiden, joita ei ole kohdennettu tiettyihin hankkeisiin, lopullisten tuensaajien on esitettävä perustelut valitulle tukitoimialalle tai -aloille. Toteutuskumppanin on myös toimitettava jäsenvaltiolle puolivuosittainen kertomus kunkin hankkeen/toimen täytäntöönpanosta.</w:t>
      </w:r>
    </w:p>
  </w:footnote>
  <w:footnote w:id="73">
    <w:p w14:paraId="2D53AB2B" w14:textId="77777777" w:rsidR="00E42B18" w:rsidRDefault="009629C4">
      <w:pPr>
        <w:pStyle w:val="FootnoteText"/>
        <w:ind w:left="0" w:firstLine="0"/>
      </w:pPr>
      <w:r>
        <w:rPr>
          <w:rStyle w:val="FootnoteReference"/>
          <w:rFonts w:eastAsiaTheme="majorEastAsia"/>
        </w:rPr>
        <w:footnoteRef/>
      </w:r>
      <w: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74">
    <w:p w14:paraId="7DDA649D" w14:textId="77777777" w:rsidR="00E42B18" w:rsidRDefault="009629C4">
      <w:pPr>
        <w:pStyle w:val="FootnoteText"/>
        <w:ind w:left="0" w:firstLine="0"/>
        <w:rPr>
          <w:rFonts w:eastAsia="EC Square Sans Pro"/>
        </w:rPr>
      </w:pPr>
      <w:r>
        <w:rPr>
          <w:rStyle w:val="FootnoteReference"/>
          <w:rFonts w:eastAsiaTheme="majorEastAsia"/>
        </w:rPr>
        <w:footnoteRef/>
      </w:r>
      <w:r>
        <w:t xml:space="preserve"> </w:t>
      </w:r>
      <w:r>
        <w:rPr>
          <w:rFonts w:eastAsia="EC Square Sans Pro"/>
        </w:rPr>
        <w:t xml:space="preserve">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 </w:t>
      </w:r>
    </w:p>
  </w:footnote>
  <w:footnote w:id="75">
    <w:p w14:paraId="3E52CCA0" w14:textId="77777777" w:rsidR="00E42B18" w:rsidRDefault="009629C4">
      <w:pPr>
        <w:pStyle w:val="FootnoteText"/>
        <w:ind w:left="0" w:firstLine="0"/>
      </w:pPr>
      <w:r>
        <w:rPr>
          <w:rStyle w:val="FootnoteReference"/>
          <w:rFonts w:eastAsiaTheme="majorEastAsia"/>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 </w:t>
      </w:r>
    </w:p>
  </w:footnote>
  <w:footnote w:id="76">
    <w:p w14:paraId="0980FE0E" w14:textId="77777777" w:rsidR="00E42B18" w:rsidRDefault="009629C4">
      <w:pPr>
        <w:pStyle w:val="FootnoteText"/>
        <w:ind w:left="0" w:firstLine="0"/>
      </w:pPr>
      <w:r>
        <w:rPr>
          <w:rStyle w:val="FootnoteReference"/>
          <w:rFonts w:eastAsiaTheme="majorEastAsia"/>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 </w:t>
      </w:r>
    </w:p>
  </w:footnote>
  <w:footnote w:id="77">
    <w:p w14:paraId="5F40F9FE" w14:textId="57637972" w:rsidR="00E42B18" w:rsidRDefault="009629C4">
      <w:pPr>
        <w:pStyle w:val="FootnoteText"/>
        <w:ind w:left="0" w:firstLine="0"/>
        <w:jc w:val="left"/>
      </w:pPr>
      <w:r>
        <w:rPr>
          <w:rStyle w:val="FootnoteReference"/>
        </w:rPr>
        <w:footnoteRef/>
      </w:r>
      <w: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78">
    <w:p w14:paraId="5F67219E" w14:textId="2FDE4722" w:rsidR="00E42B18" w:rsidRDefault="009629C4">
      <w:pPr>
        <w:pStyle w:val="FootnoteText"/>
        <w:ind w:left="0" w:firstLine="0"/>
      </w:pPr>
      <w:r>
        <w:rPr>
          <w:rStyle w:val="FootnoteReference"/>
        </w:rPr>
        <w:footnoteRef/>
      </w:r>
      <w:r>
        <w:t xml:space="preserve"> 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 </w:t>
      </w:r>
    </w:p>
  </w:footnote>
  <w:footnote w:id="79">
    <w:p w14:paraId="12729B67" w14:textId="53775914" w:rsidR="00E42B18" w:rsidRDefault="009629C4">
      <w:pPr>
        <w:pStyle w:val="FootnoteText"/>
        <w:ind w:left="0" w:firstLine="0"/>
      </w:pPr>
      <w:r>
        <w:rPr>
          <w:rStyle w:val="FootnoteReference"/>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w:t>
      </w:r>
    </w:p>
  </w:footnote>
  <w:footnote w:id="80">
    <w:p w14:paraId="4AD2B9CE" w14:textId="64187F07"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w:t>
      </w:r>
    </w:p>
  </w:footnote>
  <w:footnote w:id="81">
    <w:p w14:paraId="4733E3CB" w14:textId="77777777" w:rsidR="00E42B18" w:rsidRDefault="009629C4">
      <w:pPr>
        <w:pStyle w:val="FootnoteText"/>
        <w:ind w:left="0" w:firstLine="0"/>
      </w:pPr>
      <w:r>
        <w:rPr>
          <w:rStyle w:val="FootnoteReference"/>
        </w:rPr>
        <w:footnoteRef/>
      </w:r>
      <w:r>
        <w:t xml:space="preserve"> Työkokonaisuus on osa hankkeen työn jaottelua, kuten testataan ennen investointeja, taitoja ja koulutusta, projektinhallintaa ja koordinointia. Se edustaa joukkoa hanketyötä, joka on kuvattu toiminnoissa ja tehtävissä. Työpaketeissa on oltava selkeä ja looginen yhteys hankkeen tavoitteisiin ja muihin tehtäväkokonaisuuksiin. Kukin työpaketti muodostaa hankkeen osan, joka on vaihe, joka johtaa hankkeen yleisten tavoitteiden saavuttamiseen. </w:t>
      </w:r>
    </w:p>
  </w:footnote>
  <w:footnote w:id="82">
    <w:p w14:paraId="2CB6BA0A" w14:textId="77777777" w:rsidR="00E42B18" w:rsidRDefault="009629C4">
      <w:pPr>
        <w:pStyle w:val="FootnoteText"/>
      </w:pPr>
      <w:r>
        <w:rPr>
          <w:rStyle w:val="FootnoteReference"/>
          <w:rFonts w:eastAsiaTheme="majorEastAsia"/>
        </w:rPr>
        <w:footnoteRef/>
      </w:r>
      <w:r>
        <w:t xml:space="preserve"> Erityisesti 13 prosentin enimmäismäärä ei sisällä DTF:ään liittyviä tulospalkkioita, jotka ovat kiinnostuneita kuljetuksesta, ja</w:t>
      </w:r>
    </w:p>
    <w:p w14:paraId="790BDC8F" w14:textId="77777777" w:rsidR="00E42B18" w:rsidRDefault="009629C4">
      <w:pPr>
        <w:pStyle w:val="FootnoteText"/>
      </w:pPr>
      <w:r>
        <w:t>kaikki kustannukset ja hallinnointipalkkiot, jotka liittyvät epäsuoriin sijoituksiin/kolmansien osapuolten rahastoihin.</w:t>
      </w:r>
    </w:p>
  </w:footnote>
  <w:footnote w:id="83">
    <w:p w14:paraId="57194C5D" w14:textId="77777777" w:rsidR="00E42B18" w:rsidRDefault="009629C4">
      <w:pPr>
        <w:pStyle w:val="FootnoteText"/>
        <w:ind w:left="0" w:firstLine="0"/>
        <w:rPr>
          <w:rStyle w:val="FootnoteReference"/>
          <w:vertAlign w:val="baseline"/>
        </w:rPr>
      </w:pPr>
      <w:r>
        <w:rPr>
          <w:rStyle w:val="FootnoteReference"/>
          <w:vertAlign w:val="baseline"/>
        </w:rPr>
        <w:t xml:space="preserve">Suorien sijoitusten </w:t>
      </w:r>
      <w:r>
        <w:rPr>
          <w:rStyle w:val="FootnoteReference"/>
          <w:vertAlign w:val="baseline"/>
        </w:rPr>
        <w:footnoteRef/>
      </w:r>
      <w:r>
        <w:rPr>
          <w:rStyle w:val="FootnoteReference"/>
          <w:vertAlign w:val="baseline"/>
        </w:rPr>
        <w:t xml:space="preserve"> tapauksessa DTF:n on toimittava tarjoamalla oman pääoman ehtoista tai oman pääoman luonteista tukea;</w:t>
      </w:r>
    </w:p>
    <w:p w14:paraId="009373B7" w14:textId="77777777" w:rsidR="00E42B18" w:rsidRDefault="009629C4">
      <w:pPr>
        <w:pStyle w:val="FootnoteText"/>
        <w:ind w:left="0" w:firstLine="0"/>
        <w:rPr>
          <w:rStyle w:val="FootnoteReference"/>
        </w:rPr>
      </w:pPr>
      <w:r>
        <w:rPr>
          <w:rStyle w:val="FootnoteReference"/>
          <w:vertAlign w:val="baseline"/>
        </w:rPr>
        <w:t>välillisten sijoitusten tapauksessa DTF:n on toimittava rahoittamalla kolmannen osapuolen rahastoja, joiden on toimittava tarjoamalla vähintään yksi seuraavista: oman pääoman ehtoiset tai oman pääoman luonteiset, vieraan pääoman ehtoiset tai vieraan pääoman luonteiset instrumentit.</w:t>
      </w:r>
    </w:p>
  </w:footnote>
  <w:footnote w:id="84">
    <w:p w14:paraId="33CAE47C" w14:textId="77777777" w:rsidR="00E42B18" w:rsidRDefault="009629C4">
      <w:pPr>
        <w:spacing w:after="0" w:line="240" w:lineRule="auto"/>
        <w:jc w:val="both"/>
        <w:rPr>
          <w:rFonts w:ascii="Times New Roman" w:eastAsia="Times New Roman" w:hAnsi="Times New Roman" w:cs="Times New Roman"/>
        </w:rPr>
      </w:pPr>
      <w:r>
        <w:rPr>
          <w:rStyle w:val="FootnoteReference"/>
          <w:sz w:val="20"/>
          <w:szCs w:val="20"/>
        </w:rPr>
        <w:t xml:space="preserve">Lopullisen tuensaajan </w:t>
      </w:r>
      <w:r>
        <w:rPr>
          <w:rStyle w:val="FootnoteReference"/>
          <w:sz w:val="20"/>
          <w:szCs w:val="20"/>
        </w:rPr>
        <w:footnoteRef/>
      </w:r>
      <w:r>
        <w:rPr>
          <w:rStyle w:val="FootnoteReference"/>
          <w:sz w:val="20"/>
          <w:szCs w:val="20"/>
        </w:rPr>
        <w:t xml:space="preserve"> </w:t>
      </w:r>
      <w:r>
        <w:rPr>
          <w:rStyle w:val="FootnoteReference"/>
          <w:rFonts w:ascii="Times New Roman" w:hAnsi="Times New Roman" w:cs="Times New Roman"/>
          <w:sz w:val="20"/>
          <w:szCs w:val="20"/>
          <w:vertAlign w:val="baseline"/>
        </w:rPr>
        <w:t>katsotaan keskittyvän ”olennaisesti” toimialaan tai liiketoimintaan, jos kyseisen alan tai toiminnan katsotaan olevan olennainen osa lopullisen tuensaajan liiketoimintaa suhteessa lopullisen tuensaajan bruttotuloihin, voittoon tai asiakaspohjaan. Rajoitetusta alasta tai toiminnasta saatavat bruttotulot saavat joka tapauksessa olla enintään 50 prosenttia bruttotuloista.</w:t>
      </w:r>
    </w:p>
  </w:footnote>
  <w:footnote w:id="85">
    <w:p w14:paraId="09AC3AF3" w14:textId="77777777" w:rsidR="00E42B18" w:rsidRDefault="009629C4">
      <w:pPr>
        <w:spacing w:after="0" w:line="240" w:lineRule="auto"/>
        <w:jc w:val="both"/>
        <w:rPr>
          <w:rFonts w:ascii="Times New Roman" w:eastAsia="Times New Roman" w:hAnsi="Times New Roman" w:cs="Times New Roman"/>
          <w:sz w:val="20"/>
          <w:szCs w:val="20"/>
        </w:rPr>
      </w:pPr>
      <w:r>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Lukuun ottamatta a) maakaasua käyttävää sähkön ja/tai lämmön tuotantoon liittyvää omaisuutta ja toimintaa sekä siihen liittyvää siirto- ja jakeluinfrastruktuuria, jotka täyttävät ”</w:t>
      </w:r>
      <w:r>
        <w:rPr>
          <w:rFonts w:ascii="Times New Roman" w:eastAsia="Times New Roman" w:hAnsi="Times New Roman" w:cs="Times New Roman"/>
          <w:i/>
          <w:sz w:val="20"/>
          <w:szCs w:val="20"/>
        </w:rPr>
        <w:t>ei merkittävää haittaa</w:t>
      </w:r>
      <w:r>
        <w:rPr>
          <w:rFonts w:ascii="Times New Roman" w:eastAsia="Times New Roman" w:hAnsi="Times New Roman" w:cs="Times New Roman"/>
          <w:sz w:val="20"/>
          <w:szCs w:val="20"/>
        </w:rPr>
        <w:t>” -asiakirjan (2021/C58/01) liitteessä III vahvistetut edellytykset, ja b) ii alakohdassa tarkoitetut toiminnot ja omaisuuserät, joiden osalta fossiilisten polttoaineiden käyttö on väliaikaista ja teknisesti mahdotonta välttää oikea-aikaisen siirtymisen kohti fossiilisista polttoaineista vapaata toimintaa.</w:t>
      </w:r>
    </w:p>
  </w:footnote>
  <w:footnote w:id="86">
    <w:p w14:paraId="2F5E2959" w14:textId="77777777" w:rsidR="00E42B18" w:rsidRDefault="009629C4">
      <w:pPr>
        <w:spacing w:after="0" w:line="240" w:lineRule="auto"/>
        <w:jc w:val="both"/>
        <w:rPr>
          <w:rStyle w:val="FootnoteReference"/>
          <w:rFonts w:ascii="Times New Roman" w:hAnsi="Times New Roman" w:cs="Times New Roman"/>
          <w:sz w:val="20"/>
          <w:szCs w:val="20"/>
          <w:vertAlign w:val="baseline"/>
        </w:rPr>
      </w:pPr>
      <w:r>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rPr>
        <w:t xml:space="preserve"> </w:t>
      </w:r>
      <w:r>
        <w:rPr>
          <w:rStyle w:val="FootnoteReference"/>
          <w:rFonts w:ascii="Times New Roman" w:hAnsi="Times New Roman" w:cs="Times New Roman"/>
          <w:sz w:val="20"/>
          <w:szCs w:val="20"/>
          <w:vertAlign w:val="baseline"/>
        </w:rPr>
        <w:t>Sisällytetään EU:n päästökauppajärjestelmään toiminnot ja varat, joilla saavutetaan ennustetut kasvihuonekaasupäästöt, jotka eivät alita asiaankuuluvia vertailuarvoja. 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footnote>
  <w:footnote w:id="87">
    <w:p w14:paraId="4A650BD8" w14:textId="77777777" w:rsidR="00E42B18" w:rsidRDefault="009629C4">
      <w:pPr>
        <w:spacing w:after="0" w:line="240" w:lineRule="auto"/>
        <w:jc w:val="both"/>
        <w:rPr>
          <w:rStyle w:val="FootnoteReference"/>
          <w:rFonts w:ascii="Times New Roman" w:hAnsi="Times New Roman" w:cs="Times New Roman"/>
          <w:sz w:val="20"/>
          <w:szCs w:val="20"/>
          <w:vertAlign w:val="baseline"/>
        </w:rPr>
      </w:pPr>
      <w:r>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vertAlign w:val="baseline"/>
        </w:rPr>
        <w:t>Saastuttavat ajoneuvot määritellään päästöttömiksi ajoneuvoiksi.</w:t>
      </w:r>
    </w:p>
  </w:footnote>
  <w:footnote w:id="88">
    <w:p w14:paraId="21842AC2" w14:textId="77777777" w:rsidR="00E42B18" w:rsidRDefault="009629C4">
      <w:pPr>
        <w:spacing w:after="0" w:line="240" w:lineRule="auto"/>
        <w:jc w:val="both"/>
        <w:rPr>
          <w:rFonts w:ascii="Times New Roman" w:eastAsia="Times New Roman" w:hAnsi="Times New Roman" w:cs="Times New Roman"/>
        </w:rPr>
      </w:pPr>
      <w:r>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rPr>
        <w:t xml:space="preserve"> </w:t>
      </w:r>
      <w:r>
        <w:rPr>
          <w:rStyle w:val="FootnoteReference"/>
          <w:rFonts w:ascii="Times New Roman" w:hAnsi="Times New Roman" w:cs="Times New Roman"/>
          <w:sz w:val="20"/>
          <w:szCs w:val="20"/>
          <w:vertAlign w:val="baseline"/>
        </w:rPr>
        <w:t>Tätä poikkeusta ei sovelleta toimiin laitoksissa, jotka on tarkoitettu yksinomaan kierrätettäväksi kelpaamattoman vaarallisen jätteen käsittelyyn, eikä olemassa oleviin laitoksiin, joissa tämän toimenpiteen mukaisten toimien tarkoituksena on energiatehokkuuden lisääminen, pakokaasujen talteenotto varastointia tai käyttöä varten tai materiaalien talteenotto polttotuhkasta edellyttäen, että tällaiset tämän toimenpiteen mukaiset toimet eivät lisää laitosten jätteenkäsittelykapasiteettia tai pidentä laitosten käyttöikää; tästä on toimitettava näyttöä laitoskohtaisesti.</w:t>
      </w:r>
    </w:p>
  </w:footnote>
  <w:footnote w:id="89">
    <w:p w14:paraId="6F9200E1" w14:textId="77777777" w:rsidR="00E42B18" w:rsidRDefault="009629C4">
      <w:pPr>
        <w:pStyle w:val="FootnoteText"/>
        <w:ind w:left="0" w:firstLine="0"/>
      </w:pPr>
      <w:r>
        <w:rPr>
          <w:rStyle w:val="FootnoteReference"/>
        </w:rPr>
        <w:footnoteRef/>
      </w:r>
      <w: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90">
    <w:p w14:paraId="4F389F10" w14:textId="77777777" w:rsidR="00E42B18" w:rsidRDefault="009629C4">
      <w:pPr>
        <w:pStyle w:val="FootnoteText"/>
        <w:ind w:left="0" w:firstLine="0"/>
        <w:rPr>
          <w:rFonts w:eastAsia="EC Square Sans Pro"/>
        </w:rPr>
      </w:pPr>
      <w:r>
        <w:rPr>
          <w:rStyle w:val="FootnoteReference"/>
        </w:rPr>
        <w:footnoteRef/>
      </w:r>
      <w:r>
        <w:t xml:space="preserve"> </w:t>
      </w:r>
      <w:r>
        <w:rPr>
          <w:rFonts w:eastAsia="EC Square Sans Pro"/>
        </w:rPr>
        <w:t xml:space="preserve">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 </w:t>
      </w:r>
    </w:p>
  </w:footnote>
  <w:footnote w:id="91">
    <w:p w14:paraId="4A3B153C" w14:textId="77777777" w:rsidR="00E42B18" w:rsidRDefault="009629C4">
      <w:pPr>
        <w:pStyle w:val="FootnoteText"/>
        <w:ind w:left="0" w:firstLine="0"/>
        <w:rPr>
          <w:rFonts w:eastAsiaTheme="minorHAnsi" w:cstheme="minorBidi"/>
        </w:rPr>
      </w:pPr>
      <w:r>
        <w:rPr>
          <w:rStyle w:val="FootnoteReference"/>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 </w:t>
      </w:r>
    </w:p>
  </w:footnote>
  <w:footnote w:id="92">
    <w:p w14:paraId="57AA7244"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 </w:t>
      </w:r>
    </w:p>
  </w:footnote>
  <w:footnote w:id="93">
    <w:p w14:paraId="554975A4" w14:textId="77777777" w:rsidR="00E42B18" w:rsidRDefault="009629C4">
      <w:pPr>
        <w:pStyle w:val="FootnoteText"/>
        <w:ind w:left="0" w:firstLine="0"/>
      </w:pPr>
      <w:r>
        <w:rPr>
          <w:rStyle w:val="FootnoteReference"/>
        </w:rPr>
        <w:footnoteRef/>
      </w:r>
      <w:r>
        <w:t xml:space="preserve"> Lukuun ottamatta tämän toimenpiteen mukaisia hankkeita, jotka koskevat sähkön ja/tai lämmön tuotantoa sekä niihin liittyvää maakaasua käyttävää siirto- ja jakeluinfrastruktuuria ja jotka täyttävät ”ei merkittävää haittaa” -periaatteesta annettujen teknisten ohjeiden (2021/C58/01) liitteessä III esitetyt ehdot.</w:t>
      </w:r>
    </w:p>
  </w:footnote>
  <w:footnote w:id="94">
    <w:p w14:paraId="7E32F814" w14:textId="77777777" w:rsidR="00E42B18" w:rsidRDefault="009629C4">
      <w:pPr>
        <w:pStyle w:val="FootnoteText"/>
        <w:ind w:left="0" w:firstLine="0"/>
      </w:pPr>
      <w:r>
        <w:rPr>
          <w:rStyle w:val="FootnoteReference"/>
        </w:rPr>
        <w:footnoteRef/>
      </w:r>
      <w:r>
        <w:t xml:space="preserve"> Jos tuetulla toiminnalla saavutetaan ennustetut kasvihuonekaasupäästöt, jotka eivät ole merkittävästi alhaisempia kuin asianomaiset vertailuarvot, olisi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footnote>
  <w:footnote w:id="95">
    <w:p w14:paraId="04641FDD" w14:textId="77777777" w:rsidR="00E42B18" w:rsidRDefault="009629C4">
      <w:pPr>
        <w:spacing w:after="0" w:line="240" w:lineRule="auto"/>
        <w:jc w:val="both"/>
        <w:rPr>
          <w:rFonts w:ascii="Times New Roman" w:hAnsi="Times New Roman" w:cs="Times New Roman"/>
        </w:rPr>
      </w:pPr>
      <w:r>
        <w:rPr>
          <w:rStyle w:val="FootnoteReference"/>
          <w:rFonts w:ascii="Times New Roman" w:hAnsi="Times New Roman" w:cs="Times New Roman"/>
          <w:sz w:val="20"/>
          <w:szCs w:val="20"/>
        </w:rPr>
        <w:footnoteRef/>
      </w:r>
      <w:r>
        <w:rPr>
          <w:rFonts w:ascii="Times New Roman" w:hAnsi="Times New Roman" w:cs="Times New Roman"/>
          <w:sz w:val="20"/>
        </w:rP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w:t>
      </w:r>
    </w:p>
  </w:footnote>
  <w:footnote w:id="96">
    <w:p w14:paraId="102719DC" w14:textId="77777777" w:rsidR="00E42B18" w:rsidRDefault="009629C4">
      <w:pPr>
        <w:pStyle w:val="FootnoteText"/>
        <w:ind w:left="0" w:firstLine="0"/>
      </w:pPr>
      <w:r>
        <w:rPr>
          <w:rStyle w:val="FootnoteReference"/>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w:t>
      </w:r>
    </w:p>
  </w:footnote>
  <w:footnote w:id="97">
    <w:p w14:paraId="1BE840AA" w14:textId="77777777" w:rsidR="00E42B18" w:rsidRDefault="00E42B18"/>
  </w:footnote>
  <w:footnote w:id="98">
    <w:p w14:paraId="4B04E9F4" w14:textId="2BAAE38D" w:rsidR="00E42B18" w:rsidRDefault="009629C4">
      <w:pPr>
        <w:pStyle w:val="FootnoteText"/>
        <w:ind w:left="0" w:firstLine="0"/>
      </w:pPr>
      <w:r>
        <w:rPr>
          <w:rStyle w:val="FootnoteReference"/>
        </w:rPr>
        <w:footnoteRef/>
      </w:r>
      <w:r>
        <w:t xml:space="preserve"> Yksittäisiin hankkeisiin liittyvien lopullisten tuensaajien on esitettävä kunkin tuetun hankkeen osalta perustelut valitulle tukitoimialalle sekä kuvaus hankkeesta ilmastoosuuden laskemista varten. Toteutuskumppanin on myös toimitettava jäsenvaltiolle puolivuosittainen kertomus kunkin hankkeen/toimen täytäntöönpanosta.</w:t>
      </w:r>
    </w:p>
  </w:footnote>
  <w:footnote w:id="99">
    <w:p w14:paraId="38058091" w14:textId="77777777" w:rsidR="00E42B18" w:rsidRDefault="009629C4">
      <w:pPr>
        <w:pStyle w:val="FootnoteText"/>
        <w:ind w:left="0" w:firstLine="0"/>
      </w:pPr>
      <w:r>
        <w:rPr>
          <w:rStyle w:val="FootnoteReference"/>
          <w:rFonts w:eastAsiaTheme="majorEastAsia"/>
        </w:rPr>
        <w:footnoteRef/>
      </w:r>
      <w:r>
        <w:t xml:space="preserve"> Lopullisen tuensaajan katsotaan keskittyvän ”olennaisesti” toimialaan tai liiketoimintaan, jos kyseisen alan tai toiminnan katsotaan olevan olennainen osa lopullisen tuensaajan liiketoimintaa suhteessa lopullisen tuensaajan bruttotuloihin, voittoon tai asiakaspohjaan. Rajoitetusta alasta tai toiminnasta saatavat bruttotulot saavat joka tapauksessa olla enintään 50 prosenttia bruttotuloista.</w:t>
      </w:r>
    </w:p>
  </w:footnote>
  <w:footnote w:id="100">
    <w:p w14:paraId="4622071A" w14:textId="77777777" w:rsidR="00E42B18" w:rsidRDefault="009629C4">
      <w:pPr>
        <w:spacing w:after="0" w:line="240" w:lineRule="auto"/>
        <w:jc w:val="both"/>
        <w:rPr>
          <w:rFonts w:ascii="Times New Roman" w:hAnsi="Times New Roman" w:cs="Times New Roman"/>
          <w:sz w:val="20"/>
          <w:szCs w:val="20"/>
        </w:rPr>
      </w:pPr>
      <w:r>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101">
    <w:p w14:paraId="227754C7" w14:textId="77777777" w:rsidR="00E42B18" w:rsidRDefault="009629C4">
      <w:pPr>
        <w:spacing w:after="0" w:line="240" w:lineRule="auto"/>
        <w:jc w:val="both"/>
        <w:rPr>
          <w:rFonts w:ascii="Times New Roman" w:hAnsi="Times New Roman" w:cs="Times New Roman"/>
          <w:sz w:val="20"/>
          <w:szCs w:val="20"/>
        </w:rPr>
      </w:pPr>
      <w:r>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Sisällytetään EU:n päästökauppajärjestelmään toiminnot ja varat, joilla saavutetaan ennustetut kasvihuonekaasupäästöt, jotka eivät alita asiaankuuluvia vertailuarvoja. 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w:t>
      </w:r>
    </w:p>
  </w:footnote>
  <w:footnote w:id="102">
    <w:p w14:paraId="56FC1216" w14:textId="77777777" w:rsidR="00E42B18" w:rsidRDefault="009629C4">
      <w:pPr>
        <w:spacing w:after="0" w:line="240" w:lineRule="auto"/>
        <w:jc w:val="both"/>
        <w:rPr>
          <w:rFonts w:ascii="Times New Roman" w:hAnsi="Times New Roman" w:cs="Times New Roman"/>
          <w:sz w:val="20"/>
          <w:szCs w:val="20"/>
        </w:rPr>
      </w:pPr>
      <w:r>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Saastuttavat ajoneuvot määritellään päästöttömiksi ajoneuvoiksi.</w:t>
      </w:r>
    </w:p>
  </w:footnote>
  <w:footnote w:id="103">
    <w:p w14:paraId="1F4EADE3" w14:textId="77777777" w:rsidR="00E42B18" w:rsidRDefault="009629C4">
      <w:pPr>
        <w:pStyle w:val="FootnoteText"/>
        <w:ind w:left="0" w:firstLine="0"/>
      </w:pPr>
      <w:r>
        <w:rPr>
          <w:rStyle w:val="FootnoteReference"/>
          <w:rFonts w:eastAsiaTheme="majorEastAsia"/>
        </w:rPr>
        <w:footnoteRef/>
      </w:r>
      <w:r>
        <w:t xml:space="preserve"> Tätä poikkeusta ei sovelleta toimiin laitoksissa, jotka on tarkoitettu yksinomaan kierrätettäväksi kelpaamattoman vaarallisen jätteen käsittelyyn, eikä olemassa oleviin laitoksiin, joissa tämän toimenpiteen mukaisten toimien tarkoituksena on energiatehokkuuden lisääminen, pakokaasujen talteenotto varastointia tai käyttöä varten tai materiaalien talteenotto polttotuhkasta edellyttäen, että tällaiset tämän toimenpiteen mukaiset toimet eivät lisää laitosten jätteenkäsittelykapasiteettia tai pidentä laitosten käyttöikää; tästä on toimitettava näyttöä laitoskohtaisesti.</w:t>
      </w:r>
    </w:p>
  </w:footnote>
  <w:footnote w:id="104">
    <w:p w14:paraId="2118312F" w14:textId="60DBA07F" w:rsidR="00E42B18" w:rsidRDefault="009629C4">
      <w:pPr>
        <w:pStyle w:val="FootnoteText"/>
        <w:ind w:left="0" w:firstLine="0"/>
      </w:pPr>
      <w:r>
        <w:rPr>
          <w:rStyle w:val="FootnoteReference"/>
        </w:rPr>
        <w:footnoteRef/>
      </w:r>
      <w:r>
        <w:t xml:space="preserve"> Yksittäisiin hankkeisiin liittyvien lopullisten tuensaajien on esitettävä kunkin tuetun hankkeen osalta perustelut valitulle tukitoimialalle sekä kuvaus hankkeesta ilmastoosuuden laskemista varten. Toteutuskumppanin on myös toimitettava jäsenvaltiolle puolivuosittainen kertomus kunkin hankkeen/toimen täytäntöönpanosta.</w:t>
      </w:r>
    </w:p>
  </w:footnote>
  <w:footnote w:id="105">
    <w:p w14:paraId="091AAF01" w14:textId="77777777" w:rsidR="00E42B18" w:rsidRDefault="009629C4">
      <w:pPr>
        <w:pStyle w:val="FootnoteText"/>
        <w:ind w:left="0" w:firstLine="0"/>
      </w:pPr>
      <w:r>
        <w:rPr>
          <w:rStyle w:val="FootnoteReference"/>
        </w:rPr>
        <w:footnoteRef/>
      </w:r>
      <w:r>
        <w:t xml:space="preserve"> Lukuun ottamatta a) toimintoja ja varoja, jotka koskevat sähkön ja/tai lämmön tuotantoa sekä niihin liittyvää maakaasua käyttävää siirto- ja jakeluinfrastruktuuria ja jotka täyttävät ”ei merkittävää haittaa” -periaatetta koskevien teknisten ohjeiden (2021/C58/01) liitteessä III esitetyt ehdot, ja b) ii alakohdan mukaisia toimintoja ja varoja, joiden osalta fossiilisten polttoaineiden käyttö on tilapäistä ja teknisesti väistämätöntä, jotta voidaan siirtyä oikea-aikaisesti kohti fossiilisista polttoaineista vapaata toimintaa.</w:t>
      </w:r>
    </w:p>
  </w:footnote>
  <w:footnote w:id="106">
    <w:p w14:paraId="5FB85DB4" w14:textId="77777777" w:rsidR="00E42B18" w:rsidRDefault="009629C4">
      <w:pPr>
        <w:pStyle w:val="FootnoteText"/>
        <w:ind w:left="0" w:firstLine="0"/>
        <w:rPr>
          <w:rFonts w:eastAsia="EC Square Sans Pro"/>
        </w:rPr>
      </w:pPr>
      <w:r>
        <w:rPr>
          <w:rStyle w:val="FootnoteReference"/>
          <w:rFonts w:eastAsiaTheme="majorEastAsia"/>
        </w:rPr>
        <w:footnoteRef/>
      </w:r>
      <w:r>
        <w:t xml:space="preserve"> Jos tuetulla toiminnalla saavutetaan ennustetut kasvihuonekaasupäästöt, jotka eivät ole merkittävästi alhaisempia kuin asianomaiset vertailuarvot, on annettava selvitys syistä, joiden vuoksi tämä ei ole mahdollista. Vertailuarvot, jotka on vahvistettu maksutta jaettavia päästöoikeuksia varten päästökauppajärjestelmän soveltamisalaan kuuluville toiminnoille komission täytäntöönpanoasetuksen (EU) 2021/447 mukaisesti. </w:t>
      </w:r>
    </w:p>
  </w:footnote>
  <w:footnote w:id="107">
    <w:p w14:paraId="3EEF9FE7" w14:textId="77777777" w:rsidR="00E42B18" w:rsidRDefault="009629C4">
      <w:pPr>
        <w:pStyle w:val="FootnoteText"/>
        <w:ind w:left="0" w:firstLine="0"/>
      </w:pPr>
      <w:r>
        <w:rPr>
          <w:rStyle w:val="FootnoteReference"/>
          <w:rFonts w:eastAsiaTheme="majorEastAsia"/>
        </w:rPr>
        <w:footnoteRef/>
      </w:r>
      <w:r>
        <w:t xml:space="preserve"> Tämä soveltamisalan ulkopuolelle jättäminen ei koske tämän toimenpiteen mukaisia toimia laitoksissa, jotka on tarkoitettu yksinomaan kierrätettäväksi kelpaamattoman vaarallisen jätteen käsittelyyn, eikä olemassa olevissa laitoksissa, joissa tämän toimenpiteen mukaisilla toimilla pyritään lisäämään energiatehokkuutta, ottamaan talteen kaasuja varastointia tai käyttöä varten tai ottamaan talteen materiaalit polttotuhkasta, edellyttäen, että tällaiset tämän toimenpiteen mukaiset toimet eivät johda laitoksen jätteenkäsittelykapasiteetin kasvuun tai laitosten käyttöiän pidentämiseen; tästä on toimitettava näyttöä laitoskohtaisesti. </w:t>
      </w:r>
    </w:p>
  </w:footnote>
  <w:footnote w:id="108">
    <w:p w14:paraId="09D62EC6" w14:textId="77777777" w:rsidR="00E42B18" w:rsidRDefault="009629C4">
      <w:pPr>
        <w:pStyle w:val="FootnoteText"/>
        <w:ind w:left="0" w:firstLine="0"/>
      </w:pPr>
      <w:r>
        <w:rPr>
          <w:rStyle w:val="FootnoteReference"/>
          <w:rFonts w:eastAsiaTheme="majorEastAsia"/>
        </w:rPr>
        <w:footnoteRef/>
      </w:r>
      <w:r>
        <w:t xml:space="preserve"> Tämä soveltamisalan ulkopuolelle jättäminen ei koske tämän toimenpiteen mukaisia toimia olemassa olevissa mekaanisissa biologisissa käsittelylaitoksissa, jos tämän toimenpiteen mukaisten toimien tarkoituksena on parantaa energiatehokkuutta tai uudistaa erotetun jätteen kierrätystoimia biojätteen kompostointia ja biojätteen anaerobista mädättämistä varten edellyttäen, että tällaiset tämän toimenpiteen mukaiset toimet eivät johda laitosten jätteenkäsittelykapasiteetin lisääntymiseen tai laitosten käyttöiän pidentämiseen; tästä on toimitettava näyttöä laitoskohtaisesti.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D4F50" w14:textId="77777777" w:rsidR="008664B6" w:rsidRPr="008664B6" w:rsidRDefault="008664B6" w:rsidP="008664B6">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D53A1" w14:textId="77777777" w:rsidR="008664B6" w:rsidRPr="008664B6" w:rsidRDefault="008664B6" w:rsidP="008664B6">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568A1" w14:textId="77777777" w:rsidR="008664B6" w:rsidRPr="008664B6" w:rsidRDefault="008664B6" w:rsidP="008664B6">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CF26E" w14:textId="77777777" w:rsidR="00E42B18" w:rsidRDefault="00E42B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B5866" w14:textId="77777777" w:rsidR="00E42B18" w:rsidRDefault="00E42B1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7C3F1" w14:textId="77777777" w:rsidR="00E42B18" w:rsidRDefault="00E42B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0E26A" w14:textId="77777777" w:rsidR="00E42B18" w:rsidRDefault="00E42B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335AC" w14:textId="77777777" w:rsidR="00E42B18" w:rsidRDefault="00E42B1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5E682" w14:textId="77777777" w:rsidR="00E42B18" w:rsidRDefault="00E42B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F386C" w14:textId="77777777" w:rsidR="00E42B18" w:rsidRDefault="00E42B1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75DBF" w14:textId="77777777" w:rsidR="00E42B18" w:rsidRDefault="00E42B1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31201" w14:textId="77777777" w:rsidR="00E42B18" w:rsidRDefault="00E42B1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ABE90" w14:textId="77777777" w:rsidR="00122E7C" w:rsidRDefault="00122E7C">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9BF8C" w14:textId="77777777" w:rsidR="00122E7C" w:rsidRDefault="00122E7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4F251" w14:textId="77777777" w:rsidR="00E42B18" w:rsidRDefault="00E42B18">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A9229" w14:textId="77777777" w:rsidR="00E42B18" w:rsidRDefault="00E42B1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91FD3" w14:textId="77777777" w:rsidR="00E42B18" w:rsidRDefault="00E42B18">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B11D7" w14:textId="77777777" w:rsidR="00E42B18" w:rsidRDefault="00E42B18">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967A1" w14:textId="77777777" w:rsidR="00E42B18" w:rsidRDefault="00E42B18">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86D25" w14:textId="77777777" w:rsidR="00E42B18" w:rsidRDefault="00E42B18">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8EDD9" w14:textId="77777777" w:rsidR="00E42B18" w:rsidRDefault="00E42B18">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26DA6" w14:textId="77777777" w:rsidR="00E42B18" w:rsidRDefault="00E42B18">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6BBDF" w14:textId="77777777" w:rsidR="00E42B18" w:rsidRDefault="00E42B18">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F1844" w14:textId="77777777" w:rsidR="00122E7C" w:rsidRDefault="00122E7C">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3BF9A" w14:textId="77777777" w:rsidR="00E42B18" w:rsidRDefault="00E42B18">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5DA48" w14:textId="77777777" w:rsidR="00E42B18" w:rsidRDefault="00E42B18">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A5BCC" w14:textId="77777777" w:rsidR="00E42B18" w:rsidRDefault="00E42B18">
    <w:pPr>
      <w:pStyle w:val="Header"/>
      <w:rPr>
        <w:rFonts w:eastAsia="Calibri"/>
      </w:rP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127C5" w14:textId="77777777" w:rsidR="00E42B18" w:rsidRDefault="00E42B18">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7F4DB" w14:textId="77777777" w:rsidR="00E42B18" w:rsidRDefault="00E42B18">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F3DE7" w14:textId="77777777" w:rsidR="00E42B18" w:rsidRDefault="00E42B18">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7CEF0" w14:textId="77777777" w:rsidR="00E42B18" w:rsidRDefault="00E42B18">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4F8AB" w14:textId="77777777" w:rsidR="00122E7C" w:rsidRDefault="00122E7C">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93E11" w14:textId="77777777" w:rsidR="00122E7C" w:rsidRDefault="00122E7C">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A1460" w14:textId="77777777" w:rsidR="00122E7C" w:rsidRDefault="00122E7C">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6902C" w14:textId="77777777" w:rsidR="00122E7C" w:rsidRDefault="00122E7C">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40E69" w14:textId="77777777" w:rsidR="00122E7C" w:rsidRDefault="00122E7C">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4D977" w14:textId="77777777" w:rsidR="00E42B18" w:rsidRDefault="00E42B18">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38186" w14:textId="77777777" w:rsidR="00E42B18" w:rsidRDefault="00E42B18">
    <w:pPr>
      <w:pStyle w:val="Header"/>
      <w:rPr>
        <w:rFonts w:eastAsia="Calibri"/>
      </w:rPr>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570B1" w14:textId="77777777" w:rsidR="00E42B18" w:rsidRDefault="00E42B18">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02B5E" w14:textId="77777777" w:rsidR="00E42B18" w:rsidRDefault="00E42B18">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AC372" w14:textId="77777777" w:rsidR="00E42B18" w:rsidRDefault="00E42B18">
    <w:pPr>
      <w:pStyle w:val="Header"/>
      <w:rPr>
        <w:rFonts w:eastAsia="Calibri"/>
      </w:rPr>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03D45" w14:textId="77777777" w:rsidR="00E42B18" w:rsidRDefault="00E42B18">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61720" w14:textId="77777777" w:rsidR="00E42B18" w:rsidRDefault="00E42B18">
    <w:pPr>
      <w:pStyle w:val="Header"/>
      <w:rPr>
        <w:rFonts w:eastAsia="Calibri"/>
      </w:rPr>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68B56" w14:textId="77777777" w:rsidR="00122E7C" w:rsidRDefault="00122E7C">
    <w:pPr>
      <w:pStyle w:val="Header"/>
      <w:rPr>
        <w:rFonts w:eastAsia="Calibri"/>
      </w:rPr>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4BD48" w14:textId="77777777" w:rsidR="00E42B18" w:rsidRDefault="00E42B18">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7B1D0" w14:textId="77777777" w:rsidR="00E42B18" w:rsidRDefault="00E42B18">
    <w:pPr>
      <w:pStyle w:val="Header"/>
      <w:rPr>
        <w:rFonts w:eastAsia="Calibri"/>
      </w:rPr>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BB5E3" w14:textId="77777777" w:rsidR="00E42B18" w:rsidRDefault="00E42B18">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C770E" w14:textId="77777777" w:rsidR="00E42B18" w:rsidRDefault="00E42B18">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78DC" w14:textId="77777777" w:rsidR="00E42B18" w:rsidRDefault="00E42B18">
    <w:pPr>
      <w:pStyle w:val="Header"/>
      <w:rPr>
        <w:rFonts w:eastAsia="Calibri"/>
      </w:rPr>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17A1D" w14:textId="77777777" w:rsidR="00E42B18" w:rsidRDefault="00E42B18">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9A94B" w14:textId="77777777" w:rsidR="00E42B18" w:rsidRDefault="00E42B18">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D82D0" w14:textId="77777777" w:rsidR="00E42B18" w:rsidRDefault="00E42B18">
    <w:pPr>
      <w:pStyle w:val="Header"/>
      <w:rPr>
        <w:rFonts w:eastAsia="Calibri"/>
      </w:rPr>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B149" w14:textId="77777777" w:rsidR="00E42B18" w:rsidRDefault="00E42B18">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B3601" w14:textId="77777777" w:rsidR="00122E7C" w:rsidRDefault="00122E7C">
    <w:pPr>
      <w:pStyle w:val="Header"/>
      <w:rPr>
        <w:rFonts w:eastAsia="Calibri"/>
      </w:rPr>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72970" w14:textId="77777777" w:rsidR="00E42B18" w:rsidRDefault="00E42B18">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3052A" w14:textId="77777777" w:rsidR="00E42B18" w:rsidRDefault="00E42B18">
    <w:pPr>
      <w:pStyle w:val="Header"/>
      <w:rPr>
        <w:rFonts w:eastAsia="Calibri"/>
      </w:rPr>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7AFA7" w14:textId="77777777" w:rsidR="00E42B18" w:rsidRDefault="00E42B18">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82F9C" w14:textId="77777777" w:rsidR="00E42B18" w:rsidRDefault="00E42B18">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61867" w14:textId="77777777" w:rsidR="00E42B18" w:rsidRDefault="00E42B18">
    <w:pPr>
      <w:pStyle w:val="Header"/>
      <w:rPr>
        <w:rFonts w:eastAsia="Calibri"/>
      </w:rPr>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800BD" w14:textId="77777777" w:rsidR="00E42B18" w:rsidRDefault="00E42B18">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E9E1" w14:textId="77777777" w:rsidR="00E42B18" w:rsidRDefault="00E42B18">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BB450" w14:textId="77777777" w:rsidR="00E42B18" w:rsidRDefault="00E42B18">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E6B37" w14:textId="77777777" w:rsidR="00E42B18" w:rsidRDefault="00E42B18">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B703F" w14:textId="77777777" w:rsidR="00E42B18" w:rsidRDefault="00E42B18">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396E6" w14:textId="77777777" w:rsidR="00E42B18" w:rsidRDefault="00E42B18">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04268" w14:textId="77777777" w:rsidR="00E42B18" w:rsidRDefault="00E42B18">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EF16B" w14:textId="77777777" w:rsidR="00E42B18" w:rsidRDefault="00E42B18">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287F2" w14:textId="77777777" w:rsidR="00E42B18" w:rsidRDefault="00E42B18">
    <w:pPr>
      <w:pStyle w:val="Header"/>
      <w:rPr>
        <w:rFonts w:eastAsia="Calibri"/>
      </w:rPr>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2A038" w14:textId="77777777" w:rsidR="00E42B18" w:rsidRDefault="00E42B18">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70C47" w14:textId="77777777" w:rsidR="00E42B18" w:rsidRDefault="00E42B18">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F3F8E" w14:textId="77777777" w:rsidR="00E42B18" w:rsidRDefault="00E42B18">
    <w:pPr>
      <w:pStyle w:val="Header"/>
      <w:rPr>
        <w:rFonts w:eastAsia="Calibri"/>
      </w:rPr>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01625" w14:textId="77777777" w:rsidR="00E42B18" w:rsidRDefault="00E42B18">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178FC" w14:textId="77777777" w:rsidR="00E42B18" w:rsidRDefault="00E42B18">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778AC" w14:textId="77777777" w:rsidR="00E42B18" w:rsidRDefault="00E42B18">
    <w:pPr>
      <w:pStyle w:val="Header"/>
      <w:rPr>
        <w:rFonts w:eastAsia="Calibri"/>
      </w:rPr>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4D3A8" w14:textId="77777777" w:rsidR="00E42B18" w:rsidRDefault="00E42B18">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43316" w14:textId="77777777" w:rsidR="00E42B18" w:rsidRDefault="00E42B18">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DED6A" w14:textId="77777777" w:rsidR="00E42B18" w:rsidRDefault="00E42B18">
    <w:pPr>
      <w:pStyle w:val="Header"/>
      <w:rPr>
        <w:rFonts w:eastAsia="Calibri"/>
      </w:rPr>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54877" w14:textId="77777777" w:rsidR="00E42B18" w:rsidRDefault="00E42B18">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F1017" w14:textId="77777777" w:rsidR="00E42B18" w:rsidRDefault="00E42B18">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AC98C" w14:textId="77777777" w:rsidR="00E42B18" w:rsidRDefault="00E42B18">
    <w:pPr>
      <w:pStyle w:val="Header"/>
      <w:rPr>
        <w:rFonts w:eastAsia="Calibri"/>
      </w:rPr>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A8972" w14:textId="77777777" w:rsidR="00E42B18" w:rsidRDefault="00E42B18">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22EC6" w14:textId="77777777" w:rsidR="00122E7C" w:rsidRDefault="00122E7C">
    <w:pPr>
      <w:pStyle w:val="Header"/>
      <w:rPr>
        <w:rFonts w:eastAsia="Calibri"/>
      </w:rPr>
    </w:pPr>
  </w:p>
</w:hdr>
</file>

<file path=word/header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0A51E" w14:textId="77777777" w:rsidR="00E42B18" w:rsidRDefault="00E42B18">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7CFC8" w14:textId="77777777" w:rsidR="00E42B18" w:rsidRDefault="00E42B18">
    <w:pPr>
      <w:pStyle w:val="Header"/>
      <w:rPr>
        <w:rFonts w:eastAsia="Calibri"/>
      </w:rPr>
    </w:pPr>
  </w:p>
</w:hdr>
</file>

<file path=word/header8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BDB5" w14:textId="77777777" w:rsidR="00E42B18" w:rsidRDefault="00E42B18">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ACAA3" w14:textId="77777777" w:rsidR="00E42B18" w:rsidRDefault="00E42B18">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50401" w14:textId="77777777" w:rsidR="00E42B18" w:rsidRDefault="00E42B18">
    <w:pPr>
      <w:pStyle w:val="Header"/>
      <w:rPr>
        <w:rFonts w:eastAsia="Calibri"/>
      </w:rPr>
    </w:pPr>
  </w:p>
</w:hdr>
</file>

<file path=word/header8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2DBFA" w14:textId="77777777" w:rsidR="00E42B18" w:rsidRDefault="00E42B18">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9B889" w14:textId="77777777" w:rsidR="00E42B18" w:rsidRDefault="00E42B18">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CFA0" w14:textId="77777777" w:rsidR="00E42B18" w:rsidRDefault="00E42B18">
    <w:pPr>
      <w:pStyle w:val="Header"/>
      <w:rPr>
        <w:rFonts w:eastAsia="Calibri"/>
      </w:rPr>
    </w:pPr>
  </w:p>
</w:hdr>
</file>

<file path=word/header9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942F3" w14:textId="77777777" w:rsidR="00E42B18" w:rsidRDefault="00E42B18">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928FE" w14:textId="77777777" w:rsidR="00E42B18" w:rsidRDefault="00E42B18">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3593B" w14:textId="77777777" w:rsidR="00E42B18" w:rsidRDefault="00E42B18">
    <w:pPr>
      <w:pStyle w:val="Header"/>
      <w:rPr>
        <w:rFonts w:eastAsia="Calibri"/>
      </w:rPr>
    </w:pPr>
  </w:p>
</w:hdr>
</file>

<file path=word/header9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F17B0" w14:textId="77777777" w:rsidR="00E42B18" w:rsidRDefault="00E42B18">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8332" w14:textId="77777777" w:rsidR="00E42B18" w:rsidRDefault="00E42B18">
    <w:pPr>
      <w:pStyle w:val="Header"/>
      <w:rPr>
        <w:rFonts w:eastAsia="Calibri"/>
      </w:rPr>
    </w:pPr>
  </w:p>
</w:hdr>
</file>

<file path=word/header9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559E4" w14:textId="77777777" w:rsidR="00E42B18" w:rsidRDefault="00E42B18">
    <w:pPr>
      <w:pStyle w:val="Header"/>
    </w:pPr>
  </w:p>
</w:hdr>
</file>

<file path=word/header9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C6BB0" w14:textId="77777777" w:rsidR="00E42B18" w:rsidRDefault="00E42B18">
    <w:pPr>
      <w:pStyle w:val="Header"/>
      <w:rPr>
        <w:rFonts w:eastAsia="Calibri"/>
      </w:rPr>
    </w:pPr>
  </w:p>
</w:hdr>
</file>

<file path=word/header9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AAA94" w14:textId="77777777" w:rsidR="00E42B18" w:rsidRDefault="00E42B18">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DB3BE" w14:textId="77777777" w:rsidR="00E42B18" w:rsidRDefault="00E42B18">
    <w:pPr>
      <w:pStyle w:val="Header"/>
      <w:rPr>
        <w:rFonts w:eastAsia="Calibri"/>
      </w:rPr>
    </w:pPr>
  </w:p>
</w:hdr>
</file>

<file path=word/header10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E81E1" w14:textId="77777777" w:rsidR="00E42B18" w:rsidRDefault="00E42B18">
    <w:pPr>
      <w:pStyle w:val="Header"/>
    </w:pPr>
  </w:p>
</w:hdr>
</file>

<file path=word/header10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34D8D" w14:textId="77777777" w:rsidR="00E42B18" w:rsidRDefault="00E42B18">
    <w:pPr>
      <w:pStyle w:val="Header"/>
      <w:rPr>
        <w:rFonts w:eastAsia="Calibri"/>
      </w:rPr>
    </w:pPr>
  </w:p>
</w:hdr>
</file>

<file path=word/header10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35B36" w14:textId="77777777" w:rsidR="00E42B18" w:rsidRDefault="00E42B18">
    <w:pPr>
      <w:pStyle w:val="Header"/>
    </w:pPr>
  </w:p>
</w:hdr>
</file>

<file path=word/header10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38983" w14:textId="77777777" w:rsidR="00E42B18" w:rsidRDefault="00E42B18">
    <w:pPr>
      <w:pStyle w:val="Header"/>
    </w:pPr>
  </w:p>
</w:hdr>
</file>

<file path=word/header10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D5C2E" w14:textId="77777777" w:rsidR="00E42B18" w:rsidRDefault="00E42B18">
    <w:pPr>
      <w:pStyle w:val="Header"/>
      <w:rPr>
        <w:rFonts w:eastAsia="Calibri"/>
      </w:rPr>
    </w:pPr>
  </w:p>
</w:hdr>
</file>

<file path=word/header10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6DDE0" w14:textId="77777777" w:rsidR="00E42B18" w:rsidRDefault="00E42B18">
    <w:pPr>
      <w:pStyle w:val="Header"/>
    </w:pPr>
  </w:p>
</w:hdr>
</file>

<file path=word/header10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295A" w14:textId="77777777" w:rsidR="00E42B18" w:rsidRDefault="00E42B18">
    <w:pPr>
      <w:pStyle w:val="Header"/>
    </w:pPr>
  </w:p>
</w:hdr>
</file>

<file path=word/header10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A64F3" w14:textId="77777777" w:rsidR="00E42B18" w:rsidRDefault="00E42B18">
    <w:pPr>
      <w:pStyle w:val="Header"/>
      <w:rPr>
        <w:rFonts w:eastAsia="Calibri"/>
      </w:rPr>
    </w:pPr>
  </w:p>
</w:hdr>
</file>

<file path=word/header10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D0A20" w14:textId="77777777" w:rsidR="00E42B18" w:rsidRDefault="00E42B18">
    <w:pPr>
      <w:pStyle w:val="Header"/>
    </w:pPr>
  </w:p>
</w:hdr>
</file>

<file path=word/header10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3CE6C" w14:textId="77777777" w:rsidR="00E42B18" w:rsidRDefault="00E42B18">
    <w:pPr>
      <w:pStyle w:val="Header"/>
    </w:pPr>
  </w:p>
</w:hdr>
</file>

<file path=word/header1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53641" w14:textId="77777777" w:rsidR="00E42B18" w:rsidRDefault="00E42B18">
    <w:pPr>
      <w:pStyle w:val="Header"/>
      <w:rPr>
        <w:rFonts w:eastAsia="Calibri"/>
      </w:rPr>
    </w:pPr>
  </w:p>
</w:hdr>
</file>

<file path=word/header1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B9CFF" w14:textId="77777777" w:rsidR="00E42B18" w:rsidRDefault="00E42B18">
    <w:pPr>
      <w:pStyle w:val="Header"/>
    </w:pPr>
  </w:p>
</w:hdr>
</file>

<file path=word/header1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7C5B8" w14:textId="77777777" w:rsidR="00E42B18" w:rsidRDefault="00E42B18">
    <w:pPr>
      <w:pStyle w:val="Header"/>
    </w:pPr>
  </w:p>
</w:hdr>
</file>

<file path=word/header1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74932" w14:textId="77777777" w:rsidR="00E42B18" w:rsidRDefault="00E42B18">
    <w:pPr>
      <w:pStyle w:val="Header"/>
      <w:rPr>
        <w:rFonts w:eastAsia="Calibri"/>
      </w:rPr>
    </w:pPr>
  </w:p>
</w:hdr>
</file>

<file path=word/header1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B8C3C" w14:textId="77777777" w:rsidR="00E42B18" w:rsidRDefault="00E42B18">
    <w:pPr>
      <w:pStyle w:val="Header"/>
    </w:pPr>
  </w:p>
</w:hdr>
</file>

<file path=word/header1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26C7A" w14:textId="77777777" w:rsidR="00E42B18" w:rsidRDefault="00E42B18">
    <w:pPr>
      <w:pStyle w:val="Header"/>
    </w:pPr>
  </w:p>
</w:hdr>
</file>

<file path=word/header1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9ADD2" w14:textId="77777777" w:rsidR="00E42B18" w:rsidRDefault="00E42B18">
    <w:pPr>
      <w:pStyle w:val="Header"/>
      <w:rPr>
        <w:rFonts w:eastAsia="Calibri"/>
      </w:rPr>
    </w:pPr>
  </w:p>
</w:hdr>
</file>

<file path=word/header1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69A97" w14:textId="77777777" w:rsidR="00E42B18" w:rsidRDefault="00E42B18">
    <w:pPr>
      <w:pStyle w:val="Header"/>
    </w:pPr>
  </w:p>
</w:hdr>
</file>

<file path=word/header1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FD868" w14:textId="77777777" w:rsidR="00E42B18" w:rsidRDefault="00E42B18">
    <w:pPr>
      <w:pStyle w:val="Header"/>
    </w:pPr>
  </w:p>
</w:hdr>
</file>

<file path=word/header1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19CCB" w14:textId="77777777" w:rsidR="00E42B18" w:rsidRDefault="00E42B18">
    <w:pPr>
      <w:pStyle w:val="Header"/>
      <w:rPr>
        <w:rFonts w:eastAsia="Calibri"/>
      </w:rPr>
    </w:pPr>
  </w:p>
</w:hdr>
</file>

<file path=word/header1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78A21" w14:textId="77777777" w:rsidR="00E42B18" w:rsidRDefault="00E42B18">
    <w:pPr>
      <w:pStyle w:val="Header"/>
    </w:pPr>
  </w:p>
</w:hdr>
</file>

<file path=word/header1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2D5BB" w14:textId="77777777" w:rsidR="00E42B18" w:rsidRDefault="00E42B18">
    <w:pPr>
      <w:pStyle w:val="Header"/>
    </w:pPr>
  </w:p>
</w:hdr>
</file>

<file path=word/header1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4D354" w14:textId="77777777" w:rsidR="00E42B18" w:rsidRDefault="00E42B18">
    <w:pPr>
      <w:pStyle w:val="Header"/>
      <w:rPr>
        <w:rFonts w:eastAsia="Calibri"/>
      </w:rPr>
    </w:pPr>
  </w:p>
</w:hdr>
</file>

<file path=word/header1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AA2C8" w14:textId="77777777" w:rsidR="00E42B18" w:rsidRDefault="00E42B18">
    <w:pPr>
      <w:pStyle w:val="Header"/>
    </w:pPr>
  </w:p>
</w:hdr>
</file>

<file path=word/header1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EC541" w14:textId="77777777" w:rsidR="00E42B18" w:rsidRDefault="00E42B18">
    <w:pPr>
      <w:pStyle w:val="Header"/>
    </w:pPr>
  </w:p>
</w:hdr>
</file>

<file path=word/header1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230E4" w14:textId="77777777" w:rsidR="00E42B18" w:rsidRDefault="00E42B18">
    <w:pPr>
      <w:pStyle w:val="Header"/>
      <w:rPr>
        <w:rFonts w:eastAsia="Calibri"/>
      </w:rPr>
    </w:pPr>
  </w:p>
</w:hdr>
</file>

<file path=word/header1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69BB3" w14:textId="77777777" w:rsidR="00E42B18" w:rsidRDefault="00E42B18">
    <w:pPr>
      <w:pStyle w:val="Header"/>
    </w:pPr>
  </w:p>
</w:hdr>
</file>

<file path=word/header1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60457" w14:textId="77777777" w:rsidR="00E42B18" w:rsidRDefault="00E42B18">
    <w:pPr>
      <w:pStyle w:val="Header"/>
    </w:pPr>
  </w:p>
</w:hdr>
</file>

<file path=word/header1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F0EF6" w14:textId="77777777" w:rsidR="00E42B18" w:rsidRDefault="00E42B18">
    <w:pPr>
      <w:pStyle w:val="Header"/>
      <w:rPr>
        <w:rFonts w:eastAsia="Calibri"/>
      </w:rPr>
    </w:pPr>
  </w:p>
</w:hdr>
</file>

<file path=word/header1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69D7E" w14:textId="77777777" w:rsidR="00E42B18" w:rsidRDefault="00E42B18">
    <w:pPr>
      <w:pStyle w:val="Header"/>
    </w:pPr>
  </w:p>
</w:hdr>
</file>

<file path=word/header1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8A734" w14:textId="77777777" w:rsidR="00E42B18" w:rsidRDefault="00E42B18">
    <w:pPr>
      <w:pStyle w:val="Header"/>
    </w:pPr>
  </w:p>
</w:hdr>
</file>

<file path=word/header1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62F56" w14:textId="77777777" w:rsidR="00E42B18" w:rsidRDefault="00E42B18">
    <w:pPr>
      <w:pStyle w:val="Header"/>
      <w:rPr>
        <w:rFonts w:eastAsia="Calibri"/>
      </w:rPr>
    </w:pPr>
  </w:p>
</w:hdr>
</file>

<file path=word/header1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CA264" w14:textId="77777777" w:rsidR="00E42B18" w:rsidRDefault="00E42B18">
    <w:pPr>
      <w:pStyle w:val="Header"/>
    </w:pPr>
  </w:p>
</w:hdr>
</file>

<file path=word/header1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DF924" w14:textId="77777777" w:rsidR="00E42B18" w:rsidRDefault="00E42B18">
    <w:pPr>
      <w:pStyle w:val="Header"/>
      <w:rPr>
        <w:rFonts w:eastAsia="Calibri"/>
      </w:rPr>
    </w:pPr>
  </w:p>
</w:hdr>
</file>

<file path=word/header1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81B82" w14:textId="77777777" w:rsidR="00E42B18" w:rsidRDefault="00E42B18">
    <w:pPr>
      <w:pStyle w:val="Header"/>
    </w:pPr>
  </w:p>
</w:hdr>
</file>

<file path=word/header1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2783D" w14:textId="77777777" w:rsidR="00E42B18" w:rsidRDefault="00E42B18">
    <w:pPr>
      <w:pStyle w:val="Header"/>
      <w:rPr>
        <w:rFonts w:eastAsia="Calibri"/>
      </w:rPr>
    </w:pPr>
  </w:p>
</w:hdr>
</file>

<file path=word/header1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A5892" w14:textId="77777777" w:rsidR="00E42B18" w:rsidRDefault="00E42B18">
    <w:pPr>
      <w:pStyle w:val="Header"/>
    </w:pPr>
  </w:p>
</w:hdr>
</file>

<file path=word/header1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764B9" w14:textId="77777777" w:rsidR="00E42B18" w:rsidRDefault="00E42B18">
    <w:pPr>
      <w:pStyle w:val="Header"/>
    </w:pPr>
  </w:p>
</w:hdr>
</file>

<file path=word/header1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09257" w14:textId="77777777" w:rsidR="00E42B18" w:rsidRDefault="00E42B18">
    <w:pPr>
      <w:pStyle w:val="Header"/>
      <w:rPr>
        <w:rFonts w:eastAsia="Calibri"/>
      </w:rPr>
    </w:pPr>
  </w:p>
</w:hdr>
</file>

<file path=word/header1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E6209" w14:textId="77777777" w:rsidR="00E42B18" w:rsidRDefault="00E42B18">
    <w:pPr>
      <w:pStyle w:val="Header"/>
    </w:pPr>
  </w:p>
</w:hdr>
</file>

<file path=word/header1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551B1" w14:textId="77777777" w:rsidR="00E42B18" w:rsidRDefault="00E42B18">
    <w:pPr>
      <w:pStyle w:val="Header"/>
    </w:pPr>
  </w:p>
</w:hdr>
</file>

<file path=word/header1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7B83B" w14:textId="77777777" w:rsidR="00E42B18" w:rsidRDefault="00E42B18">
    <w:pPr>
      <w:pStyle w:val="Header"/>
      <w:rPr>
        <w:rFonts w:eastAsia="Calibri"/>
      </w:rPr>
    </w:pPr>
  </w:p>
</w:hdr>
</file>

<file path=word/header1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8C6E9" w14:textId="77777777" w:rsidR="00E42B18" w:rsidRDefault="00E42B18">
    <w:pPr>
      <w:pStyle w:val="Header"/>
    </w:pPr>
  </w:p>
</w:hdr>
</file>

<file path=word/header1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877BB" w14:textId="77777777" w:rsidR="00E42B18" w:rsidRDefault="00E42B18">
    <w:pPr>
      <w:pStyle w:val="Header"/>
    </w:pPr>
  </w:p>
</w:hdr>
</file>

<file path=word/header1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E9DA4" w14:textId="77777777" w:rsidR="00E42B18" w:rsidRDefault="00E42B18">
    <w:pPr>
      <w:pStyle w:val="Header"/>
      <w:rPr>
        <w:rFonts w:eastAsia="Calibri"/>
      </w:rPr>
    </w:pPr>
  </w:p>
</w:hdr>
</file>

<file path=word/header1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F1AEC" w14:textId="77777777" w:rsidR="00E42B18" w:rsidRDefault="00E42B18">
    <w:pPr>
      <w:pStyle w:val="Header"/>
    </w:pPr>
  </w:p>
</w:hdr>
</file>

<file path=word/header1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CC4A7" w14:textId="77777777" w:rsidR="00E42B18" w:rsidRDefault="00E42B18">
    <w:pPr>
      <w:pStyle w:val="Header"/>
    </w:pPr>
  </w:p>
</w:hdr>
</file>

<file path=word/header1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B4352" w14:textId="77777777" w:rsidR="00E42B18" w:rsidRDefault="00E42B18">
    <w:pPr>
      <w:pStyle w:val="Header"/>
      <w:rPr>
        <w:rFonts w:eastAsia="Calibri"/>
      </w:rPr>
    </w:pPr>
  </w:p>
</w:hdr>
</file>

<file path=word/header1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CDDD8" w14:textId="77777777" w:rsidR="00E42B18" w:rsidRDefault="00E42B18">
    <w:pPr>
      <w:pStyle w:val="Header"/>
    </w:pPr>
  </w:p>
</w:hdr>
</file>

<file path=word/header1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15A87" w14:textId="77777777" w:rsidR="00E42B18" w:rsidRDefault="00E42B18">
    <w:pPr>
      <w:pStyle w:val="Header"/>
    </w:pPr>
  </w:p>
</w:hdr>
</file>

<file path=word/header1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48F58" w14:textId="77777777" w:rsidR="00E42B18" w:rsidRDefault="00E42B18">
    <w:pPr>
      <w:pStyle w:val="Header"/>
    </w:pPr>
  </w:p>
</w:hdr>
</file>

<file path=word/header1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8C9FC" w14:textId="77777777" w:rsidR="00E42B18" w:rsidRDefault="00E42B18">
    <w:pPr>
      <w:pStyle w:val="Header"/>
    </w:pPr>
  </w:p>
</w:hdr>
</file>

<file path=word/header1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7D105" w14:textId="77777777" w:rsidR="00E42B18" w:rsidRDefault="00E42B18">
    <w:pPr>
      <w:pStyle w:val="Header"/>
    </w:pPr>
  </w:p>
</w:hdr>
</file>

<file path=word/header1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24B57" w14:textId="77777777" w:rsidR="00E42B18" w:rsidRDefault="00E42B18">
    <w:pPr>
      <w:pStyle w:val="Header"/>
      <w:rPr>
        <w:sz w:val="10"/>
      </w:rPr>
    </w:pPr>
  </w:p>
</w:hdr>
</file>

<file path=word/header1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ECBEC" w14:textId="77777777" w:rsidR="00E42B18" w:rsidRDefault="00E42B18">
    <w:pPr>
      <w:pStyle w:val="Header"/>
    </w:pPr>
  </w:p>
</w:hdr>
</file>

<file path=word/header1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B9B83" w14:textId="77777777" w:rsidR="00E42B18" w:rsidRDefault="00E42B18">
    <w:pPr>
      <w:pStyle w:val="Header"/>
      <w:rPr>
        <w:sz w:val="10"/>
      </w:rPr>
    </w:pPr>
  </w:p>
</w:hdr>
</file>

<file path=word/header1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433DA" w14:textId="77777777" w:rsidR="00E42B18" w:rsidRDefault="00E42B18">
    <w:pPr>
      <w:pStyle w:val="Header"/>
    </w:pPr>
  </w:p>
</w:hdr>
</file>

<file path=word/header1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3A500" w14:textId="77777777" w:rsidR="00E42B18" w:rsidRDefault="00E42B18">
    <w:pPr>
      <w:pStyle w:val="Header"/>
      <w:rPr>
        <w:rFonts w:eastAsia="Calibri"/>
      </w:rPr>
    </w:pPr>
  </w:p>
</w:hdr>
</file>

<file path=word/header1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D681D" w14:textId="77777777" w:rsidR="00E42B18" w:rsidRDefault="00E42B18">
    <w:pPr>
      <w:pStyle w:val="Header"/>
    </w:pPr>
  </w:p>
</w:hdr>
</file>

<file path=word/header1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E2276" w14:textId="77777777" w:rsidR="00122E7C" w:rsidRDefault="00122E7C">
    <w:pPr>
      <w:pStyle w:val="Header"/>
      <w:rPr>
        <w:rFonts w:eastAsia="Calibri"/>
      </w:rPr>
    </w:pPr>
  </w:p>
</w:hdr>
</file>

<file path=word/header1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48B9" w14:textId="77777777" w:rsidR="00E42B18" w:rsidRDefault="00E42B18">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3E140CA2"/>
    <w:lvl w:ilvl="0">
      <w:start w:val="1"/>
      <w:numFmt w:val="decimal"/>
      <w:pStyle w:val="ListNumber4"/>
      <w:lvlText w:val="%1."/>
      <w:lvlJc w:val="left"/>
      <w:pPr>
        <w:tabs>
          <w:tab w:val="num" w:pos="1056"/>
        </w:tabs>
        <w:ind w:left="1056" w:hanging="360"/>
      </w:pPr>
    </w:lvl>
  </w:abstractNum>
  <w:abstractNum w:abstractNumId="1" w15:restartNumberingAfterBreak="0">
    <w:nsid w:val="FFFFFF7E"/>
    <w:multiLevelType w:val="singleLevel"/>
    <w:tmpl w:val="55A6272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3C20270C"/>
    <w:lvl w:ilvl="0">
      <w:start w:val="1"/>
      <w:numFmt w:val="decimal"/>
      <w:pStyle w:val="ListNumber2"/>
      <w:lvlText w:val="%1."/>
      <w:lvlJc w:val="left"/>
      <w:pPr>
        <w:tabs>
          <w:tab w:val="num" w:pos="643"/>
        </w:tabs>
        <w:ind w:left="643" w:hanging="360"/>
      </w:pPr>
    </w:lvl>
  </w:abstractNum>
  <w:abstractNum w:abstractNumId="3" w15:restartNumberingAfterBreak="0">
    <w:nsid w:val="FFFFFF88"/>
    <w:multiLevelType w:val="singleLevel"/>
    <w:tmpl w:val="AD788A4A"/>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3FE82790"/>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D81DA2"/>
    <w:multiLevelType w:val="multilevel"/>
    <w:tmpl w:val="0E1CAF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281CA7"/>
    <w:multiLevelType w:val="hybridMultilevel"/>
    <w:tmpl w:val="8B104CD2"/>
    <w:lvl w:ilvl="0" w:tplc="18090019">
      <w:start w:val="1"/>
      <w:numFmt w:val="lowerLetter"/>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7" w15:restartNumberingAfterBreak="0">
    <w:nsid w:val="02003373"/>
    <w:multiLevelType w:val="hybridMultilevel"/>
    <w:tmpl w:val="F3802738"/>
    <w:lvl w:ilvl="0" w:tplc="FC26DA30">
      <w:start w:val="1"/>
      <w:numFmt w:val="bullet"/>
      <w:lvlText w:val="-"/>
      <w:lvlJc w:val="left"/>
      <w:pPr>
        <w:ind w:left="720" w:hanging="360"/>
      </w:pPr>
      <w:rPr>
        <w:rFonts w:ascii="Symbol" w:hAnsi="Symbol" w:hint="default"/>
      </w:rPr>
    </w:lvl>
    <w:lvl w:ilvl="1" w:tplc="0462880E">
      <w:start w:val="1"/>
      <w:numFmt w:val="bullet"/>
      <w:lvlText w:val="o"/>
      <w:lvlJc w:val="left"/>
      <w:pPr>
        <w:ind w:left="1440" w:hanging="360"/>
      </w:pPr>
      <w:rPr>
        <w:rFonts w:ascii="Courier New" w:hAnsi="Courier New" w:cs="Times New Roman" w:hint="default"/>
      </w:rPr>
    </w:lvl>
    <w:lvl w:ilvl="2" w:tplc="F90A8E8E">
      <w:start w:val="1"/>
      <w:numFmt w:val="bullet"/>
      <w:lvlText w:val=""/>
      <w:lvlJc w:val="left"/>
      <w:pPr>
        <w:ind w:left="2160" w:hanging="360"/>
      </w:pPr>
      <w:rPr>
        <w:rFonts w:ascii="Wingdings" w:hAnsi="Wingdings" w:hint="default"/>
      </w:rPr>
    </w:lvl>
    <w:lvl w:ilvl="3" w:tplc="6D4420D6">
      <w:start w:val="1"/>
      <w:numFmt w:val="bullet"/>
      <w:lvlText w:val=""/>
      <w:lvlJc w:val="left"/>
      <w:pPr>
        <w:ind w:left="2880" w:hanging="360"/>
      </w:pPr>
      <w:rPr>
        <w:rFonts w:ascii="Symbol" w:hAnsi="Symbol" w:hint="default"/>
      </w:rPr>
    </w:lvl>
    <w:lvl w:ilvl="4" w:tplc="16727DC8">
      <w:start w:val="1"/>
      <w:numFmt w:val="bullet"/>
      <w:lvlText w:val="o"/>
      <w:lvlJc w:val="left"/>
      <w:pPr>
        <w:ind w:left="3600" w:hanging="360"/>
      </w:pPr>
      <w:rPr>
        <w:rFonts w:ascii="Courier New" w:hAnsi="Courier New" w:cs="Times New Roman" w:hint="default"/>
      </w:rPr>
    </w:lvl>
    <w:lvl w:ilvl="5" w:tplc="C7B4C740">
      <w:start w:val="1"/>
      <w:numFmt w:val="bullet"/>
      <w:lvlText w:val=""/>
      <w:lvlJc w:val="left"/>
      <w:pPr>
        <w:ind w:left="4320" w:hanging="360"/>
      </w:pPr>
      <w:rPr>
        <w:rFonts w:ascii="Wingdings" w:hAnsi="Wingdings" w:hint="default"/>
      </w:rPr>
    </w:lvl>
    <w:lvl w:ilvl="6" w:tplc="6172E3C4">
      <w:start w:val="1"/>
      <w:numFmt w:val="bullet"/>
      <w:lvlText w:val=""/>
      <w:lvlJc w:val="left"/>
      <w:pPr>
        <w:ind w:left="5040" w:hanging="360"/>
      </w:pPr>
      <w:rPr>
        <w:rFonts w:ascii="Symbol" w:hAnsi="Symbol" w:hint="default"/>
      </w:rPr>
    </w:lvl>
    <w:lvl w:ilvl="7" w:tplc="778A8E7C">
      <w:start w:val="1"/>
      <w:numFmt w:val="bullet"/>
      <w:lvlText w:val="o"/>
      <w:lvlJc w:val="left"/>
      <w:pPr>
        <w:ind w:left="5760" w:hanging="360"/>
      </w:pPr>
      <w:rPr>
        <w:rFonts w:ascii="Courier New" w:hAnsi="Courier New" w:cs="Times New Roman" w:hint="default"/>
      </w:rPr>
    </w:lvl>
    <w:lvl w:ilvl="8" w:tplc="B5700FD6">
      <w:start w:val="1"/>
      <w:numFmt w:val="bullet"/>
      <w:lvlText w:val=""/>
      <w:lvlJc w:val="left"/>
      <w:pPr>
        <w:ind w:left="6480" w:hanging="360"/>
      </w:pPr>
      <w:rPr>
        <w:rFonts w:ascii="Wingdings" w:hAnsi="Wingdings" w:hint="default"/>
      </w:rPr>
    </w:lvl>
  </w:abstractNum>
  <w:abstractNum w:abstractNumId="8" w15:restartNumberingAfterBreak="0">
    <w:nsid w:val="02978374"/>
    <w:multiLevelType w:val="hybridMultilevel"/>
    <w:tmpl w:val="FFFFFFFF"/>
    <w:lvl w:ilvl="0" w:tplc="F94C6FB4">
      <w:start w:val="1"/>
      <w:numFmt w:val="bullet"/>
      <w:lvlText w:val="·"/>
      <w:lvlJc w:val="left"/>
      <w:pPr>
        <w:ind w:left="720" w:hanging="360"/>
      </w:pPr>
      <w:rPr>
        <w:rFonts w:ascii="Symbol" w:hAnsi="Symbol" w:hint="default"/>
      </w:rPr>
    </w:lvl>
    <w:lvl w:ilvl="1" w:tplc="A87C51DE">
      <w:start w:val="1"/>
      <w:numFmt w:val="bullet"/>
      <w:lvlText w:val="o"/>
      <w:lvlJc w:val="left"/>
      <w:pPr>
        <w:ind w:left="1440" w:hanging="360"/>
      </w:pPr>
      <w:rPr>
        <w:rFonts w:ascii="Courier New" w:hAnsi="Courier New" w:hint="default"/>
      </w:rPr>
    </w:lvl>
    <w:lvl w:ilvl="2" w:tplc="476A0580">
      <w:start w:val="1"/>
      <w:numFmt w:val="bullet"/>
      <w:lvlText w:val=""/>
      <w:lvlJc w:val="left"/>
      <w:pPr>
        <w:ind w:left="2160" w:hanging="360"/>
      </w:pPr>
      <w:rPr>
        <w:rFonts w:ascii="Wingdings" w:hAnsi="Wingdings" w:hint="default"/>
      </w:rPr>
    </w:lvl>
    <w:lvl w:ilvl="3" w:tplc="720833BA">
      <w:start w:val="1"/>
      <w:numFmt w:val="bullet"/>
      <w:lvlText w:val=""/>
      <w:lvlJc w:val="left"/>
      <w:pPr>
        <w:ind w:left="2880" w:hanging="360"/>
      </w:pPr>
      <w:rPr>
        <w:rFonts w:ascii="Symbol" w:hAnsi="Symbol" w:hint="default"/>
      </w:rPr>
    </w:lvl>
    <w:lvl w:ilvl="4" w:tplc="B88A2602">
      <w:start w:val="1"/>
      <w:numFmt w:val="bullet"/>
      <w:lvlText w:val="o"/>
      <w:lvlJc w:val="left"/>
      <w:pPr>
        <w:ind w:left="3600" w:hanging="360"/>
      </w:pPr>
      <w:rPr>
        <w:rFonts w:ascii="Courier New" w:hAnsi="Courier New" w:hint="default"/>
      </w:rPr>
    </w:lvl>
    <w:lvl w:ilvl="5" w:tplc="75E40A7A">
      <w:start w:val="1"/>
      <w:numFmt w:val="bullet"/>
      <w:lvlText w:val=""/>
      <w:lvlJc w:val="left"/>
      <w:pPr>
        <w:ind w:left="4320" w:hanging="360"/>
      </w:pPr>
      <w:rPr>
        <w:rFonts w:ascii="Wingdings" w:hAnsi="Wingdings" w:hint="default"/>
      </w:rPr>
    </w:lvl>
    <w:lvl w:ilvl="6" w:tplc="30105FF0">
      <w:start w:val="1"/>
      <w:numFmt w:val="bullet"/>
      <w:lvlText w:val=""/>
      <w:lvlJc w:val="left"/>
      <w:pPr>
        <w:ind w:left="5040" w:hanging="360"/>
      </w:pPr>
      <w:rPr>
        <w:rFonts w:ascii="Symbol" w:hAnsi="Symbol" w:hint="default"/>
      </w:rPr>
    </w:lvl>
    <w:lvl w:ilvl="7" w:tplc="E28A437E">
      <w:start w:val="1"/>
      <w:numFmt w:val="bullet"/>
      <w:lvlText w:val="o"/>
      <w:lvlJc w:val="left"/>
      <w:pPr>
        <w:ind w:left="5760" w:hanging="360"/>
      </w:pPr>
      <w:rPr>
        <w:rFonts w:ascii="Courier New" w:hAnsi="Courier New" w:hint="default"/>
      </w:rPr>
    </w:lvl>
    <w:lvl w:ilvl="8" w:tplc="9B36E314">
      <w:start w:val="1"/>
      <w:numFmt w:val="bullet"/>
      <w:lvlText w:val=""/>
      <w:lvlJc w:val="left"/>
      <w:pPr>
        <w:ind w:left="6480" w:hanging="360"/>
      </w:pPr>
      <w:rPr>
        <w:rFonts w:ascii="Wingdings" w:hAnsi="Wingdings" w:hint="default"/>
      </w:rPr>
    </w:lvl>
  </w:abstractNum>
  <w:abstractNum w:abstractNumId="9" w15:restartNumberingAfterBreak="0">
    <w:nsid w:val="04056853"/>
    <w:multiLevelType w:val="multilevel"/>
    <w:tmpl w:val="C77A159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7D2A71"/>
    <w:multiLevelType w:val="hybridMultilevel"/>
    <w:tmpl w:val="ECC83972"/>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06331374"/>
    <w:multiLevelType w:val="hybridMultilevel"/>
    <w:tmpl w:val="F94A11DC"/>
    <w:lvl w:ilvl="0" w:tplc="18090015">
      <w:start w:val="1"/>
      <w:numFmt w:val="upperLetter"/>
      <w:lvlText w:val="%1."/>
      <w:lvlJc w:val="left"/>
      <w:pPr>
        <w:ind w:left="360" w:hanging="360"/>
      </w:p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start w:val="1"/>
      <w:numFmt w:val="lowerLetter"/>
      <w:lvlText w:val="%5."/>
      <w:lvlJc w:val="left"/>
      <w:pPr>
        <w:ind w:left="3240" w:hanging="360"/>
      </w:pPr>
    </w:lvl>
    <w:lvl w:ilvl="5" w:tplc="1809001B">
      <w:start w:val="1"/>
      <w:numFmt w:val="lowerRoman"/>
      <w:lvlText w:val="%6."/>
      <w:lvlJc w:val="right"/>
      <w:pPr>
        <w:ind w:left="3960" w:hanging="180"/>
      </w:pPr>
    </w:lvl>
    <w:lvl w:ilvl="6" w:tplc="1809000F">
      <w:start w:val="1"/>
      <w:numFmt w:val="decimal"/>
      <w:lvlText w:val="%7."/>
      <w:lvlJc w:val="left"/>
      <w:pPr>
        <w:ind w:left="4680" w:hanging="360"/>
      </w:pPr>
    </w:lvl>
    <w:lvl w:ilvl="7" w:tplc="18090019">
      <w:start w:val="1"/>
      <w:numFmt w:val="lowerLetter"/>
      <w:lvlText w:val="%8."/>
      <w:lvlJc w:val="left"/>
      <w:pPr>
        <w:ind w:left="5400" w:hanging="360"/>
      </w:pPr>
    </w:lvl>
    <w:lvl w:ilvl="8" w:tplc="1809001B">
      <w:start w:val="1"/>
      <w:numFmt w:val="lowerRoman"/>
      <w:lvlText w:val="%9."/>
      <w:lvlJc w:val="right"/>
      <w:pPr>
        <w:ind w:left="6120" w:hanging="180"/>
      </w:pPr>
    </w:lvl>
  </w:abstractNum>
  <w:abstractNum w:abstractNumId="12" w15:restartNumberingAfterBreak="0">
    <w:nsid w:val="06F47115"/>
    <w:multiLevelType w:val="hybridMultilevel"/>
    <w:tmpl w:val="523AD6C6"/>
    <w:lvl w:ilvl="0" w:tplc="E4E01FB6">
      <w:start w:val="1"/>
      <w:numFmt w:val="lowerRoman"/>
      <w:lvlText w:val="%1."/>
      <w:lvlJc w:val="right"/>
      <w:pPr>
        <w:ind w:left="720" w:hanging="360"/>
      </w:pPr>
    </w:lvl>
    <w:lvl w:ilvl="1" w:tplc="CC14CE30">
      <w:start w:val="1"/>
      <w:numFmt w:val="lowerLetter"/>
      <w:lvlText w:val="%2."/>
      <w:lvlJc w:val="left"/>
      <w:pPr>
        <w:ind w:left="1440" w:hanging="360"/>
      </w:pPr>
    </w:lvl>
    <w:lvl w:ilvl="2" w:tplc="7C30A1AA">
      <w:start w:val="1"/>
      <w:numFmt w:val="lowerRoman"/>
      <w:lvlText w:val="%3."/>
      <w:lvlJc w:val="right"/>
      <w:pPr>
        <w:ind w:left="2160" w:hanging="180"/>
      </w:pPr>
    </w:lvl>
    <w:lvl w:ilvl="3" w:tplc="A5343F08">
      <w:start w:val="1"/>
      <w:numFmt w:val="decimal"/>
      <w:lvlText w:val="%4."/>
      <w:lvlJc w:val="left"/>
      <w:pPr>
        <w:ind w:left="2880" w:hanging="360"/>
      </w:pPr>
    </w:lvl>
    <w:lvl w:ilvl="4" w:tplc="A412B3A4">
      <w:start w:val="1"/>
      <w:numFmt w:val="lowerLetter"/>
      <w:lvlText w:val="%5."/>
      <w:lvlJc w:val="left"/>
      <w:pPr>
        <w:ind w:left="3600" w:hanging="360"/>
      </w:pPr>
    </w:lvl>
    <w:lvl w:ilvl="5" w:tplc="2D3A5EC6">
      <w:start w:val="1"/>
      <w:numFmt w:val="lowerRoman"/>
      <w:lvlText w:val="%6."/>
      <w:lvlJc w:val="right"/>
      <w:pPr>
        <w:ind w:left="4320" w:hanging="180"/>
      </w:pPr>
    </w:lvl>
    <w:lvl w:ilvl="6" w:tplc="442A8E74">
      <w:start w:val="1"/>
      <w:numFmt w:val="decimal"/>
      <w:lvlText w:val="%7."/>
      <w:lvlJc w:val="left"/>
      <w:pPr>
        <w:ind w:left="5040" w:hanging="360"/>
      </w:pPr>
    </w:lvl>
    <w:lvl w:ilvl="7" w:tplc="978A2838">
      <w:start w:val="1"/>
      <w:numFmt w:val="lowerLetter"/>
      <w:lvlText w:val="%8."/>
      <w:lvlJc w:val="left"/>
      <w:pPr>
        <w:ind w:left="5760" w:hanging="360"/>
      </w:pPr>
    </w:lvl>
    <w:lvl w:ilvl="8" w:tplc="5EC4DE44">
      <w:start w:val="1"/>
      <w:numFmt w:val="lowerRoman"/>
      <w:lvlText w:val="%9."/>
      <w:lvlJc w:val="right"/>
      <w:pPr>
        <w:ind w:left="6480" w:hanging="180"/>
      </w:pPr>
    </w:lvl>
  </w:abstractNum>
  <w:abstractNum w:abstractNumId="13" w15:restartNumberingAfterBreak="0">
    <w:nsid w:val="0816690D"/>
    <w:multiLevelType w:val="multilevel"/>
    <w:tmpl w:val="6D4EB08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83D4687"/>
    <w:multiLevelType w:val="multilevel"/>
    <w:tmpl w:val="0D3C09D4"/>
    <w:lvl w:ilvl="0">
      <w:start w:val="4"/>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0869CDD7"/>
    <w:multiLevelType w:val="hybridMultilevel"/>
    <w:tmpl w:val="E6F60F72"/>
    <w:lvl w:ilvl="0" w:tplc="CC5A35A2">
      <w:start w:val="1"/>
      <w:numFmt w:val="bullet"/>
      <w:lvlText w:val="-"/>
      <w:lvlJc w:val="left"/>
      <w:pPr>
        <w:ind w:left="720" w:hanging="360"/>
      </w:pPr>
      <w:rPr>
        <w:rFonts w:ascii="Symbol" w:hAnsi="Symbol" w:hint="default"/>
      </w:rPr>
    </w:lvl>
    <w:lvl w:ilvl="1" w:tplc="E90CF390">
      <w:start w:val="1"/>
      <w:numFmt w:val="bullet"/>
      <w:lvlText w:val="o"/>
      <w:lvlJc w:val="left"/>
      <w:pPr>
        <w:ind w:left="1440" w:hanging="360"/>
      </w:pPr>
      <w:rPr>
        <w:rFonts w:ascii="Courier New" w:hAnsi="Courier New" w:cs="Times New Roman" w:hint="default"/>
      </w:rPr>
    </w:lvl>
    <w:lvl w:ilvl="2" w:tplc="62C827A8">
      <w:start w:val="1"/>
      <w:numFmt w:val="bullet"/>
      <w:lvlText w:val=""/>
      <w:lvlJc w:val="left"/>
      <w:pPr>
        <w:ind w:left="2160" w:hanging="360"/>
      </w:pPr>
      <w:rPr>
        <w:rFonts w:ascii="Wingdings" w:hAnsi="Wingdings" w:hint="default"/>
      </w:rPr>
    </w:lvl>
    <w:lvl w:ilvl="3" w:tplc="C6AC6B24">
      <w:start w:val="1"/>
      <w:numFmt w:val="bullet"/>
      <w:lvlText w:val=""/>
      <w:lvlJc w:val="left"/>
      <w:pPr>
        <w:ind w:left="2880" w:hanging="360"/>
      </w:pPr>
      <w:rPr>
        <w:rFonts w:ascii="Symbol" w:hAnsi="Symbol" w:hint="default"/>
      </w:rPr>
    </w:lvl>
    <w:lvl w:ilvl="4" w:tplc="DF44F6A4">
      <w:start w:val="1"/>
      <w:numFmt w:val="bullet"/>
      <w:lvlText w:val="o"/>
      <w:lvlJc w:val="left"/>
      <w:pPr>
        <w:ind w:left="3600" w:hanging="360"/>
      </w:pPr>
      <w:rPr>
        <w:rFonts w:ascii="Courier New" w:hAnsi="Courier New" w:cs="Times New Roman" w:hint="default"/>
      </w:rPr>
    </w:lvl>
    <w:lvl w:ilvl="5" w:tplc="8126F19E">
      <w:start w:val="1"/>
      <w:numFmt w:val="bullet"/>
      <w:lvlText w:val=""/>
      <w:lvlJc w:val="left"/>
      <w:pPr>
        <w:ind w:left="4320" w:hanging="360"/>
      </w:pPr>
      <w:rPr>
        <w:rFonts w:ascii="Wingdings" w:hAnsi="Wingdings" w:hint="default"/>
      </w:rPr>
    </w:lvl>
    <w:lvl w:ilvl="6" w:tplc="E4401EFE">
      <w:start w:val="1"/>
      <w:numFmt w:val="bullet"/>
      <w:lvlText w:val=""/>
      <w:lvlJc w:val="left"/>
      <w:pPr>
        <w:ind w:left="5040" w:hanging="360"/>
      </w:pPr>
      <w:rPr>
        <w:rFonts w:ascii="Symbol" w:hAnsi="Symbol" w:hint="default"/>
      </w:rPr>
    </w:lvl>
    <w:lvl w:ilvl="7" w:tplc="57C0F16C">
      <w:start w:val="1"/>
      <w:numFmt w:val="bullet"/>
      <w:lvlText w:val="o"/>
      <w:lvlJc w:val="left"/>
      <w:pPr>
        <w:ind w:left="5760" w:hanging="360"/>
      </w:pPr>
      <w:rPr>
        <w:rFonts w:ascii="Courier New" w:hAnsi="Courier New" w:cs="Times New Roman" w:hint="default"/>
      </w:rPr>
    </w:lvl>
    <w:lvl w:ilvl="8" w:tplc="59DA7ED4">
      <w:start w:val="1"/>
      <w:numFmt w:val="bullet"/>
      <w:lvlText w:val=""/>
      <w:lvlJc w:val="left"/>
      <w:pPr>
        <w:ind w:left="6480" w:hanging="360"/>
      </w:pPr>
      <w:rPr>
        <w:rFonts w:ascii="Wingdings" w:hAnsi="Wingdings" w:hint="default"/>
      </w:rPr>
    </w:lvl>
  </w:abstractNum>
  <w:abstractNum w:abstractNumId="16" w15:restartNumberingAfterBreak="0">
    <w:nsid w:val="09C45F0E"/>
    <w:multiLevelType w:val="multilevel"/>
    <w:tmpl w:val="569C1C5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B41762F"/>
    <w:multiLevelType w:val="hybridMultilevel"/>
    <w:tmpl w:val="758601BC"/>
    <w:lvl w:ilvl="0" w:tplc="D7FEB5D2">
      <w:start w:val="1"/>
      <w:numFmt w:val="bullet"/>
      <w:lvlText w:val=""/>
      <w:lvlJc w:val="left"/>
      <w:pPr>
        <w:ind w:left="720" w:hanging="360"/>
      </w:pPr>
      <w:rPr>
        <w:rFonts w:ascii="Symbol" w:hAnsi="Symbol" w:hint="default"/>
      </w:rPr>
    </w:lvl>
    <w:lvl w:ilvl="1" w:tplc="B6F0C5A4">
      <w:start w:val="1"/>
      <w:numFmt w:val="bullet"/>
      <w:lvlText w:val="o"/>
      <w:lvlJc w:val="left"/>
      <w:pPr>
        <w:ind w:left="1440" w:hanging="360"/>
      </w:pPr>
      <w:rPr>
        <w:rFonts w:ascii="Courier New" w:hAnsi="Courier New" w:hint="default"/>
      </w:rPr>
    </w:lvl>
    <w:lvl w:ilvl="2" w:tplc="B6601F7E">
      <w:start w:val="1"/>
      <w:numFmt w:val="bullet"/>
      <w:lvlText w:val=""/>
      <w:lvlJc w:val="left"/>
      <w:pPr>
        <w:ind w:left="2160" w:hanging="360"/>
      </w:pPr>
      <w:rPr>
        <w:rFonts w:ascii="Wingdings" w:hAnsi="Wingdings" w:hint="default"/>
      </w:rPr>
    </w:lvl>
    <w:lvl w:ilvl="3" w:tplc="A7F26932">
      <w:start w:val="1"/>
      <w:numFmt w:val="bullet"/>
      <w:lvlText w:val=""/>
      <w:lvlJc w:val="left"/>
      <w:pPr>
        <w:ind w:left="2880" w:hanging="360"/>
      </w:pPr>
      <w:rPr>
        <w:rFonts w:ascii="Symbol" w:hAnsi="Symbol" w:hint="default"/>
      </w:rPr>
    </w:lvl>
    <w:lvl w:ilvl="4" w:tplc="0A001BA4">
      <w:start w:val="1"/>
      <w:numFmt w:val="bullet"/>
      <w:lvlText w:val="o"/>
      <w:lvlJc w:val="left"/>
      <w:pPr>
        <w:ind w:left="3600" w:hanging="360"/>
      </w:pPr>
      <w:rPr>
        <w:rFonts w:ascii="Courier New" w:hAnsi="Courier New" w:hint="default"/>
      </w:rPr>
    </w:lvl>
    <w:lvl w:ilvl="5" w:tplc="C5888858">
      <w:start w:val="1"/>
      <w:numFmt w:val="bullet"/>
      <w:lvlText w:val=""/>
      <w:lvlJc w:val="left"/>
      <w:pPr>
        <w:ind w:left="4320" w:hanging="360"/>
      </w:pPr>
      <w:rPr>
        <w:rFonts w:ascii="Wingdings" w:hAnsi="Wingdings" w:hint="default"/>
      </w:rPr>
    </w:lvl>
    <w:lvl w:ilvl="6" w:tplc="4282EB4C">
      <w:start w:val="1"/>
      <w:numFmt w:val="bullet"/>
      <w:lvlText w:val=""/>
      <w:lvlJc w:val="left"/>
      <w:pPr>
        <w:ind w:left="5040" w:hanging="360"/>
      </w:pPr>
      <w:rPr>
        <w:rFonts w:ascii="Symbol" w:hAnsi="Symbol" w:hint="default"/>
      </w:rPr>
    </w:lvl>
    <w:lvl w:ilvl="7" w:tplc="7A544E5C">
      <w:start w:val="1"/>
      <w:numFmt w:val="bullet"/>
      <w:lvlText w:val="o"/>
      <w:lvlJc w:val="left"/>
      <w:pPr>
        <w:ind w:left="5760" w:hanging="360"/>
      </w:pPr>
      <w:rPr>
        <w:rFonts w:ascii="Courier New" w:hAnsi="Courier New" w:hint="default"/>
      </w:rPr>
    </w:lvl>
    <w:lvl w:ilvl="8" w:tplc="A622FBBC">
      <w:start w:val="1"/>
      <w:numFmt w:val="bullet"/>
      <w:lvlText w:val=""/>
      <w:lvlJc w:val="left"/>
      <w:pPr>
        <w:ind w:left="6480" w:hanging="360"/>
      </w:pPr>
      <w:rPr>
        <w:rFonts w:ascii="Wingdings" w:hAnsi="Wingdings" w:hint="default"/>
      </w:rPr>
    </w:lvl>
  </w:abstractNum>
  <w:abstractNum w:abstractNumId="18" w15:restartNumberingAfterBreak="0">
    <w:nsid w:val="0C8B7279"/>
    <w:multiLevelType w:val="hybridMultilevel"/>
    <w:tmpl w:val="6D724774"/>
    <w:lvl w:ilvl="0" w:tplc="FFFFFFFF">
      <w:start w:val="1"/>
      <w:numFmt w:val="decimal"/>
      <w:lvlText w:val="%1."/>
      <w:lvlJc w:val="left"/>
      <w:pPr>
        <w:ind w:left="2345" w:hanging="360"/>
      </w:pPr>
    </w:lvl>
    <w:lvl w:ilvl="1" w:tplc="FFFFFFFF" w:tentative="1">
      <w:start w:val="1"/>
      <w:numFmt w:val="lowerLetter"/>
      <w:lvlText w:val="%2."/>
      <w:lvlJc w:val="left"/>
      <w:pPr>
        <w:ind w:left="3065" w:hanging="360"/>
      </w:pPr>
    </w:lvl>
    <w:lvl w:ilvl="2" w:tplc="FFFFFFFF" w:tentative="1">
      <w:start w:val="1"/>
      <w:numFmt w:val="lowerRoman"/>
      <w:lvlText w:val="%3."/>
      <w:lvlJc w:val="right"/>
      <w:pPr>
        <w:ind w:left="3785" w:hanging="180"/>
      </w:pPr>
    </w:lvl>
    <w:lvl w:ilvl="3" w:tplc="FFFFFFFF" w:tentative="1">
      <w:start w:val="1"/>
      <w:numFmt w:val="decimal"/>
      <w:lvlText w:val="%4."/>
      <w:lvlJc w:val="left"/>
      <w:pPr>
        <w:ind w:left="4505" w:hanging="360"/>
      </w:pPr>
    </w:lvl>
    <w:lvl w:ilvl="4" w:tplc="FFFFFFFF" w:tentative="1">
      <w:start w:val="1"/>
      <w:numFmt w:val="lowerLetter"/>
      <w:lvlText w:val="%5."/>
      <w:lvlJc w:val="left"/>
      <w:pPr>
        <w:ind w:left="5225" w:hanging="360"/>
      </w:pPr>
    </w:lvl>
    <w:lvl w:ilvl="5" w:tplc="FFFFFFFF" w:tentative="1">
      <w:start w:val="1"/>
      <w:numFmt w:val="lowerRoman"/>
      <w:lvlText w:val="%6."/>
      <w:lvlJc w:val="right"/>
      <w:pPr>
        <w:ind w:left="5945" w:hanging="180"/>
      </w:pPr>
    </w:lvl>
    <w:lvl w:ilvl="6" w:tplc="FFFFFFFF" w:tentative="1">
      <w:start w:val="1"/>
      <w:numFmt w:val="decimal"/>
      <w:lvlText w:val="%7."/>
      <w:lvlJc w:val="left"/>
      <w:pPr>
        <w:ind w:left="6665" w:hanging="360"/>
      </w:pPr>
    </w:lvl>
    <w:lvl w:ilvl="7" w:tplc="FFFFFFFF" w:tentative="1">
      <w:start w:val="1"/>
      <w:numFmt w:val="lowerLetter"/>
      <w:lvlText w:val="%8."/>
      <w:lvlJc w:val="left"/>
      <w:pPr>
        <w:ind w:left="7385" w:hanging="360"/>
      </w:pPr>
    </w:lvl>
    <w:lvl w:ilvl="8" w:tplc="FFFFFFFF" w:tentative="1">
      <w:start w:val="1"/>
      <w:numFmt w:val="lowerRoman"/>
      <w:lvlText w:val="%9."/>
      <w:lvlJc w:val="right"/>
      <w:pPr>
        <w:ind w:left="8105" w:hanging="180"/>
      </w:pPr>
    </w:lvl>
  </w:abstractNum>
  <w:abstractNum w:abstractNumId="19" w15:restartNumberingAfterBreak="0">
    <w:nsid w:val="0D860C36"/>
    <w:multiLevelType w:val="multilevel"/>
    <w:tmpl w:val="3A7E7F8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00D6C98"/>
    <w:multiLevelType w:val="hybridMultilevel"/>
    <w:tmpl w:val="C1183510"/>
    <w:lvl w:ilvl="0" w:tplc="F496A694">
      <w:start w:val="1"/>
      <w:numFmt w:val="bullet"/>
      <w:lvlText w:val=""/>
      <w:lvlJc w:val="left"/>
      <w:pPr>
        <w:ind w:left="720" w:hanging="360"/>
      </w:pPr>
      <w:rPr>
        <w:rFonts w:ascii="Symbol" w:hAnsi="Symbol" w:hint="default"/>
      </w:rPr>
    </w:lvl>
    <w:lvl w:ilvl="1" w:tplc="F4865392">
      <w:start w:val="1"/>
      <w:numFmt w:val="bullet"/>
      <w:lvlText w:val="o"/>
      <w:lvlJc w:val="left"/>
      <w:pPr>
        <w:ind w:left="1440" w:hanging="360"/>
      </w:pPr>
      <w:rPr>
        <w:rFonts w:ascii="Courier New" w:hAnsi="Courier New" w:hint="default"/>
      </w:rPr>
    </w:lvl>
    <w:lvl w:ilvl="2" w:tplc="96A008EE">
      <w:start w:val="1"/>
      <w:numFmt w:val="bullet"/>
      <w:lvlText w:val=""/>
      <w:lvlJc w:val="left"/>
      <w:pPr>
        <w:ind w:left="2160" w:hanging="360"/>
      </w:pPr>
      <w:rPr>
        <w:rFonts w:ascii="Wingdings" w:hAnsi="Wingdings" w:hint="default"/>
      </w:rPr>
    </w:lvl>
    <w:lvl w:ilvl="3" w:tplc="EB0A6D76">
      <w:start w:val="1"/>
      <w:numFmt w:val="bullet"/>
      <w:lvlText w:val=""/>
      <w:lvlJc w:val="left"/>
      <w:pPr>
        <w:ind w:left="2880" w:hanging="360"/>
      </w:pPr>
      <w:rPr>
        <w:rFonts w:ascii="Symbol" w:hAnsi="Symbol" w:hint="default"/>
      </w:rPr>
    </w:lvl>
    <w:lvl w:ilvl="4" w:tplc="CE7ACB2A">
      <w:start w:val="1"/>
      <w:numFmt w:val="bullet"/>
      <w:lvlText w:val="o"/>
      <w:lvlJc w:val="left"/>
      <w:pPr>
        <w:ind w:left="3600" w:hanging="360"/>
      </w:pPr>
      <w:rPr>
        <w:rFonts w:ascii="Courier New" w:hAnsi="Courier New" w:hint="default"/>
      </w:rPr>
    </w:lvl>
    <w:lvl w:ilvl="5" w:tplc="B8064BFA">
      <w:start w:val="1"/>
      <w:numFmt w:val="bullet"/>
      <w:lvlText w:val=""/>
      <w:lvlJc w:val="left"/>
      <w:pPr>
        <w:ind w:left="4320" w:hanging="360"/>
      </w:pPr>
      <w:rPr>
        <w:rFonts w:ascii="Wingdings" w:hAnsi="Wingdings" w:hint="default"/>
      </w:rPr>
    </w:lvl>
    <w:lvl w:ilvl="6" w:tplc="04766396">
      <w:start w:val="1"/>
      <w:numFmt w:val="bullet"/>
      <w:lvlText w:val=""/>
      <w:lvlJc w:val="left"/>
      <w:pPr>
        <w:ind w:left="5040" w:hanging="360"/>
      </w:pPr>
      <w:rPr>
        <w:rFonts w:ascii="Symbol" w:hAnsi="Symbol" w:hint="default"/>
      </w:rPr>
    </w:lvl>
    <w:lvl w:ilvl="7" w:tplc="CFB025BA">
      <w:start w:val="1"/>
      <w:numFmt w:val="bullet"/>
      <w:lvlText w:val="o"/>
      <w:lvlJc w:val="left"/>
      <w:pPr>
        <w:ind w:left="5760" w:hanging="360"/>
      </w:pPr>
      <w:rPr>
        <w:rFonts w:ascii="Courier New" w:hAnsi="Courier New" w:hint="default"/>
      </w:rPr>
    </w:lvl>
    <w:lvl w:ilvl="8" w:tplc="D7F680FE">
      <w:start w:val="1"/>
      <w:numFmt w:val="bullet"/>
      <w:lvlText w:val=""/>
      <w:lvlJc w:val="left"/>
      <w:pPr>
        <w:ind w:left="6480" w:hanging="360"/>
      </w:pPr>
      <w:rPr>
        <w:rFonts w:ascii="Wingdings" w:hAnsi="Wingdings" w:hint="default"/>
      </w:rPr>
    </w:lvl>
  </w:abstractNum>
  <w:abstractNum w:abstractNumId="21" w15:restartNumberingAfterBreak="0">
    <w:nsid w:val="1148198B"/>
    <w:multiLevelType w:val="multilevel"/>
    <w:tmpl w:val="37820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18A1EC2"/>
    <w:multiLevelType w:val="multilevel"/>
    <w:tmpl w:val="4EDCD4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3042290"/>
    <w:multiLevelType w:val="hybridMultilevel"/>
    <w:tmpl w:val="26E691E0"/>
    <w:lvl w:ilvl="0" w:tplc="A1747E5E">
      <w:start w:val="1"/>
      <w:numFmt w:val="lowerLetter"/>
      <w:lvlText w:val="%1)"/>
      <w:lvlJc w:val="left"/>
      <w:pPr>
        <w:ind w:left="405" w:hanging="360"/>
      </w:pPr>
      <w:rPr>
        <w:rFonts w:ascii="Arial Narrow" w:eastAsia="Times New Roman" w:hAnsi="Arial Narrow" w:cs="Times New Roman"/>
      </w:rPr>
    </w:lvl>
    <w:lvl w:ilvl="1" w:tplc="04100019">
      <w:start w:val="1"/>
      <w:numFmt w:val="lowerLetter"/>
      <w:lvlText w:val="%2."/>
      <w:lvlJc w:val="left"/>
      <w:pPr>
        <w:ind w:left="1125" w:hanging="360"/>
      </w:pPr>
    </w:lvl>
    <w:lvl w:ilvl="2" w:tplc="0410001B">
      <w:start w:val="1"/>
      <w:numFmt w:val="lowerRoman"/>
      <w:lvlText w:val="%3."/>
      <w:lvlJc w:val="right"/>
      <w:pPr>
        <w:ind w:left="1845" w:hanging="180"/>
      </w:pPr>
    </w:lvl>
    <w:lvl w:ilvl="3" w:tplc="0410000F">
      <w:start w:val="1"/>
      <w:numFmt w:val="decimal"/>
      <w:lvlText w:val="%4."/>
      <w:lvlJc w:val="left"/>
      <w:pPr>
        <w:ind w:left="2565" w:hanging="360"/>
      </w:pPr>
    </w:lvl>
    <w:lvl w:ilvl="4" w:tplc="04100019">
      <w:start w:val="1"/>
      <w:numFmt w:val="lowerLetter"/>
      <w:lvlText w:val="%5."/>
      <w:lvlJc w:val="left"/>
      <w:pPr>
        <w:ind w:left="3285" w:hanging="360"/>
      </w:pPr>
    </w:lvl>
    <w:lvl w:ilvl="5" w:tplc="0410001B">
      <w:start w:val="1"/>
      <w:numFmt w:val="lowerRoman"/>
      <w:lvlText w:val="%6."/>
      <w:lvlJc w:val="right"/>
      <w:pPr>
        <w:ind w:left="4005" w:hanging="180"/>
      </w:pPr>
    </w:lvl>
    <w:lvl w:ilvl="6" w:tplc="0410000F">
      <w:start w:val="1"/>
      <w:numFmt w:val="decimal"/>
      <w:lvlText w:val="%7."/>
      <w:lvlJc w:val="left"/>
      <w:pPr>
        <w:ind w:left="4725" w:hanging="360"/>
      </w:pPr>
    </w:lvl>
    <w:lvl w:ilvl="7" w:tplc="04100019">
      <w:start w:val="1"/>
      <w:numFmt w:val="lowerLetter"/>
      <w:lvlText w:val="%8."/>
      <w:lvlJc w:val="left"/>
      <w:pPr>
        <w:ind w:left="5445" w:hanging="360"/>
      </w:pPr>
    </w:lvl>
    <w:lvl w:ilvl="8" w:tplc="0410001B">
      <w:start w:val="1"/>
      <w:numFmt w:val="lowerRoman"/>
      <w:lvlText w:val="%9."/>
      <w:lvlJc w:val="right"/>
      <w:pPr>
        <w:ind w:left="6165" w:hanging="180"/>
      </w:pPr>
    </w:lvl>
  </w:abstractNum>
  <w:abstractNum w:abstractNumId="24" w15:restartNumberingAfterBreak="0">
    <w:nsid w:val="14ED7B12"/>
    <w:multiLevelType w:val="hybridMultilevel"/>
    <w:tmpl w:val="29EA5478"/>
    <w:lvl w:ilvl="0" w:tplc="7AACA2A8">
      <w:start w:val="1"/>
      <w:numFmt w:val="lowerRoman"/>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15D54647"/>
    <w:multiLevelType w:val="hybridMultilevel"/>
    <w:tmpl w:val="CDD2791E"/>
    <w:lvl w:ilvl="0" w:tplc="ECE249C6">
      <w:start w:val="1"/>
      <w:numFmt w:val="bullet"/>
      <w:lvlText w:val=""/>
      <w:lvlJc w:val="right"/>
      <w:pPr>
        <w:ind w:left="720" w:hanging="360"/>
      </w:pPr>
      <w:rPr>
        <w:rFonts w:ascii="Symbol" w:hAnsi="Symbol" w:hint="default"/>
        <w:color w:val="3A7C22" w:themeColor="accent6" w:themeShade="BF"/>
        <w:spacing w:val="6"/>
        <w:position w:val="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15E226B0"/>
    <w:multiLevelType w:val="multilevel"/>
    <w:tmpl w:val="C5D2BA54"/>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Noto Sans Symbols" w:hAnsi="Noto Sans Symbols" w:hint="default"/>
      </w:rPr>
    </w:lvl>
    <w:lvl w:ilvl="3">
      <w:start w:val="1"/>
      <w:numFmt w:val="bullet"/>
      <w:lvlText w:val="●"/>
      <w:lvlJc w:val="left"/>
      <w:pPr>
        <w:ind w:left="2520" w:hanging="360"/>
      </w:pPr>
      <w:rPr>
        <w:rFonts w:ascii="Noto Sans Symbols" w:hAnsi="Noto Sans Symbols"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Noto Sans Symbols" w:hAnsi="Noto Sans Symbols" w:hint="default"/>
      </w:rPr>
    </w:lvl>
    <w:lvl w:ilvl="6">
      <w:start w:val="1"/>
      <w:numFmt w:val="bullet"/>
      <w:lvlText w:val="●"/>
      <w:lvlJc w:val="left"/>
      <w:pPr>
        <w:ind w:left="4680" w:hanging="360"/>
      </w:pPr>
      <w:rPr>
        <w:rFonts w:ascii="Noto Sans Symbols" w:hAnsi="Noto Sans Symbols"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Noto Sans Symbols" w:hAnsi="Noto Sans Symbols" w:hint="default"/>
      </w:rPr>
    </w:lvl>
  </w:abstractNum>
  <w:abstractNum w:abstractNumId="27" w15:restartNumberingAfterBreak="0">
    <w:nsid w:val="16353175"/>
    <w:multiLevelType w:val="multilevel"/>
    <w:tmpl w:val="397A91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165622D8"/>
    <w:multiLevelType w:val="hybridMultilevel"/>
    <w:tmpl w:val="E6E46808"/>
    <w:lvl w:ilvl="0" w:tplc="1809001B">
      <w:start w:val="1"/>
      <w:numFmt w:val="lowerRoman"/>
      <w:lvlText w:val="%1."/>
      <w:lvlJc w:val="righ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29" w15:restartNumberingAfterBreak="0">
    <w:nsid w:val="181C2342"/>
    <w:multiLevelType w:val="multilevel"/>
    <w:tmpl w:val="BA5E2E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19337120"/>
    <w:multiLevelType w:val="multilevel"/>
    <w:tmpl w:val="3A4A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811323"/>
    <w:multiLevelType w:val="hybridMultilevel"/>
    <w:tmpl w:val="D428AE04"/>
    <w:lvl w:ilvl="0" w:tplc="07F82988">
      <w:start w:val="1"/>
      <w:numFmt w:val="bullet"/>
      <w:lvlText w:val="-"/>
      <w:lvlJc w:val="left"/>
      <w:pPr>
        <w:ind w:left="1429" w:hanging="360"/>
      </w:pPr>
      <w:rPr>
        <w:rFonts w:ascii="Times New Roman" w:hAnsi="Times New Roman" w:hint="default"/>
      </w:rPr>
    </w:lvl>
    <w:lvl w:ilvl="1" w:tplc="9222CE2E">
      <w:start w:val="1"/>
      <w:numFmt w:val="bullet"/>
      <w:lvlText w:val="o"/>
      <w:lvlJc w:val="left"/>
      <w:pPr>
        <w:ind w:left="2149" w:hanging="360"/>
      </w:pPr>
      <w:rPr>
        <w:rFonts w:ascii="Courier New" w:hAnsi="Courier New" w:hint="default"/>
      </w:rPr>
    </w:lvl>
    <w:lvl w:ilvl="2" w:tplc="701E9312">
      <w:start w:val="1"/>
      <w:numFmt w:val="bullet"/>
      <w:lvlText w:val=""/>
      <w:lvlJc w:val="left"/>
      <w:pPr>
        <w:ind w:left="2869" w:hanging="360"/>
      </w:pPr>
      <w:rPr>
        <w:rFonts w:ascii="Wingdings" w:hAnsi="Wingdings" w:hint="default"/>
      </w:rPr>
    </w:lvl>
    <w:lvl w:ilvl="3" w:tplc="C162749A">
      <w:start w:val="1"/>
      <w:numFmt w:val="bullet"/>
      <w:lvlText w:val=""/>
      <w:lvlJc w:val="left"/>
      <w:pPr>
        <w:ind w:left="3589" w:hanging="360"/>
      </w:pPr>
      <w:rPr>
        <w:rFonts w:ascii="Symbol" w:hAnsi="Symbol" w:hint="default"/>
      </w:rPr>
    </w:lvl>
    <w:lvl w:ilvl="4" w:tplc="BD6EA15C">
      <w:start w:val="1"/>
      <w:numFmt w:val="bullet"/>
      <w:lvlText w:val="o"/>
      <w:lvlJc w:val="left"/>
      <w:pPr>
        <w:ind w:left="4309" w:hanging="360"/>
      </w:pPr>
      <w:rPr>
        <w:rFonts w:ascii="Courier New" w:hAnsi="Courier New" w:hint="default"/>
      </w:rPr>
    </w:lvl>
    <w:lvl w:ilvl="5" w:tplc="B1B03284">
      <w:start w:val="1"/>
      <w:numFmt w:val="bullet"/>
      <w:lvlText w:val=""/>
      <w:lvlJc w:val="left"/>
      <w:pPr>
        <w:ind w:left="5029" w:hanging="360"/>
      </w:pPr>
      <w:rPr>
        <w:rFonts w:ascii="Wingdings" w:hAnsi="Wingdings" w:hint="default"/>
      </w:rPr>
    </w:lvl>
    <w:lvl w:ilvl="6" w:tplc="5BFAF6F2">
      <w:start w:val="1"/>
      <w:numFmt w:val="bullet"/>
      <w:lvlText w:val=""/>
      <w:lvlJc w:val="left"/>
      <w:pPr>
        <w:ind w:left="5749" w:hanging="360"/>
      </w:pPr>
      <w:rPr>
        <w:rFonts w:ascii="Symbol" w:hAnsi="Symbol" w:hint="default"/>
      </w:rPr>
    </w:lvl>
    <w:lvl w:ilvl="7" w:tplc="3D4AC7AE">
      <w:start w:val="1"/>
      <w:numFmt w:val="bullet"/>
      <w:lvlText w:val="o"/>
      <w:lvlJc w:val="left"/>
      <w:pPr>
        <w:ind w:left="6469" w:hanging="360"/>
      </w:pPr>
      <w:rPr>
        <w:rFonts w:ascii="Courier New" w:hAnsi="Courier New" w:hint="default"/>
      </w:rPr>
    </w:lvl>
    <w:lvl w:ilvl="8" w:tplc="0366C68C">
      <w:start w:val="1"/>
      <w:numFmt w:val="bullet"/>
      <w:lvlText w:val=""/>
      <w:lvlJc w:val="left"/>
      <w:pPr>
        <w:ind w:left="7189" w:hanging="360"/>
      </w:pPr>
      <w:rPr>
        <w:rFonts w:ascii="Wingdings" w:hAnsi="Wingdings" w:hint="default"/>
      </w:rPr>
    </w:lvl>
  </w:abstractNum>
  <w:abstractNum w:abstractNumId="32" w15:restartNumberingAfterBreak="0">
    <w:nsid w:val="1A747A46"/>
    <w:multiLevelType w:val="multilevel"/>
    <w:tmpl w:val="DAE6534A"/>
    <w:lvl w:ilvl="0">
      <w:start w:val="5"/>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1B3C78B8"/>
    <w:multiLevelType w:val="multilevel"/>
    <w:tmpl w:val="2ED4F4D0"/>
    <w:name w:val="Point"/>
    <w:lvl w:ilvl="0">
      <w:start w:val="1"/>
      <w:numFmt w:val="decimal"/>
      <w:pStyle w:val="Point0number"/>
      <w:lvlText w:val="(%1)"/>
      <w:lvlJc w:val="left"/>
      <w:pPr>
        <w:tabs>
          <w:tab w:val="num" w:pos="850"/>
        </w:tabs>
        <w:ind w:left="850" w:hanging="850"/>
      </w:pPr>
    </w:lvl>
    <w:lvl w:ilvl="1">
      <w:start w:val="1"/>
      <w:numFmt w:val="lowerLetter"/>
      <w:pStyle w:val="Point3number"/>
      <w:lvlText w:val="(%2)"/>
      <w:lvlJc w:val="left"/>
      <w:pPr>
        <w:tabs>
          <w:tab w:val="num" w:pos="850"/>
        </w:tabs>
        <w:ind w:left="850" w:hanging="850"/>
      </w:pPr>
    </w:lvl>
    <w:lvl w:ilvl="2">
      <w:start w:val="1"/>
      <w:numFmt w:val="decimal"/>
      <w:pStyle w:val="Point0number"/>
      <w:lvlText w:val="(%3)"/>
      <w:lvlJc w:val="left"/>
      <w:pPr>
        <w:tabs>
          <w:tab w:val="num" w:pos="1417"/>
        </w:tabs>
        <w:ind w:left="1417" w:hanging="567"/>
      </w:pPr>
    </w:lvl>
    <w:lvl w:ilvl="3">
      <w:start w:val="1"/>
      <w:numFmt w:val="lowerLetter"/>
      <w:pStyle w:val="Point0letter"/>
      <w:lvlText w:val="(%4)"/>
      <w:lvlJc w:val="left"/>
      <w:pPr>
        <w:tabs>
          <w:tab w:val="num" w:pos="1417"/>
        </w:tabs>
        <w:ind w:left="1417" w:hanging="567"/>
      </w:pPr>
    </w:lvl>
    <w:lvl w:ilvl="4">
      <w:start w:val="1"/>
      <w:numFmt w:val="decimal"/>
      <w:pStyle w:val="Point1number"/>
      <w:lvlText w:val="(%5)"/>
      <w:lvlJc w:val="left"/>
      <w:pPr>
        <w:tabs>
          <w:tab w:val="num" w:pos="1984"/>
        </w:tabs>
        <w:ind w:left="1984" w:hanging="567"/>
      </w:pPr>
    </w:lvl>
    <w:lvl w:ilvl="5">
      <w:start w:val="1"/>
      <w:numFmt w:val="lowerLetter"/>
      <w:pStyle w:val="Point1letter"/>
      <w:lvlText w:val="(%6)"/>
      <w:lvlJc w:val="left"/>
      <w:pPr>
        <w:tabs>
          <w:tab w:val="num" w:pos="1984"/>
        </w:tabs>
        <w:ind w:left="1984" w:hanging="567"/>
      </w:pPr>
    </w:lvl>
    <w:lvl w:ilvl="6">
      <w:start w:val="1"/>
      <w:numFmt w:val="decimal"/>
      <w:pStyle w:val="Point2number"/>
      <w:lvlText w:val="(%7)"/>
      <w:lvlJc w:val="left"/>
      <w:pPr>
        <w:tabs>
          <w:tab w:val="num" w:pos="2551"/>
        </w:tabs>
        <w:ind w:left="2551" w:hanging="567"/>
      </w:pPr>
    </w:lvl>
    <w:lvl w:ilvl="7">
      <w:start w:val="1"/>
      <w:numFmt w:val="lowerLetter"/>
      <w:pStyle w:val="Point2letter"/>
      <w:lvlText w:val="(%8)"/>
      <w:lvlJc w:val="left"/>
      <w:pPr>
        <w:tabs>
          <w:tab w:val="num" w:pos="2551"/>
        </w:tabs>
        <w:ind w:left="2551" w:hanging="567"/>
      </w:pPr>
    </w:lvl>
    <w:lvl w:ilvl="8">
      <w:start w:val="1"/>
      <w:numFmt w:val="lowerLetter"/>
      <w:pStyle w:val="Point3letter"/>
      <w:lvlText w:val="(%9)"/>
      <w:lvlJc w:val="left"/>
      <w:pPr>
        <w:tabs>
          <w:tab w:val="num" w:pos="3118"/>
        </w:tabs>
        <w:ind w:left="3118" w:hanging="567"/>
      </w:pPr>
    </w:lvl>
  </w:abstractNum>
  <w:abstractNum w:abstractNumId="34" w15:restartNumberingAfterBreak="0">
    <w:nsid w:val="1E317D26"/>
    <w:multiLevelType w:val="hybridMultilevel"/>
    <w:tmpl w:val="F2566412"/>
    <w:lvl w:ilvl="0" w:tplc="7CC4E43C">
      <w:start w:val="1"/>
      <w:numFmt w:val="decimal"/>
      <w:lvlText w:val="%1."/>
      <w:lvlJc w:val="left"/>
      <w:pPr>
        <w:ind w:left="720" w:hanging="360"/>
      </w:pPr>
    </w:lvl>
    <w:lvl w:ilvl="1" w:tplc="98B4BE10">
      <w:start w:val="1"/>
      <w:numFmt w:val="lowerLetter"/>
      <w:lvlText w:val="%2."/>
      <w:lvlJc w:val="left"/>
      <w:pPr>
        <w:ind w:left="1440" w:hanging="360"/>
      </w:pPr>
    </w:lvl>
    <w:lvl w:ilvl="2" w:tplc="E28A6A02">
      <w:start w:val="1"/>
      <w:numFmt w:val="lowerRoman"/>
      <w:lvlText w:val="%3."/>
      <w:lvlJc w:val="right"/>
      <w:pPr>
        <w:ind w:left="2160" w:hanging="180"/>
      </w:pPr>
    </w:lvl>
    <w:lvl w:ilvl="3" w:tplc="6EB468B2">
      <w:start w:val="1"/>
      <w:numFmt w:val="decimal"/>
      <w:lvlText w:val="%4."/>
      <w:lvlJc w:val="left"/>
      <w:pPr>
        <w:ind w:left="2880" w:hanging="360"/>
      </w:pPr>
    </w:lvl>
    <w:lvl w:ilvl="4" w:tplc="DD965FD8">
      <w:start w:val="1"/>
      <w:numFmt w:val="lowerLetter"/>
      <w:lvlText w:val="%5."/>
      <w:lvlJc w:val="left"/>
      <w:pPr>
        <w:ind w:left="3600" w:hanging="360"/>
      </w:pPr>
    </w:lvl>
    <w:lvl w:ilvl="5" w:tplc="4E466424">
      <w:start w:val="1"/>
      <w:numFmt w:val="lowerRoman"/>
      <w:lvlText w:val="%6."/>
      <w:lvlJc w:val="right"/>
      <w:pPr>
        <w:ind w:left="4320" w:hanging="180"/>
      </w:pPr>
    </w:lvl>
    <w:lvl w:ilvl="6" w:tplc="2174BC9C">
      <w:start w:val="1"/>
      <w:numFmt w:val="decimal"/>
      <w:lvlText w:val="%7."/>
      <w:lvlJc w:val="left"/>
      <w:pPr>
        <w:ind w:left="5040" w:hanging="360"/>
      </w:pPr>
    </w:lvl>
    <w:lvl w:ilvl="7" w:tplc="3EA00D02">
      <w:start w:val="1"/>
      <w:numFmt w:val="lowerLetter"/>
      <w:lvlText w:val="%8."/>
      <w:lvlJc w:val="left"/>
      <w:pPr>
        <w:ind w:left="5760" w:hanging="360"/>
      </w:pPr>
    </w:lvl>
    <w:lvl w:ilvl="8" w:tplc="4616220A">
      <w:start w:val="1"/>
      <w:numFmt w:val="lowerRoman"/>
      <w:lvlText w:val="%9."/>
      <w:lvlJc w:val="right"/>
      <w:pPr>
        <w:ind w:left="6480" w:hanging="180"/>
      </w:pPr>
    </w:lvl>
  </w:abstractNum>
  <w:abstractNum w:abstractNumId="35" w15:restartNumberingAfterBreak="0">
    <w:nsid w:val="1E950445"/>
    <w:multiLevelType w:val="multilevel"/>
    <w:tmpl w:val="610804BC"/>
    <w:lvl w:ilvl="0">
      <w:start w:val="1"/>
      <w:numFmt w:val="decimal"/>
      <w:lvlText w:val="%1."/>
      <w:lvlJc w:val="left"/>
      <w:pPr>
        <w:ind w:left="476" w:hanging="476"/>
      </w:pPr>
      <w:rPr>
        <w:b/>
        <w:bCs/>
      </w:rPr>
    </w:lvl>
    <w:lvl w:ilvl="1">
      <w:start w:val="1"/>
      <w:numFmt w:val="lowerLetter"/>
      <w:lvlText w:val="%2)"/>
      <w:lvlJc w:val="left"/>
      <w:pPr>
        <w:ind w:left="836" w:hanging="360"/>
      </w:pPr>
    </w:lvl>
    <w:lvl w:ilvl="2">
      <w:start w:val="1"/>
      <w:numFmt w:val="lowerRoman"/>
      <w:lvlText w:val="%3."/>
      <w:lvlJc w:val="left"/>
      <w:pPr>
        <w:ind w:left="1429" w:hanging="476"/>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F49CA69"/>
    <w:multiLevelType w:val="hybridMultilevel"/>
    <w:tmpl w:val="FFFFFFFF"/>
    <w:lvl w:ilvl="0" w:tplc="9BA2FBA8">
      <w:start w:val="1"/>
      <w:numFmt w:val="bullet"/>
      <w:lvlText w:val="·"/>
      <w:lvlJc w:val="left"/>
      <w:pPr>
        <w:ind w:left="720" w:hanging="360"/>
      </w:pPr>
      <w:rPr>
        <w:rFonts w:ascii="&quot;Times New Roman&quot;,serif" w:hAnsi="&quot;Times New Roman&quot;,serif" w:hint="default"/>
      </w:rPr>
    </w:lvl>
    <w:lvl w:ilvl="1" w:tplc="275440D2">
      <w:start w:val="1"/>
      <w:numFmt w:val="bullet"/>
      <w:lvlText w:val="o"/>
      <w:lvlJc w:val="left"/>
      <w:pPr>
        <w:ind w:left="1440" w:hanging="360"/>
      </w:pPr>
      <w:rPr>
        <w:rFonts w:ascii="Courier New" w:hAnsi="Courier New" w:hint="default"/>
      </w:rPr>
    </w:lvl>
    <w:lvl w:ilvl="2" w:tplc="0BD676BC">
      <w:start w:val="1"/>
      <w:numFmt w:val="bullet"/>
      <w:lvlText w:val=""/>
      <w:lvlJc w:val="left"/>
      <w:pPr>
        <w:ind w:left="2160" w:hanging="360"/>
      </w:pPr>
      <w:rPr>
        <w:rFonts w:ascii="Wingdings" w:hAnsi="Wingdings" w:hint="default"/>
      </w:rPr>
    </w:lvl>
    <w:lvl w:ilvl="3" w:tplc="9766BE38">
      <w:start w:val="1"/>
      <w:numFmt w:val="bullet"/>
      <w:lvlText w:val=""/>
      <w:lvlJc w:val="left"/>
      <w:pPr>
        <w:ind w:left="2880" w:hanging="360"/>
      </w:pPr>
      <w:rPr>
        <w:rFonts w:ascii="Symbol" w:hAnsi="Symbol" w:hint="default"/>
      </w:rPr>
    </w:lvl>
    <w:lvl w:ilvl="4" w:tplc="04686B50">
      <w:start w:val="1"/>
      <w:numFmt w:val="bullet"/>
      <w:lvlText w:val="o"/>
      <w:lvlJc w:val="left"/>
      <w:pPr>
        <w:ind w:left="3600" w:hanging="360"/>
      </w:pPr>
      <w:rPr>
        <w:rFonts w:ascii="Courier New" w:hAnsi="Courier New" w:hint="default"/>
      </w:rPr>
    </w:lvl>
    <w:lvl w:ilvl="5" w:tplc="57443B5E">
      <w:start w:val="1"/>
      <w:numFmt w:val="bullet"/>
      <w:lvlText w:val=""/>
      <w:lvlJc w:val="left"/>
      <w:pPr>
        <w:ind w:left="4320" w:hanging="360"/>
      </w:pPr>
      <w:rPr>
        <w:rFonts w:ascii="Wingdings" w:hAnsi="Wingdings" w:hint="default"/>
      </w:rPr>
    </w:lvl>
    <w:lvl w:ilvl="6" w:tplc="0FF6A8E4">
      <w:start w:val="1"/>
      <w:numFmt w:val="bullet"/>
      <w:lvlText w:val=""/>
      <w:lvlJc w:val="left"/>
      <w:pPr>
        <w:ind w:left="5040" w:hanging="360"/>
      </w:pPr>
      <w:rPr>
        <w:rFonts w:ascii="Symbol" w:hAnsi="Symbol" w:hint="default"/>
      </w:rPr>
    </w:lvl>
    <w:lvl w:ilvl="7" w:tplc="ABC400F0">
      <w:start w:val="1"/>
      <w:numFmt w:val="bullet"/>
      <w:lvlText w:val="o"/>
      <w:lvlJc w:val="left"/>
      <w:pPr>
        <w:ind w:left="5760" w:hanging="360"/>
      </w:pPr>
      <w:rPr>
        <w:rFonts w:ascii="Courier New" w:hAnsi="Courier New" w:hint="default"/>
      </w:rPr>
    </w:lvl>
    <w:lvl w:ilvl="8" w:tplc="66C02916">
      <w:start w:val="1"/>
      <w:numFmt w:val="bullet"/>
      <w:lvlText w:val=""/>
      <w:lvlJc w:val="left"/>
      <w:pPr>
        <w:ind w:left="6480" w:hanging="360"/>
      </w:pPr>
      <w:rPr>
        <w:rFonts w:ascii="Wingdings" w:hAnsi="Wingdings" w:hint="default"/>
      </w:rPr>
    </w:lvl>
  </w:abstractNum>
  <w:abstractNum w:abstractNumId="37" w15:restartNumberingAfterBreak="0">
    <w:nsid w:val="1FFB1B04"/>
    <w:multiLevelType w:val="multilevel"/>
    <w:tmpl w:val="B56431F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20012FB"/>
    <w:multiLevelType w:val="multilevel"/>
    <w:tmpl w:val="AADC2D4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22B3650B"/>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2E44180"/>
    <w:multiLevelType w:val="multilevel"/>
    <w:tmpl w:val="DFC88CEC"/>
    <w:lvl w:ilvl="0">
      <w:start w:val="1"/>
      <w:numFmt w:val="decimal"/>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pStyle w:val="NumPar2"/>
      <w:lvlText w:val="%1.%2.%3."/>
      <w:lvlJc w:val="left"/>
      <w:pPr>
        <w:tabs>
          <w:tab w:val="num" w:pos="850"/>
        </w:tabs>
        <w:ind w:left="850" w:hanging="850"/>
      </w:pPr>
    </w:lvl>
    <w:lvl w:ilvl="3">
      <w:start w:val="1"/>
      <w:numFmt w:val="decimal"/>
      <w:pStyle w:val="NumPar3"/>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164AFB"/>
    <w:multiLevelType w:val="hybridMultilevel"/>
    <w:tmpl w:val="8B6C2238"/>
    <w:lvl w:ilvl="0" w:tplc="1C2C3C14">
      <w:start w:val="1"/>
      <w:numFmt w:val="decimal"/>
      <w:lvlText w:val="%1."/>
      <w:lvlJc w:val="left"/>
      <w:pPr>
        <w:ind w:left="1080" w:hanging="360"/>
      </w:pPr>
    </w:lvl>
    <w:lvl w:ilvl="1" w:tplc="400CA014">
      <w:start w:val="1"/>
      <w:numFmt w:val="lowerLetter"/>
      <w:lvlText w:val="%2."/>
      <w:lvlJc w:val="left"/>
      <w:pPr>
        <w:ind w:left="1800" w:hanging="360"/>
      </w:pPr>
    </w:lvl>
    <w:lvl w:ilvl="2" w:tplc="9FE250C4">
      <w:start w:val="1"/>
      <w:numFmt w:val="lowerRoman"/>
      <w:lvlText w:val="%3."/>
      <w:lvlJc w:val="right"/>
      <w:pPr>
        <w:ind w:left="2520" w:hanging="180"/>
      </w:pPr>
    </w:lvl>
    <w:lvl w:ilvl="3" w:tplc="0220BE9C">
      <w:start w:val="1"/>
      <w:numFmt w:val="decimal"/>
      <w:lvlText w:val="%4."/>
      <w:lvlJc w:val="left"/>
      <w:pPr>
        <w:ind w:left="3240" w:hanging="360"/>
      </w:pPr>
    </w:lvl>
    <w:lvl w:ilvl="4" w:tplc="194015C8">
      <w:start w:val="1"/>
      <w:numFmt w:val="lowerLetter"/>
      <w:lvlText w:val="%5."/>
      <w:lvlJc w:val="left"/>
      <w:pPr>
        <w:ind w:left="3960" w:hanging="360"/>
      </w:pPr>
    </w:lvl>
    <w:lvl w:ilvl="5" w:tplc="FD30D5EA">
      <w:start w:val="1"/>
      <w:numFmt w:val="lowerRoman"/>
      <w:lvlText w:val="%6."/>
      <w:lvlJc w:val="right"/>
      <w:pPr>
        <w:ind w:left="4680" w:hanging="180"/>
      </w:pPr>
    </w:lvl>
    <w:lvl w:ilvl="6" w:tplc="17522B08">
      <w:start w:val="1"/>
      <w:numFmt w:val="decimal"/>
      <w:lvlText w:val="%7."/>
      <w:lvlJc w:val="left"/>
      <w:pPr>
        <w:ind w:left="5400" w:hanging="360"/>
      </w:pPr>
    </w:lvl>
    <w:lvl w:ilvl="7" w:tplc="1C7E61F4">
      <w:start w:val="1"/>
      <w:numFmt w:val="lowerLetter"/>
      <w:lvlText w:val="%8."/>
      <w:lvlJc w:val="left"/>
      <w:pPr>
        <w:ind w:left="6120" w:hanging="360"/>
      </w:pPr>
    </w:lvl>
    <w:lvl w:ilvl="8" w:tplc="2A36D5F2">
      <w:start w:val="1"/>
      <w:numFmt w:val="lowerRoman"/>
      <w:lvlText w:val="%9."/>
      <w:lvlJc w:val="right"/>
      <w:pPr>
        <w:ind w:left="6840" w:hanging="180"/>
      </w:pPr>
    </w:lvl>
  </w:abstractNum>
  <w:abstractNum w:abstractNumId="42" w15:restartNumberingAfterBreak="0">
    <w:nsid w:val="23646EE9"/>
    <w:multiLevelType w:val="multilevel"/>
    <w:tmpl w:val="6AE2B6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46A2E3F"/>
    <w:multiLevelType w:val="hybridMultilevel"/>
    <w:tmpl w:val="DDC0CB96"/>
    <w:lvl w:ilvl="0" w:tplc="74F0ABD6">
      <w:start w:val="2025"/>
      <w:numFmt w:val="bullet"/>
      <w:lvlText w:val="-"/>
      <w:lvlJc w:val="left"/>
      <w:pPr>
        <w:ind w:left="1080" w:hanging="360"/>
      </w:pPr>
      <w:rPr>
        <w:rFonts w:ascii="Segoe UI" w:hAnsi="Segoe UI" w:hint="default"/>
      </w:rPr>
    </w:lvl>
    <w:lvl w:ilvl="1" w:tplc="CCD83952">
      <w:start w:val="1"/>
      <w:numFmt w:val="bullet"/>
      <w:lvlText w:val="o"/>
      <w:lvlJc w:val="left"/>
      <w:pPr>
        <w:ind w:left="1800" w:hanging="360"/>
      </w:pPr>
      <w:rPr>
        <w:rFonts w:ascii="Courier New" w:hAnsi="Courier New" w:hint="default"/>
      </w:rPr>
    </w:lvl>
    <w:lvl w:ilvl="2" w:tplc="4D3099A2">
      <w:start w:val="1"/>
      <w:numFmt w:val="bullet"/>
      <w:lvlText w:val=""/>
      <w:lvlJc w:val="left"/>
      <w:pPr>
        <w:ind w:left="2520" w:hanging="360"/>
      </w:pPr>
      <w:rPr>
        <w:rFonts w:ascii="Wingdings" w:hAnsi="Wingdings" w:hint="default"/>
      </w:rPr>
    </w:lvl>
    <w:lvl w:ilvl="3" w:tplc="40989C6E">
      <w:start w:val="1"/>
      <w:numFmt w:val="bullet"/>
      <w:lvlText w:val=""/>
      <w:lvlJc w:val="left"/>
      <w:pPr>
        <w:ind w:left="3240" w:hanging="360"/>
      </w:pPr>
      <w:rPr>
        <w:rFonts w:ascii="Symbol" w:hAnsi="Symbol" w:hint="default"/>
      </w:rPr>
    </w:lvl>
    <w:lvl w:ilvl="4" w:tplc="B6C2CE2E">
      <w:start w:val="1"/>
      <w:numFmt w:val="bullet"/>
      <w:lvlText w:val="o"/>
      <w:lvlJc w:val="left"/>
      <w:pPr>
        <w:ind w:left="3960" w:hanging="360"/>
      </w:pPr>
      <w:rPr>
        <w:rFonts w:ascii="Courier New" w:hAnsi="Courier New" w:hint="default"/>
      </w:rPr>
    </w:lvl>
    <w:lvl w:ilvl="5" w:tplc="71E023EC">
      <w:start w:val="1"/>
      <w:numFmt w:val="bullet"/>
      <w:lvlText w:val=""/>
      <w:lvlJc w:val="left"/>
      <w:pPr>
        <w:ind w:left="4680" w:hanging="360"/>
      </w:pPr>
      <w:rPr>
        <w:rFonts w:ascii="Wingdings" w:hAnsi="Wingdings" w:hint="default"/>
      </w:rPr>
    </w:lvl>
    <w:lvl w:ilvl="6" w:tplc="84FC4682">
      <w:start w:val="1"/>
      <w:numFmt w:val="bullet"/>
      <w:lvlText w:val=""/>
      <w:lvlJc w:val="left"/>
      <w:pPr>
        <w:ind w:left="5400" w:hanging="360"/>
      </w:pPr>
      <w:rPr>
        <w:rFonts w:ascii="Symbol" w:hAnsi="Symbol" w:hint="default"/>
      </w:rPr>
    </w:lvl>
    <w:lvl w:ilvl="7" w:tplc="77FC9FDE">
      <w:start w:val="1"/>
      <w:numFmt w:val="bullet"/>
      <w:lvlText w:val="o"/>
      <w:lvlJc w:val="left"/>
      <w:pPr>
        <w:ind w:left="6120" w:hanging="360"/>
      </w:pPr>
      <w:rPr>
        <w:rFonts w:ascii="Courier New" w:hAnsi="Courier New" w:hint="default"/>
      </w:rPr>
    </w:lvl>
    <w:lvl w:ilvl="8" w:tplc="AF5C0566">
      <w:start w:val="1"/>
      <w:numFmt w:val="bullet"/>
      <w:lvlText w:val=""/>
      <w:lvlJc w:val="left"/>
      <w:pPr>
        <w:ind w:left="6840" w:hanging="360"/>
      </w:pPr>
      <w:rPr>
        <w:rFonts w:ascii="Wingdings" w:hAnsi="Wingdings" w:hint="default"/>
      </w:rPr>
    </w:lvl>
  </w:abstractNum>
  <w:abstractNum w:abstractNumId="44" w15:restartNumberingAfterBreak="0">
    <w:nsid w:val="24AF1572"/>
    <w:multiLevelType w:val="singleLevel"/>
    <w:tmpl w:val="3FE82790"/>
    <w:styleLink w:val="Puntielenco0"/>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24BB5D4E"/>
    <w:multiLevelType w:val="multilevel"/>
    <w:tmpl w:val="8A3A51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24EB7D87"/>
    <w:multiLevelType w:val="multilevel"/>
    <w:tmpl w:val="A4A6DBE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6E7148B"/>
    <w:multiLevelType w:val="hybridMultilevel"/>
    <w:tmpl w:val="AE1ABF60"/>
    <w:lvl w:ilvl="0" w:tplc="3EA80E8E">
      <w:start w:val="1"/>
      <w:numFmt w:val="bullet"/>
      <w:lvlText w:val=""/>
      <w:lvlJc w:val="left"/>
      <w:pPr>
        <w:ind w:left="720" w:hanging="360"/>
      </w:pPr>
      <w:rPr>
        <w:rFonts w:ascii="Symbol" w:hAnsi="Symbol" w:hint="default"/>
      </w:rPr>
    </w:lvl>
    <w:lvl w:ilvl="1" w:tplc="A81EF75A">
      <w:start w:val="1"/>
      <w:numFmt w:val="bullet"/>
      <w:lvlText w:val="o"/>
      <w:lvlJc w:val="left"/>
      <w:pPr>
        <w:ind w:left="1440" w:hanging="360"/>
      </w:pPr>
      <w:rPr>
        <w:rFonts w:ascii="Courier New" w:hAnsi="Courier New" w:hint="default"/>
      </w:rPr>
    </w:lvl>
    <w:lvl w:ilvl="2" w:tplc="C010B64C">
      <w:start w:val="1"/>
      <w:numFmt w:val="bullet"/>
      <w:lvlText w:val=""/>
      <w:lvlJc w:val="left"/>
      <w:pPr>
        <w:ind w:left="2160" w:hanging="360"/>
      </w:pPr>
      <w:rPr>
        <w:rFonts w:ascii="Wingdings" w:hAnsi="Wingdings" w:hint="default"/>
      </w:rPr>
    </w:lvl>
    <w:lvl w:ilvl="3" w:tplc="F8DA74A0">
      <w:start w:val="1"/>
      <w:numFmt w:val="bullet"/>
      <w:lvlText w:val=""/>
      <w:lvlJc w:val="left"/>
      <w:pPr>
        <w:ind w:left="2880" w:hanging="360"/>
      </w:pPr>
      <w:rPr>
        <w:rFonts w:ascii="Symbol" w:hAnsi="Symbol" w:hint="default"/>
      </w:rPr>
    </w:lvl>
    <w:lvl w:ilvl="4" w:tplc="835E426C">
      <w:start w:val="1"/>
      <w:numFmt w:val="bullet"/>
      <w:lvlText w:val="o"/>
      <w:lvlJc w:val="left"/>
      <w:pPr>
        <w:ind w:left="3600" w:hanging="360"/>
      </w:pPr>
      <w:rPr>
        <w:rFonts w:ascii="Courier New" w:hAnsi="Courier New" w:hint="default"/>
      </w:rPr>
    </w:lvl>
    <w:lvl w:ilvl="5" w:tplc="8AC4FF18">
      <w:start w:val="1"/>
      <w:numFmt w:val="bullet"/>
      <w:lvlText w:val=""/>
      <w:lvlJc w:val="left"/>
      <w:pPr>
        <w:ind w:left="4320" w:hanging="360"/>
      </w:pPr>
      <w:rPr>
        <w:rFonts w:ascii="Wingdings" w:hAnsi="Wingdings" w:hint="default"/>
      </w:rPr>
    </w:lvl>
    <w:lvl w:ilvl="6" w:tplc="F3745DE0">
      <w:start w:val="1"/>
      <w:numFmt w:val="bullet"/>
      <w:lvlText w:val=""/>
      <w:lvlJc w:val="left"/>
      <w:pPr>
        <w:ind w:left="5040" w:hanging="360"/>
      </w:pPr>
      <w:rPr>
        <w:rFonts w:ascii="Symbol" w:hAnsi="Symbol" w:hint="default"/>
      </w:rPr>
    </w:lvl>
    <w:lvl w:ilvl="7" w:tplc="BC84CD90">
      <w:start w:val="1"/>
      <w:numFmt w:val="bullet"/>
      <w:lvlText w:val="o"/>
      <w:lvlJc w:val="left"/>
      <w:pPr>
        <w:ind w:left="5760" w:hanging="360"/>
      </w:pPr>
      <w:rPr>
        <w:rFonts w:ascii="Courier New" w:hAnsi="Courier New" w:hint="default"/>
      </w:rPr>
    </w:lvl>
    <w:lvl w:ilvl="8" w:tplc="B418948A">
      <w:start w:val="1"/>
      <w:numFmt w:val="bullet"/>
      <w:lvlText w:val=""/>
      <w:lvlJc w:val="left"/>
      <w:pPr>
        <w:ind w:left="6480" w:hanging="360"/>
      </w:pPr>
      <w:rPr>
        <w:rFonts w:ascii="Wingdings" w:hAnsi="Wingdings" w:hint="default"/>
      </w:rPr>
    </w:lvl>
  </w:abstractNum>
  <w:abstractNum w:abstractNumId="48" w15:restartNumberingAfterBreak="0">
    <w:nsid w:val="27C27310"/>
    <w:multiLevelType w:val="multilevel"/>
    <w:tmpl w:val="14A07D5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85C7D04"/>
    <w:multiLevelType w:val="multilevel"/>
    <w:tmpl w:val="788E53A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8BD17F5"/>
    <w:multiLevelType w:val="hybridMultilevel"/>
    <w:tmpl w:val="6E3089F2"/>
    <w:lvl w:ilvl="0" w:tplc="6E24EB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1" w15:restartNumberingAfterBreak="0">
    <w:nsid w:val="29857FBA"/>
    <w:multiLevelType w:val="hybridMultilevel"/>
    <w:tmpl w:val="0526D434"/>
    <w:lvl w:ilvl="0" w:tplc="C9B23F44">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2" w15:restartNumberingAfterBreak="0">
    <w:nsid w:val="298A4C8A"/>
    <w:multiLevelType w:val="hybridMultilevel"/>
    <w:tmpl w:val="2D4623CC"/>
    <w:lvl w:ilvl="0" w:tplc="D8CCA47E">
      <w:start w:val="1"/>
      <w:numFmt w:val="bullet"/>
      <w:lvlText w:val="-"/>
      <w:lvlJc w:val="left"/>
      <w:pPr>
        <w:ind w:left="360" w:hanging="360"/>
      </w:pPr>
      <w:rPr>
        <w:rFonts w:ascii="Times New Roman" w:hAnsi="Times New Roman" w:cs="Times New Roman" w:hint="default"/>
      </w:rPr>
    </w:lvl>
    <w:lvl w:ilvl="1" w:tplc="18090003" w:tentative="1">
      <w:start w:val="1"/>
      <w:numFmt w:val="bullet"/>
      <w:lvlText w:val="o"/>
      <w:lvlJc w:val="left"/>
      <w:pPr>
        <w:ind w:left="371" w:hanging="360"/>
      </w:pPr>
      <w:rPr>
        <w:rFonts w:ascii="Courier New" w:hAnsi="Courier New" w:cs="Courier New" w:hint="default"/>
      </w:rPr>
    </w:lvl>
    <w:lvl w:ilvl="2" w:tplc="18090005" w:tentative="1">
      <w:start w:val="1"/>
      <w:numFmt w:val="bullet"/>
      <w:lvlText w:val=""/>
      <w:lvlJc w:val="left"/>
      <w:pPr>
        <w:ind w:left="1091" w:hanging="360"/>
      </w:pPr>
      <w:rPr>
        <w:rFonts w:ascii="Wingdings" w:hAnsi="Wingdings" w:hint="default"/>
      </w:rPr>
    </w:lvl>
    <w:lvl w:ilvl="3" w:tplc="18090001" w:tentative="1">
      <w:start w:val="1"/>
      <w:numFmt w:val="bullet"/>
      <w:lvlText w:val=""/>
      <w:lvlJc w:val="left"/>
      <w:pPr>
        <w:ind w:left="1811" w:hanging="360"/>
      </w:pPr>
      <w:rPr>
        <w:rFonts w:ascii="Symbol" w:hAnsi="Symbol" w:hint="default"/>
      </w:rPr>
    </w:lvl>
    <w:lvl w:ilvl="4" w:tplc="18090003" w:tentative="1">
      <w:start w:val="1"/>
      <w:numFmt w:val="bullet"/>
      <w:lvlText w:val="o"/>
      <w:lvlJc w:val="left"/>
      <w:pPr>
        <w:ind w:left="2531" w:hanging="360"/>
      </w:pPr>
      <w:rPr>
        <w:rFonts w:ascii="Courier New" w:hAnsi="Courier New" w:cs="Courier New" w:hint="default"/>
      </w:rPr>
    </w:lvl>
    <w:lvl w:ilvl="5" w:tplc="18090005" w:tentative="1">
      <w:start w:val="1"/>
      <w:numFmt w:val="bullet"/>
      <w:lvlText w:val=""/>
      <w:lvlJc w:val="left"/>
      <w:pPr>
        <w:ind w:left="3251" w:hanging="360"/>
      </w:pPr>
      <w:rPr>
        <w:rFonts w:ascii="Wingdings" w:hAnsi="Wingdings" w:hint="default"/>
      </w:rPr>
    </w:lvl>
    <w:lvl w:ilvl="6" w:tplc="18090001" w:tentative="1">
      <w:start w:val="1"/>
      <w:numFmt w:val="bullet"/>
      <w:lvlText w:val=""/>
      <w:lvlJc w:val="left"/>
      <w:pPr>
        <w:ind w:left="3971" w:hanging="360"/>
      </w:pPr>
      <w:rPr>
        <w:rFonts w:ascii="Symbol" w:hAnsi="Symbol" w:hint="default"/>
      </w:rPr>
    </w:lvl>
    <w:lvl w:ilvl="7" w:tplc="18090003" w:tentative="1">
      <w:start w:val="1"/>
      <w:numFmt w:val="bullet"/>
      <w:lvlText w:val="o"/>
      <w:lvlJc w:val="left"/>
      <w:pPr>
        <w:ind w:left="4691" w:hanging="360"/>
      </w:pPr>
      <w:rPr>
        <w:rFonts w:ascii="Courier New" w:hAnsi="Courier New" w:cs="Courier New" w:hint="default"/>
      </w:rPr>
    </w:lvl>
    <w:lvl w:ilvl="8" w:tplc="18090005" w:tentative="1">
      <w:start w:val="1"/>
      <w:numFmt w:val="bullet"/>
      <w:lvlText w:val=""/>
      <w:lvlJc w:val="left"/>
      <w:pPr>
        <w:ind w:left="5411" w:hanging="360"/>
      </w:pPr>
      <w:rPr>
        <w:rFonts w:ascii="Wingdings" w:hAnsi="Wingdings" w:hint="default"/>
      </w:rPr>
    </w:lvl>
  </w:abstractNum>
  <w:abstractNum w:abstractNumId="53" w15:restartNumberingAfterBreak="0">
    <w:nsid w:val="2A1379F2"/>
    <w:multiLevelType w:val="hybridMultilevel"/>
    <w:tmpl w:val="FFFFFFFF"/>
    <w:lvl w:ilvl="0" w:tplc="FB8CE01E">
      <w:start w:val="1"/>
      <w:numFmt w:val="lowerRoman"/>
      <w:lvlText w:val="%1."/>
      <w:lvlJc w:val="right"/>
      <w:pPr>
        <w:ind w:left="720" w:hanging="360"/>
      </w:pPr>
    </w:lvl>
    <w:lvl w:ilvl="1" w:tplc="7A8E242E">
      <w:start w:val="1"/>
      <w:numFmt w:val="lowerLetter"/>
      <w:lvlText w:val="%2."/>
      <w:lvlJc w:val="left"/>
      <w:pPr>
        <w:ind w:left="1440" w:hanging="360"/>
      </w:pPr>
    </w:lvl>
    <w:lvl w:ilvl="2" w:tplc="7B784084">
      <w:start w:val="1"/>
      <w:numFmt w:val="lowerRoman"/>
      <w:lvlText w:val="%3."/>
      <w:lvlJc w:val="right"/>
      <w:pPr>
        <w:ind w:left="2160" w:hanging="180"/>
      </w:pPr>
    </w:lvl>
    <w:lvl w:ilvl="3" w:tplc="6D54AFC8">
      <w:start w:val="1"/>
      <w:numFmt w:val="decimal"/>
      <w:lvlText w:val="%4."/>
      <w:lvlJc w:val="left"/>
      <w:pPr>
        <w:ind w:left="2880" w:hanging="360"/>
      </w:pPr>
    </w:lvl>
    <w:lvl w:ilvl="4" w:tplc="2728A924">
      <w:start w:val="1"/>
      <w:numFmt w:val="lowerLetter"/>
      <w:lvlText w:val="%5."/>
      <w:lvlJc w:val="left"/>
      <w:pPr>
        <w:ind w:left="3600" w:hanging="360"/>
      </w:pPr>
    </w:lvl>
    <w:lvl w:ilvl="5" w:tplc="6AE40ED8">
      <w:start w:val="1"/>
      <w:numFmt w:val="lowerRoman"/>
      <w:lvlText w:val="%6."/>
      <w:lvlJc w:val="right"/>
      <w:pPr>
        <w:ind w:left="4320" w:hanging="180"/>
      </w:pPr>
    </w:lvl>
    <w:lvl w:ilvl="6" w:tplc="B48873E0">
      <w:start w:val="1"/>
      <w:numFmt w:val="decimal"/>
      <w:lvlText w:val="%7."/>
      <w:lvlJc w:val="left"/>
      <w:pPr>
        <w:ind w:left="5040" w:hanging="360"/>
      </w:pPr>
    </w:lvl>
    <w:lvl w:ilvl="7" w:tplc="D27202C2">
      <w:start w:val="1"/>
      <w:numFmt w:val="lowerLetter"/>
      <w:lvlText w:val="%8."/>
      <w:lvlJc w:val="left"/>
      <w:pPr>
        <w:ind w:left="5760" w:hanging="360"/>
      </w:pPr>
    </w:lvl>
    <w:lvl w:ilvl="8" w:tplc="1F0C88F6">
      <w:start w:val="1"/>
      <w:numFmt w:val="lowerRoman"/>
      <w:lvlText w:val="%9."/>
      <w:lvlJc w:val="right"/>
      <w:pPr>
        <w:ind w:left="6480" w:hanging="180"/>
      </w:pPr>
    </w:lvl>
  </w:abstractNum>
  <w:abstractNum w:abstractNumId="54" w15:restartNumberingAfterBreak="0">
    <w:nsid w:val="2A92660E"/>
    <w:multiLevelType w:val="hybridMultilevel"/>
    <w:tmpl w:val="E50C9DBA"/>
    <w:lvl w:ilvl="0" w:tplc="BCAC91D2">
      <w:numFmt w:val="bullet"/>
      <w:lvlText w:val="-"/>
      <w:lvlJc w:val="left"/>
      <w:pPr>
        <w:ind w:left="720" w:hanging="360"/>
      </w:pPr>
      <w:rPr>
        <w:rFonts w:ascii="Calibri" w:hAnsi="Calibri" w:hint="default"/>
      </w:rPr>
    </w:lvl>
    <w:lvl w:ilvl="1" w:tplc="97B44F9C">
      <w:start w:val="1"/>
      <w:numFmt w:val="bullet"/>
      <w:lvlText w:val="o"/>
      <w:lvlJc w:val="left"/>
      <w:pPr>
        <w:ind w:left="1440" w:hanging="360"/>
      </w:pPr>
      <w:rPr>
        <w:rFonts w:ascii="Courier New" w:hAnsi="Courier New" w:hint="default"/>
      </w:rPr>
    </w:lvl>
    <w:lvl w:ilvl="2" w:tplc="79A880CC">
      <w:start w:val="1"/>
      <w:numFmt w:val="bullet"/>
      <w:lvlText w:val=""/>
      <w:lvlJc w:val="left"/>
      <w:pPr>
        <w:ind w:left="2160" w:hanging="360"/>
      </w:pPr>
      <w:rPr>
        <w:rFonts w:ascii="Wingdings" w:hAnsi="Wingdings" w:hint="default"/>
      </w:rPr>
    </w:lvl>
    <w:lvl w:ilvl="3" w:tplc="9A80CFE2">
      <w:start w:val="1"/>
      <w:numFmt w:val="bullet"/>
      <w:lvlText w:val=""/>
      <w:lvlJc w:val="left"/>
      <w:pPr>
        <w:ind w:left="2880" w:hanging="360"/>
      </w:pPr>
      <w:rPr>
        <w:rFonts w:ascii="Symbol" w:hAnsi="Symbol" w:hint="default"/>
      </w:rPr>
    </w:lvl>
    <w:lvl w:ilvl="4" w:tplc="CB983B8A">
      <w:start w:val="1"/>
      <w:numFmt w:val="bullet"/>
      <w:lvlText w:val="o"/>
      <w:lvlJc w:val="left"/>
      <w:pPr>
        <w:ind w:left="3600" w:hanging="360"/>
      </w:pPr>
      <w:rPr>
        <w:rFonts w:ascii="Courier New" w:hAnsi="Courier New" w:hint="default"/>
      </w:rPr>
    </w:lvl>
    <w:lvl w:ilvl="5" w:tplc="7C3A297C">
      <w:start w:val="1"/>
      <w:numFmt w:val="bullet"/>
      <w:lvlText w:val=""/>
      <w:lvlJc w:val="left"/>
      <w:pPr>
        <w:ind w:left="4320" w:hanging="360"/>
      </w:pPr>
      <w:rPr>
        <w:rFonts w:ascii="Wingdings" w:hAnsi="Wingdings" w:hint="default"/>
      </w:rPr>
    </w:lvl>
    <w:lvl w:ilvl="6" w:tplc="CA804ED0">
      <w:start w:val="1"/>
      <w:numFmt w:val="bullet"/>
      <w:lvlText w:val=""/>
      <w:lvlJc w:val="left"/>
      <w:pPr>
        <w:ind w:left="5040" w:hanging="360"/>
      </w:pPr>
      <w:rPr>
        <w:rFonts w:ascii="Symbol" w:hAnsi="Symbol" w:hint="default"/>
      </w:rPr>
    </w:lvl>
    <w:lvl w:ilvl="7" w:tplc="F2762A04">
      <w:start w:val="1"/>
      <w:numFmt w:val="bullet"/>
      <w:lvlText w:val="o"/>
      <w:lvlJc w:val="left"/>
      <w:pPr>
        <w:ind w:left="5760" w:hanging="360"/>
      </w:pPr>
      <w:rPr>
        <w:rFonts w:ascii="Courier New" w:hAnsi="Courier New" w:hint="default"/>
      </w:rPr>
    </w:lvl>
    <w:lvl w:ilvl="8" w:tplc="35EAA85C">
      <w:start w:val="1"/>
      <w:numFmt w:val="bullet"/>
      <w:lvlText w:val=""/>
      <w:lvlJc w:val="left"/>
      <w:pPr>
        <w:ind w:left="6480" w:hanging="360"/>
      </w:pPr>
      <w:rPr>
        <w:rFonts w:ascii="Wingdings" w:hAnsi="Wingdings" w:hint="default"/>
      </w:rPr>
    </w:lvl>
  </w:abstractNum>
  <w:abstractNum w:abstractNumId="55" w15:restartNumberingAfterBreak="0">
    <w:nsid w:val="2AAA6B98"/>
    <w:multiLevelType w:val="multilevel"/>
    <w:tmpl w:val="5CDAAE0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B436764"/>
    <w:multiLevelType w:val="hybridMultilevel"/>
    <w:tmpl w:val="8DE88880"/>
    <w:lvl w:ilvl="0" w:tplc="D83292C0">
      <w:start w:val="1"/>
      <w:numFmt w:val="bullet"/>
      <w:lvlText w:val="-"/>
      <w:lvlJc w:val="left"/>
      <w:pPr>
        <w:ind w:left="360" w:hanging="360"/>
      </w:pPr>
      <w:rPr>
        <w:rFonts w:ascii="Times" w:hAnsi="Times" w:hint="default"/>
      </w:rPr>
    </w:lvl>
    <w:lvl w:ilvl="1" w:tplc="7E78348C">
      <w:start w:val="1"/>
      <w:numFmt w:val="bullet"/>
      <w:lvlText w:val="o"/>
      <w:lvlJc w:val="left"/>
      <w:pPr>
        <w:ind w:left="2149" w:hanging="360"/>
      </w:pPr>
      <w:rPr>
        <w:rFonts w:ascii="Courier New" w:hAnsi="Courier New" w:hint="default"/>
      </w:rPr>
    </w:lvl>
    <w:lvl w:ilvl="2" w:tplc="432AF8A6">
      <w:start w:val="1"/>
      <w:numFmt w:val="bullet"/>
      <w:lvlText w:val=""/>
      <w:lvlJc w:val="left"/>
      <w:pPr>
        <w:ind w:left="2869" w:hanging="360"/>
      </w:pPr>
      <w:rPr>
        <w:rFonts w:ascii="Wingdings" w:hAnsi="Wingdings" w:hint="default"/>
      </w:rPr>
    </w:lvl>
    <w:lvl w:ilvl="3" w:tplc="82CE792C">
      <w:start w:val="1"/>
      <w:numFmt w:val="bullet"/>
      <w:lvlText w:val=""/>
      <w:lvlJc w:val="left"/>
      <w:pPr>
        <w:ind w:left="3589" w:hanging="360"/>
      </w:pPr>
      <w:rPr>
        <w:rFonts w:ascii="Symbol" w:hAnsi="Symbol" w:hint="default"/>
      </w:rPr>
    </w:lvl>
    <w:lvl w:ilvl="4" w:tplc="21E0FDFE">
      <w:start w:val="1"/>
      <w:numFmt w:val="bullet"/>
      <w:lvlText w:val="o"/>
      <w:lvlJc w:val="left"/>
      <w:pPr>
        <w:ind w:left="4309" w:hanging="360"/>
      </w:pPr>
      <w:rPr>
        <w:rFonts w:ascii="Courier New" w:hAnsi="Courier New" w:hint="default"/>
      </w:rPr>
    </w:lvl>
    <w:lvl w:ilvl="5" w:tplc="9E0E093A">
      <w:start w:val="1"/>
      <w:numFmt w:val="bullet"/>
      <w:lvlText w:val=""/>
      <w:lvlJc w:val="left"/>
      <w:pPr>
        <w:ind w:left="5029" w:hanging="360"/>
      </w:pPr>
      <w:rPr>
        <w:rFonts w:ascii="Wingdings" w:hAnsi="Wingdings" w:hint="default"/>
      </w:rPr>
    </w:lvl>
    <w:lvl w:ilvl="6" w:tplc="72E07D7A">
      <w:start w:val="1"/>
      <w:numFmt w:val="bullet"/>
      <w:lvlText w:val=""/>
      <w:lvlJc w:val="left"/>
      <w:pPr>
        <w:ind w:left="5749" w:hanging="360"/>
      </w:pPr>
      <w:rPr>
        <w:rFonts w:ascii="Symbol" w:hAnsi="Symbol" w:hint="default"/>
      </w:rPr>
    </w:lvl>
    <w:lvl w:ilvl="7" w:tplc="2288421C">
      <w:start w:val="1"/>
      <w:numFmt w:val="bullet"/>
      <w:lvlText w:val="o"/>
      <w:lvlJc w:val="left"/>
      <w:pPr>
        <w:ind w:left="6469" w:hanging="360"/>
      </w:pPr>
      <w:rPr>
        <w:rFonts w:ascii="Courier New" w:hAnsi="Courier New" w:hint="default"/>
      </w:rPr>
    </w:lvl>
    <w:lvl w:ilvl="8" w:tplc="9F3082AC">
      <w:start w:val="1"/>
      <w:numFmt w:val="bullet"/>
      <w:lvlText w:val=""/>
      <w:lvlJc w:val="left"/>
      <w:pPr>
        <w:ind w:left="7189" w:hanging="360"/>
      </w:pPr>
      <w:rPr>
        <w:rFonts w:ascii="Wingdings" w:hAnsi="Wingdings" w:hint="default"/>
      </w:rPr>
    </w:lvl>
  </w:abstractNum>
  <w:abstractNum w:abstractNumId="57" w15:restartNumberingAfterBreak="0">
    <w:nsid w:val="2CE9221F"/>
    <w:multiLevelType w:val="singleLevel"/>
    <w:tmpl w:val="9B4AFB48"/>
    <w:name w:val="Tiret 3"/>
    <w:lvl w:ilvl="0">
      <w:start w:val="1"/>
      <w:numFmt w:val="bullet"/>
      <w:pStyle w:val="Tiret3"/>
      <w:lvlText w:val="–"/>
      <w:lvlJc w:val="left"/>
      <w:pPr>
        <w:tabs>
          <w:tab w:val="num" w:pos="2551"/>
        </w:tabs>
        <w:ind w:left="2551" w:hanging="567"/>
      </w:pPr>
    </w:lvl>
  </w:abstractNum>
  <w:abstractNum w:abstractNumId="58" w15:restartNumberingAfterBreak="0">
    <w:nsid w:val="2D7B7DD8"/>
    <w:multiLevelType w:val="hybridMultilevel"/>
    <w:tmpl w:val="B1C8EDC6"/>
    <w:lvl w:ilvl="0" w:tplc="A7A05992">
      <w:start w:val="1"/>
      <w:numFmt w:val="lowerRoman"/>
      <w:lvlText w:val="%1."/>
      <w:lvlJc w:val="right"/>
      <w:pPr>
        <w:ind w:left="1200" w:hanging="360"/>
      </w:pPr>
    </w:lvl>
    <w:lvl w:ilvl="1" w:tplc="AB5209EE">
      <w:start w:val="1"/>
      <w:numFmt w:val="bullet"/>
      <w:lvlText w:val="o"/>
      <w:lvlJc w:val="left"/>
      <w:pPr>
        <w:ind w:left="1920" w:hanging="360"/>
      </w:pPr>
      <w:rPr>
        <w:rFonts w:ascii="Courier New" w:hAnsi="Courier New" w:hint="default"/>
      </w:rPr>
    </w:lvl>
    <w:lvl w:ilvl="2" w:tplc="5BB4A0EA">
      <w:start w:val="1"/>
      <w:numFmt w:val="bullet"/>
      <w:lvlText w:val=""/>
      <w:lvlJc w:val="left"/>
      <w:pPr>
        <w:ind w:left="2640" w:hanging="360"/>
      </w:pPr>
      <w:rPr>
        <w:rFonts w:ascii="Wingdings" w:hAnsi="Wingdings" w:hint="default"/>
      </w:rPr>
    </w:lvl>
    <w:lvl w:ilvl="3" w:tplc="E3DC026C">
      <w:start w:val="1"/>
      <w:numFmt w:val="bullet"/>
      <w:lvlText w:val=""/>
      <w:lvlJc w:val="left"/>
      <w:pPr>
        <w:ind w:left="3360" w:hanging="360"/>
      </w:pPr>
      <w:rPr>
        <w:rFonts w:ascii="Symbol" w:hAnsi="Symbol" w:hint="default"/>
      </w:rPr>
    </w:lvl>
    <w:lvl w:ilvl="4" w:tplc="67B87DA6">
      <w:start w:val="1"/>
      <w:numFmt w:val="bullet"/>
      <w:lvlText w:val="o"/>
      <w:lvlJc w:val="left"/>
      <w:pPr>
        <w:ind w:left="4080" w:hanging="360"/>
      </w:pPr>
      <w:rPr>
        <w:rFonts w:ascii="Courier New" w:hAnsi="Courier New" w:hint="default"/>
      </w:rPr>
    </w:lvl>
    <w:lvl w:ilvl="5" w:tplc="E79866D6">
      <w:start w:val="1"/>
      <w:numFmt w:val="bullet"/>
      <w:lvlText w:val=""/>
      <w:lvlJc w:val="left"/>
      <w:pPr>
        <w:ind w:left="4800" w:hanging="360"/>
      </w:pPr>
      <w:rPr>
        <w:rFonts w:ascii="Wingdings" w:hAnsi="Wingdings" w:hint="default"/>
      </w:rPr>
    </w:lvl>
    <w:lvl w:ilvl="6" w:tplc="8BFE256E">
      <w:start w:val="1"/>
      <w:numFmt w:val="bullet"/>
      <w:lvlText w:val=""/>
      <w:lvlJc w:val="left"/>
      <w:pPr>
        <w:ind w:left="5520" w:hanging="360"/>
      </w:pPr>
      <w:rPr>
        <w:rFonts w:ascii="Symbol" w:hAnsi="Symbol" w:hint="default"/>
      </w:rPr>
    </w:lvl>
    <w:lvl w:ilvl="7" w:tplc="75CC83D6">
      <w:start w:val="1"/>
      <w:numFmt w:val="bullet"/>
      <w:lvlText w:val="o"/>
      <w:lvlJc w:val="left"/>
      <w:pPr>
        <w:ind w:left="6240" w:hanging="360"/>
      </w:pPr>
      <w:rPr>
        <w:rFonts w:ascii="Courier New" w:hAnsi="Courier New" w:hint="default"/>
      </w:rPr>
    </w:lvl>
    <w:lvl w:ilvl="8" w:tplc="3F04D57E">
      <w:start w:val="1"/>
      <w:numFmt w:val="bullet"/>
      <w:lvlText w:val=""/>
      <w:lvlJc w:val="left"/>
      <w:pPr>
        <w:ind w:left="6960" w:hanging="360"/>
      </w:pPr>
      <w:rPr>
        <w:rFonts w:ascii="Wingdings" w:hAnsi="Wingdings" w:hint="default"/>
      </w:rPr>
    </w:lvl>
  </w:abstractNum>
  <w:abstractNum w:abstractNumId="59" w15:restartNumberingAfterBreak="0">
    <w:nsid w:val="2DD20726"/>
    <w:multiLevelType w:val="multilevel"/>
    <w:tmpl w:val="4E9AF61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ECB60E5"/>
    <w:multiLevelType w:val="hybridMultilevel"/>
    <w:tmpl w:val="CCCE8B74"/>
    <w:lvl w:ilvl="0" w:tplc="04100011">
      <w:start w:val="1"/>
      <w:numFmt w:val="decimal"/>
      <w:lvlText w:val="%1)"/>
      <w:lvlJc w:val="left"/>
      <w:pPr>
        <w:ind w:left="72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300562D1"/>
    <w:multiLevelType w:val="hybridMultilevel"/>
    <w:tmpl w:val="59FC8DF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2" w15:restartNumberingAfterBreak="0">
    <w:nsid w:val="30A44BF3"/>
    <w:multiLevelType w:val="multilevel"/>
    <w:tmpl w:val="282C6B7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1FA11EB"/>
    <w:multiLevelType w:val="singleLevel"/>
    <w:tmpl w:val="3E140CA2"/>
    <w:styleLink w:val="Stileimportato9"/>
    <w:lvl w:ilvl="0">
      <w:start w:val="1"/>
      <w:numFmt w:val="decimal"/>
      <w:lvlText w:val="%1."/>
      <w:lvlJc w:val="left"/>
      <w:pPr>
        <w:tabs>
          <w:tab w:val="num" w:pos="1209"/>
        </w:tabs>
        <w:ind w:left="1209" w:hanging="360"/>
      </w:pPr>
    </w:lvl>
  </w:abstractNum>
  <w:abstractNum w:abstractNumId="64" w15:restartNumberingAfterBreak="0">
    <w:nsid w:val="3362703C"/>
    <w:multiLevelType w:val="multilevel"/>
    <w:tmpl w:val="01C4075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34B4179E"/>
    <w:multiLevelType w:val="hybridMultilevel"/>
    <w:tmpl w:val="B08A5420"/>
    <w:lvl w:ilvl="0" w:tplc="D4123CE4">
      <w:numFmt w:val="bullet"/>
      <w:lvlText w:val="-"/>
      <w:lvlJc w:val="left"/>
      <w:pPr>
        <w:ind w:left="720" w:hanging="360"/>
      </w:pPr>
      <w:rPr>
        <w:rFonts w:ascii="Times New Roman" w:hAnsi="Times New Roman" w:hint="default"/>
      </w:rPr>
    </w:lvl>
    <w:lvl w:ilvl="1" w:tplc="7D1E4522">
      <w:start w:val="1"/>
      <w:numFmt w:val="bullet"/>
      <w:lvlText w:val="o"/>
      <w:lvlJc w:val="left"/>
      <w:pPr>
        <w:ind w:left="1440" w:hanging="360"/>
      </w:pPr>
      <w:rPr>
        <w:rFonts w:ascii="Courier New" w:hAnsi="Courier New" w:hint="default"/>
      </w:rPr>
    </w:lvl>
    <w:lvl w:ilvl="2" w:tplc="7B922D4E">
      <w:start w:val="1"/>
      <w:numFmt w:val="bullet"/>
      <w:lvlText w:val=""/>
      <w:lvlJc w:val="left"/>
      <w:pPr>
        <w:ind w:left="2160" w:hanging="360"/>
      </w:pPr>
      <w:rPr>
        <w:rFonts w:ascii="Wingdings" w:hAnsi="Wingdings" w:hint="default"/>
      </w:rPr>
    </w:lvl>
    <w:lvl w:ilvl="3" w:tplc="60CE2C1A">
      <w:start w:val="1"/>
      <w:numFmt w:val="bullet"/>
      <w:lvlText w:val=""/>
      <w:lvlJc w:val="left"/>
      <w:pPr>
        <w:ind w:left="720" w:hanging="360"/>
      </w:pPr>
      <w:rPr>
        <w:rFonts w:ascii="Symbol" w:hAnsi="Symbol" w:hint="default"/>
      </w:rPr>
    </w:lvl>
    <w:lvl w:ilvl="4" w:tplc="35EAD8CA">
      <w:start w:val="1"/>
      <w:numFmt w:val="bullet"/>
      <w:lvlText w:val="o"/>
      <w:lvlJc w:val="left"/>
      <w:pPr>
        <w:ind w:left="3600" w:hanging="360"/>
      </w:pPr>
      <w:rPr>
        <w:rFonts w:ascii="Courier New" w:hAnsi="Courier New" w:hint="default"/>
      </w:rPr>
    </w:lvl>
    <w:lvl w:ilvl="5" w:tplc="5B5C5EE0">
      <w:start w:val="1"/>
      <w:numFmt w:val="bullet"/>
      <w:lvlText w:val=""/>
      <w:lvlJc w:val="left"/>
      <w:pPr>
        <w:ind w:left="4320" w:hanging="360"/>
      </w:pPr>
      <w:rPr>
        <w:rFonts w:ascii="Wingdings" w:hAnsi="Wingdings" w:hint="default"/>
      </w:rPr>
    </w:lvl>
    <w:lvl w:ilvl="6" w:tplc="4B36AAD2">
      <w:start w:val="1"/>
      <w:numFmt w:val="bullet"/>
      <w:lvlText w:val=""/>
      <w:lvlJc w:val="left"/>
      <w:pPr>
        <w:ind w:left="5040" w:hanging="360"/>
      </w:pPr>
      <w:rPr>
        <w:rFonts w:ascii="Symbol" w:hAnsi="Symbol" w:hint="default"/>
      </w:rPr>
    </w:lvl>
    <w:lvl w:ilvl="7" w:tplc="AF340274">
      <w:start w:val="1"/>
      <w:numFmt w:val="bullet"/>
      <w:lvlText w:val="o"/>
      <w:lvlJc w:val="left"/>
      <w:pPr>
        <w:ind w:left="5760" w:hanging="360"/>
      </w:pPr>
      <w:rPr>
        <w:rFonts w:ascii="Courier New" w:hAnsi="Courier New" w:hint="default"/>
      </w:rPr>
    </w:lvl>
    <w:lvl w:ilvl="8" w:tplc="65780F62">
      <w:start w:val="1"/>
      <w:numFmt w:val="bullet"/>
      <w:lvlText w:val=""/>
      <w:lvlJc w:val="left"/>
      <w:pPr>
        <w:ind w:left="6480" w:hanging="360"/>
      </w:pPr>
      <w:rPr>
        <w:rFonts w:ascii="Wingdings" w:hAnsi="Wingdings" w:hint="default"/>
      </w:rPr>
    </w:lvl>
  </w:abstractNum>
  <w:abstractNum w:abstractNumId="66" w15:restartNumberingAfterBreak="0">
    <w:nsid w:val="35052DDB"/>
    <w:multiLevelType w:val="multilevel"/>
    <w:tmpl w:val="7E08834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56518DC"/>
    <w:multiLevelType w:val="multilevel"/>
    <w:tmpl w:val="C5A040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5F535D1"/>
    <w:multiLevelType w:val="multilevel"/>
    <w:tmpl w:val="C11E24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72537F3"/>
    <w:multiLevelType w:val="hybridMultilevel"/>
    <w:tmpl w:val="3E14E07E"/>
    <w:lvl w:ilvl="0" w:tplc="8EBEB170">
      <w:start w:val="1"/>
      <w:numFmt w:val="decimal"/>
      <w:lvlText w:val="%1."/>
      <w:lvlJc w:val="left"/>
      <w:pPr>
        <w:ind w:left="720" w:hanging="360"/>
      </w:pPr>
    </w:lvl>
    <w:lvl w:ilvl="1" w:tplc="18090019">
      <w:start w:val="1"/>
      <w:numFmt w:val="lowerLetter"/>
      <w:lvlText w:val="%2."/>
      <w:lvlJc w:val="left"/>
      <w:pPr>
        <w:ind w:left="-720" w:hanging="360"/>
      </w:pPr>
    </w:lvl>
    <w:lvl w:ilvl="2" w:tplc="1809001B">
      <w:start w:val="1"/>
      <w:numFmt w:val="lowerRoman"/>
      <w:lvlText w:val="%3."/>
      <w:lvlJc w:val="right"/>
      <w:pPr>
        <w:ind w:left="0" w:hanging="180"/>
      </w:pPr>
    </w:lvl>
    <w:lvl w:ilvl="3" w:tplc="1809000F">
      <w:start w:val="1"/>
      <w:numFmt w:val="decimal"/>
      <w:lvlText w:val="%4."/>
      <w:lvlJc w:val="left"/>
      <w:pPr>
        <w:ind w:left="720" w:hanging="360"/>
      </w:pPr>
    </w:lvl>
    <w:lvl w:ilvl="4" w:tplc="18090019">
      <w:start w:val="1"/>
      <w:numFmt w:val="lowerLetter"/>
      <w:lvlText w:val="%5."/>
      <w:lvlJc w:val="left"/>
      <w:pPr>
        <w:ind w:left="1440" w:hanging="360"/>
      </w:pPr>
    </w:lvl>
    <w:lvl w:ilvl="5" w:tplc="1809001B">
      <w:start w:val="1"/>
      <w:numFmt w:val="lowerRoman"/>
      <w:lvlText w:val="%6."/>
      <w:lvlJc w:val="right"/>
      <w:pPr>
        <w:ind w:left="2160" w:hanging="180"/>
      </w:pPr>
    </w:lvl>
    <w:lvl w:ilvl="6" w:tplc="1809000F">
      <w:start w:val="1"/>
      <w:numFmt w:val="decimal"/>
      <w:lvlText w:val="%7."/>
      <w:lvlJc w:val="left"/>
      <w:pPr>
        <w:ind w:left="2880" w:hanging="360"/>
      </w:pPr>
    </w:lvl>
    <w:lvl w:ilvl="7" w:tplc="18090019">
      <w:start w:val="1"/>
      <w:numFmt w:val="lowerLetter"/>
      <w:lvlText w:val="%8."/>
      <w:lvlJc w:val="left"/>
      <w:pPr>
        <w:ind w:left="3600" w:hanging="360"/>
      </w:pPr>
    </w:lvl>
    <w:lvl w:ilvl="8" w:tplc="1809001B">
      <w:start w:val="1"/>
      <w:numFmt w:val="lowerRoman"/>
      <w:lvlText w:val="%9."/>
      <w:lvlJc w:val="right"/>
      <w:pPr>
        <w:ind w:left="4320" w:hanging="180"/>
      </w:pPr>
    </w:lvl>
  </w:abstractNum>
  <w:abstractNum w:abstractNumId="70" w15:restartNumberingAfterBreak="0">
    <w:nsid w:val="3758C3CB"/>
    <w:multiLevelType w:val="hybridMultilevel"/>
    <w:tmpl w:val="4DFC13A4"/>
    <w:lvl w:ilvl="0" w:tplc="BA84E760">
      <w:start w:val="1"/>
      <w:numFmt w:val="bullet"/>
      <w:lvlText w:val=""/>
      <w:lvlJc w:val="left"/>
      <w:pPr>
        <w:ind w:left="720" w:hanging="360"/>
      </w:pPr>
      <w:rPr>
        <w:rFonts w:ascii="Symbol" w:hAnsi="Symbol" w:hint="default"/>
      </w:rPr>
    </w:lvl>
    <w:lvl w:ilvl="1" w:tplc="ED1A8E8E">
      <w:start w:val="1"/>
      <w:numFmt w:val="bullet"/>
      <w:lvlText w:val="o"/>
      <w:lvlJc w:val="left"/>
      <w:pPr>
        <w:ind w:left="1440" w:hanging="360"/>
      </w:pPr>
      <w:rPr>
        <w:rFonts w:ascii="Courier New" w:hAnsi="Courier New" w:hint="default"/>
      </w:rPr>
    </w:lvl>
    <w:lvl w:ilvl="2" w:tplc="67B85CAA">
      <w:start w:val="1"/>
      <w:numFmt w:val="bullet"/>
      <w:lvlText w:val=""/>
      <w:lvlJc w:val="left"/>
      <w:pPr>
        <w:ind w:left="2160" w:hanging="360"/>
      </w:pPr>
      <w:rPr>
        <w:rFonts w:ascii="Wingdings" w:hAnsi="Wingdings" w:hint="default"/>
      </w:rPr>
    </w:lvl>
    <w:lvl w:ilvl="3" w:tplc="39DE89E6">
      <w:start w:val="1"/>
      <w:numFmt w:val="bullet"/>
      <w:lvlText w:val=""/>
      <w:lvlJc w:val="left"/>
      <w:pPr>
        <w:ind w:left="2880" w:hanging="360"/>
      </w:pPr>
      <w:rPr>
        <w:rFonts w:ascii="Symbol" w:hAnsi="Symbol" w:hint="default"/>
      </w:rPr>
    </w:lvl>
    <w:lvl w:ilvl="4" w:tplc="D560473C">
      <w:start w:val="1"/>
      <w:numFmt w:val="bullet"/>
      <w:lvlText w:val="o"/>
      <w:lvlJc w:val="left"/>
      <w:pPr>
        <w:ind w:left="3600" w:hanging="360"/>
      </w:pPr>
      <w:rPr>
        <w:rFonts w:ascii="Courier New" w:hAnsi="Courier New" w:hint="default"/>
      </w:rPr>
    </w:lvl>
    <w:lvl w:ilvl="5" w:tplc="5ACE0484">
      <w:start w:val="1"/>
      <w:numFmt w:val="bullet"/>
      <w:lvlText w:val=""/>
      <w:lvlJc w:val="left"/>
      <w:pPr>
        <w:ind w:left="4320" w:hanging="360"/>
      </w:pPr>
      <w:rPr>
        <w:rFonts w:ascii="Wingdings" w:hAnsi="Wingdings" w:hint="default"/>
      </w:rPr>
    </w:lvl>
    <w:lvl w:ilvl="6" w:tplc="8E560066">
      <w:start w:val="1"/>
      <w:numFmt w:val="bullet"/>
      <w:lvlText w:val=""/>
      <w:lvlJc w:val="left"/>
      <w:pPr>
        <w:ind w:left="5040" w:hanging="360"/>
      </w:pPr>
      <w:rPr>
        <w:rFonts w:ascii="Symbol" w:hAnsi="Symbol" w:hint="default"/>
      </w:rPr>
    </w:lvl>
    <w:lvl w:ilvl="7" w:tplc="8D743554">
      <w:start w:val="1"/>
      <w:numFmt w:val="bullet"/>
      <w:lvlText w:val="o"/>
      <w:lvlJc w:val="left"/>
      <w:pPr>
        <w:ind w:left="5760" w:hanging="360"/>
      </w:pPr>
      <w:rPr>
        <w:rFonts w:ascii="Courier New" w:hAnsi="Courier New" w:hint="default"/>
      </w:rPr>
    </w:lvl>
    <w:lvl w:ilvl="8" w:tplc="40A0AD42">
      <w:start w:val="1"/>
      <w:numFmt w:val="bullet"/>
      <w:lvlText w:val=""/>
      <w:lvlJc w:val="left"/>
      <w:pPr>
        <w:ind w:left="6480" w:hanging="360"/>
      </w:pPr>
      <w:rPr>
        <w:rFonts w:ascii="Wingdings" w:hAnsi="Wingdings" w:hint="default"/>
      </w:rPr>
    </w:lvl>
  </w:abstractNum>
  <w:abstractNum w:abstractNumId="71" w15:restartNumberingAfterBreak="0">
    <w:nsid w:val="388A35A8"/>
    <w:multiLevelType w:val="multilevel"/>
    <w:tmpl w:val="367477D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39135ED7"/>
    <w:multiLevelType w:val="multilevel"/>
    <w:tmpl w:val="9DAAF18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B0034E6"/>
    <w:multiLevelType w:val="hybridMultilevel"/>
    <w:tmpl w:val="27508D34"/>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74" w15:restartNumberingAfterBreak="0">
    <w:nsid w:val="3CDC02B7"/>
    <w:multiLevelType w:val="multilevel"/>
    <w:tmpl w:val="A41AE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CEA2929"/>
    <w:multiLevelType w:val="multilevel"/>
    <w:tmpl w:val="ACAEFF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DF2400B"/>
    <w:multiLevelType w:val="hybridMultilevel"/>
    <w:tmpl w:val="6AE078CE"/>
    <w:lvl w:ilvl="0" w:tplc="EFFAF4EA">
      <w:start w:val="1"/>
      <w:numFmt w:val="decimal"/>
      <w:lvlText w:val="%1."/>
      <w:lvlJc w:val="left"/>
      <w:pPr>
        <w:ind w:left="720" w:hanging="360"/>
      </w:pPr>
    </w:lvl>
    <w:lvl w:ilvl="1" w:tplc="51EC3BF0">
      <w:start w:val="1"/>
      <w:numFmt w:val="lowerLetter"/>
      <w:lvlText w:val="%2."/>
      <w:lvlJc w:val="left"/>
      <w:pPr>
        <w:ind w:left="1440" w:hanging="360"/>
      </w:pPr>
    </w:lvl>
    <w:lvl w:ilvl="2" w:tplc="E40890F6">
      <w:start w:val="1"/>
      <w:numFmt w:val="lowerRoman"/>
      <w:lvlText w:val="%3."/>
      <w:lvlJc w:val="right"/>
      <w:pPr>
        <w:ind w:left="2160" w:hanging="180"/>
      </w:pPr>
    </w:lvl>
    <w:lvl w:ilvl="3" w:tplc="9FA276BA">
      <w:start w:val="1"/>
      <w:numFmt w:val="decimal"/>
      <w:lvlText w:val="%4."/>
      <w:lvlJc w:val="left"/>
      <w:pPr>
        <w:ind w:left="2880" w:hanging="360"/>
      </w:pPr>
    </w:lvl>
    <w:lvl w:ilvl="4" w:tplc="3FAC320E">
      <w:start w:val="1"/>
      <w:numFmt w:val="lowerLetter"/>
      <w:lvlText w:val="%5."/>
      <w:lvlJc w:val="left"/>
      <w:pPr>
        <w:ind w:left="3600" w:hanging="360"/>
      </w:pPr>
    </w:lvl>
    <w:lvl w:ilvl="5" w:tplc="A17A4636">
      <w:start w:val="1"/>
      <w:numFmt w:val="lowerRoman"/>
      <w:lvlText w:val="%6."/>
      <w:lvlJc w:val="right"/>
      <w:pPr>
        <w:ind w:left="4320" w:hanging="180"/>
      </w:pPr>
    </w:lvl>
    <w:lvl w:ilvl="6" w:tplc="06542920">
      <w:start w:val="1"/>
      <w:numFmt w:val="decimal"/>
      <w:lvlText w:val="%7."/>
      <w:lvlJc w:val="left"/>
      <w:pPr>
        <w:ind w:left="5040" w:hanging="360"/>
      </w:pPr>
    </w:lvl>
    <w:lvl w:ilvl="7" w:tplc="38265764">
      <w:start w:val="1"/>
      <w:numFmt w:val="lowerLetter"/>
      <w:lvlText w:val="%8."/>
      <w:lvlJc w:val="left"/>
      <w:pPr>
        <w:ind w:left="5760" w:hanging="360"/>
      </w:pPr>
    </w:lvl>
    <w:lvl w:ilvl="8" w:tplc="E85E00CC">
      <w:start w:val="1"/>
      <w:numFmt w:val="lowerRoman"/>
      <w:lvlText w:val="%9."/>
      <w:lvlJc w:val="right"/>
      <w:pPr>
        <w:ind w:left="6480" w:hanging="180"/>
      </w:pPr>
    </w:lvl>
  </w:abstractNum>
  <w:abstractNum w:abstractNumId="77" w15:restartNumberingAfterBreak="0">
    <w:nsid w:val="3F974E87"/>
    <w:multiLevelType w:val="hybridMultilevel"/>
    <w:tmpl w:val="C9B23A4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8" w15:restartNumberingAfterBreak="0">
    <w:nsid w:val="3FF67517"/>
    <w:multiLevelType w:val="multilevel"/>
    <w:tmpl w:val="636A55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40B53049"/>
    <w:multiLevelType w:val="multilevel"/>
    <w:tmpl w:val="79169D2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1227CF3"/>
    <w:multiLevelType w:val="hybridMultilevel"/>
    <w:tmpl w:val="399A2470"/>
    <w:lvl w:ilvl="0" w:tplc="8250AAD8">
      <w:numFmt w:val="bullet"/>
      <w:lvlText w:val="-"/>
      <w:lvlJc w:val="left"/>
      <w:pPr>
        <w:ind w:left="1069" w:hanging="360"/>
      </w:pPr>
      <w:rPr>
        <w:rFonts w:ascii="Times New Roman" w:hAnsi="Times New Roman" w:hint="default"/>
      </w:rPr>
    </w:lvl>
    <w:lvl w:ilvl="1" w:tplc="94248EB8">
      <w:start w:val="1"/>
      <w:numFmt w:val="bullet"/>
      <w:lvlText w:val="o"/>
      <w:lvlJc w:val="left"/>
      <w:pPr>
        <w:ind w:left="1789" w:hanging="360"/>
      </w:pPr>
      <w:rPr>
        <w:rFonts w:ascii="Courier New" w:hAnsi="Courier New" w:hint="default"/>
      </w:rPr>
    </w:lvl>
    <w:lvl w:ilvl="2" w:tplc="BCDCFBF2">
      <w:start w:val="1"/>
      <w:numFmt w:val="bullet"/>
      <w:lvlText w:val=""/>
      <w:lvlJc w:val="left"/>
      <w:pPr>
        <w:ind w:left="2509" w:hanging="360"/>
      </w:pPr>
      <w:rPr>
        <w:rFonts w:ascii="Wingdings" w:hAnsi="Wingdings" w:hint="default"/>
      </w:rPr>
    </w:lvl>
    <w:lvl w:ilvl="3" w:tplc="1C20484A">
      <w:start w:val="1"/>
      <w:numFmt w:val="bullet"/>
      <w:lvlText w:val=""/>
      <w:lvlJc w:val="left"/>
      <w:pPr>
        <w:ind w:left="3229" w:hanging="360"/>
      </w:pPr>
      <w:rPr>
        <w:rFonts w:ascii="Symbol" w:hAnsi="Symbol" w:hint="default"/>
      </w:rPr>
    </w:lvl>
    <w:lvl w:ilvl="4" w:tplc="BDE8E3B0">
      <w:start w:val="1"/>
      <w:numFmt w:val="bullet"/>
      <w:lvlText w:val="o"/>
      <w:lvlJc w:val="left"/>
      <w:pPr>
        <w:ind w:left="3949" w:hanging="360"/>
      </w:pPr>
      <w:rPr>
        <w:rFonts w:ascii="Courier New" w:hAnsi="Courier New" w:hint="default"/>
      </w:rPr>
    </w:lvl>
    <w:lvl w:ilvl="5" w:tplc="87DA4706">
      <w:start w:val="1"/>
      <w:numFmt w:val="bullet"/>
      <w:lvlText w:val=""/>
      <w:lvlJc w:val="left"/>
      <w:pPr>
        <w:ind w:left="4669" w:hanging="360"/>
      </w:pPr>
      <w:rPr>
        <w:rFonts w:ascii="Wingdings" w:hAnsi="Wingdings" w:hint="default"/>
      </w:rPr>
    </w:lvl>
    <w:lvl w:ilvl="6" w:tplc="11900514">
      <w:start w:val="1"/>
      <w:numFmt w:val="bullet"/>
      <w:lvlText w:val=""/>
      <w:lvlJc w:val="left"/>
      <w:pPr>
        <w:ind w:left="5389" w:hanging="360"/>
      </w:pPr>
      <w:rPr>
        <w:rFonts w:ascii="Symbol" w:hAnsi="Symbol" w:hint="default"/>
      </w:rPr>
    </w:lvl>
    <w:lvl w:ilvl="7" w:tplc="20BE75C4">
      <w:start w:val="1"/>
      <w:numFmt w:val="bullet"/>
      <w:lvlText w:val="o"/>
      <w:lvlJc w:val="left"/>
      <w:pPr>
        <w:ind w:left="6109" w:hanging="360"/>
      </w:pPr>
      <w:rPr>
        <w:rFonts w:ascii="Courier New" w:hAnsi="Courier New" w:hint="default"/>
      </w:rPr>
    </w:lvl>
    <w:lvl w:ilvl="8" w:tplc="48D0C68C">
      <w:start w:val="1"/>
      <w:numFmt w:val="bullet"/>
      <w:lvlText w:val=""/>
      <w:lvlJc w:val="left"/>
      <w:pPr>
        <w:ind w:left="6829" w:hanging="360"/>
      </w:pPr>
      <w:rPr>
        <w:rFonts w:ascii="Wingdings" w:hAnsi="Wingdings" w:hint="default"/>
      </w:rPr>
    </w:lvl>
  </w:abstractNum>
  <w:abstractNum w:abstractNumId="81" w15:restartNumberingAfterBreak="0">
    <w:nsid w:val="414F4186"/>
    <w:multiLevelType w:val="hybridMultilevel"/>
    <w:tmpl w:val="CE1E0CBC"/>
    <w:name w:val="Heading222"/>
    <w:lvl w:ilvl="0" w:tplc="672EB766">
      <w:start w:val="1"/>
      <w:numFmt w:val="bullet"/>
      <w:lvlText w:val=""/>
      <w:lvlJc w:val="left"/>
      <w:pPr>
        <w:ind w:left="360" w:hanging="360"/>
      </w:pPr>
      <w:rPr>
        <w:rFonts w:ascii="Symbol" w:hAnsi="Symbol" w:hint="default"/>
      </w:rPr>
    </w:lvl>
    <w:lvl w:ilvl="1" w:tplc="72D035A2">
      <w:start w:val="1"/>
      <w:numFmt w:val="bullet"/>
      <w:lvlText w:val="o"/>
      <w:lvlJc w:val="left"/>
      <w:pPr>
        <w:ind w:left="1080" w:hanging="360"/>
      </w:pPr>
      <w:rPr>
        <w:rFonts w:ascii="Courier New" w:hAnsi="Courier New" w:hint="default"/>
      </w:rPr>
    </w:lvl>
    <w:lvl w:ilvl="2" w:tplc="E1089CC6">
      <w:start w:val="1"/>
      <w:numFmt w:val="bullet"/>
      <w:lvlText w:val=""/>
      <w:lvlJc w:val="left"/>
      <w:pPr>
        <w:ind w:left="1800" w:hanging="360"/>
      </w:pPr>
      <w:rPr>
        <w:rFonts w:ascii="Wingdings" w:hAnsi="Wingdings" w:hint="default"/>
      </w:rPr>
    </w:lvl>
    <w:lvl w:ilvl="3" w:tplc="FEF6C24E">
      <w:start w:val="1"/>
      <w:numFmt w:val="bullet"/>
      <w:lvlText w:val=""/>
      <w:lvlJc w:val="left"/>
      <w:pPr>
        <w:ind w:left="2520" w:hanging="360"/>
      </w:pPr>
      <w:rPr>
        <w:rFonts w:ascii="Symbol" w:hAnsi="Symbol" w:hint="default"/>
      </w:rPr>
    </w:lvl>
    <w:lvl w:ilvl="4" w:tplc="AC8C17FC">
      <w:start w:val="1"/>
      <w:numFmt w:val="bullet"/>
      <w:lvlText w:val="o"/>
      <w:lvlJc w:val="left"/>
      <w:pPr>
        <w:ind w:left="3240" w:hanging="360"/>
      </w:pPr>
      <w:rPr>
        <w:rFonts w:ascii="Courier New" w:hAnsi="Courier New" w:hint="default"/>
      </w:rPr>
    </w:lvl>
    <w:lvl w:ilvl="5" w:tplc="A5E02B9A">
      <w:start w:val="1"/>
      <w:numFmt w:val="bullet"/>
      <w:lvlText w:val=""/>
      <w:lvlJc w:val="left"/>
      <w:pPr>
        <w:ind w:left="3960" w:hanging="360"/>
      </w:pPr>
      <w:rPr>
        <w:rFonts w:ascii="Wingdings" w:hAnsi="Wingdings" w:hint="default"/>
      </w:rPr>
    </w:lvl>
    <w:lvl w:ilvl="6" w:tplc="3D6A5A62">
      <w:start w:val="1"/>
      <w:numFmt w:val="bullet"/>
      <w:lvlText w:val=""/>
      <w:lvlJc w:val="left"/>
      <w:pPr>
        <w:ind w:left="4680" w:hanging="360"/>
      </w:pPr>
      <w:rPr>
        <w:rFonts w:ascii="Symbol" w:hAnsi="Symbol" w:hint="default"/>
      </w:rPr>
    </w:lvl>
    <w:lvl w:ilvl="7" w:tplc="E6E0BB2C">
      <w:start w:val="1"/>
      <w:numFmt w:val="bullet"/>
      <w:lvlText w:val="o"/>
      <w:lvlJc w:val="left"/>
      <w:pPr>
        <w:ind w:left="5400" w:hanging="360"/>
      </w:pPr>
      <w:rPr>
        <w:rFonts w:ascii="Courier New" w:hAnsi="Courier New" w:hint="default"/>
      </w:rPr>
    </w:lvl>
    <w:lvl w:ilvl="8" w:tplc="FD6A623E">
      <w:start w:val="1"/>
      <w:numFmt w:val="bullet"/>
      <w:lvlText w:val=""/>
      <w:lvlJc w:val="left"/>
      <w:pPr>
        <w:ind w:left="6120" w:hanging="360"/>
      </w:pPr>
      <w:rPr>
        <w:rFonts w:ascii="Wingdings" w:hAnsi="Wingdings" w:hint="default"/>
      </w:rPr>
    </w:lvl>
  </w:abstractNum>
  <w:abstractNum w:abstractNumId="82" w15:restartNumberingAfterBreak="0">
    <w:nsid w:val="41A17B31"/>
    <w:multiLevelType w:val="hybridMultilevel"/>
    <w:tmpl w:val="9816FA8C"/>
    <w:lvl w:ilvl="0" w:tplc="1809000F">
      <w:start w:val="1"/>
      <w:numFmt w:val="decimal"/>
      <w:lvlText w:val="%1."/>
      <w:lvlJc w:val="left"/>
      <w:pPr>
        <w:ind w:left="1080" w:hanging="360"/>
      </w:pPr>
    </w:lvl>
    <w:lvl w:ilvl="1" w:tplc="FFFFFFFF">
      <w:start w:val="1"/>
      <w:numFmt w:val="decimal"/>
      <w:lvlText w:val="%2."/>
      <w:lvlJc w:val="left"/>
      <w:pPr>
        <w:ind w:left="1800" w:hanging="360"/>
      </w:p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83" w15:restartNumberingAfterBreak="0">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84" w15:restartNumberingAfterBreak="0">
    <w:nsid w:val="42737F5F"/>
    <w:multiLevelType w:val="hybridMultilevel"/>
    <w:tmpl w:val="30D47F12"/>
    <w:lvl w:ilvl="0" w:tplc="18090011">
      <w:start w:val="1"/>
      <w:numFmt w:val="decimal"/>
      <w:lvlText w:val="%1)"/>
      <w:lvlJc w:val="left"/>
      <w:pPr>
        <w:ind w:left="1211" w:hanging="360"/>
      </w:pPr>
    </w:lvl>
    <w:lvl w:ilvl="1" w:tplc="7AACA2A8">
      <w:start w:val="1"/>
      <w:numFmt w:val="lowerRoman"/>
      <w:lvlText w:val="%2)"/>
      <w:lvlJc w:val="left"/>
      <w:pPr>
        <w:ind w:left="1931" w:hanging="360"/>
      </w:pPr>
    </w:lvl>
    <w:lvl w:ilvl="2" w:tplc="135C1798">
      <w:start w:val="1"/>
      <w:numFmt w:val="lowerRoman"/>
      <w:lvlText w:val="%3."/>
      <w:lvlJc w:val="right"/>
      <w:pPr>
        <w:ind w:left="2651" w:hanging="180"/>
      </w:pPr>
    </w:lvl>
    <w:lvl w:ilvl="3" w:tplc="8EBEB170">
      <w:start w:val="1"/>
      <w:numFmt w:val="decimal"/>
      <w:lvlText w:val="%4."/>
      <w:lvlJc w:val="left"/>
      <w:pPr>
        <w:ind w:left="3371" w:hanging="360"/>
      </w:pPr>
    </w:lvl>
    <w:lvl w:ilvl="4" w:tplc="C03A1DA6">
      <w:start w:val="1"/>
      <w:numFmt w:val="lowerLetter"/>
      <w:lvlText w:val="%5."/>
      <w:lvlJc w:val="left"/>
      <w:pPr>
        <w:ind w:left="4091" w:hanging="360"/>
      </w:pPr>
    </w:lvl>
    <w:lvl w:ilvl="5" w:tplc="F2E60BEE">
      <w:start w:val="1"/>
      <w:numFmt w:val="lowerRoman"/>
      <w:lvlText w:val="%6."/>
      <w:lvlJc w:val="right"/>
      <w:pPr>
        <w:ind w:left="4811" w:hanging="180"/>
      </w:pPr>
    </w:lvl>
    <w:lvl w:ilvl="6" w:tplc="FF086586">
      <w:start w:val="1"/>
      <w:numFmt w:val="decimal"/>
      <w:lvlText w:val="%7."/>
      <w:lvlJc w:val="left"/>
      <w:pPr>
        <w:ind w:left="5531" w:hanging="360"/>
      </w:pPr>
    </w:lvl>
    <w:lvl w:ilvl="7" w:tplc="4B904216">
      <w:start w:val="1"/>
      <w:numFmt w:val="lowerLetter"/>
      <w:lvlText w:val="%8."/>
      <w:lvlJc w:val="left"/>
      <w:pPr>
        <w:ind w:left="6251" w:hanging="360"/>
      </w:pPr>
    </w:lvl>
    <w:lvl w:ilvl="8" w:tplc="C6CAEAEE">
      <w:start w:val="1"/>
      <w:numFmt w:val="lowerRoman"/>
      <w:lvlText w:val="%9."/>
      <w:lvlJc w:val="right"/>
      <w:pPr>
        <w:ind w:left="6971" w:hanging="180"/>
      </w:pPr>
    </w:lvl>
  </w:abstractNum>
  <w:abstractNum w:abstractNumId="85" w15:restartNumberingAfterBreak="0">
    <w:nsid w:val="42FC0772"/>
    <w:multiLevelType w:val="singleLevel"/>
    <w:tmpl w:val="4128FCF8"/>
    <w:name w:val="Tiret 4"/>
    <w:lvl w:ilvl="0">
      <w:start w:val="1"/>
      <w:numFmt w:val="bullet"/>
      <w:pStyle w:val="Tiret4"/>
      <w:lvlText w:val="–"/>
      <w:lvlJc w:val="left"/>
      <w:pPr>
        <w:tabs>
          <w:tab w:val="num" w:pos="3118"/>
        </w:tabs>
        <w:ind w:left="3118" w:hanging="567"/>
      </w:pPr>
    </w:lvl>
  </w:abstractNum>
  <w:abstractNum w:abstractNumId="86" w15:restartNumberingAfterBreak="0">
    <w:nsid w:val="4380438C"/>
    <w:multiLevelType w:val="hybridMultilevel"/>
    <w:tmpl w:val="37540650"/>
    <w:lvl w:ilvl="0" w:tplc="10C6D14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7" w15:restartNumberingAfterBreak="0">
    <w:nsid w:val="44757EB7"/>
    <w:multiLevelType w:val="multilevel"/>
    <w:tmpl w:val="FD3C8F8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4953B9D"/>
    <w:multiLevelType w:val="multilevel"/>
    <w:tmpl w:val="739498A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44A52E3A"/>
    <w:multiLevelType w:val="hybridMultilevel"/>
    <w:tmpl w:val="A5FAE91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0" w15:restartNumberingAfterBreak="0">
    <w:nsid w:val="4552127F"/>
    <w:multiLevelType w:val="singleLevel"/>
    <w:tmpl w:val="057A5296"/>
    <w:name w:val="Bullet 0"/>
    <w:lvl w:ilvl="0">
      <w:start w:val="1"/>
      <w:numFmt w:val="bullet"/>
      <w:pStyle w:val="Bullet0"/>
      <w:lvlText w:val=""/>
      <w:lvlJc w:val="left"/>
      <w:pPr>
        <w:tabs>
          <w:tab w:val="num" w:pos="850"/>
        </w:tabs>
        <w:ind w:left="850" w:hanging="850"/>
      </w:pPr>
      <w:rPr>
        <w:rFonts w:ascii="Symbol" w:hAnsi="Symbol" w:hint="default"/>
      </w:rPr>
    </w:lvl>
  </w:abstractNum>
  <w:abstractNum w:abstractNumId="91" w15:restartNumberingAfterBreak="0">
    <w:nsid w:val="455631AC"/>
    <w:multiLevelType w:val="hybridMultilevel"/>
    <w:tmpl w:val="84FA0DAE"/>
    <w:lvl w:ilvl="0" w:tplc="218C80C4">
      <w:start w:val="1"/>
      <w:numFmt w:val="bullet"/>
      <w:lvlText w:val="-"/>
      <w:lvlJc w:val="left"/>
      <w:pPr>
        <w:ind w:left="720" w:hanging="360"/>
      </w:pPr>
      <w:rPr>
        <w:rFonts w:ascii="Calibri" w:hAnsi="Calibri" w:cs="Times New Roman" w:hint="default"/>
      </w:rPr>
    </w:lvl>
    <w:lvl w:ilvl="1" w:tplc="43023A84">
      <w:start w:val="1"/>
      <w:numFmt w:val="bullet"/>
      <w:lvlText w:val="o"/>
      <w:lvlJc w:val="left"/>
      <w:pPr>
        <w:ind w:left="1440" w:hanging="360"/>
      </w:pPr>
      <w:rPr>
        <w:rFonts w:ascii="Courier New" w:hAnsi="Courier New" w:cs="Times New Roman" w:hint="default"/>
      </w:rPr>
    </w:lvl>
    <w:lvl w:ilvl="2" w:tplc="35A8F86E">
      <w:start w:val="1"/>
      <w:numFmt w:val="bullet"/>
      <w:lvlText w:val=""/>
      <w:lvlJc w:val="left"/>
      <w:pPr>
        <w:ind w:left="2160" w:hanging="360"/>
      </w:pPr>
      <w:rPr>
        <w:rFonts w:ascii="Wingdings" w:hAnsi="Wingdings" w:hint="default"/>
      </w:rPr>
    </w:lvl>
    <w:lvl w:ilvl="3" w:tplc="33A0F0A8">
      <w:start w:val="1"/>
      <w:numFmt w:val="bullet"/>
      <w:lvlText w:val=""/>
      <w:lvlJc w:val="left"/>
      <w:pPr>
        <w:ind w:left="2880" w:hanging="360"/>
      </w:pPr>
      <w:rPr>
        <w:rFonts w:ascii="Symbol" w:hAnsi="Symbol" w:hint="default"/>
      </w:rPr>
    </w:lvl>
    <w:lvl w:ilvl="4" w:tplc="F6B04706">
      <w:start w:val="1"/>
      <w:numFmt w:val="bullet"/>
      <w:lvlText w:val="o"/>
      <w:lvlJc w:val="left"/>
      <w:pPr>
        <w:ind w:left="3600" w:hanging="360"/>
      </w:pPr>
      <w:rPr>
        <w:rFonts w:ascii="Courier New" w:hAnsi="Courier New" w:cs="Times New Roman" w:hint="default"/>
      </w:rPr>
    </w:lvl>
    <w:lvl w:ilvl="5" w:tplc="0EAAD594">
      <w:start w:val="1"/>
      <w:numFmt w:val="bullet"/>
      <w:lvlText w:val=""/>
      <w:lvlJc w:val="left"/>
      <w:pPr>
        <w:ind w:left="4320" w:hanging="360"/>
      </w:pPr>
      <w:rPr>
        <w:rFonts w:ascii="Wingdings" w:hAnsi="Wingdings" w:hint="default"/>
      </w:rPr>
    </w:lvl>
    <w:lvl w:ilvl="6" w:tplc="12E066FC">
      <w:start w:val="1"/>
      <w:numFmt w:val="bullet"/>
      <w:lvlText w:val=""/>
      <w:lvlJc w:val="left"/>
      <w:pPr>
        <w:ind w:left="5040" w:hanging="360"/>
      </w:pPr>
      <w:rPr>
        <w:rFonts w:ascii="Symbol" w:hAnsi="Symbol" w:hint="default"/>
      </w:rPr>
    </w:lvl>
    <w:lvl w:ilvl="7" w:tplc="6C9CF37E">
      <w:start w:val="1"/>
      <w:numFmt w:val="bullet"/>
      <w:lvlText w:val="o"/>
      <w:lvlJc w:val="left"/>
      <w:pPr>
        <w:ind w:left="5760" w:hanging="360"/>
      </w:pPr>
      <w:rPr>
        <w:rFonts w:ascii="Courier New" w:hAnsi="Courier New" w:cs="Times New Roman" w:hint="default"/>
      </w:rPr>
    </w:lvl>
    <w:lvl w:ilvl="8" w:tplc="BC06DF1C">
      <w:start w:val="1"/>
      <w:numFmt w:val="bullet"/>
      <w:lvlText w:val=""/>
      <w:lvlJc w:val="left"/>
      <w:pPr>
        <w:ind w:left="6480" w:hanging="360"/>
      </w:pPr>
      <w:rPr>
        <w:rFonts w:ascii="Wingdings" w:hAnsi="Wingdings" w:hint="default"/>
      </w:rPr>
    </w:lvl>
  </w:abstractNum>
  <w:abstractNum w:abstractNumId="92" w15:restartNumberingAfterBreak="0">
    <w:nsid w:val="456F6F11"/>
    <w:multiLevelType w:val="hybridMultilevel"/>
    <w:tmpl w:val="3C90E3F6"/>
    <w:lvl w:ilvl="0" w:tplc="1809001B">
      <w:start w:val="1"/>
      <w:numFmt w:val="lowerRoman"/>
      <w:lvlText w:val="%1."/>
      <w:lvlJc w:val="righ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3" w15:restartNumberingAfterBreak="0">
    <w:nsid w:val="460568B1"/>
    <w:multiLevelType w:val="hybridMultilevel"/>
    <w:tmpl w:val="54887C0C"/>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4" w15:restartNumberingAfterBreak="0">
    <w:nsid w:val="461C7180"/>
    <w:multiLevelType w:val="multilevel"/>
    <w:tmpl w:val="026A17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67A0105"/>
    <w:multiLevelType w:val="hybridMultilevel"/>
    <w:tmpl w:val="F94A11DC"/>
    <w:lvl w:ilvl="0" w:tplc="FFFFFFFF">
      <w:start w:val="1"/>
      <w:numFmt w:val="upp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6" w15:restartNumberingAfterBreak="0">
    <w:nsid w:val="468F2093"/>
    <w:multiLevelType w:val="multilevel"/>
    <w:tmpl w:val="C99AB46E"/>
    <w:name w:val="NumPar2"/>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472E682F"/>
    <w:multiLevelType w:val="hybridMultilevel"/>
    <w:tmpl w:val="F46A2E5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8" w15:restartNumberingAfterBreak="0">
    <w:nsid w:val="47542ACE"/>
    <w:multiLevelType w:val="hybridMultilevel"/>
    <w:tmpl w:val="DCE6E23E"/>
    <w:lvl w:ilvl="0" w:tplc="73C0F010">
      <w:start w:val="1"/>
      <w:numFmt w:val="lowerRoman"/>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99" w15:restartNumberingAfterBreak="0">
    <w:nsid w:val="49A175F1"/>
    <w:multiLevelType w:val="multilevel"/>
    <w:tmpl w:val="9AB0CD1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9D773DC"/>
    <w:multiLevelType w:val="hybridMultilevel"/>
    <w:tmpl w:val="E1EE12C2"/>
    <w:lvl w:ilvl="0" w:tplc="1FDA5148">
      <w:numFmt w:val="bullet"/>
      <w:lvlText w:val="-"/>
      <w:lvlJc w:val="left"/>
      <w:pPr>
        <w:ind w:left="720" w:hanging="360"/>
      </w:pPr>
      <w:rPr>
        <w:rFonts w:ascii="Times New Roman" w:hAnsi="Times New Roman" w:hint="default"/>
      </w:rPr>
    </w:lvl>
    <w:lvl w:ilvl="1" w:tplc="899CADC6">
      <w:start w:val="1"/>
      <w:numFmt w:val="bullet"/>
      <w:lvlText w:val="o"/>
      <w:lvlJc w:val="left"/>
      <w:pPr>
        <w:ind w:left="1440" w:hanging="360"/>
      </w:pPr>
      <w:rPr>
        <w:rFonts w:ascii="Courier New" w:hAnsi="Courier New" w:hint="default"/>
      </w:rPr>
    </w:lvl>
    <w:lvl w:ilvl="2" w:tplc="382A1C90">
      <w:start w:val="1"/>
      <w:numFmt w:val="bullet"/>
      <w:lvlText w:val=""/>
      <w:lvlJc w:val="left"/>
      <w:pPr>
        <w:ind w:left="2160" w:hanging="360"/>
      </w:pPr>
      <w:rPr>
        <w:rFonts w:ascii="Wingdings" w:hAnsi="Wingdings" w:hint="default"/>
      </w:rPr>
    </w:lvl>
    <w:lvl w:ilvl="3" w:tplc="4994174E">
      <w:start w:val="1"/>
      <w:numFmt w:val="bullet"/>
      <w:lvlText w:val=""/>
      <w:lvlJc w:val="left"/>
      <w:pPr>
        <w:ind w:left="2880" w:hanging="360"/>
      </w:pPr>
      <w:rPr>
        <w:rFonts w:ascii="Symbol" w:hAnsi="Symbol" w:hint="default"/>
      </w:rPr>
    </w:lvl>
    <w:lvl w:ilvl="4" w:tplc="5C221FCE">
      <w:start w:val="1"/>
      <w:numFmt w:val="bullet"/>
      <w:lvlText w:val="o"/>
      <w:lvlJc w:val="left"/>
      <w:pPr>
        <w:ind w:left="3600" w:hanging="360"/>
      </w:pPr>
      <w:rPr>
        <w:rFonts w:ascii="Courier New" w:hAnsi="Courier New" w:hint="default"/>
      </w:rPr>
    </w:lvl>
    <w:lvl w:ilvl="5" w:tplc="7350498C">
      <w:start w:val="1"/>
      <w:numFmt w:val="bullet"/>
      <w:lvlText w:val=""/>
      <w:lvlJc w:val="left"/>
      <w:pPr>
        <w:ind w:left="4320" w:hanging="360"/>
      </w:pPr>
      <w:rPr>
        <w:rFonts w:ascii="Wingdings" w:hAnsi="Wingdings" w:hint="default"/>
      </w:rPr>
    </w:lvl>
    <w:lvl w:ilvl="6" w:tplc="D7AC6F1E">
      <w:start w:val="1"/>
      <w:numFmt w:val="bullet"/>
      <w:lvlText w:val=""/>
      <w:lvlJc w:val="left"/>
      <w:pPr>
        <w:ind w:left="5040" w:hanging="360"/>
      </w:pPr>
      <w:rPr>
        <w:rFonts w:ascii="Symbol" w:hAnsi="Symbol" w:hint="default"/>
      </w:rPr>
    </w:lvl>
    <w:lvl w:ilvl="7" w:tplc="65E47782">
      <w:start w:val="1"/>
      <w:numFmt w:val="bullet"/>
      <w:lvlText w:val="o"/>
      <w:lvlJc w:val="left"/>
      <w:pPr>
        <w:ind w:left="5760" w:hanging="360"/>
      </w:pPr>
      <w:rPr>
        <w:rFonts w:ascii="Courier New" w:hAnsi="Courier New" w:hint="default"/>
      </w:rPr>
    </w:lvl>
    <w:lvl w:ilvl="8" w:tplc="514AE622">
      <w:start w:val="1"/>
      <w:numFmt w:val="bullet"/>
      <w:lvlText w:val=""/>
      <w:lvlJc w:val="left"/>
      <w:pPr>
        <w:ind w:left="6480" w:hanging="360"/>
      </w:pPr>
      <w:rPr>
        <w:rFonts w:ascii="Wingdings" w:hAnsi="Wingdings" w:hint="default"/>
      </w:rPr>
    </w:lvl>
  </w:abstractNum>
  <w:abstractNum w:abstractNumId="101" w15:restartNumberingAfterBreak="0">
    <w:nsid w:val="4B8D2975"/>
    <w:multiLevelType w:val="hybridMultilevel"/>
    <w:tmpl w:val="424EF87C"/>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2" w15:restartNumberingAfterBreak="0">
    <w:nsid w:val="4BE97960"/>
    <w:multiLevelType w:val="hybridMultilevel"/>
    <w:tmpl w:val="6D724774"/>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03" w15:restartNumberingAfterBreak="0">
    <w:nsid w:val="4D8F1A52"/>
    <w:multiLevelType w:val="hybridMultilevel"/>
    <w:tmpl w:val="BAA2915A"/>
    <w:lvl w:ilvl="0" w:tplc="0410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04" w15:restartNumberingAfterBreak="0">
    <w:nsid w:val="4DD650F9"/>
    <w:multiLevelType w:val="multilevel"/>
    <w:tmpl w:val="31864E6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4E7234F7"/>
    <w:multiLevelType w:val="multilevel"/>
    <w:tmpl w:val="F208DA6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03604BF"/>
    <w:multiLevelType w:val="hybridMultilevel"/>
    <w:tmpl w:val="CA3E3C90"/>
    <w:lvl w:ilvl="0" w:tplc="E036F444">
      <w:start w:val="1"/>
      <w:numFmt w:val="bullet"/>
      <w:lvlText w:val="·"/>
      <w:lvlJc w:val="left"/>
      <w:pPr>
        <w:ind w:left="720" w:hanging="360"/>
      </w:pPr>
      <w:rPr>
        <w:rFonts w:ascii="Symbol" w:hAnsi="Symbol" w:hint="default"/>
      </w:rPr>
    </w:lvl>
    <w:lvl w:ilvl="1" w:tplc="595EC648">
      <w:start w:val="1"/>
      <w:numFmt w:val="bullet"/>
      <w:lvlText w:val="o"/>
      <w:lvlJc w:val="left"/>
      <w:pPr>
        <w:ind w:left="1440" w:hanging="360"/>
      </w:pPr>
      <w:rPr>
        <w:rFonts w:ascii="Courier New" w:hAnsi="Courier New" w:hint="default"/>
      </w:rPr>
    </w:lvl>
    <w:lvl w:ilvl="2" w:tplc="6E76022C">
      <w:start w:val="1"/>
      <w:numFmt w:val="bullet"/>
      <w:lvlText w:val=""/>
      <w:lvlJc w:val="left"/>
      <w:pPr>
        <w:ind w:left="2160" w:hanging="360"/>
      </w:pPr>
      <w:rPr>
        <w:rFonts w:ascii="Wingdings" w:hAnsi="Wingdings" w:hint="default"/>
      </w:rPr>
    </w:lvl>
    <w:lvl w:ilvl="3" w:tplc="C35E6ECC">
      <w:start w:val="1"/>
      <w:numFmt w:val="bullet"/>
      <w:lvlText w:val=""/>
      <w:lvlJc w:val="left"/>
      <w:pPr>
        <w:ind w:left="2880" w:hanging="360"/>
      </w:pPr>
      <w:rPr>
        <w:rFonts w:ascii="Symbol" w:hAnsi="Symbol" w:hint="default"/>
      </w:rPr>
    </w:lvl>
    <w:lvl w:ilvl="4" w:tplc="DFA6687A">
      <w:start w:val="1"/>
      <w:numFmt w:val="bullet"/>
      <w:lvlText w:val="o"/>
      <w:lvlJc w:val="left"/>
      <w:pPr>
        <w:ind w:left="3600" w:hanging="360"/>
      </w:pPr>
      <w:rPr>
        <w:rFonts w:ascii="Courier New" w:hAnsi="Courier New" w:hint="default"/>
      </w:rPr>
    </w:lvl>
    <w:lvl w:ilvl="5" w:tplc="7278BE22">
      <w:start w:val="1"/>
      <w:numFmt w:val="bullet"/>
      <w:lvlText w:val=""/>
      <w:lvlJc w:val="left"/>
      <w:pPr>
        <w:ind w:left="4320" w:hanging="360"/>
      </w:pPr>
      <w:rPr>
        <w:rFonts w:ascii="Wingdings" w:hAnsi="Wingdings" w:hint="default"/>
      </w:rPr>
    </w:lvl>
    <w:lvl w:ilvl="6" w:tplc="AEB4DA1C">
      <w:start w:val="1"/>
      <w:numFmt w:val="bullet"/>
      <w:lvlText w:val=""/>
      <w:lvlJc w:val="left"/>
      <w:pPr>
        <w:ind w:left="5040" w:hanging="360"/>
      </w:pPr>
      <w:rPr>
        <w:rFonts w:ascii="Symbol" w:hAnsi="Symbol" w:hint="default"/>
      </w:rPr>
    </w:lvl>
    <w:lvl w:ilvl="7" w:tplc="1088AC34">
      <w:start w:val="1"/>
      <w:numFmt w:val="bullet"/>
      <w:lvlText w:val="o"/>
      <w:lvlJc w:val="left"/>
      <w:pPr>
        <w:ind w:left="5760" w:hanging="360"/>
      </w:pPr>
      <w:rPr>
        <w:rFonts w:ascii="Courier New" w:hAnsi="Courier New" w:hint="default"/>
      </w:rPr>
    </w:lvl>
    <w:lvl w:ilvl="8" w:tplc="B0E6FEF4">
      <w:start w:val="1"/>
      <w:numFmt w:val="bullet"/>
      <w:lvlText w:val=""/>
      <w:lvlJc w:val="left"/>
      <w:pPr>
        <w:ind w:left="6480" w:hanging="360"/>
      </w:pPr>
      <w:rPr>
        <w:rFonts w:ascii="Wingdings" w:hAnsi="Wingdings" w:hint="default"/>
      </w:rPr>
    </w:lvl>
  </w:abstractNum>
  <w:abstractNum w:abstractNumId="107" w15:restartNumberingAfterBreak="0">
    <w:nsid w:val="52EC6ECC"/>
    <w:multiLevelType w:val="hybridMultilevel"/>
    <w:tmpl w:val="A5067268"/>
    <w:lvl w:ilvl="0" w:tplc="D4A2D3F0">
      <w:start w:val="1"/>
      <w:numFmt w:val="bullet"/>
      <w:lvlText w:val=""/>
      <w:lvlJc w:val="left"/>
      <w:pPr>
        <w:ind w:left="720" w:hanging="360"/>
      </w:pPr>
      <w:rPr>
        <w:rFonts w:ascii="Symbol" w:hAnsi="Symbol" w:hint="default"/>
      </w:rPr>
    </w:lvl>
    <w:lvl w:ilvl="1" w:tplc="3B6C190A">
      <w:start w:val="1"/>
      <w:numFmt w:val="bullet"/>
      <w:lvlText w:val="o"/>
      <w:lvlJc w:val="left"/>
      <w:pPr>
        <w:ind w:left="1440" w:hanging="360"/>
      </w:pPr>
      <w:rPr>
        <w:rFonts w:ascii="Courier New" w:hAnsi="Courier New" w:hint="default"/>
      </w:rPr>
    </w:lvl>
    <w:lvl w:ilvl="2" w:tplc="ED7E94D6">
      <w:start w:val="1"/>
      <w:numFmt w:val="bullet"/>
      <w:lvlText w:val=""/>
      <w:lvlJc w:val="left"/>
      <w:pPr>
        <w:ind w:left="2160" w:hanging="360"/>
      </w:pPr>
      <w:rPr>
        <w:rFonts w:ascii="Wingdings" w:hAnsi="Wingdings" w:hint="default"/>
      </w:rPr>
    </w:lvl>
    <w:lvl w:ilvl="3" w:tplc="78164F48">
      <w:start w:val="1"/>
      <w:numFmt w:val="bullet"/>
      <w:lvlText w:val=""/>
      <w:lvlJc w:val="left"/>
      <w:pPr>
        <w:ind w:left="2880" w:hanging="360"/>
      </w:pPr>
      <w:rPr>
        <w:rFonts w:ascii="Symbol" w:hAnsi="Symbol" w:hint="default"/>
      </w:rPr>
    </w:lvl>
    <w:lvl w:ilvl="4" w:tplc="133EB486">
      <w:start w:val="1"/>
      <w:numFmt w:val="bullet"/>
      <w:lvlText w:val="o"/>
      <w:lvlJc w:val="left"/>
      <w:pPr>
        <w:ind w:left="3600" w:hanging="360"/>
      </w:pPr>
      <w:rPr>
        <w:rFonts w:ascii="Courier New" w:hAnsi="Courier New" w:hint="default"/>
      </w:rPr>
    </w:lvl>
    <w:lvl w:ilvl="5" w:tplc="260876F0">
      <w:start w:val="1"/>
      <w:numFmt w:val="bullet"/>
      <w:lvlText w:val=""/>
      <w:lvlJc w:val="left"/>
      <w:pPr>
        <w:ind w:left="4320" w:hanging="360"/>
      </w:pPr>
      <w:rPr>
        <w:rFonts w:ascii="Wingdings" w:hAnsi="Wingdings" w:hint="default"/>
      </w:rPr>
    </w:lvl>
    <w:lvl w:ilvl="6" w:tplc="37F4E174">
      <w:start w:val="1"/>
      <w:numFmt w:val="bullet"/>
      <w:lvlText w:val=""/>
      <w:lvlJc w:val="left"/>
      <w:pPr>
        <w:ind w:left="5040" w:hanging="360"/>
      </w:pPr>
      <w:rPr>
        <w:rFonts w:ascii="Symbol" w:hAnsi="Symbol" w:hint="default"/>
      </w:rPr>
    </w:lvl>
    <w:lvl w:ilvl="7" w:tplc="AC40A698">
      <w:start w:val="1"/>
      <w:numFmt w:val="bullet"/>
      <w:lvlText w:val="o"/>
      <w:lvlJc w:val="left"/>
      <w:pPr>
        <w:ind w:left="5760" w:hanging="360"/>
      </w:pPr>
      <w:rPr>
        <w:rFonts w:ascii="Courier New" w:hAnsi="Courier New" w:hint="default"/>
      </w:rPr>
    </w:lvl>
    <w:lvl w:ilvl="8" w:tplc="C680A60A">
      <w:start w:val="1"/>
      <w:numFmt w:val="bullet"/>
      <w:lvlText w:val=""/>
      <w:lvlJc w:val="left"/>
      <w:pPr>
        <w:ind w:left="6480" w:hanging="360"/>
      </w:pPr>
      <w:rPr>
        <w:rFonts w:ascii="Wingdings" w:hAnsi="Wingdings" w:hint="default"/>
      </w:rPr>
    </w:lvl>
  </w:abstractNum>
  <w:abstractNum w:abstractNumId="108" w15:restartNumberingAfterBreak="0">
    <w:nsid w:val="5320465F"/>
    <w:multiLevelType w:val="hybridMultilevel"/>
    <w:tmpl w:val="CDAE407A"/>
    <w:lvl w:ilvl="0" w:tplc="819E0320">
      <w:start w:val="1"/>
      <w:numFmt w:val="bullet"/>
      <w:lvlText w:val=""/>
      <w:lvlJc w:val="left"/>
      <w:pPr>
        <w:ind w:left="720" w:hanging="360"/>
      </w:pPr>
      <w:rPr>
        <w:rFonts w:ascii="Symbol" w:hAnsi="Symbol" w:hint="default"/>
      </w:rPr>
    </w:lvl>
    <w:lvl w:ilvl="1" w:tplc="380C8A0A" w:tentative="1">
      <w:start w:val="1"/>
      <w:numFmt w:val="bullet"/>
      <w:lvlText w:val="o"/>
      <w:lvlJc w:val="left"/>
      <w:pPr>
        <w:ind w:left="1440" w:hanging="360"/>
      </w:pPr>
      <w:rPr>
        <w:rFonts w:ascii="Courier New" w:hAnsi="Courier New" w:hint="default"/>
      </w:rPr>
    </w:lvl>
    <w:lvl w:ilvl="2" w:tplc="09C6717E" w:tentative="1">
      <w:start w:val="1"/>
      <w:numFmt w:val="bullet"/>
      <w:lvlText w:val=""/>
      <w:lvlJc w:val="left"/>
      <w:pPr>
        <w:ind w:left="2160" w:hanging="360"/>
      </w:pPr>
      <w:rPr>
        <w:rFonts w:ascii="Wingdings" w:hAnsi="Wingdings" w:hint="default"/>
      </w:rPr>
    </w:lvl>
    <w:lvl w:ilvl="3" w:tplc="54D4DAFE" w:tentative="1">
      <w:start w:val="1"/>
      <w:numFmt w:val="bullet"/>
      <w:lvlText w:val=""/>
      <w:lvlJc w:val="left"/>
      <w:pPr>
        <w:ind w:left="2880" w:hanging="360"/>
      </w:pPr>
      <w:rPr>
        <w:rFonts w:ascii="Symbol" w:hAnsi="Symbol" w:hint="default"/>
      </w:rPr>
    </w:lvl>
    <w:lvl w:ilvl="4" w:tplc="F5EE77CE" w:tentative="1">
      <w:start w:val="1"/>
      <w:numFmt w:val="bullet"/>
      <w:lvlText w:val="o"/>
      <w:lvlJc w:val="left"/>
      <w:pPr>
        <w:ind w:left="3600" w:hanging="360"/>
      </w:pPr>
      <w:rPr>
        <w:rFonts w:ascii="Courier New" w:hAnsi="Courier New" w:hint="default"/>
      </w:rPr>
    </w:lvl>
    <w:lvl w:ilvl="5" w:tplc="8A707B66" w:tentative="1">
      <w:start w:val="1"/>
      <w:numFmt w:val="bullet"/>
      <w:lvlText w:val=""/>
      <w:lvlJc w:val="left"/>
      <w:pPr>
        <w:ind w:left="4320" w:hanging="360"/>
      </w:pPr>
      <w:rPr>
        <w:rFonts w:ascii="Wingdings" w:hAnsi="Wingdings" w:hint="default"/>
      </w:rPr>
    </w:lvl>
    <w:lvl w:ilvl="6" w:tplc="938A8D7A" w:tentative="1">
      <w:start w:val="1"/>
      <w:numFmt w:val="bullet"/>
      <w:lvlText w:val=""/>
      <w:lvlJc w:val="left"/>
      <w:pPr>
        <w:ind w:left="5040" w:hanging="360"/>
      </w:pPr>
      <w:rPr>
        <w:rFonts w:ascii="Symbol" w:hAnsi="Symbol" w:hint="default"/>
      </w:rPr>
    </w:lvl>
    <w:lvl w:ilvl="7" w:tplc="E7DC73D8" w:tentative="1">
      <w:start w:val="1"/>
      <w:numFmt w:val="bullet"/>
      <w:lvlText w:val="o"/>
      <w:lvlJc w:val="left"/>
      <w:pPr>
        <w:ind w:left="5760" w:hanging="360"/>
      </w:pPr>
      <w:rPr>
        <w:rFonts w:ascii="Courier New" w:hAnsi="Courier New" w:hint="default"/>
      </w:rPr>
    </w:lvl>
    <w:lvl w:ilvl="8" w:tplc="A0849080" w:tentative="1">
      <w:start w:val="1"/>
      <w:numFmt w:val="bullet"/>
      <w:lvlText w:val=""/>
      <w:lvlJc w:val="left"/>
      <w:pPr>
        <w:ind w:left="6480" w:hanging="360"/>
      </w:pPr>
      <w:rPr>
        <w:rFonts w:ascii="Wingdings" w:hAnsi="Wingdings" w:hint="default"/>
      </w:rPr>
    </w:lvl>
  </w:abstractNum>
  <w:abstractNum w:abstractNumId="109" w15:restartNumberingAfterBreak="0">
    <w:nsid w:val="536F1E81"/>
    <w:multiLevelType w:val="multilevel"/>
    <w:tmpl w:val="C45EFDBA"/>
    <w:lvl w:ilvl="0">
      <w:start w:val="6"/>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0" w15:restartNumberingAfterBreak="0">
    <w:nsid w:val="540174FD"/>
    <w:multiLevelType w:val="hybridMultilevel"/>
    <w:tmpl w:val="3836CA74"/>
    <w:lvl w:ilvl="0" w:tplc="43EAD3D8">
      <w:start w:val="1"/>
      <w:numFmt w:val="bullet"/>
      <w:lvlText w:val="-"/>
      <w:lvlJc w:val="left"/>
      <w:pPr>
        <w:ind w:left="720" w:hanging="360"/>
      </w:pPr>
      <w:rPr>
        <w:rFonts w:ascii="Symbol" w:hAnsi="Symbol" w:hint="default"/>
      </w:rPr>
    </w:lvl>
    <w:lvl w:ilvl="1" w:tplc="C33687BC">
      <w:start w:val="1"/>
      <w:numFmt w:val="bullet"/>
      <w:lvlText w:val="o"/>
      <w:lvlJc w:val="left"/>
      <w:pPr>
        <w:ind w:left="1440" w:hanging="360"/>
      </w:pPr>
      <w:rPr>
        <w:rFonts w:ascii="Courier New" w:hAnsi="Courier New" w:cs="Times New Roman" w:hint="default"/>
      </w:rPr>
    </w:lvl>
    <w:lvl w:ilvl="2" w:tplc="B2CCF1B4">
      <w:start w:val="1"/>
      <w:numFmt w:val="bullet"/>
      <w:lvlText w:val=""/>
      <w:lvlJc w:val="left"/>
      <w:pPr>
        <w:ind w:left="2160" w:hanging="360"/>
      </w:pPr>
      <w:rPr>
        <w:rFonts w:ascii="Wingdings" w:hAnsi="Wingdings" w:hint="default"/>
      </w:rPr>
    </w:lvl>
    <w:lvl w:ilvl="3" w:tplc="411657AC">
      <w:start w:val="1"/>
      <w:numFmt w:val="bullet"/>
      <w:lvlText w:val=""/>
      <w:lvlJc w:val="left"/>
      <w:pPr>
        <w:ind w:left="2880" w:hanging="360"/>
      </w:pPr>
      <w:rPr>
        <w:rFonts w:ascii="Symbol" w:hAnsi="Symbol" w:hint="default"/>
      </w:rPr>
    </w:lvl>
    <w:lvl w:ilvl="4" w:tplc="BDC6F242">
      <w:start w:val="1"/>
      <w:numFmt w:val="bullet"/>
      <w:lvlText w:val="o"/>
      <w:lvlJc w:val="left"/>
      <w:pPr>
        <w:ind w:left="3600" w:hanging="360"/>
      </w:pPr>
      <w:rPr>
        <w:rFonts w:ascii="Courier New" w:hAnsi="Courier New" w:cs="Times New Roman" w:hint="default"/>
      </w:rPr>
    </w:lvl>
    <w:lvl w:ilvl="5" w:tplc="77301190">
      <w:start w:val="1"/>
      <w:numFmt w:val="bullet"/>
      <w:lvlText w:val=""/>
      <w:lvlJc w:val="left"/>
      <w:pPr>
        <w:ind w:left="4320" w:hanging="360"/>
      </w:pPr>
      <w:rPr>
        <w:rFonts w:ascii="Wingdings" w:hAnsi="Wingdings" w:hint="default"/>
      </w:rPr>
    </w:lvl>
    <w:lvl w:ilvl="6" w:tplc="3E72EFDA">
      <w:start w:val="1"/>
      <w:numFmt w:val="bullet"/>
      <w:lvlText w:val=""/>
      <w:lvlJc w:val="left"/>
      <w:pPr>
        <w:ind w:left="5040" w:hanging="360"/>
      </w:pPr>
      <w:rPr>
        <w:rFonts w:ascii="Symbol" w:hAnsi="Symbol" w:hint="default"/>
      </w:rPr>
    </w:lvl>
    <w:lvl w:ilvl="7" w:tplc="187CAED0">
      <w:start w:val="1"/>
      <w:numFmt w:val="bullet"/>
      <w:lvlText w:val="o"/>
      <w:lvlJc w:val="left"/>
      <w:pPr>
        <w:ind w:left="5760" w:hanging="360"/>
      </w:pPr>
      <w:rPr>
        <w:rFonts w:ascii="Courier New" w:hAnsi="Courier New" w:cs="Times New Roman" w:hint="default"/>
      </w:rPr>
    </w:lvl>
    <w:lvl w:ilvl="8" w:tplc="FE942D0A">
      <w:start w:val="1"/>
      <w:numFmt w:val="bullet"/>
      <w:lvlText w:val=""/>
      <w:lvlJc w:val="left"/>
      <w:pPr>
        <w:ind w:left="6480" w:hanging="360"/>
      </w:pPr>
      <w:rPr>
        <w:rFonts w:ascii="Wingdings" w:hAnsi="Wingdings" w:hint="default"/>
      </w:rPr>
    </w:lvl>
  </w:abstractNum>
  <w:abstractNum w:abstractNumId="111" w15:restartNumberingAfterBreak="0">
    <w:nsid w:val="546190BD"/>
    <w:multiLevelType w:val="hybridMultilevel"/>
    <w:tmpl w:val="A1E075CA"/>
    <w:lvl w:ilvl="0" w:tplc="2D546194">
      <w:start w:val="1"/>
      <w:numFmt w:val="decimal"/>
      <w:lvlText w:val="%1."/>
      <w:lvlJc w:val="left"/>
      <w:pPr>
        <w:ind w:left="720" w:hanging="360"/>
      </w:pPr>
    </w:lvl>
    <w:lvl w:ilvl="1" w:tplc="D7D0BED8">
      <w:start w:val="1"/>
      <w:numFmt w:val="lowerLetter"/>
      <w:lvlText w:val="%2."/>
      <w:lvlJc w:val="left"/>
      <w:pPr>
        <w:ind w:left="1440" w:hanging="360"/>
      </w:pPr>
    </w:lvl>
    <w:lvl w:ilvl="2" w:tplc="0024CEB8">
      <w:start w:val="1"/>
      <w:numFmt w:val="lowerRoman"/>
      <w:lvlText w:val="%3."/>
      <w:lvlJc w:val="right"/>
      <w:pPr>
        <w:ind w:left="2160" w:hanging="180"/>
      </w:pPr>
    </w:lvl>
    <w:lvl w:ilvl="3" w:tplc="14F45304">
      <w:start w:val="1"/>
      <w:numFmt w:val="decimal"/>
      <w:lvlText w:val="%4."/>
      <w:lvlJc w:val="left"/>
      <w:pPr>
        <w:ind w:left="2880" w:hanging="360"/>
      </w:pPr>
    </w:lvl>
    <w:lvl w:ilvl="4" w:tplc="13CA6DCC">
      <w:start w:val="1"/>
      <w:numFmt w:val="lowerLetter"/>
      <w:lvlText w:val="%5."/>
      <w:lvlJc w:val="left"/>
      <w:pPr>
        <w:ind w:left="3600" w:hanging="360"/>
      </w:pPr>
    </w:lvl>
    <w:lvl w:ilvl="5" w:tplc="BC06D7CC">
      <w:start w:val="1"/>
      <w:numFmt w:val="lowerRoman"/>
      <w:lvlText w:val="%6."/>
      <w:lvlJc w:val="right"/>
      <w:pPr>
        <w:ind w:left="4320" w:hanging="180"/>
      </w:pPr>
    </w:lvl>
    <w:lvl w:ilvl="6" w:tplc="4D6E0A48">
      <w:start w:val="1"/>
      <w:numFmt w:val="decimal"/>
      <w:lvlText w:val="%7."/>
      <w:lvlJc w:val="left"/>
      <w:pPr>
        <w:ind w:left="5040" w:hanging="360"/>
      </w:pPr>
    </w:lvl>
    <w:lvl w:ilvl="7" w:tplc="E29AC2BE">
      <w:start w:val="1"/>
      <w:numFmt w:val="lowerLetter"/>
      <w:lvlText w:val="%8."/>
      <w:lvlJc w:val="left"/>
      <w:pPr>
        <w:ind w:left="5760" w:hanging="360"/>
      </w:pPr>
    </w:lvl>
    <w:lvl w:ilvl="8" w:tplc="8DA2F450">
      <w:start w:val="1"/>
      <w:numFmt w:val="lowerRoman"/>
      <w:lvlText w:val="%9."/>
      <w:lvlJc w:val="right"/>
      <w:pPr>
        <w:ind w:left="6480" w:hanging="180"/>
      </w:pPr>
    </w:lvl>
  </w:abstractNum>
  <w:abstractNum w:abstractNumId="112" w15:restartNumberingAfterBreak="0">
    <w:nsid w:val="5517B409"/>
    <w:multiLevelType w:val="hybridMultilevel"/>
    <w:tmpl w:val="0BD07EFE"/>
    <w:lvl w:ilvl="0" w:tplc="79A05C2E">
      <w:start w:val="1"/>
      <w:numFmt w:val="decimal"/>
      <w:lvlText w:val="%1."/>
      <w:lvlJc w:val="left"/>
      <w:pPr>
        <w:ind w:left="720" w:hanging="360"/>
      </w:pPr>
    </w:lvl>
    <w:lvl w:ilvl="1" w:tplc="D7FA4F02">
      <w:start w:val="1"/>
      <w:numFmt w:val="lowerLetter"/>
      <w:lvlText w:val="%2."/>
      <w:lvlJc w:val="left"/>
      <w:pPr>
        <w:ind w:left="1440" w:hanging="360"/>
      </w:pPr>
    </w:lvl>
    <w:lvl w:ilvl="2" w:tplc="7F5EC75A">
      <w:start w:val="1"/>
      <w:numFmt w:val="lowerRoman"/>
      <w:lvlText w:val="%3."/>
      <w:lvlJc w:val="right"/>
      <w:pPr>
        <w:ind w:left="2160" w:hanging="180"/>
      </w:pPr>
    </w:lvl>
    <w:lvl w:ilvl="3" w:tplc="645CBD7E">
      <w:start w:val="1"/>
      <w:numFmt w:val="decimal"/>
      <w:lvlText w:val="%4."/>
      <w:lvlJc w:val="left"/>
      <w:pPr>
        <w:ind w:left="2880" w:hanging="360"/>
      </w:pPr>
    </w:lvl>
    <w:lvl w:ilvl="4" w:tplc="3C94473C">
      <w:start w:val="1"/>
      <w:numFmt w:val="lowerLetter"/>
      <w:lvlText w:val="%5."/>
      <w:lvlJc w:val="left"/>
      <w:pPr>
        <w:ind w:left="3600" w:hanging="360"/>
      </w:pPr>
    </w:lvl>
    <w:lvl w:ilvl="5" w:tplc="32DC875A">
      <w:start w:val="1"/>
      <w:numFmt w:val="lowerRoman"/>
      <w:lvlText w:val="%6."/>
      <w:lvlJc w:val="right"/>
      <w:pPr>
        <w:ind w:left="4320" w:hanging="180"/>
      </w:pPr>
    </w:lvl>
    <w:lvl w:ilvl="6" w:tplc="F3BE7820">
      <w:start w:val="1"/>
      <w:numFmt w:val="decimal"/>
      <w:lvlText w:val="%7."/>
      <w:lvlJc w:val="left"/>
      <w:pPr>
        <w:ind w:left="5040" w:hanging="360"/>
      </w:pPr>
    </w:lvl>
    <w:lvl w:ilvl="7" w:tplc="F5123FAE">
      <w:start w:val="1"/>
      <w:numFmt w:val="lowerLetter"/>
      <w:lvlText w:val="%8."/>
      <w:lvlJc w:val="left"/>
      <w:pPr>
        <w:ind w:left="5760" w:hanging="360"/>
      </w:pPr>
    </w:lvl>
    <w:lvl w:ilvl="8" w:tplc="46664E36">
      <w:start w:val="1"/>
      <w:numFmt w:val="lowerRoman"/>
      <w:lvlText w:val="%9."/>
      <w:lvlJc w:val="right"/>
      <w:pPr>
        <w:ind w:left="6480" w:hanging="180"/>
      </w:pPr>
    </w:lvl>
  </w:abstractNum>
  <w:abstractNum w:abstractNumId="113" w15:restartNumberingAfterBreak="0">
    <w:nsid w:val="556E1D63"/>
    <w:multiLevelType w:val="singleLevel"/>
    <w:tmpl w:val="493AAFF0"/>
    <w:name w:val="Bullet 4"/>
    <w:lvl w:ilvl="0">
      <w:start w:val="1"/>
      <w:numFmt w:val="bullet"/>
      <w:pStyle w:val="Bullet4"/>
      <w:lvlText w:val=""/>
      <w:lvlJc w:val="left"/>
      <w:pPr>
        <w:tabs>
          <w:tab w:val="num" w:pos="3118"/>
        </w:tabs>
        <w:ind w:left="3118" w:hanging="567"/>
      </w:pPr>
      <w:rPr>
        <w:rFonts w:ascii="Symbol" w:hAnsi="Symbol" w:hint="default"/>
      </w:rPr>
    </w:lvl>
  </w:abstractNum>
  <w:abstractNum w:abstractNumId="114" w15:restartNumberingAfterBreak="0">
    <w:nsid w:val="55C10E65"/>
    <w:multiLevelType w:val="multilevel"/>
    <w:tmpl w:val="0C0A3368"/>
    <w:lvl w:ilvl="0">
      <w:start w:val="1"/>
      <w:numFmt w:val="decimal"/>
      <w:pStyle w:val="LegalNumPar"/>
      <w:lvlText w:val="%1."/>
      <w:lvlJc w:val="left"/>
      <w:pPr>
        <w:ind w:left="901" w:hanging="476"/>
      </w:pPr>
      <w:rPr>
        <w:b w:val="0"/>
        <w:bCs w:val="0"/>
      </w:rPr>
    </w:lvl>
    <w:lvl w:ilvl="1">
      <w:start w:val="1"/>
      <w:numFmt w:val="lowerLetter"/>
      <w:pStyle w:val="LegalNumPar2"/>
      <w:lvlText w:val="%2."/>
      <w:lvlJc w:val="left"/>
      <w:pPr>
        <w:ind w:left="953" w:hanging="477"/>
      </w:pPr>
    </w:lvl>
    <w:lvl w:ilvl="2">
      <w:start w:val="1"/>
      <w:numFmt w:val="lowerRoman"/>
      <w:pStyle w:val="LegalNumPar3"/>
      <w:lvlText w:val="%3."/>
      <w:lvlJc w:val="left"/>
      <w:pPr>
        <w:ind w:left="1429" w:hanging="476"/>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55FE2C69"/>
    <w:multiLevelType w:val="multilevel"/>
    <w:tmpl w:val="5BEA902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6A3B146"/>
    <w:multiLevelType w:val="hybridMultilevel"/>
    <w:tmpl w:val="47A27D4A"/>
    <w:lvl w:ilvl="0" w:tplc="F7869708">
      <w:start w:val="1"/>
      <w:numFmt w:val="bullet"/>
      <w:lvlText w:val=""/>
      <w:lvlJc w:val="left"/>
      <w:pPr>
        <w:ind w:left="720" w:hanging="360"/>
      </w:pPr>
      <w:rPr>
        <w:rFonts w:ascii="Symbol" w:hAnsi="Symbol" w:hint="default"/>
        <w:color w:val="006600"/>
      </w:rPr>
    </w:lvl>
    <w:lvl w:ilvl="1" w:tplc="AEB619B0">
      <w:start w:val="1"/>
      <w:numFmt w:val="bullet"/>
      <w:lvlText w:val="o"/>
      <w:lvlJc w:val="left"/>
      <w:pPr>
        <w:ind w:left="1440" w:hanging="360"/>
      </w:pPr>
      <w:rPr>
        <w:rFonts w:ascii="Courier New" w:hAnsi="Courier New" w:cs="Times New Roman" w:hint="default"/>
      </w:rPr>
    </w:lvl>
    <w:lvl w:ilvl="2" w:tplc="FCB2E71E">
      <w:start w:val="1"/>
      <w:numFmt w:val="bullet"/>
      <w:lvlText w:val=""/>
      <w:lvlJc w:val="left"/>
      <w:pPr>
        <w:ind w:left="2160" w:hanging="360"/>
      </w:pPr>
      <w:rPr>
        <w:rFonts w:ascii="Wingdings" w:hAnsi="Wingdings" w:hint="default"/>
      </w:rPr>
    </w:lvl>
    <w:lvl w:ilvl="3" w:tplc="2A460294">
      <w:start w:val="1"/>
      <w:numFmt w:val="bullet"/>
      <w:lvlText w:val=""/>
      <w:lvlJc w:val="left"/>
      <w:pPr>
        <w:ind w:left="2880" w:hanging="360"/>
      </w:pPr>
      <w:rPr>
        <w:rFonts w:ascii="Symbol" w:hAnsi="Symbol" w:hint="default"/>
      </w:rPr>
    </w:lvl>
    <w:lvl w:ilvl="4" w:tplc="3EBE5880">
      <w:start w:val="1"/>
      <w:numFmt w:val="bullet"/>
      <w:lvlText w:val="o"/>
      <w:lvlJc w:val="left"/>
      <w:pPr>
        <w:ind w:left="3600" w:hanging="360"/>
      </w:pPr>
      <w:rPr>
        <w:rFonts w:ascii="Courier New" w:hAnsi="Courier New" w:cs="Times New Roman" w:hint="default"/>
      </w:rPr>
    </w:lvl>
    <w:lvl w:ilvl="5" w:tplc="7F6853FE">
      <w:start w:val="1"/>
      <w:numFmt w:val="bullet"/>
      <w:lvlText w:val=""/>
      <w:lvlJc w:val="left"/>
      <w:pPr>
        <w:ind w:left="4320" w:hanging="360"/>
      </w:pPr>
      <w:rPr>
        <w:rFonts w:ascii="Wingdings" w:hAnsi="Wingdings" w:hint="default"/>
      </w:rPr>
    </w:lvl>
    <w:lvl w:ilvl="6" w:tplc="A45A9BBE">
      <w:start w:val="1"/>
      <w:numFmt w:val="bullet"/>
      <w:lvlText w:val=""/>
      <w:lvlJc w:val="left"/>
      <w:pPr>
        <w:ind w:left="5040" w:hanging="360"/>
      </w:pPr>
      <w:rPr>
        <w:rFonts w:ascii="Symbol" w:hAnsi="Symbol" w:hint="default"/>
      </w:rPr>
    </w:lvl>
    <w:lvl w:ilvl="7" w:tplc="5DDA074C">
      <w:start w:val="1"/>
      <w:numFmt w:val="bullet"/>
      <w:lvlText w:val="o"/>
      <w:lvlJc w:val="left"/>
      <w:pPr>
        <w:ind w:left="5760" w:hanging="360"/>
      </w:pPr>
      <w:rPr>
        <w:rFonts w:ascii="Courier New" w:hAnsi="Courier New" w:cs="Times New Roman" w:hint="default"/>
      </w:rPr>
    </w:lvl>
    <w:lvl w:ilvl="8" w:tplc="735ABAA8">
      <w:start w:val="1"/>
      <w:numFmt w:val="bullet"/>
      <w:lvlText w:val=""/>
      <w:lvlJc w:val="left"/>
      <w:pPr>
        <w:ind w:left="6480" w:hanging="360"/>
      </w:pPr>
      <w:rPr>
        <w:rFonts w:ascii="Wingdings" w:hAnsi="Wingdings" w:hint="default"/>
      </w:rPr>
    </w:lvl>
  </w:abstractNum>
  <w:abstractNum w:abstractNumId="117" w15:restartNumberingAfterBreak="0">
    <w:nsid w:val="572F6C41"/>
    <w:multiLevelType w:val="multilevel"/>
    <w:tmpl w:val="478E8EEA"/>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72FD515"/>
    <w:multiLevelType w:val="hybridMultilevel"/>
    <w:tmpl w:val="ECD429AE"/>
    <w:lvl w:ilvl="0" w:tplc="4C9087F6">
      <w:start w:val="1"/>
      <w:numFmt w:val="decimal"/>
      <w:lvlText w:val="%1."/>
      <w:lvlJc w:val="left"/>
      <w:pPr>
        <w:ind w:left="720" w:hanging="360"/>
      </w:pPr>
    </w:lvl>
    <w:lvl w:ilvl="1" w:tplc="5C2C5AC2">
      <w:start w:val="1"/>
      <w:numFmt w:val="lowerLetter"/>
      <w:lvlText w:val="%2."/>
      <w:lvlJc w:val="left"/>
      <w:pPr>
        <w:ind w:left="1440" w:hanging="360"/>
      </w:pPr>
    </w:lvl>
    <w:lvl w:ilvl="2" w:tplc="3192151C">
      <w:start w:val="1"/>
      <w:numFmt w:val="lowerRoman"/>
      <w:lvlText w:val="%3."/>
      <w:lvlJc w:val="right"/>
      <w:pPr>
        <w:ind w:left="2160" w:hanging="180"/>
      </w:pPr>
    </w:lvl>
    <w:lvl w:ilvl="3" w:tplc="414A3206">
      <w:start w:val="1"/>
      <w:numFmt w:val="decimal"/>
      <w:lvlText w:val="%4."/>
      <w:lvlJc w:val="left"/>
      <w:pPr>
        <w:ind w:left="2880" w:hanging="360"/>
      </w:pPr>
    </w:lvl>
    <w:lvl w:ilvl="4" w:tplc="87F066EE">
      <w:start w:val="1"/>
      <w:numFmt w:val="lowerLetter"/>
      <w:lvlText w:val="%5."/>
      <w:lvlJc w:val="left"/>
      <w:pPr>
        <w:ind w:left="3600" w:hanging="360"/>
      </w:pPr>
    </w:lvl>
    <w:lvl w:ilvl="5" w:tplc="52365568">
      <w:start w:val="1"/>
      <w:numFmt w:val="lowerRoman"/>
      <w:lvlText w:val="%6."/>
      <w:lvlJc w:val="right"/>
      <w:pPr>
        <w:ind w:left="4320" w:hanging="180"/>
      </w:pPr>
    </w:lvl>
    <w:lvl w:ilvl="6" w:tplc="F24CCDEA">
      <w:start w:val="1"/>
      <w:numFmt w:val="decimal"/>
      <w:lvlText w:val="%7."/>
      <w:lvlJc w:val="left"/>
      <w:pPr>
        <w:ind w:left="5040" w:hanging="360"/>
      </w:pPr>
    </w:lvl>
    <w:lvl w:ilvl="7" w:tplc="0AEC602E">
      <w:start w:val="1"/>
      <w:numFmt w:val="lowerLetter"/>
      <w:lvlText w:val="%8."/>
      <w:lvlJc w:val="left"/>
      <w:pPr>
        <w:ind w:left="5760" w:hanging="360"/>
      </w:pPr>
    </w:lvl>
    <w:lvl w:ilvl="8" w:tplc="2368A3DE">
      <w:start w:val="1"/>
      <w:numFmt w:val="lowerRoman"/>
      <w:lvlText w:val="%9."/>
      <w:lvlJc w:val="right"/>
      <w:pPr>
        <w:ind w:left="6480" w:hanging="180"/>
      </w:pPr>
    </w:lvl>
  </w:abstractNum>
  <w:abstractNum w:abstractNumId="119" w15:restartNumberingAfterBreak="0">
    <w:nsid w:val="57BD2A10"/>
    <w:multiLevelType w:val="multilevel"/>
    <w:tmpl w:val="DAEAED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B395AAA"/>
    <w:multiLevelType w:val="singleLevel"/>
    <w:tmpl w:val="96D02E8A"/>
    <w:name w:val="Bullet 1"/>
    <w:lvl w:ilvl="0">
      <w:start w:val="1"/>
      <w:numFmt w:val="bullet"/>
      <w:pStyle w:val="Bullet1"/>
      <w:lvlText w:val=""/>
      <w:lvlJc w:val="left"/>
      <w:pPr>
        <w:tabs>
          <w:tab w:val="num" w:pos="1417"/>
        </w:tabs>
        <w:ind w:left="1417" w:hanging="567"/>
      </w:pPr>
      <w:rPr>
        <w:rFonts w:ascii="Symbol" w:hAnsi="Symbol" w:hint="default"/>
      </w:rPr>
    </w:lvl>
  </w:abstractNum>
  <w:abstractNum w:abstractNumId="121" w15:restartNumberingAfterBreak="0">
    <w:nsid w:val="5BCE277F"/>
    <w:multiLevelType w:val="multilevel"/>
    <w:tmpl w:val="87FEB42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5C056EE5"/>
    <w:multiLevelType w:val="singleLevel"/>
    <w:tmpl w:val="3378D27C"/>
    <w:name w:val="Bullet 2"/>
    <w:lvl w:ilvl="0">
      <w:start w:val="1"/>
      <w:numFmt w:val="bullet"/>
      <w:pStyle w:val="Bullet2"/>
      <w:lvlText w:val=""/>
      <w:lvlJc w:val="left"/>
      <w:pPr>
        <w:tabs>
          <w:tab w:val="num" w:pos="1984"/>
        </w:tabs>
        <w:ind w:left="1984" w:hanging="567"/>
      </w:pPr>
      <w:rPr>
        <w:rFonts w:ascii="Symbol" w:hAnsi="Symbol" w:hint="default"/>
      </w:rPr>
    </w:lvl>
  </w:abstractNum>
  <w:abstractNum w:abstractNumId="123"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24" w15:restartNumberingAfterBreak="0">
    <w:nsid w:val="5D0A1416"/>
    <w:multiLevelType w:val="multilevel"/>
    <w:tmpl w:val="A2867A0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E2E53FD"/>
    <w:multiLevelType w:val="hybridMultilevel"/>
    <w:tmpl w:val="CCCE8B74"/>
    <w:lvl w:ilvl="0" w:tplc="04100011">
      <w:start w:val="1"/>
      <w:numFmt w:val="decimal"/>
      <w:lvlText w:val="%1)"/>
      <w:lvlJc w:val="left"/>
      <w:pPr>
        <w:ind w:left="72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6" w15:restartNumberingAfterBreak="0">
    <w:nsid w:val="5E8C59F9"/>
    <w:multiLevelType w:val="multilevel"/>
    <w:tmpl w:val="D73CCF0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5F0D4639"/>
    <w:multiLevelType w:val="hybridMultilevel"/>
    <w:tmpl w:val="7A1CF0CE"/>
    <w:lvl w:ilvl="0" w:tplc="8EBEB170">
      <w:start w:val="1"/>
      <w:numFmt w:val="decimal"/>
      <w:lvlText w:val="%1."/>
      <w:lvlJc w:val="left"/>
      <w:pPr>
        <w:ind w:left="288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28" w15:restartNumberingAfterBreak="0">
    <w:nsid w:val="5F91117A"/>
    <w:multiLevelType w:val="multilevel"/>
    <w:tmpl w:val="399ED48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FB56B1D"/>
    <w:multiLevelType w:val="multilevel"/>
    <w:tmpl w:val="F65E3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FD00279"/>
    <w:multiLevelType w:val="multilevel"/>
    <w:tmpl w:val="034247E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1" w15:restartNumberingAfterBreak="0">
    <w:nsid w:val="5FF63949"/>
    <w:multiLevelType w:val="hybridMultilevel"/>
    <w:tmpl w:val="C94E34EA"/>
    <w:lvl w:ilvl="0" w:tplc="18090011">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32" w15:restartNumberingAfterBreak="0">
    <w:nsid w:val="63A15AD3"/>
    <w:multiLevelType w:val="hybridMultilevel"/>
    <w:tmpl w:val="13087CA4"/>
    <w:lvl w:ilvl="0" w:tplc="BDD06172">
      <w:start w:val="1"/>
      <w:numFmt w:val="bullet"/>
      <w:pStyle w:val="TOC1"/>
      <w:lvlText w:val=""/>
      <w:lvlJc w:val="left"/>
      <w:pPr>
        <w:ind w:left="1440" w:hanging="360"/>
      </w:pPr>
      <w:rPr>
        <w:rFonts w:ascii="Symbol" w:hAnsi="Symbol" w:hint="default"/>
      </w:rPr>
    </w:lvl>
    <w:lvl w:ilvl="1" w:tplc="A8CC45A2">
      <w:start w:val="1"/>
      <w:numFmt w:val="bullet"/>
      <w:lvlText w:val="o"/>
      <w:lvlJc w:val="left"/>
      <w:pPr>
        <w:ind w:left="2160" w:hanging="360"/>
      </w:pPr>
      <w:rPr>
        <w:rFonts w:ascii="Courier New" w:hAnsi="Courier New" w:hint="default"/>
      </w:rPr>
    </w:lvl>
    <w:lvl w:ilvl="2" w:tplc="CA12AE6E">
      <w:start w:val="1"/>
      <w:numFmt w:val="bullet"/>
      <w:lvlText w:val=""/>
      <w:lvlJc w:val="left"/>
      <w:pPr>
        <w:ind w:left="2880" w:hanging="360"/>
      </w:pPr>
      <w:rPr>
        <w:rFonts w:ascii="Wingdings" w:hAnsi="Wingdings" w:hint="default"/>
      </w:rPr>
    </w:lvl>
    <w:lvl w:ilvl="3" w:tplc="44D059CC">
      <w:start w:val="1"/>
      <w:numFmt w:val="bullet"/>
      <w:lvlText w:val=""/>
      <w:lvlJc w:val="left"/>
      <w:pPr>
        <w:ind w:left="3600" w:hanging="360"/>
      </w:pPr>
      <w:rPr>
        <w:rFonts w:ascii="Symbol" w:hAnsi="Symbol" w:hint="default"/>
      </w:rPr>
    </w:lvl>
    <w:lvl w:ilvl="4" w:tplc="7866830A">
      <w:start w:val="1"/>
      <w:numFmt w:val="bullet"/>
      <w:lvlText w:val="o"/>
      <w:lvlJc w:val="left"/>
      <w:pPr>
        <w:ind w:left="4320" w:hanging="360"/>
      </w:pPr>
      <w:rPr>
        <w:rFonts w:ascii="Courier New" w:hAnsi="Courier New" w:hint="default"/>
      </w:rPr>
    </w:lvl>
    <w:lvl w:ilvl="5" w:tplc="AC222650">
      <w:start w:val="1"/>
      <w:numFmt w:val="bullet"/>
      <w:lvlText w:val=""/>
      <w:lvlJc w:val="left"/>
      <w:pPr>
        <w:ind w:left="5040" w:hanging="360"/>
      </w:pPr>
      <w:rPr>
        <w:rFonts w:ascii="Wingdings" w:hAnsi="Wingdings" w:hint="default"/>
      </w:rPr>
    </w:lvl>
    <w:lvl w:ilvl="6" w:tplc="51246CBC">
      <w:start w:val="1"/>
      <w:numFmt w:val="bullet"/>
      <w:lvlText w:val=""/>
      <w:lvlJc w:val="left"/>
      <w:pPr>
        <w:ind w:left="5760" w:hanging="360"/>
      </w:pPr>
      <w:rPr>
        <w:rFonts w:ascii="Symbol" w:hAnsi="Symbol" w:hint="default"/>
      </w:rPr>
    </w:lvl>
    <w:lvl w:ilvl="7" w:tplc="D4FEC508">
      <w:start w:val="1"/>
      <w:numFmt w:val="bullet"/>
      <w:lvlText w:val="o"/>
      <w:lvlJc w:val="left"/>
      <w:pPr>
        <w:ind w:left="6480" w:hanging="360"/>
      </w:pPr>
      <w:rPr>
        <w:rFonts w:ascii="Courier New" w:hAnsi="Courier New" w:hint="default"/>
      </w:rPr>
    </w:lvl>
    <w:lvl w:ilvl="8" w:tplc="7E364E34">
      <w:start w:val="1"/>
      <w:numFmt w:val="bullet"/>
      <w:lvlText w:val=""/>
      <w:lvlJc w:val="left"/>
      <w:pPr>
        <w:ind w:left="7200" w:hanging="360"/>
      </w:pPr>
      <w:rPr>
        <w:rFonts w:ascii="Wingdings" w:hAnsi="Wingdings" w:hint="default"/>
      </w:rPr>
    </w:lvl>
  </w:abstractNum>
  <w:abstractNum w:abstractNumId="133" w15:restartNumberingAfterBreak="0">
    <w:nsid w:val="64166D02"/>
    <w:multiLevelType w:val="multilevel"/>
    <w:tmpl w:val="C99AB46E"/>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4" w15:restartNumberingAfterBreak="0">
    <w:nsid w:val="64E73F92"/>
    <w:multiLevelType w:val="multilevel"/>
    <w:tmpl w:val="1D968A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4EC091A"/>
    <w:multiLevelType w:val="hybridMultilevel"/>
    <w:tmpl w:val="A5402258"/>
    <w:lvl w:ilvl="0" w:tplc="4EC0B3BA">
      <w:numFmt w:val="bullet"/>
      <w:lvlText w:val="-"/>
      <w:lvlJc w:val="left"/>
      <w:pPr>
        <w:ind w:left="360" w:hanging="360"/>
      </w:pPr>
      <w:rPr>
        <w:rFonts w:ascii="Calibri" w:hAnsi="Calibri" w:hint="default"/>
      </w:rPr>
    </w:lvl>
    <w:lvl w:ilvl="1" w:tplc="6FBE6014">
      <w:start w:val="1"/>
      <w:numFmt w:val="bullet"/>
      <w:lvlText w:val="o"/>
      <w:lvlJc w:val="left"/>
      <w:pPr>
        <w:ind w:left="1080" w:hanging="360"/>
      </w:pPr>
      <w:rPr>
        <w:rFonts w:ascii="Courier New" w:hAnsi="Courier New" w:hint="default"/>
      </w:rPr>
    </w:lvl>
    <w:lvl w:ilvl="2" w:tplc="7E2A8F24">
      <w:start w:val="1"/>
      <w:numFmt w:val="bullet"/>
      <w:lvlText w:val=""/>
      <w:lvlJc w:val="left"/>
      <w:pPr>
        <w:ind w:left="1800" w:hanging="360"/>
      </w:pPr>
      <w:rPr>
        <w:rFonts w:ascii="Wingdings" w:hAnsi="Wingdings" w:hint="default"/>
      </w:rPr>
    </w:lvl>
    <w:lvl w:ilvl="3" w:tplc="BDE2245E">
      <w:start w:val="1"/>
      <w:numFmt w:val="bullet"/>
      <w:lvlText w:val=""/>
      <w:lvlJc w:val="left"/>
      <w:pPr>
        <w:ind w:left="2520" w:hanging="360"/>
      </w:pPr>
      <w:rPr>
        <w:rFonts w:ascii="Symbol" w:hAnsi="Symbol" w:hint="default"/>
      </w:rPr>
    </w:lvl>
    <w:lvl w:ilvl="4" w:tplc="72A254BE">
      <w:start w:val="1"/>
      <w:numFmt w:val="bullet"/>
      <w:lvlText w:val="o"/>
      <w:lvlJc w:val="left"/>
      <w:pPr>
        <w:ind w:left="3240" w:hanging="360"/>
      </w:pPr>
      <w:rPr>
        <w:rFonts w:ascii="Courier New" w:hAnsi="Courier New" w:hint="default"/>
      </w:rPr>
    </w:lvl>
    <w:lvl w:ilvl="5" w:tplc="599072B8">
      <w:start w:val="1"/>
      <w:numFmt w:val="bullet"/>
      <w:lvlText w:val=""/>
      <w:lvlJc w:val="left"/>
      <w:pPr>
        <w:ind w:left="3960" w:hanging="360"/>
      </w:pPr>
      <w:rPr>
        <w:rFonts w:ascii="Wingdings" w:hAnsi="Wingdings" w:hint="default"/>
      </w:rPr>
    </w:lvl>
    <w:lvl w:ilvl="6" w:tplc="904C2150">
      <w:start w:val="1"/>
      <w:numFmt w:val="bullet"/>
      <w:lvlText w:val=""/>
      <w:lvlJc w:val="left"/>
      <w:pPr>
        <w:ind w:left="4680" w:hanging="360"/>
      </w:pPr>
      <w:rPr>
        <w:rFonts w:ascii="Symbol" w:hAnsi="Symbol" w:hint="default"/>
      </w:rPr>
    </w:lvl>
    <w:lvl w:ilvl="7" w:tplc="5BD0BB3E">
      <w:start w:val="1"/>
      <w:numFmt w:val="bullet"/>
      <w:lvlText w:val="o"/>
      <w:lvlJc w:val="left"/>
      <w:pPr>
        <w:ind w:left="5400" w:hanging="360"/>
      </w:pPr>
      <w:rPr>
        <w:rFonts w:ascii="Courier New" w:hAnsi="Courier New" w:hint="default"/>
      </w:rPr>
    </w:lvl>
    <w:lvl w:ilvl="8" w:tplc="F0103530">
      <w:start w:val="1"/>
      <w:numFmt w:val="bullet"/>
      <w:lvlText w:val=""/>
      <w:lvlJc w:val="left"/>
      <w:pPr>
        <w:ind w:left="6120" w:hanging="360"/>
      </w:pPr>
      <w:rPr>
        <w:rFonts w:ascii="Wingdings" w:hAnsi="Wingdings" w:hint="default"/>
      </w:rPr>
    </w:lvl>
  </w:abstractNum>
  <w:abstractNum w:abstractNumId="136" w15:restartNumberingAfterBreak="0">
    <w:nsid w:val="65344C90"/>
    <w:multiLevelType w:val="hybridMultilevel"/>
    <w:tmpl w:val="475E3F6E"/>
    <w:lvl w:ilvl="0" w:tplc="1809000F">
      <w:start w:val="1"/>
      <w:numFmt w:val="decimal"/>
      <w:lvlText w:val="%1."/>
      <w:lvlJc w:val="left"/>
      <w:pPr>
        <w:ind w:left="1080" w:hanging="360"/>
      </w:pPr>
    </w:lvl>
    <w:lvl w:ilvl="1" w:tplc="18090019">
      <w:start w:val="1"/>
      <w:numFmt w:val="lowerLetter"/>
      <w:lvlText w:val="%2."/>
      <w:lvlJc w:val="left"/>
      <w:pPr>
        <w:ind w:left="1800" w:hanging="360"/>
      </w:pPr>
    </w:lvl>
    <w:lvl w:ilvl="2" w:tplc="1809001B">
      <w:start w:val="1"/>
      <w:numFmt w:val="lowerRoman"/>
      <w:lvlText w:val="%3."/>
      <w:lvlJc w:val="right"/>
      <w:pPr>
        <w:ind w:left="2520" w:hanging="180"/>
      </w:pPr>
    </w:lvl>
    <w:lvl w:ilvl="3" w:tplc="1809000F">
      <w:start w:val="1"/>
      <w:numFmt w:val="decimal"/>
      <w:lvlText w:val="%4."/>
      <w:lvlJc w:val="left"/>
      <w:pPr>
        <w:ind w:left="3240" w:hanging="360"/>
      </w:pPr>
    </w:lvl>
    <w:lvl w:ilvl="4" w:tplc="18090019">
      <w:start w:val="1"/>
      <w:numFmt w:val="lowerLetter"/>
      <w:lvlText w:val="%5."/>
      <w:lvlJc w:val="left"/>
      <w:pPr>
        <w:ind w:left="3960" w:hanging="360"/>
      </w:pPr>
    </w:lvl>
    <w:lvl w:ilvl="5" w:tplc="1809001B">
      <w:start w:val="1"/>
      <w:numFmt w:val="lowerRoman"/>
      <w:lvlText w:val="%6."/>
      <w:lvlJc w:val="right"/>
      <w:pPr>
        <w:ind w:left="4680" w:hanging="180"/>
      </w:pPr>
    </w:lvl>
    <w:lvl w:ilvl="6" w:tplc="1809000F">
      <w:start w:val="1"/>
      <w:numFmt w:val="decimal"/>
      <w:lvlText w:val="%7."/>
      <w:lvlJc w:val="left"/>
      <w:pPr>
        <w:ind w:left="5400" w:hanging="360"/>
      </w:pPr>
    </w:lvl>
    <w:lvl w:ilvl="7" w:tplc="18090019">
      <w:start w:val="1"/>
      <w:numFmt w:val="lowerLetter"/>
      <w:lvlText w:val="%8."/>
      <w:lvlJc w:val="left"/>
      <w:pPr>
        <w:ind w:left="6120" w:hanging="360"/>
      </w:pPr>
    </w:lvl>
    <w:lvl w:ilvl="8" w:tplc="1809001B">
      <w:start w:val="1"/>
      <w:numFmt w:val="lowerRoman"/>
      <w:lvlText w:val="%9."/>
      <w:lvlJc w:val="right"/>
      <w:pPr>
        <w:ind w:left="6840" w:hanging="180"/>
      </w:pPr>
    </w:lvl>
  </w:abstractNum>
  <w:abstractNum w:abstractNumId="137" w15:restartNumberingAfterBreak="0">
    <w:nsid w:val="670D2CB2"/>
    <w:multiLevelType w:val="multilevel"/>
    <w:tmpl w:val="D010AB18"/>
    <w:lvl w:ilvl="0">
      <w:start w:val="8"/>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8" w15:restartNumberingAfterBreak="0">
    <w:nsid w:val="67B856F6"/>
    <w:multiLevelType w:val="singleLevel"/>
    <w:tmpl w:val="0AB28E9C"/>
    <w:name w:val="Tiret 2"/>
    <w:lvl w:ilvl="0">
      <w:start w:val="1"/>
      <w:numFmt w:val="bullet"/>
      <w:pStyle w:val="Tiret2"/>
      <w:lvlText w:val="–"/>
      <w:lvlJc w:val="left"/>
      <w:pPr>
        <w:tabs>
          <w:tab w:val="num" w:pos="1984"/>
        </w:tabs>
        <w:ind w:left="1984" w:hanging="567"/>
      </w:pPr>
    </w:lvl>
  </w:abstractNum>
  <w:abstractNum w:abstractNumId="139" w15:restartNumberingAfterBreak="0">
    <w:nsid w:val="68B5403C"/>
    <w:multiLevelType w:val="hybridMultilevel"/>
    <w:tmpl w:val="029C7FA2"/>
    <w:lvl w:ilvl="0" w:tplc="23C2407A">
      <w:start w:val="2"/>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0" w15:restartNumberingAfterBreak="0">
    <w:nsid w:val="69936A2E"/>
    <w:multiLevelType w:val="hybridMultilevel"/>
    <w:tmpl w:val="7DFCC346"/>
    <w:lvl w:ilvl="0" w:tplc="5380BE8C">
      <w:start w:val="1"/>
      <w:numFmt w:val="lowerRoman"/>
      <w:lvlText w:val="%1)"/>
      <w:lvlJc w:val="righ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41" w15:restartNumberingAfterBreak="0">
    <w:nsid w:val="69C5E854"/>
    <w:multiLevelType w:val="hybridMultilevel"/>
    <w:tmpl w:val="FFFFFFFF"/>
    <w:lvl w:ilvl="0" w:tplc="56E28C82">
      <w:start w:val="1"/>
      <w:numFmt w:val="upperRoman"/>
      <w:lvlText w:val="%1)"/>
      <w:lvlJc w:val="left"/>
      <w:pPr>
        <w:ind w:left="720" w:hanging="360"/>
      </w:pPr>
    </w:lvl>
    <w:lvl w:ilvl="1" w:tplc="B838C29A">
      <w:start w:val="1"/>
      <w:numFmt w:val="lowerLetter"/>
      <w:lvlText w:val="%2."/>
      <w:lvlJc w:val="left"/>
      <w:pPr>
        <w:ind w:left="1440" w:hanging="360"/>
      </w:pPr>
    </w:lvl>
    <w:lvl w:ilvl="2" w:tplc="21AAFD04">
      <w:start w:val="1"/>
      <w:numFmt w:val="lowerRoman"/>
      <w:lvlText w:val="%3."/>
      <w:lvlJc w:val="right"/>
      <w:pPr>
        <w:ind w:left="2160" w:hanging="180"/>
      </w:pPr>
    </w:lvl>
    <w:lvl w:ilvl="3" w:tplc="0B9E31B2">
      <w:start w:val="1"/>
      <w:numFmt w:val="decimal"/>
      <w:lvlText w:val="%4."/>
      <w:lvlJc w:val="left"/>
      <w:pPr>
        <w:ind w:left="2880" w:hanging="360"/>
      </w:pPr>
    </w:lvl>
    <w:lvl w:ilvl="4" w:tplc="E384EABE">
      <w:start w:val="1"/>
      <w:numFmt w:val="lowerLetter"/>
      <w:lvlText w:val="%5."/>
      <w:lvlJc w:val="left"/>
      <w:pPr>
        <w:ind w:left="3600" w:hanging="360"/>
      </w:pPr>
    </w:lvl>
    <w:lvl w:ilvl="5" w:tplc="05503056">
      <w:start w:val="1"/>
      <w:numFmt w:val="lowerRoman"/>
      <w:lvlText w:val="%6."/>
      <w:lvlJc w:val="right"/>
      <w:pPr>
        <w:ind w:left="4320" w:hanging="180"/>
      </w:pPr>
    </w:lvl>
    <w:lvl w:ilvl="6" w:tplc="D96C9CD4">
      <w:start w:val="1"/>
      <w:numFmt w:val="decimal"/>
      <w:lvlText w:val="%7."/>
      <w:lvlJc w:val="left"/>
      <w:pPr>
        <w:ind w:left="5040" w:hanging="360"/>
      </w:pPr>
    </w:lvl>
    <w:lvl w:ilvl="7" w:tplc="ECEEECB8">
      <w:start w:val="1"/>
      <w:numFmt w:val="lowerLetter"/>
      <w:lvlText w:val="%8."/>
      <w:lvlJc w:val="left"/>
      <w:pPr>
        <w:ind w:left="5760" w:hanging="360"/>
      </w:pPr>
    </w:lvl>
    <w:lvl w:ilvl="8" w:tplc="1038AEFC">
      <w:start w:val="1"/>
      <w:numFmt w:val="lowerRoman"/>
      <w:lvlText w:val="%9."/>
      <w:lvlJc w:val="right"/>
      <w:pPr>
        <w:ind w:left="6480" w:hanging="180"/>
      </w:pPr>
    </w:lvl>
  </w:abstractNum>
  <w:abstractNum w:abstractNumId="142" w15:restartNumberingAfterBreak="0">
    <w:nsid w:val="6A587128"/>
    <w:multiLevelType w:val="multilevel"/>
    <w:tmpl w:val="5EBCA84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6A5F1BA5"/>
    <w:multiLevelType w:val="multilevel"/>
    <w:tmpl w:val="5EE02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AFE6E83"/>
    <w:multiLevelType w:val="multilevel"/>
    <w:tmpl w:val="3FDA054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6B0E38AD"/>
    <w:multiLevelType w:val="hybridMultilevel"/>
    <w:tmpl w:val="046E43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6" w15:restartNumberingAfterBreak="0">
    <w:nsid w:val="6C37385B"/>
    <w:multiLevelType w:val="hybridMultilevel"/>
    <w:tmpl w:val="57805CB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7" w15:restartNumberingAfterBreak="0">
    <w:nsid w:val="6C3B6935"/>
    <w:multiLevelType w:val="hybridMultilevel"/>
    <w:tmpl w:val="BB86849A"/>
    <w:lvl w:ilvl="0" w:tplc="18090017">
      <w:start w:val="1"/>
      <w:numFmt w:val="lowerLetter"/>
      <w:lvlText w:val="%1)"/>
      <w:lvlJc w:val="left"/>
      <w:pPr>
        <w:ind w:left="1196" w:hanging="360"/>
      </w:pPr>
    </w:lvl>
    <w:lvl w:ilvl="1" w:tplc="18090019" w:tentative="1">
      <w:start w:val="1"/>
      <w:numFmt w:val="lowerLetter"/>
      <w:lvlText w:val="%2."/>
      <w:lvlJc w:val="left"/>
      <w:pPr>
        <w:ind w:left="1916" w:hanging="360"/>
      </w:pPr>
    </w:lvl>
    <w:lvl w:ilvl="2" w:tplc="1809001B" w:tentative="1">
      <w:start w:val="1"/>
      <w:numFmt w:val="lowerRoman"/>
      <w:lvlText w:val="%3."/>
      <w:lvlJc w:val="right"/>
      <w:pPr>
        <w:ind w:left="2636" w:hanging="180"/>
      </w:pPr>
    </w:lvl>
    <w:lvl w:ilvl="3" w:tplc="1809000F" w:tentative="1">
      <w:start w:val="1"/>
      <w:numFmt w:val="decimal"/>
      <w:lvlText w:val="%4."/>
      <w:lvlJc w:val="left"/>
      <w:pPr>
        <w:ind w:left="3356" w:hanging="360"/>
      </w:pPr>
    </w:lvl>
    <w:lvl w:ilvl="4" w:tplc="18090019" w:tentative="1">
      <w:start w:val="1"/>
      <w:numFmt w:val="lowerLetter"/>
      <w:lvlText w:val="%5."/>
      <w:lvlJc w:val="left"/>
      <w:pPr>
        <w:ind w:left="4076" w:hanging="360"/>
      </w:pPr>
    </w:lvl>
    <w:lvl w:ilvl="5" w:tplc="1809001B" w:tentative="1">
      <w:start w:val="1"/>
      <w:numFmt w:val="lowerRoman"/>
      <w:lvlText w:val="%6."/>
      <w:lvlJc w:val="right"/>
      <w:pPr>
        <w:ind w:left="4796" w:hanging="180"/>
      </w:pPr>
    </w:lvl>
    <w:lvl w:ilvl="6" w:tplc="1809000F" w:tentative="1">
      <w:start w:val="1"/>
      <w:numFmt w:val="decimal"/>
      <w:lvlText w:val="%7."/>
      <w:lvlJc w:val="left"/>
      <w:pPr>
        <w:ind w:left="5516" w:hanging="360"/>
      </w:pPr>
    </w:lvl>
    <w:lvl w:ilvl="7" w:tplc="18090019" w:tentative="1">
      <w:start w:val="1"/>
      <w:numFmt w:val="lowerLetter"/>
      <w:lvlText w:val="%8."/>
      <w:lvlJc w:val="left"/>
      <w:pPr>
        <w:ind w:left="6236" w:hanging="360"/>
      </w:pPr>
    </w:lvl>
    <w:lvl w:ilvl="8" w:tplc="1809001B" w:tentative="1">
      <w:start w:val="1"/>
      <w:numFmt w:val="lowerRoman"/>
      <w:lvlText w:val="%9."/>
      <w:lvlJc w:val="right"/>
      <w:pPr>
        <w:ind w:left="6956" w:hanging="180"/>
      </w:pPr>
    </w:lvl>
  </w:abstractNum>
  <w:abstractNum w:abstractNumId="148" w15:restartNumberingAfterBreak="0">
    <w:nsid w:val="6CED03CC"/>
    <w:multiLevelType w:val="multilevel"/>
    <w:tmpl w:val="B25056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15:restartNumberingAfterBreak="0">
    <w:nsid w:val="6DEA7483"/>
    <w:multiLevelType w:val="hybridMultilevel"/>
    <w:tmpl w:val="189A45C8"/>
    <w:lvl w:ilvl="0" w:tplc="DBB8B8C6">
      <w:start w:val="1"/>
      <w:numFmt w:val="bullet"/>
      <w:lvlText w:val=""/>
      <w:lvlJc w:val="left"/>
      <w:pPr>
        <w:ind w:left="720" w:hanging="360"/>
      </w:pPr>
      <w:rPr>
        <w:rFonts w:ascii="Symbol" w:hAnsi="Symbol" w:hint="default"/>
      </w:rPr>
    </w:lvl>
    <w:lvl w:ilvl="1" w:tplc="109EFACA">
      <w:start w:val="1"/>
      <w:numFmt w:val="bullet"/>
      <w:lvlText w:val="o"/>
      <w:lvlJc w:val="left"/>
      <w:pPr>
        <w:ind w:left="1440" w:hanging="360"/>
      </w:pPr>
      <w:rPr>
        <w:rFonts w:ascii="Courier New" w:hAnsi="Courier New" w:hint="default"/>
      </w:rPr>
    </w:lvl>
    <w:lvl w:ilvl="2" w:tplc="C49E924A">
      <w:start w:val="1"/>
      <w:numFmt w:val="bullet"/>
      <w:lvlText w:val=""/>
      <w:lvlJc w:val="left"/>
      <w:pPr>
        <w:ind w:left="2160" w:hanging="360"/>
      </w:pPr>
      <w:rPr>
        <w:rFonts w:ascii="Wingdings" w:hAnsi="Wingdings" w:hint="default"/>
      </w:rPr>
    </w:lvl>
    <w:lvl w:ilvl="3" w:tplc="88B87FA0">
      <w:start w:val="1"/>
      <w:numFmt w:val="bullet"/>
      <w:lvlText w:val=""/>
      <w:lvlJc w:val="left"/>
      <w:pPr>
        <w:ind w:left="2880" w:hanging="360"/>
      </w:pPr>
      <w:rPr>
        <w:rFonts w:ascii="Symbol" w:hAnsi="Symbol" w:hint="default"/>
      </w:rPr>
    </w:lvl>
    <w:lvl w:ilvl="4" w:tplc="8F30CEC4">
      <w:start w:val="1"/>
      <w:numFmt w:val="bullet"/>
      <w:lvlText w:val="o"/>
      <w:lvlJc w:val="left"/>
      <w:pPr>
        <w:ind w:left="3600" w:hanging="360"/>
      </w:pPr>
      <w:rPr>
        <w:rFonts w:ascii="Courier New" w:hAnsi="Courier New" w:hint="default"/>
      </w:rPr>
    </w:lvl>
    <w:lvl w:ilvl="5" w:tplc="D3921536">
      <w:start w:val="1"/>
      <w:numFmt w:val="bullet"/>
      <w:lvlText w:val=""/>
      <w:lvlJc w:val="left"/>
      <w:pPr>
        <w:ind w:left="4320" w:hanging="360"/>
      </w:pPr>
      <w:rPr>
        <w:rFonts w:ascii="Wingdings" w:hAnsi="Wingdings" w:hint="default"/>
      </w:rPr>
    </w:lvl>
    <w:lvl w:ilvl="6" w:tplc="20409612">
      <w:start w:val="1"/>
      <w:numFmt w:val="bullet"/>
      <w:lvlText w:val=""/>
      <w:lvlJc w:val="left"/>
      <w:pPr>
        <w:ind w:left="5040" w:hanging="360"/>
      </w:pPr>
      <w:rPr>
        <w:rFonts w:ascii="Symbol" w:hAnsi="Symbol" w:hint="default"/>
      </w:rPr>
    </w:lvl>
    <w:lvl w:ilvl="7" w:tplc="A10E3872">
      <w:start w:val="1"/>
      <w:numFmt w:val="bullet"/>
      <w:lvlText w:val="o"/>
      <w:lvlJc w:val="left"/>
      <w:pPr>
        <w:ind w:left="5760" w:hanging="360"/>
      </w:pPr>
      <w:rPr>
        <w:rFonts w:ascii="Courier New" w:hAnsi="Courier New" w:hint="default"/>
      </w:rPr>
    </w:lvl>
    <w:lvl w:ilvl="8" w:tplc="CC987EB4">
      <w:start w:val="1"/>
      <w:numFmt w:val="bullet"/>
      <w:lvlText w:val=""/>
      <w:lvlJc w:val="left"/>
      <w:pPr>
        <w:ind w:left="6480" w:hanging="360"/>
      </w:pPr>
      <w:rPr>
        <w:rFonts w:ascii="Wingdings" w:hAnsi="Wingdings" w:hint="default"/>
      </w:rPr>
    </w:lvl>
  </w:abstractNum>
  <w:abstractNum w:abstractNumId="150" w15:restartNumberingAfterBreak="0">
    <w:nsid w:val="6DED619B"/>
    <w:multiLevelType w:val="hybridMultilevel"/>
    <w:tmpl w:val="FD30E5B0"/>
    <w:lvl w:ilvl="0" w:tplc="ADE0F75A">
      <w:start w:val="1"/>
      <w:numFmt w:val="lowerRoman"/>
      <w:lvlText w:val="%1)"/>
      <w:lvlJc w:val="left"/>
      <w:pPr>
        <w:ind w:left="1080" w:hanging="72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51" w15:restartNumberingAfterBreak="0">
    <w:nsid w:val="6E103457"/>
    <w:multiLevelType w:val="multilevel"/>
    <w:tmpl w:val="EF74D13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E5DD6B0"/>
    <w:multiLevelType w:val="hybridMultilevel"/>
    <w:tmpl w:val="FFFFFFFF"/>
    <w:lvl w:ilvl="0" w:tplc="15B0542E">
      <w:start w:val="1"/>
      <w:numFmt w:val="decimal"/>
      <w:lvlText w:val="%1."/>
      <w:lvlJc w:val="left"/>
      <w:pPr>
        <w:ind w:left="720" w:hanging="360"/>
      </w:pPr>
    </w:lvl>
    <w:lvl w:ilvl="1" w:tplc="CB52A0A0">
      <w:start w:val="1"/>
      <w:numFmt w:val="lowerLetter"/>
      <w:lvlText w:val="%2."/>
      <w:lvlJc w:val="left"/>
      <w:pPr>
        <w:ind w:left="1440" w:hanging="360"/>
      </w:pPr>
    </w:lvl>
    <w:lvl w:ilvl="2" w:tplc="A9E64DAA">
      <w:start w:val="1"/>
      <w:numFmt w:val="lowerRoman"/>
      <w:lvlText w:val="%3."/>
      <w:lvlJc w:val="right"/>
      <w:pPr>
        <w:ind w:left="2160" w:hanging="180"/>
      </w:pPr>
    </w:lvl>
    <w:lvl w:ilvl="3" w:tplc="E714B1C8">
      <w:start w:val="1"/>
      <w:numFmt w:val="decimal"/>
      <w:lvlText w:val="%4."/>
      <w:lvlJc w:val="left"/>
      <w:pPr>
        <w:ind w:left="2880" w:hanging="360"/>
      </w:pPr>
    </w:lvl>
    <w:lvl w:ilvl="4" w:tplc="B6707A26">
      <w:start w:val="1"/>
      <w:numFmt w:val="lowerLetter"/>
      <w:lvlText w:val="%5."/>
      <w:lvlJc w:val="left"/>
      <w:pPr>
        <w:ind w:left="3600" w:hanging="360"/>
      </w:pPr>
    </w:lvl>
    <w:lvl w:ilvl="5" w:tplc="650263B6">
      <w:start w:val="1"/>
      <w:numFmt w:val="lowerRoman"/>
      <w:lvlText w:val="%6."/>
      <w:lvlJc w:val="right"/>
      <w:pPr>
        <w:ind w:left="4320" w:hanging="180"/>
      </w:pPr>
    </w:lvl>
    <w:lvl w:ilvl="6" w:tplc="BD96DB34">
      <w:start w:val="1"/>
      <w:numFmt w:val="decimal"/>
      <w:lvlText w:val="%7."/>
      <w:lvlJc w:val="left"/>
      <w:pPr>
        <w:ind w:left="5040" w:hanging="360"/>
      </w:pPr>
    </w:lvl>
    <w:lvl w:ilvl="7" w:tplc="FF0C3D26">
      <w:start w:val="1"/>
      <w:numFmt w:val="lowerLetter"/>
      <w:lvlText w:val="%8."/>
      <w:lvlJc w:val="left"/>
      <w:pPr>
        <w:ind w:left="5760" w:hanging="360"/>
      </w:pPr>
    </w:lvl>
    <w:lvl w:ilvl="8" w:tplc="31B2E57E">
      <w:start w:val="1"/>
      <w:numFmt w:val="lowerRoman"/>
      <w:lvlText w:val="%9."/>
      <w:lvlJc w:val="right"/>
      <w:pPr>
        <w:ind w:left="6480" w:hanging="180"/>
      </w:pPr>
    </w:lvl>
  </w:abstractNum>
  <w:abstractNum w:abstractNumId="153" w15:restartNumberingAfterBreak="0">
    <w:nsid w:val="6ED65A49"/>
    <w:multiLevelType w:val="hybridMultilevel"/>
    <w:tmpl w:val="0182460E"/>
    <w:lvl w:ilvl="0" w:tplc="9820B010">
      <w:start w:val="1"/>
      <w:numFmt w:val="bullet"/>
      <w:lvlText w:val="o"/>
      <w:lvlJc w:val="left"/>
      <w:pPr>
        <w:ind w:left="720" w:hanging="360"/>
      </w:pPr>
      <w:rPr>
        <w:rFonts w:ascii="Courier New" w:hAnsi="Courier New" w:hint="default"/>
      </w:rPr>
    </w:lvl>
    <w:lvl w:ilvl="1" w:tplc="FDFE7DAA">
      <w:start w:val="1"/>
      <w:numFmt w:val="lowerLetter"/>
      <w:lvlText w:val="%2."/>
      <w:lvlJc w:val="left"/>
      <w:pPr>
        <w:ind w:left="1440" w:hanging="360"/>
      </w:pPr>
    </w:lvl>
    <w:lvl w:ilvl="2" w:tplc="484612EE">
      <w:start w:val="1"/>
      <w:numFmt w:val="lowerRoman"/>
      <w:lvlText w:val="%3."/>
      <w:lvlJc w:val="right"/>
      <w:pPr>
        <w:ind w:left="2160" w:hanging="180"/>
      </w:pPr>
    </w:lvl>
    <w:lvl w:ilvl="3" w:tplc="A802F04C">
      <w:start w:val="1"/>
      <w:numFmt w:val="decimal"/>
      <w:lvlText w:val="%4."/>
      <w:lvlJc w:val="left"/>
      <w:pPr>
        <w:ind w:left="2880" w:hanging="360"/>
      </w:pPr>
    </w:lvl>
    <w:lvl w:ilvl="4" w:tplc="4688283E">
      <w:start w:val="1"/>
      <w:numFmt w:val="lowerLetter"/>
      <w:lvlText w:val="%5."/>
      <w:lvlJc w:val="left"/>
      <w:pPr>
        <w:ind w:left="3600" w:hanging="360"/>
      </w:pPr>
    </w:lvl>
    <w:lvl w:ilvl="5" w:tplc="37029466">
      <w:start w:val="1"/>
      <w:numFmt w:val="lowerRoman"/>
      <w:lvlText w:val="%6."/>
      <w:lvlJc w:val="right"/>
      <w:pPr>
        <w:ind w:left="4320" w:hanging="180"/>
      </w:pPr>
    </w:lvl>
    <w:lvl w:ilvl="6" w:tplc="8F8EA9BE">
      <w:start w:val="1"/>
      <w:numFmt w:val="decimal"/>
      <w:lvlText w:val="%7."/>
      <w:lvlJc w:val="left"/>
      <w:pPr>
        <w:ind w:left="5040" w:hanging="360"/>
      </w:pPr>
    </w:lvl>
    <w:lvl w:ilvl="7" w:tplc="49884062">
      <w:start w:val="1"/>
      <w:numFmt w:val="lowerLetter"/>
      <w:lvlText w:val="%8."/>
      <w:lvlJc w:val="left"/>
      <w:pPr>
        <w:ind w:left="5760" w:hanging="360"/>
      </w:pPr>
    </w:lvl>
    <w:lvl w:ilvl="8" w:tplc="4E1E3F68">
      <w:start w:val="1"/>
      <w:numFmt w:val="lowerRoman"/>
      <w:lvlText w:val="%9."/>
      <w:lvlJc w:val="right"/>
      <w:pPr>
        <w:ind w:left="6480" w:hanging="180"/>
      </w:pPr>
    </w:lvl>
  </w:abstractNum>
  <w:abstractNum w:abstractNumId="154" w15:restartNumberingAfterBreak="0">
    <w:nsid w:val="6FF14727"/>
    <w:multiLevelType w:val="multilevel"/>
    <w:tmpl w:val="A8F8C3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00D7AC7"/>
    <w:multiLevelType w:val="multilevel"/>
    <w:tmpl w:val="E9C600A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15:restartNumberingAfterBreak="0">
    <w:nsid w:val="70257864"/>
    <w:multiLevelType w:val="hybridMultilevel"/>
    <w:tmpl w:val="B2D04A18"/>
    <w:lvl w:ilvl="0" w:tplc="56E64AA8">
      <w:start w:val="1"/>
      <w:numFmt w:val="lowerRoman"/>
      <w:lvlText w:val="%1)"/>
      <w:lvlJc w:val="left"/>
      <w:pPr>
        <w:ind w:left="720" w:hanging="360"/>
      </w:pPr>
    </w:lvl>
    <w:lvl w:ilvl="1" w:tplc="84DEC14A">
      <w:start w:val="1"/>
      <w:numFmt w:val="bullet"/>
      <w:lvlText w:val="o"/>
      <w:lvlJc w:val="left"/>
      <w:pPr>
        <w:ind w:left="1440" w:hanging="360"/>
      </w:pPr>
      <w:rPr>
        <w:rFonts w:ascii="Courier New" w:hAnsi="Courier New" w:hint="default"/>
      </w:rPr>
    </w:lvl>
    <w:lvl w:ilvl="2" w:tplc="ED429472">
      <w:start w:val="1"/>
      <w:numFmt w:val="bullet"/>
      <w:lvlText w:val=""/>
      <w:lvlJc w:val="left"/>
      <w:pPr>
        <w:ind w:left="2160" w:hanging="360"/>
      </w:pPr>
      <w:rPr>
        <w:rFonts w:ascii="Wingdings" w:hAnsi="Wingdings" w:hint="default"/>
      </w:rPr>
    </w:lvl>
    <w:lvl w:ilvl="3" w:tplc="546C0E6C">
      <w:start w:val="1"/>
      <w:numFmt w:val="bullet"/>
      <w:lvlText w:val=""/>
      <w:lvlJc w:val="left"/>
      <w:pPr>
        <w:ind w:left="2880" w:hanging="360"/>
      </w:pPr>
      <w:rPr>
        <w:rFonts w:ascii="Symbol" w:hAnsi="Symbol" w:hint="default"/>
      </w:rPr>
    </w:lvl>
    <w:lvl w:ilvl="4" w:tplc="A1AE18D2">
      <w:start w:val="1"/>
      <w:numFmt w:val="bullet"/>
      <w:lvlText w:val="o"/>
      <w:lvlJc w:val="left"/>
      <w:pPr>
        <w:ind w:left="3600" w:hanging="360"/>
      </w:pPr>
      <w:rPr>
        <w:rFonts w:ascii="Courier New" w:hAnsi="Courier New" w:hint="default"/>
      </w:rPr>
    </w:lvl>
    <w:lvl w:ilvl="5" w:tplc="7F126766">
      <w:start w:val="1"/>
      <w:numFmt w:val="bullet"/>
      <w:lvlText w:val=""/>
      <w:lvlJc w:val="left"/>
      <w:pPr>
        <w:ind w:left="4320" w:hanging="360"/>
      </w:pPr>
      <w:rPr>
        <w:rFonts w:ascii="Wingdings" w:hAnsi="Wingdings" w:hint="default"/>
      </w:rPr>
    </w:lvl>
    <w:lvl w:ilvl="6" w:tplc="1A72FDB0">
      <w:start w:val="1"/>
      <w:numFmt w:val="bullet"/>
      <w:lvlText w:val=""/>
      <w:lvlJc w:val="left"/>
      <w:pPr>
        <w:ind w:left="5040" w:hanging="360"/>
      </w:pPr>
      <w:rPr>
        <w:rFonts w:ascii="Symbol" w:hAnsi="Symbol" w:hint="default"/>
      </w:rPr>
    </w:lvl>
    <w:lvl w:ilvl="7" w:tplc="CEFC3846">
      <w:start w:val="1"/>
      <w:numFmt w:val="bullet"/>
      <w:lvlText w:val="o"/>
      <w:lvlJc w:val="left"/>
      <w:pPr>
        <w:ind w:left="5760" w:hanging="360"/>
      </w:pPr>
      <w:rPr>
        <w:rFonts w:ascii="Courier New" w:hAnsi="Courier New" w:hint="default"/>
      </w:rPr>
    </w:lvl>
    <w:lvl w:ilvl="8" w:tplc="63B6A13C">
      <w:start w:val="1"/>
      <w:numFmt w:val="bullet"/>
      <w:lvlText w:val=""/>
      <w:lvlJc w:val="left"/>
      <w:pPr>
        <w:ind w:left="6480" w:hanging="360"/>
      </w:pPr>
      <w:rPr>
        <w:rFonts w:ascii="Wingdings" w:hAnsi="Wingdings" w:hint="default"/>
      </w:rPr>
    </w:lvl>
  </w:abstractNum>
  <w:abstractNum w:abstractNumId="157" w15:restartNumberingAfterBreak="0">
    <w:nsid w:val="7027604A"/>
    <w:multiLevelType w:val="hybridMultilevel"/>
    <w:tmpl w:val="6894551A"/>
    <w:lvl w:ilvl="0" w:tplc="60C4BCA6">
      <w:start w:val="1"/>
      <w:numFmt w:val="lowerRoman"/>
      <w:lvlText w:val="%1."/>
      <w:lvlJc w:val="right"/>
      <w:pPr>
        <w:ind w:left="720" w:hanging="360"/>
      </w:pPr>
    </w:lvl>
    <w:lvl w:ilvl="1" w:tplc="D0DE7B0A">
      <w:start w:val="1"/>
      <w:numFmt w:val="lowerLetter"/>
      <w:lvlText w:val="%2."/>
      <w:lvlJc w:val="left"/>
      <w:pPr>
        <w:ind w:left="1440" w:hanging="360"/>
      </w:pPr>
    </w:lvl>
    <w:lvl w:ilvl="2" w:tplc="8A403568">
      <w:start w:val="1"/>
      <w:numFmt w:val="lowerRoman"/>
      <w:lvlText w:val="%3."/>
      <w:lvlJc w:val="right"/>
      <w:pPr>
        <w:ind w:left="2160" w:hanging="180"/>
      </w:pPr>
    </w:lvl>
    <w:lvl w:ilvl="3" w:tplc="4AD2D12C">
      <w:start w:val="1"/>
      <w:numFmt w:val="decimal"/>
      <w:lvlText w:val="%4."/>
      <w:lvlJc w:val="left"/>
      <w:pPr>
        <w:ind w:left="2880" w:hanging="360"/>
      </w:pPr>
    </w:lvl>
    <w:lvl w:ilvl="4" w:tplc="184466CE">
      <w:start w:val="1"/>
      <w:numFmt w:val="lowerLetter"/>
      <w:lvlText w:val="%5."/>
      <w:lvlJc w:val="left"/>
      <w:pPr>
        <w:ind w:left="3600" w:hanging="360"/>
      </w:pPr>
    </w:lvl>
    <w:lvl w:ilvl="5" w:tplc="4CE697FC">
      <w:start w:val="1"/>
      <w:numFmt w:val="lowerRoman"/>
      <w:lvlText w:val="%6."/>
      <w:lvlJc w:val="right"/>
      <w:pPr>
        <w:ind w:left="4320" w:hanging="180"/>
      </w:pPr>
    </w:lvl>
    <w:lvl w:ilvl="6" w:tplc="107CB322">
      <w:start w:val="1"/>
      <w:numFmt w:val="decimal"/>
      <w:lvlText w:val="%7."/>
      <w:lvlJc w:val="left"/>
      <w:pPr>
        <w:ind w:left="5040" w:hanging="360"/>
      </w:pPr>
    </w:lvl>
    <w:lvl w:ilvl="7" w:tplc="D5F49DFE">
      <w:start w:val="1"/>
      <w:numFmt w:val="lowerLetter"/>
      <w:lvlText w:val="%8."/>
      <w:lvlJc w:val="left"/>
      <w:pPr>
        <w:ind w:left="5760" w:hanging="360"/>
      </w:pPr>
    </w:lvl>
    <w:lvl w:ilvl="8" w:tplc="C4E07C50">
      <w:start w:val="1"/>
      <w:numFmt w:val="lowerRoman"/>
      <w:lvlText w:val="%9."/>
      <w:lvlJc w:val="right"/>
      <w:pPr>
        <w:ind w:left="6480" w:hanging="180"/>
      </w:pPr>
    </w:lvl>
  </w:abstractNum>
  <w:abstractNum w:abstractNumId="158" w15:restartNumberingAfterBreak="0">
    <w:nsid w:val="70500DE9"/>
    <w:multiLevelType w:val="hybridMultilevel"/>
    <w:tmpl w:val="C332FCB4"/>
    <w:lvl w:ilvl="0" w:tplc="7AACA2A8">
      <w:start w:val="1"/>
      <w:numFmt w:val="lowerRoman"/>
      <w:lvlText w:val="%1)"/>
      <w:lvlJc w:val="left"/>
      <w:pPr>
        <w:ind w:left="1080" w:hanging="360"/>
      </w:pPr>
    </w:lvl>
    <w:lvl w:ilvl="1" w:tplc="FFFFFFFF">
      <w:start w:val="1"/>
      <w:numFmt w:val="lowerRoman"/>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Roman"/>
      <w:lvlText w:val="%5."/>
      <w:lvlJc w:val="righ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59" w15:restartNumberingAfterBreak="0">
    <w:nsid w:val="70EC6B5A"/>
    <w:multiLevelType w:val="multilevel"/>
    <w:tmpl w:val="74184A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0" w15:restartNumberingAfterBreak="0">
    <w:nsid w:val="7147794F"/>
    <w:multiLevelType w:val="multilevel"/>
    <w:tmpl w:val="5BFC6C4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1" w15:restartNumberingAfterBreak="0">
    <w:nsid w:val="726E3DB0"/>
    <w:multiLevelType w:val="hybridMultilevel"/>
    <w:tmpl w:val="A7B0B03C"/>
    <w:lvl w:ilvl="0" w:tplc="2772B242">
      <w:start w:val="1"/>
      <w:numFmt w:val="bullet"/>
      <w:lvlText w:val="-"/>
      <w:lvlJc w:val="left"/>
      <w:pPr>
        <w:ind w:left="720" w:hanging="360"/>
      </w:pPr>
      <w:rPr>
        <w:rFonts w:ascii="Times New Roman" w:hAnsi="Times New Roman" w:hint="default"/>
      </w:rPr>
    </w:lvl>
    <w:lvl w:ilvl="1" w:tplc="2C5C2814">
      <w:start w:val="1"/>
      <w:numFmt w:val="bullet"/>
      <w:lvlText w:val="o"/>
      <w:lvlJc w:val="left"/>
      <w:pPr>
        <w:ind w:left="1440" w:hanging="360"/>
      </w:pPr>
      <w:rPr>
        <w:rFonts w:ascii="Courier New" w:hAnsi="Courier New" w:hint="default"/>
      </w:rPr>
    </w:lvl>
    <w:lvl w:ilvl="2" w:tplc="EF3A4B28">
      <w:start w:val="1"/>
      <w:numFmt w:val="bullet"/>
      <w:lvlText w:val=""/>
      <w:lvlJc w:val="left"/>
      <w:pPr>
        <w:ind w:left="2160" w:hanging="360"/>
      </w:pPr>
      <w:rPr>
        <w:rFonts w:ascii="Wingdings" w:hAnsi="Wingdings" w:hint="default"/>
      </w:rPr>
    </w:lvl>
    <w:lvl w:ilvl="3" w:tplc="942CFA6A">
      <w:start w:val="1"/>
      <w:numFmt w:val="bullet"/>
      <w:lvlText w:val=""/>
      <w:lvlJc w:val="left"/>
      <w:pPr>
        <w:ind w:left="2880" w:hanging="360"/>
      </w:pPr>
      <w:rPr>
        <w:rFonts w:ascii="Symbol" w:hAnsi="Symbol" w:hint="default"/>
      </w:rPr>
    </w:lvl>
    <w:lvl w:ilvl="4" w:tplc="5D54CC84">
      <w:start w:val="1"/>
      <w:numFmt w:val="bullet"/>
      <w:lvlText w:val="o"/>
      <w:lvlJc w:val="left"/>
      <w:pPr>
        <w:ind w:left="3600" w:hanging="360"/>
      </w:pPr>
      <w:rPr>
        <w:rFonts w:ascii="Courier New" w:hAnsi="Courier New" w:hint="default"/>
      </w:rPr>
    </w:lvl>
    <w:lvl w:ilvl="5" w:tplc="95C8C3A0">
      <w:start w:val="1"/>
      <w:numFmt w:val="bullet"/>
      <w:lvlText w:val=""/>
      <w:lvlJc w:val="left"/>
      <w:pPr>
        <w:ind w:left="4320" w:hanging="360"/>
      </w:pPr>
      <w:rPr>
        <w:rFonts w:ascii="Wingdings" w:hAnsi="Wingdings" w:hint="default"/>
      </w:rPr>
    </w:lvl>
    <w:lvl w:ilvl="6" w:tplc="6A747202">
      <w:start w:val="1"/>
      <w:numFmt w:val="bullet"/>
      <w:lvlText w:val=""/>
      <w:lvlJc w:val="left"/>
      <w:pPr>
        <w:ind w:left="5040" w:hanging="360"/>
      </w:pPr>
      <w:rPr>
        <w:rFonts w:ascii="Symbol" w:hAnsi="Symbol" w:hint="default"/>
      </w:rPr>
    </w:lvl>
    <w:lvl w:ilvl="7" w:tplc="57FE375A">
      <w:start w:val="1"/>
      <w:numFmt w:val="bullet"/>
      <w:lvlText w:val="o"/>
      <w:lvlJc w:val="left"/>
      <w:pPr>
        <w:ind w:left="5760" w:hanging="360"/>
      </w:pPr>
      <w:rPr>
        <w:rFonts w:ascii="Courier New" w:hAnsi="Courier New" w:hint="default"/>
      </w:rPr>
    </w:lvl>
    <w:lvl w:ilvl="8" w:tplc="D9FAF818">
      <w:start w:val="1"/>
      <w:numFmt w:val="bullet"/>
      <w:lvlText w:val=""/>
      <w:lvlJc w:val="left"/>
      <w:pPr>
        <w:ind w:left="6480" w:hanging="360"/>
      </w:pPr>
      <w:rPr>
        <w:rFonts w:ascii="Wingdings" w:hAnsi="Wingdings" w:hint="default"/>
      </w:rPr>
    </w:lvl>
  </w:abstractNum>
  <w:abstractNum w:abstractNumId="162" w15:restartNumberingAfterBreak="0">
    <w:nsid w:val="73C1CF8D"/>
    <w:multiLevelType w:val="hybridMultilevel"/>
    <w:tmpl w:val="64CC4E1E"/>
    <w:lvl w:ilvl="0" w:tplc="52261034">
      <w:start w:val="1"/>
      <w:numFmt w:val="decimal"/>
      <w:lvlText w:val="%1."/>
      <w:lvlJc w:val="left"/>
      <w:pPr>
        <w:ind w:left="720" w:hanging="360"/>
      </w:pPr>
      <w:rPr>
        <w:rFonts w:asciiTheme="minorHAnsi" w:eastAsiaTheme="minorEastAsia" w:hAnsiTheme="minorHAnsi" w:cstheme="minorBidi"/>
      </w:rPr>
    </w:lvl>
    <w:lvl w:ilvl="1" w:tplc="FBEE5E8E">
      <w:start w:val="1"/>
      <w:numFmt w:val="lowerLetter"/>
      <w:lvlText w:val="%2."/>
      <w:lvlJc w:val="left"/>
      <w:pPr>
        <w:ind w:left="1440" w:hanging="360"/>
      </w:pPr>
    </w:lvl>
    <w:lvl w:ilvl="2" w:tplc="0CC07B38">
      <w:start w:val="1"/>
      <w:numFmt w:val="lowerRoman"/>
      <w:lvlText w:val="%3."/>
      <w:lvlJc w:val="right"/>
      <w:pPr>
        <w:ind w:left="2160" w:hanging="180"/>
      </w:pPr>
    </w:lvl>
    <w:lvl w:ilvl="3" w:tplc="8D1E583A">
      <w:start w:val="1"/>
      <w:numFmt w:val="decimal"/>
      <w:lvlText w:val="%4."/>
      <w:lvlJc w:val="left"/>
      <w:pPr>
        <w:ind w:left="2880" w:hanging="360"/>
      </w:pPr>
    </w:lvl>
    <w:lvl w:ilvl="4" w:tplc="112C34FC">
      <w:start w:val="1"/>
      <w:numFmt w:val="lowerLetter"/>
      <w:lvlText w:val="%5."/>
      <w:lvlJc w:val="left"/>
      <w:pPr>
        <w:ind w:left="3600" w:hanging="360"/>
      </w:pPr>
    </w:lvl>
    <w:lvl w:ilvl="5" w:tplc="129C42EC">
      <w:start w:val="1"/>
      <w:numFmt w:val="lowerRoman"/>
      <w:lvlText w:val="%6."/>
      <w:lvlJc w:val="right"/>
      <w:pPr>
        <w:ind w:left="4320" w:hanging="180"/>
      </w:pPr>
    </w:lvl>
    <w:lvl w:ilvl="6" w:tplc="CCECFC04">
      <w:start w:val="1"/>
      <w:numFmt w:val="decimal"/>
      <w:lvlText w:val="%7."/>
      <w:lvlJc w:val="left"/>
      <w:pPr>
        <w:ind w:left="5040" w:hanging="360"/>
      </w:pPr>
    </w:lvl>
    <w:lvl w:ilvl="7" w:tplc="E0CC8CB6">
      <w:start w:val="1"/>
      <w:numFmt w:val="lowerLetter"/>
      <w:lvlText w:val="%8."/>
      <w:lvlJc w:val="left"/>
      <w:pPr>
        <w:ind w:left="5760" w:hanging="360"/>
      </w:pPr>
    </w:lvl>
    <w:lvl w:ilvl="8" w:tplc="CB74BC48">
      <w:start w:val="1"/>
      <w:numFmt w:val="lowerRoman"/>
      <w:lvlText w:val="%9."/>
      <w:lvlJc w:val="right"/>
      <w:pPr>
        <w:ind w:left="6480" w:hanging="180"/>
      </w:pPr>
    </w:lvl>
  </w:abstractNum>
  <w:abstractNum w:abstractNumId="163" w15:restartNumberingAfterBreak="0">
    <w:nsid w:val="749962A2"/>
    <w:multiLevelType w:val="multilevel"/>
    <w:tmpl w:val="2A64BEB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4DB51AE"/>
    <w:multiLevelType w:val="multilevel"/>
    <w:tmpl w:val="3D8EE4A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75B42F6"/>
    <w:multiLevelType w:val="multilevel"/>
    <w:tmpl w:val="4108276A"/>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7B4096C"/>
    <w:multiLevelType w:val="multilevel"/>
    <w:tmpl w:val="3AAC5D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8035C2B"/>
    <w:multiLevelType w:val="multilevel"/>
    <w:tmpl w:val="8DD0E414"/>
    <w:lvl w:ilvl="0">
      <w:start w:val="1"/>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8" w15:restartNumberingAfterBreak="0">
    <w:nsid w:val="78F52CEA"/>
    <w:multiLevelType w:val="multilevel"/>
    <w:tmpl w:val="B0AE74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9" w15:restartNumberingAfterBreak="0">
    <w:nsid w:val="7A433833"/>
    <w:multiLevelType w:val="multilevel"/>
    <w:tmpl w:val="07861A5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A7B1B60"/>
    <w:multiLevelType w:val="multilevel"/>
    <w:tmpl w:val="171A81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7BAF443A"/>
    <w:multiLevelType w:val="multilevel"/>
    <w:tmpl w:val="50D0A7EE"/>
    <w:lvl w:ilvl="0">
      <w:start w:val="2"/>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2" w15:restartNumberingAfterBreak="0">
    <w:nsid w:val="7CC32008"/>
    <w:multiLevelType w:val="multilevel"/>
    <w:tmpl w:val="C504C8D4"/>
    <w:lvl w:ilvl="0">
      <w:start w:val="3"/>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3" w15:restartNumberingAfterBreak="0">
    <w:nsid w:val="7D074BBF"/>
    <w:multiLevelType w:val="hybridMultilevel"/>
    <w:tmpl w:val="2D7ECAD6"/>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4" w15:restartNumberingAfterBreak="0">
    <w:nsid w:val="7DD80C13"/>
    <w:multiLevelType w:val="multilevel"/>
    <w:tmpl w:val="ACC0AC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E305806"/>
    <w:multiLevelType w:val="multilevel"/>
    <w:tmpl w:val="FC8870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E4B4F6F"/>
    <w:multiLevelType w:val="multilevel"/>
    <w:tmpl w:val="2786CA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ED343C7"/>
    <w:multiLevelType w:val="multilevel"/>
    <w:tmpl w:val="D930C450"/>
    <w:lvl w:ilvl="0">
      <w:start w:val="7"/>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8" w15:restartNumberingAfterBreak="0">
    <w:nsid w:val="7FBA5B10"/>
    <w:multiLevelType w:val="hybridMultilevel"/>
    <w:tmpl w:val="9D6EFCA6"/>
    <w:lvl w:ilvl="0" w:tplc="AF74AC66">
      <w:start w:val="1"/>
      <w:numFmt w:val="bullet"/>
      <w:lvlText w:val="-"/>
      <w:lvlJc w:val="left"/>
      <w:pPr>
        <w:ind w:left="360" w:hanging="360"/>
      </w:pPr>
      <w:rPr>
        <w:rFonts w:ascii="Times New Roman" w:hAnsi="Times New Roman" w:cs="Times New Roman" w:hint="default"/>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9" w15:restartNumberingAfterBreak="0">
    <w:nsid w:val="7FDB5525"/>
    <w:multiLevelType w:val="multilevel"/>
    <w:tmpl w:val="0088D46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2"/>
  </w:num>
  <w:num w:numId="2">
    <w:abstractNumId w:val="4"/>
  </w:num>
  <w:num w:numId="3">
    <w:abstractNumId w:val="3"/>
    <w:lvlOverride w:ilvl="0">
      <w:startOverride w:val="1"/>
    </w:lvlOverride>
  </w:num>
  <w:num w:numId="4">
    <w:abstractNumId w:val="2"/>
    <w:lvlOverride w:ilvl="0">
      <w:startOverride w:val="1"/>
    </w:lvlOverride>
  </w:num>
  <w:num w:numId="5">
    <w:abstractNumId w:val="1"/>
    <w:lvlOverride w:ilvl="0">
      <w:startOverride w:val="1"/>
    </w:lvlOverride>
  </w:num>
  <w:num w:numId="6">
    <w:abstractNumId w:val="0"/>
    <w:lvlOverride w:ilvl="0">
      <w:startOverride w:val="1"/>
    </w:lvlOverride>
  </w:num>
  <w:num w:numId="7">
    <w:abstractNumId w:val="123"/>
  </w:num>
  <w:num w:numId="8">
    <w:abstractNumId w:val="83"/>
  </w:num>
  <w:num w:numId="9">
    <w:abstractNumId w:val="138"/>
  </w:num>
  <w:num w:numId="10">
    <w:abstractNumId w:val="57"/>
  </w:num>
  <w:num w:numId="11">
    <w:abstractNumId w:val="85"/>
  </w:num>
  <w:num w:numId="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0"/>
  </w:num>
  <w:num w:numId="15">
    <w:abstractNumId w:val="120"/>
  </w:num>
  <w:num w:numId="16">
    <w:abstractNumId w:val="122"/>
  </w:num>
  <w:num w:numId="17">
    <w:abstractNumId w:val="113"/>
  </w:num>
  <w:num w:numId="18">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1"/>
  </w:num>
  <w:num w:numId="20">
    <w:abstractNumId w:val="54"/>
  </w:num>
  <w:num w:numId="21">
    <w:abstractNumId w:val="135"/>
  </w:num>
  <w:num w:numId="22">
    <w:abstractNumId w:val="91"/>
  </w:num>
  <w:num w:numId="23">
    <w:abstractNumId w:val="149"/>
  </w:num>
  <w:num w:numId="24">
    <w:abstractNumId w:val="43"/>
  </w:num>
  <w:num w:numId="25">
    <w:abstractNumId w:val="47"/>
  </w:num>
  <w:num w:numId="26">
    <w:abstractNumId w:val="80"/>
  </w:num>
  <w:num w:numId="27">
    <w:abstractNumId w:val="31"/>
  </w:num>
  <w:num w:numId="28">
    <w:abstractNumId w:val="26"/>
  </w:num>
  <w:num w:numId="29">
    <w:abstractNumId w:val="107"/>
  </w:num>
  <w:num w:numId="30">
    <w:abstractNumId w:val="17"/>
  </w:num>
  <w:num w:numId="31">
    <w:abstractNumId w:val="20"/>
  </w:num>
  <w:num w:numId="32">
    <w:abstractNumId w:val="116"/>
  </w:num>
  <w:num w:numId="33">
    <w:abstractNumId w:val="15"/>
  </w:num>
  <w:num w:numId="34">
    <w:abstractNumId w:val="7"/>
  </w:num>
  <w:num w:numId="35">
    <w:abstractNumId w:val="110"/>
  </w:num>
  <w:num w:numId="36">
    <w:abstractNumId w:val="56"/>
  </w:num>
  <w:num w:numId="37">
    <w:abstractNumId w:val="65"/>
  </w:num>
  <w:num w:numId="38">
    <w:abstractNumId w:val="100"/>
  </w:num>
  <w:num w:numId="39">
    <w:abstractNumId w:val="81"/>
  </w:num>
  <w:num w:numId="40">
    <w:abstractNumId w:val="44"/>
  </w:num>
  <w:num w:numId="41">
    <w:abstractNumId w:val="63"/>
  </w:num>
  <w:num w:numId="42">
    <w:abstractNumId w:val="84"/>
  </w:num>
  <w:num w:numId="43">
    <w:abstractNumId w:val="127"/>
  </w:num>
  <w:num w:numId="44">
    <w:abstractNumId w:val="140"/>
  </w:num>
  <w:num w:numId="45">
    <w:abstractNumId w:val="150"/>
  </w:num>
  <w:num w:numId="46">
    <w:abstractNumId w:val="24"/>
  </w:num>
  <w:num w:numId="47">
    <w:abstractNumId w:val="35"/>
  </w:num>
  <w:num w:numId="48">
    <w:abstractNumId w:val="41"/>
  </w:num>
  <w:num w:numId="49">
    <w:abstractNumId w:val="50"/>
  </w:num>
  <w:num w:numId="50">
    <w:abstractNumId w:val="76"/>
  </w:num>
  <w:num w:numId="51">
    <w:abstractNumId w:val="157"/>
  </w:num>
  <w:num w:numId="52">
    <w:abstractNumId w:val="34"/>
  </w:num>
  <w:num w:numId="53">
    <w:abstractNumId w:val="58"/>
  </w:num>
  <w:num w:numId="54">
    <w:abstractNumId w:val="125"/>
  </w:num>
  <w:num w:numId="55">
    <w:abstractNumId w:val="60"/>
  </w:num>
  <w:num w:numId="56">
    <w:abstractNumId w:val="98"/>
  </w:num>
  <w:num w:numId="57">
    <w:abstractNumId w:val="11"/>
  </w:num>
  <w:num w:numId="58">
    <w:abstractNumId w:val="136"/>
  </w:num>
  <w:num w:numId="59">
    <w:abstractNumId w:val="12"/>
  </w:num>
  <w:num w:numId="60">
    <w:abstractNumId w:val="69"/>
  </w:num>
  <w:num w:numId="61">
    <w:abstractNumId w:val="158"/>
  </w:num>
  <w:num w:numId="62">
    <w:abstractNumId w:val="28"/>
  </w:num>
  <w:num w:numId="63">
    <w:abstractNumId w:val="156"/>
  </w:num>
  <w:num w:numId="64">
    <w:abstractNumId w:val="1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1"/>
  </w:num>
  <w:num w:numId="66">
    <w:abstractNumId w:val="36"/>
  </w:num>
  <w:num w:numId="67">
    <w:abstractNumId w:val="108"/>
  </w:num>
  <w:num w:numId="68">
    <w:abstractNumId w:val="95"/>
  </w:num>
  <w:num w:numId="69">
    <w:abstractNumId w:val="101"/>
  </w:num>
  <w:num w:numId="70">
    <w:abstractNumId w:val="173"/>
  </w:num>
  <w:num w:numId="71">
    <w:abstractNumId w:val="93"/>
  </w:num>
  <w:num w:numId="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0"/>
  </w:num>
  <w:num w:numId="74">
    <w:abstractNumId w:val="102"/>
  </w:num>
  <w:num w:numId="75">
    <w:abstractNumId w:val="86"/>
  </w:num>
  <w:num w:numId="76">
    <w:abstractNumId w:val="145"/>
  </w:num>
  <w:num w:numId="77">
    <w:abstractNumId w:val="152"/>
  </w:num>
  <w:num w:numId="78">
    <w:abstractNumId w:val="162"/>
  </w:num>
  <w:num w:numId="79">
    <w:abstractNumId w:val="8"/>
  </w:num>
  <w:num w:numId="80">
    <w:abstractNumId w:val="111"/>
  </w:num>
  <w:num w:numId="81">
    <w:abstractNumId w:val="118"/>
  </w:num>
  <w:num w:numId="82">
    <w:abstractNumId w:val="112"/>
  </w:num>
  <w:num w:numId="83">
    <w:abstractNumId w:val="106"/>
  </w:num>
  <w:num w:numId="84">
    <w:abstractNumId w:val="52"/>
  </w:num>
  <w:num w:numId="85">
    <w:abstractNumId w:val="114"/>
  </w:num>
  <w:num w:numId="86">
    <w:abstractNumId w:val="178"/>
  </w:num>
  <w:num w:numId="87">
    <w:abstractNumId w:val="92"/>
  </w:num>
  <w:num w:numId="88">
    <w:abstractNumId w:val="10"/>
  </w:num>
  <w:num w:numId="89">
    <w:abstractNumId w:val="53"/>
  </w:num>
  <w:num w:numId="90">
    <w:abstractNumId w:val="131"/>
  </w:num>
  <w:num w:numId="91">
    <w:abstractNumId w:val="82"/>
    <w:lvlOverride w:ilvl="0">
      <w:startOverride w:val="1"/>
    </w:lvlOverride>
    <w:lvlOverride w:ilvl="1">
      <w:startOverride w:val="1"/>
    </w:lvlOverride>
    <w:lvlOverride w:ilvl="2"/>
    <w:lvlOverride w:ilvl="3"/>
    <w:lvlOverride w:ilvl="4"/>
    <w:lvlOverride w:ilvl="5"/>
    <w:lvlOverride w:ilvl="6"/>
    <w:lvlOverride w:ilvl="7"/>
    <w:lvlOverride w:ilvl="8"/>
  </w:num>
  <w:num w:numId="92">
    <w:abstractNumId w:val="97"/>
  </w:num>
  <w:num w:numId="93">
    <w:abstractNumId w:val="103"/>
  </w:num>
  <w:num w:numId="9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7"/>
  </w:num>
  <w:num w:numId="96">
    <w:abstractNumId w:val="139"/>
  </w:num>
  <w:num w:numId="97">
    <w:abstractNumId w:val="51"/>
  </w:num>
  <w:num w:numId="98">
    <w:abstractNumId w:val="129"/>
  </w:num>
  <w:num w:numId="99">
    <w:abstractNumId w:val="134"/>
  </w:num>
  <w:num w:numId="100">
    <w:abstractNumId w:val="78"/>
  </w:num>
  <w:num w:numId="101">
    <w:abstractNumId w:val="64"/>
  </w:num>
  <w:num w:numId="102">
    <w:abstractNumId w:val="130"/>
  </w:num>
  <w:num w:numId="103">
    <w:abstractNumId w:val="88"/>
  </w:num>
  <w:num w:numId="104">
    <w:abstractNumId w:val="21"/>
  </w:num>
  <w:num w:numId="105">
    <w:abstractNumId w:val="154"/>
  </w:num>
  <w:num w:numId="106">
    <w:abstractNumId w:val="143"/>
  </w:num>
  <w:num w:numId="107">
    <w:abstractNumId w:val="119"/>
  </w:num>
  <w:num w:numId="108">
    <w:abstractNumId w:val="67"/>
  </w:num>
  <w:num w:numId="109">
    <w:abstractNumId w:val="5"/>
  </w:num>
  <w:num w:numId="110">
    <w:abstractNumId w:val="68"/>
  </w:num>
  <w:num w:numId="111">
    <w:abstractNumId w:val="30"/>
  </w:num>
  <w:num w:numId="112">
    <w:abstractNumId w:val="159"/>
  </w:num>
  <w:num w:numId="113">
    <w:abstractNumId w:val="27"/>
  </w:num>
  <w:num w:numId="114">
    <w:abstractNumId w:val="22"/>
  </w:num>
  <w:num w:numId="115">
    <w:abstractNumId w:val="45"/>
  </w:num>
  <w:num w:numId="116">
    <w:abstractNumId w:val="74"/>
  </w:num>
  <w:num w:numId="117">
    <w:abstractNumId w:val="75"/>
  </w:num>
  <w:num w:numId="118">
    <w:abstractNumId w:val="148"/>
  </w:num>
  <w:num w:numId="119">
    <w:abstractNumId w:val="155"/>
  </w:num>
  <w:num w:numId="120">
    <w:abstractNumId w:val="160"/>
  </w:num>
  <w:num w:numId="121">
    <w:abstractNumId w:val="71"/>
  </w:num>
  <w:num w:numId="122">
    <w:abstractNumId w:val="166"/>
  </w:num>
  <w:num w:numId="123">
    <w:abstractNumId w:val="176"/>
  </w:num>
  <w:num w:numId="124">
    <w:abstractNumId w:val="29"/>
  </w:num>
  <w:num w:numId="125">
    <w:abstractNumId w:val="19"/>
  </w:num>
  <w:num w:numId="126">
    <w:abstractNumId w:val="168"/>
  </w:num>
  <w:num w:numId="127">
    <w:abstractNumId w:val="38"/>
  </w:num>
  <w:num w:numId="128">
    <w:abstractNumId w:val="42"/>
  </w:num>
  <w:num w:numId="129">
    <w:abstractNumId w:val="167"/>
  </w:num>
  <w:num w:numId="130">
    <w:abstractNumId w:val="171"/>
  </w:num>
  <w:num w:numId="131">
    <w:abstractNumId w:val="172"/>
  </w:num>
  <w:num w:numId="132">
    <w:abstractNumId w:val="14"/>
  </w:num>
  <w:num w:numId="133">
    <w:abstractNumId w:val="32"/>
  </w:num>
  <w:num w:numId="134">
    <w:abstractNumId w:val="109"/>
  </w:num>
  <w:num w:numId="135">
    <w:abstractNumId w:val="177"/>
  </w:num>
  <w:num w:numId="136">
    <w:abstractNumId w:val="137"/>
  </w:num>
  <w:num w:numId="137">
    <w:abstractNumId w:val="121"/>
  </w:num>
  <w:num w:numId="138">
    <w:abstractNumId w:val="105"/>
  </w:num>
  <w:num w:numId="139">
    <w:abstractNumId w:val="128"/>
  </w:num>
  <w:num w:numId="140">
    <w:abstractNumId w:val="46"/>
  </w:num>
  <w:num w:numId="141">
    <w:abstractNumId w:val="164"/>
  </w:num>
  <w:num w:numId="142">
    <w:abstractNumId w:val="55"/>
  </w:num>
  <w:num w:numId="143">
    <w:abstractNumId w:val="144"/>
  </w:num>
  <w:num w:numId="144">
    <w:abstractNumId w:val="175"/>
  </w:num>
  <w:num w:numId="145">
    <w:abstractNumId w:val="124"/>
  </w:num>
  <w:num w:numId="146">
    <w:abstractNumId w:val="179"/>
  </w:num>
  <w:num w:numId="147">
    <w:abstractNumId w:val="49"/>
  </w:num>
  <w:num w:numId="148">
    <w:abstractNumId w:val="99"/>
  </w:num>
  <w:num w:numId="149">
    <w:abstractNumId w:val="165"/>
  </w:num>
  <w:num w:numId="150">
    <w:abstractNumId w:val="37"/>
  </w:num>
  <w:num w:numId="151">
    <w:abstractNumId w:val="94"/>
  </w:num>
  <w:num w:numId="152">
    <w:abstractNumId w:val="104"/>
  </w:num>
  <w:num w:numId="153">
    <w:abstractNumId w:val="170"/>
  </w:num>
  <w:num w:numId="154">
    <w:abstractNumId w:val="13"/>
  </w:num>
  <w:num w:numId="155">
    <w:abstractNumId w:val="115"/>
  </w:num>
  <w:num w:numId="156">
    <w:abstractNumId w:val="151"/>
  </w:num>
  <w:num w:numId="157">
    <w:abstractNumId w:val="16"/>
  </w:num>
  <w:num w:numId="158">
    <w:abstractNumId w:val="66"/>
  </w:num>
  <w:num w:numId="159">
    <w:abstractNumId w:val="62"/>
  </w:num>
  <w:num w:numId="160">
    <w:abstractNumId w:val="117"/>
  </w:num>
  <w:num w:numId="161">
    <w:abstractNumId w:val="87"/>
  </w:num>
  <w:num w:numId="162">
    <w:abstractNumId w:val="48"/>
  </w:num>
  <w:num w:numId="163">
    <w:abstractNumId w:val="59"/>
  </w:num>
  <w:num w:numId="164">
    <w:abstractNumId w:val="163"/>
  </w:num>
  <w:num w:numId="165">
    <w:abstractNumId w:val="169"/>
  </w:num>
  <w:num w:numId="166">
    <w:abstractNumId w:val="126"/>
  </w:num>
  <w:num w:numId="167">
    <w:abstractNumId w:val="9"/>
  </w:num>
  <w:num w:numId="168">
    <w:abstractNumId w:val="79"/>
  </w:num>
  <w:num w:numId="169">
    <w:abstractNumId w:val="142"/>
  </w:num>
  <w:num w:numId="170">
    <w:abstractNumId w:val="72"/>
  </w:num>
  <w:num w:numId="171">
    <w:abstractNumId w:val="146"/>
  </w:num>
  <w:num w:numId="17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8"/>
  </w:num>
  <w:num w:numId="174">
    <w:abstractNumId w:val="174"/>
  </w:num>
  <w:num w:numId="175">
    <w:abstractNumId w:val="6"/>
  </w:num>
  <w:num w:numId="176">
    <w:abstractNumId w:val="25"/>
  </w:num>
  <w:num w:numId="17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96"/>
  </w:num>
  <w:num w:numId="179">
    <w:abstractNumId w:val="133"/>
  </w:num>
  <w:num w:numId="180">
    <w:abstractNumId w:val="39"/>
  </w:num>
  <w:num w:numId="181">
    <w:abstractNumId w:val="89"/>
  </w:num>
  <w:num w:numId="182">
    <w:abstractNumId w:val="61"/>
  </w:num>
  <w:num w:numId="183">
    <w:abstractNumId w:val="147"/>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docVars>
    <w:docVar w:name="DocStatus" w:val="Green"/>
    <w:docVar w:name="LW_ACCOMPAGNANT.CP" w:val="asiakirjaan"/>
    <w:docVar w:name="LW_ANNEX_NBR_FIRST" w:val="1"/>
    <w:docVar w:name="LW_ANNEX_NBR_LAST" w:val="1"/>
    <w:docVar w:name="LW_ANNEX_UNIQUE" w:val="1"/>
    <w:docVar w:name="LW_CORRIGENDUM" w:val="&lt;UNUSED&gt;"/>
    <w:docVar w:name="LW_COVERPAGE_EXISTS" w:val="True"/>
    <w:docVar w:name="LW_COVERPAGE_GUID" w:val="9017AD14-74A7-4AA1-9F4C-29D306799437"/>
    <w:docVar w:name="LW_COVERPAGE_TYPE" w:val="1"/>
    <w:docVar w:name="LW_CROSSREFERENCE" w:val="{SWD(2025) 348 final}"/>
    <w:docVar w:name="LW_DocType" w:val="NORMAL"/>
    <w:docVar w:name="LW_EMISSION" w:val="4.11.2025"/>
    <w:docVar w:name="LW_EMISSION_ISODATE" w:val="2025-11-04"/>
    <w:docVar w:name="LW_EMISSION_LOCATION" w:val="BRX"/>
    <w:docVar w:name="LW_EMISSION_PREFIX" w:val="Bryssel "/>
    <w:docVar w:name="LW_EMISSION_SUFFIX" w:val=" "/>
    <w:docVar w:name="LW_ID_DOCTYPE_NONLW" w:val="CP-036"/>
    <w:docVar w:name="LW_LANGUE" w:val="FI"/>
    <w:docVar w:name="LW_LEVEL_OF_SENSITIVITY" w:val="Standard treatment"/>
    <w:docVar w:name="LW_NOM.INST" w:val="EUROOPAN KOMISSIO"/>
    <w:docVar w:name="LW_NOM.INST_JOINTDOC" w:val="&lt;EMPTY&gt;"/>
    <w:docVar w:name="LW_OBJETACTEPRINCIPAL.CP" w:val="Italian elpymis- ja palautumissuunnitelmasta tehdyn arvion hyväksymisestä 13 päivänä heinäkuuta 2021 annetun täytäntöönpanopäätöksen  (EU) (ST 10160/21 INIT; ST 10160/21 ADD 1 REV 2) muuttamisesta"/>
    <w:docVar w:name="LW_PART_NBR" w:val="1"/>
    <w:docVar w:name="LW_PART_NBR_TOTAL" w:val="1"/>
    <w:docVar w:name="LW_REF.INST.NEW" w:val="COM"/>
    <w:docVar w:name="LW_REF.INST.NEW_ADOPTED" w:val="final"/>
    <w:docVar w:name="LW_REF.INST.NEW_TEXT" w:val="(2025) 6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LIITE_x000b_"/>
    <w:docVar w:name="LW_TYPEACTEPRINCIPAL.CP" w:val="Ehdotus_x000b__x000b_NEUVOSTON TÄYTÄNTÖÖNPANOPÄÄTÖS"/>
    <w:docVar w:name="LwApiVersions" w:val="LW4CoDe 1.24.5.0; LW 9.0, Build 20240221"/>
  </w:docVars>
  <w:rsids>
    <w:rsidRoot w:val="005F11B9"/>
    <w:rsid w:val="00002D35"/>
    <w:rsid w:val="00003331"/>
    <w:rsid w:val="000045F8"/>
    <w:rsid w:val="000046D1"/>
    <w:rsid w:val="0000520F"/>
    <w:rsid w:val="00005B4E"/>
    <w:rsid w:val="00005CFC"/>
    <w:rsid w:val="00005D93"/>
    <w:rsid w:val="00006F68"/>
    <w:rsid w:val="00007428"/>
    <w:rsid w:val="00010049"/>
    <w:rsid w:val="0001086F"/>
    <w:rsid w:val="00010AAB"/>
    <w:rsid w:val="00011BBC"/>
    <w:rsid w:val="000127E4"/>
    <w:rsid w:val="00012AD5"/>
    <w:rsid w:val="00012AE0"/>
    <w:rsid w:val="000139C1"/>
    <w:rsid w:val="00013B43"/>
    <w:rsid w:val="00013FF7"/>
    <w:rsid w:val="0001501B"/>
    <w:rsid w:val="000151F3"/>
    <w:rsid w:val="00015BE9"/>
    <w:rsid w:val="000160FB"/>
    <w:rsid w:val="00016772"/>
    <w:rsid w:val="00016814"/>
    <w:rsid w:val="00016B85"/>
    <w:rsid w:val="00020304"/>
    <w:rsid w:val="0002168D"/>
    <w:rsid w:val="0002188F"/>
    <w:rsid w:val="000227E5"/>
    <w:rsid w:val="000231F5"/>
    <w:rsid w:val="00023F01"/>
    <w:rsid w:val="00023F6C"/>
    <w:rsid w:val="00024486"/>
    <w:rsid w:val="00024CD7"/>
    <w:rsid w:val="00027C2E"/>
    <w:rsid w:val="00031762"/>
    <w:rsid w:val="00033401"/>
    <w:rsid w:val="00033488"/>
    <w:rsid w:val="00033A8F"/>
    <w:rsid w:val="00033F99"/>
    <w:rsid w:val="00040B0B"/>
    <w:rsid w:val="0004231D"/>
    <w:rsid w:val="000441DF"/>
    <w:rsid w:val="00044906"/>
    <w:rsid w:val="00045D59"/>
    <w:rsid w:val="0004650C"/>
    <w:rsid w:val="00046BB5"/>
    <w:rsid w:val="00046FB7"/>
    <w:rsid w:val="00047AC0"/>
    <w:rsid w:val="0005099B"/>
    <w:rsid w:val="000535D8"/>
    <w:rsid w:val="00054FE6"/>
    <w:rsid w:val="00055022"/>
    <w:rsid w:val="000575C8"/>
    <w:rsid w:val="00062607"/>
    <w:rsid w:val="00063D6B"/>
    <w:rsid w:val="00063F38"/>
    <w:rsid w:val="00064171"/>
    <w:rsid w:val="00064C51"/>
    <w:rsid w:val="00065232"/>
    <w:rsid w:val="000652FA"/>
    <w:rsid w:val="00066684"/>
    <w:rsid w:val="00070F81"/>
    <w:rsid w:val="00071CBC"/>
    <w:rsid w:val="000731AB"/>
    <w:rsid w:val="00073D25"/>
    <w:rsid w:val="00075BC6"/>
    <w:rsid w:val="0007763B"/>
    <w:rsid w:val="00077C92"/>
    <w:rsid w:val="00077FC0"/>
    <w:rsid w:val="00081DBF"/>
    <w:rsid w:val="00083214"/>
    <w:rsid w:val="000836CB"/>
    <w:rsid w:val="00084355"/>
    <w:rsid w:val="00084B52"/>
    <w:rsid w:val="00084CF1"/>
    <w:rsid w:val="00084E39"/>
    <w:rsid w:val="000863B7"/>
    <w:rsid w:val="0008660A"/>
    <w:rsid w:val="00086C32"/>
    <w:rsid w:val="00087106"/>
    <w:rsid w:val="000875B6"/>
    <w:rsid w:val="0008772F"/>
    <w:rsid w:val="00090047"/>
    <w:rsid w:val="00090356"/>
    <w:rsid w:val="00091037"/>
    <w:rsid w:val="000910A5"/>
    <w:rsid w:val="000924AE"/>
    <w:rsid w:val="0009390A"/>
    <w:rsid w:val="00093A7D"/>
    <w:rsid w:val="00093BAE"/>
    <w:rsid w:val="00093FAD"/>
    <w:rsid w:val="00095862"/>
    <w:rsid w:val="00095FD4"/>
    <w:rsid w:val="000960BC"/>
    <w:rsid w:val="00096333"/>
    <w:rsid w:val="0009642D"/>
    <w:rsid w:val="00096A44"/>
    <w:rsid w:val="000A063D"/>
    <w:rsid w:val="000A0C94"/>
    <w:rsid w:val="000A2BFE"/>
    <w:rsid w:val="000A3592"/>
    <w:rsid w:val="000A4766"/>
    <w:rsid w:val="000A49F1"/>
    <w:rsid w:val="000A4B43"/>
    <w:rsid w:val="000A4F4B"/>
    <w:rsid w:val="000A505A"/>
    <w:rsid w:val="000B0B71"/>
    <w:rsid w:val="000B26DD"/>
    <w:rsid w:val="000B29DF"/>
    <w:rsid w:val="000B2B63"/>
    <w:rsid w:val="000B5792"/>
    <w:rsid w:val="000B5C3E"/>
    <w:rsid w:val="000B69B9"/>
    <w:rsid w:val="000B6AFB"/>
    <w:rsid w:val="000B6C74"/>
    <w:rsid w:val="000C0482"/>
    <w:rsid w:val="000C0B5B"/>
    <w:rsid w:val="000C15EE"/>
    <w:rsid w:val="000C5647"/>
    <w:rsid w:val="000C57E1"/>
    <w:rsid w:val="000C6BF2"/>
    <w:rsid w:val="000D0775"/>
    <w:rsid w:val="000D123B"/>
    <w:rsid w:val="000D31C4"/>
    <w:rsid w:val="000D58C5"/>
    <w:rsid w:val="000D5B60"/>
    <w:rsid w:val="000D64EA"/>
    <w:rsid w:val="000E047C"/>
    <w:rsid w:val="000E0A46"/>
    <w:rsid w:val="000E14AE"/>
    <w:rsid w:val="000E1A50"/>
    <w:rsid w:val="000E1F13"/>
    <w:rsid w:val="000E24AD"/>
    <w:rsid w:val="000E280E"/>
    <w:rsid w:val="000E29A8"/>
    <w:rsid w:val="000E36ED"/>
    <w:rsid w:val="000E3B49"/>
    <w:rsid w:val="000E3D0C"/>
    <w:rsid w:val="000E3F50"/>
    <w:rsid w:val="000E4F62"/>
    <w:rsid w:val="000E517B"/>
    <w:rsid w:val="000E646A"/>
    <w:rsid w:val="000E7522"/>
    <w:rsid w:val="000E7981"/>
    <w:rsid w:val="000F1317"/>
    <w:rsid w:val="000F1658"/>
    <w:rsid w:val="000F2603"/>
    <w:rsid w:val="000F45EC"/>
    <w:rsid w:val="000F59CE"/>
    <w:rsid w:val="000F6C23"/>
    <w:rsid w:val="00100536"/>
    <w:rsid w:val="0010071F"/>
    <w:rsid w:val="00100F21"/>
    <w:rsid w:val="00102CD2"/>
    <w:rsid w:val="00103E3B"/>
    <w:rsid w:val="0010432E"/>
    <w:rsid w:val="00105381"/>
    <w:rsid w:val="00106348"/>
    <w:rsid w:val="00106D30"/>
    <w:rsid w:val="00107201"/>
    <w:rsid w:val="00107D28"/>
    <w:rsid w:val="001127F8"/>
    <w:rsid w:val="00112875"/>
    <w:rsid w:val="00112D96"/>
    <w:rsid w:val="001132AD"/>
    <w:rsid w:val="001137FA"/>
    <w:rsid w:val="001142BA"/>
    <w:rsid w:val="00114AC4"/>
    <w:rsid w:val="00115D56"/>
    <w:rsid w:val="00115D6F"/>
    <w:rsid w:val="0011702B"/>
    <w:rsid w:val="00120477"/>
    <w:rsid w:val="00120D3D"/>
    <w:rsid w:val="0012133A"/>
    <w:rsid w:val="00121A7E"/>
    <w:rsid w:val="00122E7C"/>
    <w:rsid w:val="001233EA"/>
    <w:rsid w:val="00124734"/>
    <w:rsid w:val="00126861"/>
    <w:rsid w:val="00126D06"/>
    <w:rsid w:val="0013049A"/>
    <w:rsid w:val="00131129"/>
    <w:rsid w:val="0013360B"/>
    <w:rsid w:val="001336D1"/>
    <w:rsid w:val="001351F7"/>
    <w:rsid w:val="0013598D"/>
    <w:rsid w:val="00136A98"/>
    <w:rsid w:val="00137C7F"/>
    <w:rsid w:val="00137FD7"/>
    <w:rsid w:val="00142BC2"/>
    <w:rsid w:val="00143AA6"/>
    <w:rsid w:val="00145250"/>
    <w:rsid w:val="00145DF7"/>
    <w:rsid w:val="001474E7"/>
    <w:rsid w:val="001475DD"/>
    <w:rsid w:val="00150409"/>
    <w:rsid w:val="00150A34"/>
    <w:rsid w:val="00151895"/>
    <w:rsid w:val="00151B74"/>
    <w:rsid w:val="001535E9"/>
    <w:rsid w:val="00153C05"/>
    <w:rsid w:val="00156904"/>
    <w:rsid w:val="0015741A"/>
    <w:rsid w:val="00157861"/>
    <w:rsid w:val="00157D86"/>
    <w:rsid w:val="00160360"/>
    <w:rsid w:val="00163076"/>
    <w:rsid w:val="00163A65"/>
    <w:rsid w:val="00163F99"/>
    <w:rsid w:val="00164199"/>
    <w:rsid w:val="0016424D"/>
    <w:rsid w:val="001644F5"/>
    <w:rsid w:val="001646FF"/>
    <w:rsid w:val="001659D2"/>
    <w:rsid w:val="00166C55"/>
    <w:rsid w:val="00166EB0"/>
    <w:rsid w:val="001717FF"/>
    <w:rsid w:val="00171B17"/>
    <w:rsid w:val="001738FC"/>
    <w:rsid w:val="00173A7A"/>
    <w:rsid w:val="00174934"/>
    <w:rsid w:val="001760BA"/>
    <w:rsid w:val="00176EBF"/>
    <w:rsid w:val="0018115A"/>
    <w:rsid w:val="001814F5"/>
    <w:rsid w:val="0018184F"/>
    <w:rsid w:val="001824FD"/>
    <w:rsid w:val="001828E5"/>
    <w:rsid w:val="00184683"/>
    <w:rsid w:val="001852DE"/>
    <w:rsid w:val="0018594F"/>
    <w:rsid w:val="00186E8C"/>
    <w:rsid w:val="001877E5"/>
    <w:rsid w:val="00187CC7"/>
    <w:rsid w:val="001903F7"/>
    <w:rsid w:val="001910B4"/>
    <w:rsid w:val="0019140D"/>
    <w:rsid w:val="00192D67"/>
    <w:rsid w:val="0019419F"/>
    <w:rsid w:val="0019450F"/>
    <w:rsid w:val="00196CA8"/>
    <w:rsid w:val="00196FD9"/>
    <w:rsid w:val="001976F0"/>
    <w:rsid w:val="00197BBC"/>
    <w:rsid w:val="001A014E"/>
    <w:rsid w:val="001A017D"/>
    <w:rsid w:val="001A13D6"/>
    <w:rsid w:val="001A490D"/>
    <w:rsid w:val="001B05A6"/>
    <w:rsid w:val="001B21A1"/>
    <w:rsid w:val="001B3229"/>
    <w:rsid w:val="001B45C4"/>
    <w:rsid w:val="001B5319"/>
    <w:rsid w:val="001B56C7"/>
    <w:rsid w:val="001B58E2"/>
    <w:rsid w:val="001B610F"/>
    <w:rsid w:val="001B67AE"/>
    <w:rsid w:val="001B6D01"/>
    <w:rsid w:val="001B7936"/>
    <w:rsid w:val="001C302A"/>
    <w:rsid w:val="001C339C"/>
    <w:rsid w:val="001C3688"/>
    <w:rsid w:val="001C3978"/>
    <w:rsid w:val="001C41A7"/>
    <w:rsid w:val="001C4E1E"/>
    <w:rsid w:val="001C4F7D"/>
    <w:rsid w:val="001C5943"/>
    <w:rsid w:val="001C670D"/>
    <w:rsid w:val="001D15C8"/>
    <w:rsid w:val="001D2561"/>
    <w:rsid w:val="001D3216"/>
    <w:rsid w:val="001D57BD"/>
    <w:rsid w:val="001D6F1E"/>
    <w:rsid w:val="001D7C68"/>
    <w:rsid w:val="001E09B8"/>
    <w:rsid w:val="001E1651"/>
    <w:rsid w:val="001E24B7"/>
    <w:rsid w:val="001F0BF8"/>
    <w:rsid w:val="001F2509"/>
    <w:rsid w:val="001F2769"/>
    <w:rsid w:val="001F30B3"/>
    <w:rsid w:val="001F4A11"/>
    <w:rsid w:val="001F585F"/>
    <w:rsid w:val="001F5D7D"/>
    <w:rsid w:val="001F6913"/>
    <w:rsid w:val="001F6DA2"/>
    <w:rsid w:val="001F6FF8"/>
    <w:rsid w:val="002023F7"/>
    <w:rsid w:val="00202BB6"/>
    <w:rsid w:val="002054B2"/>
    <w:rsid w:val="00205538"/>
    <w:rsid w:val="00206F8A"/>
    <w:rsid w:val="0021084A"/>
    <w:rsid w:val="0021198A"/>
    <w:rsid w:val="002164C3"/>
    <w:rsid w:val="002208CF"/>
    <w:rsid w:val="0022140A"/>
    <w:rsid w:val="002219C0"/>
    <w:rsid w:val="00221A96"/>
    <w:rsid w:val="002231BB"/>
    <w:rsid w:val="00223353"/>
    <w:rsid w:val="002239F6"/>
    <w:rsid w:val="0022587E"/>
    <w:rsid w:val="00226185"/>
    <w:rsid w:val="00227385"/>
    <w:rsid w:val="00227B54"/>
    <w:rsid w:val="002305E4"/>
    <w:rsid w:val="0023135B"/>
    <w:rsid w:val="00231E6D"/>
    <w:rsid w:val="002348D4"/>
    <w:rsid w:val="00234B18"/>
    <w:rsid w:val="0023515E"/>
    <w:rsid w:val="00235F7F"/>
    <w:rsid w:val="002363FE"/>
    <w:rsid w:val="002365D5"/>
    <w:rsid w:val="0023683B"/>
    <w:rsid w:val="002375C9"/>
    <w:rsid w:val="002420E2"/>
    <w:rsid w:val="002440A1"/>
    <w:rsid w:val="00247EBF"/>
    <w:rsid w:val="002507F9"/>
    <w:rsid w:val="00250D12"/>
    <w:rsid w:val="00252BAD"/>
    <w:rsid w:val="002551E4"/>
    <w:rsid w:val="00260F2B"/>
    <w:rsid w:val="00261240"/>
    <w:rsid w:val="00261BBA"/>
    <w:rsid w:val="00261FDF"/>
    <w:rsid w:val="00262B29"/>
    <w:rsid w:val="0026327D"/>
    <w:rsid w:val="002640B4"/>
    <w:rsid w:val="00265562"/>
    <w:rsid w:val="00266168"/>
    <w:rsid w:val="002663EA"/>
    <w:rsid w:val="0026655F"/>
    <w:rsid w:val="00270F5A"/>
    <w:rsid w:val="00271AA4"/>
    <w:rsid w:val="00272440"/>
    <w:rsid w:val="00272785"/>
    <w:rsid w:val="00274C70"/>
    <w:rsid w:val="002756BB"/>
    <w:rsid w:val="00276D63"/>
    <w:rsid w:val="00276E4C"/>
    <w:rsid w:val="0027742B"/>
    <w:rsid w:val="00280572"/>
    <w:rsid w:val="00281D1E"/>
    <w:rsid w:val="002829BE"/>
    <w:rsid w:val="00283FF6"/>
    <w:rsid w:val="0028492A"/>
    <w:rsid w:val="002856F8"/>
    <w:rsid w:val="00286C65"/>
    <w:rsid w:val="00286E73"/>
    <w:rsid w:val="002905BA"/>
    <w:rsid w:val="00290892"/>
    <w:rsid w:val="002923C9"/>
    <w:rsid w:val="002923D5"/>
    <w:rsid w:val="00292C68"/>
    <w:rsid w:val="002933F9"/>
    <w:rsid w:val="00293EDD"/>
    <w:rsid w:val="002943A3"/>
    <w:rsid w:val="00295931"/>
    <w:rsid w:val="0029593A"/>
    <w:rsid w:val="00296505"/>
    <w:rsid w:val="0029746E"/>
    <w:rsid w:val="002A0036"/>
    <w:rsid w:val="002A0B27"/>
    <w:rsid w:val="002A515B"/>
    <w:rsid w:val="002A566D"/>
    <w:rsid w:val="002A6595"/>
    <w:rsid w:val="002A67F1"/>
    <w:rsid w:val="002B0C17"/>
    <w:rsid w:val="002B2462"/>
    <w:rsid w:val="002B383C"/>
    <w:rsid w:val="002B4222"/>
    <w:rsid w:val="002B5220"/>
    <w:rsid w:val="002B612E"/>
    <w:rsid w:val="002B6AE6"/>
    <w:rsid w:val="002B6C44"/>
    <w:rsid w:val="002B7E6C"/>
    <w:rsid w:val="002C1450"/>
    <w:rsid w:val="002C20FC"/>
    <w:rsid w:val="002C400C"/>
    <w:rsid w:val="002C47DD"/>
    <w:rsid w:val="002D105D"/>
    <w:rsid w:val="002D25F5"/>
    <w:rsid w:val="002D2A36"/>
    <w:rsid w:val="002D2B12"/>
    <w:rsid w:val="002D2C3D"/>
    <w:rsid w:val="002D3551"/>
    <w:rsid w:val="002D3CAD"/>
    <w:rsid w:val="002D489E"/>
    <w:rsid w:val="002D49E0"/>
    <w:rsid w:val="002D5E45"/>
    <w:rsid w:val="002D5E4E"/>
    <w:rsid w:val="002D635E"/>
    <w:rsid w:val="002D6D90"/>
    <w:rsid w:val="002D7B37"/>
    <w:rsid w:val="002E0105"/>
    <w:rsid w:val="002E0DA9"/>
    <w:rsid w:val="002E105A"/>
    <w:rsid w:val="002E245F"/>
    <w:rsid w:val="002E2916"/>
    <w:rsid w:val="002E4205"/>
    <w:rsid w:val="002E59F7"/>
    <w:rsid w:val="002E7E64"/>
    <w:rsid w:val="002F07C2"/>
    <w:rsid w:val="002F0FEB"/>
    <w:rsid w:val="002F11E8"/>
    <w:rsid w:val="002F1A04"/>
    <w:rsid w:val="002F1C67"/>
    <w:rsid w:val="002F28E4"/>
    <w:rsid w:val="002F29EC"/>
    <w:rsid w:val="002F4345"/>
    <w:rsid w:val="002F7990"/>
    <w:rsid w:val="00300D1B"/>
    <w:rsid w:val="003021E8"/>
    <w:rsid w:val="003039EA"/>
    <w:rsid w:val="00310C92"/>
    <w:rsid w:val="00310FAF"/>
    <w:rsid w:val="00311CD2"/>
    <w:rsid w:val="003132FE"/>
    <w:rsid w:val="003135C2"/>
    <w:rsid w:val="003152BD"/>
    <w:rsid w:val="00315336"/>
    <w:rsid w:val="00315958"/>
    <w:rsid w:val="00316DDD"/>
    <w:rsid w:val="00317595"/>
    <w:rsid w:val="00317CDD"/>
    <w:rsid w:val="00320010"/>
    <w:rsid w:val="0032199A"/>
    <w:rsid w:val="003224D8"/>
    <w:rsid w:val="00323B6F"/>
    <w:rsid w:val="00323E62"/>
    <w:rsid w:val="00325B11"/>
    <w:rsid w:val="00326318"/>
    <w:rsid w:val="0033055D"/>
    <w:rsid w:val="00331ACD"/>
    <w:rsid w:val="00331F20"/>
    <w:rsid w:val="003321FD"/>
    <w:rsid w:val="00333CDA"/>
    <w:rsid w:val="00336773"/>
    <w:rsid w:val="00337B2C"/>
    <w:rsid w:val="00337FBC"/>
    <w:rsid w:val="00340A0A"/>
    <w:rsid w:val="00340F17"/>
    <w:rsid w:val="00341045"/>
    <w:rsid w:val="00342827"/>
    <w:rsid w:val="00342D38"/>
    <w:rsid w:val="00343542"/>
    <w:rsid w:val="00345207"/>
    <w:rsid w:val="00350CF0"/>
    <w:rsid w:val="0035330F"/>
    <w:rsid w:val="00353728"/>
    <w:rsid w:val="00355532"/>
    <w:rsid w:val="00355804"/>
    <w:rsid w:val="003612C9"/>
    <w:rsid w:val="0036234D"/>
    <w:rsid w:val="00362473"/>
    <w:rsid w:val="00364B97"/>
    <w:rsid w:val="00365A74"/>
    <w:rsid w:val="003672B9"/>
    <w:rsid w:val="00370833"/>
    <w:rsid w:val="0037197A"/>
    <w:rsid w:val="00372892"/>
    <w:rsid w:val="00372F43"/>
    <w:rsid w:val="003735AD"/>
    <w:rsid w:val="00373A40"/>
    <w:rsid w:val="00374249"/>
    <w:rsid w:val="00374E0E"/>
    <w:rsid w:val="00375D0D"/>
    <w:rsid w:val="00376197"/>
    <w:rsid w:val="003764D4"/>
    <w:rsid w:val="00376A43"/>
    <w:rsid w:val="00380853"/>
    <w:rsid w:val="003814AC"/>
    <w:rsid w:val="00382BC8"/>
    <w:rsid w:val="00383040"/>
    <w:rsid w:val="003832DD"/>
    <w:rsid w:val="003839AE"/>
    <w:rsid w:val="0038491D"/>
    <w:rsid w:val="00384A79"/>
    <w:rsid w:val="003870F8"/>
    <w:rsid w:val="003874AE"/>
    <w:rsid w:val="0038772F"/>
    <w:rsid w:val="0038788A"/>
    <w:rsid w:val="0039073F"/>
    <w:rsid w:val="00390D8B"/>
    <w:rsid w:val="003917F7"/>
    <w:rsid w:val="00391F75"/>
    <w:rsid w:val="00392644"/>
    <w:rsid w:val="00392941"/>
    <w:rsid w:val="00392C19"/>
    <w:rsid w:val="003937BC"/>
    <w:rsid w:val="00394459"/>
    <w:rsid w:val="00395DBE"/>
    <w:rsid w:val="00396786"/>
    <w:rsid w:val="00396E0F"/>
    <w:rsid w:val="003971D7"/>
    <w:rsid w:val="003972ED"/>
    <w:rsid w:val="00397F3D"/>
    <w:rsid w:val="003A0728"/>
    <w:rsid w:val="003A07CE"/>
    <w:rsid w:val="003A1B21"/>
    <w:rsid w:val="003A2A23"/>
    <w:rsid w:val="003A2F0B"/>
    <w:rsid w:val="003A32F0"/>
    <w:rsid w:val="003A48A4"/>
    <w:rsid w:val="003A5519"/>
    <w:rsid w:val="003A5A0B"/>
    <w:rsid w:val="003A5C8B"/>
    <w:rsid w:val="003A61F5"/>
    <w:rsid w:val="003A66B0"/>
    <w:rsid w:val="003A7882"/>
    <w:rsid w:val="003B0AA0"/>
    <w:rsid w:val="003B11C5"/>
    <w:rsid w:val="003B18D2"/>
    <w:rsid w:val="003B295A"/>
    <w:rsid w:val="003B2E78"/>
    <w:rsid w:val="003B30BE"/>
    <w:rsid w:val="003B4078"/>
    <w:rsid w:val="003B5207"/>
    <w:rsid w:val="003B5D01"/>
    <w:rsid w:val="003B6F06"/>
    <w:rsid w:val="003C1AF2"/>
    <w:rsid w:val="003C1E6A"/>
    <w:rsid w:val="003C2176"/>
    <w:rsid w:val="003C3A0B"/>
    <w:rsid w:val="003C42B5"/>
    <w:rsid w:val="003C55E1"/>
    <w:rsid w:val="003C67BE"/>
    <w:rsid w:val="003C6C1A"/>
    <w:rsid w:val="003C76A7"/>
    <w:rsid w:val="003D04FF"/>
    <w:rsid w:val="003D0AC2"/>
    <w:rsid w:val="003D1E3B"/>
    <w:rsid w:val="003D2288"/>
    <w:rsid w:val="003D283C"/>
    <w:rsid w:val="003D2C21"/>
    <w:rsid w:val="003D2F53"/>
    <w:rsid w:val="003D3672"/>
    <w:rsid w:val="003D3968"/>
    <w:rsid w:val="003D5234"/>
    <w:rsid w:val="003D693F"/>
    <w:rsid w:val="003D6FBF"/>
    <w:rsid w:val="003D712C"/>
    <w:rsid w:val="003D7289"/>
    <w:rsid w:val="003D7864"/>
    <w:rsid w:val="003D7A40"/>
    <w:rsid w:val="003E0603"/>
    <w:rsid w:val="003E13D4"/>
    <w:rsid w:val="003E3DE4"/>
    <w:rsid w:val="003E4A03"/>
    <w:rsid w:val="003E5041"/>
    <w:rsid w:val="003E5339"/>
    <w:rsid w:val="003E58B4"/>
    <w:rsid w:val="003E645A"/>
    <w:rsid w:val="003E646D"/>
    <w:rsid w:val="003F253E"/>
    <w:rsid w:val="003F29B7"/>
    <w:rsid w:val="003F5205"/>
    <w:rsid w:val="003F605D"/>
    <w:rsid w:val="003F618D"/>
    <w:rsid w:val="003F6A2B"/>
    <w:rsid w:val="003F763B"/>
    <w:rsid w:val="003F7894"/>
    <w:rsid w:val="00400429"/>
    <w:rsid w:val="00401182"/>
    <w:rsid w:val="00401824"/>
    <w:rsid w:val="004029A3"/>
    <w:rsid w:val="004034EC"/>
    <w:rsid w:val="00405E05"/>
    <w:rsid w:val="00406EBE"/>
    <w:rsid w:val="00411C88"/>
    <w:rsid w:val="0041328F"/>
    <w:rsid w:val="00413994"/>
    <w:rsid w:val="004147D6"/>
    <w:rsid w:val="00414849"/>
    <w:rsid w:val="00414A47"/>
    <w:rsid w:val="00414CA2"/>
    <w:rsid w:val="004153D1"/>
    <w:rsid w:val="004157F2"/>
    <w:rsid w:val="00415845"/>
    <w:rsid w:val="00416CAA"/>
    <w:rsid w:val="00421BA6"/>
    <w:rsid w:val="00423BFE"/>
    <w:rsid w:val="00424458"/>
    <w:rsid w:val="00424577"/>
    <w:rsid w:val="00425A08"/>
    <w:rsid w:val="00425E13"/>
    <w:rsid w:val="00425FD9"/>
    <w:rsid w:val="00426923"/>
    <w:rsid w:val="00426E0B"/>
    <w:rsid w:val="0042763B"/>
    <w:rsid w:val="0043267B"/>
    <w:rsid w:val="00433DEA"/>
    <w:rsid w:val="00433FE0"/>
    <w:rsid w:val="004345FA"/>
    <w:rsid w:val="004348AE"/>
    <w:rsid w:val="00434EE2"/>
    <w:rsid w:val="004365FF"/>
    <w:rsid w:val="004374C0"/>
    <w:rsid w:val="00440C8B"/>
    <w:rsid w:val="00442124"/>
    <w:rsid w:val="00442311"/>
    <w:rsid w:val="004426E4"/>
    <w:rsid w:val="00443141"/>
    <w:rsid w:val="0044331B"/>
    <w:rsid w:val="00443963"/>
    <w:rsid w:val="00443FA6"/>
    <w:rsid w:val="004447E9"/>
    <w:rsid w:val="004454EE"/>
    <w:rsid w:val="004463CC"/>
    <w:rsid w:val="00446B7A"/>
    <w:rsid w:val="00446F6F"/>
    <w:rsid w:val="00447980"/>
    <w:rsid w:val="00450E94"/>
    <w:rsid w:val="004521AA"/>
    <w:rsid w:val="00452C15"/>
    <w:rsid w:val="00453F09"/>
    <w:rsid w:val="00453F67"/>
    <w:rsid w:val="00454F35"/>
    <w:rsid w:val="00455EEF"/>
    <w:rsid w:val="0045609E"/>
    <w:rsid w:val="00456435"/>
    <w:rsid w:val="0045687A"/>
    <w:rsid w:val="00461A22"/>
    <w:rsid w:val="004646DB"/>
    <w:rsid w:val="00464A1C"/>
    <w:rsid w:val="00464D0E"/>
    <w:rsid w:val="00465561"/>
    <w:rsid w:val="00465A22"/>
    <w:rsid w:val="00467925"/>
    <w:rsid w:val="0047147C"/>
    <w:rsid w:val="00471849"/>
    <w:rsid w:val="00471F1C"/>
    <w:rsid w:val="0047224C"/>
    <w:rsid w:val="00473A6A"/>
    <w:rsid w:val="00474997"/>
    <w:rsid w:val="00474DDE"/>
    <w:rsid w:val="00477D98"/>
    <w:rsid w:val="0048008D"/>
    <w:rsid w:val="0048247B"/>
    <w:rsid w:val="00483656"/>
    <w:rsid w:val="0048476F"/>
    <w:rsid w:val="00484B1B"/>
    <w:rsid w:val="00485B03"/>
    <w:rsid w:val="00485B78"/>
    <w:rsid w:val="00485D3D"/>
    <w:rsid w:val="00486C94"/>
    <w:rsid w:val="0048701D"/>
    <w:rsid w:val="004905C4"/>
    <w:rsid w:val="00490813"/>
    <w:rsid w:val="00490D47"/>
    <w:rsid w:val="00490E6E"/>
    <w:rsid w:val="00490F62"/>
    <w:rsid w:val="00491A55"/>
    <w:rsid w:val="00491F0F"/>
    <w:rsid w:val="0049249A"/>
    <w:rsid w:val="004925E5"/>
    <w:rsid w:val="0049282A"/>
    <w:rsid w:val="004947D9"/>
    <w:rsid w:val="00497F25"/>
    <w:rsid w:val="004A00EA"/>
    <w:rsid w:val="004A0169"/>
    <w:rsid w:val="004A117E"/>
    <w:rsid w:val="004A12CC"/>
    <w:rsid w:val="004A1F9B"/>
    <w:rsid w:val="004A2CD4"/>
    <w:rsid w:val="004A32AC"/>
    <w:rsid w:val="004A3E8F"/>
    <w:rsid w:val="004A5725"/>
    <w:rsid w:val="004A5FDF"/>
    <w:rsid w:val="004A7865"/>
    <w:rsid w:val="004B0C7C"/>
    <w:rsid w:val="004B0D63"/>
    <w:rsid w:val="004B1116"/>
    <w:rsid w:val="004B124A"/>
    <w:rsid w:val="004B1565"/>
    <w:rsid w:val="004B17AC"/>
    <w:rsid w:val="004B1CC6"/>
    <w:rsid w:val="004B36EE"/>
    <w:rsid w:val="004B3B0D"/>
    <w:rsid w:val="004B48CA"/>
    <w:rsid w:val="004C0200"/>
    <w:rsid w:val="004C0D26"/>
    <w:rsid w:val="004C1716"/>
    <w:rsid w:val="004C1B25"/>
    <w:rsid w:val="004C3002"/>
    <w:rsid w:val="004C4587"/>
    <w:rsid w:val="004C49CA"/>
    <w:rsid w:val="004C5CD8"/>
    <w:rsid w:val="004D0482"/>
    <w:rsid w:val="004D1F23"/>
    <w:rsid w:val="004D3CF8"/>
    <w:rsid w:val="004D64FC"/>
    <w:rsid w:val="004D78B9"/>
    <w:rsid w:val="004E142E"/>
    <w:rsid w:val="004E1C1A"/>
    <w:rsid w:val="004E1DC6"/>
    <w:rsid w:val="004E2491"/>
    <w:rsid w:val="004E2601"/>
    <w:rsid w:val="004E60B8"/>
    <w:rsid w:val="004E64E1"/>
    <w:rsid w:val="004E6D34"/>
    <w:rsid w:val="004E6FA7"/>
    <w:rsid w:val="004E75AF"/>
    <w:rsid w:val="004F06FF"/>
    <w:rsid w:val="004F0CEF"/>
    <w:rsid w:val="004F269F"/>
    <w:rsid w:val="004F5EAA"/>
    <w:rsid w:val="004F6FF6"/>
    <w:rsid w:val="004F7915"/>
    <w:rsid w:val="004F7DDE"/>
    <w:rsid w:val="004F7E68"/>
    <w:rsid w:val="00500505"/>
    <w:rsid w:val="005012DE"/>
    <w:rsid w:val="00501562"/>
    <w:rsid w:val="00501F69"/>
    <w:rsid w:val="00502013"/>
    <w:rsid w:val="00503858"/>
    <w:rsid w:val="005038BA"/>
    <w:rsid w:val="00506596"/>
    <w:rsid w:val="00511881"/>
    <w:rsid w:val="00511B9A"/>
    <w:rsid w:val="005128DF"/>
    <w:rsid w:val="0051316C"/>
    <w:rsid w:val="00515050"/>
    <w:rsid w:val="005151A8"/>
    <w:rsid w:val="0051533F"/>
    <w:rsid w:val="00516209"/>
    <w:rsid w:val="00516737"/>
    <w:rsid w:val="00517606"/>
    <w:rsid w:val="00517D42"/>
    <w:rsid w:val="0052074F"/>
    <w:rsid w:val="00520F05"/>
    <w:rsid w:val="005221C1"/>
    <w:rsid w:val="00523FAD"/>
    <w:rsid w:val="00524214"/>
    <w:rsid w:val="00524EBE"/>
    <w:rsid w:val="005262DD"/>
    <w:rsid w:val="00527970"/>
    <w:rsid w:val="00527C64"/>
    <w:rsid w:val="00527D95"/>
    <w:rsid w:val="0053228D"/>
    <w:rsid w:val="00534277"/>
    <w:rsid w:val="00534A7E"/>
    <w:rsid w:val="005358D7"/>
    <w:rsid w:val="00535B30"/>
    <w:rsid w:val="00537264"/>
    <w:rsid w:val="005377C3"/>
    <w:rsid w:val="005416FC"/>
    <w:rsid w:val="0054261E"/>
    <w:rsid w:val="00542ABD"/>
    <w:rsid w:val="00542C06"/>
    <w:rsid w:val="0054439E"/>
    <w:rsid w:val="005463B6"/>
    <w:rsid w:val="00547A27"/>
    <w:rsid w:val="00550938"/>
    <w:rsid w:val="00552078"/>
    <w:rsid w:val="005526C5"/>
    <w:rsid w:val="00552DBB"/>
    <w:rsid w:val="005530C1"/>
    <w:rsid w:val="005533A7"/>
    <w:rsid w:val="0055345F"/>
    <w:rsid w:val="00554CFC"/>
    <w:rsid w:val="00555A97"/>
    <w:rsid w:val="00562627"/>
    <w:rsid w:val="0056373E"/>
    <w:rsid w:val="00564077"/>
    <w:rsid w:val="00565C19"/>
    <w:rsid w:val="00567567"/>
    <w:rsid w:val="00571354"/>
    <w:rsid w:val="00572103"/>
    <w:rsid w:val="0057239A"/>
    <w:rsid w:val="00572E30"/>
    <w:rsid w:val="00573E79"/>
    <w:rsid w:val="00573F5E"/>
    <w:rsid w:val="00575B01"/>
    <w:rsid w:val="00576117"/>
    <w:rsid w:val="00576582"/>
    <w:rsid w:val="00576B2D"/>
    <w:rsid w:val="00577A1D"/>
    <w:rsid w:val="00581E7F"/>
    <w:rsid w:val="00583B3C"/>
    <w:rsid w:val="00584308"/>
    <w:rsid w:val="005846ED"/>
    <w:rsid w:val="00584FE3"/>
    <w:rsid w:val="00585514"/>
    <w:rsid w:val="00585C6D"/>
    <w:rsid w:val="00586774"/>
    <w:rsid w:val="005870B9"/>
    <w:rsid w:val="00591BA4"/>
    <w:rsid w:val="00591EBD"/>
    <w:rsid w:val="00592954"/>
    <w:rsid w:val="00592A17"/>
    <w:rsid w:val="0059477B"/>
    <w:rsid w:val="005956D8"/>
    <w:rsid w:val="00596634"/>
    <w:rsid w:val="0059667F"/>
    <w:rsid w:val="00596E6D"/>
    <w:rsid w:val="0059703C"/>
    <w:rsid w:val="00597A7F"/>
    <w:rsid w:val="00597F29"/>
    <w:rsid w:val="005A0D34"/>
    <w:rsid w:val="005A10F2"/>
    <w:rsid w:val="005A211E"/>
    <w:rsid w:val="005A3685"/>
    <w:rsid w:val="005A368E"/>
    <w:rsid w:val="005A3D9D"/>
    <w:rsid w:val="005A558B"/>
    <w:rsid w:val="005A5D3F"/>
    <w:rsid w:val="005A623F"/>
    <w:rsid w:val="005A755A"/>
    <w:rsid w:val="005B1D20"/>
    <w:rsid w:val="005B3958"/>
    <w:rsid w:val="005B3B88"/>
    <w:rsid w:val="005B4886"/>
    <w:rsid w:val="005B5FA5"/>
    <w:rsid w:val="005B6924"/>
    <w:rsid w:val="005B7104"/>
    <w:rsid w:val="005C2E1D"/>
    <w:rsid w:val="005C31EA"/>
    <w:rsid w:val="005C31EE"/>
    <w:rsid w:val="005C37B0"/>
    <w:rsid w:val="005C3E1A"/>
    <w:rsid w:val="005C42F4"/>
    <w:rsid w:val="005C5945"/>
    <w:rsid w:val="005C5DED"/>
    <w:rsid w:val="005C6ADC"/>
    <w:rsid w:val="005C7143"/>
    <w:rsid w:val="005C7E40"/>
    <w:rsid w:val="005C7F6E"/>
    <w:rsid w:val="005D0085"/>
    <w:rsid w:val="005D0116"/>
    <w:rsid w:val="005D093A"/>
    <w:rsid w:val="005D0D10"/>
    <w:rsid w:val="005D38E2"/>
    <w:rsid w:val="005D3C61"/>
    <w:rsid w:val="005D3F56"/>
    <w:rsid w:val="005D4410"/>
    <w:rsid w:val="005D52FE"/>
    <w:rsid w:val="005D57A1"/>
    <w:rsid w:val="005E0C3C"/>
    <w:rsid w:val="005E120E"/>
    <w:rsid w:val="005E1EAE"/>
    <w:rsid w:val="005E202C"/>
    <w:rsid w:val="005E4F0B"/>
    <w:rsid w:val="005E64EC"/>
    <w:rsid w:val="005E7BFC"/>
    <w:rsid w:val="005E7D3A"/>
    <w:rsid w:val="005F11B9"/>
    <w:rsid w:val="005F1333"/>
    <w:rsid w:val="005F170B"/>
    <w:rsid w:val="005F2923"/>
    <w:rsid w:val="005F3872"/>
    <w:rsid w:val="005F3E00"/>
    <w:rsid w:val="005F4329"/>
    <w:rsid w:val="005F4B1F"/>
    <w:rsid w:val="005F4C3B"/>
    <w:rsid w:val="005F4F4E"/>
    <w:rsid w:val="005F5684"/>
    <w:rsid w:val="005F60DE"/>
    <w:rsid w:val="005F7341"/>
    <w:rsid w:val="005F7AC3"/>
    <w:rsid w:val="0060026B"/>
    <w:rsid w:val="0060048C"/>
    <w:rsid w:val="00600EEA"/>
    <w:rsid w:val="00601075"/>
    <w:rsid w:val="00601B54"/>
    <w:rsid w:val="00606230"/>
    <w:rsid w:val="006073F9"/>
    <w:rsid w:val="0061080B"/>
    <w:rsid w:val="00611518"/>
    <w:rsid w:val="00612EED"/>
    <w:rsid w:val="00612F34"/>
    <w:rsid w:val="006133F0"/>
    <w:rsid w:val="0061502C"/>
    <w:rsid w:val="006156D1"/>
    <w:rsid w:val="006203D9"/>
    <w:rsid w:val="00622EFF"/>
    <w:rsid w:val="00625FD6"/>
    <w:rsid w:val="00627411"/>
    <w:rsid w:val="006274BA"/>
    <w:rsid w:val="00630B34"/>
    <w:rsid w:val="006323F3"/>
    <w:rsid w:val="00632E45"/>
    <w:rsid w:val="00632F2B"/>
    <w:rsid w:val="006335C5"/>
    <w:rsid w:val="00633762"/>
    <w:rsid w:val="00634192"/>
    <w:rsid w:val="00634AAF"/>
    <w:rsid w:val="0063624C"/>
    <w:rsid w:val="00640BEC"/>
    <w:rsid w:val="00641580"/>
    <w:rsid w:val="00641C0B"/>
    <w:rsid w:val="00642068"/>
    <w:rsid w:val="006421F0"/>
    <w:rsid w:val="0064279C"/>
    <w:rsid w:val="00646CA4"/>
    <w:rsid w:val="00646CCC"/>
    <w:rsid w:val="00647572"/>
    <w:rsid w:val="00650E2E"/>
    <w:rsid w:val="00650FC1"/>
    <w:rsid w:val="00650FFF"/>
    <w:rsid w:val="006524B3"/>
    <w:rsid w:val="00652E42"/>
    <w:rsid w:val="006531E2"/>
    <w:rsid w:val="0065369F"/>
    <w:rsid w:val="00653DCA"/>
    <w:rsid w:val="006558FB"/>
    <w:rsid w:val="00655CD3"/>
    <w:rsid w:val="00656244"/>
    <w:rsid w:val="00656618"/>
    <w:rsid w:val="00656B0B"/>
    <w:rsid w:val="00656B11"/>
    <w:rsid w:val="00656DE9"/>
    <w:rsid w:val="00665492"/>
    <w:rsid w:val="0066599A"/>
    <w:rsid w:val="00665AF6"/>
    <w:rsid w:val="006667C4"/>
    <w:rsid w:val="00667913"/>
    <w:rsid w:val="00672DCF"/>
    <w:rsid w:val="0067370B"/>
    <w:rsid w:val="00674453"/>
    <w:rsid w:val="006754AC"/>
    <w:rsid w:val="0067663A"/>
    <w:rsid w:val="006773BA"/>
    <w:rsid w:val="00680225"/>
    <w:rsid w:val="0068193F"/>
    <w:rsid w:val="0068199E"/>
    <w:rsid w:val="00681CDA"/>
    <w:rsid w:val="00684621"/>
    <w:rsid w:val="00684E24"/>
    <w:rsid w:val="00684F16"/>
    <w:rsid w:val="006869D7"/>
    <w:rsid w:val="00687286"/>
    <w:rsid w:val="00690231"/>
    <w:rsid w:val="00690DA7"/>
    <w:rsid w:val="00694F8B"/>
    <w:rsid w:val="00695BAE"/>
    <w:rsid w:val="00695BF6"/>
    <w:rsid w:val="0069614D"/>
    <w:rsid w:val="006979CB"/>
    <w:rsid w:val="006A17DB"/>
    <w:rsid w:val="006A2E6D"/>
    <w:rsid w:val="006A3600"/>
    <w:rsid w:val="006A566B"/>
    <w:rsid w:val="006A59D8"/>
    <w:rsid w:val="006B164B"/>
    <w:rsid w:val="006B1CE0"/>
    <w:rsid w:val="006B4CED"/>
    <w:rsid w:val="006B4DEC"/>
    <w:rsid w:val="006B6095"/>
    <w:rsid w:val="006B694B"/>
    <w:rsid w:val="006B6B51"/>
    <w:rsid w:val="006B6E9B"/>
    <w:rsid w:val="006B7401"/>
    <w:rsid w:val="006C05F3"/>
    <w:rsid w:val="006C06C1"/>
    <w:rsid w:val="006C0A81"/>
    <w:rsid w:val="006C0AB2"/>
    <w:rsid w:val="006C14B2"/>
    <w:rsid w:val="006C2517"/>
    <w:rsid w:val="006C4CAC"/>
    <w:rsid w:val="006C4FDA"/>
    <w:rsid w:val="006D0F70"/>
    <w:rsid w:val="006D1546"/>
    <w:rsid w:val="006D6082"/>
    <w:rsid w:val="006D7259"/>
    <w:rsid w:val="006D727B"/>
    <w:rsid w:val="006D7301"/>
    <w:rsid w:val="006D7442"/>
    <w:rsid w:val="006D7E5D"/>
    <w:rsid w:val="006E062E"/>
    <w:rsid w:val="006E09AA"/>
    <w:rsid w:val="006E0C17"/>
    <w:rsid w:val="006E100C"/>
    <w:rsid w:val="006E1F42"/>
    <w:rsid w:val="006E38CD"/>
    <w:rsid w:val="006E4A4F"/>
    <w:rsid w:val="006E59F8"/>
    <w:rsid w:val="006E6BE9"/>
    <w:rsid w:val="006F0D75"/>
    <w:rsid w:val="006F18A6"/>
    <w:rsid w:val="006F2927"/>
    <w:rsid w:val="006F3A01"/>
    <w:rsid w:val="006F5B3D"/>
    <w:rsid w:val="006F5F82"/>
    <w:rsid w:val="006F7082"/>
    <w:rsid w:val="006F7E22"/>
    <w:rsid w:val="00700354"/>
    <w:rsid w:val="00700687"/>
    <w:rsid w:val="00700748"/>
    <w:rsid w:val="00704F83"/>
    <w:rsid w:val="0070505D"/>
    <w:rsid w:val="00705537"/>
    <w:rsid w:val="00705DDB"/>
    <w:rsid w:val="007074FE"/>
    <w:rsid w:val="007100BA"/>
    <w:rsid w:val="00710167"/>
    <w:rsid w:val="00712832"/>
    <w:rsid w:val="00712E15"/>
    <w:rsid w:val="007130ED"/>
    <w:rsid w:val="00714419"/>
    <w:rsid w:val="00714CED"/>
    <w:rsid w:val="007204B6"/>
    <w:rsid w:val="00721E62"/>
    <w:rsid w:val="007238E4"/>
    <w:rsid w:val="007243F3"/>
    <w:rsid w:val="00724A44"/>
    <w:rsid w:val="00726960"/>
    <w:rsid w:val="00726AA7"/>
    <w:rsid w:val="00726CF9"/>
    <w:rsid w:val="00726D4E"/>
    <w:rsid w:val="0073051C"/>
    <w:rsid w:val="007319A1"/>
    <w:rsid w:val="00731D5D"/>
    <w:rsid w:val="007328BA"/>
    <w:rsid w:val="007329DF"/>
    <w:rsid w:val="00735166"/>
    <w:rsid w:val="00736A7F"/>
    <w:rsid w:val="007377EB"/>
    <w:rsid w:val="007404ED"/>
    <w:rsid w:val="00741814"/>
    <w:rsid w:val="00742AC5"/>
    <w:rsid w:val="00743336"/>
    <w:rsid w:val="00743927"/>
    <w:rsid w:val="0074512C"/>
    <w:rsid w:val="00745D29"/>
    <w:rsid w:val="0074643C"/>
    <w:rsid w:val="0074691F"/>
    <w:rsid w:val="00746F37"/>
    <w:rsid w:val="0074705C"/>
    <w:rsid w:val="007502BD"/>
    <w:rsid w:val="00750E1D"/>
    <w:rsid w:val="00751E39"/>
    <w:rsid w:val="0075265D"/>
    <w:rsid w:val="0075328E"/>
    <w:rsid w:val="00754138"/>
    <w:rsid w:val="00754D22"/>
    <w:rsid w:val="00754EBF"/>
    <w:rsid w:val="00755459"/>
    <w:rsid w:val="00755BAA"/>
    <w:rsid w:val="007567E9"/>
    <w:rsid w:val="00756EF9"/>
    <w:rsid w:val="007570FF"/>
    <w:rsid w:val="00757371"/>
    <w:rsid w:val="00760A6B"/>
    <w:rsid w:val="0076192A"/>
    <w:rsid w:val="0076265B"/>
    <w:rsid w:val="0076297A"/>
    <w:rsid w:val="007629CE"/>
    <w:rsid w:val="00763372"/>
    <w:rsid w:val="0076426F"/>
    <w:rsid w:val="00764BDB"/>
    <w:rsid w:val="00765267"/>
    <w:rsid w:val="00765C83"/>
    <w:rsid w:val="00767D89"/>
    <w:rsid w:val="00771418"/>
    <w:rsid w:val="00771711"/>
    <w:rsid w:val="00772122"/>
    <w:rsid w:val="007730DC"/>
    <w:rsid w:val="0077431A"/>
    <w:rsid w:val="00774575"/>
    <w:rsid w:val="00774D71"/>
    <w:rsid w:val="00776189"/>
    <w:rsid w:val="007806CB"/>
    <w:rsid w:val="00783684"/>
    <w:rsid w:val="00784A6D"/>
    <w:rsid w:val="00787944"/>
    <w:rsid w:val="00787951"/>
    <w:rsid w:val="00790FB4"/>
    <w:rsid w:val="00792AC1"/>
    <w:rsid w:val="0079352F"/>
    <w:rsid w:val="007A16A2"/>
    <w:rsid w:val="007A1FA1"/>
    <w:rsid w:val="007A337E"/>
    <w:rsid w:val="007A651F"/>
    <w:rsid w:val="007A73DD"/>
    <w:rsid w:val="007B1B45"/>
    <w:rsid w:val="007B1F0E"/>
    <w:rsid w:val="007B353F"/>
    <w:rsid w:val="007B531B"/>
    <w:rsid w:val="007B6AAF"/>
    <w:rsid w:val="007B73E1"/>
    <w:rsid w:val="007B73F9"/>
    <w:rsid w:val="007B79A5"/>
    <w:rsid w:val="007B7B12"/>
    <w:rsid w:val="007C04EB"/>
    <w:rsid w:val="007C1A2F"/>
    <w:rsid w:val="007C2BFF"/>
    <w:rsid w:val="007C36C7"/>
    <w:rsid w:val="007C3B46"/>
    <w:rsid w:val="007C3D7D"/>
    <w:rsid w:val="007C4527"/>
    <w:rsid w:val="007C4A23"/>
    <w:rsid w:val="007C4E7B"/>
    <w:rsid w:val="007C694E"/>
    <w:rsid w:val="007C6C16"/>
    <w:rsid w:val="007C7789"/>
    <w:rsid w:val="007C7F91"/>
    <w:rsid w:val="007D1159"/>
    <w:rsid w:val="007D1598"/>
    <w:rsid w:val="007D2604"/>
    <w:rsid w:val="007D3E5B"/>
    <w:rsid w:val="007D4491"/>
    <w:rsid w:val="007D4DB8"/>
    <w:rsid w:val="007D5023"/>
    <w:rsid w:val="007D51F3"/>
    <w:rsid w:val="007D54A9"/>
    <w:rsid w:val="007D58D8"/>
    <w:rsid w:val="007D5F00"/>
    <w:rsid w:val="007D6214"/>
    <w:rsid w:val="007D6233"/>
    <w:rsid w:val="007D6A0C"/>
    <w:rsid w:val="007D6ADC"/>
    <w:rsid w:val="007D76E4"/>
    <w:rsid w:val="007D7B21"/>
    <w:rsid w:val="007E15F9"/>
    <w:rsid w:val="007E181D"/>
    <w:rsid w:val="007E39FA"/>
    <w:rsid w:val="007E3CAA"/>
    <w:rsid w:val="007E42F6"/>
    <w:rsid w:val="007E5151"/>
    <w:rsid w:val="007E5D5C"/>
    <w:rsid w:val="007E627A"/>
    <w:rsid w:val="007E7E30"/>
    <w:rsid w:val="007F0305"/>
    <w:rsid w:val="007F0AB5"/>
    <w:rsid w:val="007F170A"/>
    <w:rsid w:val="007F3850"/>
    <w:rsid w:val="007F3C40"/>
    <w:rsid w:val="007F41B8"/>
    <w:rsid w:val="007F46AC"/>
    <w:rsid w:val="007F4B94"/>
    <w:rsid w:val="007F63E0"/>
    <w:rsid w:val="007F75FB"/>
    <w:rsid w:val="007F7B6E"/>
    <w:rsid w:val="008003B9"/>
    <w:rsid w:val="00800D52"/>
    <w:rsid w:val="00800FD8"/>
    <w:rsid w:val="0080173A"/>
    <w:rsid w:val="00801E54"/>
    <w:rsid w:val="008033FB"/>
    <w:rsid w:val="008043EC"/>
    <w:rsid w:val="008045BC"/>
    <w:rsid w:val="00804C5D"/>
    <w:rsid w:val="0080502B"/>
    <w:rsid w:val="0080612F"/>
    <w:rsid w:val="00806D49"/>
    <w:rsid w:val="00810055"/>
    <w:rsid w:val="00810D0C"/>
    <w:rsid w:val="00812FF7"/>
    <w:rsid w:val="0081404D"/>
    <w:rsid w:val="00817253"/>
    <w:rsid w:val="00820906"/>
    <w:rsid w:val="008213CA"/>
    <w:rsid w:val="00821763"/>
    <w:rsid w:val="00823246"/>
    <w:rsid w:val="00823F59"/>
    <w:rsid w:val="00824B48"/>
    <w:rsid w:val="008264B1"/>
    <w:rsid w:val="008265A2"/>
    <w:rsid w:val="008267C8"/>
    <w:rsid w:val="00831309"/>
    <w:rsid w:val="00832832"/>
    <w:rsid w:val="00832A22"/>
    <w:rsid w:val="0083341F"/>
    <w:rsid w:val="0083433A"/>
    <w:rsid w:val="0083683E"/>
    <w:rsid w:val="008378A8"/>
    <w:rsid w:val="00837B32"/>
    <w:rsid w:val="00843041"/>
    <w:rsid w:val="00843249"/>
    <w:rsid w:val="008438BC"/>
    <w:rsid w:val="00843C39"/>
    <w:rsid w:val="00844E18"/>
    <w:rsid w:val="008452FA"/>
    <w:rsid w:val="0084558D"/>
    <w:rsid w:val="00845D57"/>
    <w:rsid w:val="00845F25"/>
    <w:rsid w:val="00846748"/>
    <w:rsid w:val="00846918"/>
    <w:rsid w:val="00846E0F"/>
    <w:rsid w:val="008501ED"/>
    <w:rsid w:val="00851357"/>
    <w:rsid w:val="00851992"/>
    <w:rsid w:val="00852B22"/>
    <w:rsid w:val="0085350E"/>
    <w:rsid w:val="008538D0"/>
    <w:rsid w:val="0085415D"/>
    <w:rsid w:val="00854950"/>
    <w:rsid w:val="00854F34"/>
    <w:rsid w:val="00855C60"/>
    <w:rsid w:val="00855FBF"/>
    <w:rsid w:val="00856F1F"/>
    <w:rsid w:val="0085701D"/>
    <w:rsid w:val="00857276"/>
    <w:rsid w:val="00861DF8"/>
    <w:rsid w:val="00862B8D"/>
    <w:rsid w:val="00863D96"/>
    <w:rsid w:val="00865BD9"/>
    <w:rsid w:val="008661FD"/>
    <w:rsid w:val="008663BE"/>
    <w:rsid w:val="008664B6"/>
    <w:rsid w:val="00866C14"/>
    <w:rsid w:val="00870194"/>
    <w:rsid w:val="00870231"/>
    <w:rsid w:val="00872BA3"/>
    <w:rsid w:val="0087392A"/>
    <w:rsid w:val="00874B03"/>
    <w:rsid w:val="00874CB1"/>
    <w:rsid w:val="00874FEF"/>
    <w:rsid w:val="008751A9"/>
    <w:rsid w:val="008771B3"/>
    <w:rsid w:val="00880695"/>
    <w:rsid w:val="008818D9"/>
    <w:rsid w:val="00881B31"/>
    <w:rsid w:val="00882121"/>
    <w:rsid w:val="00882168"/>
    <w:rsid w:val="008822BD"/>
    <w:rsid w:val="00884B7B"/>
    <w:rsid w:val="0088531A"/>
    <w:rsid w:val="008863A4"/>
    <w:rsid w:val="00886576"/>
    <w:rsid w:val="00886D90"/>
    <w:rsid w:val="00887725"/>
    <w:rsid w:val="008879A2"/>
    <w:rsid w:val="00887C37"/>
    <w:rsid w:val="00890F08"/>
    <w:rsid w:val="0089114D"/>
    <w:rsid w:val="00891B2F"/>
    <w:rsid w:val="00893413"/>
    <w:rsid w:val="00893F33"/>
    <w:rsid w:val="008958EC"/>
    <w:rsid w:val="0089675E"/>
    <w:rsid w:val="008A1FF5"/>
    <w:rsid w:val="008A2E9D"/>
    <w:rsid w:val="008A3368"/>
    <w:rsid w:val="008A551D"/>
    <w:rsid w:val="008A5532"/>
    <w:rsid w:val="008A61BA"/>
    <w:rsid w:val="008A67FC"/>
    <w:rsid w:val="008A78F0"/>
    <w:rsid w:val="008B0F3D"/>
    <w:rsid w:val="008B170E"/>
    <w:rsid w:val="008B248F"/>
    <w:rsid w:val="008B378C"/>
    <w:rsid w:val="008B4F67"/>
    <w:rsid w:val="008B53D9"/>
    <w:rsid w:val="008B64D5"/>
    <w:rsid w:val="008B666F"/>
    <w:rsid w:val="008B7266"/>
    <w:rsid w:val="008B78A9"/>
    <w:rsid w:val="008B7FE2"/>
    <w:rsid w:val="008C01BE"/>
    <w:rsid w:val="008C12F6"/>
    <w:rsid w:val="008C133E"/>
    <w:rsid w:val="008C2625"/>
    <w:rsid w:val="008C385B"/>
    <w:rsid w:val="008C52B6"/>
    <w:rsid w:val="008C721E"/>
    <w:rsid w:val="008D03A1"/>
    <w:rsid w:val="008D1132"/>
    <w:rsid w:val="008D1FAB"/>
    <w:rsid w:val="008D5799"/>
    <w:rsid w:val="008D67EA"/>
    <w:rsid w:val="008D71C5"/>
    <w:rsid w:val="008D7408"/>
    <w:rsid w:val="008D76F6"/>
    <w:rsid w:val="008E1F5D"/>
    <w:rsid w:val="008E25A2"/>
    <w:rsid w:val="008E3BF4"/>
    <w:rsid w:val="008E3E1F"/>
    <w:rsid w:val="008E4383"/>
    <w:rsid w:val="008E4983"/>
    <w:rsid w:val="008E6DF9"/>
    <w:rsid w:val="008F028D"/>
    <w:rsid w:val="008F0315"/>
    <w:rsid w:val="008F04B5"/>
    <w:rsid w:val="008F121C"/>
    <w:rsid w:val="008F12A3"/>
    <w:rsid w:val="008F12D9"/>
    <w:rsid w:val="008F2549"/>
    <w:rsid w:val="008F4930"/>
    <w:rsid w:val="008F57FE"/>
    <w:rsid w:val="008F5DFD"/>
    <w:rsid w:val="008F747E"/>
    <w:rsid w:val="009002BD"/>
    <w:rsid w:val="0090104C"/>
    <w:rsid w:val="00901701"/>
    <w:rsid w:val="00901B9A"/>
    <w:rsid w:val="009024E7"/>
    <w:rsid w:val="00902957"/>
    <w:rsid w:val="00903066"/>
    <w:rsid w:val="00904334"/>
    <w:rsid w:val="00905C2E"/>
    <w:rsid w:val="009064CC"/>
    <w:rsid w:val="0090785B"/>
    <w:rsid w:val="0091129C"/>
    <w:rsid w:val="009124F1"/>
    <w:rsid w:val="0091522A"/>
    <w:rsid w:val="00920F45"/>
    <w:rsid w:val="00921964"/>
    <w:rsid w:val="009226D2"/>
    <w:rsid w:val="00922B2F"/>
    <w:rsid w:val="00922BB4"/>
    <w:rsid w:val="00923D46"/>
    <w:rsid w:val="009241C3"/>
    <w:rsid w:val="0092486D"/>
    <w:rsid w:val="00924DB2"/>
    <w:rsid w:val="009254FA"/>
    <w:rsid w:val="00927839"/>
    <w:rsid w:val="009279F7"/>
    <w:rsid w:val="009302B5"/>
    <w:rsid w:val="00933A8C"/>
    <w:rsid w:val="00934107"/>
    <w:rsid w:val="009357A6"/>
    <w:rsid w:val="0093626F"/>
    <w:rsid w:val="00936610"/>
    <w:rsid w:val="0093770E"/>
    <w:rsid w:val="00940968"/>
    <w:rsid w:val="009421C4"/>
    <w:rsid w:val="0094316B"/>
    <w:rsid w:val="00943D71"/>
    <w:rsid w:val="00943DAB"/>
    <w:rsid w:val="009459BF"/>
    <w:rsid w:val="009471DA"/>
    <w:rsid w:val="00947D86"/>
    <w:rsid w:val="00950D6D"/>
    <w:rsid w:val="00952EA7"/>
    <w:rsid w:val="009534A5"/>
    <w:rsid w:val="009537D0"/>
    <w:rsid w:val="00954706"/>
    <w:rsid w:val="0095774B"/>
    <w:rsid w:val="00960CD3"/>
    <w:rsid w:val="009619D3"/>
    <w:rsid w:val="00961C63"/>
    <w:rsid w:val="00962809"/>
    <w:rsid w:val="009629C4"/>
    <w:rsid w:val="00964AB0"/>
    <w:rsid w:val="00966553"/>
    <w:rsid w:val="00967925"/>
    <w:rsid w:val="009729E1"/>
    <w:rsid w:val="0097361F"/>
    <w:rsid w:val="00974847"/>
    <w:rsid w:val="00975A0E"/>
    <w:rsid w:val="00975E42"/>
    <w:rsid w:val="00976064"/>
    <w:rsid w:val="00976544"/>
    <w:rsid w:val="00977267"/>
    <w:rsid w:val="009776CD"/>
    <w:rsid w:val="00980EA8"/>
    <w:rsid w:val="009814E8"/>
    <w:rsid w:val="009823AA"/>
    <w:rsid w:val="00982591"/>
    <w:rsid w:val="009841B6"/>
    <w:rsid w:val="00984935"/>
    <w:rsid w:val="00984C28"/>
    <w:rsid w:val="009853C3"/>
    <w:rsid w:val="00987240"/>
    <w:rsid w:val="00987E3F"/>
    <w:rsid w:val="00990228"/>
    <w:rsid w:val="00990D52"/>
    <w:rsid w:val="00991623"/>
    <w:rsid w:val="00995CB5"/>
    <w:rsid w:val="00996113"/>
    <w:rsid w:val="009966CB"/>
    <w:rsid w:val="00996DC2"/>
    <w:rsid w:val="00996FB7"/>
    <w:rsid w:val="009974B8"/>
    <w:rsid w:val="009A087B"/>
    <w:rsid w:val="009A1610"/>
    <w:rsid w:val="009A1798"/>
    <w:rsid w:val="009A1D5D"/>
    <w:rsid w:val="009A25F5"/>
    <w:rsid w:val="009A3A85"/>
    <w:rsid w:val="009A4BE2"/>
    <w:rsid w:val="009A5488"/>
    <w:rsid w:val="009A5CD8"/>
    <w:rsid w:val="009A7278"/>
    <w:rsid w:val="009B01A2"/>
    <w:rsid w:val="009B023D"/>
    <w:rsid w:val="009B05D9"/>
    <w:rsid w:val="009B0D19"/>
    <w:rsid w:val="009B1D0D"/>
    <w:rsid w:val="009B2CD5"/>
    <w:rsid w:val="009B3B99"/>
    <w:rsid w:val="009B51BF"/>
    <w:rsid w:val="009B656A"/>
    <w:rsid w:val="009C0EC7"/>
    <w:rsid w:val="009C2593"/>
    <w:rsid w:val="009C41B5"/>
    <w:rsid w:val="009C4744"/>
    <w:rsid w:val="009C5A24"/>
    <w:rsid w:val="009D057C"/>
    <w:rsid w:val="009D1506"/>
    <w:rsid w:val="009D22CD"/>
    <w:rsid w:val="009D27F3"/>
    <w:rsid w:val="009D2D37"/>
    <w:rsid w:val="009D3E7B"/>
    <w:rsid w:val="009D43F3"/>
    <w:rsid w:val="009D5CE0"/>
    <w:rsid w:val="009D687E"/>
    <w:rsid w:val="009D6C31"/>
    <w:rsid w:val="009D747A"/>
    <w:rsid w:val="009E0794"/>
    <w:rsid w:val="009E08A4"/>
    <w:rsid w:val="009E29A9"/>
    <w:rsid w:val="009E35EB"/>
    <w:rsid w:val="009E3651"/>
    <w:rsid w:val="009E4013"/>
    <w:rsid w:val="009E4180"/>
    <w:rsid w:val="009E53D7"/>
    <w:rsid w:val="009E5BD8"/>
    <w:rsid w:val="009E66E7"/>
    <w:rsid w:val="009E6D68"/>
    <w:rsid w:val="009E78D3"/>
    <w:rsid w:val="009F1A8E"/>
    <w:rsid w:val="009F1E69"/>
    <w:rsid w:val="009F2549"/>
    <w:rsid w:val="009F2864"/>
    <w:rsid w:val="009F3781"/>
    <w:rsid w:val="009F3A86"/>
    <w:rsid w:val="009F405E"/>
    <w:rsid w:val="009F4F0D"/>
    <w:rsid w:val="009F5194"/>
    <w:rsid w:val="009F5574"/>
    <w:rsid w:val="009F5AED"/>
    <w:rsid w:val="009F71B7"/>
    <w:rsid w:val="009F73B2"/>
    <w:rsid w:val="009F7510"/>
    <w:rsid w:val="00A00749"/>
    <w:rsid w:val="00A00C71"/>
    <w:rsid w:val="00A049ED"/>
    <w:rsid w:val="00A0549D"/>
    <w:rsid w:val="00A06522"/>
    <w:rsid w:val="00A07548"/>
    <w:rsid w:val="00A07770"/>
    <w:rsid w:val="00A100EA"/>
    <w:rsid w:val="00A1149F"/>
    <w:rsid w:val="00A12998"/>
    <w:rsid w:val="00A13B8A"/>
    <w:rsid w:val="00A13BC5"/>
    <w:rsid w:val="00A13C29"/>
    <w:rsid w:val="00A1430A"/>
    <w:rsid w:val="00A15C1A"/>
    <w:rsid w:val="00A16AD7"/>
    <w:rsid w:val="00A1791B"/>
    <w:rsid w:val="00A20109"/>
    <w:rsid w:val="00A22321"/>
    <w:rsid w:val="00A22E34"/>
    <w:rsid w:val="00A23616"/>
    <w:rsid w:val="00A2385D"/>
    <w:rsid w:val="00A24BC4"/>
    <w:rsid w:val="00A250A1"/>
    <w:rsid w:val="00A262D5"/>
    <w:rsid w:val="00A26497"/>
    <w:rsid w:val="00A27314"/>
    <w:rsid w:val="00A276BA"/>
    <w:rsid w:val="00A27908"/>
    <w:rsid w:val="00A27EC5"/>
    <w:rsid w:val="00A31351"/>
    <w:rsid w:val="00A316EA"/>
    <w:rsid w:val="00A317F1"/>
    <w:rsid w:val="00A31E5F"/>
    <w:rsid w:val="00A31E74"/>
    <w:rsid w:val="00A32056"/>
    <w:rsid w:val="00A3381A"/>
    <w:rsid w:val="00A33850"/>
    <w:rsid w:val="00A34F26"/>
    <w:rsid w:val="00A35B24"/>
    <w:rsid w:val="00A36E89"/>
    <w:rsid w:val="00A3731C"/>
    <w:rsid w:val="00A373B7"/>
    <w:rsid w:val="00A373C3"/>
    <w:rsid w:val="00A37E3B"/>
    <w:rsid w:val="00A40287"/>
    <w:rsid w:val="00A40A1C"/>
    <w:rsid w:val="00A426C1"/>
    <w:rsid w:val="00A434DE"/>
    <w:rsid w:val="00A44EC5"/>
    <w:rsid w:val="00A45339"/>
    <w:rsid w:val="00A463D2"/>
    <w:rsid w:val="00A50445"/>
    <w:rsid w:val="00A5249D"/>
    <w:rsid w:val="00A52A5A"/>
    <w:rsid w:val="00A53D8E"/>
    <w:rsid w:val="00A54149"/>
    <w:rsid w:val="00A54511"/>
    <w:rsid w:val="00A5481D"/>
    <w:rsid w:val="00A5491D"/>
    <w:rsid w:val="00A5533C"/>
    <w:rsid w:val="00A555AA"/>
    <w:rsid w:val="00A5568B"/>
    <w:rsid w:val="00A57318"/>
    <w:rsid w:val="00A6013E"/>
    <w:rsid w:val="00A602D6"/>
    <w:rsid w:val="00A60C47"/>
    <w:rsid w:val="00A61FD2"/>
    <w:rsid w:val="00A629C5"/>
    <w:rsid w:val="00A670EC"/>
    <w:rsid w:val="00A70436"/>
    <w:rsid w:val="00A70AE2"/>
    <w:rsid w:val="00A7127F"/>
    <w:rsid w:val="00A71B43"/>
    <w:rsid w:val="00A71E99"/>
    <w:rsid w:val="00A745CB"/>
    <w:rsid w:val="00A7499B"/>
    <w:rsid w:val="00A75041"/>
    <w:rsid w:val="00A75402"/>
    <w:rsid w:val="00A76D4A"/>
    <w:rsid w:val="00A80B55"/>
    <w:rsid w:val="00A80C00"/>
    <w:rsid w:val="00A81E2B"/>
    <w:rsid w:val="00A831E4"/>
    <w:rsid w:val="00A86892"/>
    <w:rsid w:val="00A90983"/>
    <w:rsid w:val="00A90CE8"/>
    <w:rsid w:val="00A91C5C"/>
    <w:rsid w:val="00A92072"/>
    <w:rsid w:val="00A93AF7"/>
    <w:rsid w:val="00A94203"/>
    <w:rsid w:val="00A962A5"/>
    <w:rsid w:val="00A966AA"/>
    <w:rsid w:val="00A9761D"/>
    <w:rsid w:val="00AA067C"/>
    <w:rsid w:val="00AA1210"/>
    <w:rsid w:val="00AA13A4"/>
    <w:rsid w:val="00AA1CAE"/>
    <w:rsid w:val="00AA35B3"/>
    <w:rsid w:val="00AA5FD3"/>
    <w:rsid w:val="00AA7520"/>
    <w:rsid w:val="00AA7BF4"/>
    <w:rsid w:val="00AB089D"/>
    <w:rsid w:val="00AB0C60"/>
    <w:rsid w:val="00AB1718"/>
    <w:rsid w:val="00AB17B4"/>
    <w:rsid w:val="00AB2C96"/>
    <w:rsid w:val="00AB54F8"/>
    <w:rsid w:val="00AB6053"/>
    <w:rsid w:val="00AC420A"/>
    <w:rsid w:val="00AC5E0D"/>
    <w:rsid w:val="00AC5FE2"/>
    <w:rsid w:val="00AC7106"/>
    <w:rsid w:val="00AC7820"/>
    <w:rsid w:val="00AD33FC"/>
    <w:rsid w:val="00AD42FF"/>
    <w:rsid w:val="00AD5107"/>
    <w:rsid w:val="00AD58D2"/>
    <w:rsid w:val="00AD65EA"/>
    <w:rsid w:val="00AD6719"/>
    <w:rsid w:val="00AD6A15"/>
    <w:rsid w:val="00AD7B23"/>
    <w:rsid w:val="00AE02A1"/>
    <w:rsid w:val="00AE4A07"/>
    <w:rsid w:val="00AE4C39"/>
    <w:rsid w:val="00AE5D60"/>
    <w:rsid w:val="00AE7438"/>
    <w:rsid w:val="00AF1023"/>
    <w:rsid w:val="00AF1766"/>
    <w:rsid w:val="00AF1865"/>
    <w:rsid w:val="00AF27E2"/>
    <w:rsid w:val="00AF34A7"/>
    <w:rsid w:val="00AF4376"/>
    <w:rsid w:val="00AF4AF8"/>
    <w:rsid w:val="00AF4DBF"/>
    <w:rsid w:val="00AF4E44"/>
    <w:rsid w:val="00AF4FBA"/>
    <w:rsid w:val="00AF69BE"/>
    <w:rsid w:val="00B00D06"/>
    <w:rsid w:val="00B01142"/>
    <w:rsid w:val="00B01629"/>
    <w:rsid w:val="00B017F9"/>
    <w:rsid w:val="00B0232F"/>
    <w:rsid w:val="00B02D60"/>
    <w:rsid w:val="00B04A16"/>
    <w:rsid w:val="00B064EF"/>
    <w:rsid w:val="00B10E5D"/>
    <w:rsid w:val="00B10F23"/>
    <w:rsid w:val="00B11893"/>
    <w:rsid w:val="00B11AAD"/>
    <w:rsid w:val="00B12188"/>
    <w:rsid w:val="00B1450D"/>
    <w:rsid w:val="00B15BC7"/>
    <w:rsid w:val="00B168BB"/>
    <w:rsid w:val="00B20C7E"/>
    <w:rsid w:val="00B2270F"/>
    <w:rsid w:val="00B23990"/>
    <w:rsid w:val="00B24495"/>
    <w:rsid w:val="00B254CD"/>
    <w:rsid w:val="00B2626D"/>
    <w:rsid w:val="00B275A8"/>
    <w:rsid w:val="00B30A68"/>
    <w:rsid w:val="00B32380"/>
    <w:rsid w:val="00B33948"/>
    <w:rsid w:val="00B34086"/>
    <w:rsid w:val="00B351EC"/>
    <w:rsid w:val="00B3582D"/>
    <w:rsid w:val="00B40A59"/>
    <w:rsid w:val="00B40AB3"/>
    <w:rsid w:val="00B410A1"/>
    <w:rsid w:val="00B4166A"/>
    <w:rsid w:val="00B41703"/>
    <w:rsid w:val="00B423C6"/>
    <w:rsid w:val="00B44216"/>
    <w:rsid w:val="00B4481F"/>
    <w:rsid w:val="00B44E10"/>
    <w:rsid w:val="00B450D6"/>
    <w:rsid w:val="00B45D1A"/>
    <w:rsid w:val="00B46D3B"/>
    <w:rsid w:val="00B47289"/>
    <w:rsid w:val="00B505DC"/>
    <w:rsid w:val="00B52134"/>
    <w:rsid w:val="00B5230F"/>
    <w:rsid w:val="00B524F2"/>
    <w:rsid w:val="00B527E1"/>
    <w:rsid w:val="00B535EB"/>
    <w:rsid w:val="00B53853"/>
    <w:rsid w:val="00B53901"/>
    <w:rsid w:val="00B53E94"/>
    <w:rsid w:val="00B546C4"/>
    <w:rsid w:val="00B549B3"/>
    <w:rsid w:val="00B55628"/>
    <w:rsid w:val="00B55C95"/>
    <w:rsid w:val="00B60791"/>
    <w:rsid w:val="00B61636"/>
    <w:rsid w:val="00B6171D"/>
    <w:rsid w:val="00B62F23"/>
    <w:rsid w:val="00B62FC7"/>
    <w:rsid w:val="00B6391A"/>
    <w:rsid w:val="00B63C58"/>
    <w:rsid w:val="00B63F3A"/>
    <w:rsid w:val="00B644F6"/>
    <w:rsid w:val="00B6492B"/>
    <w:rsid w:val="00B653AD"/>
    <w:rsid w:val="00B664A3"/>
    <w:rsid w:val="00B71EB2"/>
    <w:rsid w:val="00B72A55"/>
    <w:rsid w:val="00B72D94"/>
    <w:rsid w:val="00B75D5B"/>
    <w:rsid w:val="00B7612D"/>
    <w:rsid w:val="00B80F97"/>
    <w:rsid w:val="00B8105A"/>
    <w:rsid w:val="00B814EF"/>
    <w:rsid w:val="00B822E9"/>
    <w:rsid w:val="00B82F88"/>
    <w:rsid w:val="00B84E49"/>
    <w:rsid w:val="00B8621D"/>
    <w:rsid w:val="00B876AC"/>
    <w:rsid w:val="00B87849"/>
    <w:rsid w:val="00B90B3A"/>
    <w:rsid w:val="00B92DB8"/>
    <w:rsid w:val="00B930A2"/>
    <w:rsid w:val="00B93A47"/>
    <w:rsid w:val="00B93BE2"/>
    <w:rsid w:val="00B93CCC"/>
    <w:rsid w:val="00B94A3D"/>
    <w:rsid w:val="00BA03E5"/>
    <w:rsid w:val="00BA1003"/>
    <w:rsid w:val="00BA2D5B"/>
    <w:rsid w:val="00BA3323"/>
    <w:rsid w:val="00BA4124"/>
    <w:rsid w:val="00BA51AC"/>
    <w:rsid w:val="00BA5802"/>
    <w:rsid w:val="00BA5D6D"/>
    <w:rsid w:val="00BA6D11"/>
    <w:rsid w:val="00BA7015"/>
    <w:rsid w:val="00BB260C"/>
    <w:rsid w:val="00BB36A0"/>
    <w:rsid w:val="00BB4757"/>
    <w:rsid w:val="00BB4EC9"/>
    <w:rsid w:val="00BC18CB"/>
    <w:rsid w:val="00BC2377"/>
    <w:rsid w:val="00BC2DC7"/>
    <w:rsid w:val="00BC30C1"/>
    <w:rsid w:val="00BC35D4"/>
    <w:rsid w:val="00BC3A18"/>
    <w:rsid w:val="00BC4C0E"/>
    <w:rsid w:val="00BC77B8"/>
    <w:rsid w:val="00BD2985"/>
    <w:rsid w:val="00BD2ADF"/>
    <w:rsid w:val="00BD2CBA"/>
    <w:rsid w:val="00BD3499"/>
    <w:rsid w:val="00BD5963"/>
    <w:rsid w:val="00BD7DAA"/>
    <w:rsid w:val="00BE0FEC"/>
    <w:rsid w:val="00BE1E80"/>
    <w:rsid w:val="00BE2274"/>
    <w:rsid w:val="00BE2E6B"/>
    <w:rsid w:val="00BE2F56"/>
    <w:rsid w:val="00BE3290"/>
    <w:rsid w:val="00BE49E5"/>
    <w:rsid w:val="00BE5184"/>
    <w:rsid w:val="00BE674D"/>
    <w:rsid w:val="00BE679D"/>
    <w:rsid w:val="00BE6B10"/>
    <w:rsid w:val="00BE7093"/>
    <w:rsid w:val="00BE7EBA"/>
    <w:rsid w:val="00BF0EA5"/>
    <w:rsid w:val="00BF0F66"/>
    <w:rsid w:val="00BF1DFC"/>
    <w:rsid w:val="00BF32F7"/>
    <w:rsid w:val="00BF417A"/>
    <w:rsid w:val="00BF4F9C"/>
    <w:rsid w:val="00BF5DA2"/>
    <w:rsid w:val="00BF67D3"/>
    <w:rsid w:val="00BF7F27"/>
    <w:rsid w:val="00C01ABB"/>
    <w:rsid w:val="00C01D97"/>
    <w:rsid w:val="00C031AC"/>
    <w:rsid w:val="00C03EE0"/>
    <w:rsid w:val="00C03F26"/>
    <w:rsid w:val="00C03F72"/>
    <w:rsid w:val="00C04493"/>
    <w:rsid w:val="00C0541F"/>
    <w:rsid w:val="00C06311"/>
    <w:rsid w:val="00C0691D"/>
    <w:rsid w:val="00C11368"/>
    <w:rsid w:val="00C124DA"/>
    <w:rsid w:val="00C12A81"/>
    <w:rsid w:val="00C14E08"/>
    <w:rsid w:val="00C14EA0"/>
    <w:rsid w:val="00C159AA"/>
    <w:rsid w:val="00C1664A"/>
    <w:rsid w:val="00C16B74"/>
    <w:rsid w:val="00C16C6C"/>
    <w:rsid w:val="00C1709A"/>
    <w:rsid w:val="00C215B9"/>
    <w:rsid w:val="00C23473"/>
    <w:rsid w:val="00C27AD6"/>
    <w:rsid w:val="00C27D8A"/>
    <w:rsid w:val="00C306EF"/>
    <w:rsid w:val="00C30C28"/>
    <w:rsid w:val="00C322F5"/>
    <w:rsid w:val="00C33300"/>
    <w:rsid w:val="00C33A12"/>
    <w:rsid w:val="00C343D5"/>
    <w:rsid w:val="00C348DF"/>
    <w:rsid w:val="00C34A9D"/>
    <w:rsid w:val="00C35E13"/>
    <w:rsid w:val="00C36052"/>
    <w:rsid w:val="00C368EB"/>
    <w:rsid w:val="00C370F8"/>
    <w:rsid w:val="00C4092E"/>
    <w:rsid w:val="00C42200"/>
    <w:rsid w:val="00C42D72"/>
    <w:rsid w:val="00C43277"/>
    <w:rsid w:val="00C43441"/>
    <w:rsid w:val="00C44608"/>
    <w:rsid w:val="00C47E47"/>
    <w:rsid w:val="00C51C4E"/>
    <w:rsid w:val="00C520DC"/>
    <w:rsid w:val="00C523F6"/>
    <w:rsid w:val="00C5378A"/>
    <w:rsid w:val="00C5394B"/>
    <w:rsid w:val="00C549B6"/>
    <w:rsid w:val="00C55D57"/>
    <w:rsid w:val="00C55F33"/>
    <w:rsid w:val="00C568F9"/>
    <w:rsid w:val="00C56AE7"/>
    <w:rsid w:val="00C57B5A"/>
    <w:rsid w:val="00C60CCA"/>
    <w:rsid w:val="00C626B7"/>
    <w:rsid w:val="00C636DE"/>
    <w:rsid w:val="00C64DF4"/>
    <w:rsid w:val="00C66F1A"/>
    <w:rsid w:val="00C701BF"/>
    <w:rsid w:val="00C713DE"/>
    <w:rsid w:val="00C71B07"/>
    <w:rsid w:val="00C736D7"/>
    <w:rsid w:val="00C736E2"/>
    <w:rsid w:val="00C745F3"/>
    <w:rsid w:val="00C748A4"/>
    <w:rsid w:val="00C74D70"/>
    <w:rsid w:val="00C80679"/>
    <w:rsid w:val="00C8219F"/>
    <w:rsid w:val="00C821DF"/>
    <w:rsid w:val="00C82DC3"/>
    <w:rsid w:val="00C831D5"/>
    <w:rsid w:val="00C83C15"/>
    <w:rsid w:val="00C84163"/>
    <w:rsid w:val="00C848A1"/>
    <w:rsid w:val="00C84EBC"/>
    <w:rsid w:val="00C8641A"/>
    <w:rsid w:val="00C87266"/>
    <w:rsid w:val="00C87731"/>
    <w:rsid w:val="00C9064A"/>
    <w:rsid w:val="00C906E4"/>
    <w:rsid w:val="00C92853"/>
    <w:rsid w:val="00C92E7D"/>
    <w:rsid w:val="00C92F9D"/>
    <w:rsid w:val="00C946A2"/>
    <w:rsid w:val="00C94927"/>
    <w:rsid w:val="00C969A9"/>
    <w:rsid w:val="00C96A20"/>
    <w:rsid w:val="00C97062"/>
    <w:rsid w:val="00C97147"/>
    <w:rsid w:val="00CA134D"/>
    <w:rsid w:val="00CA20B7"/>
    <w:rsid w:val="00CA3F40"/>
    <w:rsid w:val="00CA42E7"/>
    <w:rsid w:val="00CA4735"/>
    <w:rsid w:val="00CA4EB0"/>
    <w:rsid w:val="00CA60AE"/>
    <w:rsid w:val="00CA62DB"/>
    <w:rsid w:val="00CA65AA"/>
    <w:rsid w:val="00CA6693"/>
    <w:rsid w:val="00CB05DA"/>
    <w:rsid w:val="00CB0B20"/>
    <w:rsid w:val="00CB17DD"/>
    <w:rsid w:val="00CB2F11"/>
    <w:rsid w:val="00CB495F"/>
    <w:rsid w:val="00CB62DD"/>
    <w:rsid w:val="00CB76FF"/>
    <w:rsid w:val="00CC01DE"/>
    <w:rsid w:val="00CC146D"/>
    <w:rsid w:val="00CC2540"/>
    <w:rsid w:val="00CC364C"/>
    <w:rsid w:val="00CC42F9"/>
    <w:rsid w:val="00CC4EA9"/>
    <w:rsid w:val="00CC4F74"/>
    <w:rsid w:val="00CC4FCE"/>
    <w:rsid w:val="00CC5607"/>
    <w:rsid w:val="00CC5FE3"/>
    <w:rsid w:val="00CC655B"/>
    <w:rsid w:val="00CC6A9C"/>
    <w:rsid w:val="00CD0B0B"/>
    <w:rsid w:val="00CD129E"/>
    <w:rsid w:val="00CD42D2"/>
    <w:rsid w:val="00CD604A"/>
    <w:rsid w:val="00CD7228"/>
    <w:rsid w:val="00CE10CD"/>
    <w:rsid w:val="00CE370D"/>
    <w:rsid w:val="00CE4579"/>
    <w:rsid w:val="00CE4E8F"/>
    <w:rsid w:val="00CE5582"/>
    <w:rsid w:val="00CE5AC0"/>
    <w:rsid w:val="00CE7565"/>
    <w:rsid w:val="00CF125B"/>
    <w:rsid w:val="00CF1B47"/>
    <w:rsid w:val="00CF2994"/>
    <w:rsid w:val="00CF2CB7"/>
    <w:rsid w:val="00CF6D9F"/>
    <w:rsid w:val="00CF71A7"/>
    <w:rsid w:val="00CF7827"/>
    <w:rsid w:val="00CF7E64"/>
    <w:rsid w:val="00D01DA0"/>
    <w:rsid w:val="00D020D0"/>
    <w:rsid w:val="00D02C71"/>
    <w:rsid w:val="00D02EAC"/>
    <w:rsid w:val="00D04219"/>
    <w:rsid w:val="00D043DA"/>
    <w:rsid w:val="00D04929"/>
    <w:rsid w:val="00D05A60"/>
    <w:rsid w:val="00D05EEA"/>
    <w:rsid w:val="00D06477"/>
    <w:rsid w:val="00D0659B"/>
    <w:rsid w:val="00D06B29"/>
    <w:rsid w:val="00D06DE5"/>
    <w:rsid w:val="00D07B6B"/>
    <w:rsid w:val="00D07DF9"/>
    <w:rsid w:val="00D10BC0"/>
    <w:rsid w:val="00D114F2"/>
    <w:rsid w:val="00D11729"/>
    <w:rsid w:val="00D11E19"/>
    <w:rsid w:val="00D11F32"/>
    <w:rsid w:val="00D11FD4"/>
    <w:rsid w:val="00D12EB8"/>
    <w:rsid w:val="00D1342B"/>
    <w:rsid w:val="00D13F32"/>
    <w:rsid w:val="00D14040"/>
    <w:rsid w:val="00D16AB8"/>
    <w:rsid w:val="00D16FCF"/>
    <w:rsid w:val="00D1720F"/>
    <w:rsid w:val="00D207B7"/>
    <w:rsid w:val="00D2245E"/>
    <w:rsid w:val="00D22928"/>
    <w:rsid w:val="00D22D67"/>
    <w:rsid w:val="00D24495"/>
    <w:rsid w:val="00D2524A"/>
    <w:rsid w:val="00D26DC9"/>
    <w:rsid w:val="00D27553"/>
    <w:rsid w:val="00D27A43"/>
    <w:rsid w:val="00D325B8"/>
    <w:rsid w:val="00D329D4"/>
    <w:rsid w:val="00D32DF3"/>
    <w:rsid w:val="00D32F46"/>
    <w:rsid w:val="00D33055"/>
    <w:rsid w:val="00D333BB"/>
    <w:rsid w:val="00D35488"/>
    <w:rsid w:val="00D354D6"/>
    <w:rsid w:val="00D355A3"/>
    <w:rsid w:val="00D35EA0"/>
    <w:rsid w:val="00D36C85"/>
    <w:rsid w:val="00D370BD"/>
    <w:rsid w:val="00D373C5"/>
    <w:rsid w:val="00D3781C"/>
    <w:rsid w:val="00D37991"/>
    <w:rsid w:val="00D40821"/>
    <w:rsid w:val="00D42A9A"/>
    <w:rsid w:val="00D445BC"/>
    <w:rsid w:val="00D45A11"/>
    <w:rsid w:val="00D45F13"/>
    <w:rsid w:val="00D46CA3"/>
    <w:rsid w:val="00D47F7F"/>
    <w:rsid w:val="00D514FF"/>
    <w:rsid w:val="00D533A6"/>
    <w:rsid w:val="00D53AB3"/>
    <w:rsid w:val="00D53D99"/>
    <w:rsid w:val="00D53D9D"/>
    <w:rsid w:val="00D545DC"/>
    <w:rsid w:val="00D55AF2"/>
    <w:rsid w:val="00D55F11"/>
    <w:rsid w:val="00D564B6"/>
    <w:rsid w:val="00D56DFB"/>
    <w:rsid w:val="00D57434"/>
    <w:rsid w:val="00D60806"/>
    <w:rsid w:val="00D60BCD"/>
    <w:rsid w:val="00D617F5"/>
    <w:rsid w:val="00D6257C"/>
    <w:rsid w:val="00D6280A"/>
    <w:rsid w:val="00D63764"/>
    <w:rsid w:val="00D64890"/>
    <w:rsid w:val="00D65096"/>
    <w:rsid w:val="00D67359"/>
    <w:rsid w:val="00D70D98"/>
    <w:rsid w:val="00D71EFA"/>
    <w:rsid w:val="00D720BD"/>
    <w:rsid w:val="00D72DB3"/>
    <w:rsid w:val="00D73E41"/>
    <w:rsid w:val="00D740D0"/>
    <w:rsid w:val="00D758D9"/>
    <w:rsid w:val="00D77A3F"/>
    <w:rsid w:val="00D80587"/>
    <w:rsid w:val="00D8107E"/>
    <w:rsid w:val="00D825CF"/>
    <w:rsid w:val="00D83A0B"/>
    <w:rsid w:val="00D8418B"/>
    <w:rsid w:val="00D84466"/>
    <w:rsid w:val="00D85BD6"/>
    <w:rsid w:val="00D86DC5"/>
    <w:rsid w:val="00D90CD4"/>
    <w:rsid w:val="00D91E9F"/>
    <w:rsid w:val="00D96520"/>
    <w:rsid w:val="00DA1ACC"/>
    <w:rsid w:val="00DA2BA3"/>
    <w:rsid w:val="00DA36A2"/>
    <w:rsid w:val="00DA4310"/>
    <w:rsid w:val="00DA44DB"/>
    <w:rsid w:val="00DA4C2A"/>
    <w:rsid w:val="00DA627D"/>
    <w:rsid w:val="00DA6ABD"/>
    <w:rsid w:val="00DA715D"/>
    <w:rsid w:val="00DA7D92"/>
    <w:rsid w:val="00DB08EE"/>
    <w:rsid w:val="00DB2BC1"/>
    <w:rsid w:val="00DB45B4"/>
    <w:rsid w:val="00DB4701"/>
    <w:rsid w:val="00DC2D59"/>
    <w:rsid w:val="00DC4E19"/>
    <w:rsid w:val="00DC61B0"/>
    <w:rsid w:val="00DC6440"/>
    <w:rsid w:val="00DD0DCF"/>
    <w:rsid w:val="00DD14F8"/>
    <w:rsid w:val="00DD175B"/>
    <w:rsid w:val="00DD2011"/>
    <w:rsid w:val="00DD29EE"/>
    <w:rsid w:val="00DD38C9"/>
    <w:rsid w:val="00DD3BBB"/>
    <w:rsid w:val="00DD3C7A"/>
    <w:rsid w:val="00DD4BF0"/>
    <w:rsid w:val="00DD4C47"/>
    <w:rsid w:val="00DD6B81"/>
    <w:rsid w:val="00DD7043"/>
    <w:rsid w:val="00DD790C"/>
    <w:rsid w:val="00DE0B6C"/>
    <w:rsid w:val="00DE173E"/>
    <w:rsid w:val="00DE18B1"/>
    <w:rsid w:val="00DE465A"/>
    <w:rsid w:val="00DE5670"/>
    <w:rsid w:val="00DE56E0"/>
    <w:rsid w:val="00DE5CD6"/>
    <w:rsid w:val="00DE5E49"/>
    <w:rsid w:val="00DE6318"/>
    <w:rsid w:val="00DE63E3"/>
    <w:rsid w:val="00DE7809"/>
    <w:rsid w:val="00DF0DE7"/>
    <w:rsid w:val="00DF100A"/>
    <w:rsid w:val="00DF25E1"/>
    <w:rsid w:val="00DF2730"/>
    <w:rsid w:val="00DF48EB"/>
    <w:rsid w:val="00DF4C0F"/>
    <w:rsid w:val="00DF4D34"/>
    <w:rsid w:val="00E00AAB"/>
    <w:rsid w:val="00E00E3D"/>
    <w:rsid w:val="00E02018"/>
    <w:rsid w:val="00E0374A"/>
    <w:rsid w:val="00E03E49"/>
    <w:rsid w:val="00E04E50"/>
    <w:rsid w:val="00E0511B"/>
    <w:rsid w:val="00E062F2"/>
    <w:rsid w:val="00E1036C"/>
    <w:rsid w:val="00E1121D"/>
    <w:rsid w:val="00E11E3D"/>
    <w:rsid w:val="00E142B5"/>
    <w:rsid w:val="00E14354"/>
    <w:rsid w:val="00E153A9"/>
    <w:rsid w:val="00E15449"/>
    <w:rsid w:val="00E15656"/>
    <w:rsid w:val="00E16644"/>
    <w:rsid w:val="00E17B85"/>
    <w:rsid w:val="00E2080C"/>
    <w:rsid w:val="00E214E8"/>
    <w:rsid w:val="00E21DB5"/>
    <w:rsid w:val="00E2281C"/>
    <w:rsid w:val="00E2293A"/>
    <w:rsid w:val="00E22981"/>
    <w:rsid w:val="00E231F1"/>
    <w:rsid w:val="00E238CB"/>
    <w:rsid w:val="00E243B4"/>
    <w:rsid w:val="00E2450C"/>
    <w:rsid w:val="00E24A9C"/>
    <w:rsid w:val="00E2515C"/>
    <w:rsid w:val="00E25DEF"/>
    <w:rsid w:val="00E25EF9"/>
    <w:rsid w:val="00E260E2"/>
    <w:rsid w:val="00E2646B"/>
    <w:rsid w:val="00E26509"/>
    <w:rsid w:val="00E26B88"/>
    <w:rsid w:val="00E26D56"/>
    <w:rsid w:val="00E27E04"/>
    <w:rsid w:val="00E30A80"/>
    <w:rsid w:val="00E312FC"/>
    <w:rsid w:val="00E35452"/>
    <w:rsid w:val="00E35FCB"/>
    <w:rsid w:val="00E36EA7"/>
    <w:rsid w:val="00E40BBC"/>
    <w:rsid w:val="00E41531"/>
    <w:rsid w:val="00E41901"/>
    <w:rsid w:val="00E42B18"/>
    <w:rsid w:val="00E42BBC"/>
    <w:rsid w:val="00E43164"/>
    <w:rsid w:val="00E43CCF"/>
    <w:rsid w:val="00E44AF8"/>
    <w:rsid w:val="00E44E81"/>
    <w:rsid w:val="00E45C67"/>
    <w:rsid w:val="00E46B90"/>
    <w:rsid w:val="00E53096"/>
    <w:rsid w:val="00E537C8"/>
    <w:rsid w:val="00E53D73"/>
    <w:rsid w:val="00E55663"/>
    <w:rsid w:val="00E56925"/>
    <w:rsid w:val="00E6009D"/>
    <w:rsid w:val="00E60346"/>
    <w:rsid w:val="00E6142B"/>
    <w:rsid w:val="00E62B42"/>
    <w:rsid w:val="00E636A0"/>
    <w:rsid w:val="00E63D08"/>
    <w:rsid w:val="00E63E69"/>
    <w:rsid w:val="00E64513"/>
    <w:rsid w:val="00E6481F"/>
    <w:rsid w:val="00E64F51"/>
    <w:rsid w:val="00E651CD"/>
    <w:rsid w:val="00E6724B"/>
    <w:rsid w:val="00E67443"/>
    <w:rsid w:val="00E70308"/>
    <w:rsid w:val="00E7100F"/>
    <w:rsid w:val="00E72465"/>
    <w:rsid w:val="00E726AD"/>
    <w:rsid w:val="00E72A18"/>
    <w:rsid w:val="00E72F08"/>
    <w:rsid w:val="00E7327A"/>
    <w:rsid w:val="00E73923"/>
    <w:rsid w:val="00E74AEA"/>
    <w:rsid w:val="00E74F72"/>
    <w:rsid w:val="00E7527B"/>
    <w:rsid w:val="00E769F8"/>
    <w:rsid w:val="00E774D9"/>
    <w:rsid w:val="00E81AEA"/>
    <w:rsid w:val="00E82BE6"/>
    <w:rsid w:val="00E83A49"/>
    <w:rsid w:val="00E83D3C"/>
    <w:rsid w:val="00E9259D"/>
    <w:rsid w:val="00E935B9"/>
    <w:rsid w:val="00E944E5"/>
    <w:rsid w:val="00E946F0"/>
    <w:rsid w:val="00E94862"/>
    <w:rsid w:val="00E95CBC"/>
    <w:rsid w:val="00EA0460"/>
    <w:rsid w:val="00EA0778"/>
    <w:rsid w:val="00EA1815"/>
    <w:rsid w:val="00EA1D91"/>
    <w:rsid w:val="00EA38A7"/>
    <w:rsid w:val="00EA6486"/>
    <w:rsid w:val="00EA6B66"/>
    <w:rsid w:val="00EA770B"/>
    <w:rsid w:val="00EA7C1A"/>
    <w:rsid w:val="00EB0649"/>
    <w:rsid w:val="00EB0B28"/>
    <w:rsid w:val="00EB1CBD"/>
    <w:rsid w:val="00EB1F18"/>
    <w:rsid w:val="00EB2FEF"/>
    <w:rsid w:val="00EB4165"/>
    <w:rsid w:val="00EB4603"/>
    <w:rsid w:val="00EB6A94"/>
    <w:rsid w:val="00EB72A2"/>
    <w:rsid w:val="00EB77ED"/>
    <w:rsid w:val="00EC0298"/>
    <w:rsid w:val="00EC1D95"/>
    <w:rsid w:val="00EC4402"/>
    <w:rsid w:val="00EC5204"/>
    <w:rsid w:val="00EC5472"/>
    <w:rsid w:val="00EC641C"/>
    <w:rsid w:val="00EC6F86"/>
    <w:rsid w:val="00EC70FC"/>
    <w:rsid w:val="00EC719F"/>
    <w:rsid w:val="00ED17BC"/>
    <w:rsid w:val="00ED255F"/>
    <w:rsid w:val="00ED25C6"/>
    <w:rsid w:val="00ED5AC1"/>
    <w:rsid w:val="00ED6259"/>
    <w:rsid w:val="00ED643E"/>
    <w:rsid w:val="00ED6EA2"/>
    <w:rsid w:val="00EE0A6E"/>
    <w:rsid w:val="00EE2695"/>
    <w:rsid w:val="00EE2C7A"/>
    <w:rsid w:val="00EE2D96"/>
    <w:rsid w:val="00EE3E6A"/>
    <w:rsid w:val="00EE4A4E"/>
    <w:rsid w:val="00EE5587"/>
    <w:rsid w:val="00EE6BDC"/>
    <w:rsid w:val="00EF2F0A"/>
    <w:rsid w:val="00EF430E"/>
    <w:rsid w:val="00EF5245"/>
    <w:rsid w:val="00EF56D0"/>
    <w:rsid w:val="00EF5E48"/>
    <w:rsid w:val="00EF5FEA"/>
    <w:rsid w:val="00EF6DDC"/>
    <w:rsid w:val="00EF6E97"/>
    <w:rsid w:val="00EF741F"/>
    <w:rsid w:val="00EF7C55"/>
    <w:rsid w:val="00F0091C"/>
    <w:rsid w:val="00F01876"/>
    <w:rsid w:val="00F018D7"/>
    <w:rsid w:val="00F018D9"/>
    <w:rsid w:val="00F01D82"/>
    <w:rsid w:val="00F0365D"/>
    <w:rsid w:val="00F0398B"/>
    <w:rsid w:val="00F03BC2"/>
    <w:rsid w:val="00F04250"/>
    <w:rsid w:val="00F04F32"/>
    <w:rsid w:val="00F04FBF"/>
    <w:rsid w:val="00F055E6"/>
    <w:rsid w:val="00F0756B"/>
    <w:rsid w:val="00F075D1"/>
    <w:rsid w:val="00F100AA"/>
    <w:rsid w:val="00F10BEF"/>
    <w:rsid w:val="00F11290"/>
    <w:rsid w:val="00F14053"/>
    <w:rsid w:val="00F16D6D"/>
    <w:rsid w:val="00F16F72"/>
    <w:rsid w:val="00F16FA2"/>
    <w:rsid w:val="00F1754C"/>
    <w:rsid w:val="00F21BD4"/>
    <w:rsid w:val="00F230D5"/>
    <w:rsid w:val="00F2313F"/>
    <w:rsid w:val="00F237D4"/>
    <w:rsid w:val="00F25E48"/>
    <w:rsid w:val="00F27D12"/>
    <w:rsid w:val="00F30429"/>
    <w:rsid w:val="00F30A5B"/>
    <w:rsid w:val="00F32502"/>
    <w:rsid w:val="00F32E43"/>
    <w:rsid w:val="00F331E3"/>
    <w:rsid w:val="00F33480"/>
    <w:rsid w:val="00F33632"/>
    <w:rsid w:val="00F368F9"/>
    <w:rsid w:val="00F3729D"/>
    <w:rsid w:val="00F3742D"/>
    <w:rsid w:val="00F3796A"/>
    <w:rsid w:val="00F37C3B"/>
    <w:rsid w:val="00F37E06"/>
    <w:rsid w:val="00F406B7"/>
    <w:rsid w:val="00F4120B"/>
    <w:rsid w:val="00F41A16"/>
    <w:rsid w:val="00F42046"/>
    <w:rsid w:val="00F42B56"/>
    <w:rsid w:val="00F43134"/>
    <w:rsid w:val="00F43CAE"/>
    <w:rsid w:val="00F444B7"/>
    <w:rsid w:val="00F44896"/>
    <w:rsid w:val="00F459A2"/>
    <w:rsid w:val="00F4657B"/>
    <w:rsid w:val="00F465B3"/>
    <w:rsid w:val="00F467E4"/>
    <w:rsid w:val="00F4755F"/>
    <w:rsid w:val="00F47B49"/>
    <w:rsid w:val="00F500EB"/>
    <w:rsid w:val="00F50317"/>
    <w:rsid w:val="00F50532"/>
    <w:rsid w:val="00F51817"/>
    <w:rsid w:val="00F53B29"/>
    <w:rsid w:val="00F53D7E"/>
    <w:rsid w:val="00F53E3D"/>
    <w:rsid w:val="00F53EF7"/>
    <w:rsid w:val="00F540C3"/>
    <w:rsid w:val="00F5460F"/>
    <w:rsid w:val="00F56456"/>
    <w:rsid w:val="00F575B2"/>
    <w:rsid w:val="00F57F26"/>
    <w:rsid w:val="00F60088"/>
    <w:rsid w:val="00F6331E"/>
    <w:rsid w:val="00F653D1"/>
    <w:rsid w:val="00F65AF2"/>
    <w:rsid w:val="00F65D84"/>
    <w:rsid w:val="00F6611E"/>
    <w:rsid w:val="00F66DD0"/>
    <w:rsid w:val="00F67791"/>
    <w:rsid w:val="00F67B40"/>
    <w:rsid w:val="00F67DB2"/>
    <w:rsid w:val="00F717B7"/>
    <w:rsid w:val="00F719E2"/>
    <w:rsid w:val="00F737A0"/>
    <w:rsid w:val="00F749B9"/>
    <w:rsid w:val="00F74FAA"/>
    <w:rsid w:val="00F750B7"/>
    <w:rsid w:val="00F75237"/>
    <w:rsid w:val="00F75E70"/>
    <w:rsid w:val="00F76232"/>
    <w:rsid w:val="00F77277"/>
    <w:rsid w:val="00F77D05"/>
    <w:rsid w:val="00F80BE1"/>
    <w:rsid w:val="00F80DCE"/>
    <w:rsid w:val="00F81E94"/>
    <w:rsid w:val="00F83DF7"/>
    <w:rsid w:val="00F84910"/>
    <w:rsid w:val="00F85D0C"/>
    <w:rsid w:val="00F8622B"/>
    <w:rsid w:val="00F8650A"/>
    <w:rsid w:val="00F87686"/>
    <w:rsid w:val="00F8771F"/>
    <w:rsid w:val="00F903A6"/>
    <w:rsid w:val="00F90EBD"/>
    <w:rsid w:val="00F91BB0"/>
    <w:rsid w:val="00F91C44"/>
    <w:rsid w:val="00F934BB"/>
    <w:rsid w:val="00F93D38"/>
    <w:rsid w:val="00F95298"/>
    <w:rsid w:val="00F964AA"/>
    <w:rsid w:val="00F9745D"/>
    <w:rsid w:val="00FA1660"/>
    <w:rsid w:val="00FA26E4"/>
    <w:rsid w:val="00FA2F83"/>
    <w:rsid w:val="00FA4140"/>
    <w:rsid w:val="00FA4701"/>
    <w:rsid w:val="00FA5638"/>
    <w:rsid w:val="00FA60BB"/>
    <w:rsid w:val="00FA7071"/>
    <w:rsid w:val="00FB029D"/>
    <w:rsid w:val="00FB0F7C"/>
    <w:rsid w:val="00FB1728"/>
    <w:rsid w:val="00FB1EF5"/>
    <w:rsid w:val="00FB2F4A"/>
    <w:rsid w:val="00FB3093"/>
    <w:rsid w:val="00FB41E4"/>
    <w:rsid w:val="00FB4900"/>
    <w:rsid w:val="00FB5508"/>
    <w:rsid w:val="00FB5D70"/>
    <w:rsid w:val="00FB650D"/>
    <w:rsid w:val="00FB68BB"/>
    <w:rsid w:val="00FB7205"/>
    <w:rsid w:val="00FC07BE"/>
    <w:rsid w:val="00FC07DA"/>
    <w:rsid w:val="00FC0BAF"/>
    <w:rsid w:val="00FC0CAF"/>
    <w:rsid w:val="00FC0DF6"/>
    <w:rsid w:val="00FC102A"/>
    <w:rsid w:val="00FC18B4"/>
    <w:rsid w:val="00FC1D2F"/>
    <w:rsid w:val="00FC3713"/>
    <w:rsid w:val="00FC6EE9"/>
    <w:rsid w:val="00FC7404"/>
    <w:rsid w:val="00FC7944"/>
    <w:rsid w:val="00FC7EF7"/>
    <w:rsid w:val="00FD0EA5"/>
    <w:rsid w:val="00FD231D"/>
    <w:rsid w:val="00FD2394"/>
    <w:rsid w:val="00FD2B90"/>
    <w:rsid w:val="00FD5A1F"/>
    <w:rsid w:val="00FE0558"/>
    <w:rsid w:val="00FE067D"/>
    <w:rsid w:val="00FE192E"/>
    <w:rsid w:val="00FE283D"/>
    <w:rsid w:val="00FE2BA5"/>
    <w:rsid w:val="00FE3930"/>
    <w:rsid w:val="00FE4587"/>
    <w:rsid w:val="00FE5667"/>
    <w:rsid w:val="00FE682C"/>
    <w:rsid w:val="00FE7658"/>
    <w:rsid w:val="00FF0062"/>
    <w:rsid w:val="00FF0C8B"/>
    <w:rsid w:val="00FF2E5F"/>
    <w:rsid w:val="00FF2FC6"/>
    <w:rsid w:val="00FF3105"/>
    <w:rsid w:val="00FF3B0B"/>
    <w:rsid w:val="00FF451B"/>
    <w:rsid w:val="00FF6792"/>
    <w:rsid w:val="00FF71EF"/>
    <w:rsid w:val="00FF7EA5"/>
    <w:rsid w:val="05D80B14"/>
    <w:rsid w:val="08D66996"/>
    <w:rsid w:val="096CC448"/>
    <w:rsid w:val="14E8465C"/>
    <w:rsid w:val="1A5CA2D8"/>
    <w:rsid w:val="24BF3716"/>
    <w:rsid w:val="29737FBB"/>
    <w:rsid w:val="3C69CC66"/>
    <w:rsid w:val="409AF603"/>
    <w:rsid w:val="520D1AC3"/>
    <w:rsid w:val="581844E6"/>
    <w:rsid w:val="5BD4DE0B"/>
    <w:rsid w:val="651F082A"/>
    <w:rsid w:val="674BA16B"/>
    <w:rsid w:val="69A893E2"/>
    <w:rsid w:val="6B47F44D"/>
    <w:rsid w:val="6BF366FF"/>
    <w:rsid w:val="7290C1A6"/>
    <w:rsid w:val="7E8F83FC"/>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09A24C"/>
  <w15:chartTrackingRefBased/>
  <w15:docId w15:val="{24A2904C-5D0E-4117-ACE6-DAA3CD188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fi" w:eastAsia="en-IE"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F11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1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11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11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F11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F11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F11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F11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F11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1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1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11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F11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F11B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F11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F11B9"/>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F11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F11B9"/>
    <w:rPr>
      <w:rFonts w:eastAsiaTheme="majorEastAsia" w:cstheme="majorBidi"/>
      <w:color w:val="272727" w:themeColor="text1" w:themeTint="D8"/>
    </w:rPr>
  </w:style>
  <w:style w:type="paragraph" w:styleId="Title">
    <w:name w:val="Title"/>
    <w:basedOn w:val="Normal"/>
    <w:next w:val="Normal"/>
    <w:link w:val="TitleChar"/>
    <w:uiPriority w:val="10"/>
    <w:qFormat/>
    <w:rsid w:val="005F11B9"/>
    <w:pPr>
      <w:spacing w:after="8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rsid w:val="005F11B9"/>
    <w:rPr>
      <w:rFonts w:asciiTheme="majorHAnsi" w:eastAsiaTheme="majorEastAsia" w:hAnsiTheme="majorHAnsi" w:cstheme="majorBidi"/>
      <w:kern w:val="28"/>
      <w:sz w:val="56"/>
      <w:szCs w:val="56"/>
    </w:rPr>
  </w:style>
  <w:style w:type="paragraph" w:styleId="Subtitle">
    <w:name w:val="Subtitle"/>
    <w:basedOn w:val="Normal"/>
    <w:next w:val="Normal"/>
    <w:link w:val="SubtitleChar"/>
    <w:uiPriority w:val="11"/>
    <w:qFormat/>
    <w:rsid w:val="005F11B9"/>
    <w:pPr>
      <w:numPr>
        <w:ilvl w:val="1"/>
      </w:numPr>
    </w:pPr>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5F11B9"/>
    <w:rPr>
      <w:rFonts w:eastAsiaTheme="majorEastAsia" w:cstheme="majorBidi"/>
      <w:color w:val="595959" w:themeColor="text1" w:themeTint="A6"/>
      <w:sz w:val="28"/>
      <w:szCs w:val="28"/>
    </w:rPr>
  </w:style>
  <w:style w:type="paragraph" w:styleId="Quote">
    <w:name w:val="Quote"/>
    <w:basedOn w:val="Normal"/>
    <w:next w:val="Normal"/>
    <w:link w:val="QuoteChar"/>
    <w:uiPriority w:val="29"/>
    <w:qFormat/>
    <w:rsid w:val="005F11B9"/>
    <w:pPr>
      <w:spacing w:before="160"/>
      <w:jc w:val="center"/>
    </w:pPr>
    <w:rPr>
      <w:i/>
      <w:iCs/>
      <w:color w:val="404040" w:themeColor="text1" w:themeTint="BF"/>
    </w:rPr>
  </w:style>
  <w:style w:type="character" w:customStyle="1" w:styleId="QuoteChar">
    <w:name w:val="Quote Char"/>
    <w:basedOn w:val="DefaultParagraphFont"/>
    <w:link w:val="Quote"/>
    <w:uiPriority w:val="29"/>
    <w:rsid w:val="005F11B9"/>
    <w:rPr>
      <w:i/>
      <w:iCs/>
      <w:color w:val="404040" w:themeColor="text1" w:themeTint="BF"/>
    </w:rPr>
  </w:style>
  <w:style w:type="paragraph" w:styleId="ListParagraph">
    <w:name w:val="List Paragraph"/>
    <w:aliases w:val="numbered list,2,OBC Bullet,Normal 1,Task Body,Viñetas (Inicio Parrafo),3 Txt tabla,Zerrenda-paragrafoa,Fiche List Paragraph,Dot pt,F5 List Paragraph,List Paragraph1,No Spacing1,List Paragraph Char Char Char,Indicator Text,Bullets,L,EC"/>
    <w:basedOn w:val="Normal"/>
    <w:link w:val="ListParagraphChar"/>
    <w:uiPriority w:val="34"/>
    <w:qFormat/>
    <w:rsid w:val="005F11B9"/>
    <w:pPr>
      <w:ind w:left="720"/>
      <w:contextualSpacing/>
    </w:pPr>
  </w:style>
  <w:style w:type="character" w:styleId="IntenseEmphasis">
    <w:name w:val="Intense Emphasis"/>
    <w:basedOn w:val="DefaultParagraphFont"/>
    <w:uiPriority w:val="21"/>
    <w:qFormat/>
    <w:rsid w:val="005F11B9"/>
    <w:rPr>
      <w:i/>
      <w:iCs/>
      <w:color w:val="0F4761" w:themeColor="accent1" w:themeShade="BF"/>
    </w:rPr>
  </w:style>
  <w:style w:type="paragraph" w:styleId="IntenseQuote">
    <w:name w:val="Intense Quote"/>
    <w:basedOn w:val="Normal"/>
    <w:next w:val="Normal"/>
    <w:link w:val="IntenseQuoteChar"/>
    <w:uiPriority w:val="30"/>
    <w:qFormat/>
    <w:rsid w:val="005F11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1B9"/>
    <w:rPr>
      <w:i/>
      <w:iCs/>
      <w:color w:val="0F4761" w:themeColor="accent1" w:themeShade="BF"/>
    </w:rPr>
  </w:style>
  <w:style w:type="character" w:styleId="IntenseReference">
    <w:name w:val="Intense Reference"/>
    <w:basedOn w:val="DefaultParagraphFont"/>
    <w:uiPriority w:val="32"/>
    <w:qFormat/>
    <w:rsid w:val="005F11B9"/>
    <w:rPr>
      <w:b/>
      <w:bCs/>
      <w:smallCaps/>
      <w:color w:val="0F4761" w:themeColor="accent1" w:themeShade="BF"/>
    </w:rPr>
  </w:style>
  <w:style w:type="character" w:styleId="Hyperlink">
    <w:name w:val="Hyperlink"/>
    <w:basedOn w:val="DefaultParagraphFont"/>
    <w:uiPriority w:val="99"/>
    <w:unhideWhenUsed/>
    <w:rsid w:val="005F11B9"/>
    <w:rPr>
      <w:color w:val="467886" w:themeColor="hyperlink"/>
      <w:u w:val="single"/>
    </w:rPr>
  </w:style>
  <w:style w:type="character" w:styleId="FollowedHyperlink">
    <w:name w:val="FollowedHyperlink"/>
    <w:basedOn w:val="DefaultParagraphFont"/>
    <w:uiPriority w:val="99"/>
    <w:semiHidden/>
    <w:unhideWhenUsed/>
    <w:rsid w:val="005F11B9"/>
    <w:rPr>
      <w:color w:val="96607D" w:themeColor="followedHyperlink"/>
      <w:u w:val="single"/>
    </w:rPr>
  </w:style>
  <w:style w:type="paragraph" w:customStyle="1" w:styleId="Text1">
    <w:name w:val="Text 1"/>
    <w:basedOn w:val="Normal"/>
    <w:rsid w:val="005F11B9"/>
    <w:pPr>
      <w:spacing w:before="120" w:after="120" w:line="240" w:lineRule="auto"/>
      <w:ind w:left="850"/>
      <w:jc w:val="both"/>
    </w:pPr>
    <w:rPr>
      <w:rFonts w:ascii="Times New Roman" w:eastAsia="Times New Roman" w:hAnsi="Times New Roman" w:cs="Times New Roman"/>
      <w:kern w:val="0"/>
      <w:sz w:val="24"/>
      <w:szCs w:val="24"/>
    </w:rPr>
  </w:style>
  <w:style w:type="paragraph" w:customStyle="1" w:styleId="msonormal0">
    <w:name w:val="msonormal"/>
    <w:basedOn w:val="Normal"/>
    <w:uiPriority w:val="99"/>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NormalWeb">
    <w:name w:val="Normal (Web)"/>
    <w:basedOn w:val="Normal"/>
    <w:uiPriority w:val="99"/>
    <w:unhideWhenUsed/>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TOC1">
    <w:name w:val="toc 1"/>
    <w:basedOn w:val="Normal"/>
    <w:next w:val="Normal"/>
    <w:autoRedefine/>
    <w:uiPriority w:val="39"/>
    <w:semiHidden/>
    <w:unhideWhenUsed/>
    <w:rsid w:val="005F11B9"/>
    <w:pPr>
      <w:numPr>
        <w:numId w:val="1"/>
      </w:numPr>
      <w:tabs>
        <w:tab w:val="right" w:leader="dot" w:pos="9071"/>
      </w:tabs>
      <w:spacing w:before="60" w:after="120" w:line="240" w:lineRule="auto"/>
    </w:pPr>
    <w:rPr>
      <w:rFonts w:ascii="Times New Roman" w:eastAsia="Times New Roman" w:hAnsi="Times New Roman" w:cs="Times New Roman"/>
      <w:kern w:val="0"/>
      <w:sz w:val="24"/>
      <w:szCs w:val="24"/>
    </w:rPr>
  </w:style>
  <w:style w:type="paragraph" w:styleId="TOC2">
    <w:name w:val="toc 2"/>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3">
    <w:name w:val="toc 3"/>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4">
    <w:name w:val="toc 4"/>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5">
    <w:name w:val="toc 5"/>
    <w:basedOn w:val="Normal"/>
    <w:next w:val="Normal"/>
    <w:autoRedefine/>
    <w:uiPriority w:val="39"/>
    <w:semiHidden/>
    <w:unhideWhenUsed/>
    <w:rsid w:val="005F11B9"/>
    <w:pPr>
      <w:tabs>
        <w:tab w:val="right" w:leader="dot" w:pos="9071"/>
      </w:tabs>
      <w:spacing w:before="300" w:after="120" w:line="240" w:lineRule="auto"/>
    </w:pPr>
    <w:rPr>
      <w:rFonts w:ascii="Times New Roman" w:eastAsia="Times New Roman" w:hAnsi="Times New Roman" w:cs="Times New Roman"/>
      <w:kern w:val="0"/>
      <w:sz w:val="24"/>
      <w:szCs w:val="24"/>
    </w:rPr>
  </w:style>
  <w:style w:type="paragraph" w:styleId="TOC6">
    <w:name w:val="toc 6"/>
    <w:basedOn w:val="Normal"/>
    <w:next w:val="Normal"/>
    <w:autoRedefine/>
    <w:uiPriority w:val="39"/>
    <w:semiHidden/>
    <w:unhideWhenUsed/>
    <w:rsid w:val="005F11B9"/>
    <w:pPr>
      <w:tabs>
        <w:tab w:val="right" w:leader="dot" w:pos="9071"/>
      </w:tabs>
      <w:spacing w:before="240" w:after="120" w:line="240" w:lineRule="auto"/>
    </w:pPr>
    <w:rPr>
      <w:rFonts w:ascii="Times New Roman" w:eastAsia="Times New Roman" w:hAnsi="Times New Roman" w:cs="Times New Roman"/>
      <w:kern w:val="0"/>
      <w:sz w:val="24"/>
      <w:szCs w:val="24"/>
    </w:rPr>
  </w:style>
  <w:style w:type="paragraph" w:styleId="TOC7">
    <w:name w:val="toc 7"/>
    <w:basedOn w:val="Normal"/>
    <w:next w:val="Normal"/>
    <w:autoRedefine/>
    <w:uiPriority w:val="39"/>
    <w:semiHidden/>
    <w:unhideWhenUsed/>
    <w:rsid w:val="005F11B9"/>
    <w:pPr>
      <w:tabs>
        <w:tab w:val="right" w:leader="dot" w:pos="9071"/>
      </w:tabs>
      <w:spacing w:before="180" w:after="120" w:line="240" w:lineRule="auto"/>
    </w:pPr>
    <w:rPr>
      <w:rFonts w:ascii="Times New Roman" w:eastAsia="Times New Roman" w:hAnsi="Times New Roman" w:cs="Times New Roman"/>
      <w:kern w:val="0"/>
      <w:sz w:val="24"/>
      <w:szCs w:val="24"/>
    </w:rPr>
  </w:style>
  <w:style w:type="paragraph" w:styleId="TOC8">
    <w:name w:val="toc 8"/>
    <w:basedOn w:val="Normal"/>
    <w:next w:val="Normal"/>
    <w:autoRedefine/>
    <w:uiPriority w:val="39"/>
    <w:semiHidden/>
    <w:unhideWhenUsed/>
    <w:rsid w:val="005F11B9"/>
    <w:pPr>
      <w:tabs>
        <w:tab w:val="right" w:leader="dot" w:pos="9071"/>
      </w:tabs>
      <w:spacing w:before="120" w:after="120" w:line="240" w:lineRule="auto"/>
    </w:pPr>
    <w:rPr>
      <w:rFonts w:ascii="Times New Roman" w:eastAsia="Times New Roman" w:hAnsi="Times New Roman" w:cs="Times New Roman"/>
      <w:kern w:val="0"/>
      <w:sz w:val="24"/>
      <w:szCs w:val="24"/>
    </w:rPr>
  </w:style>
  <w:style w:type="paragraph" w:styleId="TOC9">
    <w:name w:val="toc 9"/>
    <w:basedOn w:val="Normal"/>
    <w:next w:val="Normal"/>
    <w:autoRedefine/>
    <w:uiPriority w:val="39"/>
    <w:semiHidden/>
    <w:unhideWhenUsed/>
    <w:rsid w:val="005F11B9"/>
    <w:pPr>
      <w:tabs>
        <w:tab w:val="right" w:leader="dot" w:pos="9071"/>
      </w:tabs>
      <w:spacing w:before="120" w:after="120" w:line="240" w:lineRule="auto"/>
      <w:jc w:val="both"/>
    </w:pPr>
    <w:rPr>
      <w:rFonts w:ascii="Times New Roman" w:eastAsia="Times New Roman" w:hAnsi="Times New Roman" w:cs="Times New Roman"/>
      <w:kern w:val="0"/>
      <w:sz w:val="24"/>
      <w:szCs w:val="24"/>
    </w:rPr>
  </w:style>
  <w:style w:type="character" w:customStyle="1" w:styleId="FootnoteTextChar">
    <w:name w:val="Footnote Text Char"/>
    <w:aliases w:val="Schriftart: 9 pt Char,Schriftart: 10 pt Char,Schriftart: 8 pt Char,WB-Fußnotentext Char,FoodNote Char,ft Char,Footnote text Char,Footnote Char,Footnote Text Char Char Char,Footnote Text Char1 Char Char Char,fn Char1,f Char1,Char Char1"/>
    <w:basedOn w:val="DefaultParagraphFont"/>
    <w:link w:val="FootnoteText"/>
    <w:uiPriority w:val="99"/>
    <w:locked/>
    <w:rsid w:val="005F11B9"/>
    <w:rPr>
      <w:rFonts w:ascii="Times New Roman" w:eastAsia="Times New Roman" w:hAnsi="Times New Roman" w:cs="Times New Roman"/>
      <w:sz w:val="20"/>
      <w:szCs w:val="20"/>
    </w:rPr>
  </w:style>
  <w:style w:type="paragraph" w:styleId="FootnoteText">
    <w:name w:val="footnote text"/>
    <w:aliases w:val="Schriftart: 9 pt,Schriftart: 10 pt,Schriftart: 8 pt,WB-Fußnotentext,FoodNote,ft,Footnote text,Footnote,Footnote Text Char Char,Footnote Text Char1 Char Char,Footnote Text Char Char Char Char,fn,f,Char,Voetnoottekst Char"/>
    <w:basedOn w:val="Normal"/>
    <w:link w:val="FootnoteTextChar"/>
    <w:uiPriority w:val="99"/>
    <w:unhideWhenUsed/>
    <w:rsid w:val="005F11B9"/>
    <w:pPr>
      <w:spacing w:after="0" w:line="240" w:lineRule="auto"/>
      <w:ind w:left="720" w:hanging="720"/>
      <w:jc w:val="both"/>
    </w:pPr>
    <w:rPr>
      <w:rFonts w:ascii="Times New Roman" w:eastAsia="Times New Roman" w:hAnsi="Times New Roman" w:cs="Times New Roman"/>
      <w:sz w:val="20"/>
      <w:szCs w:val="20"/>
    </w:rPr>
  </w:style>
  <w:style w:type="character" w:customStyle="1" w:styleId="FootnoteTextChar1">
    <w:name w:val="Footnote Text Char1"/>
    <w:basedOn w:val="DefaultParagraphFont"/>
    <w:uiPriority w:val="99"/>
    <w:semiHidden/>
    <w:rsid w:val="005F11B9"/>
    <w:rPr>
      <w:sz w:val="20"/>
      <w:szCs w:val="20"/>
    </w:rPr>
  </w:style>
  <w:style w:type="character" w:customStyle="1" w:styleId="FootnoteTextChar2">
    <w:name w:val="Footnote Text Char2"/>
    <w:aliases w:val="Schriftart: 9 pt Char1,Schriftart: 10 pt Char1,Schriftart: 8 pt Char1,WB-Fußnotentext Char1,FoodNote Char1,ft Char1,Footnote text Char1,Footnote Char1,Footnote Text Char1 Char1,Footnote Text Char Char Char1,fn Char,f Char,Char Char"/>
    <w:basedOn w:val="DefaultParagraphFont"/>
    <w:uiPriority w:val="99"/>
    <w:semiHidden/>
    <w:rsid w:val="005F11B9"/>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rsid w:val="005F11B9"/>
    <w:pPr>
      <w:spacing w:before="120" w:after="120" w:line="240" w:lineRule="auto"/>
      <w:jc w:val="both"/>
    </w:pPr>
    <w:rPr>
      <w:rFonts w:ascii="Times New Roman" w:eastAsia="Times New Roman" w:hAnsi="Times New Roman" w:cs="Times New Roman"/>
      <w:kern w:val="0"/>
      <w:sz w:val="20"/>
      <w:szCs w:val="20"/>
    </w:rPr>
  </w:style>
  <w:style w:type="character" w:customStyle="1" w:styleId="CommentTextChar">
    <w:name w:val="Comment Text Char"/>
    <w:basedOn w:val="DefaultParagraphFont"/>
    <w:link w:val="CommentText"/>
    <w:uiPriority w:val="99"/>
    <w:rsid w:val="005F11B9"/>
    <w:rPr>
      <w:rFonts w:ascii="Times New Roman" w:eastAsia="Times New Roman" w:hAnsi="Times New Roman" w:cs="Times New Roman"/>
      <w:kern w:val="0"/>
      <w:sz w:val="20"/>
      <w:szCs w:val="20"/>
    </w:rPr>
  </w:style>
  <w:style w:type="paragraph" w:styleId="Header">
    <w:name w:val="header"/>
    <w:basedOn w:val="Normal"/>
    <w:link w:val="HeaderChar"/>
    <w:uiPriority w:val="99"/>
    <w:unhideWhenUsed/>
    <w:rsid w:val="005F11B9"/>
    <w:pPr>
      <w:tabs>
        <w:tab w:val="center" w:pos="4535"/>
        <w:tab w:val="right" w:pos="9071"/>
      </w:tabs>
      <w:spacing w:after="120" w:line="240" w:lineRule="auto"/>
      <w:jc w:val="both"/>
    </w:pPr>
    <w:rPr>
      <w:rFonts w:ascii="Times New Roman" w:eastAsia="Times New Roman" w:hAnsi="Times New Roman" w:cs="Times New Roman"/>
      <w:kern w:val="0"/>
      <w:sz w:val="24"/>
      <w:szCs w:val="24"/>
    </w:rPr>
  </w:style>
  <w:style w:type="character" w:customStyle="1" w:styleId="HeaderChar">
    <w:name w:val="Header Char"/>
    <w:basedOn w:val="DefaultParagraphFont"/>
    <w:link w:val="Header"/>
    <w:uiPriority w:val="99"/>
    <w:rsid w:val="005F11B9"/>
    <w:rPr>
      <w:rFonts w:ascii="Times New Roman" w:eastAsia="Times New Roman" w:hAnsi="Times New Roman" w:cs="Times New Roman"/>
      <w:kern w:val="0"/>
      <w:sz w:val="24"/>
      <w:szCs w:val="24"/>
    </w:rPr>
  </w:style>
  <w:style w:type="paragraph" w:styleId="Footer">
    <w:name w:val="footer"/>
    <w:basedOn w:val="Normal"/>
    <w:link w:val="FooterChar"/>
    <w:uiPriority w:val="99"/>
    <w:unhideWhenUsed/>
    <w:rsid w:val="005F11B9"/>
    <w:pPr>
      <w:tabs>
        <w:tab w:val="center" w:pos="4535"/>
        <w:tab w:val="right" w:pos="9071"/>
        <w:tab w:val="right" w:pos="9921"/>
      </w:tabs>
      <w:spacing w:before="360" w:after="0" w:line="240" w:lineRule="auto"/>
      <w:ind w:left="-850" w:right="-850"/>
    </w:pPr>
    <w:rPr>
      <w:rFonts w:ascii="Times New Roman" w:eastAsia="Times New Roman" w:hAnsi="Times New Roman" w:cs="Times New Roman"/>
      <w:kern w:val="0"/>
      <w:sz w:val="24"/>
      <w:szCs w:val="24"/>
    </w:rPr>
  </w:style>
  <w:style w:type="character" w:customStyle="1" w:styleId="FooterChar">
    <w:name w:val="Footer Char"/>
    <w:basedOn w:val="DefaultParagraphFont"/>
    <w:link w:val="Footer"/>
    <w:uiPriority w:val="99"/>
    <w:rsid w:val="005F11B9"/>
    <w:rPr>
      <w:rFonts w:ascii="Times New Roman" w:eastAsia="Times New Roman" w:hAnsi="Times New Roman" w:cs="Times New Roman"/>
      <w:kern w:val="0"/>
      <w:sz w:val="24"/>
      <w:szCs w:val="24"/>
    </w:rPr>
  </w:style>
  <w:style w:type="paragraph" w:styleId="Caption">
    <w:name w:val="caption"/>
    <w:basedOn w:val="Normal"/>
    <w:next w:val="Normal"/>
    <w:uiPriority w:val="35"/>
    <w:semiHidden/>
    <w:unhideWhenUsed/>
    <w:qFormat/>
    <w:rsid w:val="005F11B9"/>
    <w:pPr>
      <w:spacing w:after="200" w:line="240" w:lineRule="auto"/>
      <w:jc w:val="both"/>
    </w:pPr>
    <w:rPr>
      <w:rFonts w:ascii="Times New Roman" w:hAnsi="Times New Roman" w:cs="Times New Roman"/>
      <w:i/>
      <w:iCs/>
      <w:color w:val="0E2841" w:themeColor="text2"/>
      <w:kern w:val="0"/>
      <w:sz w:val="18"/>
      <w:szCs w:val="18"/>
    </w:rPr>
  </w:style>
  <w:style w:type="paragraph" w:styleId="TableofFigures">
    <w:name w:val="table of figures"/>
    <w:basedOn w:val="Normal"/>
    <w:next w:val="Normal"/>
    <w:uiPriority w:val="99"/>
    <w:semiHidden/>
    <w:unhideWhenUsed/>
    <w:rsid w:val="005F11B9"/>
    <w:pPr>
      <w:spacing w:before="120" w:after="0" w:line="240" w:lineRule="auto"/>
      <w:jc w:val="both"/>
    </w:pPr>
    <w:rPr>
      <w:rFonts w:ascii="Times New Roman" w:hAnsi="Times New Roman" w:cs="Times New Roman"/>
      <w:kern w:val="0"/>
      <w:sz w:val="24"/>
    </w:rPr>
  </w:style>
  <w:style w:type="paragraph" w:styleId="ListBullet">
    <w:name w:val="List Bullet"/>
    <w:basedOn w:val="Normal"/>
    <w:uiPriority w:val="99"/>
    <w:semiHidden/>
    <w:unhideWhenUsed/>
    <w:rsid w:val="005F11B9"/>
    <w:pPr>
      <w:numPr>
        <w:numId w:val="2"/>
      </w:numPr>
      <w:tabs>
        <w:tab w:val="num" w:pos="850"/>
      </w:tabs>
      <w:spacing w:before="120" w:after="120" w:line="240" w:lineRule="auto"/>
      <w:ind w:left="720"/>
      <w:contextualSpacing/>
      <w:jc w:val="both"/>
    </w:pPr>
    <w:rPr>
      <w:rFonts w:ascii="Times New Roman" w:eastAsia="Times New Roman" w:hAnsi="Times New Roman" w:cs="Times New Roman"/>
      <w:kern w:val="0"/>
      <w:sz w:val="24"/>
      <w:szCs w:val="24"/>
    </w:rPr>
  </w:style>
  <w:style w:type="paragraph" w:styleId="ListNumber">
    <w:name w:val="List Number"/>
    <w:basedOn w:val="Normal"/>
    <w:uiPriority w:val="99"/>
    <w:semiHidden/>
    <w:unhideWhenUsed/>
    <w:rsid w:val="005F11B9"/>
    <w:pPr>
      <w:numPr>
        <w:numId w:val="3"/>
      </w:numPr>
      <w:spacing w:before="120" w:after="120" w:line="240" w:lineRule="auto"/>
      <w:ind w:left="0" w:firstLine="0"/>
      <w:contextualSpacing/>
      <w:jc w:val="both"/>
    </w:pPr>
    <w:rPr>
      <w:rFonts w:ascii="Times New Roman" w:hAnsi="Times New Roman" w:cs="Times New Roman"/>
      <w:kern w:val="0"/>
      <w:sz w:val="24"/>
    </w:rPr>
  </w:style>
  <w:style w:type="paragraph" w:styleId="ListBullet2">
    <w:name w:val="List Bullet 2"/>
    <w:basedOn w:val="Normal"/>
    <w:uiPriority w:val="99"/>
    <w:semiHidden/>
    <w:unhideWhenUsed/>
    <w:rsid w:val="005F11B9"/>
    <w:pPr>
      <w:tabs>
        <w:tab w:val="num" w:pos="643"/>
      </w:tabs>
      <w:spacing w:before="120" w:after="120" w:line="240" w:lineRule="auto"/>
      <w:ind w:left="643" w:hanging="360"/>
      <w:contextualSpacing/>
      <w:jc w:val="both"/>
    </w:pPr>
    <w:rPr>
      <w:rFonts w:ascii="Times New Roman" w:eastAsia="Times New Roman" w:hAnsi="Times New Roman" w:cs="Times New Roman"/>
      <w:kern w:val="0"/>
      <w:sz w:val="24"/>
      <w:szCs w:val="24"/>
    </w:rPr>
  </w:style>
  <w:style w:type="paragraph" w:styleId="ListBullet3">
    <w:name w:val="List Bullet 3"/>
    <w:basedOn w:val="Normal"/>
    <w:uiPriority w:val="99"/>
    <w:semiHidden/>
    <w:unhideWhenUsed/>
    <w:rsid w:val="005F11B9"/>
    <w:pPr>
      <w:tabs>
        <w:tab w:val="num" w:pos="926"/>
      </w:tabs>
      <w:spacing w:before="120" w:after="120" w:line="240" w:lineRule="auto"/>
      <w:ind w:left="926" w:hanging="360"/>
      <w:contextualSpacing/>
      <w:jc w:val="both"/>
    </w:pPr>
    <w:rPr>
      <w:rFonts w:ascii="Times New Roman" w:eastAsia="Times New Roman" w:hAnsi="Times New Roman" w:cs="Times New Roman"/>
      <w:kern w:val="0"/>
      <w:sz w:val="24"/>
      <w:szCs w:val="24"/>
    </w:rPr>
  </w:style>
  <w:style w:type="paragraph" w:styleId="ListBullet4">
    <w:name w:val="List Bullet 4"/>
    <w:basedOn w:val="Normal"/>
    <w:uiPriority w:val="99"/>
    <w:semiHidden/>
    <w:unhideWhenUsed/>
    <w:rsid w:val="005F11B9"/>
    <w:pPr>
      <w:tabs>
        <w:tab w:val="num" w:pos="3118"/>
      </w:tabs>
      <w:spacing w:before="120" w:after="120" w:line="240" w:lineRule="auto"/>
      <w:ind w:left="3118" w:hanging="567"/>
      <w:contextualSpacing/>
      <w:jc w:val="both"/>
    </w:pPr>
    <w:rPr>
      <w:rFonts w:ascii="Times New Roman" w:eastAsia="Times New Roman" w:hAnsi="Times New Roman" w:cs="Times New Roman"/>
      <w:kern w:val="0"/>
      <w:sz w:val="24"/>
      <w:szCs w:val="24"/>
    </w:rPr>
  </w:style>
  <w:style w:type="paragraph" w:styleId="ListNumber2">
    <w:name w:val="List Number 2"/>
    <w:basedOn w:val="Normal"/>
    <w:uiPriority w:val="99"/>
    <w:semiHidden/>
    <w:unhideWhenUsed/>
    <w:rsid w:val="005F11B9"/>
    <w:pPr>
      <w:numPr>
        <w:numId w:val="4"/>
      </w:numPr>
      <w:tabs>
        <w:tab w:val="num" w:pos="360"/>
      </w:tabs>
      <w:spacing w:before="120" w:after="120" w:line="240" w:lineRule="auto"/>
      <w:ind w:left="0" w:firstLine="0"/>
      <w:contextualSpacing/>
      <w:jc w:val="both"/>
    </w:pPr>
    <w:rPr>
      <w:rFonts w:ascii="Times New Roman" w:hAnsi="Times New Roman" w:cs="Times New Roman"/>
      <w:kern w:val="0"/>
      <w:sz w:val="24"/>
    </w:rPr>
  </w:style>
  <w:style w:type="paragraph" w:styleId="ListNumber3">
    <w:name w:val="List Number 3"/>
    <w:basedOn w:val="Normal"/>
    <w:uiPriority w:val="99"/>
    <w:semiHidden/>
    <w:unhideWhenUsed/>
    <w:rsid w:val="005F11B9"/>
    <w:pPr>
      <w:numPr>
        <w:numId w:val="5"/>
      </w:numPr>
      <w:spacing w:before="120" w:after="120" w:line="240" w:lineRule="auto"/>
      <w:ind w:left="0" w:firstLine="0"/>
      <w:contextualSpacing/>
      <w:jc w:val="both"/>
    </w:pPr>
    <w:rPr>
      <w:rFonts w:ascii="Times New Roman" w:hAnsi="Times New Roman" w:cs="Times New Roman"/>
      <w:kern w:val="0"/>
      <w:sz w:val="24"/>
    </w:rPr>
  </w:style>
  <w:style w:type="paragraph" w:styleId="ListNumber4">
    <w:name w:val="List Number 4"/>
    <w:basedOn w:val="Normal"/>
    <w:uiPriority w:val="99"/>
    <w:semiHidden/>
    <w:unhideWhenUsed/>
    <w:rsid w:val="005F11B9"/>
    <w:pPr>
      <w:numPr>
        <w:numId w:val="6"/>
      </w:numPr>
      <w:tabs>
        <w:tab w:val="num" w:pos="360"/>
      </w:tabs>
      <w:spacing w:before="120" w:after="120" w:line="240" w:lineRule="auto"/>
      <w:contextualSpacing/>
      <w:jc w:val="both"/>
    </w:pPr>
    <w:rPr>
      <w:rFonts w:ascii="Times New Roman" w:hAnsi="Times New Roman" w:cs="Times New Roman"/>
      <w:kern w:val="0"/>
      <w:sz w:val="24"/>
    </w:rPr>
  </w:style>
  <w:style w:type="paragraph" w:styleId="CommentSubject">
    <w:name w:val="annotation subject"/>
    <w:basedOn w:val="CommentText"/>
    <w:next w:val="CommentText"/>
    <w:link w:val="CommentSubjectChar"/>
    <w:uiPriority w:val="99"/>
    <w:semiHidden/>
    <w:unhideWhenUsed/>
    <w:rsid w:val="005F11B9"/>
    <w:rPr>
      <w:b/>
      <w:bCs/>
    </w:rPr>
  </w:style>
  <w:style w:type="character" w:customStyle="1" w:styleId="CommentSubjectChar">
    <w:name w:val="Comment Subject Char"/>
    <w:basedOn w:val="CommentTextChar"/>
    <w:link w:val="CommentSubject"/>
    <w:uiPriority w:val="99"/>
    <w:semiHidden/>
    <w:rsid w:val="005F11B9"/>
    <w:rPr>
      <w:rFonts w:ascii="Times New Roman" w:eastAsia="Times New Roman" w:hAnsi="Times New Roman" w:cs="Times New Roman"/>
      <w:b/>
      <w:bCs/>
      <w:kern w:val="0"/>
      <w:sz w:val="20"/>
      <w:szCs w:val="20"/>
    </w:rPr>
  </w:style>
  <w:style w:type="paragraph" w:styleId="BalloonText">
    <w:name w:val="Balloon Text"/>
    <w:basedOn w:val="Normal"/>
    <w:link w:val="BalloonTextChar"/>
    <w:uiPriority w:val="99"/>
    <w:semiHidden/>
    <w:unhideWhenUsed/>
    <w:rsid w:val="005F11B9"/>
    <w:pPr>
      <w:spacing w:after="0" w:line="240" w:lineRule="auto"/>
      <w:jc w:val="both"/>
    </w:pPr>
    <w:rPr>
      <w:rFonts w:ascii="Segoe UI" w:eastAsia="Times New Roman" w:hAnsi="Segoe UI" w:cs="Segoe UI"/>
      <w:kern w:val="0"/>
      <w:sz w:val="18"/>
      <w:szCs w:val="18"/>
    </w:rPr>
  </w:style>
  <w:style w:type="character" w:customStyle="1" w:styleId="BalloonTextChar">
    <w:name w:val="Balloon Text Char"/>
    <w:basedOn w:val="DefaultParagraphFont"/>
    <w:link w:val="BalloonText"/>
    <w:uiPriority w:val="99"/>
    <w:semiHidden/>
    <w:rsid w:val="005F11B9"/>
    <w:rPr>
      <w:rFonts w:ascii="Segoe UI" w:eastAsia="Times New Roman" w:hAnsi="Segoe UI" w:cs="Segoe UI"/>
      <w:kern w:val="0"/>
      <w:sz w:val="18"/>
      <w:szCs w:val="18"/>
    </w:rPr>
  </w:style>
  <w:style w:type="paragraph" w:styleId="Revision">
    <w:name w:val="Revision"/>
    <w:uiPriority w:val="99"/>
    <w:semiHidden/>
    <w:rsid w:val="005F11B9"/>
    <w:pPr>
      <w:spacing w:after="0" w:line="240" w:lineRule="auto"/>
    </w:pPr>
    <w:rPr>
      <w:rFonts w:ascii="Times New Roman" w:hAnsi="Times New Roman" w:cs="Times New Roman"/>
      <w:kern w:val="0"/>
      <w:sz w:val="24"/>
    </w:rPr>
  </w:style>
  <w:style w:type="character" w:customStyle="1" w:styleId="ListParagraphChar">
    <w:name w:val="List Paragraph Char"/>
    <w:aliases w:val="numbered list Char,2 Char,OBC Bullet Char,Normal 1 Char,Task Body Char,Viñetas (Inicio Parrafo) Char,3 Txt tabla Char,Zerrenda-paragrafoa Char,Fiche List Paragraph Char,Dot pt Char,F5 List Paragraph Char,List Paragraph1 Char,L Char"/>
    <w:basedOn w:val="DefaultParagraphFont"/>
    <w:link w:val="ListParagraph"/>
    <w:uiPriority w:val="34"/>
    <w:qFormat/>
    <w:locked/>
    <w:rsid w:val="005F11B9"/>
  </w:style>
  <w:style w:type="paragraph" w:styleId="TOCHeading">
    <w:name w:val="TOC Heading"/>
    <w:basedOn w:val="Normal"/>
    <w:next w:val="Normal"/>
    <w:uiPriority w:val="39"/>
    <w:semiHidden/>
    <w:unhideWhenUsed/>
    <w:qFormat/>
    <w:rsid w:val="005F11B9"/>
    <w:pPr>
      <w:spacing w:before="120" w:after="240" w:line="240" w:lineRule="auto"/>
      <w:jc w:val="center"/>
    </w:pPr>
    <w:rPr>
      <w:rFonts w:ascii="Times New Roman" w:eastAsia="Times New Roman" w:hAnsi="Times New Roman" w:cs="Times New Roman"/>
      <w:b/>
      <w:kern w:val="0"/>
      <w:sz w:val="28"/>
      <w:szCs w:val="24"/>
    </w:rPr>
  </w:style>
  <w:style w:type="paragraph" w:customStyle="1" w:styleId="HeaderLandscape">
    <w:name w:val="HeaderLandscape"/>
    <w:basedOn w:val="Normal"/>
    <w:rsid w:val="005F11B9"/>
    <w:pPr>
      <w:tabs>
        <w:tab w:val="center" w:pos="7285"/>
        <w:tab w:val="right" w:pos="14003"/>
      </w:tabs>
      <w:spacing w:after="120" w:line="240" w:lineRule="auto"/>
      <w:jc w:val="both"/>
    </w:pPr>
    <w:rPr>
      <w:rFonts w:ascii="Times New Roman" w:eastAsia="Times New Roman" w:hAnsi="Times New Roman" w:cs="Times New Roman"/>
      <w:kern w:val="0"/>
      <w:sz w:val="24"/>
      <w:szCs w:val="24"/>
    </w:rPr>
  </w:style>
  <w:style w:type="paragraph" w:customStyle="1" w:styleId="FooterLandscape">
    <w:name w:val="FooterLandscape"/>
    <w:basedOn w:val="Normal"/>
    <w:rsid w:val="005F11B9"/>
    <w:pPr>
      <w:tabs>
        <w:tab w:val="center" w:pos="7285"/>
        <w:tab w:val="center" w:pos="10913"/>
        <w:tab w:val="right" w:pos="15137"/>
      </w:tabs>
      <w:spacing w:before="360" w:after="0" w:line="240" w:lineRule="auto"/>
      <w:ind w:left="-567" w:right="-567"/>
    </w:pPr>
    <w:rPr>
      <w:rFonts w:ascii="Times New Roman" w:eastAsia="Times New Roman" w:hAnsi="Times New Roman" w:cs="Times New Roman"/>
      <w:kern w:val="0"/>
      <w:sz w:val="24"/>
      <w:szCs w:val="24"/>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T"/>
    <w:basedOn w:val="DefaultParagraphFont"/>
    <w:link w:val="1"/>
    <w:uiPriority w:val="99"/>
    <w:unhideWhenUsed/>
    <w:qFormat/>
    <w:rsid w:val="005F11B9"/>
    <w:rPr>
      <w:vertAlign w:val="superscript"/>
    </w:rPr>
  </w:style>
  <w:style w:type="paragraph" w:customStyle="1" w:styleId="1">
    <w:name w:val="1"/>
    <w:basedOn w:val="Normal"/>
    <w:link w:val="FootnoteReference"/>
    <w:uiPriority w:val="99"/>
    <w:rsid w:val="005F11B9"/>
    <w:pPr>
      <w:spacing w:line="240" w:lineRule="exact"/>
      <w:jc w:val="both"/>
    </w:pPr>
    <w:rPr>
      <w:vertAlign w:val="superscript"/>
    </w:rPr>
  </w:style>
  <w:style w:type="paragraph" w:customStyle="1" w:styleId="HeaderSensitivity">
    <w:name w:val="Header Sensitivity"/>
    <w:basedOn w:val="Normal"/>
    <w:rsid w:val="005F11B9"/>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HeaderSensitivityRight">
    <w:name w:val="Header Sensitivity Right"/>
    <w:basedOn w:val="Normal"/>
    <w:rsid w:val="005F11B9"/>
    <w:pPr>
      <w:spacing w:after="120" w:line="240" w:lineRule="auto"/>
      <w:jc w:val="right"/>
    </w:pPr>
    <w:rPr>
      <w:rFonts w:ascii="Times New Roman" w:hAnsi="Times New Roman" w:cs="Times New Roman"/>
      <w:sz w:val="28"/>
    </w:rPr>
  </w:style>
  <w:style w:type="paragraph" w:customStyle="1" w:styleId="FooterSensitivity">
    <w:name w:val="Footer Sensitivity"/>
    <w:basedOn w:val="Normal"/>
    <w:rsid w:val="005F11B9"/>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paragraph" w:customStyle="1" w:styleId="Text2">
    <w:name w:val="Text 2"/>
    <w:basedOn w:val="Normal"/>
    <w:rsid w:val="005F11B9"/>
    <w:pPr>
      <w:spacing w:before="120" w:after="120" w:line="240" w:lineRule="auto"/>
      <w:ind w:left="1417"/>
      <w:jc w:val="both"/>
    </w:pPr>
    <w:rPr>
      <w:rFonts w:ascii="Times New Roman" w:eastAsia="Times New Roman" w:hAnsi="Times New Roman" w:cs="Times New Roman"/>
      <w:kern w:val="0"/>
      <w:sz w:val="24"/>
      <w:szCs w:val="24"/>
    </w:rPr>
  </w:style>
  <w:style w:type="paragraph" w:customStyle="1" w:styleId="Text3">
    <w:name w:val="Text 3"/>
    <w:basedOn w:val="Normal"/>
    <w:rsid w:val="005F11B9"/>
    <w:pPr>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Text4">
    <w:name w:val="Text 4"/>
    <w:basedOn w:val="Normal"/>
    <w:rsid w:val="005F11B9"/>
    <w:pPr>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NormalCentered">
    <w:name w:val="Normal Centered"/>
    <w:basedOn w:val="Normal"/>
    <w:rsid w:val="005F11B9"/>
    <w:pPr>
      <w:spacing w:before="120" w:after="120" w:line="240" w:lineRule="auto"/>
      <w:jc w:val="center"/>
    </w:pPr>
    <w:rPr>
      <w:rFonts w:ascii="Times New Roman" w:eastAsia="Times New Roman" w:hAnsi="Times New Roman" w:cs="Times New Roman"/>
      <w:kern w:val="0"/>
      <w:sz w:val="24"/>
      <w:szCs w:val="24"/>
    </w:rPr>
  </w:style>
  <w:style w:type="paragraph" w:customStyle="1" w:styleId="NormalLeft">
    <w:name w:val="Normal Left"/>
    <w:basedOn w:val="Normal"/>
    <w:rsid w:val="005F11B9"/>
    <w:pPr>
      <w:spacing w:before="120" w:after="120" w:line="240" w:lineRule="auto"/>
    </w:pPr>
    <w:rPr>
      <w:rFonts w:ascii="Times New Roman" w:eastAsia="Times New Roman" w:hAnsi="Times New Roman" w:cs="Times New Roman"/>
      <w:kern w:val="0"/>
      <w:sz w:val="24"/>
      <w:szCs w:val="24"/>
    </w:rPr>
  </w:style>
  <w:style w:type="paragraph" w:customStyle="1" w:styleId="NormalRight">
    <w:name w:val="Normal Right"/>
    <w:basedOn w:val="Normal"/>
    <w:rsid w:val="005F11B9"/>
    <w:pPr>
      <w:spacing w:before="120" w:after="120" w:line="240" w:lineRule="auto"/>
      <w:jc w:val="right"/>
    </w:pPr>
    <w:rPr>
      <w:rFonts w:ascii="Times New Roman" w:eastAsia="Times New Roman" w:hAnsi="Times New Roman" w:cs="Times New Roman"/>
      <w:kern w:val="0"/>
      <w:sz w:val="24"/>
      <w:szCs w:val="24"/>
    </w:rPr>
  </w:style>
  <w:style w:type="paragraph" w:customStyle="1" w:styleId="QuotedText">
    <w:name w:val="Quoted Text"/>
    <w:basedOn w:val="Normal"/>
    <w:rsid w:val="005F11B9"/>
    <w:pPr>
      <w:spacing w:before="120" w:after="120" w:line="240" w:lineRule="auto"/>
      <w:ind w:left="1417"/>
      <w:jc w:val="both"/>
    </w:pPr>
    <w:rPr>
      <w:rFonts w:ascii="Times New Roman" w:eastAsia="Times New Roman" w:hAnsi="Times New Roman" w:cs="Times New Roman"/>
      <w:kern w:val="0"/>
      <w:sz w:val="24"/>
      <w:szCs w:val="24"/>
    </w:rPr>
  </w:style>
  <w:style w:type="paragraph" w:customStyle="1" w:styleId="Point0">
    <w:name w:val="Point 0"/>
    <w:basedOn w:val="Normal"/>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Point1">
    <w:name w:val="Point 1"/>
    <w:basedOn w:val="Normal"/>
    <w:rsid w:val="005F11B9"/>
    <w:pPr>
      <w:spacing w:before="120" w:after="120" w:line="240" w:lineRule="auto"/>
      <w:ind w:left="1417" w:hanging="567"/>
      <w:jc w:val="both"/>
    </w:pPr>
    <w:rPr>
      <w:rFonts w:ascii="Times New Roman" w:eastAsia="Times New Roman" w:hAnsi="Times New Roman" w:cs="Times New Roman"/>
      <w:kern w:val="0"/>
      <w:sz w:val="24"/>
      <w:szCs w:val="24"/>
    </w:rPr>
  </w:style>
  <w:style w:type="paragraph" w:customStyle="1" w:styleId="Point2">
    <w:name w:val="Point 2"/>
    <w:basedOn w:val="Normal"/>
    <w:rsid w:val="005F11B9"/>
    <w:pPr>
      <w:spacing w:before="120" w:after="120" w:line="240" w:lineRule="auto"/>
      <w:ind w:left="1984" w:hanging="567"/>
      <w:jc w:val="both"/>
    </w:pPr>
    <w:rPr>
      <w:rFonts w:ascii="Times New Roman" w:eastAsia="Times New Roman" w:hAnsi="Times New Roman" w:cs="Times New Roman"/>
      <w:kern w:val="0"/>
      <w:sz w:val="24"/>
      <w:szCs w:val="24"/>
    </w:rPr>
  </w:style>
  <w:style w:type="paragraph" w:customStyle="1" w:styleId="Point3">
    <w:name w:val="Point 3"/>
    <w:basedOn w:val="Normal"/>
    <w:rsid w:val="005F11B9"/>
    <w:pPr>
      <w:spacing w:before="120" w:after="120" w:line="240" w:lineRule="auto"/>
      <w:ind w:left="2551" w:hanging="567"/>
      <w:jc w:val="both"/>
    </w:pPr>
    <w:rPr>
      <w:rFonts w:ascii="Times New Roman" w:eastAsia="Times New Roman" w:hAnsi="Times New Roman" w:cs="Times New Roman"/>
      <w:kern w:val="0"/>
      <w:sz w:val="24"/>
      <w:szCs w:val="24"/>
    </w:rPr>
  </w:style>
  <w:style w:type="paragraph" w:customStyle="1" w:styleId="Point4">
    <w:name w:val="Point 4"/>
    <w:basedOn w:val="Normal"/>
    <w:rsid w:val="005F11B9"/>
    <w:pPr>
      <w:spacing w:before="120" w:after="120" w:line="240" w:lineRule="auto"/>
      <w:ind w:left="3118" w:hanging="567"/>
      <w:jc w:val="both"/>
    </w:pPr>
    <w:rPr>
      <w:rFonts w:ascii="Times New Roman" w:eastAsia="Times New Roman" w:hAnsi="Times New Roman" w:cs="Times New Roman"/>
      <w:kern w:val="0"/>
      <w:sz w:val="24"/>
      <w:szCs w:val="24"/>
    </w:rPr>
  </w:style>
  <w:style w:type="paragraph" w:customStyle="1" w:styleId="Tiret0">
    <w:name w:val="Tiret 0"/>
    <w:basedOn w:val="Point0"/>
    <w:rsid w:val="005F11B9"/>
    <w:pPr>
      <w:numPr>
        <w:numId w:val="7"/>
      </w:numPr>
    </w:pPr>
  </w:style>
  <w:style w:type="paragraph" w:customStyle="1" w:styleId="Tiret1">
    <w:name w:val="Tiret 1"/>
    <w:basedOn w:val="Point1"/>
    <w:rsid w:val="005F11B9"/>
    <w:pPr>
      <w:numPr>
        <w:numId w:val="8"/>
      </w:numPr>
      <w:tabs>
        <w:tab w:val="num" w:pos="3118"/>
      </w:tabs>
      <w:ind w:left="3118"/>
    </w:pPr>
  </w:style>
  <w:style w:type="paragraph" w:customStyle="1" w:styleId="Tiret2">
    <w:name w:val="Tiret 2"/>
    <w:basedOn w:val="Point2"/>
    <w:rsid w:val="005F11B9"/>
    <w:pPr>
      <w:numPr>
        <w:numId w:val="9"/>
      </w:numPr>
      <w:tabs>
        <w:tab w:val="num" w:pos="360"/>
      </w:tabs>
      <w:ind w:left="360" w:hanging="360"/>
    </w:pPr>
  </w:style>
  <w:style w:type="paragraph" w:customStyle="1" w:styleId="Tiret3">
    <w:name w:val="Tiret 3"/>
    <w:basedOn w:val="Point3"/>
    <w:rsid w:val="005F11B9"/>
    <w:pPr>
      <w:numPr>
        <w:numId w:val="10"/>
      </w:numPr>
      <w:tabs>
        <w:tab w:val="num" w:pos="360"/>
      </w:tabs>
      <w:ind w:left="360" w:hanging="360"/>
    </w:pPr>
  </w:style>
  <w:style w:type="paragraph" w:customStyle="1" w:styleId="Tiret4">
    <w:name w:val="Tiret 4"/>
    <w:basedOn w:val="Point4"/>
    <w:rsid w:val="005F11B9"/>
    <w:pPr>
      <w:numPr>
        <w:numId w:val="11"/>
      </w:numPr>
      <w:ind w:left="1440" w:hanging="360"/>
    </w:pPr>
  </w:style>
  <w:style w:type="paragraph" w:customStyle="1" w:styleId="PointDouble0">
    <w:name w:val="PointDouble 0"/>
    <w:basedOn w:val="Normal"/>
    <w:rsid w:val="005F11B9"/>
    <w:pPr>
      <w:tabs>
        <w:tab w:val="left" w:pos="850"/>
      </w:tabs>
      <w:spacing w:before="120" w:after="120" w:line="240" w:lineRule="auto"/>
      <w:ind w:left="1417" w:hanging="1417"/>
      <w:jc w:val="both"/>
    </w:pPr>
    <w:rPr>
      <w:rFonts w:ascii="Times New Roman" w:eastAsia="Times New Roman" w:hAnsi="Times New Roman" w:cs="Times New Roman"/>
      <w:kern w:val="0"/>
      <w:sz w:val="24"/>
      <w:szCs w:val="24"/>
    </w:rPr>
  </w:style>
  <w:style w:type="paragraph" w:customStyle="1" w:styleId="PointDouble1">
    <w:name w:val="PointDouble 1"/>
    <w:basedOn w:val="Normal"/>
    <w:rsid w:val="005F11B9"/>
    <w:pPr>
      <w:tabs>
        <w:tab w:val="left" w:pos="1417"/>
      </w:tabs>
      <w:spacing w:before="120" w:after="120" w:line="240" w:lineRule="auto"/>
      <w:ind w:left="1984" w:hanging="1134"/>
      <w:jc w:val="both"/>
    </w:pPr>
    <w:rPr>
      <w:rFonts w:ascii="Times New Roman" w:eastAsia="Times New Roman" w:hAnsi="Times New Roman" w:cs="Times New Roman"/>
      <w:kern w:val="0"/>
      <w:sz w:val="24"/>
      <w:szCs w:val="24"/>
    </w:rPr>
  </w:style>
  <w:style w:type="paragraph" w:customStyle="1" w:styleId="PointDouble2">
    <w:name w:val="PointDouble 2"/>
    <w:basedOn w:val="Normal"/>
    <w:rsid w:val="005F11B9"/>
    <w:pPr>
      <w:tabs>
        <w:tab w:val="left" w:pos="1984"/>
      </w:tabs>
      <w:spacing w:before="120" w:after="120" w:line="240" w:lineRule="auto"/>
      <w:ind w:left="2551" w:hanging="1134"/>
      <w:jc w:val="both"/>
    </w:pPr>
    <w:rPr>
      <w:rFonts w:ascii="Times New Roman" w:eastAsia="Times New Roman" w:hAnsi="Times New Roman" w:cs="Times New Roman"/>
      <w:kern w:val="0"/>
      <w:sz w:val="24"/>
      <w:szCs w:val="24"/>
    </w:rPr>
  </w:style>
  <w:style w:type="paragraph" w:customStyle="1" w:styleId="PointDouble3">
    <w:name w:val="PointDouble 3"/>
    <w:basedOn w:val="Normal"/>
    <w:rsid w:val="005F11B9"/>
    <w:pPr>
      <w:tabs>
        <w:tab w:val="left" w:pos="2551"/>
      </w:tabs>
      <w:spacing w:before="120" w:after="120" w:line="240" w:lineRule="auto"/>
      <w:ind w:left="3118" w:hanging="1134"/>
      <w:jc w:val="both"/>
    </w:pPr>
    <w:rPr>
      <w:rFonts w:ascii="Times New Roman" w:eastAsia="Times New Roman" w:hAnsi="Times New Roman" w:cs="Times New Roman"/>
      <w:kern w:val="0"/>
      <w:sz w:val="24"/>
      <w:szCs w:val="24"/>
    </w:rPr>
  </w:style>
  <w:style w:type="paragraph" w:customStyle="1" w:styleId="PointDouble4">
    <w:name w:val="PointDouble 4"/>
    <w:basedOn w:val="Normal"/>
    <w:rsid w:val="005F11B9"/>
    <w:pPr>
      <w:tabs>
        <w:tab w:val="left" w:pos="3118"/>
      </w:tabs>
      <w:spacing w:before="120" w:after="120" w:line="240" w:lineRule="auto"/>
      <w:ind w:left="3685" w:hanging="1134"/>
      <w:jc w:val="both"/>
    </w:pPr>
    <w:rPr>
      <w:rFonts w:ascii="Times New Roman" w:eastAsia="Times New Roman" w:hAnsi="Times New Roman" w:cs="Times New Roman"/>
      <w:kern w:val="0"/>
      <w:sz w:val="24"/>
      <w:szCs w:val="24"/>
    </w:rPr>
  </w:style>
  <w:style w:type="paragraph" w:customStyle="1" w:styleId="PointTriple0">
    <w:name w:val="PointTriple 0"/>
    <w:basedOn w:val="Normal"/>
    <w:rsid w:val="005F11B9"/>
    <w:pPr>
      <w:tabs>
        <w:tab w:val="left" w:pos="850"/>
        <w:tab w:val="left" w:pos="1417"/>
      </w:tabs>
      <w:spacing w:before="120" w:after="120" w:line="240" w:lineRule="auto"/>
      <w:ind w:left="1984" w:hanging="1984"/>
      <w:jc w:val="both"/>
    </w:pPr>
    <w:rPr>
      <w:rFonts w:ascii="Times New Roman" w:eastAsia="Times New Roman" w:hAnsi="Times New Roman" w:cs="Times New Roman"/>
      <w:kern w:val="0"/>
      <w:sz w:val="24"/>
      <w:szCs w:val="24"/>
    </w:rPr>
  </w:style>
  <w:style w:type="paragraph" w:customStyle="1" w:styleId="PointTriple1">
    <w:name w:val="PointTriple 1"/>
    <w:basedOn w:val="Normal"/>
    <w:rsid w:val="005F11B9"/>
    <w:pPr>
      <w:tabs>
        <w:tab w:val="left" w:pos="1417"/>
        <w:tab w:val="left" w:pos="1984"/>
      </w:tabs>
      <w:spacing w:before="120" w:after="120" w:line="240" w:lineRule="auto"/>
      <w:ind w:left="2551" w:hanging="1701"/>
      <w:jc w:val="both"/>
    </w:pPr>
    <w:rPr>
      <w:rFonts w:ascii="Times New Roman" w:eastAsia="Times New Roman" w:hAnsi="Times New Roman" w:cs="Times New Roman"/>
      <w:kern w:val="0"/>
      <w:sz w:val="24"/>
      <w:szCs w:val="24"/>
    </w:rPr>
  </w:style>
  <w:style w:type="paragraph" w:customStyle="1" w:styleId="PointTriple2">
    <w:name w:val="PointTriple 2"/>
    <w:basedOn w:val="Normal"/>
    <w:rsid w:val="005F11B9"/>
    <w:pPr>
      <w:tabs>
        <w:tab w:val="left" w:pos="1984"/>
        <w:tab w:val="left" w:pos="2551"/>
      </w:tabs>
      <w:spacing w:before="120" w:after="120" w:line="240" w:lineRule="auto"/>
      <w:ind w:left="3118" w:hanging="1701"/>
      <w:jc w:val="both"/>
    </w:pPr>
    <w:rPr>
      <w:rFonts w:ascii="Times New Roman" w:eastAsia="Times New Roman" w:hAnsi="Times New Roman" w:cs="Times New Roman"/>
      <w:kern w:val="0"/>
      <w:sz w:val="24"/>
      <w:szCs w:val="24"/>
    </w:rPr>
  </w:style>
  <w:style w:type="paragraph" w:customStyle="1" w:styleId="PointTriple3">
    <w:name w:val="PointTriple 3"/>
    <w:basedOn w:val="Normal"/>
    <w:rsid w:val="005F11B9"/>
    <w:pPr>
      <w:tabs>
        <w:tab w:val="left" w:pos="2551"/>
        <w:tab w:val="left" w:pos="3118"/>
      </w:tabs>
      <w:spacing w:before="120" w:after="120" w:line="240" w:lineRule="auto"/>
      <w:ind w:left="3685" w:hanging="1701"/>
      <w:jc w:val="both"/>
    </w:pPr>
    <w:rPr>
      <w:rFonts w:ascii="Times New Roman" w:eastAsia="Times New Roman" w:hAnsi="Times New Roman" w:cs="Times New Roman"/>
      <w:kern w:val="0"/>
      <w:sz w:val="24"/>
      <w:szCs w:val="24"/>
    </w:rPr>
  </w:style>
  <w:style w:type="paragraph" w:customStyle="1" w:styleId="PointTriple4">
    <w:name w:val="PointTriple 4"/>
    <w:basedOn w:val="Normal"/>
    <w:rsid w:val="005F11B9"/>
    <w:pPr>
      <w:tabs>
        <w:tab w:val="left" w:pos="3118"/>
        <w:tab w:val="left" w:pos="3685"/>
      </w:tabs>
      <w:spacing w:before="120" w:after="120" w:line="240" w:lineRule="auto"/>
      <w:ind w:left="4252" w:hanging="1701"/>
      <w:jc w:val="both"/>
    </w:pPr>
    <w:rPr>
      <w:rFonts w:ascii="Times New Roman" w:eastAsia="Times New Roman" w:hAnsi="Times New Roman" w:cs="Times New Roman"/>
      <w:kern w:val="0"/>
      <w:sz w:val="24"/>
      <w:szCs w:val="24"/>
    </w:rPr>
  </w:style>
  <w:style w:type="paragraph" w:customStyle="1" w:styleId="NumPar1">
    <w:name w:val="NumPar 1"/>
    <w:basedOn w:val="Normal"/>
    <w:next w:val="Text1"/>
    <w:rsid w:val="005F11B9"/>
    <w:pPr>
      <w:numPr>
        <w:ilvl w:val="1"/>
        <w:numId w:val="12"/>
      </w:numPr>
      <w:spacing w:before="120" w:after="120" w:line="240" w:lineRule="auto"/>
      <w:jc w:val="both"/>
    </w:pPr>
    <w:rPr>
      <w:rFonts w:ascii="Times New Roman" w:eastAsia="Times New Roman" w:hAnsi="Times New Roman" w:cs="Times New Roman"/>
      <w:kern w:val="0"/>
      <w:sz w:val="24"/>
      <w:szCs w:val="24"/>
    </w:rPr>
  </w:style>
  <w:style w:type="paragraph" w:customStyle="1" w:styleId="NumPar2">
    <w:name w:val="NumPar 2"/>
    <w:basedOn w:val="Normal"/>
    <w:next w:val="Text1"/>
    <w:rsid w:val="005F11B9"/>
    <w:pPr>
      <w:numPr>
        <w:ilvl w:val="2"/>
        <w:numId w:val="12"/>
      </w:numPr>
      <w:tabs>
        <w:tab w:val="num" w:pos="1209"/>
      </w:tabs>
      <w:spacing w:before="120" w:after="120" w:line="240" w:lineRule="auto"/>
      <w:ind w:left="1209" w:hanging="360"/>
      <w:jc w:val="both"/>
    </w:pPr>
    <w:rPr>
      <w:rFonts w:ascii="Times New Roman" w:eastAsia="Times New Roman" w:hAnsi="Times New Roman" w:cs="Times New Roman"/>
      <w:kern w:val="0"/>
      <w:sz w:val="24"/>
      <w:szCs w:val="24"/>
    </w:rPr>
  </w:style>
  <w:style w:type="paragraph" w:customStyle="1" w:styleId="NumPar3">
    <w:name w:val="NumPar 3"/>
    <w:basedOn w:val="Normal"/>
    <w:next w:val="Text1"/>
    <w:rsid w:val="005F11B9"/>
    <w:pPr>
      <w:numPr>
        <w:ilvl w:val="3"/>
        <w:numId w:val="12"/>
      </w:numPr>
      <w:tabs>
        <w:tab w:val="num" w:pos="1209"/>
      </w:tabs>
      <w:spacing w:before="120" w:after="120" w:line="240" w:lineRule="auto"/>
      <w:ind w:left="1209" w:hanging="360"/>
      <w:jc w:val="both"/>
    </w:pPr>
    <w:rPr>
      <w:rFonts w:ascii="Times New Roman" w:eastAsia="Times New Roman" w:hAnsi="Times New Roman" w:cs="Times New Roman"/>
      <w:kern w:val="0"/>
      <w:sz w:val="24"/>
      <w:szCs w:val="24"/>
    </w:rPr>
  </w:style>
  <w:style w:type="paragraph" w:customStyle="1" w:styleId="NumPar4">
    <w:name w:val="NumPar 4"/>
    <w:basedOn w:val="Normal"/>
    <w:next w:val="Text1"/>
    <w:rsid w:val="005F11B9"/>
    <w:pPr>
      <w:tabs>
        <w:tab w:val="num" w:pos="850"/>
      </w:tabs>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1">
    <w:name w:val="Manual NumPar 1"/>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2">
    <w:name w:val="Manual NumPar 2"/>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3">
    <w:name w:val="Manual NumPar 3"/>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4">
    <w:name w:val="Manual NumPar 4"/>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QuotedNumPar">
    <w:name w:val="Quoted NumPar"/>
    <w:basedOn w:val="Normal"/>
    <w:rsid w:val="005F11B9"/>
    <w:pPr>
      <w:spacing w:before="120" w:after="120" w:line="240" w:lineRule="auto"/>
      <w:ind w:left="1417" w:hanging="567"/>
      <w:jc w:val="both"/>
    </w:pPr>
    <w:rPr>
      <w:rFonts w:ascii="Times New Roman" w:eastAsia="Times New Roman" w:hAnsi="Times New Roman" w:cs="Times New Roman"/>
      <w:kern w:val="0"/>
      <w:sz w:val="24"/>
      <w:szCs w:val="24"/>
    </w:rPr>
  </w:style>
  <w:style w:type="paragraph" w:customStyle="1" w:styleId="ManualHeading1">
    <w:name w:val="Manual Heading 1"/>
    <w:basedOn w:val="Normal"/>
    <w:next w:val="Text1"/>
    <w:rsid w:val="005F11B9"/>
    <w:pPr>
      <w:keepNext/>
      <w:tabs>
        <w:tab w:val="left" w:pos="850"/>
      </w:tabs>
      <w:spacing w:before="360" w:after="120" w:line="240" w:lineRule="auto"/>
      <w:ind w:left="850" w:hanging="850"/>
      <w:jc w:val="both"/>
      <w:outlineLvl w:val="0"/>
    </w:pPr>
    <w:rPr>
      <w:rFonts w:ascii="Times New Roman" w:eastAsia="Times New Roman" w:hAnsi="Times New Roman" w:cs="Times New Roman"/>
      <w:b/>
      <w:smallCaps/>
      <w:kern w:val="0"/>
      <w:sz w:val="24"/>
      <w:szCs w:val="24"/>
    </w:rPr>
  </w:style>
  <w:style w:type="paragraph" w:customStyle="1" w:styleId="ManualHeading2">
    <w:name w:val="Manual Heading 2"/>
    <w:basedOn w:val="Normal"/>
    <w:next w:val="Text1"/>
    <w:rsid w:val="005F11B9"/>
    <w:pPr>
      <w:keepNext/>
      <w:tabs>
        <w:tab w:val="left" w:pos="850"/>
      </w:tabs>
      <w:spacing w:before="120" w:after="120" w:line="240" w:lineRule="auto"/>
      <w:ind w:left="850" w:hanging="850"/>
      <w:jc w:val="both"/>
      <w:outlineLvl w:val="1"/>
    </w:pPr>
    <w:rPr>
      <w:rFonts w:ascii="Times New Roman" w:eastAsia="Times New Roman" w:hAnsi="Times New Roman" w:cs="Times New Roman"/>
      <w:b/>
      <w:kern w:val="0"/>
      <w:sz w:val="24"/>
      <w:szCs w:val="24"/>
    </w:rPr>
  </w:style>
  <w:style w:type="paragraph" w:customStyle="1" w:styleId="ManualHeading3">
    <w:name w:val="Manual Heading 3"/>
    <w:basedOn w:val="Normal"/>
    <w:next w:val="Text1"/>
    <w:rsid w:val="005F11B9"/>
    <w:pPr>
      <w:keepNext/>
      <w:tabs>
        <w:tab w:val="left" w:pos="850"/>
      </w:tabs>
      <w:spacing w:before="120" w:after="120" w:line="240" w:lineRule="auto"/>
      <w:ind w:left="850" w:hanging="850"/>
      <w:jc w:val="both"/>
      <w:outlineLvl w:val="2"/>
    </w:pPr>
    <w:rPr>
      <w:rFonts w:ascii="Times New Roman" w:eastAsia="Times New Roman" w:hAnsi="Times New Roman" w:cs="Times New Roman"/>
      <w:i/>
      <w:kern w:val="0"/>
      <w:sz w:val="24"/>
      <w:szCs w:val="24"/>
    </w:rPr>
  </w:style>
  <w:style w:type="paragraph" w:customStyle="1" w:styleId="ManualHeading4">
    <w:name w:val="Manual Heading 4"/>
    <w:basedOn w:val="Normal"/>
    <w:next w:val="Text1"/>
    <w:rsid w:val="005F11B9"/>
    <w:pPr>
      <w:keepNext/>
      <w:tabs>
        <w:tab w:val="left" w:pos="850"/>
      </w:tabs>
      <w:spacing w:before="120" w:after="120" w:line="240" w:lineRule="auto"/>
      <w:ind w:left="850" w:hanging="850"/>
      <w:jc w:val="both"/>
      <w:outlineLvl w:val="3"/>
    </w:pPr>
    <w:rPr>
      <w:rFonts w:ascii="Times New Roman" w:eastAsia="Times New Roman" w:hAnsi="Times New Roman" w:cs="Times New Roman"/>
      <w:kern w:val="0"/>
      <w:sz w:val="24"/>
      <w:szCs w:val="24"/>
    </w:rPr>
  </w:style>
  <w:style w:type="paragraph" w:customStyle="1" w:styleId="ChapterTitle">
    <w:name w:val="ChapterTitle"/>
    <w:basedOn w:val="Normal"/>
    <w:next w:val="Normal"/>
    <w:rsid w:val="005F11B9"/>
    <w:pPr>
      <w:keepNext/>
      <w:spacing w:before="120" w:after="360" w:line="240" w:lineRule="auto"/>
      <w:jc w:val="center"/>
    </w:pPr>
    <w:rPr>
      <w:rFonts w:ascii="Times New Roman" w:eastAsia="Times New Roman" w:hAnsi="Times New Roman" w:cs="Times New Roman"/>
      <w:b/>
      <w:kern w:val="0"/>
      <w:sz w:val="32"/>
      <w:szCs w:val="24"/>
    </w:rPr>
  </w:style>
  <w:style w:type="paragraph" w:customStyle="1" w:styleId="PartTitle">
    <w:name w:val="PartTitle"/>
    <w:basedOn w:val="Normal"/>
    <w:next w:val="ChapterTitle"/>
    <w:rsid w:val="005F11B9"/>
    <w:pPr>
      <w:keepNext/>
      <w:pageBreakBefore/>
      <w:spacing w:before="120" w:after="360" w:line="240" w:lineRule="auto"/>
      <w:jc w:val="center"/>
    </w:pPr>
    <w:rPr>
      <w:rFonts w:ascii="Times New Roman" w:eastAsia="Times New Roman" w:hAnsi="Times New Roman" w:cs="Times New Roman"/>
      <w:b/>
      <w:kern w:val="0"/>
      <w:sz w:val="36"/>
      <w:szCs w:val="24"/>
    </w:rPr>
  </w:style>
  <w:style w:type="paragraph" w:customStyle="1" w:styleId="SectionTitle">
    <w:name w:val="SectionTitle"/>
    <w:basedOn w:val="Normal"/>
    <w:next w:val="Heading1"/>
    <w:rsid w:val="005F11B9"/>
    <w:pPr>
      <w:keepNext/>
      <w:spacing w:before="120" w:after="360" w:line="240" w:lineRule="auto"/>
      <w:jc w:val="center"/>
    </w:pPr>
    <w:rPr>
      <w:rFonts w:ascii="Times New Roman" w:eastAsia="Times New Roman" w:hAnsi="Times New Roman" w:cs="Times New Roman"/>
      <w:b/>
      <w:smallCaps/>
      <w:kern w:val="0"/>
      <w:sz w:val="28"/>
      <w:szCs w:val="24"/>
    </w:rPr>
  </w:style>
  <w:style w:type="paragraph" w:customStyle="1" w:styleId="TableTitle">
    <w:name w:val="Table Title"/>
    <w:basedOn w:val="Normal"/>
    <w:next w:val="Normal"/>
    <w:rsid w:val="005F11B9"/>
    <w:pPr>
      <w:spacing w:before="120" w:after="120" w:line="240" w:lineRule="auto"/>
      <w:jc w:val="center"/>
    </w:pPr>
    <w:rPr>
      <w:rFonts w:ascii="Times New Roman" w:eastAsia="Times New Roman" w:hAnsi="Times New Roman" w:cs="Times New Roman"/>
      <w:b/>
      <w:kern w:val="0"/>
      <w:sz w:val="24"/>
      <w:szCs w:val="24"/>
    </w:rPr>
  </w:style>
  <w:style w:type="paragraph" w:customStyle="1" w:styleId="Point0number">
    <w:name w:val="Point 0 (number)"/>
    <w:basedOn w:val="Normal"/>
    <w:rsid w:val="005F11B9"/>
    <w:pPr>
      <w:numPr>
        <w:ilvl w:val="2"/>
        <w:numId w:val="13"/>
      </w:numPr>
      <w:tabs>
        <w:tab w:val="num" w:pos="360"/>
      </w:tabs>
      <w:spacing w:before="120" w:after="120" w:line="240" w:lineRule="auto"/>
      <w:ind w:left="360" w:hanging="360"/>
      <w:jc w:val="both"/>
    </w:pPr>
    <w:rPr>
      <w:rFonts w:ascii="Times New Roman" w:eastAsia="Times New Roman" w:hAnsi="Times New Roman" w:cs="Times New Roman"/>
      <w:kern w:val="0"/>
      <w:sz w:val="24"/>
      <w:szCs w:val="24"/>
    </w:rPr>
  </w:style>
  <w:style w:type="paragraph" w:customStyle="1" w:styleId="Point1number">
    <w:name w:val="Point 1 (number)"/>
    <w:basedOn w:val="Normal"/>
    <w:rsid w:val="005F11B9"/>
    <w:pPr>
      <w:numPr>
        <w:ilvl w:val="4"/>
        <w:numId w:val="13"/>
      </w:numPr>
      <w:tabs>
        <w:tab w:val="num" w:pos="360"/>
      </w:tabs>
      <w:spacing w:before="120" w:after="120" w:line="240" w:lineRule="auto"/>
      <w:ind w:left="360"/>
      <w:jc w:val="both"/>
    </w:pPr>
    <w:rPr>
      <w:rFonts w:ascii="Times New Roman" w:eastAsia="Times New Roman" w:hAnsi="Times New Roman" w:cs="Times New Roman"/>
      <w:kern w:val="0"/>
      <w:sz w:val="24"/>
      <w:szCs w:val="24"/>
    </w:rPr>
  </w:style>
  <w:style w:type="paragraph" w:customStyle="1" w:styleId="Point2number">
    <w:name w:val="Point 2 (number)"/>
    <w:basedOn w:val="Normal"/>
    <w:rsid w:val="005F11B9"/>
    <w:pPr>
      <w:numPr>
        <w:ilvl w:val="6"/>
        <w:numId w:val="13"/>
      </w:numPr>
      <w:tabs>
        <w:tab w:val="num" w:pos="360"/>
        <w:tab w:val="num" w:pos="1984"/>
      </w:tabs>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Point3number">
    <w:name w:val="Point 3 (number)"/>
    <w:basedOn w:val="Normal"/>
    <w:rsid w:val="005F11B9"/>
    <w:pPr>
      <w:numPr>
        <w:ilvl w:val="1"/>
        <w:numId w:val="13"/>
      </w:numPr>
      <w:tabs>
        <w:tab w:val="num" w:pos="360"/>
        <w:tab w:val="num" w:pos="2551"/>
      </w:tabs>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Point0letter">
    <w:name w:val="Point 0 (letter)"/>
    <w:basedOn w:val="Normal"/>
    <w:rsid w:val="005F11B9"/>
    <w:pPr>
      <w:numPr>
        <w:ilvl w:val="3"/>
        <w:numId w:val="13"/>
      </w:numPr>
      <w:tabs>
        <w:tab w:val="num" w:pos="360"/>
      </w:tabs>
      <w:spacing w:before="120" w:after="120" w:line="240" w:lineRule="auto"/>
      <w:ind w:left="360" w:hanging="360"/>
      <w:jc w:val="both"/>
    </w:pPr>
    <w:rPr>
      <w:rFonts w:ascii="Times New Roman" w:eastAsia="Times New Roman" w:hAnsi="Times New Roman" w:cs="Times New Roman"/>
      <w:kern w:val="0"/>
      <w:sz w:val="24"/>
      <w:szCs w:val="24"/>
    </w:rPr>
  </w:style>
  <w:style w:type="paragraph" w:customStyle="1" w:styleId="Point1letter">
    <w:name w:val="Point 1 (letter)"/>
    <w:basedOn w:val="Normal"/>
    <w:rsid w:val="005F11B9"/>
    <w:pPr>
      <w:numPr>
        <w:ilvl w:val="5"/>
        <w:numId w:val="13"/>
      </w:numPr>
      <w:tabs>
        <w:tab w:val="num" w:pos="360"/>
      </w:tabs>
      <w:spacing w:before="120" w:after="120" w:line="240" w:lineRule="auto"/>
      <w:ind w:left="360"/>
      <w:jc w:val="both"/>
    </w:pPr>
    <w:rPr>
      <w:rFonts w:ascii="Times New Roman" w:eastAsia="Times New Roman" w:hAnsi="Times New Roman" w:cs="Times New Roman"/>
      <w:kern w:val="0"/>
      <w:sz w:val="24"/>
      <w:szCs w:val="24"/>
    </w:rPr>
  </w:style>
  <w:style w:type="paragraph" w:customStyle="1" w:styleId="Point2letter">
    <w:name w:val="Point 2 (letter)"/>
    <w:basedOn w:val="Normal"/>
    <w:rsid w:val="005F11B9"/>
    <w:pPr>
      <w:numPr>
        <w:ilvl w:val="7"/>
        <w:numId w:val="13"/>
      </w:numPr>
      <w:tabs>
        <w:tab w:val="num" w:pos="360"/>
        <w:tab w:val="num" w:pos="1984"/>
      </w:tabs>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Point3letter">
    <w:name w:val="Point 3 (letter)"/>
    <w:basedOn w:val="Normal"/>
    <w:rsid w:val="005F11B9"/>
    <w:pPr>
      <w:numPr>
        <w:ilvl w:val="8"/>
        <w:numId w:val="13"/>
      </w:numPr>
      <w:tabs>
        <w:tab w:val="num" w:pos="360"/>
        <w:tab w:val="num" w:pos="2551"/>
      </w:tabs>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Point4letter">
    <w:name w:val="Point 4 (letter)"/>
    <w:basedOn w:val="Normal"/>
    <w:rsid w:val="005F11B9"/>
    <w:pPr>
      <w:tabs>
        <w:tab w:val="num" w:pos="3118"/>
      </w:tabs>
      <w:spacing w:before="120" w:after="120" w:line="240" w:lineRule="auto"/>
      <w:ind w:left="3118" w:hanging="567"/>
      <w:jc w:val="both"/>
    </w:pPr>
    <w:rPr>
      <w:rFonts w:ascii="Times New Roman" w:eastAsia="Times New Roman" w:hAnsi="Times New Roman" w:cs="Times New Roman"/>
      <w:kern w:val="0"/>
      <w:sz w:val="24"/>
      <w:szCs w:val="24"/>
    </w:rPr>
  </w:style>
  <w:style w:type="paragraph" w:customStyle="1" w:styleId="Bullet0">
    <w:name w:val="Bullet 0"/>
    <w:basedOn w:val="Normal"/>
    <w:rsid w:val="005F11B9"/>
    <w:pPr>
      <w:numPr>
        <w:numId w:val="14"/>
      </w:numPr>
      <w:tabs>
        <w:tab w:val="num" w:pos="643"/>
      </w:tabs>
      <w:spacing w:before="120" w:after="120" w:line="240" w:lineRule="auto"/>
      <w:ind w:left="643" w:hanging="360"/>
      <w:jc w:val="both"/>
    </w:pPr>
    <w:rPr>
      <w:rFonts w:ascii="Times New Roman" w:eastAsia="Times New Roman" w:hAnsi="Times New Roman" w:cs="Times New Roman"/>
      <w:kern w:val="0"/>
      <w:sz w:val="24"/>
      <w:szCs w:val="24"/>
    </w:rPr>
  </w:style>
  <w:style w:type="paragraph" w:customStyle="1" w:styleId="Bullet1">
    <w:name w:val="Bullet 1"/>
    <w:basedOn w:val="Normal"/>
    <w:rsid w:val="005F11B9"/>
    <w:pPr>
      <w:numPr>
        <w:numId w:val="15"/>
      </w:numPr>
      <w:tabs>
        <w:tab w:val="num" w:pos="926"/>
      </w:tabs>
      <w:spacing w:before="120" w:after="120" w:line="240" w:lineRule="auto"/>
      <w:ind w:left="926" w:hanging="360"/>
      <w:jc w:val="both"/>
    </w:pPr>
    <w:rPr>
      <w:rFonts w:ascii="Times New Roman" w:eastAsia="Times New Roman" w:hAnsi="Times New Roman" w:cs="Times New Roman"/>
      <w:kern w:val="0"/>
      <w:sz w:val="24"/>
      <w:szCs w:val="24"/>
    </w:rPr>
  </w:style>
  <w:style w:type="paragraph" w:customStyle="1" w:styleId="Bullet2">
    <w:name w:val="Bullet 2"/>
    <w:basedOn w:val="Normal"/>
    <w:rsid w:val="005F11B9"/>
    <w:pPr>
      <w:numPr>
        <w:numId w:val="16"/>
      </w:numPr>
      <w:spacing w:before="120" w:after="120" w:line="240" w:lineRule="auto"/>
      <w:jc w:val="both"/>
    </w:pPr>
    <w:rPr>
      <w:rFonts w:ascii="Times New Roman" w:eastAsia="Times New Roman" w:hAnsi="Times New Roman" w:cs="Times New Roman"/>
      <w:kern w:val="0"/>
      <w:sz w:val="24"/>
      <w:szCs w:val="24"/>
    </w:rPr>
  </w:style>
  <w:style w:type="paragraph" w:customStyle="1" w:styleId="Bullet3">
    <w:name w:val="Bullet 3"/>
    <w:basedOn w:val="Normal"/>
    <w:rsid w:val="005F11B9"/>
    <w:pPr>
      <w:tabs>
        <w:tab w:val="num" w:pos="2551"/>
      </w:tabs>
      <w:spacing w:before="120" w:after="120" w:line="240" w:lineRule="auto"/>
      <w:ind w:left="2551" w:hanging="567"/>
      <w:jc w:val="both"/>
    </w:pPr>
    <w:rPr>
      <w:rFonts w:ascii="Times New Roman" w:eastAsia="Times New Roman" w:hAnsi="Times New Roman" w:cs="Times New Roman"/>
      <w:kern w:val="0"/>
      <w:sz w:val="24"/>
      <w:szCs w:val="24"/>
    </w:rPr>
  </w:style>
  <w:style w:type="paragraph" w:customStyle="1" w:styleId="Bullet4">
    <w:name w:val="Bullet 4"/>
    <w:basedOn w:val="Normal"/>
    <w:rsid w:val="005F11B9"/>
    <w:pPr>
      <w:numPr>
        <w:numId w:val="17"/>
      </w:numPr>
      <w:spacing w:before="120" w:after="120" w:line="240" w:lineRule="auto"/>
      <w:jc w:val="both"/>
    </w:pPr>
    <w:rPr>
      <w:rFonts w:ascii="Times New Roman" w:eastAsia="Times New Roman" w:hAnsi="Times New Roman" w:cs="Times New Roman"/>
      <w:kern w:val="0"/>
      <w:sz w:val="24"/>
      <w:szCs w:val="24"/>
    </w:rPr>
  </w:style>
  <w:style w:type="paragraph" w:customStyle="1" w:styleId="Rfrenceinterne">
    <w:name w:val="Référence interne"/>
    <w:basedOn w:val="Normal"/>
    <w:next w:val="Rfrenceinterinstitutionnelle"/>
    <w:rsid w:val="005F11B9"/>
    <w:pPr>
      <w:spacing w:after="0" w:line="240" w:lineRule="auto"/>
      <w:ind w:left="5103"/>
    </w:pPr>
    <w:rPr>
      <w:rFonts w:ascii="Times New Roman" w:eastAsia="Times New Roman" w:hAnsi="Times New Roman" w:cs="Times New Roman"/>
      <w:kern w:val="0"/>
      <w:sz w:val="24"/>
      <w:szCs w:val="24"/>
    </w:rPr>
  </w:style>
  <w:style w:type="paragraph" w:customStyle="1" w:styleId="Langue">
    <w:name w:val="Langue"/>
    <w:basedOn w:val="Normal"/>
    <w:next w:val="Rfrenceinterne"/>
    <w:rsid w:val="005F11B9"/>
    <w:pPr>
      <w:framePr w:wrap="around" w:vAnchor="page" w:hAnchor="text" w:xAlign="center" w:y="14741"/>
      <w:spacing w:after="600" w:line="240" w:lineRule="auto"/>
      <w:jc w:val="center"/>
    </w:pPr>
    <w:rPr>
      <w:rFonts w:ascii="Times New Roman" w:eastAsia="Times New Roman" w:hAnsi="Times New Roman" w:cs="Times New Roman"/>
      <w:b/>
      <w:caps/>
      <w:kern w:val="0"/>
      <w:sz w:val="24"/>
      <w:szCs w:val="24"/>
    </w:rPr>
  </w:style>
  <w:style w:type="paragraph" w:customStyle="1" w:styleId="Rfrenceinterinstitutionnelle">
    <w:name w:val="Référence interinstitutionnelle"/>
    <w:basedOn w:val="Normal"/>
    <w:next w:val="Statut"/>
    <w:rsid w:val="005F11B9"/>
    <w:pPr>
      <w:spacing w:after="0" w:line="240" w:lineRule="auto"/>
      <w:ind w:left="5103"/>
    </w:pPr>
    <w:rPr>
      <w:rFonts w:ascii="Times New Roman" w:eastAsia="Times New Roman" w:hAnsi="Times New Roman" w:cs="Times New Roman"/>
      <w:kern w:val="0"/>
      <w:sz w:val="24"/>
      <w:szCs w:val="24"/>
    </w:rPr>
  </w:style>
  <w:style w:type="paragraph" w:customStyle="1" w:styleId="Statut">
    <w:name w:val="Statut"/>
    <w:basedOn w:val="Normal"/>
    <w:next w:val="Typedudocument"/>
    <w:rsid w:val="005F11B9"/>
    <w:pPr>
      <w:spacing w:before="360" w:after="0" w:line="240" w:lineRule="auto"/>
      <w:jc w:val="center"/>
    </w:pPr>
    <w:rPr>
      <w:rFonts w:ascii="Times New Roman" w:eastAsia="Times New Roman" w:hAnsi="Times New Roman" w:cs="Times New Roman"/>
      <w:kern w:val="0"/>
      <w:sz w:val="24"/>
      <w:szCs w:val="24"/>
    </w:rPr>
  </w:style>
  <w:style w:type="paragraph" w:customStyle="1" w:styleId="Typedudocument">
    <w:name w:val="Type du document"/>
    <w:basedOn w:val="Normal"/>
    <w:next w:val="Titreobjet"/>
    <w:rsid w:val="005F11B9"/>
    <w:pPr>
      <w:spacing w:before="360" w:after="0" w:line="240" w:lineRule="auto"/>
      <w:jc w:val="center"/>
    </w:pPr>
    <w:rPr>
      <w:rFonts w:ascii="Times New Roman" w:eastAsia="Times New Roman" w:hAnsi="Times New Roman" w:cs="Times New Roman"/>
      <w:b/>
      <w:kern w:val="0"/>
      <w:sz w:val="24"/>
      <w:szCs w:val="24"/>
    </w:rPr>
  </w:style>
  <w:style w:type="paragraph" w:customStyle="1" w:styleId="Titreobjet">
    <w:name w:val="Titre objet"/>
    <w:basedOn w:val="Normal"/>
    <w:next w:val="IntrtEEE"/>
    <w:rsid w:val="005F11B9"/>
    <w:pPr>
      <w:spacing w:before="360" w:after="360" w:line="240" w:lineRule="auto"/>
      <w:jc w:val="center"/>
    </w:pPr>
    <w:rPr>
      <w:rFonts w:ascii="Times New Roman" w:eastAsia="Times New Roman" w:hAnsi="Times New Roman" w:cs="Times New Roman"/>
      <w:b/>
      <w:kern w:val="0"/>
      <w:sz w:val="24"/>
      <w:szCs w:val="24"/>
    </w:rPr>
  </w:style>
  <w:style w:type="paragraph" w:customStyle="1" w:styleId="IntrtEEE">
    <w:name w:val="Intérêt EEE"/>
    <w:basedOn w:val="Languesfaisantfoi"/>
    <w:next w:val="Normal"/>
    <w:rsid w:val="005F11B9"/>
    <w:pPr>
      <w:spacing w:after="240"/>
    </w:pPr>
  </w:style>
  <w:style w:type="paragraph" w:customStyle="1" w:styleId="Languesfaisantfoi">
    <w:name w:val="Langues faisant foi"/>
    <w:basedOn w:val="Normal"/>
    <w:next w:val="Normal"/>
    <w:rsid w:val="005F11B9"/>
    <w:pPr>
      <w:spacing w:before="360" w:after="0" w:line="240" w:lineRule="auto"/>
      <w:jc w:val="center"/>
    </w:pPr>
    <w:rPr>
      <w:rFonts w:ascii="Times New Roman" w:eastAsia="Times New Roman" w:hAnsi="Times New Roman" w:cs="Times New Roman"/>
      <w:kern w:val="0"/>
      <w:sz w:val="24"/>
      <w:szCs w:val="24"/>
    </w:rPr>
  </w:style>
  <w:style w:type="paragraph" w:customStyle="1" w:styleId="Emission">
    <w:name w:val="Emission"/>
    <w:basedOn w:val="Normal"/>
    <w:next w:val="Rfrenceinstitutionnelle"/>
    <w:rsid w:val="005F11B9"/>
    <w:pPr>
      <w:spacing w:after="0" w:line="240" w:lineRule="auto"/>
      <w:ind w:left="5103"/>
    </w:pPr>
    <w:rPr>
      <w:rFonts w:ascii="Times New Roman" w:eastAsia="Times New Roman" w:hAnsi="Times New Roman" w:cs="Times New Roman"/>
      <w:kern w:val="0"/>
      <w:sz w:val="24"/>
      <w:szCs w:val="24"/>
    </w:rPr>
  </w:style>
  <w:style w:type="paragraph" w:customStyle="1" w:styleId="Nomdelinstitution">
    <w:name w:val="Nom de l'institution"/>
    <w:basedOn w:val="Normal"/>
    <w:next w:val="Emission"/>
    <w:rsid w:val="005F11B9"/>
    <w:pPr>
      <w:spacing w:after="0" w:line="240" w:lineRule="auto"/>
    </w:pPr>
    <w:rPr>
      <w:rFonts w:ascii="Arial" w:eastAsia="Times New Roman" w:hAnsi="Arial" w:cs="Arial"/>
      <w:kern w:val="0"/>
      <w:sz w:val="24"/>
      <w:szCs w:val="24"/>
    </w:rPr>
  </w:style>
  <w:style w:type="paragraph" w:customStyle="1" w:styleId="Rfrenceinstitutionnelle">
    <w:name w:val="Référence institutionnelle"/>
    <w:basedOn w:val="Normal"/>
    <w:next w:val="Confidentialit"/>
    <w:rsid w:val="005F11B9"/>
    <w:pPr>
      <w:spacing w:after="240" w:line="240" w:lineRule="auto"/>
      <w:ind w:left="5103"/>
    </w:pPr>
    <w:rPr>
      <w:rFonts w:ascii="Times New Roman" w:eastAsia="Times New Roman" w:hAnsi="Times New Roman" w:cs="Times New Roman"/>
      <w:kern w:val="0"/>
      <w:sz w:val="24"/>
      <w:szCs w:val="24"/>
    </w:rPr>
  </w:style>
  <w:style w:type="paragraph" w:customStyle="1" w:styleId="Confidentialit">
    <w:name w:val="Confidentialité"/>
    <w:basedOn w:val="Normal"/>
    <w:next w:val="TypedudocumentPagedecouverture"/>
    <w:rsid w:val="005F11B9"/>
    <w:pPr>
      <w:spacing w:before="240" w:after="240" w:line="240" w:lineRule="auto"/>
      <w:ind w:left="5103"/>
    </w:pPr>
    <w:rPr>
      <w:rFonts w:ascii="Times New Roman" w:eastAsia="Times New Roman" w:hAnsi="Times New Roman" w:cs="Times New Roman"/>
      <w:i/>
      <w:kern w:val="0"/>
      <w:sz w:val="32"/>
      <w:szCs w:val="24"/>
    </w:rPr>
  </w:style>
  <w:style w:type="paragraph" w:customStyle="1" w:styleId="TypedudocumentPagedecouverture">
    <w:name w:val="Type du document (Page de couverture)"/>
    <w:basedOn w:val="Typedudocument"/>
    <w:next w:val="TitreobjetPagedecouverture"/>
    <w:rsid w:val="005F11B9"/>
  </w:style>
  <w:style w:type="paragraph" w:customStyle="1" w:styleId="TitreobjetPagedecouverture">
    <w:name w:val="Titre objet (Page de couverture)"/>
    <w:basedOn w:val="Titreobjet"/>
    <w:next w:val="IntrtEEEPagedecouverture"/>
    <w:rsid w:val="005F11B9"/>
  </w:style>
  <w:style w:type="paragraph" w:customStyle="1" w:styleId="IntrtEEEPagedecouverture">
    <w:name w:val="Intérêt EEE (Page de couverture)"/>
    <w:basedOn w:val="IntrtEEE"/>
    <w:next w:val="Rfrencecroise"/>
    <w:rsid w:val="005F11B9"/>
  </w:style>
  <w:style w:type="paragraph" w:customStyle="1" w:styleId="Rfrencecroise">
    <w:name w:val="Référence croisée"/>
    <w:basedOn w:val="Normal"/>
    <w:rsid w:val="005F11B9"/>
    <w:pPr>
      <w:spacing w:after="0" w:line="240" w:lineRule="auto"/>
      <w:jc w:val="center"/>
    </w:pPr>
    <w:rPr>
      <w:rFonts w:ascii="Times New Roman" w:eastAsia="Times New Roman" w:hAnsi="Times New Roman" w:cs="Times New Roman"/>
      <w:kern w:val="0"/>
      <w:sz w:val="24"/>
      <w:szCs w:val="24"/>
    </w:rPr>
  </w:style>
  <w:style w:type="paragraph" w:customStyle="1" w:styleId="Pagedecouverture">
    <w:name w:val="Page de couverture"/>
    <w:basedOn w:val="Normal"/>
    <w:next w:val="Normal"/>
    <w:rsid w:val="005F11B9"/>
    <w:pPr>
      <w:spacing w:after="0" w:line="240" w:lineRule="auto"/>
      <w:jc w:val="both"/>
    </w:pPr>
    <w:rPr>
      <w:rFonts w:ascii="Times New Roman" w:eastAsia="Times New Roman" w:hAnsi="Times New Roman" w:cs="Times New Roman"/>
      <w:kern w:val="0"/>
      <w:sz w:val="24"/>
      <w:szCs w:val="24"/>
    </w:rPr>
  </w:style>
  <w:style w:type="paragraph" w:customStyle="1" w:styleId="Declassification">
    <w:name w:val="Declassification"/>
    <w:basedOn w:val="Normal"/>
    <w:next w:val="Normal"/>
    <w:rsid w:val="005F11B9"/>
    <w:pPr>
      <w:spacing w:after="0" w:line="240" w:lineRule="auto"/>
      <w:jc w:val="both"/>
    </w:pPr>
    <w:rPr>
      <w:rFonts w:ascii="Times New Roman" w:eastAsia="Times New Roman" w:hAnsi="Times New Roman" w:cs="Times New Roman"/>
      <w:kern w:val="0"/>
      <w:sz w:val="24"/>
      <w:szCs w:val="24"/>
    </w:rPr>
  </w:style>
  <w:style w:type="paragraph" w:customStyle="1" w:styleId="Disclaimer">
    <w:name w:val="Disclaimer"/>
    <w:basedOn w:val="Normal"/>
    <w:rsid w:val="005F11B9"/>
    <w:pPr>
      <w:framePr w:w="8220" w:wrap="notBeside" w:hAnchor="margin" w:xAlign="center" w:y="10401"/>
      <w:pBdr>
        <w:top w:val="single" w:sz="6" w:space="4" w:color="auto"/>
        <w:left w:val="single" w:sz="6" w:space="7" w:color="auto"/>
        <w:bottom w:val="single" w:sz="6" w:space="4" w:color="auto"/>
        <w:right w:val="single" w:sz="6" w:space="7" w:color="auto"/>
      </w:pBdr>
      <w:spacing w:before="120" w:after="120" w:line="240" w:lineRule="auto"/>
      <w:jc w:val="both"/>
    </w:pPr>
    <w:rPr>
      <w:rFonts w:ascii="Times New Roman" w:eastAsia="Times New Roman" w:hAnsi="Times New Roman" w:cs="Times New Roman"/>
      <w:kern w:val="0"/>
      <w:sz w:val="24"/>
      <w:szCs w:val="24"/>
    </w:rPr>
  </w:style>
  <w:style w:type="paragraph" w:customStyle="1" w:styleId="SecurityMarking">
    <w:name w:val="SecurityMarking"/>
    <w:basedOn w:val="Normal"/>
    <w:rsid w:val="005F11B9"/>
    <w:pPr>
      <w:spacing w:after="0" w:line="240" w:lineRule="auto"/>
      <w:ind w:left="5103"/>
    </w:pPr>
    <w:rPr>
      <w:rFonts w:ascii="Times New Roman" w:eastAsia="Times New Roman" w:hAnsi="Times New Roman" w:cs="Times New Roman"/>
      <w:kern w:val="0"/>
      <w:sz w:val="28"/>
      <w:szCs w:val="24"/>
    </w:rPr>
  </w:style>
  <w:style w:type="paragraph" w:customStyle="1" w:styleId="DateMarking">
    <w:name w:val="DateMarking"/>
    <w:basedOn w:val="Normal"/>
    <w:rsid w:val="005F11B9"/>
    <w:pPr>
      <w:spacing w:after="0" w:line="240" w:lineRule="auto"/>
      <w:ind w:left="5103"/>
    </w:pPr>
    <w:rPr>
      <w:rFonts w:ascii="Times New Roman" w:eastAsia="Times New Roman" w:hAnsi="Times New Roman" w:cs="Times New Roman"/>
      <w:i/>
      <w:kern w:val="0"/>
      <w:sz w:val="28"/>
      <w:szCs w:val="24"/>
    </w:rPr>
  </w:style>
  <w:style w:type="paragraph" w:customStyle="1" w:styleId="ReleasableTo">
    <w:name w:val="ReleasableTo"/>
    <w:basedOn w:val="Normal"/>
    <w:rsid w:val="005F11B9"/>
    <w:pPr>
      <w:spacing w:after="0" w:line="240" w:lineRule="auto"/>
      <w:ind w:left="5103"/>
    </w:pPr>
    <w:rPr>
      <w:rFonts w:ascii="Times New Roman" w:eastAsia="Times New Roman" w:hAnsi="Times New Roman" w:cs="Times New Roman"/>
      <w:i/>
      <w:kern w:val="0"/>
      <w:sz w:val="28"/>
      <w:szCs w:val="24"/>
    </w:rPr>
  </w:style>
  <w:style w:type="paragraph" w:customStyle="1" w:styleId="Annexetitreexpos">
    <w:name w:val="Annexe titre (exposé)"/>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Annexetitre">
    <w:name w:val="Annexe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Annexetitrefichefinancire">
    <w:name w:val="Annexe titre (fiche financiè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Fait">
    <w:name w:val="Fait à"/>
    <w:basedOn w:val="Normal"/>
    <w:next w:val="Institutionquisigne"/>
    <w:rsid w:val="005F11B9"/>
    <w:pPr>
      <w:keepNext/>
      <w:spacing w:before="120" w:after="0" w:line="240" w:lineRule="auto"/>
      <w:jc w:val="both"/>
    </w:pPr>
    <w:rPr>
      <w:rFonts w:ascii="Times New Roman" w:eastAsia="Times New Roman" w:hAnsi="Times New Roman" w:cs="Times New Roman"/>
      <w:kern w:val="0"/>
      <w:sz w:val="24"/>
      <w:szCs w:val="24"/>
    </w:rPr>
  </w:style>
  <w:style w:type="paragraph" w:customStyle="1" w:styleId="Applicationdirecte">
    <w:name w:val="Application directe"/>
    <w:basedOn w:val="Normal"/>
    <w:next w:val="Fait"/>
    <w:rsid w:val="005F11B9"/>
    <w:pPr>
      <w:spacing w:before="480" w:after="120" w:line="240" w:lineRule="auto"/>
      <w:jc w:val="both"/>
    </w:pPr>
    <w:rPr>
      <w:rFonts w:ascii="Times New Roman" w:eastAsia="Times New Roman" w:hAnsi="Times New Roman" w:cs="Times New Roman"/>
      <w:kern w:val="0"/>
      <w:sz w:val="24"/>
      <w:szCs w:val="24"/>
    </w:rPr>
  </w:style>
  <w:style w:type="paragraph" w:customStyle="1" w:styleId="Institutionquisigne">
    <w:name w:val="Institution qui signe"/>
    <w:basedOn w:val="Normal"/>
    <w:next w:val="Personnequisigne"/>
    <w:rsid w:val="005F11B9"/>
    <w:pPr>
      <w:keepNext/>
      <w:tabs>
        <w:tab w:val="left" w:pos="4252"/>
      </w:tabs>
      <w:spacing w:before="720" w:after="0" w:line="240" w:lineRule="auto"/>
      <w:jc w:val="both"/>
    </w:pPr>
    <w:rPr>
      <w:rFonts w:ascii="Times New Roman" w:eastAsia="Times New Roman" w:hAnsi="Times New Roman" w:cs="Times New Roman"/>
      <w:i/>
      <w:kern w:val="0"/>
      <w:sz w:val="24"/>
      <w:szCs w:val="24"/>
    </w:rPr>
  </w:style>
  <w:style w:type="paragraph" w:customStyle="1" w:styleId="Personnequisigne">
    <w:name w:val="Personne qui signe"/>
    <w:basedOn w:val="Normal"/>
    <w:next w:val="Institutionquisigne"/>
    <w:rsid w:val="005F11B9"/>
    <w:pPr>
      <w:tabs>
        <w:tab w:val="left" w:pos="4252"/>
      </w:tabs>
      <w:spacing w:after="0" w:line="240" w:lineRule="auto"/>
    </w:pPr>
    <w:rPr>
      <w:rFonts w:ascii="Times New Roman" w:eastAsia="Times New Roman" w:hAnsi="Times New Roman" w:cs="Times New Roman"/>
      <w:i/>
      <w:kern w:val="0"/>
      <w:sz w:val="24"/>
      <w:szCs w:val="24"/>
    </w:rPr>
  </w:style>
  <w:style w:type="paragraph" w:customStyle="1" w:styleId="Avertissementtitre">
    <w:name w:val="Avertissement titre"/>
    <w:basedOn w:val="Normal"/>
    <w:next w:val="Normal"/>
    <w:rsid w:val="005F11B9"/>
    <w:pPr>
      <w:keepNext/>
      <w:spacing w:before="480" w:after="120" w:line="240" w:lineRule="auto"/>
      <w:jc w:val="both"/>
    </w:pPr>
    <w:rPr>
      <w:rFonts w:ascii="Times New Roman" w:eastAsia="Times New Roman" w:hAnsi="Times New Roman" w:cs="Times New Roman"/>
      <w:kern w:val="0"/>
      <w:sz w:val="24"/>
      <w:szCs w:val="24"/>
      <w:u w:val="single"/>
    </w:rPr>
  </w:style>
  <w:style w:type="paragraph" w:customStyle="1" w:styleId="Confidence">
    <w:name w:val="Confidence"/>
    <w:basedOn w:val="Normal"/>
    <w:next w:val="Normal"/>
    <w:rsid w:val="005F11B9"/>
    <w:pPr>
      <w:spacing w:before="360" w:after="120" w:line="240" w:lineRule="auto"/>
      <w:jc w:val="center"/>
    </w:pPr>
    <w:rPr>
      <w:rFonts w:ascii="Times New Roman" w:eastAsia="Times New Roman" w:hAnsi="Times New Roman" w:cs="Times New Roman"/>
      <w:kern w:val="0"/>
      <w:sz w:val="24"/>
      <w:szCs w:val="24"/>
    </w:rPr>
  </w:style>
  <w:style w:type="paragraph" w:customStyle="1" w:styleId="Considrant">
    <w:name w:val="Considérant"/>
    <w:basedOn w:val="Normal"/>
    <w:rsid w:val="005F11B9"/>
    <w:pPr>
      <w:tabs>
        <w:tab w:val="num" w:pos="709"/>
      </w:tabs>
      <w:spacing w:before="120" w:after="120" w:line="240" w:lineRule="auto"/>
      <w:ind w:left="709" w:hanging="709"/>
      <w:jc w:val="both"/>
    </w:pPr>
    <w:rPr>
      <w:rFonts w:ascii="Times New Roman" w:eastAsia="Times New Roman" w:hAnsi="Times New Roman" w:cs="Times New Roman"/>
      <w:kern w:val="0"/>
      <w:sz w:val="24"/>
      <w:szCs w:val="24"/>
    </w:rPr>
  </w:style>
  <w:style w:type="paragraph" w:customStyle="1" w:styleId="Corrigendum">
    <w:name w:val="Corrigendum"/>
    <w:basedOn w:val="Normal"/>
    <w:next w:val="Normal"/>
    <w:rsid w:val="005F11B9"/>
    <w:pPr>
      <w:spacing w:after="240" w:line="240" w:lineRule="auto"/>
    </w:pPr>
    <w:rPr>
      <w:rFonts w:ascii="Times New Roman" w:eastAsia="Times New Roman" w:hAnsi="Times New Roman" w:cs="Times New Roman"/>
      <w:kern w:val="0"/>
      <w:sz w:val="24"/>
      <w:szCs w:val="24"/>
    </w:rPr>
  </w:style>
  <w:style w:type="paragraph" w:customStyle="1" w:styleId="Datedadoption">
    <w:name w:val="Date d'adoption"/>
    <w:basedOn w:val="Normal"/>
    <w:next w:val="Titreobjet"/>
    <w:rsid w:val="005F11B9"/>
    <w:pPr>
      <w:spacing w:before="360" w:after="0" w:line="240" w:lineRule="auto"/>
      <w:jc w:val="center"/>
    </w:pPr>
    <w:rPr>
      <w:rFonts w:ascii="Times New Roman" w:eastAsia="Times New Roman" w:hAnsi="Times New Roman" w:cs="Times New Roman"/>
      <w:b/>
      <w:kern w:val="0"/>
      <w:sz w:val="24"/>
      <w:szCs w:val="24"/>
    </w:rPr>
  </w:style>
  <w:style w:type="paragraph" w:customStyle="1" w:styleId="Exposdesmotifstitre">
    <w:name w:val="Exposé des motifs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Titrearticle">
    <w:name w:val="Titre article"/>
    <w:basedOn w:val="Normal"/>
    <w:next w:val="Normal"/>
    <w:rsid w:val="005F11B9"/>
    <w:pPr>
      <w:keepNext/>
      <w:spacing w:before="360" w:after="120" w:line="240" w:lineRule="auto"/>
      <w:jc w:val="center"/>
    </w:pPr>
    <w:rPr>
      <w:rFonts w:ascii="Times New Roman" w:eastAsia="Times New Roman" w:hAnsi="Times New Roman" w:cs="Times New Roman"/>
      <w:i/>
      <w:kern w:val="0"/>
      <w:sz w:val="24"/>
      <w:szCs w:val="24"/>
    </w:rPr>
  </w:style>
  <w:style w:type="paragraph" w:customStyle="1" w:styleId="Formuledadoption">
    <w:name w:val="Formule d'adoption"/>
    <w:basedOn w:val="Normal"/>
    <w:next w:val="Titrearticle"/>
    <w:rsid w:val="005F11B9"/>
    <w:pPr>
      <w:keepNext/>
      <w:spacing w:before="120" w:after="120" w:line="240" w:lineRule="auto"/>
      <w:jc w:val="both"/>
    </w:pPr>
    <w:rPr>
      <w:rFonts w:ascii="Times New Roman" w:eastAsia="Times New Roman" w:hAnsi="Times New Roman" w:cs="Times New Roman"/>
      <w:kern w:val="0"/>
      <w:sz w:val="24"/>
      <w:szCs w:val="24"/>
    </w:rPr>
  </w:style>
  <w:style w:type="paragraph" w:customStyle="1" w:styleId="Institutionquiagit">
    <w:name w:val="Institution qui agit"/>
    <w:basedOn w:val="Normal"/>
    <w:next w:val="Normal"/>
    <w:rsid w:val="005F11B9"/>
    <w:pPr>
      <w:keepNext/>
      <w:spacing w:before="600" w:after="120" w:line="240" w:lineRule="auto"/>
      <w:jc w:val="both"/>
    </w:pPr>
    <w:rPr>
      <w:rFonts w:ascii="Times New Roman" w:eastAsia="Times New Roman" w:hAnsi="Times New Roman" w:cs="Times New Roman"/>
      <w:kern w:val="0"/>
      <w:sz w:val="24"/>
      <w:szCs w:val="24"/>
    </w:rPr>
  </w:style>
  <w:style w:type="paragraph" w:customStyle="1" w:styleId="ManualConsidrant">
    <w:name w:val="Manual Considérant"/>
    <w:basedOn w:val="Normal"/>
    <w:rsid w:val="005F11B9"/>
    <w:pPr>
      <w:spacing w:before="120" w:after="120" w:line="240" w:lineRule="auto"/>
      <w:ind w:left="709" w:hanging="709"/>
      <w:jc w:val="both"/>
    </w:pPr>
    <w:rPr>
      <w:rFonts w:ascii="Times New Roman" w:eastAsia="Times New Roman" w:hAnsi="Times New Roman" w:cs="Times New Roman"/>
      <w:kern w:val="0"/>
      <w:sz w:val="24"/>
      <w:szCs w:val="24"/>
    </w:rPr>
  </w:style>
  <w:style w:type="paragraph" w:customStyle="1" w:styleId="Address">
    <w:name w:val="Address"/>
    <w:basedOn w:val="Normal"/>
    <w:next w:val="Normal"/>
    <w:rsid w:val="005F11B9"/>
    <w:pPr>
      <w:keepLines/>
      <w:spacing w:before="120" w:after="120" w:line="360" w:lineRule="auto"/>
      <w:ind w:left="3402"/>
    </w:pPr>
    <w:rPr>
      <w:rFonts w:ascii="Times New Roman" w:eastAsia="Times New Roman" w:hAnsi="Times New Roman" w:cs="Times New Roman"/>
      <w:kern w:val="0"/>
      <w:sz w:val="24"/>
      <w:szCs w:val="24"/>
    </w:rPr>
  </w:style>
  <w:style w:type="paragraph" w:customStyle="1" w:styleId="Objetexterne">
    <w:name w:val="Objet externe"/>
    <w:basedOn w:val="Normal"/>
    <w:next w:val="Normal"/>
    <w:rsid w:val="005F11B9"/>
    <w:pPr>
      <w:spacing w:before="120" w:after="120" w:line="240" w:lineRule="auto"/>
      <w:jc w:val="both"/>
    </w:pPr>
    <w:rPr>
      <w:rFonts w:ascii="Times New Roman" w:eastAsia="Times New Roman" w:hAnsi="Times New Roman" w:cs="Times New Roman"/>
      <w:i/>
      <w:caps/>
      <w:kern w:val="0"/>
      <w:sz w:val="24"/>
      <w:szCs w:val="24"/>
    </w:rPr>
  </w:style>
  <w:style w:type="paragraph" w:customStyle="1" w:styleId="Supertitre">
    <w:name w:val="Supertitre"/>
    <w:basedOn w:val="Normal"/>
    <w:next w:val="Normal"/>
    <w:rsid w:val="005F11B9"/>
    <w:pPr>
      <w:spacing w:after="600" w:line="240" w:lineRule="auto"/>
      <w:jc w:val="center"/>
    </w:pPr>
    <w:rPr>
      <w:rFonts w:ascii="Times New Roman" w:eastAsia="Times New Roman" w:hAnsi="Times New Roman" w:cs="Times New Roman"/>
      <w:b/>
      <w:kern w:val="0"/>
      <w:sz w:val="24"/>
      <w:szCs w:val="24"/>
    </w:rPr>
  </w:style>
  <w:style w:type="paragraph" w:customStyle="1" w:styleId="Fichefinanciretitre">
    <w:name w:val="Fiche financière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DatedadoptionPagedecouverture">
    <w:name w:val="Date d'adoption (Page de couverture)"/>
    <w:basedOn w:val="Datedadoption"/>
    <w:next w:val="TitreobjetPagedecouverture"/>
    <w:rsid w:val="005F11B9"/>
  </w:style>
  <w:style w:type="paragraph" w:customStyle="1" w:styleId="RfrenceinterinstitutionnellePagedecouverture">
    <w:name w:val="Référence interinstitutionnelle (Page de couverture)"/>
    <w:basedOn w:val="Rfrenceinterinstitutionnelle"/>
    <w:next w:val="Confidentialit"/>
    <w:rsid w:val="005F11B9"/>
  </w:style>
  <w:style w:type="paragraph" w:customStyle="1" w:styleId="StatutPagedecouverture">
    <w:name w:val="Statut (Page de couverture)"/>
    <w:basedOn w:val="Statut"/>
    <w:next w:val="TypedudocumentPagedecouverture"/>
    <w:rsid w:val="005F11B9"/>
  </w:style>
  <w:style w:type="paragraph" w:customStyle="1" w:styleId="Volume">
    <w:name w:val="Volume"/>
    <w:basedOn w:val="Normal"/>
    <w:next w:val="Confidentialit"/>
    <w:rsid w:val="005F11B9"/>
    <w:pPr>
      <w:spacing w:after="240" w:line="240" w:lineRule="auto"/>
      <w:ind w:left="5103"/>
    </w:pPr>
    <w:rPr>
      <w:rFonts w:ascii="Times New Roman" w:eastAsia="Times New Roman" w:hAnsi="Times New Roman" w:cs="Times New Roman"/>
      <w:kern w:val="0"/>
      <w:sz w:val="24"/>
      <w:szCs w:val="24"/>
    </w:rPr>
  </w:style>
  <w:style w:type="paragraph" w:customStyle="1" w:styleId="Typeacteprincipal">
    <w:name w:val="Type acte principal"/>
    <w:basedOn w:val="Normal"/>
    <w:next w:val="Objetacteprincipal"/>
    <w:rsid w:val="005F11B9"/>
    <w:pPr>
      <w:spacing w:after="240" w:line="240" w:lineRule="auto"/>
      <w:jc w:val="center"/>
    </w:pPr>
    <w:rPr>
      <w:rFonts w:ascii="Times New Roman" w:eastAsia="Times New Roman" w:hAnsi="Times New Roman" w:cs="Times New Roman"/>
      <w:b/>
      <w:kern w:val="0"/>
      <w:sz w:val="24"/>
      <w:szCs w:val="24"/>
    </w:rPr>
  </w:style>
  <w:style w:type="paragraph" w:customStyle="1" w:styleId="Accompagnant">
    <w:name w:val="Accompagnant"/>
    <w:basedOn w:val="Normal"/>
    <w:next w:val="Typeacteprincipal"/>
    <w:rsid w:val="005F11B9"/>
    <w:pPr>
      <w:spacing w:after="240" w:line="240" w:lineRule="auto"/>
      <w:jc w:val="center"/>
    </w:pPr>
    <w:rPr>
      <w:rFonts w:ascii="Times New Roman" w:eastAsia="Times New Roman" w:hAnsi="Times New Roman" w:cs="Times New Roman"/>
      <w:b/>
      <w:i/>
      <w:kern w:val="0"/>
      <w:sz w:val="24"/>
      <w:szCs w:val="24"/>
    </w:rPr>
  </w:style>
  <w:style w:type="paragraph" w:customStyle="1" w:styleId="Objetacteprincipal">
    <w:name w:val="Objet acte principal"/>
    <w:basedOn w:val="Normal"/>
    <w:next w:val="Titrearticle"/>
    <w:rsid w:val="005F11B9"/>
    <w:pPr>
      <w:spacing w:after="360" w:line="240" w:lineRule="auto"/>
      <w:jc w:val="center"/>
    </w:pPr>
    <w:rPr>
      <w:rFonts w:ascii="Times New Roman" w:eastAsia="Times New Roman" w:hAnsi="Times New Roman" w:cs="Times New Roman"/>
      <w:b/>
      <w:kern w:val="0"/>
      <w:sz w:val="24"/>
      <w:szCs w:val="24"/>
    </w:rPr>
  </w:style>
  <w:style w:type="paragraph" w:customStyle="1" w:styleId="TypeacteprincipalPagedecouverture">
    <w:name w:val="Type acte principal (Page de couverture)"/>
    <w:basedOn w:val="Typeacteprincipal"/>
    <w:next w:val="ObjetacteprincipalPagedecouverture"/>
    <w:rsid w:val="005F11B9"/>
  </w:style>
  <w:style w:type="paragraph" w:customStyle="1" w:styleId="AccompagnantPagedecouverture">
    <w:name w:val="Accompagnant (Page de couverture)"/>
    <w:basedOn w:val="Accompagnant"/>
    <w:next w:val="TypeacteprincipalPagedecouverture"/>
    <w:rsid w:val="005F11B9"/>
  </w:style>
  <w:style w:type="paragraph" w:customStyle="1" w:styleId="ObjetacteprincipalPagedecouverture">
    <w:name w:val="Objet acte principal (Page de couverture)"/>
    <w:basedOn w:val="Objetacteprincipal"/>
    <w:next w:val="Rfrencecroise"/>
    <w:rsid w:val="005F11B9"/>
  </w:style>
  <w:style w:type="paragraph" w:customStyle="1" w:styleId="LanguesfaisantfoiPagedecouverture">
    <w:name w:val="Langues faisant foi (Page de couverture)"/>
    <w:basedOn w:val="Normal"/>
    <w:next w:val="Normal"/>
    <w:rsid w:val="005F11B9"/>
    <w:pPr>
      <w:spacing w:before="360" w:after="0" w:line="240" w:lineRule="auto"/>
      <w:jc w:val="center"/>
    </w:pPr>
    <w:rPr>
      <w:rFonts w:ascii="Times New Roman" w:eastAsia="Times New Roman" w:hAnsi="Times New Roman" w:cs="Times New Roman"/>
      <w:kern w:val="0"/>
      <w:sz w:val="24"/>
      <w:szCs w:val="24"/>
    </w:rPr>
  </w:style>
  <w:style w:type="paragraph" w:customStyle="1" w:styleId="Times12">
    <w:name w:val="Times12"/>
    <w:basedOn w:val="Normal"/>
    <w:rsid w:val="005F11B9"/>
    <w:pPr>
      <w:suppressAutoHyphens/>
      <w:spacing w:after="140" w:line="240" w:lineRule="auto"/>
      <w:jc w:val="both"/>
    </w:pPr>
    <w:rPr>
      <w:rFonts w:ascii="Times" w:eastAsia="SimSun" w:hAnsi="Times" w:cs="Times"/>
      <w:color w:val="00000A"/>
      <w:sz w:val="24"/>
      <w:szCs w:val="24"/>
    </w:rPr>
  </w:style>
  <w:style w:type="paragraph" w:customStyle="1" w:styleId="paragraph">
    <w:name w:val="paragraph"/>
    <w:basedOn w:val="Normal"/>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FooterCoverPageChar">
    <w:name w:val="Footer Cover Page Char"/>
    <w:basedOn w:val="DefaultParagraphFont"/>
    <w:link w:val="FooterCoverPage"/>
    <w:locked/>
    <w:rsid w:val="005F11B9"/>
    <w:rPr>
      <w:rFonts w:ascii="Times New Roman" w:hAnsi="Times New Roman" w:cs="Times New Roman"/>
      <w:sz w:val="24"/>
    </w:rPr>
  </w:style>
  <w:style w:type="paragraph" w:customStyle="1" w:styleId="FooterCoverPage">
    <w:name w:val="Footer Cover Page"/>
    <w:basedOn w:val="Normal"/>
    <w:link w:val="FooterCoverPageChar"/>
    <w:rsid w:val="005F11B9"/>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HeaderCoverPageChar">
    <w:name w:val="Header Cover Page Char"/>
    <w:basedOn w:val="DefaultParagraphFont"/>
    <w:link w:val="HeaderCoverPage"/>
    <w:locked/>
    <w:rsid w:val="005F11B9"/>
    <w:rPr>
      <w:rFonts w:ascii="Times New Roman" w:hAnsi="Times New Roman" w:cs="Times New Roman"/>
      <w:sz w:val="24"/>
    </w:rPr>
  </w:style>
  <w:style w:type="paragraph" w:customStyle="1" w:styleId="HeaderCoverPage">
    <w:name w:val="Header Cover Page"/>
    <w:basedOn w:val="Normal"/>
    <w:link w:val="HeaderCoverPageChar"/>
    <w:rsid w:val="005F11B9"/>
    <w:pPr>
      <w:tabs>
        <w:tab w:val="center" w:pos="4535"/>
        <w:tab w:val="right" w:pos="9071"/>
      </w:tabs>
      <w:spacing w:after="120" w:line="240" w:lineRule="auto"/>
      <w:jc w:val="both"/>
    </w:pPr>
    <w:rPr>
      <w:rFonts w:ascii="Times New Roman" w:hAnsi="Times New Roman" w:cs="Times New Roman"/>
      <w:sz w:val="24"/>
    </w:rPr>
  </w:style>
  <w:style w:type="paragraph" w:customStyle="1" w:styleId="Paragrafoelenco1">
    <w:name w:val="Paragrafo elenco1"/>
    <w:basedOn w:val="Normal"/>
    <w:rsid w:val="005F11B9"/>
    <w:pPr>
      <w:spacing w:line="252" w:lineRule="auto"/>
      <w:ind w:left="720"/>
      <w:contextualSpacing/>
    </w:pPr>
    <w:rPr>
      <w:rFonts w:ascii="Times New Roman" w:eastAsia="Times New Roman" w:hAnsi="Times New Roman" w:cs="Times New Roman"/>
      <w:color w:val="00000A"/>
      <w:sz w:val="20"/>
      <w:szCs w:val="20"/>
    </w:rPr>
  </w:style>
  <w:style w:type="character" w:customStyle="1" w:styleId="DescriptiontextChar">
    <w:name w:val="Description text Char"/>
    <w:basedOn w:val="DefaultParagraphFont"/>
    <w:link w:val="Descriptiontext"/>
    <w:locked/>
    <w:rsid w:val="005F11B9"/>
    <w:rPr>
      <w:rFonts w:ascii="Times New Roman" w:eastAsia="Times New Roman" w:hAnsi="Times New Roman" w:cs="Times New Roman"/>
    </w:rPr>
  </w:style>
  <w:style w:type="paragraph" w:customStyle="1" w:styleId="Descriptiontext">
    <w:name w:val="Description text"/>
    <w:basedOn w:val="Normal"/>
    <w:link w:val="DescriptiontextChar"/>
    <w:qFormat/>
    <w:rsid w:val="005F11B9"/>
    <w:pPr>
      <w:spacing w:before="120" w:after="120" w:line="240" w:lineRule="auto"/>
      <w:ind w:left="709"/>
      <w:jc w:val="both"/>
    </w:pPr>
    <w:rPr>
      <w:rFonts w:ascii="Times New Roman" w:eastAsia="Times New Roman" w:hAnsi="Times New Roman" w:cs="Times New Roman"/>
    </w:rPr>
  </w:style>
  <w:style w:type="character" w:customStyle="1" w:styleId="DescriptiontitleChar">
    <w:name w:val="Description title Char"/>
    <w:basedOn w:val="DescriptiontextChar"/>
    <w:link w:val="Descriptiontitle"/>
    <w:locked/>
    <w:rsid w:val="005F11B9"/>
    <w:rPr>
      <w:rFonts w:ascii="Times New Roman" w:eastAsia="Times New Roman" w:hAnsi="Times New Roman" w:cs="Times New Roman"/>
    </w:rPr>
  </w:style>
  <w:style w:type="paragraph" w:customStyle="1" w:styleId="Descriptiontitle">
    <w:name w:val="Description title"/>
    <w:basedOn w:val="Descriptiontext"/>
    <w:link w:val="DescriptiontitleChar"/>
    <w:rsid w:val="005F11B9"/>
  </w:style>
  <w:style w:type="character" w:customStyle="1" w:styleId="AxistitleChar">
    <w:name w:val="Axis title Char"/>
    <w:basedOn w:val="DefaultParagraphFont"/>
    <w:link w:val="Axistitle"/>
    <w:locked/>
    <w:rsid w:val="005F11B9"/>
    <w:rPr>
      <w:rFonts w:ascii="Times New Roman" w:eastAsia="Times New Roman" w:hAnsi="Times New Roman" w:cs="Times New Roman"/>
      <w:i/>
    </w:rPr>
  </w:style>
  <w:style w:type="paragraph" w:customStyle="1" w:styleId="Axistitle">
    <w:name w:val="Axis title"/>
    <w:basedOn w:val="Normal"/>
    <w:link w:val="AxistitleChar"/>
    <w:qFormat/>
    <w:rsid w:val="005F11B9"/>
    <w:pPr>
      <w:spacing w:before="320" w:after="240" w:line="240" w:lineRule="auto"/>
      <w:ind w:left="709"/>
      <w:jc w:val="both"/>
    </w:pPr>
    <w:rPr>
      <w:rFonts w:ascii="Times New Roman" w:eastAsia="Times New Roman" w:hAnsi="Times New Roman" w:cs="Times New Roman"/>
      <w:i/>
    </w:rPr>
  </w:style>
  <w:style w:type="character" w:customStyle="1" w:styleId="TechnicalBlockChar">
    <w:name w:val="Technical Block Char"/>
    <w:basedOn w:val="DefaultParagraphFont"/>
    <w:link w:val="TechnicalBlock"/>
    <w:locked/>
    <w:rsid w:val="005F11B9"/>
    <w:rPr>
      <w:rFonts w:ascii="Times New Roman" w:eastAsia="Times New Roman" w:hAnsi="Times New Roman" w:cs="Times New Roman"/>
    </w:rPr>
  </w:style>
  <w:style w:type="paragraph" w:customStyle="1" w:styleId="TechnicalBlock">
    <w:name w:val="Technical Block"/>
    <w:basedOn w:val="Normal"/>
    <w:link w:val="TechnicalBlockChar"/>
    <w:rsid w:val="005F11B9"/>
    <w:pPr>
      <w:spacing w:after="240" w:line="240" w:lineRule="auto"/>
      <w:jc w:val="center"/>
    </w:pPr>
    <w:rPr>
      <w:rFonts w:ascii="Times New Roman" w:eastAsia="Times New Roman" w:hAnsi="Times New Roman" w:cs="Times New Roman"/>
    </w:rPr>
  </w:style>
  <w:style w:type="paragraph" w:customStyle="1" w:styleId="EntText">
    <w:name w:val="EntText"/>
    <w:basedOn w:val="Normal"/>
    <w:rsid w:val="005F11B9"/>
    <w:pPr>
      <w:spacing w:before="120" w:after="120" w:line="360" w:lineRule="auto"/>
    </w:pPr>
    <w:rPr>
      <w:rFonts w:ascii="Times New Roman" w:hAnsi="Times New Roman" w:cs="Times New Roman"/>
      <w:kern w:val="0"/>
      <w:sz w:val="24"/>
    </w:rPr>
  </w:style>
  <w:style w:type="paragraph" w:customStyle="1" w:styleId="Lignefinal">
    <w:name w:val="Ligne final"/>
    <w:basedOn w:val="Normal"/>
    <w:next w:val="Normal"/>
    <w:rsid w:val="005F11B9"/>
    <w:pPr>
      <w:pBdr>
        <w:bottom w:val="single" w:sz="4" w:space="0" w:color="000000"/>
      </w:pBdr>
      <w:spacing w:before="360" w:after="120" w:line="360" w:lineRule="auto"/>
      <w:ind w:left="3400" w:right="3400"/>
      <w:jc w:val="center"/>
    </w:pPr>
    <w:rPr>
      <w:rFonts w:ascii="Times New Roman" w:hAnsi="Times New Roman" w:cs="Times New Roman"/>
      <w:b/>
      <w:kern w:val="0"/>
      <w:sz w:val="24"/>
    </w:rPr>
  </w:style>
  <w:style w:type="character" w:customStyle="1" w:styleId="pjChar">
    <w:name w:val="p.j. Char"/>
    <w:basedOn w:val="DefaultParagraphFont"/>
    <w:link w:val="pj"/>
    <w:locked/>
    <w:rsid w:val="005F11B9"/>
    <w:rPr>
      <w:rFonts w:ascii="Times New Roman" w:eastAsia="Times New Roman" w:hAnsi="Times New Roman" w:cs="Times New Roman"/>
    </w:rPr>
  </w:style>
  <w:style w:type="paragraph" w:customStyle="1" w:styleId="pj">
    <w:name w:val="p.j."/>
    <w:basedOn w:val="Normal"/>
    <w:link w:val="pjChar"/>
    <w:rsid w:val="005F11B9"/>
    <w:pPr>
      <w:spacing w:before="1200" w:after="120" w:line="240" w:lineRule="auto"/>
      <w:ind w:left="1440" w:hanging="1440"/>
    </w:pPr>
    <w:rPr>
      <w:rFonts w:ascii="Times New Roman" w:eastAsia="Times New Roman" w:hAnsi="Times New Roman" w:cs="Times New Roman"/>
    </w:rPr>
  </w:style>
  <w:style w:type="character" w:customStyle="1" w:styleId="nbborderedChar">
    <w:name w:val="nb bordered Char"/>
    <w:basedOn w:val="DefaultParagraphFont"/>
    <w:link w:val="nbbordered"/>
    <w:locked/>
    <w:rsid w:val="005F11B9"/>
    <w:rPr>
      <w:rFonts w:ascii="Times New Roman" w:eastAsia="Times New Roman" w:hAnsi="Times New Roman" w:cs="Times New Roman"/>
      <w:b/>
    </w:rPr>
  </w:style>
  <w:style w:type="paragraph" w:customStyle="1" w:styleId="nbbordered">
    <w:name w:val="nb bordered"/>
    <w:basedOn w:val="Normal"/>
    <w:link w:val="nbborderedChar"/>
    <w:rsid w:val="005F11B9"/>
    <w:pPr>
      <w:pBdr>
        <w:top w:val="single" w:sz="4" w:space="1" w:color="auto"/>
        <w:left w:val="single" w:sz="4" w:space="4" w:color="auto"/>
        <w:bottom w:val="single" w:sz="4" w:space="1" w:color="auto"/>
        <w:right w:val="single" w:sz="4" w:space="4" w:color="auto"/>
      </w:pBdr>
      <w:spacing w:line="240" w:lineRule="auto"/>
      <w:ind w:left="480" w:hanging="480"/>
    </w:pPr>
    <w:rPr>
      <w:rFonts w:ascii="Times New Roman" w:eastAsia="Times New Roman" w:hAnsi="Times New Roman" w:cs="Times New Roman"/>
      <w:b/>
    </w:rPr>
  </w:style>
  <w:style w:type="character" w:customStyle="1" w:styleId="HeaderCouncilChar">
    <w:name w:val="Header Council Char"/>
    <w:basedOn w:val="DefaultParagraphFont"/>
    <w:link w:val="HeaderCouncil"/>
    <w:locked/>
    <w:rsid w:val="005F11B9"/>
    <w:rPr>
      <w:rFonts w:ascii="Times New Roman" w:eastAsia="Times New Roman" w:hAnsi="Times New Roman" w:cs="Times New Roman"/>
      <w:sz w:val="2"/>
    </w:rPr>
  </w:style>
  <w:style w:type="paragraph" w:customStyle="1" w:styleId="HeaderCouncil">
    <w:name w:val="Header Council"/>
    <w:basedOn w:val="Normal"/>
    <w:link w:val="HeaderCouncilChar"/>
    <w:rsid w:val="005F11B9"/>
    <w:pPr>
      <w:spacing w:after="0" w:line="240" w:lineRule="auto"/>
    </w:pPr>
    <w:rPr>
      <w:rFonts w:ascii="Times New Roman" w:eastAsia="Times New Roman" w:hAnsi="Times New Roman" w:cs="Times New Roman"/>
      <w:sz w:val="2"/>
    </w:rPr>
  </w:style>
  <w:style w:type="character" w:customStyle="1" w:styleId="HeaderCouncilLargeChar">
    <w:name w:val="Header Council Large Char"/>
    <w:basedOn w:val="DefaultParagraphFont"/>
    <w:link w:val="HeaderCouncilLarge"/>
    <w:locked/>
    <w:rsid w:val="005F11B9"/>
    <w:rPr>
      <w:rFonts w:ascii="Times New Roman" w:eastAsia="Times New Roman" w:hAnsi="Times New Roman" w:cs="Times New Roman"/>
      <w:sz w:val="2"/>
    </w:rPr>
  </w:style>
  <w:style w:type="paragraph" w:customStyle="1" w:styleId="HeaderCouncilLarge">
    <w:name w:val="Header Council Large"/>
    <w:basedOn w:val="Normal"/>
    <w:link w:val="HeaderCouncilLargeChar"/>
    <w:rsid w:val="005F11B9"/>
    <w:pPr>
      <w:spacing w:after="440" w:line="240" w:lineRule="auto"/>
    </w:pPr>
    <w:rPr>
      <w:rFonts w:ascii="Times New Roman" w:eastAsia="Times New Roman" w:hAnsi="Times New Roman" w:cs="Times New Roman"/>
      <w:sz w:val="2"/>
    </w:rPr>
  </w:style>
  <w:style w:type="character" w:customStyle="1" w:styleId="FooterCouncilChar">
    <w:name w:val="Footer Council Char"/>
    <w:basedOn w:val="DefaultParagraphFont"/>
    <w:link w:val="FooterCouncil"/>
    <w:locked/>
    <w:rsid w:val="005F11B9"/>
    <w:rPr>
      <w:rFonts w:ascii="Times New Roman" w:eastAsia="Times New Roman" w:hAnsi="Times New Roman" w:cs="Times New Roman"/>
      <w:sz w:val="2"/>
    </w:rPr>
  </w:style>
  <w:style w:type="paragraph" w:customStyle="1" w:styleId="FooterCouncil">
    <w:name w:val="Footer Council"/>
    <w:basedOn w:val="Normal"/>
    <w:link w:val="FooterCouncilChar"/>
    <w:rsid w:val="005F11B9"/>
    <w:pPr>
      <w:spacing w:after="0" w:line="240" w:lineRule="auto"/>
    </w:pPr>
    <w:rPr>
      <w:rFonts w:ascii="Times New Roman" w:eastAsia="Times New Roman" w:hAnsi="Times New Roman" w:cs="Times New Roman"/>
      <w:sz w:val="2"/>
    </w:rPr>
  </w:style>
  <w:style w:type="paragraph" w:customStyle="1" w:styleId="FooterText">
    <w:name w:val="Footer Text"/>
    <w:basedOn w:val="Normal"/>
    <w:rsid w:val="005F11B9"/>
    <w:pPr>
      <w:spacing w:after="0" w:line="240" w:lineRule="auto"/>
    </w:pPr>
    <w:rPr>
      <w:rFonts w:ascii="Times New Roman" w:eastAsia="Times New Roman" w:hAnsi="Times New Roman" w:cs="Times New Roman"/>
      <w:kern w:val="0"/>
      <w:sz w:val="24"/>
      <w:szCs w:val="24"/>
    </w:rPr>
  </w:style>
  <w:style w:type="paragraph" w:customStyle="1" w:styleId="pf0">
    <w:name w:val="pf0"/>
    <w:basedOn w:val="Normal"/>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customStyle="1" w:styleId="LegalNumPar">
    <w:name w:val="LegalNumPar"/>
    <w:basedOn w:val="Normal"/>
    <w:rsid w:val="005F11B9"/>
    <w:pPr>
      <w:numPr>
        <w:numId w:val="18"/>
      </w:numPr>
      <w:spacing w:line="256" w:lineRule="auto"/>
    </w:pPr>
    <w:rPr>
      <w:kern w:val="0"/>
    </w:rPr>
  </w:style>
  <w:style w:type="paragraph" w:customStyle="1" w:styleId="LegalNumPar2">
    <w:name w:val="LegalNumPar2"/>
    <w:basedOn w:val="Normal"/>
    <w:rsid w:val="005F11B9"/>
    <w:pPr>
      <w:numPr>
        <w:ilvl w:val="1"/>
        <w:numId w:val="18"/>
      </w:numPr>
      <w:spacing w:line="256" w:lineRule="auto"/>
    </w:pPr>
    <w:rPr>
      <w:kern w:val="0"/>
    </w:rPr>
  </w:style>
  <w:style w:type="paragraph" w:customStyle="1" w:styleId="LegalNumPar3">
    <w:name w:val="LegalNumPar3"/>
    <w:basedOn w:val="Normal"/>
    <w:rsid w:val="005F11B9"/>
    <w:pPr>
      <w:numPr>
        <w:ilvl w:val="2"/>
        <w:numId w:val="18"/>
      </w:numPr>
      <w:spacing w:line="256" w:lineRule="auto"/>
    </w:pPr>
    <w:rPr>
      <w:kern w:val="0"/>
    </w:rPr>
  </w:style>
  <w:style w:type="paragraph" w:customStyle="1" w:styleId="P68B1DB1-Normale1">
    <w:name w:val="P68B1DB1-Normale1"/>
    <w:basedOn w:val="Normal"/>
    <w:rsid w:val="005F11B9"/>
    <w:pPr>
      <w:spacing w:line="256" w:lineRule="auto"/>
    </w:pPr>
    <w:rPr>
      <w:rFonts w:ascii="Calibri" w:eastAsia="Calibri" w:hAnsi="Calibri" w:cs="Calibri"/>
      <w:b/>
      <w:kern w:val="0"/>
      <w:szCs w:val="20"/>
    </w:rPr>
  </w:style>
  <w:style w:type="paragraph" w:customStyle="1" w:styleId="P68B1DB1-Normale6">
    <w:name w:val="P68B1DB1-Normale6"/>
    <w:basedOn w:val="Normal"/>
    <w:rsid w:val="005F11B9"/>
    <w:pPr>
      <w:spacing w:line="256" w:lineRule="auto"/>
    </w:pPr>
    <w:rPr>
      <w:rFonts w:ascii="Times New Roman" w:eastAsia="Calibri" w:hAnsi="Times New Roman" w:cs="Times New Roman"/>
      <w:kern w:val="0"/>
      <w:sz w:val="20"/>
      <w:szCs w:val="20"/>
    </w:rPr>
  </w:style>
  <w:style w:type="paragraph" w:customStyle="1" w:styleId="Default">
    <w:name w:val="Default"/>
    <w:rsid w:val="005F11B9"/>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CommentReference">
    <w:name w:val="annotation reference"/>
    <w:basedOn w:val="DefaultParagraphFont"/>
    <w:uiPriority w:val="99"/>
    <w:unhideWhenUsed/>
    <w:rsid w:val="005F11B9"/>
    <w:rPr>
      <w:sz w:val="16"/>
      <w:szCs w:val="16"/>
    </w:rPr>
  </w:style>
  <w:style w:type="character" w:styleId="PlaceholderText">
    <w:name w:val="Placeholder Text"/>
    <w:basedOn w:val="DefaultParagraphFont"/>
    <w:uiPriority w:val="99"/>
    <w:semiHidden/>
    <w:rsid w:val="005F11B9"/>
    <w:rPr>
      <w:color w:val="808080"/>
    </w:rPr>
  </w:style>
  <w:style w:type="character" w:styleId="SubtleEmphasis">
    <w:name w:val="Subtle Emphasis"/>
    <w:basedOn w:val="DefaultParagraphFont"/>
    <w:uiPriority w:val="19"/>
    <w:qFormat/>
    <w:rsid w:val="005F11B9"/>
    <w:rPr>
      <w:i/>
      <w:iCs/>
      <w:color w:val="404040" w:themeColor="text1" w:themeTint="BF"/>
    </w:rPr>
  </w:style>
  <w:style w:type="character" w:customStyle="1" w:styleId="Marker">
    <w:name w:val="Marker"/>
    <w:basedOn w:val="DefaultParagraphFont"/>
    <w:rsid w:val="005F11B9"/>
    <w:rPr>
      <w:color w:val="0000FF"/>
    </w:rPr>
  </w:style>
  <w:style w:type="character" w:customStyle="1" w:styleId="Marker1">
    <w:name w:val="Marker1"/>
    <w:basedOn w:val="DefaultParagraphFont"/>
    <w:rsid w:val="005F11B9"/>
    <w:rPr>
      <w:color w:val="008000"/>
    </w:rPr>
  </w:style>
  <w:style w:type="character" w:customStyle="1" w:styleId="Marker2">
    <w:name w:val="Marker2"/>
    <w:basedOn w:val="DefaultParagraphFont"/>
    <w:rsid w:val="005F11B9"/>
    <w:rPr>
      <w:color w:val="FF0000"/>
    </w:rPr>
  </w:style>
  <w:style w:type="character" w:customStyle="1" w:styleId="Added">
    <w:name w:val="Added"/>
    <w:basedOn w:val="DefaultParagraphFont"/>
    <w:rsid w:val="005F11B9"/>
    <w:rPr>
      <w:b/>
      <w:bCs w:val="0"/>
      <w:u w:val="single"/>
    </w:rPr>
  </w:style>
  <w:style w:type="character" w:customStyle="1" w:styleId="Deleted">
    <w:name w:val="Deleted"/>
    <w:basedOn w:val="DefaultParagraphFont"/>
    <w:rsid w:val="005F11B9"/>
    <w:rPr>
      <w:strike/>
    </w:rPr>
  </w:style>
  <w:style w:type="character" w:customStyle="1" w:styleId="normaltextrun">
    <w:name w:val="normaltextrun"/>
    <w:basedOn w:val="DefaultParagraphFont"/>
    <w:rsid w:val="005F11B9"/>
  </w:style>
  <w:style w:type="character" w:customStyle="1" w:styleId="eop">
    <w:name w:val="eop"/>
    <w:basedOn w:val="DefaultParagraphFont"/>
    <w:rsid w:val="005F11B9"/>
  </w:style>
  <w:style w:type="character" w:customStyle="1" w:styleId="y2iqfc">
    <w:name w:val="y2iqfc"/>
    <w:basedOn w:val="DefaultParagraphFont"/>
    <w:rsid w:val="005F11B9"/>
  </w:style>
  <w:style w:type="character" w:customStyle="1" w:styleId="FootnoteCharacters">
    <w:name w:val="Footnote Characters"/>
    <w:rsid w:val="005F11B9"/>
    <w:rPr>
      <w:vertAlign w:val="superscript"/>
    </w:rPr>
  </w:style>
  <w:style w:type="character" w:customStyle="1" w:styleId="normaltextrun1">
    <w:name w:val="normaltextrun1"/>
    <w:basedOn w:val="DefaultParagraphFont"/>
    <w:rsid w:val="005F11B9"/>
  </w:style>
  <w:style w:type="character" w:customStyle="1" w:styleId="Hyperlink0">
    <w:name w:val="Hyperlink.0"/>
    <w:rsid w:val="005F11B9"/>
  </w:style>
  <w:style w:type="character" w:customStyle="1" w:styleId="Mention1">
    <w:name w:val="Mention1"/>
    <w:basedOn w:val="DefaultParagraphFont"/>
    <w:uiPriority w:val="99"/>
    <w:rsid w:val="005F11B9"/>
    <w:rPr>
      <w:color w:val="2B579A"/>
      <w:shd w:val="clear" w:color="auto" w:fill="E6E6E6"/>
    </w:rPr>
  </w:style>
  <w:style w:type="character" w:customStyle="1" w:styleId="superscript">
    <w:name w:val="superscript"/>
    <w:basedOn w:val="DefaultParagraphFont"/>
    <w:rsid w:val="005F11B9"/>
  </w:style>
  <w:style w:type="character" w:customStyle="1" w:styleId="Mention2">
    <w:name w:val="Mention2"/>
    <w:basedOn w:val="DefaultParagraphFont"/>
    <w:uiPriority w:val="99"/>
    <w:rsid w:val="005F11B9"/>
    <w:rPr>
      <w:color w:val="2B579A"/>
      <w:shd w:val="clear" w:color="auto" w:fill="E6E6E6"/>
    </w:rPr>
  </w:style>
  <w:style w:type="character" w:customStyle="1" w:styleId="findhit">
    <w:name w:val="findhit"/>
    <w:basedOn w:val="DefaultParagraphFont"/>
    <w:rsid w:val="005F11B9"/>
  </w:style>
  <w:style w:type="character" w:customStyle="1" w:styleId="tabchar">
    <w:name w:val="tabchar"/>
    <w:basedOn w:val="DefaultParagraphFont"/>
    <w:rsid w:val="005F11B9"/>
  </w:style>
  <w:style w:type="character" w:customStyle="1" w:styleId="cf01">
    <w:name w:val="cf01"/>
    <w:basedOn w:val="DefaultParagraphFont"/>
    <w:rsid w:val="005F11B9"/>
    <w:rPr>
      <w:rFonts w:ascii="Segoe UI" w:hAnsi="Segoe UI" w:cs="Segoe UI" w:hint="default"/>
      <w:b/>
      <w:bCs/>
      <w:sz w:val="18"/>
      <w:szCs w:val="18"/>
    </w:rPr>
  </w:style>
  <w:style w:type="character" w:customStyle="1" w:styleId="cf11">
    <w:name w:val="cf11"/>
    <w:basedOn w:val="DefaultParagraphFont"/>
    <w:rsid w:val="005F11B9"/>
    <w:rPr>
      <w:rFonts w:ascii="Segoe UI" w:hAnsi="Segoe UI" w:cs="Segoe UI" w:hint="default"/>
      <w:sz w:val="18"/>
      <w:szCs w:val="18"/>
    </w:rPr>
  </w:style>
  <w:style w:type="character" w:customStyle="1" w:styleId="Mention3">
    <w:name w:val="Mention3"/>
    <w:basedOn w:val="DefaultParagraphFont"/>
    <w:uiPriority w:val="99"/>
    <w:rsid w:val="005F11B9"/>
    <w:rPr>
      <w:color w:val="2B579A"/>
      <w:shd w:val="clear" w:color="auto" w:fill="E6E6E6"/>
    </w:rPr>
  </w:style>
  <w:style w:type="character" w:customStyle="1" w:styleId="Mention4">
    <w:name w:val="Mention4"/>
    <w:basedOn w:val="DefaultParagraphFont"/>
    <w:uiPriority w:val="99"/>
    <w:rsid w:val="005F11B9"/>
    <w:rPr>
      <w:color w:val="2B579A"/>
      <w:shd w:val="clear" w:color="auto" w:fill="E6E6E6"/>
    </w:rPr>
  </w:style>
  <w:style w:type="character" w:customStyle="1" w:styleId="ui-provider">
    <w:name w:val="ui-provider"/>
    <w:basedOn w:val="DefaultParagraphFont"/>
    <w:uiPriority w:val="1"/>
    <w:rsid w:val="005F11B9"/>
  </w:style>
  <w:style w:type="character" w:customStyle="1" w:styleId="UnresolvedMention1">
    <w:name w:val="Unresolved Mention1"/>
    <w:basedOn w:val="DefaultParagraphFont"/>
    <w:uiPriority w:val="99"/>
    <w:semiHidden/>
    <w:rsid w:val="005F11B9"/>
    <w:rPr>
      <w:color w:val="605E5C"/>
      <w:shd w:val="clear" w:color="auto" w:fill="E1DFDD"/>
    </w:rPr>
  </w:style>
  <w:style w:type="character" w:customStyle="1" w:styleId="s10">
    <w:name w:val="s10"/>
    <w:basedOn w:val="DefaultParagraphFont"/>
    <w:rsid w:val="005F11B9"/>
  </w:style>
  <w:style w:type="character" w:customStyle="1" w:styleId="Mention5">
    <w:name w:val="Mention5"/>
    <w:basedOn w:val="DefaultParagraphFont"/>
    <w:uiPriority w:val="99"/>
    <w:rsid w:val="005F11B9"/>
    <w:rPr>
      <w:color w:val="2B579A"/>
      <w:shd w:val="clear" w:color="auto" w:fill="E1DFDD"/>
    </w:rPr>
  </w:style>
  <w:style w:type="character" w:customStyle="1" w:styleId="UnresolvedMention2">
    <w:name w:val="Unresolved Mention2"/>
    <w:basedOn w:val="DefaultParagraphFont"/>
    <w:uiPriority w:val="99"/>
    <w:semiHidden/>
    <w:rsid w:val="005F11B9"/>
    <w:rPr>
      <w:color w:val="605E5C"/>
      <w:shd w:val="clear" w:color="auto" w:fill="E1DFDD"/>
    </w:rPr>
  </w:style>
  <w:style w:type="character" w:customStyle="1" w:styleId="font71">
    <w:name w:val="font71"/>
    <w:basedOn w:val="DefaultParagraphFont"/>
    <w:rsid w:val="005F11B9"/>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font81">
    <w:name w:val="font81"/>
    <w:basedOn w:val="DefaultParagraphFont"/>
    <w:rsid w:val="005F11B9"/>
    <w:rPr>
      <w:rFonts w:ascii="Times New Roman" w:hAnsi="Times New Roman" w:cs="Times New Roman" w:hint="default"/>
      <w:b w:val="0"/>
      <w:bCs w:val="0"/>
      <w:i w:val="0"/>
      <w:iCs w:val="0"/>
      <w:strike w:val="0"/>
      <w:dstrike w:val="0"/>
      <w:color w:val="006100"/>
      <w:sz w:val="20"/>
      <w:szCs w:val="20"/>
      <w:u w:val="none"/>
      <w:effect w:val="none"/>
    </w:rPr>
  </w:style>
  <w:style w:type="character" w:customStyle="1" w:styleId="font111">
    <w:name w:val="font111"/>
    <w:basedOn w:val="DefaultParagraphFont"/>
    <w:rsid w:val="005F11B9"/>
    <w:rPr>
      <w:rFonts w:ascii="Times New Roman" w:hAnsi="Times New Roman" w:cs="Times New Roman" w:hint="default"/>
      <w:b w:val="0"/>
      <w:bCs w:val="0"/>
      <w:i w:val="0"/>
      <w:iCs w:val="0"/>
      <w:strike w:val="0"/>
      <w:dstrike w:val="0"/>
      <w:color w:val="006100"/>
      <w:sz w:val="20"/>
      <w:szCs w:val="20"/>
      <w:u w:val="none"/>
      <w:effect w:val="none"/>
    </w:rPr>
  </w:style>
  <w:style w:type="character" w:customStyle="1" w:styleId="Mention6">
    <w:name w:val="Mention6"/>
    <w:basedOn w:val="DefaultParagraphFont"/>
    <w:uiPriority w:val="99"/>
    <w:rsid w:val="005F11B9"/>
    <w:rPr>
      <w:color w:val="2B579A"/>
      <w:shd w:val="clear" w:color="auto" w:fill="E6E6E6"/>
    </w:rPr>
  </w:style>
  <w:style w:type="character" w:customStyle="1" w:styleId="Mention7">
    <w:name w:val="Mention7"/>
    <w:basedOn w:val="DefaultParagraphFont"/>
    <w:uiPriority w:val="99"/>
    <w:rsid w:val="005F11B9"/>
    <w:rPr>
      <w:color w:val="2B579A"/>
      <w:shd w:val="clear" w:color="auto" w:fill="E6E6E6"/>
    </w:rPr>
  </w:style>
  <w:style w:type="character" w:customStyle="1" w:styleId="Mention8">
    <w:name w:val="Mention8"/>
    <w:basedOn w:val="DefaultParagraphFont"/>
    <w:uiPriority w:val="99"/>
    <w:rsid w:val="005F11B9"/>
    <w:rPr>
      <w:color w:val="2B579A"/>
      <w:shd w:val="clear" w:color="auto" w:fill="E1DFDD"/>
    </w:rPr>
  </w:style>
  <w:style w:type="character" w:customStyle="1" w:styleId="Mention9">
    <w:name w:val="Mention9"/>
    <w:basedOn w:val="DefaultParagraphFont"/>
    <w:uiPriority w:val="99"/>
    <w:rsid w:val="005F11B9"/>
    <w:rPr>
      <w:color w:val="2B579A"/>
      <w:shd w:val="clear" w:color="auto" w:fill="E1DFDD"/>
    </w:rPr>
  </w:style>
  <w:style w:type="character" w:customStyle="1" w:styleId="UnresolvedMention3">
    <w:name w:val="Unresolved Mention3"/>
    <w:basedOn w:val="DefaultParagraphFont"/>
    <w:uiPriority w:val="99"/>
    <w:semiHidden/>
    <w:rsid w:val="005F11B9"/>
    <w:rPr>
      <w:color w:val="605E5C"/>
      <w:shd w:val="clear" w:color="auto" w:fill="E1DFDD"/>
    </w:rPr>
  </w:style>
  <w:style w:type="character" w:customStyle="1" w:styleId="TitleChar1">
    <w:name w:val="Title Char1"/>
    <w:basedOn w:val="DefaultParagraphFont"/>
    <w:uiPriority w:val="10"/>
    <w:rsid w:val="005F11B9"/>
    <w:rPr>
      <w:rFonts w:asciiTheme="majorHAnsi" w:eastAsiaTheme="majorEastAsia" w:hAnsiTheme="majorHAnsi" w:cstheme="majorBidi" w:hint="default"/>
      <w:kern w:val="28"/>
      <w:sz w:val="56"/>
      <w:szCs w:val="56"/>
    </w:rPr>
  </w:style>
  <w:style w:type="character" w:customStyle="1" w:styleId="SubtitleChar1">
    <w:name w:val="Subtitle Char1"/>
    <w:basedOn w:val="DefaultParagraphFont"/>
    <w:uiPriority w:val="11"/>
    <w:rsid w:val="005F11B9"/>
    <w:rPr>
      <w:rFonts w:ascii="Yu Gothic Light" w:eastAsiaTheme="majorEastAsia" w:hAnsi="Yu Gothic Light" w:cstheme="majorBidi" w:hint="eastAsia"/>
      <w:color w:val="595959" w:themeColor="text1" w:themeTint="A6"/>
      <w:kern w:val="0"/>
      <w:sz w:val="28"/>
      <w:szCs w:val="28"/>
    </w:rPr>
  </w:style>
  <w:style w:type="character" w:customStyle="1" w:styleId="QuoteChar1">
    <w:name w:val="Quote Char1"/>
    <w:basedOn w:val="DefaultParagraphFont"/>
    <w:uiPriority w:val="29"/>
    <w:rsid w:val="005F11B9"/>
    <w:rPr>
      <w:rFonts w:ascii="Times New Roman" w:eastAsia="Times New Roman" w:hAnsi="Times New Roman" w:cs="Times New Roman" w:hint="default"/>
      <w:i/>
      <w:iCs/>
      <w:color w:val="404040" w:themeColor="text1" w:themeTint="BF"/>
      <w:kern w:val="0"/>
      <w:sz w:val="24"/>
      <w:szCs w:val="24"/>
    </w:rPr>
  </w:style>
  <w:style w:type="character" w:customStyle="1" w:styleId="Mention10">
    <w:name w:val="Mention10"/>
    <w:basedOn w:val="DefaultParagraphFont"/>
    <w:uiPriority w:val="99"/>
    <w:rsid w:val="005F11B9"/>
    <w:rPr>
      <w:color w:val="2B579A"/>
      <w:shd w:val="clear" w:color="auto" w:fill="E1DFDD"/>
    </w:rPr>
  </w:style>
  <w:style w:type="character" w:customStyle="1" w:styleId="Mention11">
    <w:name w:val="Mention11"/>
    <w:basedOn w:val="DefaultParagraphFont"/>
    <w:uiPriority w:val="99"/>
    <w:rsid w:val="005F11B9"/>
    <w:rPr>
      <w:color w:val="2B579A"/>
      <w:shd w:val="clear" w:color="auto" w:fill="E1DFDD"/>
    </w:rPr>
  </w:style>
  <w:style w:type="table" w:styleId="TableGrid">
    <w:name w:val="Table Grid"/>
    <w:basedOn w:val="TableNormal"/>
    <w:uiPriority w:val="39"/>
    <w:rsid w:val="005F11B9"/>
    <w:pPr>
      <w:spacing w:after="0" w:line="240" w:lineRule="auto"/>
    </w:pPr>
    <w:rPr>
      <w:kern w:val="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Puntielenco0">
    <w:name w:val="Punti elenco.0"/>
    <w:rsid w:val="005F11B9"/>
    <w:pPr>
      <w:numPr>
        <w:numId w:val="40"/>
      </w:numPr>
    </w:pPr>
  </w:style>
  <w:style w:type="numbering" w:customStyle="1" w:styleId="Stileimportato9">
    <w:name w:val="Stile importato 9"/>
    <w:rsid w:val="005F11B9"/>
    <w:pPr>
      <w:numPr>
        <w:numId w:val="41"/>
      </w:numPr>
    </w:pPr>
  </w:style>
  <w:style w:type="character" w:customStyle="1" w:styleId="Mention12">
    <w:name w:val="Mention12"/>
    <w:basedOn w:val="DefaultParagraphFont"/>
    <w:uiPriority w:val="99"/>
    <w:unhideWhenUsed/>
    <w:rsid w:val="005F11B9"/>
    <w:rPr>
      <w:color w:val="2B579A"/>
      <w:shd w:val="clear" w:color="auto" w:fill="E1DFDD"/>
    </w:rPr>
  </w:style>
  <w:style w:type="numbering" w:customStyle="1" w:styleId="NoList1">
    <w:name w:val="No List1"/>
    <w:next w:val="NoList"/>
    <w:uiPriority w:val="99"/>
    <w:semiHidden/>
    <w:unhideWhenUsed/>
    <w:rsid w:val="005F11B9"/>
  </w:style>
  <w:style w:type="table" w:customStyle="1" w:styleId="TableGrid1">
    <w:name w:val="Table Grid1"/>
    <w:basedOn w:val="TableNormal"/>
    <w:next w:val="TableGrid"/>
    <w:uiPriority w:val="59"/>
    <w:rsid w:val="005F11B9"/>
    <w:pPr>
      <w:spacing w:after="0" w:line="240" w:lineRule="auto"/>
    </w:pPr>
    <w:rPr>
      <w:rFonts w:ascii="Calibri" w:eastAsia="Calibri" w:hAnsi="Calibri" w:cs="Arial"/>
      <w:kern w:val="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Puntielenco01">
    <w:name w:val="Punti elenco.01"/>
    <w:rsid w:val="005F11B9"/>
  </w:style>
  <w:style w:type="numbering" w:customStyle="1" w:styleId="Stileimportato91">
    <w:name w:val="Stile importato 91"/>
    <w:rsid w:val="005F11B9"/>
  </w:style>
  <w:style w:type="numbering" w:customStyle="1" w:styleId="NoList2">
    <w:name w:val="No List2"/>
    <w:next w:val="NoList"/>
    <w:uiPriority w:val="99"/>
    <w:semiHidden/>
    <w:unhideWhenUsed/>
    <w:rsid w:val="005F11B9"/>
  </w:style>
  <w:style w:type="character" w:customStyle="1" w:styleId="UnresolvedMention4">
    <w:name w:val="Unresolved Mention4"/>
    <w:basedOn w:val="DefaultParagraphFont"/>
    <w:uiPriority w:val="99"/>
    <w:semiHidden/>
    <w:unhideWhenUsed/>
    <w:rsid w:val="005F11B9"/>
    <w:rPr>
      <w:color w:val="605E5C"/>
      <w:shd w:val="clear" w:color="auto" w:fill="E1DFDD"/>
    </w:rPr>
  </w:style>
  <w:style w:type="character" w:customStyle="1" w:styleId="UnresolvedMention5">
    <w:name w:val="Unresolved Mention5"/>
    <w:basedOn w:val="DefaultParagraphFont"/>
    <w:uiPriority w:val="99"/>
    <w:semiHidden/>
    <w:unhideWhenUsed/>
    <w:rsid w:val="005F11B9"/>
    <w:rPr>
      <w:color w:val="605E5C"/>
      <w:shd w:val="clear" w:color="auto" w:fill="E1DFDD"/>
    </w:rPr>
  </w:style>
  <w:style w:type="paragraph" w:customStyle="1" w:styleId="TableParagraph">
    <w:name w:val="Table Paragraph"/>
    <w:basedOn w:val="Normal"/>
    <w:uiPriority w:val="1"/>
    <w:qFormat/>
    <w:rsid w:val="005F11B9"/>
    <w:pPr>
      <w:widowControl w:val="0"/>
      <w:autoSpaceDE w:val="0"/>
      <w:autoSpaceDN w:val="0"/>
      <w:spacing w:after="0" w:line="240" w:lineRule="auto"/>
    </w:pPr>
    <w:rPr>
      <w:rFonts w:ascii="Calibri" w:eastAsia="Calibri" w:hAnsi="Calibri" w:cs="Calibri"/>
      <w:kern w:val="0"/>
    </w:rPr>
  </w:style>
  <w:style w:type="paragraph" w:styleId="EndnoteText">
    <w:name w:val="endnote text"/>
    <w:basedOn w:val="Normal"/>
    <w:link w:val="EndnoteTextChar"/>
    <w:uiPriority w:val="99"/>
    <w:semiHidden/>
    <w:unhideWhenUsed/>
    <w:rsid w:val="005F11B9"/>
    <w:pPr>
      <w:spacing w:after="0" w:line="240" w:lineRule="auto"/>
    </w:pPr>
    <w:rPr>
      <w:rFonts w:eastAsiaTheme="minorEastAsia"/>
      <w:kern w:val="0"/>
      <w:sz w:val="20"/>
      <w:szCs w:val="20"/>
    </w:rPr>
  </w:style>
  <w:style w:type="character" w:customStyle="1" w:styleId="EndnoteTextChar">
    <w:name w:val="Endnote Text Char"/>
    <w:basedOn w:val="DefaultParagraphFont"/>
    <w:link w:val="EndnoteText"/>
    <w:uiPriority w:val="99"/>
    <w:semiHidden/>
    <w:rsid w:val="005F11B9"/>
    <w:rPr>
      <w:rFonts w:eastAsiaTheme="minorEastAsia"/>
      <w:kern w:val="0"/>
      <w:sz w:val="20"/>
      <w:szCs w:val="20"/>
    </w:rPr>
  </w:style>
  <w:style w:type="character" w:styleId="EndnoteReference">
    <w:name w:val="endnote reference"/>
    <w:basedOn w:val="DefaultParagraphFont"/>
    <w:uiPriority w:val="99"/>
    <w:semiHidden/>
    <w:unhideWhenUsed/>
    <w:rsid w:val="005F11B9"/>
    <w:rPr>
      <w:vertAlign w:val="superscript"/>
    </w:rPr>
  </w:style>
  <w:style w:type="numbering" w:customStyle="1" w:styleId="NoList11">
    <w:name w:val="No List11"/>
    <w:next w:val="NoList"/>
    <w:uiPriority w:val="99"/>
    <w:semiHidden/>
    <w:unhideWhenUsed/>
    <w:rsid w:val="005F11B9"/>
  </w:style>
  <w:style w:type="character" w:customStyle="1" w:styleId="Hyperlink1">
    <w:name w:val="Hyperlink1"/>
    <w:basedOn w:val="DefaultParagraphFont"/>
    <w:uiPriority w:val="99"/>
    <w:unhideWhenUsed/>
    <w:rsid w:val="005F11B9"/>
    <w:rPr>
      <w:color w:val="0563C1"/>
      <w:u w:val="single"/>
    </w:rPr>
  </w:style>
  <w:style w:type="paragraph" w:customStyle="1" w:styleId="ListNumber41">
    <w:name w:val="List Number 41"/>
    <w:basedOn w:val="Normal"/>
    <w:next w:val="ListNumber4"/>
    <w:uiPriority w:val="99"/>
    <w:semiHidden/>
    <w:unhideWhenUsed/>
    <w:rsid w:val="005F11B9"/>
    <w:pPr>
      <w:tabs>
        <w:tab w:val="num" w:pos="360"/>
      </w:tabs>
      <w:spacing w:before="120" w:after="120" w:line="240" w:lineRule="auto"/>
      <w:ind w:left="720"/>
      <w:contextualSpacing/>
      <w:jc w:val="both"/>
    </w:pPr>
    <w:rPr>
      <w:rFonts w:ascii="Times New Roman" w:eastAsia="Calibri" w:hAnsi="Times New Roman" w:cs="Times New Roman"/>
      <w:kern w:val="0"/>
      <w:sz w:val="24"/>
    </w:rPr>
  </w:style>
  <w:style w:type="paragraph" w:customStyle="1" w:styleId="Caption1">
    <w:name w:val="Caption1"/>
    <w:basedOn w:val="Normal"/>
    <w:next w:val="Normal"/>
    <w:uiPriority w:val="35"/>
    <w:semiHidden/>
    <w:unhideWhenUsed/>
    <w:qFormat/>
    <w:rsid w:val="005F11B9"/>
    <w:pPr>
      <w:spacing w:after="200" w:line="240" w:lineRule="auto"/>
      <w:jc w:val="both"/>
    </w:pPr>
    <w:rPr>
      <w:rFonts w:ascii="Times New Roman" w:eastAsia="Calibri" w:hAnsi="Times New Roman" w:cs="Times New Roman"/>
      <w:i/>
      <w:iCs/>
      <w:color w:val="44546A"/>
      <w:kern w:val="0"/>
      <w:sz w:val="18"/>
      <w:szCs w:val="18"/>
    </w:rPr>
  </w:style>
  <w:style w:type="paragraph" w:customStyle="1" w:styleId="TableofFigures1">
    <w:name w:val="Table of Figures1"/>
    <w:basedOn w:val="Normal"/>
    <w:next w:val="Normal"/>
    <w:uiPriority w:val="99"/>
    <w:semiHidden/>
    <w:unhideWhenUsed/>
    <w:rsid w:val="005F11B9"/>
    <w:pPr>
      <w:spacing w:before="120" w:after="0" w:line="240" w:lineRule="auto"/>
      <w:jc w:val="both"/>
    </w:pPr>
    <w:rPr>
      <w:rFonts w:ascii="Times New Roman" w:eastAsia="Calibri" w:hAnsi="Times New Roman" w:cs="Times New Roman"/>
      <w:kern w:val="0"/>
      <w:sz w:val="24"/>
    </w:rPr>
  </w:style>
  <w:style w:type="paragraph" w:customStyle="1" w:styleId="ListNumber1">
    <w:name w:val="List Number1"/>
    <w:basedOn w:val="Normal"/>
    <w:next w:val="ListNumber"/>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paragraph" w:customStyle="1" w:styleId="ListNumber21">
    <w:name w:val="List Number 21"/>
    <w:basedOn w:val="Normal"/>
    <w:next w:val="ListNumber2"/>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paragraph" w:customStyle="1" w:styleId="ListNumber31">
    <w:name w:val="List Number 31"/>
    <w:basedOn w:val="Normal"/>
    <w:next w:val="ListNumber3"/>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character" w:customStyle="1" w:styleId="SubtleEmphasis1">
    <w:name w:val="Subtle Emphasis1"/>
    <w:basedOn w:val="DefaultParagraphFont"/>
    <w:uiPriority w:val="19"/>
    <w:qFormat/>
    <w:rsid w:val="005F11B9"/>
    <w:rPr>
      <w:i/>
      <w:iCs/>
      <w:color w:val="404040"/>
    </w:rPr>
  </w:style>
  <w:style w:type="character" w:customStyle="1" w:styleId="FollowedHyperlink1">
    <w:name w:val="FollowedHyperlink1"/>
    <w:basedOn w:val="DefaultParagraphFont"/>
    <w:uiPriority w:val="99"/>
    <w:semiHidden/>
    <w:unhideWhenUsed/>
    <w:rsid w:val="005F11B9"/>
    <w:rPr>
      <w:color w:val="954F72"/>
      <w:u w:val="single"/>
    </w:rPr>
  </w:style>
  <w:style w:type="character" w:customStyle="1" w:styleId="Mention120">
    <w:name w:val="Mention120"/>
    <w:basedOn w:val="DefaultParagraphFont"/>
    <w:uiPriority w:val="99"/>
    <w:unhideWhenUsed/>
    <w:rsid w:val="005F11B9"/>
    <w:rPr>
      <w:color w:val="2B579A"/>
      <w:shd w:val="clear" w:color="auto" w:fill="E1DFDD"/>
    </w:rPr>
  </w:style>
  <w:style w:type="character" w:customStyle="1" w:styleId="Mention">
    <w:name w:val="Mention"/>
    <w:basedOn w:val="DefaultParagraphFont"/>
    <w:uiPriority w:val="99"/>
    <w:unhideWhenUsed/>
    <w:rsid w:val="005F11B9"/>
    <w:rPr>
      <w:color w:val="2B579A"/>
      <w:shd w:val="clear" w:color="auto" w:fill="E1DFDD"/>
    </w:rPr>
  </w:style>
  <w:style w:type="character" w:customStyle="1" w:styleId="UnresolvedMention">
    <w:name w:val="Unresolved Mention"/>
    <w:basedOn w:val="DefaultParagraphFont"/>
    <w:uiPriority w:val="99"/>
    <w:semiHidden/>
    <w:unhideWhenUsed/>
    <w:rsid w:val="005F11B9"/>
    <w:rPr>
      <w:color w:val="605E5C"/>
      <w:shd w:val="clear" w:color="auto" w:fill="E1DFDD"/>
    </w:rPr>
  </w:style>
  <w:style w:type="character" w:customStyle="1" w:styleId="Other1">
    <w:name w:val="Other|1_"/>
    <w:basedOn w:val="DefaultParagraphFont"/>
    <w:link w:val="Other10"/>
    <w:rsid w:val="001814F5"/>
    <w:rPr>
      <w:color w:val="006100"/>
    </w:rPr>
  </w:style>
  <w:style w:type="paragraph" w:customStyle="1" w:styleId="Other10">
    <w:name w:val="Other|1"/>
    <w:basedOn w:val="Normal"/>
    <w:link w:val="Other1"/>
    <w:rsid w:val="001814F5"/>
    <w:pPr>
      <w:widowControl w:val="0"/>
      <w:spacing w:after="0" w:line="240" w:lineRule="auto"/>
    </w:pPr>
    <w:rPr>
      <w:color w:val="006100"/>
    </w:rPr>
  </w:style>
  <w:style w:type="paragraph" w:customStyle="1" w:styleId="P68B1DB1-Heading11">
    <w:name w:val="P68B1DB1-Heading11"/>
    <w:basedOn w:val="Heading1"/>
    <w:rPr>
      <w:rFonts w:ascii="Times New Roman" w:eastAsia="Times New Roman" w:hAnsi="Times New Roman" w:cs="Times New Roman"/>
      <w:b/>
      <w:color w:val="auto"/>
      <w:sz w:val="24"/>
      <w:szCs w:val="24"/>
      <w:u w:val="single"/>
    </w:rPr>
  </w:style>
  <w:style w:type="paragraph" w:customStyle="1" w:styleId="P68B1DB1-Heading12">
    <w:name w:val="P68B1DB1-Heading12"/>
    <w:basedOn w:val="Heading1"/>
    <w:rPr>
      <w:rFonts w:ascii="Times New Roman" w:eastAsia="Times New Roman" w:hAnsi="Times New Roman" w:cs="Times New Roman"/>
      <w:b/>
      <w:color w:val="auto"/>
      <w:sz w:val="24"/>
      <w:szCs w:val="24"/>
    </w:rPr>
  </w:style>
  <w:style w:type="paragraph" w:customStyle="1" w:styleId="P68B1DB1-Heading23">
    <w:name w:val="P68B1DB1-Heading23"/>
    <w:basedOn w:val="Heading2"/>
    <w:rPr>
      <w:rFonts w:ascii="Times New Roman" w:eastAsia="Times New Roman" w:hAnsi="Times New Roman" w:cs="Times New Roman"/>
      <w:b/>
      <w:color w:val="auto"/>
      <w:sz w:val="24"/>
      <w:szCs w:val="24"/>
    </w:rPr>
  </w:style>
  <w:style w:type="paragraph" w:customStyle="1" w:styleId="P68B1DB1-Heading34">
    <w:name w:val="P68B1DB1-Heading34"/>
    <w:basedOn w:val="Heading3"/>
    <w:rPr>
      <w:rFonts w:ascii="Times New Roman" w:hAnsi="Times New Roman" w:cs="Times New Roman"/>
      <w:color w:val="auto"/>
      <w:sz w:val="24"/>
      <w:szCs w:val="24"/>
    </w:rPr>
  </w:style>
  <w:style w:type="paragraph" w:customStyle="1" w:styleId="P68B1DB1-Normal5">
    <w:name w:val="P68B1DB1-Normal5"/>
    <w:basedOn w:val="Normal"/>
    <w:rPr>
      <w:rFonts w:ascii="Times New Roman" w:hAnsi="Times New Roman" w:cs="Times New Roman"/>
      <w:b/>
    </w:rPr>
  </w:style>
  <w:style w:type="paragraph" w:customStyle="1" w:styleId="P68B1DB1-Descriptiontitle6">
    <w:name w:val="P68B1DB1-Descriptiontitle6"/>
    <w:basedOn w:val="Descriptiontitle"/>
    <w:rPr>
      <w:b/>
    </w:rPr>
  </w:style>
  <w:style w:type="paragraph" w:customStyle="1" w:styleId="P68B1DB1-Normal7">
    <w:name w:val="P68B1DB1-Normal7"/>
    <w:basedOn w:val="Normal"/>
    <w:rPr>
      <w:rFonts w:ascii="Times New Roman" w:hAnsi="Times New Roman" w:cs="Times New Roman"/>
    </w:rPr>
  </w:style>
  <w:style w:type="paragraph" w:customStyle="1" w:styleId="P68B1DB1-Normal8">
    <w:name w:val="P68B1DB1-Normal8"/>
    <w:basedOn w:val="Normal"/>
    <w:rPr>
      <w:rFonts w:ascii="Times New Roman" w:eastAsia="Times New Roman" w:hAnsi="Times New Roman" w:cs="Times New Roman"/>
    </w:rPr>
  </w:style>
  <w:style w:type="paragraph" w:customStyle="1" w:styleId="P68B1DB1-Heading39">
    <w:name w:val="P68B1DB1-Heading39"/>
    <w:basedOn w:val="Heading3"/>
    <w:rPr>
      <w:rFonts w:ascii="Times New Roman" w:hAnsi="Times New Roman" w:cs="Times New Roman"/>
      <w:sz w:val="24"/>
      <w:szCs w:val="24"/>
    </w:rPr>
  </w:style>
  <w:style w:type="paragraph" w:customStyle="1" w:styleId="P68B1DB1-Normal10">
    <w:name w:val="P68B1DB1-Normal10"/>
    <w:basedOn w:val="Normal"/>
    <w:rPr>
      <w:rFonts w:ascii="Arial Narrow" w:hAnsi="Arial Narrow"/>
      <w:b/>
      <w:sz w:val="20"/>
    </w:rPr>
  </w:style>
  <w:style w:type="paragraph" w:customStyle="1" w:styleId="P68B1DB1-Normal11">
    <w:name w:val="P68B1DB1-Normal11"/>
    <w:basedOn w:val="Normal"/>
    <w:rPr>
      <w:rFonts w:ascii="Arial Narrow" w:hAnsi="Arial Narrow"/>
      <w:color w:val="006100"/>
      <w:sz w:val="20"/>
    </w:rPr>
  </w:style>
  <w:style w:type="paragraph" w:customStyle="1" w:styleId="P68B1DB1-Normal12">
    <w:name w:val="P68B1DB1-Normal12"/>
    <w:basedOn w:val="Normal"/>
    <w:rPr>
      <w:rFonts w:ascii="Arial Narrow" w:hAnsi="Arial Narrow"/>
      <w:color w:val="006100"/>
      <w:sz w:val="20"/>
      <w:szCs w:val="20"/>
    </w:rPr>
  </w:style>
  <w:style w:type="paragraph" w:customStyle="1" w:styleId="P68B1DB1-ListParagraph13">
    <w:name w:val="P68B1DB1-ListParagraph13"/>
    <w:basedOn w:val="ListParagraph"/>
    <w:rPr>
      <w:rFonts w:ascii="Arial Narrow" w:hAnsi="Arial Narrow"/>
      <w:color w:val="006100"/>
      <w:sz w:val="20"/>
      <w:szCs w:val="20"/>
    </w:rPr>
  </w:style>
  <w:style w:type="paragraph" w:customStyle="1" w:styleId="P68B1DB1-Normal14">
    <w:name w:val="P68B1DB1-Normal14"/>
    <w:basedOn w:val="Normal"/>
    <w:rPr>
      <w:rFonts w:ascii="Arial Narrow" w:hAnsi="Arial Narrow"/>
      <w:sz w:val="20"/>
    </w:rPr>
  </w:style>
  <w:style w:type="paragraph" w:customStyle="1" w:styleId="P68B1DB1-ListParagraph15">
    <w:name w:val="P68B1DB1-ListParagraph15"/>
    <w:basedOn w:val="ListParagraph"/>
    <w:rPr>
      <w:rFonts w:ascii="Arial Narrow" w:hAnsi="Arial Narrow"/>
      <w:color w:val="006100"/>
      <w:sz w:val="20"/>
    </w:rPr>
  </w:style>
  <w:style w:type="paragraph" w:customStyle="1" w:styleId="P68B1DB1-Normal16">
    <w:name w:val="P68B1DB1-Normal16"/>
    <w:basedOn w:val="Normal"/>
    <w:rPr>
      <w:rFonts w:ascii="Arial Narrow" w:hAnsi="Arial Narrow"/>
      <w:sz w:val="20"/>
      <w:szCs w:val="20"/>
    </w:rPr>
  </w:style>
  <w:style w:type="paragraph" w:customStyle="1" w:styleId="P68B1DB1-Normal17">
    <w:name w:val="P68B1DB1-Normal17"/>
    <w:basedOn w:val="Normal"/>
    <w:rPr>
      <w:rFonts w:ascii="Arial Narrow" w:hAnsi="Arial Narrow" w:cs="Arial"/>
      <w:color w:val="006100"/>
      <w:sz w:val="20"/>
      <w:szCs w:val="20"/>
    </w:rPr>
  </w:style>
  <w:style w:type="paragraph" w:customStyle="1" w:styleId="P68B1DB1-ListParagraph18">
    <w:name w:val="P68B1DB1-ListParagraph18"/>
    <w:basedOn w:val="ListParagraph"/>
    <w:rPr>
      <w:color w:val="006100"/>
      <w:sz w:val="20"/>
    </w:rPr>
  </w:style>
  <w:style w:type="paragraph" w:customStyle="1" w:styleId="P68B1DB1-Normal19">
    <w:name w:val="P68B1DB1-Normal19"/>
    <w:basedOn w:val="Normal"/>
    <w:rPr>
      <w:color w:val="006100"/>
      <w:sz w:val="20"/>
      <w:szCs w:val="20"/>
    </w:rPr>
  </w:style>
  <w:style w:type="paragraph" w:customStyle="1" w:styleId="P68B1DB1-Normal20">
    <w:name w:val="P68B1DB1-Normal20"/>
    <w:basedOn w:val="Normal"/>
    <w:rPr>
      <w:rFonts w:ascii="Arial Narrow" w:hAnsi="Arial Narrow" w:hint="eastAsia"/>
      <w:color w:val="006100"/>
      <w:sz w:val="20"/>
    </w:rPr>
  </w:style>
  <w:style w:type="paragraph" w:customStyle="1" w:styleId="P68B1DB1-Normal21">
    <w:name w:val="P68B1DB1-Normal21"/>
    <w:basedOn w:val="Normal"/>
    <w:rPr>
      <w:color w:val="006100"/>
      <w:sz w:val="20"/>
    </w:rPr>
  </w:style>
  <w:style w:type="paragraph" w:customStyle="1" w:styleId="P68B1DB1-Normal22">
    <w:name w:val="P68B1DB1-Normal22"/>
    <w:basedOn w:val="Normal"/>
    <w:rPr>
      <w:rFonts w:ascii="Arial Narrow" w:hint="eastAsia"/>
      <w:color w:val="006100"/>
      <w:sz w:val="20"/>
      <w:szCs w:val="20"/>
    </w:rPr>
  </w:style>
  <w:style w:type="paragraph" w:customStyle="1" w:styleId="P68B1DB1-ListParagraph23">
    <w:name w:val="P68B1DB1-ListParagraph23"/>
    <w:basedOn w:val="ListParagraph"/>
    <w:rPr>
      <w:rFonts w:ascii="Arial Narrow" w:eastAsiaTheme="minorEastAsia" w:hAnsi="Arial Narrow"/>
      <w:color w:val="006100"/>
      <w:sz w:val="20"/>
      <w:szCs w:val="20"/>
    </w:rPr>
  </w:style>
  <w:style w:type="paragraph" w:customStyle="1" w:styleId="P68B1DB1-Normal24">
    <w:name w:val="P68B1DB1-Normal24"/>
    <w:basedOn w:val="Normal"/>
    <w:rPr>
      <w:rFonts w:ascii="Arial Narrow" w:hint="eastAsia"/>
      <w:color w:val="006100"/>
      <w:sz w:val="20"/>
    </w:rPr>
  </w:style>
  <w:style w:type="paragraph" w:customStyle="1" w:styleId="P68B1DB1-Normal25">
    <w:name w:val="P68B1DB1-Normal25"/>
    <w:basedOn w:val="Normal"/>
    <w:rPr>
      <w:rFonts w:ascii="Times New Roman" w:hAnsi="Times New Roman" w:cs="Times New Roman"/>
      <w:b/>
      <w:u w:val="single"/>
    </w:rPr>
  </w:style>
  <w:style w:type="paragraph" w:customStyle="1" w:styleId="P68B1DB1-Normal26">
    <w:name w:val="P68B1DB1-Normal26"/>
    <w:basedOn w:val="Normal"/>
    <w:rPr>
      <w:rFonts w:ascii="Times New Roman" w:hAnsi="Times New Roman" w:cs="Times New Roman"/>
      <w:i/>
    </w:rPr>
  </w:style>
  <w:style w:type="paragraph" w:customStyle="1" w:styleId="P68B1DB1-Normal27">
    <w:name w:val="P68B1DB1-Normal27"/>
    <w:basedOn w:val="Normal"/>
    <w:rPr>
      <w:rFonts w:ascii="Times New Roman" w:hAnsi="Times New Roman" w:cs="Times New Roman"/>
      <w:color w:val="000000" w:themeColor="text1"/>
    </w:rPr>
  </w:style>
  <w:style w:type="paragraph" w:customStyle="1" w:styleId="P68B1DB1-Normal28">
    <w:name w:val="P68B1DB1-Normal28"/>
    <w:basedOn w:val="Normal"/>
    <w:rPr>
      <w:rFonts w:ascii="Times New Roman" w:hAnsi="Times New Roman" w:cs="Times New Roman"/>
      <w:i/>
      <w:u w:val="single"/>
    </w:rPr>
  </w:style>
  <w:style w:type="paragraph" w:customStyle="1" w:styleId="P68B1DB1-Normal29">
    <w:name w:val="P68B1DB1-Normal29"/>
    <w:basedOn w:val="Normal"/>
    <w:rPr>
      <w:rFonts w:ascii="Times New Roman" w:eastAsia="Times New Roman" w:hAnsi="Times New Roman" w:cs="Times New Roman"/>
      <w:b/>
    </w:rPr>
  </w:style>
  <w:style w:type="paragraph" w:customStyle="1" w:styleId="P68B1DB1-Normal30">
    <w:name w:val="P68B1DB1-Normal30"/>
    <w:basedOn w:val="Normal"/>
    <w:rPr>
      <w:rFonts w:ascii="Arial Narrow" w:hAnsi="Arial Narrow"/>
    </w:rPr>
  </w:style>
  <w:style w:type="paragraph" w:customStyle="1" w:styleId="P68B1DB1-Normal31">
    <w:name w:val="P68B1DB1-Normal31"/>
    <w:basedOn w:val="Normal"/>
    <w:rPr>
      <w:rFonts w:ascii="Arial Narrow" w:hAnsi="Arial Narrow"/>
      <w:b/>
      <w:color w:val="006100"/>
      <w:sz w:val="20"/>
    </w:rPr>
  </w:style>
  <w:style w:type="paragraph" w:customStyle="1" w:styleId="P68B1DB1-Normal32">
    <w:name w:val="P68B1DB1-Normal32"/>
    <w:basedOn w:val="Normal"/>
    <w:rPr>
      <w:rFonts w:ascii="Arial Narrow" w:hAnsi="Arial Narrow"/>
      <w:b/>
      <w:color w:val="006100"/>
      <w:sz w:val="20"/>
      <w:szCs w:val="20"/>
    </w:rPr>
  </w:style>
  <w:style w:type="paragraph" w:customStyle="1" w:styleId="P68B1DB1-Normal33">
    <w:name w:val="P68B1DB1-Normal33"/>
    <w:basedOn w:val="Normal"/>
    <w:rPr>
      <w:rFonts w:ascii="Arial Narrow" w:eastAsia="Times New Roman" w:hAnsi="Arial Narrow" w:cs="Segoe UI"/>
      <w:color w:val="006100"/>
      <w:sz w:val="20"/>
      <w:szCs w:val="20"/>
    </w:rPr>
  </w:style>
  <w:style w:type="paragraph" w:customStyle="1" w:styleId="P68B1DB1-Normal34">
    <w:name w:val="P68B1DB1-Normal34"/>
    <w:basedOn w:val="Normal"/>
    <w:rPr>
      <w:rFonts w:ascii="Arial Narrow" w:eastAsia="Times New Roman" w:hAnsi="Arial Narrow" w:cs="Segoe UI"/>
      <w:b/>
      <w:color w:val="006100"/>
      <w:sz w:val="20"/>
      <w:szCs w:val="20"/>
    </w:rPr>
  </w:style>
  <w:style w:type="paragraph" w:customStyle="1" w:styleId="P68B1DB1-ListParagraph35">
    <w:name w:val="P68B1DB1-ListParagraph35"/>
    <w:basedOn w:val="ListParagraph"/>
    <w:rPr>
      <w:rFonts w:ascii="Arial Narrow" w:hAnsi="Arial Narrow" w:cs="Segoe UI"/>
      <w:color w:val="006100"/>
      <w:sz w:val="20"/>
      <w:szCs w:val="20"/>
    </w:rPr>
  </w:style>
  <w:style w:type="paragraph" w:customStyle="1" w:styleId="P68B1DB1-ListParagraph36">
    <w:name w:val="P68B1DB1-ListParagraph36"/>
    <w:basedOn w:val="ListParagraph"/>
    <w:rPr>
      <w:rFonts w:ascii="Times New Roman" w:hAnsi="Times New Roman" w:cs="Times New Roman" w:hint="eastAsia"/>
    </w:rPr>
  </w:style>
  <w:style w:type="paragraph" w:customStyle="1" w:styleId="P68B1DB1-ListParagraph37">
    <w:name w:val="P68B1DB1-ListParagraph37"/>
    <w:basedOn w:val="ListParagraph"/>
    <w:rPr>
      <w:rFonts w:ascii="Times New Roman" w:hAnsi="Times New Roman" w:cs="Times New Roman"/>
    </w:rPr>
  </w:style>
  <w:style w:type="paragraph" w:customStyle="1" w:styleId="P68B1DB1-Normal38">
    <w:name w:val="P68B1DB1-Normal38"/>
    <w:basedOn w:val="Normal"/>
    <w:rPr>
      <w:rFonts w:ascii="Times New Roman" w:eastAsia="Calibri" w:hAnsi="Times New Roman" w:cs="Times New Roman"/>
    </w:rPr>
  </w:style>
  <w:style w:type="paragraph" w:customStyle="1" w:styleId="P68B1DB1-ListParagraph39">
    <w:name w:val="P68B1DB1-ListParagraph39"/>
    <w:basedOn w:val="ListParagraph"/>
    <w:rPr>
      <w:rFonts w:ascii="Times New Roman" w:eastAsia="Calibri" w:hAnsi="Times New Roman" w:cs="Times New Roman"/>
    </w:rPr>
  </w:style>
  <w:style w:type="paragraph" w:customStyle="1" w:styleId="P68B1DB1-ListParagraph40">
    <w:name w:val="P68B1DB1-ListParagraph40"/>
    <w:basedOn w:val="ListParagraph"/>
    <w:rPr>
      <w:rFonts w:ascii="Times New Roman" w:hAnsi="Times New Roman"/>
    </w:rPr>
  </w:style>
  <w:style w:type="paragraph" w:customStyle="1" w:styleId="P68B1DB1-Heading341">
    <w:name w:val="P68B1DB1-Heading341"/>
    <w:basedOn w:val="Heading3"/>
    <w:rPr>
      <w:sz w:val="24"/>
      <w:szCs w:val="24"/>
    </w:rPr>
  </w:style>
  <w:style w:type="paragraph" w:customStyle="1" w:styleId="P68B1DB1-Normal42">
    <w:name w:val="P68B1DB1-Normal42"/>
    <w:basedOn w:val="Normal"/>
    <w:rPr>
      <w:rFonts w:ascii="Times New Roman" w:eastAsia="Times New Roman" w:hAnsi="Times New Roman" w:cs="Times New Roman"/>
      <w:b/>
      <w:color w:val="000000" w:themeColor="text1"/>
    </w:rPr>
  </w:style>
  <w:style w:type="paragraph" w:customStyle="1" w:styleId="P68B1DB1-Text143">
    <w:name w:val="P68B1DB1-Text143"/>
    <w:basedOn w:val="Text1"/>
    <w:rPr>
      <w:sz w:val="22"/>
      <w:szCs w:val="22"/>
    </w:rPr>
  </w:style>
  <w:style w:type="paragraph" w:customStyle="1" w:styleId="P68B1DB1-Normal44">
    <w:name w:val="P68B1DB1-Normal44"/>
    <w:basedOn w:val="Normal"/>
    <w:rPr>
      <w:rFonts w:ascii="Arial Narrow"/>
      <w:color w:val="006100"/>
      <w:sz w:val="20"/>
    </w:rPr>
  </w:style>
  <w:style w:type="paragraph" w:customStyle="1" w:styleId="P68B1DB1-Normal45">
    <w:name w:val="P68B1DB1-Normal45"/>
    <w:basedOn w:val="Normal"/>
    <w:rPr>
      <w:rFonts w:ascii="Times New Roman" w:eastAsia="Times New Roman" w:hAnsi="Times New Roman" w:cs="Times New Roman"/>
      <w:kern w:val="0"/>
      <w14:ligatures w14:val="none"/>
    </w:rPr>
  </w:style>
  <w:style w:type="paragraph" w:customStyle="1" w:styleId="P68B1DB1-Normal46">
    <w:name w:val="P68B1DB1-Normal46"/>
    <w:basedOn w:val="Normal"/>
    <w:rPr>
      <w:rFonts w:ascii="Times New Roman" w:eastAsia="Times New Roman" w:hAnsi="Times New Roman" w:cs="Times New Roman"/>
      <w:kern w:val="0"/>
      <w:sz w:val="24"/>
      <w:szCs w:val="24"/>
      <w14:ligatures w14:val="none"/>
    </w:rPr>
  </w:style>
  <w:style w:type="paragraph" w:customStyle="1" w:styleId="P68B1DB1-Heading347">
    <w:name w:val="P68B1DB1-Heading347"/>
    <w:basedOn w:val="Heading3"/>
    <w:rPr>
      <w:rFonts w:ascii="Times New Roman" w:eastAsia="Times New Roman" w:hAnsi="Times New Roman" w:cs="Times New Roman"/>
      <w:b/>
      <w:sz w:val="24"/>
      <w:szCs w:val="24"/>
      <w:u w:val="single"/>
    </w:rPr>
  </w:style>
  <w:style w:type="paragraph" w:customStyle="1" w:styleId="P68B1DB1-Normal48">
    <w:name w:val="P68B1DB1-Normal48"/>
    <w:basedOn w:val="Normal"/>
    <w:rPr>
      <w:rFonts w:ascii="Times New Roman" w:eastAsia="Times New Roman" w:hAnsi="Times New Roman" w:cs="Times New Roman"/>
      <w:i/>
      <w:kern w:val="0"/>
      <w:sz w:val="24"/>
      <w:szCs w:val="24"/>
      <w14:ligatures w14:val="none"/>
    </w:rPr>
  </w:style>
  <w:style w:type="paragraph" w:customStyle="1" w:styleId="P68B1DB1-Normal49">
    <w:name w:val="P68B1DB1-Normal49"/>
    <w:basedOn w:val="Normal"/>
    <w:rPr>
      <w:rFonts w:ascii="Arial Narrow" w:eastAsia="Times New Roman" w:hAnsi="Arial Narrow" w:cs="Times New Roman"/>
      <w:kern w:val="0"/>
      <w:sz w:val="20"/>
      <w:szCs w:val="20"/>
      <w14:ligatures w14:val="none"/>
    </w:rPr>
  </w:style>
  <w:style w:type="paragraph" w:customStyle="1" w:styleId="P68B1DB1-Normal50">
    <w:name w:val="P68B1DB1-Normal50"/>
    <w:basedOn w:val="Normal"/>
    <w:rPr>
      <w:rFonts w:ascii="Arial Narrow" w:eastAsia="Times New Roman" w:hAnsi="Arial Narrow" w:cs="Times New Roman"/>
      <w:color w:val="006100"/>
      <w:kern w:val="0"/>
      <w:sz w:val="20"/>
      <w:szCs w:val="20"/>
      <w14:ligatures w14:val="none"/>
    </w:rPr>
  </w:style>
  <w:style w:type="paragraph" w:customStyle="1" w:styleId="P68B1DB1-ListParagraph51">
    <w:name w:val="P68B1DB1-ListParagraph51"/>
    <w:basedOn w:val="ListParagraph"/>
    <w:rPr>
      <w:rFonts w:ascii="Arial Narrow" w:eastAsia="Times New Roman" w:hAnsi="Arial Narrow" w:cs="Times New Roman"/>
      <w:color w:val="006100"/>
      <w:kern w:val="0"/>
      <w:sz w:val="20"/>
      <w:szCs w:val="20"/>
      <w14:ligatures w14:val="none"/>
    </w:rPr>
  </w:style>
  <w:style w:type="paragraph" w:customStyle="1" w:styleId="P68B1DB1-ListParagraph52">
    <w:name w:val="P68B1DB1-ListParagraph52"/>
    <w:basedOn w:val="ListParagraph"/>
    <w:rPr>
      <w:rFonts w:ascii="Arial Narrow" w:eastAsia="Times New Roman" w:hAnsi="Arial Narrow" w:cs="Arial"/>
      <w:color w:val="006100"/>
      <w:kern w:val="0"/>
      <w:sz w:val="20"/>
      <w:szCs w:val="20"/>
      <w14:ligatures w14:val="none"/>
    </w:rPr>
  </w:style>
  <w:style w:type="paragraph" w:customStyle="1" w:styleId="P68B1DB1-Normal53">
    <w:name w:val="P68B1DB1-Normal53"/>
    <w:basedOn w:val="Normal"/>
    <w:rPr>
      <w:rFonts w:ascii="Arial Narrow" w:eastAsia="Times New Roman" w:hAnsi="Arial Narrow" w:cs="Arial"/>
      <w:color w:val="006100"/>
      <w:kern w:val="0"/>
      <w:sz w:val="20"/>
      <w:szCs w:val="20"/>
      <w14:ligatures w14:val="none"/>
    </w:rPr>
  </w:style>
  <w:style w:type="paragraph" w:customStyle="1" w:styleId="P68B1DB1-Normal54">
    <w:name w:val="P68B1DB1-Normal54"/>
    <w:basedOn w:val="Normal"/>
    <w:rPr>
      <w:color w:val="006100"/>
      <w:kern w:val="0"/>
      <w:sz w:val="20"/>
      <w:szCs w:val="20"/>
      <w14:ligatures w14:val="none"/>
    </w:rPr>
  </w:style>
  <w:style w:type="paragraph" w:customStyle="1" w:styleId="P68B1DB1-Normal55">
    <w:name w:val="P68B1DB1-Normal55"/>
    <w:basedOn w:val="Normal"/>
    <w:rPr>
      <w:rFonts w:ascii="Arial Narrow" w:eastAsia="Times New Roman" w:hAnsi="Arial Narrow" w:cs="Times New Roman"/>
      <w:kern w:val="0"/>
      <w14:ligatures w14:val="none"/>
    </w:rPr>
  </w:style>
  <w:style w:type="paragraph" w:customStyle="1" w:styleId="P68B1DB1-Normal56">
    <w:name w:val="P68B1DB1-Normal56"/>
    <w:basedOn w:val="Normal"/>
    <w:rPr>
      <w:rFonts w:ascii="Times New Roman" w:eastAsia="Times New Roman" w:hAnsi="Times New Roman" w:cs="Times New Roman"/>
      <w:b/>
      <w:kern w:val="0"/>
      <w:sz w:val="24"/>
      <w:szCs w:val="24"/>
      <w14:ligatures w14:val="none"/>
    </w:rPr>
  </w:style>
  <w:style w:type="paragraph" w:customStyle="1" w:styleId="P68B1DB1-Normal57">
    <w:name w:val="P68B1DB1-Normal57"/>
    <w:basedOn w:val="Normal"/>
    <w:rPr>
      <w:rFonts w:ascii="Arial Narrow" w:eastAsia="Times New Roman" w:hAnsi="Arial"/>
      <w:color w:val="006100"/>
      <w:kern w:val="0"/>
      <w:sz w:val="20"/>
      <w:szCs w:val="20"/>
      <w14:ligatures w14:val="none"/>
    </w:rPr>
  </w:style>
  <w:style w:type="paragraph" w:customStyle="1" w:styleId="P68B1DB1-Normal58">
    <w:name w:val="P68B1DB1-Normal58"/>
    <w:basedOn w:val="Normal"/>
    <w:rPr>
      <w:rFonts w:ascii="Aptos" w:eastAsia="Times New Roman" w:hAnsi="Aptos" w:cs="Segoe UI"/>
      <w:kern w:val="0"/>
      <w:sz w:val="24"/>
      <w:szCs w:val="24"/>
      <w14:ligatures w14:val="none"/>
    </w:rPr>
  </w:style>
  <w:style w:type="paragraph" w:customStyle="1" w:styleId="P68B1DB1-Heading359">
    <w:name w:val="P68B1DB1-Heading359"/>
    <w:basedOn w:val="Heading3"/>
    <w:rPr>
      <w:rFonts w:ascii="Times New Roman" w:hAnsi="Times New Roman" w:cs="Times New Roman"/>
    </w:rPr>
  </w:style>
  <w:style w:type="paragraph" w:customStyle="1" w:styleId="P68B1DB1-LegalNumPar260">
    <w:name w:val="P68B1DB1-LegalNumPar260"/>
    <w:basedOn w:val="LegalNumPar2"/>
    <w:rPr>
      <w:rFonts w:ascii="Times New Roman" w:eastAsia="Times New Roman" w:hAnsi="Times New Roman" w:cs="Times New Roman"/>
    </w:rPr>
  </w:style>
  <w:style w:type="paragraph" w:customStyle="1" w:styleId="P68B1DB1-Normal61">
    <w:name w:val="P68B1DB1-Normal61"/>
    <w:basedOn w:val="Normal"/>
    <w:rPr>
      <w:rFonts w:ascii="Arial Narrow"/>
      <w:color w:val="006100"/>
      <w:sz w:val="20"/>
      <w:szCs w:val="20"/>
    </w:rPr>
  </w:style>
  <w:style w:type="paragraph" w:customStyle="1" w:styleId="P68B1DB1-LegalNumPar62">
    <w:name w:val="P68B1DB1-LegalNumPar62"/>
    <w:basedOn w:val="LegalNumPar"/>
    <w:rPr>
      <w:rFonts w:ascii="Times New Roman" w:eastAsia="Calibri" w:hAnsi="Times New Roman" w:cs="Times New Roman"/>
    </w:rPr>
  </w:style>
  <w:style w:type="paragraph" w:customStyle="1" w:styleId="P68B1DB1-LegalNumPar263">
    <w:name w:val="P68B1DB1-LegalNumPar263"/>
    <w:basedOn w:val="LegalNumPar2"/>
    <w:rPr>
      <w:rFonts w:ascii="Times New Roman" w:eastAsia="Calibri" w:hAnsi="Times New Roman" w:cs="Times New Roman"/>
    </w:rPr>
  </w:style>
  <w:style w:type="paragraph" w:customStyle="1" w:styleId="P68B1DB1-LegalNumPar264">
    <w:name w:val="P68B1DB1-LegalNumPar264"/>
    <w:basedOn w:val="LegalNumPar2"/>
    <w:rPr>
      <w:rFonts w:ascii="Times New Roman" w:hAnsi="Times New Roman"/>
    </w:rPr>
  </w:style>
  <w:style w:type="paragraph" w:customStyle="1" w:styleId="P68B1DB1-Normal65">
    <w:name w:val="P68B1DB1-Normal65"/>
    <w:basedOn w:val="Normal"/>
    <w:rPr>
      <w:rFonts w:ascii="Times New Roman" w:eastAsia="MS Mincho" w:hAnsi="Times New Roman" w:cs="Times New Roman"/>
    </w:rPr>
  </w:style>
  <w:style w:type="paragraph" w:customStyle="1" w:styleId="P68B1DB1-Normal66">
    <w:name w:val="P68B1DB1-Normal66"/>
    <w:basedOn w:val="Normal"/>
    <w:rPr>
      <w:rFonts w:ascii="Times New Roman" w:eastAsia="Times New Roman" w:hAnsi="Times New Roman" w:cs="Times New Roman"/>
      <w:color w:val="000000" w:themeColor="text1"/>
    </w:rPr>
  </w:style>
  <w:style w:type="paragraph" w:customStyle="1" w:styleId="P68B1DB1-Normal67">
    <w:name w:val="P68B1DB1-Normal67"/>
    <w:basedOn w:val="Normal"/>
    <w:rPr>
      <w:rFonts w:ascii="Arial Narrow" w:eastAsia="Calibri" w:hAnsi="Arial Narrow"/>
      <w:color w:val="006100"/>
      <w:sz w:val="20"/>
      <w:szCs w:val="20"/>
    </w:rPr>
  </w:style>
  <w:style w:type="paragraph" w:customStyle="1" w:styleId="P68B1DB1-Heading368">
    <w:name w:val="P68B1DB1-Heading368"/>
    <w:basedOn w:val="Heading3"/>
    <w:rPr>
      <w:rFonts w:ascii="Times New Roman" w:hAnsi="Times New Roman" w:cs="Times New Roman"/>
      <w:b/>
      <w:sz w:val="24"/>
      <w:szCs w:val="24"/>
      <w:u w:val="single"/>
    </w:rPr>
  </w:style>
  <w:style w:type="paragraph" w:customStyle="1" w:styleId="P68B1DB1-Other1069">
    <w:name w:val="P68B1DB1-Other1069"/>
    <w:basedOn w:val="Other10"/>
    <w:rPr>
      <w:rFonts w:ascii="Arial Narrow" w:hAnsi="Arial Narrow"/>
      <w:sz w:val="20"/>
      <w:szCs w:val="20"/>
    </w:rPr>
  </w:style>
  <w:style w:type="paragraph" w:customStyle="1" w:styleId="P68B1DB1-Normal70">
    <w:name w:val="P68B1DB1-Normal70"/>
    <w:basedOn w:val="Normal"/>
    <w:rPr>
      <w:rFonts w:ascii="Times New Roman" w:hAnsi="Times New Roman" w:cs="Times New Roman"/>
      <w:b/>
      <w:color w:val="000000"/>
      <w:shd w:val="clear" w:color="auto" w:fill="FFFFFF"/>
    </w:rPr>
  </w:style>
  <w:style w:type="paragraph" w:customStyle="1" w:styleId="P68B1DB1-Other1071">
    <w:name w:val="P68B1DB1-Other1071"/>
    <w:basedOn w:val="Other10"/>
    <w:rPr>
      <w:rFonts w:ascii="Arial Narrow" w:hAnsi="Arial Narrow"/>
      <w:sz w:val="20"/>
    </w:rPr>
  </w:style>
  <w:style w:type="paragraph" w:customStyle="1" w:styleId="P68B1DB1-Times1272">
    <w:name w:val="P68B1DB1-Times1272"/>
    <w:basedOn w:val="Times12"/>
    <w:rPr>
      <w:rFonts w:ascii="Times New Roman" w:hAnsi="Times New Roman" w:cs="Times New Roman"/>
      <w:sz w:val="22"/>
      <w:szCs w:val="22"/>
    </w:rPr>
  </w:style>
  <w:style w:type="paragraph" w:customStyle="1" w:styleId="P68B1DB1-Times1273">
    <w:name w:val="P68B1DB1-Times1273"/>
    <w:basedOn w:val="Times12"/>
    <w:rPr>
      <w:sz w:val="22"/>
      <w:szCs w:val="22"/>
    </w:rPr>
  </w:style>
  <w:style w:type="paragraph" w:customStyle="1" w:styleId="P68B1DB1-Times1274">
    <w:name w:val="P68B1DB1-Times1274"/>
    <w:basedOn w:val="Times12"/>
    <w:rPr>
      <w:rFonts w:ascii="Times New Roman" w:hAnsi="Times New Roman" w:cs="Times New Roman"/>
      <w:b/>
      <w:sz w:val="22"/>
      <w:szCs w:val="22"/>
    </w:rPr>
  </w:style>
  <w:style w:type="paragraph" w:customStyle="1" w:styleId="P68B1DB1-Times1275">
    <w:name w:val="P68B1DB1-Times1275"/>
    <w:basedOn w:val="Times12"/>
    <w:rPr>
      <w:rFonts w:ascii="Times New Roman" w:hAnsi="Times New Roman" w:cs="Times New Roman"/>
    </w:rPr>
  </w:style>
  <w:style w:type="paragraph" w:customStyle="1" w:styleId="P68B1DB1-Times1276">
    <w:name w:val="P68B1DB1-Times1276"/>
    <w:basedOn w:val="Times12"/>
    <w:rPr>
      <w:rFonts w:ascii="Times New Roman" w:eastAsia="Times New Roman" w:hAnsi="Times New Roman" w:cs="Times New Roman"/>
      <w:b/>
    </w:rPr>
  </w:style>
  <w:style w:type="paragraph" w:customStyle="1" w:styleId="P68B1DB1-Times1277">
    <w:name w:val="P68B1DB1-Times1277"/>
    <w:basedOn w:val="Times12"/>
    <w:rPr>
      <w:rFonts w:ascii="Times New Roman" w:eastAsia="Times New Roman" w:hAnsi="Times New Roman" w:cs="Times New Roman"/>
    </w:rPr>
  </w:style>
  <w:style w:type="paragraph" w:customStyle="1" w:styleId="P68B1DB1-Paragrafoelenco178">
    <w:name w:val="P68B1DB1-Paragrafoelenco178"/>
    <w:basedOn w:val="Paragrafoelenco1"/>
    <w:rPr>
      <w:color w:val="auto"/>
      <w:sz w:val="22"/>
      <w:szCs w:val="22"/>
    </w:rPr>
  </w:style>
  <w:style w:type="paragraph" w:customStyle="1" w:styleId="P68B1DB1-LegalNumPar79">
    <w:name w:val="P68B1DB1-LegalNumPar79"/>
    <w:basedOn w:val="LegalNumPar"/>
    <w:rPr>
      <w:rFonts w:ascii="Times New Roman" w:hAnsi="Times New Roman" w:cs="Times New Roman"/>
    </w:rPr>
  </w:style>
  <w:style w:type="paragraph" w:customStyle="1" w:styleId="P68B1DB1-LegalNumPar280">
    <w:name w:val="P68B1DB1-LegalNumPar280"/>
    <w:basedOn w:val="LegalNumPar2"/>
    <w:rPr>
      <w:rFonts w:ascii="Times New Roman" w:hAnsi="Times New Roman" w:cs="Times New Roman"/>
    </w:rPr>
  </w:style>
  <w:style w:type="paragraph" w:customStyle="1" w:styleId="P68B1DB1-Normal81">
    <w:name w:val="P68B1DB1-Normal81"/>
    <w:basedOn w:val="Normal"/>
    <w:rPr>
      <w:rFonts w:ascii="Arial Narrow" w:hAnsi="Arial Narrow"/>
      <w:color w:val="006100"/>
      <w:sz w:val="18"/>
      <w:szCs w:val="18"/>
    </w:rPr>
  </w:style>
  <w:style w:type="paragraph" w:customStyle="1" w:styleId="P68B1DB1-ListParagraph82">
    <w:name w:val="P68B1DB1-ListParagraph82"/>
    <w:basedOn w:val="ListParagraph"/>
    <w:rPr>
      <w:rFonts w:ascii="Arial Narrow" w:hAnsi="Arial Narrow"/>
      <w:sz w:val="20"/>
    </w:rPr>
  </w:style>
  <w:style w:type="paragraph" w:customStyle="1" w:styleId="P68B1DB1-Normal83">
    <w:name w:val="P68B1DB1-Normal83"/>
    <w:basedOn w:val="Normal"/>
    <w:rPr>
      <w:color w:val="006100"/>
    </w:rPr>
  </w:style>
  <w:style w:type="paragraph" w:customStyle="1" w:styleId="P68B1DB1-Normal84">
    <w:name w:val="P68B1DB1-Normal84"/>
    <w:basedOn w:val="Normal"/>
    <w:rPr>
      <w:rFonts w:ascii="Arial Narrow" w:eastAsia="Arial Narrow" w:hAnsi="Arial Narrow" w:cs="Arial Narrow"/>
      <w:color w:val="006100"/>
      <w:sz w:val="20"/>
      <w:szCs w:val="20"/>
    </w:rPr>
  </w:style>
  <w:style w:type="paragraph" w:customStyle="1" w:styleId="P68B1DB1-Normal85">
    <w:name w:val="P68B1DB1-Normal85"/>
    <w:basedOn w:val="Normal"/>
    <w:rPr>
      <w:rFonts w:ascii="Arial Narrow" w:eastAsia="Arial Narrow" w:hAnsi="Arial Narrow" w:cs="Arial Narrow"/>
      <w:sz w:val="20"/>
      <w:szCs w:val="20"/>
    </w:rPr>
  </w:style>
  <w:style w:type="paragraph" w:customStyle="1" w:styleId="P68B1DB1-ListParagraph86">
    <w:name w:val="P68B1DB1-ListParagraph86"/>
    <w:basedOn w:val="ListParagraph"/>
    <w:rPr>
      <w:rFonts w:ascii="Arial Narrow" w:hAnsi="Arial Narrow"/>
      <w:color w:val="196B24" w:themeColor="accent3"/>
      <w:sz w:val="20"/>
      <w:szCs w:val="20"/>
    </w:rPr>
  </w:style>
  <w:style w:type="paragraph" w:customStyle="1" w:styleId="P68B1DB1-Normal87">
    <w:name w:val="P68B1DB1-Normal87"/>
    <w:basedOn w:val="Normal"/>
    <w:rPr>
      <w:rFonts w:ascii="Arial Narrow" w:hAnsi="Arial Narrow"/>
      <w:color w:val="196B24" w:themeColor="accent3"/>
      <w:sz w:val="20"/>
      <w:szCs w:val="20"/>
    </w:rPr>
  </w:style>
  <w:style w:type="paragraph" w:customStyle="1" w:styleId="P68B1DB1-Normal88">
    <w:name w:val="P68B1DB1-Normal88"/>
    <w:basedOn w:val="Normal"/>
    <w:rPr>
      <w:rFonts w:ascii="Arial Narrow" w:eastAsia="Arial Narrow" w:hAnsi="Arial Narrow" w:cs="Arial Narrow"/>
      <w:color w:val="196B24" w:themeColor="accent3"/>
      <w:sz w:val="20"/>
      <w:szCs w:val="20"/>
    </w:rPr>
  </w:style>
  <w:style w:type="paragraph" w:customStyle="1" w:styleId="P68B1DB1-paragraph89">
    <w:name w:val="P68B1DB1-paragraph89"/>
    <w:basedOn w:val="paragraph"/>
    <w:rPr>
      <w:rFonts w:ascii="Arial Narrow" w:hAnsi="Arial Narrow"/>
      <w:color w:val="006100"/>
      <w:sz w:val="20"/>
    </w:rPr>
  </w:style>
  <w:style w:type="paragraph" w:customStyle="1" w:styleId="P68B1DB1-Normal90">
    <w:name w:val="P68B1DB1-Normal90"/>
    <w:basedOn w:val="Normal"/>
    <w:rPr>
      <w:rFonts w:ascii="Arial Narrow" w:hAnsi="Arial Narrow"/>
      <w:color w:val="006100"/>
    </w:rPr>
  </w:style>
  <w:style w:type="paragraph" w:customStyle="1" w:styleId="P68B1DB1-Heading291">
    <w:name w:val="P68B1DB1-Heading291"/>
    <w:basedOn w:val="Heading2"/>
    <w:rPr>
      <w:sz w:val="24"/>
      <w:szCs w:val="24"/>
    </w:rPr>
  </w:style>
  <w:style w:type="paragraph" w:customStyle="1" w:styleId="P68B1DB1-LegalNumPar392">
    <w:name w:val="P68B1DB1-LegalNumPar392"/>
    <w:basedOn w:val="LegalNumPar3"/>
    <w:rPr>
      <w:rFonts w:ascii="Times New Roman" w:hAnsi="Times New Roman" w:cs="Times New Roman"/>
    </w:rPr>
  </w:style>
  <w:style w:type="paragraph" w:customStyle="1" w:styleId="P68B1DB1-Normal93">
    <w:name w:val="P68B1DB1-Normal93"/>
    <w:basedOn w:val="Normal"/>
    <w:rPr>
      <w:rFonts w:ascii="Arial Narrow" w:hAnsi="Arial Narrow"/>
      <w:b/>
      <w:sz w:val="20"/>
      <w:szCs w:val="20"/>
    </w:rPr>
  </w:style>
  <w:style w:type="paragraph" w:customStyle="1" w:styleId="P68B1DB1-Normal94">
    <w:name w:val="P68B1DB1-Normal94"/>
    <w:basedOn w:val="Normal"/>
    <w:rPr>
      <w:rFonts w:ascii="Arial Narrow" w:hAnsi="Arial Narrow" w:hint="eastAsia"/>
      <w:color w:val="006100"/>
      <w:sz w:val="20"/>
      <w:szCs w:val="20"/>
    </w:rPr>
  </w:style>
  <w:style w:type="paragraph" w:customStyle="1" w:styleId="P68B1DB1-paragraph95">
    <w:name w:val="P68B1DB1-paragraph95"/>
    <w:basedOn w:val="paragraph"/>
    <w:rPr>
      <w:rFonts w:ascii="Arial Narrow" w:eastAsiaTheme="minorHAnsi" w:hAnsi="Arial Narrow" w:cstheme="minorBidi"/>
      <w:color w:val="006100"/>
      <w:kern w:val="2"/>
      <w:sz w:val="20"/>
      <w:szCs w:val="20"/>
    </w:rPr>
  </w:style>
  <w:style w:type="paragraph" w:customStyle="1" w:styleId="P68B1DB1-Normal96">
    <w:name w:val="P68B1DB1-Normal96"/>
    <w:basedOn w:val="Normal"/>
    <w:rPr>
      <w:rFonts w:ascii="Times New Roman" w:hAnsi="Times New Roman" w:cs="Times New Roman" w:hint="eastAsia"/>
    </w:rPr>
  </w:style>
  <w:style w:type="paragraph" w:customStyle="1" w:styleId="P68B1DB1-Heading397">
    <w:name w:val="P68B1DB1-Heading397"/>
    <w:basedOn w:val="Heading3"/>
    <w:rPr>
      <w:rFonts w:ascii="Times New Roman" w:hAnsi="Times New Roman" w:cs="Times New Roman" w:hint="eastAsia"/>
      <w:b/>
      <w:sz w:val="24"/>
      <w:szCs w:val="24"/>
      <w:u w:val="single"/>
    </w:rPr>
  </w:style>
  <w:style w:type="paragraph" w:customStyle="1" w:styleId="P68B1DB1-paragraph98">
    <w:name w:val="P68B1DB1-paragraph98"/>
    <w:basedOn w:val="paragraph"/>
    <w:rPr>
      <w:rFonts w:ascii="Arial Narrow" w:hAnsi="Arial Narrow"/>
      <w:color w:val="006100"/>
      <w:sz w:val="20"/>
      <w:szCs w:val="20"/>
    </w:rPr>
  </w:style>
  <w:style w:type="paragraph" w:customStyle="1" w:styleId="P68B1DB1-Normal99">
    <w:name w:val="P68B1DB1-Normal99"/>
    <w:basedOn w:val="Normal"/>
    <w:rPr>
      <w:rFonts w:ascii="Times New Roman" w:hAnsi="Times New Roman" w:cs="Times New Roman"/>
      <w:b/>
      <w:color w:val="000000" w:themeColor="text1"/>
    </w:rPr>
  </w:style>
  <w:style w:type="paragraph" w:customStyle="1" w:styleId="P68B1DB1-ListParagraph100">
    <w:name w:val="P68B1DB1-ListParagraph100"/>
    <w:basedOn w:val="ListParagraph"/>
    <w:rPr>
      <w:rFonts w:ascii="Times New Roman" w:eastAsiaTheme="minorEastAsia" w:hAnsi="Times New Roman" w:cs="Times New Roman"/>
    </w:rPr>
  </w:style>
  <w:style w:type="paragraph" w:customStyle="1" w:styleId="P68B1DB1-Normal101">
    <w:name w:val="P68B1DB1-Normal101"/>
    <w:basedOn w:val="Normal"/>
    <w:rPr>
      <w:rFonts w:ascii="Times New Roman" w:hAnsi="Times New Roman" w:cs="Times New Roman"/>
      <w:u w:val="single"/>
    </w:rPr>
  </w:style>
  <w:style w:type="paragraph" w:customStyle="1" w:styleId="P68B1DB1-Normal102">
    <w:name w:val="P68B1DB1-Normal102"/>
    <w:basedOn w:val="Normal"/>
    <w:rPr>
      <w:rFonts w:ascii="Arial Narrow" w:hAnsi="Arial Narrow"/>
      <w:b/>
      <w:color w:val="000000"/>
      <w:sz w:val="20"/>
    </w:rPr>
  </w:style>
  <w:style w:type="paragraph" w:customStyle="1" w:styleId="P68B1DB1-Normal103">
    <w:name w:val="P68B1DB1-Normal103"/>
    <w:basedOn w:val="Normal"/>
    <w:rPr>
      <w:rFonts w:ascii="Arial Narrow" w:hAnsi="Arial Narrow"/>
      <w:color w:val="006600"/>
      <w:sz w:val="20"/>
    </w:rPr>
  </w:style>
  <w:style w:type="paragraph" w:customStyle="1" w:styleId="P68B1DB1-Normal104">
    <w:name w:val="P68B1DB1-Normal104"/>
    <w:basedOn w:val="Normal"/>
    <w:rPr>
      <w:rFonts w:ascii="Arial Narrow" w:hAnsi="Arial Narrow"/>
      <w:color w:val="006600"/>
      <w:sz w:val="20"/>
      <w:szCs w:val="20"/>
    </w:rPr>
  </w:style>
  <w:style w:type="paragraph" w:customStyle="1" w:styleId="P68B1DB1-paragraph105">
    <w:name w:val="P68B1DB1-paragraph105"/>
    <w:basedOn w:val="paragraph"/>
    <w:rPr>
      <w:sz w:val="22"/>
      <w:szCs w:val="22"/>
    </w:rPr>
  </w:style>
  <w:style w:type="paragraph" w:customStyle="1" w:styleId="P68B1DB1-Text1106">
    <w:name w:val="P68B1DB1-Text1106"/>
    <w:basedOn w:val="Text1"/>
    <w:rPr>
      <w:color w:val="000000" w:themeColor="text1"/>
      <w:sz w:val="22"/>
      <w:szCs w:val="22"/>
    </w:rPr>
  </w:style>
  <w:style w:type="paragraph" w:customStyle="1" w:styleId="P68B1DB1-Heading4107">
    <w:name w:val="P68B1DB1-Heading4107"/>
    <w:basedOn w:val="Heading4"/>
    <w:rPr>
      <w:rFonts w:ascii="Times New Roman" w:hAnsi="Times New Roman" w:cs="Times New Roman"/>
      <w:b/>
      <w:i w:val="0"/>
      <w:color w:val="000000" w:themeColor="text1"/>
    </w:rPr>
  </w:style>
  <w:style w:type="paragraph" w:customStyle="1" w:styleId="P68B1DB1-Heading4108">
    <w:name w:val="P68B1DB1-Heading4108"/>
    <w:basedOn w:val="Heading4"/>
    <w:rPr>
      <w:rFonts w:ascii="Times New Roman" w:hAnsi="Times New Roman" w:cs="Times New Roman"/>
      <w:b/>
      <w:i w:val="0"/>
      <w:color w:val="auto"/>
    </w:rPr>
  </w:style>
  <w:style w:type="paragraph" w:customStyle="1" w:styleId="P68B1DB1-Heading4109">
    <w:name w:val="P68B1DB1-Heading4109"/>
    <w:basedOn w:val="Heading4"/>
    <w:rPr>
      <w:rFonts w:ascii="Times New Roman" w:hAnsi="Times New Roman" w:cs="Times New Roman"/>
    </w:rPr>
  </w:style>
  <w:style w:type="paragraph" w:customStyle="1" w:styleId="P68B1DB1-Heading4110">
    <w:name w:val="P68B1DB1-Heading4110"/>
    <w:basedOn w:val="Heading4"/>
    <w:rPr>
      <w:rFonts w:ascii="Times New Roman" w:hAnsi="Times New Roman" w:cs="Times New Roman"/>
      <w:b/>
      <w:i w:val="0"/>
      <w:iCs w:val="0"/>
      <w:color w:val="000000" w:themeColor="text1"/>
    </w:rPr>
  </w:style>
  <w:style w:type="paragraph" w:customStyle="1" w:styleId="P68B1DB1-ListParagraph111">
    <w:name w:val="P68B1DB1-ListParagraph111"/>
    <w:basedOn w:val="ListParagraph"/>
    <w:rPr>
      <w:rFonts w:ascii="Arial Narrow" w:eastAsiaTheme="minorEastAsia" w:hAnsi="Arial Narrow"/>
      <w:color w:val="006100"/>
      <w:sz w:val="20"/>
    </w:rPr>
  </w:style>
  <w:style w:type="paragraph" w:customStyle="1" w:styleId="P68B1DB1-LegalNumPar112">
    <w:name w:val="P68B1DB1-LegalNumPar112"/>
    <w:basedOn w:val="LegalNumPar"/>
    <w:rPr>
      <w:rFonts w:ascii="Times New Roman" w:hAnsi="Times New Roman"/>
    </w:rPr>
  </w:style>
  <w:style w:type="paragraph" w:customStyle="1" w:styleId="P68B1DB1-Normal113">
    <w:name w:val="P68B1DB1-Normal113"/>
    <w:basedOn w:val="Normal"/>
    <w:rPr>
      <w:sz w:val="20"/>
    </w:rPr>
  </w:style>
  <w:style w:type="paragraph" w:customStyle="1" w:styleId="P68B1DB1-Normal114">
    <w:name w:val="P68B1DB1-Normal114"/>
    <w:basedOn w:val="Normal"/>
    <w:rPr>
      <w:rFonts w:ascii="Arial Narrow" w:hAnsi="Arial"/>
      <w:color w:val="006100"/>
      <w:sz w:val="20"/>
      <w:szCs w:val="20"/>
    </w:rPr>
  </w:style>
  <w:style w:type="paragraph" w:customStyle="1" w:styleId="P68B1DB1-ListParagraph115">
    <w:name w:val="P68B1DB1-ListParagraph115"/>
    <w:basedOn w:val="ListParagraph"/>
    <w:rPr>
      <w:rFonts w:ascii="Times New Roman" w:hAnsi="Times New Roman" w:cs="Times New Roman"/>
      <w:b/>
      <w:smallCaps/>
    </w:rPr>
  </w:style>
  <w:style w:type="paragraph" w:customStyle="1" w:styleId="P68B1DB1-Normal116">
    <w:name w:val="P68B1DB1-Normal116"/>
    <w:basedOn w:val="Normal"/>
    <w:rPr>
      <w:rFonts w:ascii="Times New Roman" w:eastAsia="Times New Roman" w:hAnsi="Times New Roman" w:cs="Times New Roman"/>
      <w:sz w:val="23"/>
      <w:szCs w:val="23"/>
    </w:rPr>
  </w:style>
  <w:style w:type="paragraph" w:customStyle="1" w:styleId="P68B1DB1-Heading2117">
    <w:name w:val="P68B1DB1-Heading2117"/>
    <w:basedOn w:val="Heading2"/>
    <w:rPr>
      <w:rFonts w:ascii="Times New Roman" w:hAnsi="Times New Roman" w:cs="Times New Roman"/>
      <w:b/>
      <w:color w:val="auto"/>
      <w:sz w:val="24"/>
      <w:szCs w:val="24"/>
    </w:rPr>
  </w:style>
  <w:style w:type="paragraph" w:customStyle="1" w:styleId="P68B1DB1-Heading3118">
    <w:name w:val="P68B1DB1-Heading3118"/>
    <w:basedOn w:val="Heading3"/>
    <w:rPr>
      <w:rFonts w:ascii="Times New Roman" w:hAnsi="Times New Roman" w:cs="Times New Roman"/>
      <w:b/>
      <w:color w:val="auto"/>
      <w:sz w:val="24"/>
      <w:szCs w:val="24"/>
    </w:rPr>
  </w:style>
  <w:style w:type="paragraph" w:customStyle="1" w:styleId="P68B1DB1-Heading4119">
    <w:name w:val="P68B1DB1-Heading4119"/>
    <w:basedOn w:val="Heading4"/>
    <w:rPr>
      <w:rFonts w:ascii="Times New Roman" w:hAnsi="Times New Roman" w:cs="Times New Roman"/>
      <w:i w:val="0"/>
      <w:iCs w:val="0"/>
      <w:color w:val="auto"/>
    </w:rPr>
  </w:style>
  <w:style w:type="paragraph" w:customStyle="1" w:styleId="P68B1DB1-Normal120">
    <w:name w:val="P68B1DB1-Normal120"/>
    <w:basedOn w:val="Normal"/>
    <w:rPr>
      <w:rFonts w:ascii="Times New Roman" w:eastAsia="Times New Roman" w:hAnsi="Times New Roman" w:cs="Times New Roman"/>
      <w:b/>
      <w:color w:val="000000"/>
      <w:sz w:val="20"/>
      <w:szCs w:val="20"/>
    </w:rPr>
  </w:style>
  <w:style w:type="paragraph" w:customStyle="1" w:styleId="P68B1DB1-Normal121">
    <w:name w:val="P68B1DB1-Normal121"/>
    <w:basedOn w:val="Normal"/>
    <w:rPr>
      <w:rFonts w:ascii="Times New Roman" w:eastAsia="Times New Roman" w:hAnsi="Times New Roman" w:cs="Times New Roman"/>
      <w:color w:val="006100"/>
      <w:sz w:val="20"/>
      <w:szCs w:val="20"/>
    </w:rPr>
  </w:style>
  <w:style w:type="paragraph" w:customStyle="1" w:styleId="P68B1DB1-Normal122">
    <w:name w:val="P68B1DB1-Normal122"/>
    <w:basedOn w:val="Normal"/>
    <w:rPr>
      <w:rFonts w:ascii="Times New Roman" w:eastAsia="Times New Roman" w:hAnsi="Times New Roman" w:cs="Times New Roman"/>
      <w:sz w:val="20"/>
      <w:szCs w:val="20"/>
    </w:rPr>
  </w:style>
  <w:style w:type="paragraph" w:customStyle="1" w:styleId="P68B1DB1-Normal123">
    <w:name w:val="P68B1DB1-Normal123"/>
    <w:basedOn w:val="Normal"/>
    <w:rPr>
      <w:rFonts w:ascii="Times New Roman" w:eastAsia="Times New Roman" w:hAnsi="Times New Roman" w:cs="Times New Roman"/>
      <w:color w:val="006600"/>
      <w:sz w:val="20"/>
      <w:szCs w:val="20"/>
    </w:rPr>
  </w:style>
  <w:style w:type="paragraph" w:customStyle="1" w:styleId="P68B1DB1-Normal124">
    <w:name w:val="P68B1DB1-Normal124"/>
    <w:basedOn w:val="Normal"/>
    <w:rPr>
      <w:rFonts w:ascii="Times New Roman" w:hAnsi="Arial Narrow"/>
      <w:color w:val="006100"/>
      <w:sz w:val="20"/>
      <w:szCs w:val="20"/>
    </w:rPr>
  </w:style>
  <w:style w:type="paragraph" w:customStyle="1" w:styleId="P68B1DB1-Normal125">
    <w:name w:val="P68B1DB1-Normal125"/>
    <w:basedOn w:val="Normal"/>
    <w:rPr>
      <w:rFonts w:ascii="Times New Roman" w:eastAsia="Calibri" w:hAnsi="Times New Roman" w:cs="Times New Roman"/>
      <w:b/>
    </w:rPr>
  </w:style>
  <w:style w:type="paragraph" w:customStyle="1" w:styleId="P68B1DB1-Normal126">
    <w:name w:val="P68B1DB1-Normal126"/>
    <w:basedOn w:val="Normal"/>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6446">
      <w:bodyDiv w:val="1"/>
      <w:marLeft w:val="0"/>
      <w:marRight w:val="0"/>
      <w:marTop w:val="0"/>
      <w:marBottom w:val="0"/>
      <w:divBdr>
        <w:top w:val="none" w:sz="0" w:space="0" w:color="auto"/>
        <w:left w:val="none" w:sz="0" w:space="0" w:color="auto"/>
        <w:bottom w:val="none" w:sz="0" w:space="0" w:color="auto"/>
        <w:right w:val="none" w:sz="0" w:space="0" w:color="auto"/>
      </w:divBdr>
      <w:divsChild>
        <w:div w:id="925920791">
          <w:marLeft w:val="0"/>
          <w:marRight w:val="0"/>
          <w:marTop w:val="0"/>
          <w:marBottom w:val="0"/>
          <w:divBdr>
            <w:top w:val="none" w:sz="0" w:space="0" w:color="auto"/>
            <w:left w:val="none" w:sz="0" w:space="0" w:color="auto"/>
            <w:bottom w:val="none" w:sz="0" w:space="0" w:color="auto"/>
            <w:right w:val="none" w:sz="0" w:space="0" w:color="auto"/>
          </w:divBdr>
        </w:div>
        <w:div w:id="1093087414">
          <w:marLeft w:val="0"/>
          <w:marRight w:val="0"/>
          <w:marTop w:val="0"/>
          <w:marBottom w:val="0"/>
          <w:divBdr>
            <w:top w:val="none" w:sz="0" w:space="0" w:color="auto"/>
            <w:left w:val="none" w:sz="0" w:space="0" w:color="auto"/>
            <w:bottom w:val="none" w:sz="0" w:space="0" w:color="auto"/>
            <w:right w:val="none" w:sz="0" w:space="0" w:color="auto"/>
          </w:divBdr>
        </w:div>
        <w:div w:id="2034458499">
          <w:marLeft w:val="0"/>
          <w:marRight w:val="0"/>
          <w:marTop w:val="0"/>
          <w:marBottom w:val="0"/>
          <w:divBdr>
            <w:top w:val="none" w:sz="0" w:space="0" w:color="auto"/>
            <w:left w:val="none" w:sz="0" w:space="0" w:color="auto"/>
            <w:bottom w:val="none" w:sz="0" w:space="0" w:color="auto"/>
            <w:right w:val="none" w:sz="0" w:space="0" w:color="auto"/>
          </w:divBdr>
          <w:divsChild>
            <w:div w:id="633566753">
              <w:marLeft w:val="-75"/>
              <w:marRight w:val="0"/>
              <w:marTop w:val="30"/>
              <w:marBottom w:val="30"/>
              <w:divBdr>
                <w:top w:val="none" w:sz="0" w:space="0" w:color="auto"/>
                <w:left w:val="none" w:sz="0" w:space="0" w:color="auto"/>
                <w:bottom w:val="none" w:sz="0" w:space="0" w:color="auto"/>
                <w:right w:val="none" w:sz="0" w:space="0" w:color="auto"/>
              </w:divBdr>
              <w:divsChild>
                <w:div w:id="4673684">
                  <w:marLeft w:val="0"/>
                  <w:marRight w:val="0"/>
                  <w:marTop w:val="0"/>
                  <w:marBottom w:val="0"/>
                  <w:divBdr>
                    <w:top w:val="none" w:sz="0" w:space="0" w:color="auto"/>
                    <w:left w:val="none" w:sz="0" w:space="0" w:color="auto"/>
                    <w:bottom w:val="none" w:sz="0" w:space="0" w:color="auto"/>
                    <w:right w:val="none" w:sz="0" w:space="0" w:color="auto"/>
                  </w:divBdr>
                  <w:divsChild>
                    <w:div w:id="1957131879">
                      <w:marLeft w:val="0"/>
                      <w:marRight w:val="0"/>
                      <w:marTop w:val="0"/>
                      <w:marBottom w:val="0"/>
                      <w:divBdr>
                        <w:top w:val="none" w:sz="0" w:space="0" w:color="auto"/>
                        <w:left w:val="none" w:sz="0" w:space="0" w:color="auto"/>
                        <w:bottom w:val="none" w:sz="0" w:space="0" w:color="auto"/>
                        <w:right w:val="none" w:sz="0" w:space="0" w:color="auto"/>
                      </w:divBdr>
                    </w:div>
                  </w:divsChild>
                </w:div>
                <w:div w:id="5641446">
                  <w:marLeft w:val="0"/>
                  <w:marRight w:val="0"/>
                  <w:marTop w:val="0"/>
                  <w:marBottom w:val="0"/>
                  <w:divBdr>
                    <w:top w:val="none" w:sz="0" w:space="0" w:color="auto"/>
                    <w:left w:val="none" w:sz="0" w:space="0" w:color="auto"/>
                    <w:bottom w:val="none" w:sz="0" w:space="0" w:color="auto"/>
                    <w:right w:val="none" w:sz="0" w:space="0" w:color="auto"/>
                  </w:divBdr>
                  <w:divsChild>
                    <w:div w:id="846215786">
                      <w:marLeft w:val="0"/>
                      <w:marRight w:val="0"/>
                      <w:marTop w:val="0"/>
                      <w:marBottom w:val="0"/>
                      <w:divBdr>
                        <w:top w:val="none" w:sz="0" w:space="0" w:color="auto"/>
                        <w:left w:val="none" w:sz="0" w:space="0" w:color="auto"/>
                        <w:bottom w:val="none" w:sz="0" w:space="0" w:color="auto"/>
                        <w:right w:val="none" w:sz="0" w:space="0" w:color="auto"/>
                      </w:divBdr>
                    </w:div>
                  </w:divsChild>
                </w:div>
                <w:div w:id="8677606">
                  <w:marLeft w:val="0"/>
                  <w:marRight w:val="0"/>
                  <w:marTop w:val="0"/>
                  <w:marBottom w:val="0"/>
                  <w:divBdr>
                    <w:top w:val="none" w:sz="0" w:space="0" w:color="auto"/>
                    <w:left w:val="none" w:sz="0" w:space="0" w:color="auto"/>
                    <w:bottom w:val="none" w:sz="0" w:space="0" w:color="auto"/>
                    <w:right w:val="none" w:sz="0" w:space="0" w:color="auto"/>
                  </w:divBdr>
                  <w:divsChild>
                    <w:div w:id="238951052">
                      <w:marLeft w:val="0"/>
                      <w:marRight w:val="0"/>
                      <w:marTop w:val="0"/>
                      <w:marBottom w:val="0"/>
                      <w:divBdr>
                        <w:top w:val="none" w:sz="0" w:space="0" w:color="auto"/>
                        <w:left w:val="none" w:sz="0" w:space="0" w:color="auto"/>
                        <w:bottom w:val="none" w:sz="0" w:space="0" w:color="auto"/>
                        <w:right w:val="none" w:sz="0" w:space="0" w:color="auto"/>
                      </w:divBdr>
                    </w:div>
                  </w:divsChild>
                </w:div>
                <w:div w:id="18744407">
                  <w:marLeft w:val="0"/>
                  <w:marRight w:val="0"/>
                  <w:marTop w:val="0"/>
                  <w:marBottom w:val="0"/>
                  <w:divBdr>
                    <w:top w:val="none" w:sz="0" w:space="0" w:color="auto"/>
                    <w:left w:val="none" w:sz="0" w:space="0" w:color="auto"/>
                    <w:bottom w:val="none" w:sz="0" w:space="0" w:color="auto"/>
                    <w:right w:val="none" w:sz="0" w:space="0" w:color="auto"/>
                  </w:divBdr>
                  <w:divsChild>
                    <w:div w:id="118573161">
                      <w:marLeft w:val="0"/>
                      <w:marRight w:val="0"/>
                      <w:marTop w:val="0"/>
                      <w:marBottom w:val="0"/>
                      <w:divBdr>
                        <w:top w:val="none" w:sz="0" w:space="0" w:color="auto"/>
                        <w:left w:val="none" w:sz="0" w:space="0" w:color="auto"/>
                        <w:bottom w:val="none" w:sz="0" w:space="0" w:color="auto"/>
                        <w:right w:val="none" w:sz="0" w:space="0" w:color="auto"/>
                      </w:divBdr>
                    </w:div>
                  </w:divsChild>
                </w:div>
                <w:div w:id="22099228">
                  <w:marLeft w:val="0"/>
                  <w:marRight w:val="0"/>
                  <w:marTop w:val="0"/>
                  <w:marBottom w:val="0"/>
                  <w:divBdr>
                    <w:top w:val="none" w:sz="0" w:space="0" w:color="auto"/>
                    <w:left w:val="none" w:sz="0" w:space="0" w:color="auto"/>
                    <w:bottom w:val="none" w:sz="0" w:space="0" w:color="auto"/>
                    <w:right w:val="none" w:sz="0" w:space="0" w:color="auto"/>
                  </w:divBdr>
                  <w:divsChild>
                    <w:div w:id="1773356721">
                      <w:marLeft w:val="0"/>
                      <w:marRight w:val="0"/>
                      <w:marTop w:val="0"/>
                      <w:marBottom w:val="0"/>
                      <w:divBdr>
                        <w:top w:val="none" w:sz="0" w:space="0" w:color="auto"/>
                        <w:left w:val="none" w:sz="0" w:space="0" w:color="auto"/>
                        <w:bottom w:val="none" w:sz="0" w:space="0" w:color="auto"/>
                        <w:right w:val="none" w:sz="0" w:space="0" w:color="auto"/>
                      </w:divBdr>
                    </w:div>
                  </w:divsChild>
                </w:div>
                <w:div w:id="23942954">
                  <w:marLeft w:val="0"/>
                  <w:marRight w:val="0"/>
                  <w:marTop w:val="0"/>
                  <w:marBottom w:val="0"/>
                  <w:divBdr>
                    <w:top w:val="none" w:sz="0" w:space="0" w:color="auto"/>
                    <w:left w:val="none" w:sz="0" w:space="0" w:color="auto"/>
                    <w:bottom w:val="none" w:sz="0" w:space="0" w:color="auto"/>
                    <w:right w:val="none" w:sz="0" w:space="0" w:color="auto"/>
                  </w:divBdr>
                  <w:divsChild>
                    <w:div w:id="138116385">
                      <w:marLeft w:val="0"/>
                      <w:marRight w:val="0"/>
                      <w:marTop w:val="0"/>
                      <w:marBottom w:val="0"/>
                      <w:divBdr>
                        <w:top w:val="none" w:sz="0" w:space="0" w:color="auto"/>
                        <w:left w:val="none" w:sz="0" w:space="0" w:color="auto"/>
                        <w:bottom w:val="none" w:sz="0" w:space="0" w:color="auto"/>
                        <w:right w:val="none" w:sz="0" w:space="0" w:color="auto"/>
                      </w:divBdr>
                    </w:div>
                  </w:divsChild>
                </w:div>
                <w:div w:id="28460580">
                  <w:marLeft w:val="0"/>
                  <w:marRight w:val="0"/>
                  <w:marTop w:val="0"/>
                  <w:marBottom w:val="0"/>
                  <w:divBdr>
                    <w:top w:val="none" w:sz="0" w:space="0" w:color="auto"/>
                    <w:left w:val="none" w:sz="0" w:space="0" w:color="auto"/>
                    <w:bottom w:val="none" w:sz="0" w:space="0" w:color="auto"/>
                    <w:right w:val="none" w:sz="0" w:space="0" w:color="auto"/>
                  </w:divBdr>
                  <w:divsChild>
                    <w:div w:id="1500729867">
                      <w:marLeft w:val="0"/>
                      <w:marRight w:val="0"/>
                      <w:marTop w:val="0"/>
                      <w:marBottom w:val="0"/>
                      <w:divBdr>
                        <w:top w:val="none" w:sz="0" w:space="0" w:color="auto"/>
                        <w:left w:val="none" w:sz="0" w:space="0" w:color="auto"/>
                        <w:bottom w:val="none" w:sz="0" w:space="0" w:color="auto"/>
                        <w:right w:val="none" w:sz="0" w:space="0" w:color="auto"/>
                      </w:divBdr>
                    </w:div>
                  </w:divsChild>
                </w:div>
                <w:div w:id="31227380">
                  <w:marLeft w:val="0"/>
                  <w:marRight w:val="0"/>
                  <w:marTop w:val="0"/>
                  <w:marBottom w:val="0"/>
                  <w:divBdr>
                    <w:top w:val="none" w:sz="0" w:space="0" w:color="auto"/>
                    <w:left w:val="none" w:sz="0" w:space="0" w:color="auto"/>
                    <w:bottom w:val="none" w:sz="0" w:space="0" w:color="auto"/>
                    <w:right w:val="none" w:sz="0" w:space="0" w:color="auto"/>
                  </w:divBdr>
                  <w:divsChild>
                    <w:div w:id="234702579">
                      <w:marLeft w:val="0"/>
                      <w:marRight w:val="0"/>
                      <w:marTop w:val="0"/>
                      <w:marBottom w:val="0"/>
                      <w:divBdr>
                        <w:top w:val="none" w:sz="0" w:space="0" w:color="auto"/>
                        <w:left w:val="none" w:sz="0" w:space="0" w:color="auto"/>
                        <w:bottom w:val="none" w:sz="0" w:space="0" w:color="auto"/>
                        <w:right w:val="none" w:sz="0" w:space="0" w:color="auto"/>
                      </w:divBdr>
                    </w:div>
                    <w:div w:id="262618687">
                      <w:marLeft w:val="0"/>
                      <w:marRight w:val="0"/>
                      <w:marTop w:val="0"/>
                      <w:marBottom w:val="0"/>
                      <w:divBdr>
                        <w:top w:val="none" w:sz="0" w:space="0" w:color="auto"/>
                        <w:left w:val="none" w:sz="0" w:space="0" w:color="auto"/>
                        <w:bottom w:val="none" w:sz="0" w:space="0" w:color="auto"/>
                        <w:right w:val="none" w:sz="0" w:space="0" w:color="auto"/>
                      </w:divBdr>
                    </w:div>
                    <w:div w:id="294599594">
                      <w:marLeft w:val="0"/>
                      <w:marRight w:val="0"/>
                      <w:marTop w:val="0"/>
                      <w:marBottom w:val="0"/>
                      <w:divBdr>
                        <w:top w:val="none" w:sz="0" w:space="0" w:color="auto"/>
                        <w:left w:val="none" w:sz="0" w:space="0" w:color="auto"/>
                        <w:bottom w:val="none" w:sz="0" w:space="0" w:color="auto"/>
                        <w:right w:val="none" w:sz="0" w:space="0" w:color="auto"/>
                      </w:divBdr>
                    </w:div>
                    <w:div w:id="342246322">
                      <w:marLeft w:val="0"/>
                      <w:marRight w:val="0"/>
                      <w:marTop w:val="0"/>
                      <w:marBottom w:val="0"/>
                      <w:divBdr>
                        <w:top w:val="none" w:sz="0" w:space="0" w:color="auto"/>
                        <w:left w:val="none" w:sz="0" w:space="0" w:color="auto"/>
                        <w:bottom w:val="none" w:sz="0" w:space="0" w:color="auto"/>
                        <w:right w:val="none" w:sz="0" w:space="0" w:color="auto"/>
                      </w:divBdr>
                    </w:div>
                    <w:div w:id="365981996">
                      <w:marLeft w:val="0"/>
                      <w:marRight w:val="0"/>
                      <w:marTop w:val="0"/>
                      <w:marBottom w:val="0"/>
                      <w:divBdr>
                        <w:top w:val="none" w:sz="0" w:space="0" w:color="auto"/>
                        <w:left w:val="none" w:sz="0" w:space="0" w:color="auto"/>
                        <w:bottom w:val="none" w:sz="0" w:space="0" w:color="auto"/>
                        <w:right w:val="none" w:sz="0" w:space="0" w:color="auto"/>
                      </w:divBdr>
                    </w:div>
                    <w:div w:id="488137147">
                      <w:marLeft w:val="0"/>
                      <w:marRight w:val="0"/>
                      <w:marTop w:val="0"/>
                      <w:marBottom w:val="0"/>
                      <w:divBdr>
                        <w:top w:val="none" w:sz="0" w:space="0" w:color="auto"/>
                        <w:left w:val="none" w:sz="0" w:space="0" w:color="auto"/>
                        <w:bottom w:val="none" w:sz="0" w:space="0" w:color="auto"/>
                        <w:right w:val="none" w:sz="0" w:space="0" w:color="auto"/>
                      </w:divBdr>
                    </w:div>
                    <w:div w:id="709183806">
                      <w:marLeft w:val="0"/>
                      <w:marRight w:val="0"/>
                      <w:marTop w:val="0"/>
                      <w:marBottom w:val="0"/>
                      <w:divBdr>
                        <w:top w:val="none" w:sz="0" w:space="0" w:color="auto"/>
                        <w:left w:val="none" w:sz="0" w:space="0" w:color="auto"/>
                        <w:bottom w:val="none" w:sz="0" w:space="0" w:color="auto"/>
                        <w:right w:val="none" w:sz="0" w:space="0" w:color="auto"/>
                      </w:divBdr>
                    </w:div>
                    <w:div w:id="783890280">
                      <w:marLeft w:val="0"/>
                      <w:marRight w:val="0"/>
                      <w:marTop w:val="0"/>
                      <w:marBottom w:val="0"/>
                      <w:divBdr>
                        <w:top w:val="none" w:sz="0" w:space="0" w:color="auto"/>
                        <w:left w:val="none" w:sz="0" w:space="0" w:color="auto"/>
                        <w:bottom w:val="none" w:sz="0" w:space="0" w:color="auto"/>
                        <w:right w:val="none" w:sz="0" w:space="0" w:color="auto"/>
                      </w:divBdr>
                    </w:div>
                    <w:div w:id="966352569">
                      <w:marLeft w:val="0"/>
                      <w:marRight w:val="0"/>
                      <w:marTop w:val="0"/>
                      <w:marBottom w:val="0"/>
                      <w:divBdr>
                        <w:top w:val="none" w:sz="0" w:space="0" w:color="auto"/>
                        <w:left w:val="none" w:sz="0" w:space="0" w:color="auto"/>
                        <w:bottom w:val="none" w:sz="0" w:space="0" w:color="auto"/>
                        <w:right w:val="none" w:sz="0" w:space="0" w:color="auto"/>
                      </w:divBdr>
                    </w:div>
                    <w:div w:id="1096905088">
                      <w:marLeft w:val="0"/>
                      <w:marRight w:val="0"/>
                      <w:marTop w:val="0"/>
                      <w:marBottom w:val="0"/>
                      <w:divBdr>
                        <w:top w:val="none" w:sz="0" w:space="0" w:color="auto"/>
                        <w:left w:val="none" w:sz="0" w:space="0" w:color="auto"/>
                        <w:bottom w:val="none" w:sz="0" w:space="0" w:color="auto"/>
                        <w:right w:val="none" w:sz="0" w:space="0" w:color="auto"/>
                      </w:divBdr>
                    </w:div>
                    <w:div w:id="2125997701">
                      <w:marLeft w:val="0"/>
                      <w:marRight w:val="0"/>
                      <w:marTop w:val="0"/>
                      <w:marBottom w:val="0"/>
                      <w:divBdr>
                        <w:top w:val="none" w:sz="0" w:space="0" w:color="auto"/>
                        <w:left w:val="none" w:sz="0" w:space="0" w:color="auto"/>
                        <w:bottom w:val="none" w:sz="0" w:space="0" w:color="auto"/>
                        <w:right w:val="none" w:sz="0" w:space="0" w:color="auto"/>
                      </w:divBdr>
                    </w:div>
                  </w:divsChild>
                </w:div>
                <w:div w:id="33239163">
                  <w:marLeft w:val="0"/>
                  <w:marRight w:val="0"/>
                  <w:marTop w:val="0"/>
                  <w:marBottom w:val="0"/>
                  <w:divBdr>
                    <w:top w:val="none" w:sz="0" w:space="0" w:color="auto"/>
                    <w:left w:val="none" w:sz="0" w:space="0" w:color="auto"/>
                    <w:bottom w:val="none" w:sz="0" w:space="0" w:color="auto"/>
                    <w:right w:val="none" w:sz="0" w:space="0" w:color="auto"/>
                  </w:divBdr>
                  <w:divsChild>
                    <w:div w:id="625428819">
                      <w:marLeft w:val="0"/>
                      <w:marRight w:val="0"/>
                      <w:marTop w:val="0"/>
                      <w:marBottom w:val="0"/>
                      <w:divBdr>
                        <w:top w:val="none" w:sz="0" w:space="0" w:color="auto"/>
                        <w:left w:val="none" w:sz="0" w:space="0" w:color="auto"/>
                        <w:bottom w:val="none" w:sz="0" w:space="0" w:color="auto"/>
                        <w:right w:val="none" w:sz="0" w:space="0" w:color="auto"/>
                      </w:divBdr>
                    </w:div>
                  </w:divsChild>
                </w:div>
                <w:div w:id="44572490">
                  <w:marLeft w:val="0"/>
                  <w:marRight w:val="0"/>
                  <w:marTop w:val="0"/>
                  <w:marBottom w:val="0"/>
                  <w:divBdr>
                    <w:top w:val="none" w:sz="0" w:space="0" w:color="auto"/>
                    <w:left w:val="none" w:sz="0" w:space="0" w:color="auto"/>
                    <w:bottom w:val="none" w:sz="0" w:space="0" w:color="auto"/>
                    <w:right w:val="none" w:sz="0" w:space="0" w:color="auto"/>
                  </w:divBdr>
                  <w:divsChild>
                    <w:div w:id="1933665103">
                      <w:marLeft w:val="0"/>
                      <w:marRight w:val="0"/>
                      <w:marTop w:val="0"/>
                      <w:marBottom w:val="0"/>
                      <w:divBdr>
                        <w:top w:val="none" w:sz="0" w:space="0" w:color="auto"/>
                        <w:left w:val="none" w:sz="0" w:space="0" w:color="auto"/>
                        <w:bottom w:val="none" w:sz="0" w:space="0" w:color="auto"/>
                        <w:right w:val="none" w:sz="0" w:space="0" w:color="auto"/>
                      </w:divBdr>
                    </w:div>
                  </w:divsChild>
                </w:div>
                <w:div w:id="55279268">
                  <w:marLeft w:val="0"/>
                  <w:marRight w:val="0"/>
                  <w:marTop w:val="0"/>
                  <w:marBottom w:val="0"/>
                  <w:divBdr>
                    <w:top w:val="none" w:sz="0" w:space="0" w:color="auto"/>
                    <w:left w:val="none" w:sz="0" w:space="0" w:color="auto"/>
                    <w:bottom w:val="none" w:sz="0" w:space="0" w:color="auto"/>
                    <w:right w:val="none" w:sz="0" w:space="0" w:color="auto"/>
                  </w:divBdr>
                  <w:divsChild>
                    <w:div w:id="1682854497">
                      <w:marLeft w:val="0"/>
                      <w:marRight w:val="0"/>
                      <w:marTop w:val="0"/>
                      <w:marBottom w:val="0"/>
                      <w:divBdr>
                        <w:top w:val="none" w:sz="0" w:space="0" w:color="auto"/>
                        <w:left w:val="none" w:sz="0" w:space="0" w:color="auto"/>
                        <w:bottom w:val="none" w:sz="0" w:space="0" w:color="auto"/>
                        <w:right w:val="none" w:sz="0" w:space="0" w:color="auto"/>
                      </w:divBdr>
                    </w:div>
                  </w:divsChild>
                </w:div>
                <w:div w:id="58673812">
                  <w:marLeft w:val="0"/>
                  <w:marRight w:val="0"/>
                  <w:marTop w:val="0"/>
                  <w:marBottom w:val="0"/>
                  <w:divBdr>
                    <w:top w:val="none" w:sz="0" w:space="0" w:color="auto"/>
                    <w:left w:val="none" w:sz="0" w:space="0" w:color="auto"/>
                    <w:bottom w:val="none" w:sz="0" w:space="0" w:color="auto"/>
                    <w:right w:val="none" w:sz="0" w:space="0" w:color="auto"/>
                  </w:divBdr>
                  <w:divsChild>
                    <w:div w:id="127629207">
                      <w:marLeft w:val="0"/>
                      <w:marRight w:val="0"/>
                      <w:marTop w:val="0"/>
                      <w:marBottom w:val="0"/>
                      <w:divBdr>
                        <w:top w:val="none" w:sz="0" w:space="0" w:color="auto"/>
                        <w:left w:val="none" w:sz="0" w:space="0" w:color="auto"/>
                        <w:bottom w:val="none" w:sz="0" w:space="0" w:color="auto"/>
                        <w:right w:val="none" w:sz="0" w:space="0" w:color="auto"/>
                      </w:divBdr>
                    </w:div>
                  </w:divsChild>
                </w:div>
                <w:div w:id="71051320">
                  <w:marLeft w:val="0"/>
                  <w:marRight w:val="0"/>
                  <w:marTop w:val="0"/>
                  <w:marBottom w:val="0"/>
                  <w:divBdr>
                    <w:top w:val="none" w:sz="0" w:space="0" w:color="auto"/>
                    <w:left w:val="none" w:sz="0" w:space="0" w:color="auto"/>
                    <w:bottom w:val="none" w:sz="0" w:space="0" w:color="auto"/>
                    <w:right w:val="none" w:sz="0" w:space="0" w:color="auto"/>
                  </w:divBdr>
                  <w:divsChild>
                    <w:div w:id="1025522015">
                      <w:marLeft w:val="0"/>
                      <w:marRight w:val="0"/>
                      <w:marTop w:val="0"/>
                      <w:marBottom w:val="0"/>
                      <w:divBdr>
                        <w:top w:val="none" w:sz="0" w:space="0" w:color="auto"/>
                        <w:left w:val="none" w:sz="0" w:space="0" w:color="auto"/>
                        <w:bottom w:val="none" w:sz="0" w:space="0" w:color="auto"/>
                        <w:right w:val="none" w:sz="0" w:space="0" w:color="auto"/>
                      </w:divBdr>
                    </w:div>
                  </w:divsChild>
                </w:div>
                <w:div w:id="71125536">
                  <w:marLeft w:val="0"/>
                  <w:marRight w:val="0"/>
                  <w:marTop w:val="0"/>
                  <w:marBottom w:val="0"/>
                  <w:divBdr>
                    <w:top w:val="none" w:sz="0" w:space="0" w:color="auto"/>
                    <w:left w:val="none" w:sz="0" w:space="0" w:color="auto"/>
                    <w:bottom w:val="none" w:sz="0" w:space="0" w:color="auto"/>
                    <w:right w:val="none" w:sz="0" w:space="0" w:color="auto"/>
                  </w:divBdr>
                  <w:divsChild>
                    <w:div w:id="1896236807">
                      <w:marLeft w:val="0"/>
                      <w:marRight w:val="0"/>
                      <w:marTop w:val="0"/>
                      <w:marBottom w:val="0"/>
                      <w:divBdr>
                        <w:top w:val="none" w:sz="0" w:space="0" w:color="auto"/>
                        <w:left w:val="none" w:sz="0" w:space="0" w:color="auto"/>
                        <w:bottom w:val="none" w:sz="0" w:space="0" w:color="auto"/>
                        <w:right w:val="none" w:sz="0" w:space="0" w:color="auto"/>
                      </w:divBdr>
                    </w:div>
                  </w:divsChild>
                </w:div>
                <w:div w:id="71895557">
                  <w:marLeft w:val="0"/>
                  <w:marRight w:val="0"/>
                  <w:marTop w:val="0"/>
                  <w:marBottom w:val="0"/>
                  <w:divBdr>
                    <w:top w:val="none" w:sz="0" w:space="0" w:color="auto"/>
                    <w:left w:val="none" w:sz="0" w:space="0" w:color="auto"/>
                    <w:bottom w:val="none" w:sz="0" w:space="0" w:color="auto"/>
                    <w:right w:val="none" w:sz="0" w:space="0" w:color="auto"/>
                  </w:divBdr>
                  <w:divsChild>
                    <w:div w:id="1439988995">
                      <w:marLeft w:val="0"/>
                      <w:marRight w:val="0"/>
                      <w:marTop w:val="0"/>
                      <w:marBottom w:val="0"/>
                      <w:divBdr>
                        <w:top w:val="none" w:sz="0" w:space="0" w:color="auto"/>
                        <w:left w:val="none" w:sz="0" w:space="0" w:color="auto"/>
                        <w:bottom w:val="none" w:sz="0" w:space="0" w:color="auto"/>
                        <w:right w:val="none" w:sz="0" w:space="0" w:color="auto"/>
                      </w:divBdr>
                    </w:div>
                  </w:divsChild>
                </w:div>
                <w:div w:id="74130291">
                  <w:marLeft w:val="0"/>
                  <w:marRight w:val="0"/>
                  <w:marTop w:val="0"/>
                  <w:marBottom w:val="0"/>
                  <w:divBdr>
                    <w:top w:val="none" w:sz="0" w:space="0" w:color="auto"/>
                    <w:left w:val="none" w:sz="0" w:space="0" w:color="auto"/>
                    <w:bottom w:val="none" w:sz="0" w:space="0" w:color="auto"/>
                    <w:right w:val="none" w:sz="0" w:space="0" w:color="auto"/>
                  </w:divBdr>
                  <w:divsChild>
                    <w:div w:id="1324624242">
                      <w:marLeft w:val="0"/>
                      <w:marRight w:val="0"/>
                      <w:marTop w:val="0"/>
                      <w:marBottom w:val="0"/>
                      <w:divBdr>
                        <w:top w:val="none" w:sz="0" w:space="0" w:color="auto"/>
                        <w:left w:val="none" w:sz="0" w:space="0" w:color="auto"/>
                        <w:bottom w:val="none" w:sz="0" w:space="0" w:color="auto"/>
                        <w:right w:val="none" w:sz="0" w:space="0" w:color="auto"/>
                      </w:divBdr>
                    </w:div>
                  </w:divsChild>
                </w:div>
                <w:div w:id="81489462">
                  <w:marLeft w:val="0"/>
                  <w:marRight w:val="0"/>
                  <w:marTop w:val="0"/>
                  <w:marBottom w:val="0"/>
                  <w:divBdr>
                    <w:top w:val="none" w:sz="0" w:space="0" w:color="auto"/>
                    <w:left w:val="none" w:sz="0" w:space="0" w:color="auto"/>
                    <w:bottom w:val="none" w:sz="0" w:space="0" w:color="auto"/>
                    <w:right w:val="none" w:sz="0" w:space="0" w:color="auto"/>
                  </w:divBdr>
                  <w:divsChild>
                    <w:div w:id="1782648259">
                      <w:marLeft w:val="0"/>
                      <w:marRight w:val="0"/>
                      <w:marTop w:val="0"/>
                      <w:marBottom w:val="0"/>
                      <w:divBdr>
                        <w:top w:val="none" w:sz="0" w:space="0" w:color="auto"/>
                        <w:left w:val="none" w:sz="0" w:space="0" w:color="auto"/>
                        <w:bottom w:val="none" w:sz="0" w:space="0" w:color="auto"/>
                        <w:right w:val="none" w:sz="0" w:space="0" w:color="auto"/>
                      </w:divBdr>
                    </w:div>
                  </w:divsChild>
                </w:div>
                <w:div w:id="84693188">
                  <w:marLeft w:val="0"/>
                  <w:marRight w:val="0"/>
                  <w:marTop w:val="0"/>
                  <w:marBottom w:val="0"/>
                  <w:divBdr>
                    <w:top w:val="none" w:sz="0" w:space="0" w:color="auto"/>
                    <w:left w:val="none" w:sz="0" w:space="0" w:color="auto"/>
                    <w:bottom w:val="none" w:sz="0" w:space="0" w:color="auto"/>
                    <w:right w:val="none" w:sz="0" w:space="0" w:color="auto"/>
                  </w:divBdr>
                  <w:divsChild>
                    <w:div w:id="868228131">
                      <w:marLeft w:val="0"/>
                      <w:marRight w:val="0"/>
                      <w:marTop w:val="0"/>
                      <w:marBottom w:val="0"/>
                      <w:divBdr>
                        <w:top w:val="none" w:sz="0" w:space="0" w:color="auto"/>
                        <w:left w:val="none" w:sz="0" w:space="0" w:color="auto"/>
                        <w:bottom w:val="none" w:sz="0" w:space="0" w:color="auto"/>
                        <w:right w:val="none" w:sz="0" w:space="0" w:color="auto"/>
                      </w:divBdr>
                    </w:div>
                  </w:divsChild>
                </w:div>
                <w:div w:id="86776475">
                  <w:marLeft w:val="0"/>
                  <w:marRight w:val="0"/>
                  <w:marTop w:val="0"/>
                  <w:marBottom w:val="0"/>
                  <w:divBdr>
                    <w:top w:val="none" w:sz="0" w:space="0" w:color="auto"/>
                    <w:left w:val="none" w:sz="0" w:space="0" w:color="auto"/>
                    <w:bottom w:val="none" w:sz="0" w:space="0" w:color="auto"/>
                    <w:right w:val="none" w:sz="0" w:space="0" w:color="auto"/>
                  </w:divBdr>
                  <w:divsChild>
                    <w:div w:id="1584602931">
                      <w:marLeft w:val="0"/>
                      <w:marRight w:val="0"/>
                      <w:marTop w:val="0"/>
                      <w:marBottom w:val="0"/>
                      <w:divBdr>
                        <w:top w:val="none" w:sz="0" w:space="0" w:color="auto"/>
                        <w:left w:val="none" w:sz="0" w:space="0" w:color="auto"/>
                        <w:bottom w:val="none" w:sz="0" w:space="0" w:color="auto"/>
                        <w:right w:val="none" w:sz="0" w:space="0" w:color="auto"/>
                      </w:divBdr>
                    </w:div>
                  </w:divsChild>
                </w:div>
                <w:div w:id="90007801">
                  <w:marLeft w:val="0"/>
                  <w:marRight w:val="0"/>
                  <w:marTop w:val="0"/>
                  <w:marBottom w:val="0"/>
                  <w:divBdr>
                    <w:top w:val="none" w:sz="0" w:space="0" w:color="auto"/>
                    <w:left w:val="none" w:sz="0" w:space="0" w:color="auto"/>
                    <w:bottom w:val="none" w:sz="0" w:space="0" w:color="auto"/>
                    <w:right w:val="none" w:sz="0" w:space="0" w:color="auto"/>
                  </w:divBdr>
                  <w:divsChild>
                    <w:div w:id="1985088072">
                      <w:marLeft w:val="0"/>
                      <w:marRight w:val="0"/>
                      <w:marTop w:val="0"/>
                      <w:marBottom w:val="0"/>
                      <w:divBdr>
                        <w:top w:val="none" w:sz="0" w:space="0" w:color="auto"/>
                        <w:left w:val="none" w:sz="0" w:space="0" w:color="auto"/>
                        <w:bottom w:val="none" w:sz="0" w:space="0" w:color="auto"/>
                        <w:right w:val="none" w:sz="0" w:space="0" w:color="auto"/>
                      </w:divBdr>
                    </w:div>
                  </w:divsChild>
                </w:div>
                <w:div w:id="95756880">
                  <w:marLeft w:val="0"/>
                  <w:marRight w:val="0"/>
                  <w:marTop w:val="0"/>
                  <w:marBottom w:val="0"/>
                  <w:divBdr>
                    <w:top w:val="none" w:sz="0" w:space="0" w:color="auto"/>
                    <w:left w:val="none" w:sz="0" w:space="0" w:color="auto"/>
                    <w:bottom w:val="none" w:sz="0" w:space="0" w:color="auto"/>
                    <w:right w:val="none" w:sz="0" w:space="0" w:color="auto"/>
                  </w:divBdr>
                  <w:divsChild>
                    <w:div w:id="306084536">
                      <w:marLeft w:val="0"/>
                      <w:marRight w:val="0"/>
                      <w:marTop w:val="0"/>
                      <w:marBottom w:val="0"/>
                      <w:divBdr>
                        <w:top w:val="none" w:sz="0" w:space="0" w:color="auto"/>
                        <w:left w:val="none" w:sz="0" w:space="0" w:color="auto"/>
                        <w:bottom w:val="none" w:sz="0" w:space="0" w:color="auto"/>
                        <w:right w:val="none" w:sz="0" w:space="0" w:color="auto"/>
                      </w:divBdr>
                    </w:div>
                  </w:divsChild>
                </w:div>
                <w:div w:id="109009023">
                  <w:marLeft w:val="0"/>
                  <w:marRight w:val="0"/>
                  <w:marTop w:val="0"/>
                  <w:marBottom w:val="0"/>
                  <w:divBdr>
                    <w:top w:val="none" w:sz="0" w:space="0" w:color="auto"/>
                    <w:left w:val="none" w:sz="0" w:space="0" w:color="auto"/>
                    <w:bottom w:val="none" w:sz="0" w:space="0" w:color="auto"/>
                    <w:right w:val="none" w:sz="0" w:space="0" w:color="auto"/>
                  </w:divBdr>
                  <w:divsChild>
                    <w:div w:id="983968998">
                      <w:marLeft w:val="0"/>
                      <w:marRight w:val="0"/>
                      <w:marTop w:val="0"/>
                      <w:marBottom w:val="0"/>
                      <w:divBdr>
                        <w:top w:val="none" w:sz="0" w:space="0" w:color="auto"/>
                        <w:left w:val="none" w:sz="0" w:space="0" w:color="auto"/>
                        <w:bottom w:val="none" w:sz="0" w:space="0" w:color="auto"/>
                        <w:right w:val="none" w:sz="0" w:space="0" w:color="auto"/>
                      </w:divBdr>
                    </w:div>
                  </w:divsChild>
                </w:div>
                <w:div w:id="111746964">
                  <w:marLeft w:val="0"/>
                  <w:marRight w:val="0"/>
                  <w:marTop w:val="0"/>
                  <w:marBottom w:val="0"/>
                  <w:divBdr>
                    <w:top w:val="none" w:sz="0" w:space="0" w:color="auto"/>
                    <w:left w:val="none" w:sz="0" w:space="0" w:color="auto"/>
                    <w:bottom w:val="none" w:sz="0" w:space="0" w:color="auto"/>
                    <w:right w:val="none" w:sz="0" w:space="0" w:color="auto"/>
                  </w:divBdr>
                  <w:divsChild>
                    <w:div w:id="94205280">
                      <w:marLeft w:val="0"/>
                      <w:marRight w:val="0"/>
                      <w:marTop w:val="0"/>
                      <w:marBottom w:val="0"/>
                      <w:divBdr>
                        <w:top w:val="none" w:sz="0" w:space="0" w:color="auto"/>
                        <w:left w:val="none" w:sz="0" w:space="0" w:color="auto"/>
                        <w:bottom w:val="none" w:sz="0" w:space="0" w:color="auto"/>
                        <w:right w:val="none" w:sz="0" w:space="0" w:color="auto"/>
                      </w:divBdr>
                    </w:div>
                  </w:divsChild>
                </w:div>
                <w:div w:id="117070725">
                  <w:marLeft w:val="0"/>
                  <w:marRight w:val="0"/>
                  <w:marTop w:val="0"/>
                  <w:marBottom w:val="0"/>
                  <w:divBdr>
                    <w:top w:val="none" w:sz="0" w:space="0" w:color="auto"/>
                    <w:left w:val="none" w:sz="0" w:space="0" w:color="auto"/>
                    <w:bottom w:val="none" w:sz="0" w:space="0" w:color="auto"/>
                    <w:right w:val="none" w:sz="0" w:space="0" w:color="auto"/>
                  </w:divBdr>
                  <w:divsChild>
                    <w:div w:id="786703736">
                      <w:marLeft w:val="0"/>
                      <w:marRight w:val="0"/>
                      <w:marTop w:val="0"/>
                      <w:marBottom w:val="0"/>
                      <w:divBdr>
                        <w:top w:val="none" w:sz="0" w:space="0" w:color="auto"/>
                        <w:left w:val="none" w:sz="0" w:space="0" w:color="auto"/>
                        <w:bottom w:val="none" w:sz="0" w:space="0" w:color="auto"/>
                        <w:right w:val="none" w:sz="0" w:space="0" w:color="auto"/>
                      </w:divBdr>
                    </w:div>
                  </w:divsChild>
                </w:div>
                <w:div w:id="123430962">
                  <w:marLeft w:val="0"/>
                  <w:marRight w:val="0"/>
                  <w:marTop w:val="0"/>
                  <w:marBottom w:val="0"/>
                  <w:divBdr>
                    <w:top w:val="none" w:sz="0" w:space="0" w:color="auto"/>
                    <w:left w:val="none" w:sz="0" w:space="0" w:color="auto"/>
                    <w:bottom w:val="none" w:sz="0" w:space="0" w:color="auto"/>
                    <w:right w:val="none" w:sz="0" w:space="0" w:color="auto"/>
                  </w:divBdr>
                  <w:divsChild>
                    <w:div w:id="1266574373">
                      <w:marLeft w:val="0"/>
                      <w:marRight w:val="0"/>
                      <w:marTop w:val="0"/>
                      <w:marBottom w:val="0"/>
                      <w:divBdr>
                        <w:top w:val="none" w:sz="0" w:space="0" w:color="auto"/>
                        <w:left w:val="none" w:sz="0" w:space="0" w:color="auto"/>
                        <w:bottom w:val="none" w:sz="0" w:space="0" w:color="auto"/>
                        <w:right w:val="none" w:sz="0" w:space="0" w:color="auto"/>
                      </w:divBdr>
                    </w:div>
                  </w:divsChild>
                </w:div>
                <w:div w:id="151260716">
                  <w:marLeft w:val="0"/>
                  <w:marRight w:val="0"/>
                  <w:marTop w:val="0"/>
                  <w:marBottom w:val="0"/>
                  <w:divBdr>
                    <w:top w:val="none" w:sz="0" w:space="0" w:color="auto"/>
                    <w:left w:val="none" w:sz="0" w:space="0" w:color="auto"/>
                    <w:bottom w:val="none" w:sz="0" w:space="0" w:color="auto"/>
                    <w:right w:val="none" w:sz="0" w:space="0" w:color="auto"/>
                  </w:divBdr>
                  <w:divsChild>
                    <w:div w:id="769086383">
                      <w:marLeft w:val="0"/>
                      <w:marRight w:val="0"/>
                      <w:marTop w:val="0"/>
                      <w:marBottom w:val="0"/>
                      <w:divBdr>
                        <w:top w:val="none" w:sz="0" w:space="0" w:color="auto"/>
                        <w:left w:val="none" w:sz="0" w:space="0" w:color="auto"/>
                        <w:bottom w:val="none" w:sz="0" w:space="0" w:color="auto"/>
                        <w:right w:val="none" w:sz="0" w:space="0" w:color="auto"/>
                      </w:divBdr>
                    </w:div>
                  </w:divsChild>
                </w:div>
                <w:div w:id="152915210">
                  <w:marLeft w:val="0"/>
                  <w:marRight w:val="0"/>
                  <w:marTop w:val="0"/>
                  <w:marBottom w:val="0"/>
                  <w:divBdr>
                    <w:top w:val="none" w:sz="0" w:space="0" w:color="auto"/>
                    <w:left w:val="none" w:sz="0" w:space="0" w:color="auto"/>
                    <w:bottom w:val="none" w:sz="0" w:space="0" w:color="auto"/>
                    <w:right w:val="none" w:sz="0" w:space="0" w:color="auto"/>
                  </w:divBdr>
                  <w:divsChild>
                    <w:div w:id="190732755">
                      <w:marLeft w:val="0"/>
                      <w:marRight w:val="0"/>
                      <w:marTop w:val="0"/>
                      <w:marBottom w:val="0"/>
                      <w:divBdr>
                        <w:top w:val="none" w:sz="0" w:space="0" w:color="auto"/>
                        <w:left w:val="none" w:sz="0" w:space="0" w:color="auto"/>
                        <w:bottom w:val="none" w:sz="0" w:space="0" w:color="auto"/>
                        <w:right w:val="none" w:sz="0" w:space="0" w:color="auto"/>
                      </w:divBdr>
                    </w:div>
                  </w:divsChild>
                </w:div>
                <w:div w:id="157157280">
                  <w:marLeft w:val="0"/>
                  <w:marRight w:val="0"/>
                  <w:marTop w:val="0"/>
                  <w:marBottom w:val="0"/>
                  <w:divBdr>
                    <w:top w:val="none" w:sz="0" w:space="0" w:color="auto"/>
                    <w:left w:val="none" w:sz="0" w:space="0" w:color="auto"/>
                    <w:bottom w:val="none" w:sz="0" w:space="0" w:color="auto"/>
                    <w:right w:val="none" w:sz="0" w:space="0" w:color="auto"/>
                  </w:divBdr>
                  <w:divsChild>
                    <w:div w:id="866215753">
                      <w:marLeft w:val="0"/>
                      <w:marRight w:val="0"/>
                      <w:marTop w:val="0"/>
                      <w:marBottom w:val="0"/>
                      <w:divBdr>
                        <w:top w:val="none" w:sz="0" w:space="0" w:color="auto"/>
                        <w:left w:val="none" w:sz="0" w:space="0" w:color="auto"/>
                        <w:bottom w:val="none" w:sz="0" w:space="0" w:color="auto"/>
                        <w:right w:val="none" w:sz="0" w:space="0" w:color="auto"/>
                      </w:divBdr>
                    </w:div>
                  </w:divsChild>
                </w:div>
                <w:div w:id="168831599">
                  <w:marLeft w:val="0"/>
                  <w:marRight w:val="0"/>
                  <w:marTop w:val="0"/>
                  <w:marBottom w:val="0"/>
                  <w:divBdr>
                    <w:top w:val="none" w:sz="0" w:space="0" w:color="auto"/>
                    <w:left w:val="none" w:sz="0" w:space="0" w:color="auto"/>
                    <w:bottom w:val="none" w:sz="0" w:space="0" w:color="auto"/>
                    <w:right w:val="none" w:sz="0" w:space="0" w:color="auto"/>
                  </w:divBdr>
                  <w:divsChild>
                    <w:div w:id="887108195">
                      <w:marLeft w:val="0"/>
                      <w:marRight w:val="0"/>
                      <w:marTop w:val="0"/>
                      <w:marBottom w:val="0"/>
                      <w:divBdr>
                        <w:top w:val="none" w:sz="0" w:space="0" w:color="auto"/>
                        <w:left w:val="none" w:sz="0" w:space="0" w:color="auto"/>
                        <w:bottom w:val="none" w:sz="0" w:space="0" w:color="auto"/>
                        <w:right w:val="none" w:sz="0" w:space="0" w:color="auto"/>
                      </w:divBdr>
                    </w:div>
                  </w:divsChild>
                </w:div>
                <w:div w:id="176501022">
                  <w:marLeft w:val="0"/>
                  <w:marRight w:val="0"/>
                  <w:marTop w:val="0"/>
                  <w:marBottom w:val="0"/>
                  <w:divBdr>
                    <w:top w:val="none" w:sz="0" w:space="0" w:color="auto"/>
                    <w:left w:val="none" w:sz="0" w:space="0" w:color="auto"/>
                    <w:bottom w:val="none" w:sz="0" w:space="0" w:color="auto"/>
                    <w:right w:val="none" w:sz="0" w:space="0" w:color="auto"/>
                  </w:divBdr>
                  <w:divsChild>
                    <w:div w:id="2114813474">
                      <w:marLeft w:val="0"/>
                      <w:marRight w:val="0"/>
                      <w:marTop w:val="0"/>
                      <w:marBottom w:val="0"/>
                      <w:divBdr>
                        <w:top w:val="none" w:sz="0" w:space="0" w:color="auto"/>
                        <w:left w:val="none" w:sz="0" w:space="0" w:color="auto"/>
                        <w:bottom w:val="none" w:sz="0" w:space="0" w:color="auto"/>
                        <w:right w:val="none" w:sz="0" w:space="0" w:color="auto"/>
                      </w:divBdr>
                    </w:div>
                  </w:divsChild>
                </w:div>
                <w:div w:id="178156308">
                  <w:marLeft w:val="0"/>
                  <w:marRight w:val="0"/>
                  <w:marTop w:val="0"/>
                  <w:marBottom w:val="0"/>
                  <w:divBdr>
                    <w:top w:val="none" w:sz="0" w:space="0" w:color="auto"/>
                    <w:left w:val="none" w:sz="0" w:space="0" w:color="auto"/>
                    <w:bottom w:val="none" w:sz="0" w:space="0" w:color="auto"/>
                    <w:right w:val="none" w:sz="0" w:space="0" w:color="auto"/>
                  </w:divBdr>
                  <w:divsChild>
                    <w:div w:id="1689866833">
                      <w:marLeft w:val="0"/>
                      <w:marRight w:val="0"/>
                      <w:marTop w:val="0"/>
                      <w:marBottom w:val="0"/>
                      <w:divBdr>
                        <w:top w:val="none" w:sz="0" w:space="0" w:color="auto"/>
                        <w:left w:val="none" w:sz="0" w:space="0" w:color="auto"/>
                        <w:bottom w:val="none" w:sz="0" w:space="0" w:color="auto"/>
                        <w:right w:val="none" w:sz="0" w:space="0" w:color="auto"/>
                      </w:divBdr>
                    </w:div>
                  </w:divsChild>
                </w:div>
                <w:div w:id="182324568">
                  <w:marLeft w:val="0"/>
                  <w:marRight w:val="0"/>
                  <w:marTop w:val="0"/>
                  <w:marBottom w:val="0"/>
                  <w:divBdr>
                    <w:top w:val="none" w:sz="0" w:space="0" w:color="auto"/>
                    <w:left w:val="none" w:sz="0" w:space="0" w:color="auto"/>
                    <w:bottom w:val="none" w:sz="0" w:space="0" w:color="auto"/>
                    <w:right w:val="none" w:sz="0" w:space="0" w:color="auto"/>
                  </w:divBdr>
                  <w:divsChild>
                    <w:div w:id="1743403876">
                      <w:marLeft w:val="0"/>
                      <w:marRight w:val="0"/>
                      <w:marTop w:val="0"/>
                      <w:marBottom w:val="0"/>
                      <w:divBdr>
                        <w:top w:val="none" w:sz="0" w:space="0" w:color="auto"/>
                        <w:left w:val="none" w:sz="0" w:space="0" w:color="auto"/>
                        <w:bottom w:val="none" w:sz="0" w:space="0" w:color="auto"/>
                        <w:right w:val="none" w:sz="0" w:space="0" w:color="auto"/>
                      </w:divBdr>
                    </w:div>
                  </w:divsChild>
                </w:div>
                <w:div w:id="202451252">
                  <w:marLeft w:val="0"/>
                  <w:marRight w:val="0"/>
                  <w:marTop w:val="0"/>
                  <w:marBottom w:val="0"/>
                  <w:divBdr>
                    <w:top w:val="none" w:sz="0" w:space="0" w:color="auto"/>
                    <w:left w:val="none" w:sz="0" w:space="0" w:color="auto"/>
                    <w:bottom w:val="none" w:sz="0" w:space="0" w:color="auto"/>
                    <w:right w:val="none" w:sz="0" w:space="0" w:color="auto"/>
                  </w:divBdr>
                  <w:divsChild>
                    <w:div w:id="1888954394">
                      <w:marLeft w:val="0"/>
                      <w:marRight w:val="0"/>
                      <w:marTop w:val="0"/>
                      <w:marBottom w:val="0"/>
                      <w:divBdr>
                        <w:top w:val="none" w:sz="0" w:space="0" w:color="auto"/>
                        <w:left w:val="none" w:sz="0" w:space="0" w:color="auto"/>
                        <w:bottom w:val="none" w:sz="0" w:space="0" w:color="auto"/>
                        <w:right w:val="none" w:sz="0" w:space="0" w:color="auto"/>
                      </w:divBdr>
                    </w:div>
                  </w:divsChild>
                </w:div>
                <w:div w:id="204759468">
                  <w:marLeft w:val="0"/>
                  <w:marRight w:val="0"/>
                  <w:marTop w:val="0"/>
                  <w:marBottom w:val="0"/>
                  <w:divBdr>
                    <w:top w:val="none" w:sz="0" w:space="0" w:color="auto"/>
                    <w:left w:val="none" w:sz="0" w:space="0" w:color="auto"/>
                    <w:bottom w:val="none" w:sz="0" w:space="0" w:color="auto"/>
                    <w:right w:val="none" w:sz="0" w:space="0" w:color="auto"/>
                  </w:divBdr>
                  <w:divsChild>
                    <w:div w:id="1134064301">
                      <w:marLeft w:val="0"/>
                      <w:marRight w:val="0"/>
                      <w:marTop w:val="0"/>
                      <w:marBottom w:val="0"/>
                      <w:divBdr>
                        <w:top w:val="none" w:sz="0" w:space="0" w:color="auto"/>
                        <w:left w:val="none" w:sz="0" w:space="0" w:color="auto"/>
                        <w:bottom w:val="none" w:sz="0" w:space="0" w:color="auto"/>
                        <w:right w:val="none" w:sz="0" w:space="0" w:color="auto"/>
                      </w:divBdr>
                    </w:div>
                  </w:divsChild>
                </w:div>
                <w:div w:id="210652433">
                  <w:marLeft w:val="0"/>
                  <w:marRight w:val="0"/>
                  <w:marTop w:val="0"/>
                  <w:marBottom w:val="0"/>
                  <w:divBdr>
                    <w:top w:val="none" w:sz="0" w:space="0" w:color="auto"/>
                    <w:left w:val="none" w:sz="0" w:space="0" w:color="auto"/>
                    <w:bottom w:val="none" w:sz="0" w:space="0" w:color="auto"/>
                    <w:right w:val="none" w:sz="0" w:space="0" w:color="auto"/>
                  </w:divBdr>
                  <w:divsChild>
                    <w:div w:id="1007907308">
                      <w:marLeft w:val="0"/>
                      <w:marRight w:val="0"/>
                      <w:marTop w:val="0"/>
                      <w:marBottom w:val="0"/>
                      <w:divBdr>
                        <w:top w:val="none" w:sz="0" w:space="0" w:color="auto"/>
                        <w:left w:val="none" w:sz="0" w:space="0" w:color="auto"/>
                        <w:bottom w:val="none" w:sz="0" w:space="0" w:color="auto"/>
                        <w:right w:val="none" w:sz="0" w:space="0" w:color="auto"/>
                      </w:divBdr>
                    </w:div>
                  </w:divsChild>
                </w:div>
                <w:div w:id="223026464">
                  <w:marLeft w:val="0"/>
                  <w:marRight w:val="0"/>
                  <w:marTop w:val="0"/>
                  <w:marBottom w:val="0"/>
                  <w:divBdr>
                    <w:top w:val="none" w:sz="0" w:space="0" w:color="auto"/>
                    <w:left w:val="none" w:sz="0" w:space="0" w:color="auto"/>
                    <w:bottom w:val="none" w:sz="0" w:space="0" w:color="auto"/>
                    <w:right w:val="none" w:sz="0" w:space="0" w:color="auto"/>
                  </w:divBdr>
                  <w:divsChild>
                    <w:div w:id="1309284748">
                      <w:marLeft w:val="0"/>
                      <w:marRight w:val="0"/>
                      <w:marTop w:val="0"/>
                      <w:marBottom w:val="0"/>
                      <w:divBdr>
                        <w:top w:val="none" w:sz="0" w:space="0" w:color="auto"/>
                        <w:left w:val="none" w:sz="0" w:space="0" w:color="auto"/>
                        <w:bottom w:val="none" w:sz="0" w:space="0" w:color="auto"/>
                        <w:right w:val="none" w:sz="0" w:space="0" w:color="auto"/>
                      </w:divBdr>
                    </w:div>
                  </w:divsChild>
                </w:div>
                <w:div w:id="224413774">
                  <w:marLeft w:val="0"/>
                  <w:marRight w:val="0"/>
                  <w:marTop w:val="0"/>
                  <w:marBottom w:val="0"/>
                  <w:divBdr>
                    <w:top w:val="none" w:sz="0" w:space="0" w:color="auto"/>
                    <w:left w:val="none" w:sz="0" w:space="0" w:color="auto"/>
                    <w:bottom w:val="none" w:sz="0" w:space="0" w:color="auto"/>
                    <w:right w:val="none" w:sz="0" w:space="0" w:color="auto"/>
                  </w:divBdr>
                  <w:divsChild>
                    <w:div w:id="1520004744">
                      <w:marLeft w:val="0"/>
                      <w:marRight w:val="0"/>
                      <w:marTop w:val="0"/>
                      <w:marBottom w:val="0"/>
                      <w:divBdr>
                        <w:top w:val="none" w:sz="0" w:space="0" w:color="auto"/>
                        <w:left w:val="none" w:sz="0" w:space="0" w:color="auto"/>
                        <w:bottom w:val="none" w:sz="0" w:space="0" w:color="auto"/>
                        <w:right w:val="none" w:sz="0" w:space="0" w:color="auto"/>
                      </w:divBdr>
                    </w:div>
                  </w:divsChild>
                </w:div>
                <w:div w:id="229850158">
                  <w:marLeft w:val="0"/>
                  <w:marRight w:val="0"/>
                  <w:marTop w:val="0"/>
                  <w:marBottom w:val="0"/>
                  <w:divBdr>
                    <w:top w:val="none" w:sz="0" w:space="0" w:color="auto"/>
                    <w:left w:val="none" w:sz="0" w:space="0" w:color="auto"/>
                    <w:bottom w:val="none" w:sz="0" w:space="0" w:color="auto"/>
                    <w:right w:val="none" w:sz="0" w:space="0" w:color="auto"/>
                  </w:divBdr>
                  <w:divsChild>
                    <w:div w:id="1757827522">
                      <w:marLeft w:val="0"/>
                      <w:marRight w:val="0"/>
                      <w:marTop w:val="0"/>
                      <w:marBottom w:val="0"/>
                      <w:divBdr>
                        <w:top w:val="none" w:sz="0" w:space="0" w:color="auto"/>
                        <w:left w:val="none" w:sz="0" w:space="0" w:color="auto"/>
                        <w:bottom w:val="none" w:sz="0" w:space="0" w:color="auto"/>
                        <w:right w:val="none" w:sz="0" w:space="0" w:color="auto"/>
                      </w:divBdr>
                    </w:div>
                  </w:divsChild>
                </w:div>
                <w:div w:id="244536856">
                  <w:marLeft w:val="0"/>
                  <w:marRight w:val="0"/>
                  <w:marTop w:val="0"/>
                  <w:marBottom w:val="0"/>
                  <w:divBdr>
                    <w:top w:val="none" w:sz="0" w:space="0" w:color="auto"/>
                    <w:left w:val="none" w:sz="0" w:space="0" w:color="auto"/>
                    <w:bottom w:val="none" w:sz="0" w:space="0" w:color="auto"/>
                    <w:right w:val="none" w:sz="0" w:space="0" w:color="auto"/>
                  </w:divBdr>
                  <w:divsChild>
                    <w:div w:id="1356149187">
                      <w:marLeft w:val="0"/>
                      <w:marRight w:val="0"/>
                      <w:marTop w:val="0"/>
                      <w:marBottom w:val="0"/>
                      <w:divBdr>
                        <w:top w:val="none" w:sz="0" w:space="0" w:color="auto"/>
                        <w:left w:val="none" w:sz="0" w:space="0" w:color="auto"/>
                        <w:bottom w:val="none" w:sz="0" w:space="0" w:color="auto"/>
                        <w:right w:val="none" w:sz="0" w:space="0" w:color="auto"/>
                      </w:divBdr>
                    </w:div>
                  </w:divsChild>
                </w:div>
                <w:div w:id="252981584">
                  <w:marLeft w:val="0"/>
                  <w:marRight w:val="0"/>
                  <w:marTop w:val="0"/>
                  <w:marBottom w:val="0"/>
                  <w:divBdr>
                    <w:top w:val="none" w:sz="0" w:space="0" w:color="auto"/>
                    <w:left w:val="none" w:sz="0" w:space="0" w:color="auto"/>
                    <w:bottom w:val="none" w:sz="0" w:space="0" w:color="auto"/>
                    <w:right w:val="none" w:sz="0" w:space="0" w:color="auto"/>
                  </w:divBdr>
                  <w:divsChild>
                    <w:div w:id="201673477">
                      <w:marLeft w:val="0"/>
                      <w:marRight w:val="0"/>
                      <w:marTop w:val="0"/>
                      <w:marBottom w:val="0"/>
                      <w:divBdr>
                        <w:top w:val="none" w:sz="0" w:space="0" w:color="auto"/>
                        <w:left w:val="none" w:sz="0" w:space="0" w:color="auto"/>
                        <w:bottom w:val="none" w:sz="0" w:space="0" w:color="auto"/>
                        <w:right w:val="none" w:sz="0" w:space="0" w:color="auto"/>
                      </w:divBdr>
                    </w:div>
                  </w:divsChild>
                </w:div>
                <w:div w:id="256792130">
                  <w:marLeft w:val="0"/>
                  <w:marRight w:val="0"/>
                  <w:marTop w:val="0"/>
                  <w:marBottom w:val="0"/>
                  <w:divBdr>
                    <w:top w:val="none" w:sz="0" w:space="0" w:color="auto"/>
                    <w:left w:val="none" w:sz="0" w:space="0" w:color="auto"/>
                    <w:bottom w:val="none" w:sz="0" w:space="0" w:color="auto"/>
                    <w:right w:val="none" w:sz="0" w:space="0" w:color="auto"/>
                  </w:divBdr>
                  <w:divsChild>
                    <w:div w:id="642468332">
                      <w:marLeft w:val="0"/>
                      <w:marRight w:val="0"/>
                      <w:marTop w:val="0"/>
                      <w:marBottom w:val="0"/>
                      <w:divBdr>
                        <w:top w:val="none" w:sz="0" w:space="0" w:color="auto"/>
                        <w:left w:val="none" w:sz="0" w:space="0" w:color="auto"/>
                        <w:bottom w:val="none" w:sz="0" w:space="0" w:color="auto"/>
                        <w:right w:val="none" w:sz="0" w:space="0" w:color="auto"/>
                      </w:divBdr>
                    </w:div>
                  </w:divsChild>
                </w:div>
                <w:div w:id="277298879">
                  <w:marLeft w:val="0"/>
                  <w:marRight w:val="0"/>
                  <w:marTop w:val="0"/>
                  <w:marBottom w:val="0"/>
                  <w:divBdr>
                    <w:top w:val="none" w:sz="0" w:space="0" w:color="auto"/>
                    <w:left w:val="none" w:sz="0" w:space="0" w:color="auto"/>
                    <w:bottom w:val="none" w:sz="0" w:space="0" w:color="auto"/>
                    <w:right w:val="none" w:sz="0" w:space="0" w:color="auto"/>
                  </w:divBdr>
                  <w:divsChild>
                    <w:div w:id="558249521">
                      <w:marLeft w:val="0"/>
                      <w:marRight w:val="0"/>
                      <w:marTop w:val="0"/>
                      <w:marBottom w:val="0"/>
                      <w:divBdr>
                        <w:top w:val="none" w:sz="0" w:space="0" w:color="auto"/>
                        <w:left w:val="none" w:sz="0" w:space="0" w:color="auto"/>
                        <w:bottom w:val="none" w:sz="0" w:space="0" w:color="auto"/>
                        <w:right w:val="none" w:sz="0" w:space="0" w:color="auto"/>
                      </w:divBdr>
                    </w:div>
                  </w:divsChild>
                </w:div>
                <w:div w:id="277371037">
                  <w:marLeft w:val="0"/>
                  <w:marRight w:val="0"/>
                  <w:marTop w:val="0"/>
                  <w:marBottom w:val="0"/>
                  <w:divBdr>
                    <w:top w:val="none" w:sz="0" w:space="0" w:color="auto"/>
                    <w:left w:val="none" w:sz="0" w:space="0" w:color="auto"/>
                    <w:bottom w:val="none" w:sz="0" w:space="0" w:color="auto"/>
                    <w:right w:val="none" w:sz="0" w:space="0" w:color="auto"/>
                  </w:divBdr>
                  <w:divsChild>
                    <w:div w:id="870605304">
                      <w:marLeft w:val="0"/>
                      <w:marRight w:val="0"/>
                      <w:marTop w:val="0"/>
                      <w:marBottom w:val="0"/>
                      <w:divBdr>
                        <w:top w:val="none" w:sz="0" w:space="0" w:color="auto"/>
                        <w:left w:val="none" w:sz="0" w:space="0" w:color="auto"/>
                        <w:bottom w:val="none" w:sz="0" w:space="0" w:color="auto"/>
                        <w:right w:val="none" w:sz="0" w:space="0" w:color="auto"/>
                      </w:divBdr>
                    </w:div>
                  </w:divsChild>
                </w:div>
                <w:div w:id="288753101">
                  <w:marLeft w:val="0"/>
                  <w:marRight w:val="0"/>
                  <w:marTop w:val="0"/>
                  <w:marBottom w:val="0"/>
                  <w:divBdr>
                    <w:top w:val="none" w:sz="0" w:space="0" w:color="auto"/>
                    <w:left w:val="none" w:sz="0" w:space="0" w:color="auto"/>
                    <w:bottom w:val="none" w:sz="0" w:space="0" w:color="auto"/>
                    <w:right w:val="none" w:sz="0" w:space="0" w:color="auto"/>
                  </w:divBdr>
                  <w:divsChild>
                    <w:div w:id="1521509760">
                      <w:marLeft w:val="0"/>
                      <w:marRight w:val="0"/>
                      <w:marTop w:val="0"/>
                      <w:marBottom w:val="0"/>
                      <w:divBdr>
                        <w:top w:val="none" w:sz="0" w:space="0" w:color="auto"/>
                        <w:left w:val="none" w:sz="0" w:space="0" w:color="auto"/>
                        <w:bottom w:val="none" w:sz="0" w:space="0" w:color="auto"/>
                        <w:right w:val="none" w:sz="0" w:space="0" w:color="auto"/>
                      </w:divBdr>
                    </w:div>
                  </w:divsChild>
                </w:div>
                <w:div w:id="293365586">
                  <w:marLeft w:val="0"/>
                  <w:marRight w:val="0"/>
                  <w:marTop w:val="0"/>
                  <w:marBottom w:val="0"/>
                  <w:divBdr>
                    <w:top w:val="none" w:sz="0" w:space="0" w:color="auto"/>
                    <w:left w:val="none" w:sz="0" w:space="0" w:color="auto"/>
                    <w:bottom w:val="none" w:sz="0" w:space="0" w:color="auto"/>
                    <w:right w:val="none" w:sz="0" w:space="0" w:color="auto"/>
                  </w:divBdr>
                  <w:divsChild>
                    <w:div w:id="1090079963">
                      <w:marLeft w:val="0"/>
                      <w:marRight w:val="0"/>
                      <w:marTop w:val="0"/>
                      <w:marBottom w:val="0"/>
                      <w:divBdr>
                        <w:top w:val="none" w:sz="0" w:space="0" w:color="auto"/>
                        <w:left w:val="none" w:sz="0" w:space="0" w:color="auto"/>
                        <w:bottom w:val="none" w:sz="0" w:space="0" w:color="auto"/>
                        <w:right w:val="none" w:sz="0" w:space="0" w:color="auto"/>
                      </w:divBdr>
                    </w:div>
                  </w:divsChild>
                </w:div>
                <w:div w:id="296841197">
                  <w:marLeft w:val="0"/>
                  <w:marRight w:val="0"/>
                  <w:marTop w:val="0"/>
                  <w:marBottom w:val="0"/>
                  <w:divBdr>
                    <w:top w:val="none" w:sz="0" w:space="0" w:color="auto"/>
                    <w:left w:val="none" w:sz="0" w:space="0" w:color="auto"/>
                    <w:bottom w:val="none" w:sz="0" w:space="0" w:color="auto"/>
                    <w:right w:val="none" w:sz="0" w:space="0" w:color="auto"/>
                  </w:divBdr>
                  <w:divsChild>
                    <w:div w:id="1325402373">
                      <w:marLeft w:val="0"/>
                      <w:marRight w:val="0"/>
                      <w:marTop w:val="0"/>
                      <w:marBottom w:val="0"/>
                      <w:divBdr>
                        <w:top w:val="none" w:sz="0" w:space="0" w:color="auto"/>
                        <w:left w:val="none" w:sz="0" w:space="0" w:color="auto"/>
                        <w:bottom w:val="none" w:sz="0" w:space="0" w:color="auto"/>
                        <w:right w:val="none" w:sz="0" w:space="0" w:color="auto"/>
                      </w:divBdr>
                    </w:div>
                  </w:divsChild>
                </w:div>
                <w:div w:id="299530986">
                  <w:marLeft w:val="0"/>
                  <w:marRight w:val="0"/>
                  <w:marTop w:val="0"/>
                  <w:marBottom w:val="0"/>
                  <w:divBdr>
                    <w:top w:val="none" w:sz="0" w:space="0" w:color="auto"/>
                    <w:left w:val="none" w:sz="0" w:space="0" w:color="auto"/>
                    <w:bottom w:val="none" w:sz="0" w:space="0" w:color="auto"/>
                    <w:right w:val="none" w:sz="0" w:space="0" w:color="auto"/>
                  </w:divBdr>
                  <w:divsChild>
                    <w:div w:id="1197697252">
                      <w:marLeft w:val="0"/>
                      <w:marRight w:val="0"/>
                      <w:marTop w:val="0"/>
                      <w:marBottom w:val="0"/>
                      <w:divBdr>
                        <w:top w:val="none" w:sz="0" w:space="0" w:color="auto"/>
                        <w:left w:val="none" w:sz="0" w:space="0" w:color="auto"/>
                        <w:bottom w:val="none" w:sz="0" w:space="0" w:color="auto"/>
                        <w:right w:val="none" w:sz="0" w:space="0" w:color="auto"/>
                      </w:divBdr>
                    </w:div>
                  </w:divsChild>
                </w:div>
                <w:div w:id="301813293">
                  <w:marLeft w:val="0"/>
                  <w:marRight w:val="0"/>
                  <w:marTop w:val="0"/>
                  <w:marBottom w:val="0"/>
                  <w:divBdr>
                    <w:top w:val="none" w:sz="0" w:space="0" w:color="auto"/>
                    <w:left w:val="none" w:sz="0" w:space="0" w:color="auto"/>
                    <w:bottom w:val="none" w:sz="0" w:space="0" w:color="auto"/>
                    <w:right w:val="none" w:sz="0" w:space="0" w:color="auto"/>
                  </w:divBdr>
                  <w:divsChild>
                    <w:div w:id="1313365476">
                      <w:marLeft w:val="0"/>
                      <w:marRight w:val="0"/>
                      <w:marTop w:val="0"/>
                      <w:marBottom w:val="0"/>
                      <w:divBdr>
                        <w:top w:val="none" w:sz="0" w:space="0" w:color="auto"/>
                        <w:left w:val="none" w:sz="0" w:space="0" w:color="auto"/>
                        <w:bottom w:val="none" w:sz="0" w:space="0" w:color="auto"/>
                        <w:right w:val="none" w:sz="0" w:space="0" w:color="auto"/>
                      </w:divBdr>
                    </w:div>
                  </w:divsChild>
                </w:div>
                <w:div w:id="304553278">
                  <w:marLeft w:val="0"/>
                  <w:marRight w:val="0"/>
                  <w:marTop w:val="0"/>
                  <w:marBottom w:val="0"/>
                  <w:divBdr>
                    <w:top w:val="none" w:sz="0" w:space="0" w:color="auto"/>
                    <w:left w:val="none" w:sz="0" w:space="0" w:color="auto"/>
                    <w:bottom w:val="none" w:sz="0" w:space="0" w:color="auto"/>
                    <w:right w:val="none" w:sz="0" w:space="0" w:color="auto"/>
                  </w:divBdr>
                  <w:divsChild>
                    <w:div w:id="869494352">
                      <w:marLeft w:val="0"/>
                      <w:marRight w:val="0"/>
                      <w:marTop w:val="0"/>
                      <w:marBottom w:val="0"/>
                      <w:divBdr>
                        <w:top w:val="none" w:sz="0" w:space="0" w:color="auto"/>
                        <w:left w:val="none" w:sz="0" w:space="0" w:color="auto"/>
                        <w:bottom w:val="none" w:sz="0" w:space="0" w:color="auto"/>
                        <w:right w:val="none" w:sz="0" w:space="0" w:color="auto"/>
                      </w:divBdr>
                    </w:div>
                  </w:divsChild>
                </w:div>
                <w:div w:id="311447132">
                  <w:marLeft w:val="0"/>
                  <w:marRight w:val="0"/>
                  <w:marTop w:val="0"/>
                  <w:marBottom w:val="0"/>
                  <w:divBdr>
                    <w:top w:val="none" w:sz="0" w:space="0" w:color="auto"/>
                    <w:left w:val="none" w:sz="0" w:space="0" w:color="auto"/>
                    <w:bottom w:val="none" w:sz="0" w:space="0" w:color="auto"/>
                    <w:right w:val="none" w:sz="0" w:space="0" w:color="auto"/>
                  </w:divBdr>
                  <w:divsChild>
                    <w:div w:id="294527095">
                      <w:marLeft w:val="0"/>
                      <w:marRight w:val="0"/>
                      <w:marTop w:val="0"/>
                      <w:marBottom w:val="0"/>
                      <w:divBdr>
                        <w:top w:val="none" w:sz="0" w:space="0" w:color="auto"/>
                        <w:left w:val="none" w:sz="0" w:space="0" w:color="auto"/>
                        <w:bottom w:val="none" w:sz="0" w:space="0" w:color="auto"/>
                        <w:right w:val="none" w:sz="0" w:space="0" w:color="auto"/>
                      </w:divBdr>
                    </w:div>
                  </w:divsChild>
                </w:div>
                <w:div w:id="312032831">
                  <w:marLeft w:val="0"/>
                  <w:marRight w:val="0"/>
                  <w:marTop w:val="0"/>
                  <w:marBottom w:val="0"/>
                  <w:divBdr>
                    <w:top w:val="none" w:sz="0" w:space="0" w:color="auto"/>
                    <w:left w:val="none" w:sz="0" w:space="0" w:color="auto"/>
                    <w:bottom w:val="none" w:sz="0" w:space="0" w:color="auto"/>
                    <w:right w:val="none" w:sz="0" w:space="0" w:color="auto"/>
                  </w:divBdr>
                  <w:divsChild>
                    <w:div w:id="2043481383">
                      <w:marLeft w:val="0"/>
                      <w:marRight w:val="0"/>
                      <w:marTop w:val="0"/>
                      <w:marBottom w:val="0"/>
                      <w:divBdr>
                        <w:top w:val="none" w:sz="0" w:space="0" w:color="auto"/>
                        <w:left w:val="none" w:sz="0" w:space="0" w:color="auto"/>
                        <w:bottom w:val="none" w:sz="0" w:space="0" w:color="auto"/>
                        <w:right w:val="none" w:sz="0" w:space="0" w:color="auto"/>
                      </w:divBdr>
                    </w:div>
                  </w:divsChild>
                </w:div>
                <w:div w:id="317348914">
                  <w:marLeft w:val="0"/>
                  <w:marRight w:val="0"/>
                  <w:marTop w:val="0"/>
                  <w:marBottom w:val="0"/>
                  <w:divBdr>
                    <w:top w:val="none" w:sz="0" w:space="0" w:color="auto"/>
                    <w:left w:val="none" w:sz="0" w:space="0" w:color="auto"/>
                    <w:bottom w:val="none" w:sz="0" w:space="0" w:color="auto"/>
                    <w:right w:val="none" w:sz="0" w:space="0" w:color="auto"/>
                  </w:divBdr>
                  <w:divsChild>
                    <w:div w:id="318005405">
                      <w:marLeft w:val="0"/>
                      <w:marRight w:val="0"/>
                      <w:marTop w:val="0"/>
                      <w:marBottom w:val="0"/>
                      <w:divBdr>
                        <w:top w:val="none" w:sz="0" w:space="0" w:color="auto"/>
                        <w:left w:val="none" w:sz="0" w:space="0" w:color="auto"/>
                        <w:bottom w:val="none" w:sz="0" w:space="0" w:color="auto"/>
                        <w:right w:val="none" w:sz="0" w:space="0" w:color="auto"/>
                      </w:divBdr>
                    </w:div>
                  </w:divsChild>
                </w:div>
                <w:div w:id="318459716">
                  <w:marLeft w:val="0"/>
                  <w:marRight w:val="0"/>
                  <w:marTop w:val="0"/>
                  <w:marBottom w:val="0"/>
                  <w:divBdr>
                    <w:top w:val="none" w:sz="0" w:space="0" w:color="auto"/>
                    <w:left w:val="none" w:sz="0" w:space="0" w:color="auto"/>
                    <w:bottom w:val="none" w:sz="0" w:space="0" w:color="auto"/>
                    <w:right w:val="none" w:sz="0" w:space="0" w:color="auto"/>
                  </w:divBdr>
                  <w:divsChild>
                    <w:div w:id="779372376">
                      <w:marLeft w:val="0"/>
                      <w:marRight w:val="0"/>
                      <w:marTop w:val="0"/>
                      <w:marBottom w:val="0"/>
                      <w:divBdr>
                        <w:top w:val="none" w:sz="0" w:space="0" w:color="auto"/>
                        <w:left w:val="none" w:sz="0" w:space="0" w:color="auto"/>
                        <w:bottom w:val="none" w:sz="0" w:space="0" w:color="auto"/>
                        <w:right w:val="none" w:sz="0" w:space="0" w:color="auto"/>
                      </w:divBdr>
                    </w:div>
                    <w:div w:id="1086073770">
                      <w:marLeft w:val="0"/>
                      <w:marRight w:val="0"/>
                      <w:marTop w:val="0"/>
                      <w:marBottom w:val="0"/>
                      <w:divBdr>
                        <w:top w:val="none" w:sz="0" w:space="0" w:color="auto"/>
                        <w:left w:val="none" w:sz="0" w:space="0" w:color="auto"/>
                        <w:bottom w:val="none" w:sz="0" w:space="0" w:color="auto"/>
                        <w:right w:val="none" w:sz="0" w:space="0" w:color="auto"/>
                      </w:divBdr>
                    </w:div>
                  </w:divsChild>
                </w:div>
                <w:div w:id="319777707">
                  <w:marLeft w:val="0"/>
                  <w:marRight w:val="0"/>
                  <w:marTop w:val="0"/>
                  <w:marBottom w:val="0"/>
                  <w:divBdr>
                    <w:top w:val="none" w:sz="0" w:space="0" w:color="auto"/>
                    <w:left w:val="none" w:sz="0" w:space="0" w:color="auto"/>
                    <w:bottom w:val="none" w:sz="0" w:space="0" w:color="auto"/>
                    <w:right w:val="none" w:sz="0" w:space="0" w:color="auto"/>
                  </w:divBdr>
                  <w:divsChild>
                    <w:div w:id="142234654">
                      <w:marLeft w:val="0"/>
                      <w:marRight w:val="0"/>
                      <w:marTop w:val="0"/>
                      <w:marBottom w:val="0"/>
                      <w:divBdr>
                        <w:top w:val="none" w:sz="0" w:space="0" w:color="auto"/>
                        <w:left w:val="none" w:sz="0" w:space="0" w:color="auto"/>
                        <w:bottom w:val="none" w:sz="0" w:space="0" w:color="auto"/>
                        <w:right w:val="none" w:sz="0" w:space="0" w:color="auto"/>
                      </w:divBdr>
                    </w:div>
                  </w:divsChild>
                </w:div>
                <w:div w:id="322709254">
                  <w:marLeft w:val="0"/>
                  <w:marRight w:val="0"/>
                  <w:marTop w:val="0"/>
                  <w:marBottom w:val="0"/>
                  <w:divBdr>
                    <w:top w:val="none" w:sz="0" w:space="0" w:color="auto"/>
                    <w:left w:val="none" w:sz="0" w:space="0" w:color="auto"/>
                    <w:bottom w:val="none" w:sz="0" w:space="0" w:color="auto"/>
                    <w:right w:val="none" w:sz="0" w:space="0" w:color="auto"/>
                  </w:divBdr>
                  <w:divsChild>
                    <w:div w:id="320694029">
                      <w:marLeft w:val="0"/>
                      <w:marRight w:val="0"/>
                      <w:marTop w:val="0"/>
                      <w:marBottom w:val="0"/>
                      <w:divBdr>
                        <w:top w:val="none" w:sz="0" w:space="0" w:color="auto"/>
                        <w:left w:val="none" w:sz="0" w:space="0" w:color="auto"/>
                        <w:bottom w:val="none" w:sz="0" w:space="0" w:color="auto"/>
                        <w:right w:val="none" w:sz="0" w:space="0" w:color="auto"/>
                      </w:divBdr>
                    </w:div>
                  </w:divsChild>
                </w:div>
                <w:div w:id="355235986">
                  <w:marLeft w:val="0"/>
                  <w:marRight w:val="0"/>
                  <w:marTop w:val="0"/>
                  <w:marBottom w:val="0"/>
                  <w:divBdr>
                    <w:top w:val="none" w:sz="0" w:space="0" w:color="auto"/>
                    <w:left w:val="none" w:sz="0" w:space="0" w:color="auto"/>
                    <w:bottom w:val="none" w:sz="0" w:space="0" w:color="auto"/>
                    <w:right w:val="none" w:sz="0" w:space="0" w:color="auto"/>
                  </w:divBdr>
                  <w:divsChild>
                    <w:div w:id="913857913">
                      <w:marLeft w:val="0"/>
                      <w:marRight w:val="0"/>
                      <w:marTop w:val="0"/>
                      <w:marBottom w:val="0"/>
                      <w:divBdr>
                        <w:top w:val="none" w:sz="0" w:space="0" w:color="auto"/>
                        <w:left w:val="none" w:sz="0" w:space="0" w:color="auto"/>
                        <w:bottom w:val="none" w:sz="0" w:space="0" w:color="auto"/>
                        <w:right w:val="none" w:sz="0" w:space="0" w:color="auto"/>
                      </w:divBdr>
                    </w:div>
                  </w:divsChild>
                </w:div>
                <w:div w:id="360126628">
                  <w:marLeft w:val="0"/>
                  <w:marRight w:val="0"/>
                  <w:marTop w:val="0"/>
                  <w:marBottom w:val="0"/>
                  <w:divBdr>
                    <w:top w:val="none" w:sz="0" w:space="0" w:color="auto"/>
                    <w:left w:val="none" w:sz="0" w:space="0" w:color="auto"/>
                    <w:bottom w:val="none" w:sz="0" w:space="0" w:color="auto"/>
                    <w:right w:val="none" w:sz="0" w:space="0" w:color="auto"/>
                  </w:divBdr>
                  <w:divsChild>
                    <w:div w:id="1064330718">
                      <w:marLeft w:val="0"/>
                      <w:marRight w:val="0"/>
                      <w:marTop w:val="0"/>
                      <w:marBottom w:val="0"/>
                      <w:divBdr>
                        <w:top w:val="none" w:sz="0" w:space="0" w:color="auto"/>
                        <w:left w:val="none" w:sz="0" w:space="0" w:color="auto"/>
                        <w:bottom w:val="none" w:sz="0" w:space="0" w:color="auto"/>
                        <w:right w:val="none" w:sz="0" w:space="0" w:color="auto"/>
                      </w:divBdr>
                    </w:div>
                  </w:divsChild>
                </w:div>
                <w:div w:id="365065710">
                  <w:marLeft w:val="0"/>
                  <w:marRight w:val="0"/>
                  <w:marTop w:val="0"/>
                  <w:marBottom w:val="0"/>
                  <w:divBdr>
                    <w:top w:val="none" w:sz="0" w:space="0" w:color="auto"/>
                    <w:left w:val="none" w:sz="0" w:space="0" w:color="auto"/>
                    <w:bottom w:val="none" w:sz="0" w:space="0" w:color="auto"/>
                    <w:right w:val="none" w:sz="0" w:space="0" w:color="auto"/>
                  </w:divBdr>
                  <w:divsChild>
                    <w:div w:id="522323075">
                      <w:marLeft w:val="0"/>
                      <w:marRight w:val="0"/>
                      <w:marTop w:val="0"/>
                      <w:marBottom w:val="0"/>
                      <w:divBdr>
                        <w:top w:val="none" w:sz="0" w:space="0" w:color="auto"/>
                        <w:left w:val="none" w:sz="0" w:space="0" w:color="auto"/>
                        <w:bottom w:val="none" w:sz="0" w:space="0" w:color="auto"/>
                        <w:right w:val="none" w:sz="0" w:space="0" w:color="auto"/>
                      </w:divBdr>
                    </w:div>
                  </w:divsChild>
                </w:div>
                <w:div w:id="366638845">
                  <w:marLeft w:val="0"/>
                  <w:marRight w:val="0"/>
                  <w:marTop w:val="0"/>
                  <w:marBottom w:val="0"/>
                  <w:divBdr>
                    <w:top w:val="none" w:sz="0" w:space="0" w:color="auto"/>
                    <w:left w:val="none" w:sz="0" w:space="0" w:color="auto"/>
                    <w:bottom w:val="none" w:sz="0" w:space="0" w:color="auto"/>
                    <w:right w:val="none" w:sz="0" w:space="0" w:color="auto"/>
                  </w:divBdr>
                  <w:divsChild>
                    <w:div w:id="16394827">
                      <w:marLeft w:val="0"/>
                      <w:marRight w:val="0"/>
                      <w:marTop w:val="0"/>
                      <w:marBottom w:val="0"/>
                      <w:divBdr>
                        <w:top w:val="none" w:sz="0" w:space="0" w:color="auto"/>
                        <w:left w:val="none" w:sz="0" w:space="0" w:color="auto"/>
                        <w:bottom w:val="none" w:sz="0" w:space="0" w:color="auto"/>
                        <w:right w:val="none" w:sz="0" w:space="0" w:color="auto"/>
                      </w:divBdr>
                    </w:div>
                    <w:div w:id="24184879">
                      <w:marLeft w:val="0"/>
                      <w:marRight w:val="0"/>
                      <w:marTop w:val="0"/>
                      <w:marBottom w:val="0"/>
                      <w:divBdr>
                        <w:top w:val="none" w:sz="0" w:space="0" w:color="auto"/>
                        <w:left w:val="none" w:sz="0" w:space="0" w:color="auto"/>
                        <w:bottom w:val="none" w:sz="0" w:space="0" w:color="auto"/>
                        <w:right w:val="none" w:sz="0" w:space="0" w:color="auto"/>
                      </w:divBdr>
                    </w:div>
                    <w:div w:id="76366515">
                      <w:marLeft w:val="0"/>
                      <w:marRight w:val="0"/>
                      <w:marTop w:val="0"/>
                      <w:marBottom w:val="0"/>
                      <w:divBdr>
                        <w:top w:val="none" w:sz="0" w:space="0" w:color="auto"/>
                        <w:left w:val="none" w:sz="0" w:space="0" w:color="auto"/>
                        <w:bottom w:val="none" w:sz="0" w:space="0" w:color="auto"/>
                        <w:right w:val="none" w:sz="0" w:space="0" w:color="auto"/>
                      </w:divBdr>
                    </w:div>
                    <w:div w:id="177501117">
                      <w:marLeft w:val="0"/>
                      <w:marRight w:val="0"/>
                      <w:marTop w:val="0"/>
                      <w:marBottom w:val="0"/>
                      <w:divBdr>
                        <w:top w:val="none" w:sz="0" w:space="0" w:color="auto"/>
                        <w:left w:val="none" w:sz="0" w:space="0" w:color="auto"/>
                        <w:bottom w:val="none" w:sz="0" w:space="0" w:color="auto"/>
                        <w:right w:val="none" w:sz="0" w:space="0" w:color="auto"/>
                      </w:divBdr>
                    </w:div>
                    <w:div w:id="239024011">
                      <w:marLeft w:val="0"/>
                      <w:marRight w:val="0"/>
                      <w:marTop w:val="0"/>
                      <w:marBottom w:val="0"/>
                      <w:divBdr>
                        <w:top w:val="none" w:sz="0" w:space="0" w:color="auto"/>
                        <w:left w:val="none" w:sz="0" w:space="0" w:color="auto"/>
                        <w:bottom w:val="none" w:sz="0" w:space="0" w:color="auto"/>
                        <w:right w:val="none" w:sz="0" w:space="0" w:color="auto"/>
                      </w:divBdr>
                    </w:div>
                    <w:div w:id="242298233">
                      <w:marLeft w:val="0"/>
                      <w:marRight w:val="0"/>
                      <w:marTop w:val="0"/>
                      <w:marBottom w:val="0"/>
                      <w:divBdr>
                        <w:top w:val="none" w:sz="0" w:space="0" w:color="auto"/>
                        <w:left w:val="none" w:sz="0" w:space="0" w:color="auto"/>
                        <w:bottom w:val="none" w:sz="0" w:space="0" w:color="auto"/>
                        <w:right w:val="none" w:sz="0" w:space="0" w:color="auto"/>
                      </w:divBdr>
                    </w:div>
                    <w:div w:id="262307816">
                      <w:marLeft w:val="0"/>
                      <w:marRight w:val="0"/>
                      <w:marTop w:val="0"/>
                      <w:marBottom w:val="0"/>
                      <w:divBdr>
                        <w:top w:val="none" w:sz="0" w:space="0" w:color="auto"/>
                        <w:left w:val="none" w:sz="0" w:space="0" w:color="auto"/>
                        <w:bottom w:val="none" w:sz="0" w:space="0" w:color="auto"/>
                        <w:right w:val="none" w:sz="0" w:space="0" w:color="auto"/>
                      </w:divBdr>
                    </w:div>
                    <w:div w:id="452360585">
                      <w:marLeft w:val="0"/>
                      <w:marRight w:val="0"/>
                      <w:marTop w:val="0"/>
                      <w:marBottom w:val="0"/>
                      <w:divBdr>
                        <w:top w:val="none" w:sz="0" w:space="0" w:color="auto"/>
                        <w:left w:val="none" w:sz="0" w:space="0" w:color="auto"/>
                        <w:bottom w:val="none" w:sz="0" w:space="0" w:color="auto"/>
                        <w:right w:val="none" w:sz="0" w:space="0" w:color="auto"/>
                      </w:divBdr>
                    </w:div>
                    <w:div w:id="678429515">
                      <w:marLeft w:val="0"/>
                      <w:marRight w:val="0"/>
                      <w:marTop w:val="0"/>
                      <w:marBottom w:val="0"/>
                      <w:divBdr>
                        <w:top w:val="none" w:sz="0" w:space="0" w:color="auto"/>
                        <w:left w:val="none" w:sz="0" w:space="0" w:color="auto"/>
                        <w:bottom w:val="none" w:sz="0" w:space="0" w:color="auto"/>
                        <w:right w:val="none" w:sz="0" w:space="0" w:color="auto"/>
                      </w:divBdr>
                    </w:div>
                    <w:div w:id="937952090">
                      <w:marLeft w:val="0"/>
                      <w:marRight w:val="0"/>
                      <w:marTop w:val="0"/>
                      <w:marBottom w:val="0"/>
                      <w:divBdr>
                        <w:top w:val="none" w:sz="0" w:space="0" w:color="auto"/>
                        <w:left w:val="none" w:sz="0" w:space="0" w:color="auto"/>
                        <w:bottom w:val="none" w:sz="0" w:space="0" w:color="auto"/>
                        <w:right w:val="none" w:sz="0" w:space="0" w:color="auto"/>
                      </w:divBdr>
                    </w:div>
                    <w:div w:id="979650695">
                      <w:marLeft w:val="0"/>
                      <w:marRight w:val="0"/>
                      <w:marTop w:val="0"/>
                      <w:marBottom w:val="0"/>
                      <w:divBdr>
                        <w:top w:val="none" w:sz="0" w:space="0" w:color="auto"/>
                        <w:left w:val="none" w:sz="0" w:space="0" w:color="auto"/>
                        <w:bottom w:val="none" w:sz="0" w:space="0" w:color="auto"/>
                        <w:right w:val="none" w:sz="0" w:space="0" w:color="auto"/>
                      </w:divBdr>
                    </w:div>
                    <w:div w:id="1229416538">
                      <w:marLeft w:val="0"/>
                      <w:marRight w:val="0"/>
                      <w:marTop w:val="0"/>
                      <w:marBottom w:val="0"/>
                      <w:divBdr>
                        <w:top w:val="none" w:sz="0" w:space="0" w:color="auto"/>
                        <w:left w:val="none" w:sz="0" w:space="0" w:color="auto"/>
                        <w:bottom w:val="none" w:sz="0" w:space="0" w:color="auto"/>
                        <w:right w:val="none" w:sz="0" w:space="0" w:color="auto"/>
                      </w:divBdr>
                    </w:div>
                    <w:div w:id="1251543764">
                      <w:marLeft w:val="0"/>
                      <w:marRight w:val="0"/>
                      <w:marTop w:val="0"/>
                      <w:marBottom w:val="0"/>
                      <w:divBdr>
                        <w:top w:val="none" w:sz="0" w:space="0" w:color="auto"/>
                        <w:left w:val="none" w:sz="0" w:space="0" w:color="auto"/>
                        <w:bottom w:val="none" w:sz="0" w:space="0" w:color="auto"/>
                        <w:right w:val="none" w:sz="0" w:space="0" w:color="auto"/>
                      </w:divBdr>
                    </w:div>
                    <w:div w:id="1784493977">
                      <w:marLeft w:val="0"/>
                      <w:marRight w:val="0"/>
                      <w:marTop w:val="0"/>
                      <w:marBottom w:val="0"/>
                      <w:divBdr>
                        <w:top w:val="none" w:sz="0" w:space="0" w:color="auto"/>
                        <w:left w:val="none" w:sz="0" w:space="0" w:color="auto"/>
                        <w:bottom w:val="none" w:sz="0" w:space="0" w:color="auto"/>
                        <w:right w:val="none" w:sz="0" w:space="0" w:color="auto"/>
                      </w:divBdr>
                    </w:div>
                    <w:div w:id="2029406651">
                      <w:marLeft w:val="0"/>
                      <w:marRight w:val="0"/>
                      <w:marTop w:val="0"/>
                      <w:marBottom w:val="0"/>
                      <w:divBdr>
                        <w:top w:val="none" w:sz="0" w:space="0" w:color="auto"/>
                        <w:left w:val="none" w:sz="0" w:space="0" w:color="auto"/>
                        <w:bottom w:val="none" w:sz="0" w:space="0" w:color="auto"/>
                        <w:right w:val="none" w:sz="0" w:space="0" w:color="auto"/>
                      </w:divBdr>
                    </w:div>
                  </w:divsChild>
                </w:div>
                <w:div w:id="370544584">
                  <w:marLeft w:val="0"/>
                  <w:marRight w:val="0"/>
                  <w:marTop w:val="0"/>
                  <w:marBottom w:val="0"/>
                  <w:divBdr>
                    <w:top w:val="none" w:sz="0" w:space="0" w:color="auto"/>
                    <w:left w:val="none" w:sz="0" w:space="0" w:color="auto"/>
                    <w:bottom w:val="none" w:sz="0" w:space="0" w:color="auto"/>
                    <w:right w:val="none" w:sz="0" w:space="0" w:color="auto"/>
                  </w:divBdr>
                  <w:divsChild>
                    <w:div w:id="141118763">
                      <w:marLeft w:val="0"/>
                      <w:marRight w:val="0"/>
                      <w:marTop w:val="0"/>
                      <w:marBottom w:val="0"/>
                      <w:divBdr>
                        <w:top w:val="none" w:sz="0" w:space="0" w:color="auto"/>
                        <w:left w:val="none" w:sz="0" w:space="0" w:color="auto"/>
                        <w:bottom w:val="none" w:sz="0" w:space="0" w:color="auto"/>
                        <w:right w:val="none" w:sz="0" w:space="0" w:color="auto"/>
                      </w:divBdr>
                    </w:div>
                  </w:divsChild>
                </w:div>
                <w:div w:id="373892134">
                  <w:marLeft w:val="0"/>
                  <w:marRight w:val="0"/>
                  <w:marTop w:val="0"/>
                  <w:marBottom w:val="0"/>
                  <w:divBdr>
                    <w:top w:val="none" w:sz="0" w:space="0" w:color="auto"/>
                    <w:left w:val="none" w:sz="0" w:space="0" w:color="auto"/>
                    <w:bottom w:val="none" w:sz="0" w:space="0" w:color="auto"/>
                    <w:right w:val="none" w:sz="0" w:space="0" w:color="auto"/>
                  </w:divBdr>
                  <w:divsChild>
                    <w:div w:id="985625362">
                      <w:marLeft w:val="0"/>
                      <w:marRight w:val="0"/>
                      <w:marTop w:val="0"/>
                      <w:marBottom w:val="0"/>
                      <w:divBdr>
                        <w:top w:val="none" w:sz="0" w:space="0" w:color="auto"/>
                        <w:left w:val="none" w:sz="0" w:space="0" w:color="auto"/>
                        <w:bottom w:val="none" w:sz="0" w:space="0" w:color="auto"/>
                        <w:right w:val="none" w:sz="0" w:space="0" w:color="auto"/>
                      </w:divBdr>
                    </w:div>
                  </w:divsChild>
                </w:div>
                <w:div w:id="375013704">
                  <w:marLeft w:val="0"/>
                  <w:marRight w:val="0"/>
                  <w:marTop w:val="0"/>
                  <w:marBottom w:val="0"/>
                  <w:divBdr>
                    <w:top w:val="none" w:sz="0" w:space="0" w:color="auto"/>
                    <w:left w:val="none" w:sz="0" w:space="0" w:color="auto"/>
                    <w:bottom w:val="none" w:sz="0" w:space="0" w:color="auto"/>
                    <w:right w:val="none" w:sz="0" w:space="0" w:color="auto"/>
                  </w:divBdr>
                  <w:divsChild>
                    <w:div w:id="1108113157">
                      <w:marLeft w:val="0"/>
                      <w:marRight w:val="0"/>
                      <w:marTop w:val="0"/>
                      <w:marBottom w:val="0"/>
                      <w:divBdr>
                        <w:top w:val="none" w:sz="0" w:space="0" w:color="auto"/>
                        <w:left w:val="none" w:sz="0" w:space="0" w:color="auto"/>
                        <w:bottom w:val="none" w:sz="0" w:space="0" w:color="auto"/>
                        <w:right w:val="none" w:sz="0" w:space="0" w:color="auto"/>
                      </w:divBdr>
                    </w:div>
                  </w:divsChild>
                </w:div>
                <w:div w:id="377440644">
                  <w:marLeft w:val="0"/>
                  <w:marRight w:val="0"/>
                  <w:marTop w:val="0"/>
                  <w:marBottom w:val="0"/>
                  <w:divBdr>
                    <w:top w:val="none" w:sz="0" w:space="0" w:color="auto"/>
                    <w:left w:val="none" w:sz="0" w:space="0" w:color="auto"/>
                    <w:bottom w:val="none" w:sz="0" w:space="0" w:color="auto"/>
                    <w:right w:val="none" w:sz="0" w:space="0" w:color="auto"/>
                  </w:divBdr>
                  <w:divsChild>
                    <w:div w:id="1297758706">
                      <w:marLeft w:val="0"/>
                      <w:marRight w:val="0"/>
                      <w:marTop w:val="0"/>
                      <w:marBottom w:val="0"/>
                      <w:divBdr>
                        <w:top w:val="none" w:sz="0" w:space="0" w:color="auto"/>
                        <w:left w:val="none" w:sz="0" w:space="0" w:color="auto"/>
                        <w:bottom w:val="none" w:sz="0" w:space="0" w:color="auto"/>
                        <w:right w:val="none" w:sz="0" w:space="0" w:color="auto"/>
                      </w:divBdr>
                    </w:div>
                  </w:divsChild>
                </w:div>
                <w:div w:id="378364078">
                  <w:marLeft w:val="0"/>
                  <w:marRight w:val="0"/>
                  <w:marTop w:val="0"/>
                  <w:marBottom w:val="0"/>
                  <w:divBdr>
                    <w:top w:val="none" w:sz="0" w:space="0" w:color="auto"/>
                    <w:left w:val="none" w:sz="0" w:space="0" w:color="auto"/>
                    <w:bottom w:val="none" w:sz="0" w:space="0" w:color="auto"/>
                    <w:right w:val="none" w:sz="0" w:space="0" w:color="auto"/>
                  </w:divBdr>
                  <w:divsChild>
                    <w:div w:id="1676953649">
                      <w:marLeft w:val="0"/>
                      <w:marRight w:val="0"/>
                      <w:marTop w:val="0"/>
                      <w:marBottom w:val="0"/>
                      <w:divBdr>
                        <w:top w:val="none" w:sz="0" w:space="0" w:color="auto"/>
                        <w:left w:val="none" w:sz="0" w:space="0" w:color="auto"/>
                        <w:bottom w:val="none" w:sz="0" w:space="0" w:color="auto"/>
                        <w:right w:val="none" w:sz="0" w:space="0" w:color="auto"/>
                      </w:divBdr>
                    </w:div>
                  </w:divsChild>
                </w:div>
                <w:div w:id="390353095">
                  <w:marLeft w:val="0"/>
                  <w:marRight w:val="0"/>
                  <w:marTop w:val="0"/>
                  <w:marBottom w:val="0"/>
                  <w:divBdr>
                    <w:top w:val="none" w:sz="0" w:space="0" w:color="auto"/>
                    <w:left w:val="none" w:sz="0" w:space="0" w:color="auto"/>
                    <w:bottom w:val="none" w:sz="0" w:space="0" w:color="auto"/>
                    <w:right w:val="none" w:sz="0" w:space="0" w:color="auto"/>
                  </w:divBdr>
                  <w:divsChild>
                    <w:div w:id="1564438820">
                      <w:marLeft w:val="0"/>
                      <w:marRight w:val="0"/>
                      <w:marTop w:val="0"/>
                      <w:marBottom w:val="0"/>
                      <w:divBdr>
                        <w:top w:val="none" w:sz="0" w:space="0" w:color="auto"/>
                        <w:left w:val="none" w:sz="0" w:space="0" w:color="auto"/>
                        <w:bottom w:val="none" w:sz="0" w:space="0" w:color="auto"/>
                        <w:right w:val="none" w:sz="0" w:space="0" w:color="auto"/>
                      </w:divBdr>
                    </w:div>
                  </w:divsChild>
                </w:div>
                <w:div w:id="397899535">
                  <w:marLeft w:val="0"/>
                  <w:marRight w:val="0"/>
                  <w:marTop w:val="0"/>
                  <w:marBottom w:val="0"/>
                  <w:divBdr>
                    <w:top w:val="none" w:sz="0" w:space="0" w:color="auto"/>
                    <w:left w:val="none" w:sz="0" w:space="0" w:color="auto"/>
                    <w:bottom w:val="none" w:sz="0" w:space="0" w:color="auto"/>
                    <w:right w:val="none" w:sz="0" w:space="0" w:color="auto"/>
                  </w:divBdr>
                  <w:divsChild>
                    <w:div w:id="465584894">
                      <w:marLeft w:val="0"/>
                      <w:marRight w:val="0"/>
                      <w:marTop w:val="0"/>
                      <w:marBottom w:val="0"/>
                      <w:divBdr>
                        <w:top w:val="none" w:sz="0" w:space="0" w:color="auto"/>
                        <w:left w:val="none" w:sz="0" w:space="0" w:color="auto"/>
                        <w:bottom w:val="none" w:sz="0" w:space="0" w:color="auto"/>
                        <w:right w:val="none" w:sz="0" w:space="0" w:color="auto"/>
                      </w:divBdr>
                    </w:div>
                  </w:divsChild>
                </w:div>
                <w:div w:id="399644280">
                  <w:marLeft w:val="0"/>
                  <w:marRight w:val="0"/>
                  <w:marTop w:val="0"/>
                  <w:marBottom w:val="0"/>
                  <w:divBdr>
                    <w:top w:val="none" w:sz="0" w:space="0" w:color="auto"/>
                    <w:left w:val="none" w:sz="0" w:space="0" w:color="auto"/>
                    <w:bottom w:val="none" w:sz="0" w:space="0" w:color="auto"/>
                    <w:right w:val="none" w:sz="0" w:space="0" w:color="auto"/>
                  </w:divBdr>
                  <w:divsChild>
                    <w:div w:id="1781144658">
                      <w:marLeft w:val="0"/>
                      <w:marRight w:val="0"/>
                      <w:marTop w:val="0"/>
                      <w:marBottom w:val="0"/>
                      <w:divBdr>
                        <w:top w:val="none" w:sz="0" w:space="0" w:color="auto"/>
                        <w:left w:val="none" w:sz="0" w:space="0" w:color="auto"/>
                        <w:bottom w:val="none" w:sz="0" w:space="0" w:color="auto"/>
                        <w:right w:val="none" w:sz="0" w:space="0" w:color="auto"/>
                      </w:divBdr>
                    </w:div>
                  </w:divsChild>
                </w:div>
                <w:div w:id="403144404">
                  <w:marLeft w:val="0"/>
                  <w:marRight w:val="0"/>
                  <w:marTop w:val="0"/>
                  <w:marBottom w:val="0"/>
                  <w:divBdr>
                    <w:top w:val="none" w:sz="0" w:space="0" w:color="auto"/>
                    <w:left w:val="none" w:sz="0" w:space="0" w:color="auto"/>
                    <w:bottom w:val="none" w:sz="0" w:space="0" w:color="auto"/>
                    <w:right w:val="none" w:sz="0" w:space="0" w:color="auto"/>
                  </w:divBdr>
                  <w:divsChild>
                    <w:div w:id="1858422339">
                      <w:marLeft w:val="0"/>
                      <w:marRight w:val="0"/>
                      <w:marTop w:val="0"/>
                      <w:marBottom w:val="0"/>
                      <w:divBdr>
                        <w:top w:val="none" w:sz="0" w:space="0" w:color="auto"/>
                        <w:left w:val="none" w:sz="0" w:space="0" w:color="auto"/>
                        <w:bottom w:val="none" w:sz="0" w:space="0" w:color="auto"/>
                        <w:right w:val="none" w:sz="0" w:space="0" w:color="auto"/>
                      </w:divBdr>
                    </w:div>
                  </w:divsChild>
                </w:div>
                <w:div w:id="408040520">
                  <w:marLeft w:val="0"/>
                  <w:marRight w:val="0"/>
                  <w:marTop w:val="0"/>
                  <w:marBottom w:val="0"/>
                  <w:divBdr>
                    <w:top w:val="none" w:sz="0" w:space="0" w:color="auto"/>
                    <w:left w:val="none" w:sz="0" w:space="0" w:color="auto"/>
                    <w:bottom w:val="none" w:sz="0" w:space="0" w:color="auto"/>
                    <w:right w:val="none" w:sz="0" w:space="0" w:color="auto"/>
                  </w:divBdr>
                  <w:divsChild>
                    <w:div w:id="329215228">
                      <w:marLeft w:val="0"/>
                      <w:marRight w:val="0"/>
                      <w:marTop w:val="0"/>
                      <w:marBottom w:val="0"/>
                      <w:divBdr>
                        <w:top w:val="none" w:sz="0" w:space="0" w:color="auto"/>
                        <w:left w:val="none" w:sz="0" w:space="0" w:color="auto"/>
                        <w:bottom w:val="none" w:sz="0" w:space="0" w:color="auto"/>
                        <w:right w:val="none" w:sz="0" w:space="0" w:color="auto"/>
                      </w:divBdr>
                    </w:div>
                  </w:divsChild>
                </w:div>
                <w:div w:id="414088051">
                  <w:marLeft w:val="0"/>
                  <w:marRight w:val="0"/>
                  <w:marTop w:val="0"/>
                  <w:marBottom w:val="0"/>
                  <w:divBdr>
                    <w:top w:val="none" w:sz="0" w:space="0" w:color="auto"/>
                    <w:left w:val="none" w:sz="0" w:space="0" w:color="auto"/>
                    <w:bottom w:val="none" w:sz="0" w:space="0" w:color="auto"/>
                    <w:right w:val="none" w:sz="0" w:space="0" w:color="auto"/>
                  </w:divBdr>
                  <w:divsChild>
                    <w:div w:id="731193624">
                      <w:marLeft w:val="0"/>
                      <w:marRight w:val="0"/>
                      <w:marTop w:val="0"/>
                      <w:marBottom w:val="0"/>
                      <w:divBdr>
                        <w:top w:val="none" w:sz="0" w:space="0" w:color="auto"/>
                        <w:left w:val="none" w:sz="0" w:space="0" w:color="auto"/>
                        <w:bottom w:val="none" w:sz="0" w:space="0" w:color="auto"/>
                        <w:right w:val="none" w:sz="0" w:space="0" w:color="auto"/>
                      </w:divBdr>
                    </w:div>
                  </w:divsChild>
                </w:div>
                <w:div w:id="424963539">
                  <w:marLeft w:val="0"/>
                  <w:marRight w:val="0"/>
                  <w:marTop w:val="0"/>
                  <w:marBottom w:val="0"/>
                  <w:divBdr>
                    <w:top w:val="none" w:sz="0" w:space="0" w:color="auto"/>
                    <w:left w:val="none" w:sz="0" w:space="0" w:color="auto"/>
                    <w:bottom w:val="none" w:sz="0" w:space="0" w:color="auto"/>
                    <w:right w:val="none" w:sz="0" w:space="0" w:color="auto"/>
                  </w:divBdr>
                  <w:divsChild>
                    <w:div w:id="854686449">
                      <w:marLeft w:val="0"/>
                      <w:marRight w:val="0"/>
                      <w:marTop w:val="0"/>
                      <w:marBottom w:val="0"/>
                      <w:divBdr>
                        <w:top w:val="none" w:sz="0" w:space="0" w:color="auto"/>
                        <w:left w:val="none" w:sz="0" w:space="0" w:color="auto"/>
                        <w:bottom w:val="none" w:sz="0" w:space="0" w:color="auto"/>
                        <w:right w:val="none" w:sz="0" w:space="0" w:color="auto"/>
                      </w:divBdr>
                    </w:div>
                  </w:divsChild>
                </w:div>
                <w:div w:id="427623385">
                  <w:marLeft w:val="0"/>
                  <w:marRight w:val="0"/>
                  <w:marTop w:val="0"/>
                  <w:marBottom w:val="0"/>
                  <w:divBdr>
                    <w:top w:val="none" w:sz="0" w:space="0" w:color="auto"/>
                    <w:left w:val="none" w:sz="0" w:space="0" w:color="auto"/>
                    <w:bottom w:val="none" w:sz="0" w:space="0" w:color="auto"/>
                    <w:right w:val="none" w:sz="0" w:space="0" w:color="auto"/>
                  </w:divBdr>
                  <w:divsChild>
                    <w:div w:id="1557161928">
                      <w:marLeft w:val="0"/>
                      <w:marRight w:val="0"/>
                      <w:marTop w:val="0"/>
                      <w:marBottom w:val="0"/>
                      <w:divBdr>
                        <w:top w:val="none" w:sz="0" w:space="0" w:color="auto"/>
                        <w:left w:val="none" w:sz="0" w:space="0" w:color="auto"/>
                        <w:bottom w:val="none" w:sz="0" w:space="0" w:color="auto"/>
                        <w:right w:val="none" w:sz="0" w:space="0" w:color="auto"/>
                      </w:divBdr>
                    </w:div>
                  </w:divsChild>
                </w:div>
                <w:div w:id="429811629">
                  <w:marLeft w:val="0"/>
                  <w:marRight w:val="0"/>
                  <w:marTop w:val="0"/>
                  <w:marBottom w:val="0"/>
                  <w:divBdr>
                    <w:top w:val="none" w:sz="0" w:space="0" w:color="auto"/>
                    <w:left w:val="none" w:sz="0" w:space="0" w:color="auto"/>
                    <w:bottom w:val="none" w:sz="0" w:space="0" w:color="auto"/>
                    <w:right w:val="none" w:sz="0" w:space="0" w:color="auto"/>
                  </w:divBdr>
                  <w:divsChild>
                    <w:div w:id="1677878266">
                      <w:marLeft w:val="0"/>
                      <w:marRight w:val="0"/>
                      <w:marTop w:val="0"/>
                      <w:marBottom w:val="0"/>
                      <w:divBdr>
                        <w:top w:val="none" w:sz="0" w:space="0" w:color="auto"/>
                        <w:left w:val="none" w:sz="0" w:space="0" w:color="auto"/>
                        <w:bottom w:val="none" w:sz="0" w:space="0" w:color="auto"/>
                        <w:right w:val="none" w:sz="0" w:space="0" w:color="auto"/>
                      </w:divBdr>
                    </w:div>
                  </w:divsChild>
                </w:div>
                <w:div w:id="442110792">
                  <w:marLeft w:val="0"/>
                  <w:marRight w:val="0"/>
                  <w:marTop w:val="0"/>
                  <w:marBottom w:val="0"/>
                  <w:divBdr>
                    <w:top w:val="none" w:sz="0" w:space="0" w:color="auto"/>
                    <w:left w:val="none" w:sz="0" w:space="0" w:color="auto"/>
                    <w:bottom w:val="none" w:sz="0" w:space="0" w:color="auto"/>
                    <w:right w:val="none" w:sz="0" w:space="0" w:color="auto"/>
                  </w:divBdr>
                  <w:divsChild>
                    <w:div w:id="1194535596">
                      <w:marLeft w:val="0"/>
                      <w:marRight w:val="0"/>
                      <w:marTop w:val="0"/>
                      <w:marBottom w:val="0"/>
                      <w:divBdr>
                        <w:top w:val="none" w:sz="0" w:space="0" w:color="auto"/>
                        <w:left w:val="none" w:sz="0" w:space="0" w:color="auto"/>
                        <w:bottom w:val="none" w:sz="0" w:space="0" w:color="auto"/>
                        <w:right w:val="none" w:sz="0" w:space="0" w:color="auto"/>
                      </w:divBdr>
                    </w:div>
                  </w:divsChild>
                </w:div>
                <w:div w:id="445739622">
                  <w:marLeft w:val="0"/>
                  <w:marRight w:val="0"/>
                  <w:marTop w:val="0"/>
                  <w:marBottom w:val="0"/>
                  <w:divBdr>
                    <w:top w:val="none" w:sz="0" w:space="0" w:color="auto"/>
                    <w:left w:val="none" w:sz="0" w:space="0" w:color="auto"/>
                    <w:bottom w:val="none" w:sz="0" w:space="0" w:color="auto"/>
                    <w:right w:val="none" w:sz="0" w:space="0" w:color="auto"/>
                  </w:divBdr>
                  <w:divsChild>
                    <w:div w:id="1011181382">
                      <w:marLeft w:val="0"/>
                      <w:marRight w:val="0"/>
                      <w:marTop w:val="0"/>
                      <w:marBottom w:val="0"/>
                      <w:divBdr>
                        <w:top w:val="none" w:sz="0" w:space="0" w:color="auto"/>
                        <w:left w:val="none" w:sz="0" w:space="0" w:color="auto"/>
                        <w:bottom w:val="none" w:sz="0" w:space="0" w:color="auto"/>
                        <w:right w:val="none" w:sz="0" w:space="0" w:color="auto"/>
                      </w:divBdr>
                    </w:div>
                  </w:divsChild>
                </w:div>
                <w:div w:id="451830294">
                  <w:marLeft w:val="0"/>
                  <w:marRight w:val="0"/>
                  <w:marTop w:val="0"/>
                  <w:marBottom w:val="0"/>
                  <w:divBdr>
                    <w:top w:val="none" w:sz="0" w:space="0" w:color="auto"/>
                    <w:left w:val="none" w:sz="0" w:space="0" w:color="auto"/>
                    <w:bottom w:val="none" w:sz="0" w:space="0" w:color="auto"/>
                    <w:right w:val="none" w:sz="0" w:space="0" w:color="auto"/>
                  </w:divBdr>
                  <w:divsChild>
                    <w:div w:id="1634166275">
                      <w:marLeft w:val="0"/>
                      <w:marRight w:val="0"/>
                      <w:marTop w:val="0"/>
                      <w:marBottom w:val="0"/>
                      <w:divBdr>
                        <w:top w:val="none" w:sz="0" w:space="0" w:color="auto"/>
                        <w:left w:val="none" w:sz="0" w:space="0" w:color="auto"/>
                        <w:bottom w:val="none" w:sz="0" w:space="0" w:color="auto"/>
                        <w:right w:val="none" w:sz="0" w:space="0" w:color="auto"/>
                      </w:divBdr>
                    </w:div>
                  </w:divsChild>
                </w:div>
                <w:div w:id="456418037">
                  <w:marLeft w:val="0"/>
                  <w:marRight w:val="0"/>
                  <w:marTop w:val="0"/>
                  <w:marBottom w:val="0"/>
                  <w:divBdr>
                    <w:top w:val="none" w:sz="0" w:space="0" w:color="auto"/>
                    <w:left w:val="none" w:sz="0" w:space="0" w:color="auto"/>
                    <w:bottom w:val="none" w:sz="0" w:space="0" w:color="auto"/>
                    <w:right w:val="none" w:sz="0" w:space="0" w:color="auto"/>
                  </w:divBdr>
                  <w:divsChild>
                    <w:div w:id="1940016968">
                      <w:marLeft w:val="0"/>
                      <w:marRight w:val="0"/>
                      <w:marTop w:val="0"/>
                      <w:marBottom w:val="0"/>
                      <w:divBdr>
                        <w:top w:val="none" w:sz="0" w:space="0" w:color="auto"/>
                        <w:left w:val="none" w:sz="0" w:space="0" w:color="auto"/>
                        <w:bottom w:val="none" w:sz="0" w:space="0" w:color="auto"/>
                        <w:right w:val="none" w:sz="0" w:space="0" w:color="auto"/>
                      </w:divBdr>
                    </w:div>
                  </w:divsChild>
                </w:div>
                <w:div w:id="465976857">
                  <w:marLeft w:val="0"/>
                  <w:marRight w:val="0"/>
                  <w:marTop w:val="0"/>
                  <w:marBottom w:val="0"/>
                  <w:divBdr>
                    <w:top w:val="none" w:sz="0" w:space="0" w:color="auto"/>
                    <w:left w:val="none" w:sz="0" w:space="0" w:color="auto"/>
                    <w:bottom w:val="none" w:sz="0" w:space="0" w:color="auto"/>
                    <w:right w:val="none" w:sz="0" w:space="0" w:color="auto"/>
                  </w:divBdr>
                  <w:divsChild>
                    <w:div w:id="2072775124">
                      <w:marLeft w:val="0"/>
                      <w:marRight w:val="0"/>
                      <w:marTop w:val="0"/>
                      <w:marBottom w:val="0"/>
                      <w:divBdr>
                        <w:top w:val="none" w:sz="0" w:space="0" w:color="auto"/>
                        <w:left w:val="none" w:sz="0" w:space="0" w:color="auto"/>
                        <w:bottom w:val="none" w:sz="0" w:space="0" w:color="auto"/>
                        <w:right w:val="none" w:sz="0" w:space="0" w:color="auto"/>
                      </w:divBdr>
                    </w:div>
                  </w:divsChild>
                </w:div>
                <w:div w:id="472912902">
                  <w:marLeft w:val="0"/>
                  <w:marRight w:val="0"/>
                  <w:marTop w:val="0"/>
                  <w:marBottom w:val="0"/>
                  <w:divBdr>
                    <w:top w:val="none" w:sz="0" w:space="0" w:color="auto"/>
                    <w:left w:val="none" w:sz="0" w:space="0" w:color="auto"/>
                    <w:bottom w:val="none" w:sz="0" w:space="0" w:color="auto"/>
                    <w:right w:val="none" w:sz="0" w:space="0" w:color="auto"/>
                  </w:divBdr>
                  <w:divsChild>
                    <w:div w:id="1193345275">
                      <w:marLeft w:val="0"/>
                      <w:marRight w:val="0"/>
                      <w:marTop w:val="0"/>
                      <w:marBottom w:val="0"/>
                      <w:divBdr>
                        <w:top w:val="none" w:sz="0" w:space="0" w:color="auto"/>
                        <w:left w:val="none" w:sz="0" w:space="0" w:color="auto"/>
                        <w:bottom w:val="none" w:sz="0" w:space="0" w:color="auto"/>
                        <w:right w:val="none" w:sz="0" w:space="0" w:color="auto"/>
                      </w:divBdr>
                    </w:div>
                  </w:divsChild>
                </w:div>
                <w:div w:id="493836844">
                  <w:marLeft w:val="0"/>
                  <w:marRight w:val="0"/>
                  <w:marTop w:val="0"/>
                  <w:marBottom w:val="0"/>
                  <w:divBdr>
                    <w:top w:val="none" w:sz="0" w:space="0" w:color="auto"/>
                    <w:left w:val="none" w:sz="0" w:space="0" w:color="auto"/>
                    <w:bottom w:val="none" w:sz="0" w:space="0" w:color="auto"/>
                    <w:right w:val="none" w:sz="0" w:space="0" w:color="auto"/>
                  </w:divBdr>
                  <w:divsChild>
                    <w:div w:id="226113764">
                      <w:marLeft w:val="0"/>
                      <w:marRight w:val="0"/>
                      <w:marTop w:val="0"/>
                      <w:marBottom w:val="0"/>
                      <w:divBdr>
                        <w:top w:val="none" w:sz="0" w:space="0" w:color="auto"/>
                        <w:left w:val="none" w:sz="0" w:space="0" w:color="auto"/>
                        <w:bottom w:val="none" w:sz="0" w:space="0" w:color="auto"/>
                        <w:right w:val="none" w:sz="0" w:space="0" w:color="auto"/>
                      </w:divBdr>
                    </w:div>
                  </w:divsChild>
                </w:div>
                <w:div w:id="503278423">
                  <w:marLeft w:val="0"/>
                  <w:marRight w:val="0"/>
                  <w:marTop w:val="0"/>
                  <w:marBottom w:val="0"/>
                  <w:divBdr>
                    <w:top w:val="none" w:sz="0" w:space="0" w:color="auto"/>
                    <w:left w:val="none" w:sz="0" w:space="0" w:color="auto"/>
                    <w:bottom w:val="none" w:sz="0" w:space="0" w:color="auto"/>
                    <w:right w:val="none" w:sz="0" w:space="0" w:color="auto"/>
                  </w:divBdr>
                  <w:divsChild>
                    <w:div w:id="565797602">
                      <w:marLeft w:val="0"/>
                      <w:marRight w:val="0"/>
                      <w:marTop w:val="0"/>
                      <w:marBottom w:val="0"/>
                      <w:divBdr>
                        <w:top w:val="none" w:sz="0" w:space="0" w:color="auto"/>
                        <w:left w:val="none" w:sz="0" w:space="0" w:color="auto"/>
                        <w:bottom w:val="none" w:sz="0" w:space="0" w:color="auto"/>
                        <w:right w:val="none" w:sz="0" w:space="0" w:color="auto"/>
                      </w:divBdr>
                    </w:div>
                  </w:divsChild>
                </w:div>
                <w:div w:id="503936460">
                  <w:marLeft w:val="0"/>
                  <w:marRight w:val="0"/>
                  <w:marTop w:val="0"/>
                  <w:marBottom w:val="0"/>
                  <w:divBdr>
                    <w:top w:val="none" w:sz="0" w:space="0" w:color="auto"/>
                    <w:left w:val="none" w:sz="0" w:space="0" w:color="auto"/>
                    <w:bottom w:val="none" w:sz="0" w:space="0" w:color="auto"/>
                    <w:right w:val="none" w:sz="0" w:space="0" w:color="auto"/>
                  </w:divBdr>
                  <w:divsChild>
                    <w:div w:id="1642617900">
                      <w:marLeft w:val="0"/>
                      <w:marRight w:val="0"/>
                      <w:marTop w:val="0"/>
                      <w:marBottom w:val="0"/>
                      <w:divBdr>
                        <w:top w:val="none" w:sz="0" w:space="0" w:color="auto"/>
                        <w:left w:val="none" w:sz="0" w:space="0" w:color="auto"/>
                        <w:bottom w:val="none" w:sz="0" w:space="0" w:color="auto"/>
                        <w:right w:val="none" w:sz="0" w:space="0" w:color="auto"/>
                      </w:divBdr>
                    </w:div>
                  </w:divsChild>
                </w:div>
                <w:div w:id="508255250">
                  <w:marLeft w:val="0"/>
                  <w:marRight w:val="0"/>
                  <w:marTop w:val="0"/>
                  <w:marBottom w:val="0"/>
                  <w:divBdr>
                    <w:top w:val="none" w:sz="0" w:space="0" w:color="auto"/>
                    <w:left w:val="none" w:sz="0" w:space="0" w:color="auto"/>
                    <w:bottom w:val="none" w:sz="0" w:space="0" w:color="auto"/>
                    <w:right w:val="none" w:sz="0" w:space="0" w:color="auto"/>
                  </w:divBdr>
                  <w:divsChild>
                    <w:div w:id="1933925907">
                      <w:marLeft w:val="0"/>
                      <w:marRight w:val="0"/>
                      <w:marTop w:val="0"/>
                      <w:marBottom w:val="0"/>
                      <w:divBdr>
                        <w:top w:val="none" w:sz="0" w:space="0" w:color="auto"/>
                        <w:left w:val="none" w:sz="0" w:space="0" w:color="auto"/>
                        <w:bottom w:val="none" w:sz="0" w:space="0" w:color="auto"/>
                        <w:right w:val="none" w:sz="0" w:space="0" w:color="auto"/>
                      </w:divBdr>
                    </w:div>
                  </w:divsChild>
                </w:div>
                <w:div w:id="519465593">
                  <w:marLeft w:val="0"/>
                  <w:marRight w:val="0"/>
                  <w:marTop w:val="0"/>
                  <w:marBottom w:val="0"/>
                  <w:divBdr>
                    <w:top w:val="none" w:sz="0" w:space="0" w:color="auto"/>
                    <w:left w:val="none" w:sz="0" w:space="0" w:color="auto"/>
                    <w:bottom w:val="none" w:sz="0" w:space="0" w:color="auto"/>
                    <w:right w:val="none" w:sz="0" w:space="0" w:color="auto"/>
                  </w:divBdr>
                  <w:divsChild>
                    <w:div w:id="987439247">
                      <w:marLeft w:val="0"/>
                      <w:marRight w:val="0"/>
                      <w:marTop w:val="0"/>
                      <w:marBottom w:val="0"/>
                      <w:divBdr>
                        <w:top w:val="none" w:sz="0" w:space="0" w:color="auto"/>
                        <w:left w:val="none" w:sz="0" w:space="0" w:color="auto"/>
                        <w:bottom w:val="none" w:sz="0" w:space="0" w:color="auto"/>
                        <w:right w:val="none" w:sz="0" w:space="0" w:color="auto"/>
                      </w:divBdr>
                    </w:div>
                  </w:divsChild>
                </w:div>
                <w:div w:id="536431328">
                  <w:marLeft w:val="0"/>
                  <w:marRight w:val="0"/>
                  <w:marTop w:val="0"/>
                  <w:marBottom w:val="0"/>
                  <w:divBdr>
                    <w:top w:val="none" w:sz="0" w:space="0" w:color="auto"/>
                    <w:left w:val="none" w:sz="0" w:space="0" w:color="auto"/>
                    <w:bottom w:val="none" w:sz="0" w:space="0" w:color="auto"/>
                    <w:right w:val="none" w:sz="0" w:space="0" w:color="auto"/>
                  </w:divBdr>
                  <w:divsChild>
                    <w:div w:id="1660302861">
                      <w:marLeft w:val="0"/>
                      <w:marRight w:val="0"/>
                      <w:marTop w:val="0"/>
                      <w:marBottom w:val="0"/>
                      <w:divBdr>
                        <w:top w:val="none" w:sz="0" w:space="0" w:color="auto"/>
                        <w:left w:val="none" w:sz="0" w:space="0" w:color="auto"/>
                        <w:bottom w:val="none" w:sz="0" w:space="0" w:color="auto"/>
                        <w:right w:val="none" w:sz="0" w:space="0" w:color="auto"/>
                      </w:divBdr>
                    </w:div>
                  </w:divsChild>
                </w:div>
                <w:div w:id="539709727">
                  <w:marLeft w:val="0"/>
                  <w:marRight w:val="0"/>
                  <w:marTop w:val="0"/>
                  <w:marBottom w:val="0"/>
                  <w:divBdr>
                    <w:top w:val="none" w:sz="0" w:space="0" w:color="auto"/>
                    <w:left w:val="none" w:sz="0" w:space="0" w:color="auto"/>
                    <w:bottom w:val="none" w:sz="0" w:space="0" w:color="auto"/>
                    <w:right w:val="none" w:sz="0" w:space="0" w:color="auto"/>
                  </w:divBdr>
                  <w:divsChild>
                    <w:div w:id="2133667771">
                      <w:marLeft w:val="0"/>
                      <w:marRight w:val="0"/>
                      <w:marTop w:val="0"/>
                      <w:marBottom w:val="0"/>
                      <w:divBdr>
                        <w:top w:val="none" w:sz="0" w:space="0" w:color="auto"/>
                        <w:left w:val="none" w:sz="0" w:space="0" w:color="auto"/>
                        <w:bottom w:val="none" w:sz="0" w:space="0" w:color="auto"/>
                        <w:right w:val="none" w:sz="0" w:space="0" w:color="auto"/>
                      </w:divBdr>
                    </w:div>
                  </w:divsChild>
                </w:div>
                <w:div w:id="541357810">
                  <w:marLeft w:val="0"/>
                  <w:marRight w:val="0"/>
                  <w:marTop w:val="0"/>
                  <w:marBottom w:val="0"/>
                  <w:divBdr>
                    <w:top w:val="none" w:sz="0" w:space="0" w:color="auto"/>
                    <w:left w:val="none" w:sz="0" w:space="0" w:color="auto"/>
                    <w:bottom w:val="none" w:sz="0" w:space="0" w:color="auto"/>
                    <w:right w:val="none" w:sz="0" w:space="0" w:color="auto"/>
                  </w:divBdr>
                  <w:divsChild>
                    <w:div w:id="652635865">
                      <w:marLeft w:val="0"/>
                      <w:marRight w:val="0"/>
                      <w:marTop w:val="0"/>
                      <w:marBottom w:val="0"/>
                      <w:divBdr>
                        <w:top w:val="none" w:sz="0" w:space="0" w:color="auto"/>
                        <w:left w:val="none" w:sz="0" w:space="0" w:color="auto"/>
                        <w:bottom w:val="none" w:sz="0" w:space="0" w:color="auto"/>
                        <w:right w:val="none" w:sz="0" w:space="0" w:color="auto"/>
                      </w:divBdr>
                    </w:div>
                  </w:divsChild>
                </w:div>
                <w:div w:id="543521846">
                  <w:marLeft w:val="0"/>
                  <w:marRight w:val="0"/>
                  <w:marTop w:val="0"/>
                  <w:marBottom w:val="0"/>
                  <w:divBdr>
                    <w:top w:val="none" w:sz="0" w:space="0" w:color="auto"/>
                    <w:left w:val="none" w:sz="0" w:space="0" w:color="auto"/>
                    <w:bottom w:val="none" w:sz="0" w:space="0" w:color="auto"/>
                    <w:right w:val="none" w:sz="0" w:space="0" w:color="auto"/>
                  </w:divBdr>
                  <w:divsChild>
                    <w:div w:id="102385183">
                      <w:marLeft w:val="0"/>
                      <w:marRight w:val="0"/>
                      <w:marTop w:val="0"/>
                      <w:marBottom w:val="0"/>
                      <w:divBdr>
                        <w:top w:val="none" w:sz="0" w:space="0" w:color="auto"/>
                        <w:left w:val="none" w:sz="0" w:space="0" w:color="auto"/>
                        <w:bottom w:val="none" w:sz="0" w:space="0" w:color="auto"/>
                        <w:right w:val="none" w:sz="0" w:space="0" w:color="auto"/>
                      </w:divBdr>
                    </w:div>
                  </w:divsChild>
                </w:div>
                <w:div w:id="566577616">
                  <w:marLeft w:val="0"/>
                  <w:marRight w:val="0"/>
                  <w:marTop w:val="0"/>
                  <w:marBottom w:val="0"/>
                  <w:divBdr>
                    <w:top w:val="none" w:sz="0" w:space="0" w:color="auto"/>
                    <w:left w:val="none" w:sz="0" w:space="0" w:color="auto"/>
                    <w:bottom w:val="none" w:sz="0" w:space="0" w:color="auto"/>
                    <w:right w:val="none" w:sz="0" w:space="0" w:color="auto"/>
                  </w:divBdr>
                  <w:divsChild>
                    <w:div w:id="585067458">
                      <w:marLeft w:val="0"/>
                      <w:marRight w:val="0"/>
                      <w:marTop w:val="0"/>
                      <w:marBottom w:val="0"/>
                      <w:divBdr>
                        <w:top w:val="none" w:sz="0" w:space="0" w:color="auto"/>
                        <w:left w:val="none" w:sz="0" w:space="0" w:color="auto"/>
                        <w:bottom w:val="none" w:sz="0" w:space="0" w:color="auto"/>
                        <w:right w:val="none" w:sz="0" w:space="0" w:color="auto"/>
                      </w:divBdr>
                    </w:div>
                  </w:divsChild>
                </w:div>
                <w:div w:id="569121566">
                  <w:marLeft w:val="0"/>
                  <w:marRight w:val="0"/>
                  <w:marTop w:val="0"/>
                  <w:marBottom w:val="0"/>
                  <w:divBdr>
                    <w:top w:val="none" w:sz="0" w:space="0" w:color="auto"/>
                    <w:left w:val="none" w:sz="0" w:space="0" w:color="auto"/>
                    <w:bottom w:val="none" w:sz="0" w:space="0" w:color="auto"/>
                    <w:right w:val="none" w:sz="0" w:space="0" w:color="auto"/>
                  </w:divBdr>
                  <w:divsChild>
                    <w:div w:id="1977946781">
                      <w:marLeft w:val="0"/>
                      <w:marRight w:val="0"/>
                      <w:marTop w:val="0"/>
                      <w:marBottom w:val="0"/>
                      <w:divBdr>
                        <w:top w:val="none" w:sz="0" w:space="0" w:color="auto"/>
                        <w:left w:val="none" w:sz="0" w:space="0" w:color="auto"/>
                        <w:bottom w:val="none" w:sz="0" w:space="0" w:color="auto"/>
                        <w:right w:val="none" w:sz="0" w:space="0" w:color="auto"/>
                      </w:divBdr>
                    </w:div>
                  </w:divsChild>
                </w:div>
                <w:div w:id="581329047">
                  <w:marLeft w:val="0"/>
                  <w:marRight w:val="0"/>
                  <w:marTop w:val="0"/>
                  <w:marBottom w:val="0"/>
                  <w:divBdr>
                    <w:top w:val="none" w:sz="0" w:space="0" w:color="auto"/>
                    <w:left w:val="none" w:sz="0" w:space="0" w:color="auto"/>
                    <w:bottom w:val="none" w:sz="0" w:space="0" w:color="auto"/>
                    <w:right w:val="none" w:sz="0" w:space="0" w:color="auto"/>
                  </w:divBdr>
                  <w:divsChild>
                    <w:div w:id="1511874704">
                      <w:marLeft w:val="0"/>
                      <w:marRight w:val="0"/>
                      <w:marTop w:val="0"/>
                      <w:marBottom w:val="0"/>
                      <w:divBdr>
                        <w:top w:val="none" w:sz="0" w:space="0" w:color="auto"/>
                        <w:left w:val="none" w:sz="0" w:space="0" w:color="auto"/>
                        <w:bottom w:val="none" w:sz="0" w:space="0" w:color="auto"/>
                        <w:right w:val="none" w:sz="0" w:space="0" w:color="auto"/>
                      </w:divBdr>
                    </w:div>
                  </w:divsChild>
                </w:div>
                <w:div w:id="589315045">
                  <w:marLeft w:val="0"/>
                  <w:marRight w:val="0"/>
                  <w:marTop w:val="0"/>
                  <w:marBottom w:val="0"/>
                  <w:divBdr>
                    <w:top w:val="none" w:sz="0" w:space="0" w:color="auto"/>
                    <w:left w:val="none" w:sz="0" w:space="0" w:color="auto"/>
                    <w:bottom w:val="none" w:sz="0" w:space="0" w:color="auto"/>
                    <w:right w:val="none" w:sz="0" w:space="0" w:color="auto"/>
                  </w:divBdr>
                  <w:divsChild>
                    <w:div w:id="1750348437">
                      <w:marLeft w:val="0"/>
                      <w:marRight w:val="0"/>
                      <w:marTop w:val="0"/>
                      <w:marBottom w:val="0"/>
                      <w:divBdr>
                        <w:top w:val="none" w:sz="0" w:space="0" w:color="auto"/>
                        <w:left w:val="none" w:sz="0" w:space="0" w:color="auto"/>
                        <w:bottom w:val="none" w:sz="0" w:space="0" w:color="auto"/>
                        <w:right w:val="none" w:sz="0" w:space="0" w:color="auto"/>
                      </w:divBdr>
                    </w:div>
                  </w:divsChild>
                </w:div>
                <w:div w:id="606809843">
                  <w:marLeft w:val="0"/>
                  <w:marRight w:val="0"/>
                  <w:marTop w:val="0"/>
                  <w:marBottom w:val="0"/>
                  <w:divBdr>
                    <w:top w:val="none" w:sz="0" w:space="0" w:color="auto"/>
                    <w:left w:val="none" w:sz="0" w:space="0" w:color="auto"/>
                    <w:bottom w:val="none" w:sz="0" w:space="0" w:color="auto"/>
                    <w:right w:val="none" w:sz="0" w:space="0" w:color="auto"/>
                  </w:divBdr>
                  <w:divsChild>
                    <w:div w:id="1086220576">
                      <w:marLeft w:val="0"/>
                      <w:marRight w:val="0"/>
                      <w:marTop w:val="0"/>
                      <w:marBottom w:val="0"/>
                      <w:divBdr>
                        <w:top w:val="none" w:sz="0" w:space="0" w:color="auto"/>
                        <w:left w:val="none" w:sz="0" w:space="0" w:color="auto"/>
                        <w:bottom w:val="none" w:sz="0" w:space="0" w:color="auto"/>
                        <w:right w:val="none" w:sz="0" w:space="0" w:color="auto"/>
                      </w:divBdr>
                    </w:div>
                  </w:divsChild>
                </w:div>
                <w:div w:id="616301638">
                  <w:marLeft w:val="0"/>
                  <w:marRight w:val="0"/>
                  <w:marTop w:val="0"/>
                  <w:marBottom w:val="0"/>
                  <w:divBdr>
                    <w:top w:val="none" w:sz="0" w:space="0" w:color="auto"/>
                    <w:left w:val="none" w:sz="0" w:space="0" w:color="auto"/>
                    <w:bottom w:val="none" w:sz="0" w:space="0" w:color="auto"/>
                    <w:right w:val="none" w:sz="0" w:space="0" w:color="auto"/>
                  </w:divBdr>
                  <w:divsChild>
                    <w:div w:id="1349525711">
                      <w:marLeft w:val="0"/>
                      <w:marRight w:val="0"/>
                      <w:marTop w:val="0"/>
                      <w:marBottom w:val="0"/>
                      <w:divBdr>
                        <w:top w:val="none" w:sz="0" w:space="0" w:color="auto"/>
                        <w:left w:val="none" w:sz="0" w:space="0" w:color="auto"/>
                        <w:bottom w:val="none" w:sz="0" w:space="0" w:color="auto"/>
                        <w:right w:val="none" w:sz="0" w:space="0" w:color="auto"/>
                      </w:divBdr>
                    </w:div>
                  </w:divsChild>
                </w:div>
                <w:div w:id="624655740">
                  <w:marLeft w:val="0"/>
                  <w:marRight w:val="0"/>
                  <w:marTop w:val="0"/>
                  <w:marBottom w:val="0"/>
                  <w:divBdr>
                    <w:top w:val="none" w:sz="0" w:space="0" w:color="auto"/>
                    <w:left w:val="none" w:sz="0" w:space="0" w:color="auto"/>
                    <w:bottom w:val="none" w:sz="0" w:space="0" w:color="auto"/>
                    <w:right w:val="none" w:sz="0" w:space="0" w:color="auto"/>
                  </w:divBdr>
                  <w:divsChild>
                    <w:div w:id="1229923308">
                      <w:marLeft w:val="0"/>
                      <w:marRight w:val="0"/>
                      <w:marTop w:val="0"/>
                      <w:marBottom w:val="0"/>
                      <w:divBdr>
                        <w:top w:val="none" w:sz="0" w:space="0" w:color="auto"/>
                        <w:left w:val="none" w:sz="0" w:space="0" w:color="auto"/>
                        <w:bottom w:val="none" w:sz="0" w:space="0" w:color="auto"/>
                        <w:right w:val="none" w:sz="0" w:space="0" w:color="auto"/>
                      </w:divBdr>
                    </w:div>
                  </w:divsChild>
                </w:div>
                <w:div w:id="627513682">
                  <w:marLeft w:val="0"/>
                  <w:marRight w:val="0"/>
                  <w:marTop w:val="0"/>
                  <w:marBottom w:val="0"/>
                  <w:divBdr>
                    <w:top w:val="none" w:sz="0" w:space="0" w:color="auto"/>
                    <w:left w:val="none" w:sz="0" w:space="0" w:color="auto"/>
                    <w:bottom w:val="none" w:sz="0" w:space="0" w:color="auto"/>
                    <w:right w:val="none" w:sz="0" w:space="0" w:color="auto"/>
                  </w:divBdr>
                  <w:divsChild>
                    <w:div w:id="1725567889">
                      <w:marLeft w:val="0"/>
                      <w:marRight w:val="0"/>
                      <w:marTop w:val="0"/>
                      <w:marBottom w:val="0"/>
                      <w:divBdr>
                        <w:top w:val="none" w:sz="0" w:space="0" w:color="auto"/>
                        <w:left w:val="none" w:sz="0" w:space="0" w:color="auto"/>
                        <w:bottom w:val="none" w:sz="0" w:space="0" w:color="auto"/>
                        <w:right w:val="none" w:sz="0" w:space="0" w:color="auto"/>
                      </w:divBdr>
                    </w:div>
                  </w:divsChild>
                </w:div>
                <w:div w:id="632251983">
                  <w:marLeft w:val="0"/>
                  <w:marRight w:val="0"/>
                  <w:marTop w:val="0"/>
                  <w:marBottom w:val="0"/>
                  <w:divBdr>
                    <w:top w:val="none" w:sz="0" w:space="0" w:color="auto"/>
                    <w:left w:val="none" w:sz="0" w:space="0" w:color="auto"/>
                    <w:bottom w:val="none" w:sz="0" w:space="0" w:color="auto"/>
                    <w:right w:val="none" w:sz="0" w:space="0" w:color="auto"/>
                  </w:divBdr>
                  <w:divsChild>
                    <w:div w:id="409161234">
                      <w:marLeft w:val="0"/>
                      <w:marRight w:val="0"/>
                      <w:marTop w:val="0"/>
                      <w:marBottom w:val="0"/>
                      <w:divBdr>
                        <w:top w:val="none" w:sz="0" w:space="0" w:color="auto"/>
                        <w:left w:val="none" w:sz="0" w:space="0" w:color="auto"/>
                        <w:bottom w:val="none" w:sz="0" w:space="0" w:color="auto"/>
                        <w:right w:val="none" w:sz="0" w:space="0" w:color="auto"/>
                      </w:divBdr>
                    </w:div>
                  </w:divsChild>
                </w:div>
                <w:div w:id="646477732">
                  <w:marLeft w:val="0"/>
                  <w:marRight w:val="0"/>
                  <w:marTop w:val="0"/>
                  <w:marBottom w:val="0"/>
                  <w:divBdr>
                    <w:top w:val="none" w:sz="0" w:space="0" w:color="auto"/>
                    <w:left w:val="none" w:sz="0" w:space="0" w:color="auto"/>
                    <w:bottom w:val="none" w:sz="0" w:space="0" w:color="auto"/>
                    <w:right w:val="none" w:sz="0" w:space="0" w:color="auto"/>
                  </w:divBdr>
                  <w:divsChild>
                    <w:div w:id="456290603">
                      <w:marLeft w:val="0"/>
                      <w:marRight w:val="0"/>
                      <w:marTop w:val="0"/>
                      <w:marBottom w:val="0"/>
                      <w:divBdr>
                        <w:top w:val="none" w:sz="0" w:space="0" w:color="auto"/>
                        <w:left w:val="none" w:sz="0" w:space="0" w:color="auto"/>
                        <w:bottom w:val="none" w:sz="0" w:space="0" w:color="auto"/>
                        <w:right w:val="none" w:sz="0" w:space="0" w:color="auto"/>
                      </w:divBdr>
                    </w:div>
                  </w:divsChild>
                </w:div>
                <w:div w:id="647326226">
                  <w:marLeft w:val="0"/>
                  <w:marRight w:val="0"/>
                  <w:marTop w:val="0"/>
                  <w:marBottom w:val="0"/>
                  <w:divBdr>
                    <w:top w:val="none" w:sz="0" w:space="0" w:color="auto"/>
                    <w:left w:val="none" w:sz="0" w:space="0" w:color="auto"/>
                    <w:bottom w:val="none" w:sz="0" w:space="0" w:color="auto"/>
                    <w:right w:val="none" w:sz="0" w:space="0" w:color="auto"/>
                  </w:divBdr>
                  <w:divsChild>
                    <w:div w:id="147282681">
                      <w:marLeft w:val="0"/>
                      <w:marRight w:val="0"/>
                      <w:marTop w:val="0"/>
                      <w:marBottom w:val="0"/>
                      <w:divBdr>
                        <w:top w:val="none" w:sz="0" w:space="0" w:color="auto"/>
                        <w:left w:val="none" w:sz="0" w:space="0" w:color="auto"/>
                        <w:bottom w:val="none" w:sz="0" w:space="0" w:color="auto"/>
                        <w:right w:val="none" w:sz="0" w:space="0" w:color="auto"/>
                      </w:divBdr>
                    </w:div>
                    <w:div w:id="1404445035">
                      <w:marLeft w:val="0"/>
                      <w:marRight w:val="0"/>
                      <w:marTop w:val="0"/>
                      <w:marBottom w:val="0"/>
                      <w:divBdr>
                        <w:top w:val="none" w:sz="0" w:space="0" w:color="auto"/>
                        <w:left w:val="none" w:sz="0" w:space="0" w:color="auto"/>
                        <w:bottom w:val="none" w:sz="0" w:space="0" w:color="auto"/>
                        <w:right w:val="none" w:sz="0" w:space="0" w:color="auto"/>
                      </w:divBdr>
                    </w:div>
                  </w:divsChild>
                </w:div>
                <w:div w:id="647515691">
                  <w:marLeft w:val="0"/>
                  <w:marRight w:val="0"/>
                  <w:marTop w:val="0"/>
                  <w:marBottom w:val="0"/>
                  <w:divBdr>
                    <w:top w:val="none" w:sz="0" w:space="0" w:color="auto"/>
                    <w:left w:val="none" w:sz="0" w:space="0" w:color="auto"/>
                    <w:bottom w:val="none" w:sz="0" w:space="0" w:color="auto"/>
                    <w:right w:val="none" w:sz="0" w:space="0" w:color="auto"/>
                  </w:divBdr>
                  <w:divsChild>
                    <w:div w:id="823425937">
                      <w:marLeft w:val="0"/>
                      <w:marRight w:val="0"/>
                      <w:marTop w:val="0"/>
                      <w:marBottom w:val="0"/>
                      <w:divBdr>
                        <w:top w:val="none" w:sz="0" w:space="0" w:color="auto"/>
                        <w:left w:val="none" w:sz="0" w:space="0" w:color="auto"/>
                        <w:bottom w:val="none" w:sz="0" w:space="0" w:color="auto"/>
                        <w:right w:val="none" w:sz="0" w:space="0" w:color="auto"/>
                      </w:divBdr>
                    </w:div>
                  </w:divsChild>
                </w:div>
                <w:div w:id="655838298">
                  <w:marLeft w:val="0"/>
                  <w:marRight w:val="0"/>
                  <w:marTop w:val="0"/>
                  <w:marBottom w:val="0"/>
                  <w:divBdr>
                    <w:top w:val="none" w:sz="0" w:space="0" w:color="auto"/>
                    <w:left w:val="none" w:sz="0" w:space="0" w:color="auto"/>
                    <w:bottom w:val="none" w:sz="0" w:space="0" w:color="auto"/>
                    <w:right w:val="none" w:sz="0" w:space="0" w:color="auto"/>
                  </w:divBdr>
                  <w:divsChild>
                    <w:div w:id="252520672">
                      <w:marLeft w:val="0"/>
                      <w:marRight w:val="0"/>
                      <w:marTop w:val="0"/>
                      <w:marBottom w:val="0"/>
                      <w:divBdr>
                        <w:top w:val="none" w:sz="0" w:space="0" w:color="auto"/>
                        <w:left w:val="none" w:sz="0" w:space="0" w:color="auto"/>
                        <w:bottom w:val="none" w:sz="0" w:space="0" w:color="auto"/>
                        <w:right w:val="none" w:sz="0" w:space="0" w:color="auto"/>
                      </w:divBdr>
                    </w:div>
                  </w:divsChild>
                </w:div>
                <w:div w:id="658116920">
                  <w:marLeft w:val="0"/>
                  <w:marRight w:val="0"/>
                  <w:marTop w:val="0"/>
                  <w:marBottom w:val="0"/>
                  <w:divBdr>
                    <w:top w:val="none" w:sz="0" w:space="0" w:color="auto"/>
                    <w:left w:val="none" w:sz="0" w:space="0" w:color="auto"/>
                    <w:bottom w:val="none" w:sz="0" w:space="0" w:color="auto"/>
                    <w:right w:val="none" w:sz="0" w:space="0" w:color="auto"/>
                  </w:divBdr>
                  <w:divsChild>
                    <w:div w:id="949161092">
                      <w:marLeft w:val="0"/>
                      <w:marRight w:val="0"/>
                      <w:marTop w:val="0"/>
                      <w:marBottom w:val="0"/>
                      <w:divBdr>
                        <w:top w:val="none" w:sz="0" w:space="0" w:color="auto"/>
                        <w:left w:val="none" w:sz="0" w:space="0" w:color="auto"/>
                        <w:bottom w:val="none" w:sz="0" w:space="0" w:color="auto"/>
                        <w:right w:val="none" w:sz="0" w:space="0" w:color="auto"/>
                      </w:divBdr>
                    </w:div>
                  </w:divsChild>
                </w:div>
                <w:div w:id="674459384">
                  <w:marLeft w:val="0"/>
                  <w:marRight w:val="0"/>
                  <w:marTop w:val="0"/>
                  <w:marBottom w:val="0"/>
                  <w:divBdr>
                    <w:top w:val="none" w:sz="0" w:space="0" w:color="auto"/>
                    <w:left w:val="none" w:sz="0" w:space="0" w:color="auto"/>
                    <w:bottom w:val="none" w:sz="0" w:space="0" w:color="auto"/>
                    <w:right w:val="none" w:sz="0" w:space="0" w:color="auto"/>
                  </w:divBdr>
                  <w:divsChild>
                    <w:div w:id="628247321">
                      <w:marLeft w:val="0"/>
                      <w:marRight w:val="0"/>
                      <w:marTop w:val="0"/>
                      <w:marBottom w:val="0"/>
                      <w:divBdr>
                        <w:top w:val="none" w:sz="0" w:space="0" w:color="auto"/>
                        <w:left w:val="none" w:sz="0" w:space="0" w:color="auto"/>
                        <w:bottom w:val="none" w:sz="0" w:space="0" w:color="auto"/>
                        <w:right w:val="none" w:sz="0" w:space="0" w:color="auto"/>
                      </w:divBdr>
                    </w:div>
                  </w:divsChild>
                </w:div>
                <w:div w:id="677541944">
                  <w:marLeft w:val="0"/>
                  <w:marRight w:val="0"/>
                  <w:marTop w:val="0"/>
                  <w:marBottom w:val="0"/>
                  <w:divBdr>
                    <w:top w:val="none" w:sz="0" w:space="0" w:color="auto"/>
                    <w:left w:val="none" w:sz="0" w:space="0" w:color="auto"/>
                    <w:bottom w:val="none" w:sz="0" w:space="0" w:color="auto"/>
                    <w:right w:val="none" w:sz="0" w:space="0" w:color="auto"/>
                  </w:divBdr>
                  <w:divsChild>
                    <w:div w:id="1949119229">
                      <w:marLeft w:val="0"/>
                      <w:marRight w:val="0"/>
                      <w:marTop w:val="0"/>
                      <w:marBottom w:val="0"/>
                      <w:divBdr>
                        <w:top w:val="none" w:sz="0" w:space="0" w:color="auto"/>
                        <w:left w:val="none" w:sz="0" w:space="0" w:color="auto"/>
                        <w:bottom w:val="none" w:sz="0" w:space="0" w:color="auto"/>
                        <w:right w:val="none" w:sz="0" w:space="0" w:color="auto"/>
                      </w:divBdr>
                    </w:div>
                  </w:divsChild>
                </w:div>
                <w:div w:id="680855283">
                  <w:marLeft w:val="0"/>
                  <w:marRight w:val="0"/>
                  <w:marTop w:val="0"/>
                  <w:marBottom w:val="0"/>
                  <w:divBdr>
                    <w:top w:val="none" w:sz="0" w:space="0" w:color="auto"/>
                    <w:left w:val="none" w:sz="0" w:space="0" w:color="auto"/>
                    <w:bottom w:val="none" w:sz="0" w:space="0" w:color="auto"/>
                    <w:right w:val="none" w:sz="0" w:space="0" w:color="auto"/>
                  </w:divBdr>
                  <w:divsChild>
                    <w:div w:id="393236013">
                      <w:marLeft w:val="0"/>
                      <w:marRight w:val="0"/>
                      <w:marTop w:val="0"/>
                      <w:marBottom w:val="0"/>
                      <w:divBdr>
                        <w:top w:val="none" w:sz="0" w:space="0" w:color="auto"/>
                        <w:left w:val="none" w:sz="0" w:space="0" w:color="auto"/>
                        <w:bottom w:val="none" w:sz="0" w:space="0" w:color="auto"/>
                        <w:right w:val="none" w:sz="0" w:space="0" w:color="auto"/>
                      </w:divBdr>
                    </w:div>
                  </w:divsChild>
                </w:div>
                <w:div w:id="683434070">
                  <w:marLeft w:val="0"/>
                  <w:marRight w:val="0"/>
                  <w:marTop w:val="0"/>
                  <w:marBottom w:val="0"/>
                  <w:divBdr>
                    <w:top w:val="none" w:sz="0" w:space="0" w:color="auto"/>
                    <w:left w:val="none" w:sz="0" w:space="0" w:color="auto"/>
                    <w:bottom w:val="none" w:sz="0" w:space="0" w:color="auto"/>
                    <w:right w:val="none" w:sz="0" w:space="0" w:color="auto"/>
                  </w:divBdr>
                  <w:divsChild>
                    <w:div w:id="1909535361">
                      <w:marLeft w:val="0"/>
                      <w:marRight w:val="0"/>
                      <w:marTop w:val="0"/>
                      <w:marBottom w:val="0"/>
                      <w:divBdr>
                        <w:top w:val="none" w:sz="0" w:space="0" w:color="auto"/>
                        <w:left w:val="none" w:sz="0" w:space="0" w:color="auto"/>
                        <w:bottom w:val="none" w:sz="0" w:space="0" w:color="auto"/>
                        <w:right w:val="none" w:sz="0" w:space="0" w:color="auto"/>
                      </w:divBdr>
                    </w:div>
                  </w:divsChild>
                </w:div>
                <w:div w:id="684482555">
                  <w:marLeft w:val="0"/>
                  <w:marRight w:val="0"/>
                  <w:marTop w:val="0"/>
                  <w:marBottom w:val="0"/>
                  <w:divBdr>
                    <w:top w:val="none" w:sz="0" w:space="0" w:color="auto"/>
                    <w:left w:val="none" w:sz="0" w:space="0" w:color="auto"/>
                    <w:bottom w:val="none" w:sz="0" w:space="0" w:color="auto"/>
                    <w:right w:val="none" w:sz="0" w:space="0" w:color="auto"/>
                  </w:divBdr>
                  <w:divsChild>
                    <w:div w:id="978846818">
                      <w:marLeft w:val="0"/>
                      <w:marRight w:val="0"/>
                      <w:marTop w:val="0"/>
                      <w:marBottom w:val="0"/>
                      <w:divBdr>
                        <w:top w:val="none" w:sz="0" w:space="0" w:color="auto"/>
                        <w:left w:val="none" w:sz="0" w:space="0" w:color="auto"/>
                        <w:bottom w:val="none" w:sz="0" w:space="0" w:color="auto"/>
                        <w:right w:val="none" w:sz="0" w:space="0" w:color="auto"/>
                      </w:divBdr>
                    </w:div>
                  </w:divsChild>
                </w:div>
                <w:div w:id="694505926">
                  <w:marLeft w:val="0"/>
                  <w:marRight w:val="0"/>
                  <w:marTop w:val="0"/>
                  <w:marBottom w:val="0"/>
                  <w:divBdr>
                    <w:top w:val="none" w:sz="0" w:space="0" w:color="auto"/>
                    <w:left w:val="none" w:sz="0" w:space="0" w:color="auto"/>
                    <w:bottom w:val="none" w:sz="0" w:space="0" w:color="auto"/>
                    <w:right w:val="none" w:sz="0" w:space="0" w:color="auto"/>
                  </w:divBdr>
                  <w:divsChild>
                    <w:div w:id="2048672894">
                      <w:marLeft w:val="0"/>
                      <w:marRight w:val="0"/>
                      <w:marTop w:val="0"/>
                      <w:marBottom w:val="0"/>
                      <w:divBdr>
                        <w:top w:val="none" w:sz="0" w:space="0" w:color="auto"/>
                        <w:left w:val="none" w:sz="0" w:space="0" w:color="auto"/>
                        <w:bottom w:val="none" w:sz="0" w:space="0" w:color="auto"/>
                        <w:right w:val="none" w:sz="0" w:space="0" w:color="auto"/>
                      </w:divBdr>
                    </w:div>
                  </w:divsChild>
                </w:div>
                <w:div w:id="700056891">
                  <w:marLeft w:val="0"/>
                  <w:marRight w:val="0"/>
                  <w:marTop w:val="0"/>
                  <w:marBottom w:val="0"/>
                  <w:divBdr>
                    <w:top w:val="none" w:sz="0" w:space="0" w:color="auto"/>
                    <w:left w:val="none" w:sz="0" w:space="0" w:color="auto"/>
                    <w:bottom w:val="none" w:sz="0" w:space="0" w:color="auto"/>
                    <w:right w:val="none" w:sz="0" w:space="0" w:color="auto"/>
                  </w:divBdr>
                  <w:divsChild>
                    <w:div w:id="548231152">
                      <w:marLeft w:val="0"/>
                      <w:marRight w:val="0"/>
                      <w:marTop w:val="0"/>
                      <w:marBottom w:val="0"/>
                      <w:divBdr>
                        <w:top w:val="none" w:sz="0" w:space="0" w:color="auto"/>
                        <w:left w:val="none" w:sz="0" w:space="0" w:color="auto"/>
                        <w:bottom w:val="none" w:sz="0" w:space="0" w:color="auto"/>
                        <w:right w:val="none" w:sz="0" w:space="0" w:color="auto"/>
                      </w:divBdr>
                    </w:div>
                  </w:divsChild>
                </w:div>
                <w:div w:id="706224871">
                  <w:marLeft w:val="0"/>
                  <w:marRight w:val="0"/>
                  <w:marTop w:val="0"/>
                  <w:marBottom w:val="0"/>
                  <w:divBdr>
                    <w:top w:val="none" w:sz="0" w:space="0" w:color="auto"/>
                    <w:left w:val="none" w:sz="0" w:space="0" w:color="auto"/>
                    <w:bottom w:val="none" w:sz="0" w:space="0" w:color="auto"/>
                    <w:right w:val="none" w:sz="0" w:space="0" w:color="auto"/>
                  </w:divBdr>
                  <w:divsChild>
                    <w:div w:id="1814447360">
                      <w:marLeft w:val="0"/>
                      <w:marRight w:val="0"/>
                      <w:marTop w:val="0"/>
                      <w:marBottom w:val="0"/>
                      <w:divBdr>
                        <w:top w:val="none" w:sz="0" w:space="0" w:color="auto"/>
                        <w:left w:val="none" w:sz="0" w:space="0" w:color="auto"/>
                        <w:bottom w:val="none" w:sz="0" w:space="0" w:color="auto"/>
                        <w:right w:val="none" w:sz="0" w:space="0" w:color="auto"/>
                      </w:divBdr>
                    </w:div>
                  </w:divsChild>
                </w:div>
                <w:div w:id="715664070">
                  <w:marLeft w:val="0"/>
                  <w:marRight w:val="0"/>
                  <w:marTop w:val="0"/>
                  <w:marBottom w:val="0"/>
                  <w:divBdr>
                    <w:top w:val="none" w:sz="0" w:space="0" w:color="auto"/>
                    <w:left w:val="none" w:sz="0" w:space="0" w:color="auto"/>
                    <w:bottom w:val="none" w:sz="0" w:space="0" w:color="auto"/>
                    <w:right w:val="none" w:sz="0" w:space="0" w:color="auto"/>
                  </w:divBdr>
                  <w:divsChild>
                    <w:div w:id="1499157080">
                      <w:marLeft w:val="0"/>
                      <w:marRight w:val="0"/>
                      <w:marTop w:val="0"/>
                      <w:marBottom w:val="0"/>
                      <w:divBdr>
                        <w:top w:val="none" w:sz="0" w:space="0" w:color="auto"/>
                        <w:left w:val="none" w:sz="0" w:space="0" w:color="auto"/>
                        <w:bottom w:val="none" w:sz="0" w:space="0" w:color="auto"/>
                        <w:right w:val="none" w:sz="0" w:space="0" w:color="auto"/>
                      </w:divBdr>
                    </w:div>
                  </w:divsChild>
                </w:div>
                <w:div w:id="720326643">
                  <w:marLeft w:val="0"/>
                  <w:marRight w:val="0"/>
                  <w:marTop w:val="0"/>
                  <w:marBottom w:val="0"/>
                  <w:divBdr>
                    <w:top w:val="none" w:sz="0" w:space="0" w:color="auto"/>
                    <w:left w:val="none" w:sz="0" w:space="0" w:color="auto"/>
                    <w:bottom w:val="none" w:sz="0" w:space="0" w:color="auto"/>
                    <w:right w:val="none" w:sz="0" w:space="0" w:color="auto"/>
                  </w:divBdr>
                  <w:divsChild>
                    <w:div w:id="1881742322">
                      <w:marLeft w:val="0"/>
                      <w:marRight w:val="0"/>
                      <w:marTop w:val="0"/>
                      <w:marBottom w:val="0"/>
                      <w:divBdr>
                        <w:top w:val="none" w:sz="0" w:space="0" w:color="auto"/>
                        <w:left w:val="none" w:sz="0" w:space="0" w:color="auto"/>
                        <w:bottom w:val="none" w:sz="0" w:space="0" w:color="auto"/>
                        <w:right w:val="none" w:sz="0" w:space="0" w:color="auto"/>
                      </w:divBdr>
                    </w:div>
                  </w:divsChild>
                </w:div>
                <w:div w:id="729158935">
                  <w:marLeft w:val="0"/>
                  <w:marRight w:val="0"/>
                  <w:marTop w:val="0"/>
                  <w:marBottom w:val="0"/>
                  <w:divBdr>
                    <w:top w:val="none" w:sz="0" w:space="0" w:color="auto"/>
                    <w:left w:val="none" w:sz="0" w:space="0" w:color="auto"/>
                    <w:bottom w:val="none" w:sz="0" w:space="0" w:color="auto"/>
                    <w:right w:val="none" w:sz="0" w:space="0" w:color="auto"/>
                  </w:divBdr>
                  <w:divsChild>
                    <w:div w:id="275600648">
                      <w:marLeft w:val="0"/>
                      <w:marRight w:val="0"/>
                      <w:marTop w:val="0"/>
                      <w:marBottom w:val="0"/>
                      <w:divBdr>
                        <w:top w:val="none" w:sz="0" w:space="0" w:color="auto"/>
                        <w:left w:val="none" w:sz="0" w:space="0" w:color="auto"/>
                        <w:bottom w:val="none" w:sz="0" w:space="0" w:color="auto"/>
                        <w:right w:val="none" w:sz="0" w:space="0" w:color="auto"/>
                      </w:divBdr>
                    </w:div>
                  </w:divsChild>
                </w:div>
                <w:div w:id="732697954">
                  <w:marLeft w:val="0"/>
                  <w:marRight w:val="0"/>
                  <w:marTop w:val="0"/>
                  <w:marBottom w:val="0"/>
                  <w:divBdr>
                    <w:top w:val="none" w:sz="0" w:space="0" w:color="auto"/>
                    <w:left w:val="none" w:sz="0" w:space="0" w:color="auto"/>
                    <w:bottom w:val="none" w:sz="0" w:space="0" w:color="auto"/>
                    <w:right w:val="none" w:sz="0" w:space="0" w:color="auto"/>
                  </w:divBdr>
                  <w:divsChild>
                    <w:div w:id="162938385">
                      <w:marLeft w:val="0"/>
                      <w:marRight w:val="0"/>
                      <w:marTop w:val="0"/>
                      <w:marBottom w:val="0"/>
                      <w:divBdr>
                        <w:top w:val="none" w:sz="0" w:space="0" w:color="auto"/>
                        <w:left w:val="none" w:sz="0" w:space="0" w:color="auto"/>
                        <w:bottom w:val="none" w:sz="0" w:space="0" w:color="auto"/>
                        <w:right w:val="none" w:sz="0" w:space="0" w:color="auto"/>
                      </w:divBdr>
                    </w:div>
                  </w:divsChild>
                </w:div>
                <w:div w:id="732778577">
                  <w:marLeft w:val="0"/>
                  <w:marRight w:val="0"/>
                  <w:marTop w:val="0"/>
                  <w:marBottom w:val="0"/>
                  <w:divBdr>
                    <w:top w:val="none" w:sz="0" w:space="0" w:color="auto"/>
                    <w:left w:val="none" w:sz="0" w:space="0" w:color="auto"/>
                    <w:bottom w:val="none" w:sz="0" w:space="0" w:color="auto"/>
                    <w:right w:val="none" w:sz="0" w:space="0" w:color="auto"/>
                  </w:divBdr>
                  <w:divsChild>
                    <w:div w:id="791749992">
                      <w:marLeft w:val="0"/>
                      <w:marRight w:val="0"/>
                      <w:marTop w:val="0"/>
                      <w:marBottom w:val="0"/>
                      <w:divBdr>
                        <w:top w:val="none" w:sz="0" w:space="0" w:color="auto"/>
                        <w:left w:val="none" w:sz="0" w:space="0" w:color="auto"/>
                        <w:bottom w:val="none" w:sz="0" w:space="0" w:color="auto"/>
                        <w:right w:val="none" w:sz="0" w:space="0" w:color="auto"/>
                      </w:divBdr>
                    </w:div>
                  </w:divsChild>
                </w:div>
                <w:div w:id="732889482">
                  <w:marLeft w:val="0"/>
                  <w:marRight w:val="0"/>
                  <w:marTop w:val="0"/>
                  <w:marBottom w:val="0"/>
                  <w:divBdr>
                    <w:top w:val="none" w:sz="0" w:space="0" w:color="auto"/>
                    <w:left w:val="none" w:sz="0" w:space="0" w:color="auto"/>
                    <w:bottom w:val="none" w:sz="0" w:space="0" w:color="auto"/>
                    <w:right w:val="none" w:sz="0" w:space="0" w:color="auto"/>
                  </w:divBdr>
                  <w:divsChild>
                    <w:div w:id="1375808019">
                      <w:marLeft w:val="0"/>
                      <w:marRight w:val="0"/>
                      <w:marTop w:val="0"/>
                      <w:marBottom w:val="0"/>
                      <w:divBdr>
                        <w:top w:val="none" w:sz="0" w:space="0" w:color="auto"/>
                        <w:left w:val="none" w:sz="0" w:space="0" w:color="auto"/>
                        <w:bottom w:val="none" w:sz="0" w:space="0" w:color="auto"/>
                        <w:right w:val="none" w:sz="0" w:space="0" w:color="auto"/>
                      </w:divBdr>
                    </w:div>
                  </w:divsChild>
                </w:div>
                <w:div w:id="734666889">
                  <w:marLeft w:val="0"/>
                  <w:marRight w:val="0"/>
                  <w:marTop w:val="0"/>
                  <w:marBottom w:val="0"/>
                  <w:divBdr>
                    <w:top w:val="none" w:sz="0" w:space="0" w:color="auto"/>
                    <w:left w:val="none" w:sz="0" w:space="0" w:color="auto"/>
                    <w:bottom w:val="none" w:sz="0" w:space="0" w:color="auto"/>
                    <w:right w:val="none" w:sz="0" w:space="0" w:color="auto"/>
                  </w:divBdr>
                  <w:divsChild>
                    <w:div w:id="1832024033">
                      <w:marLeft w:val="0"/>
                      <w:marRight w:val="0"/>
                      <w:marTop w:val="0"/>
                      <w:marBottom w:val="0"/>
                      <w:divBdr>
                        <w:top w:val="none" w:sz="0" w:space="0" w:color="auto"/>
                        <w:left w:val="none" w:sz="0" w:space="0" w:color="auto"/>
                        <w:bottom w:val="none" w:sz="0" w:space="0" w:color="auto"/>
                        <w:right w:val="none" w:sz="0" w:space="0" w:color="auto"/>
                      </w:divBdr>
                    </w:div>
                  </w:divsChild>
                </w:div>
                <w:div w:id="736321484">
                  <w:marLeft w:val="0"/>
                  <w:marRight w:val="0"/>
                  <w:marTop w:val="0"/>
                  <w:marBottom w:val="0"/>
                  <w:divBdr>
                    <w:top w:val="none" w:sz="0" w:space="0" w:color="auto"/>
                    <w:left w:val="none" w:sz="0" w:space="0" w:color="auto"/>
                    <w:bottom w:val="none" w:sz="0" w:space="0" w:color="auto"/>
                    <w:right w:val="none" w:sz="0" w:space="0" w:color="auto"/>
                  </w:divBdr>
                  <w:divsChild>
                    <w:div w:id="1316301231">
                      <w:marLeft w:val="0"/>
                      <w:marRight w:val="0"/>
                      <w:marTop w:val="0"/>
                      <w:marBottom w:val="0"/>
                      <w:divBdr>
                        <w:top w:val="none" w:sz="0" w:space="0" w:color="auto"/>
                        <w:left w:val="none" w:sz="0" w:space="0" w:color="auto"/>
                        <w:bottom w:val="none" w:sz="0" w:space="0" w:color="auto"/>
                        <w:right w:val="none" w:sz="0" w:space="0" w:color="auto"/>
                      </w:divBdr>
                    </w:div>
                  </w:divsChild>
                </w:div>
                <w:div w:id="743339353">
                  <w:marLeft w:val="0"/>
                  <w:marRight w:val="0"/>
                  <w:marTop w:val="0"/>
                  <w:marBottom w:val="0"/>
                  <w:divBdr>
                    <w:top w:val="none" w:sz="0" w:space="0" w:color="auto"/>
                    <w:left w:val="none" w:sz="0" w:space="0" w:color="auto"/>
                    <w:bottom w:val="none" w:sz="0" w:space="0" w:color="auto"/>
                    <w:right w:val="none" w:sz="0" w:space="0" w:color="auto"/>
                  </w:divBdr>
                  <w:divsChild>
                    <w:div w:id="127406282">
                      <w:marLeft w:val="0"/>
                      <w:marRight w:val="0"/>
                      <w:marTop w:val="0"/>
                      <w:marBottom w:val="0"/>
                      <w:divBdr>
                        <w:top w:val="none" w:sz="0" w:space="0" w:color="auto"/>
                        <w:left w:val="none" w:sz="0" w:space="0" w:color="auto"/>
                        <w:bottom w:val="none" w:sz="0" w:space="0" w:color="auto"/>
                        <w:right w:val="none" w:sz="0" w:space="0" w:color="auto"/>
                      </w:divBdr>
                    </w:div>
                  </w:divsChild>
                </w:div>
                <w:div w:id="743920388">
                  <w:marLeft w:val="0"/>
                  <w:marRight w:val="0"/>
                  <w:marTop w:val="0"/>
                  <w:marBottom w:val="0"/>
                  <w:divBdr>
                    <w:top w:val="none" w:sz="0" w:space="0" w:color="auto"/>
                    <w:left w:val="none" w:sz="0" w:space="0" w:color="auto"/>
                    <w:bottom w:val="none" w:sz="0" w:space="0" w:color="auto"/>
                    <w:right w:val="none" w:sz="0" w:space="0" w:color="auto"/>
                  </w:divBdr>
                  <w:divsChild>
                    <w:div w:id="512230868">
                      <w:marLeft w:val="0"/>
                      <w:marRight w:val="0"/>
                      <w:marTop w:val="0"/>
                      <w:marBottom w:val="0"/>
                      <w:divBdr>
                        <w:top w:val="none" w:sz="0" w:space="0" w:color="auto"/>
                        <w:left w:val="none" w:sz="0" w:space="0" w:color="auto"/>
                        <w:bottom w:val="none" w:sz="0" w:space="0" w:color="auto"/>
                        <w:right w:val="none" w:sz="0" w:space="0" w:color="auto"/>
                      </w:divBdr>
                    </w:div>
                  </w:divsChild>
                </w:div>
                <w:div w:id="753668873">
                  <w:marLeft w:val="0"/>
                  <w:marRight w:val="0"/>
                  <w:marTop w:val="0"/>
                  <w:marBottom w:val="0"/>
                  <w:divBdr>
                    <w:top w:val="none" w:sz="0" w:space="0" w:color="auto"/>
                    <w:left w:val="none" w:sz="0" w:space="0" w:color="auto"/>
                    <w:bottom w:val="none" w:sz="0" w:space="0" w:color="auto"/>
                    <w:right w:val="none" w:sz="0" w:space="0" w:color="auto"/>
                  </w:divBdr>
                  <w:divsChild>
                    <w:div w:id="1208755984">
                      <w:marLeft w:val="0"/>
                      <w:marRight w:val="0"/>
                      <w:marTop w:val="0"/>
                      <w:marBottom w:val="0"/>
                      <w:divBdr>
                        <w:top w:val="none" w:sz="0" w:space="0" w:color="auto"/>
                        <w:left w:val="none" w:sz="0" w:space="0" w:color="auto"/>
                        <w:bottom w:val="none" w:sz="0" w:space="0" w:color="auto"/>
                        <w:right w:val="none" w:sz="0" w:space="0" w:color="auto"/>
                      </w:divBdr>
                    </w:div>
                  </w:divsChild>
                </w:div>
                <w:div w:id="758406356">
                  <w:marLeft w:val="0"/>
                  <w:marRight w:val="0"/>
                  <w:marTop w:val="0"/>
                  <w:marBottom w:val="0"/>
                  <w:divBdr>
                    <w:top w:val="none" w:sz="0" w:space="0" w:color="auto"/>
                    <w:left w:val="none" w:sz="0" w:space="0" w:color="auto"/>
                    <w:bottom w:val="none" w:sz="0" w:space="0" w:color="auto"/>
                    <w:right w:val="none" w:sz="0" w:space="0" w:color="auto"/>
                  </w:divBdr>
                  <w:divsChild>
                    <w:div w:id="1334988129">
                      <w:marLeft w:val="0"/>
                      <w:marRight w:val="0"/>
                      <w:marTop w:val="0"/>
                      <w:marBottom w:val="0"/>
                      <w:divBdr>
                        <w:top w:val="none" w:sz="0" w:space="0" w:color="auto"/>
                        <w:left w:val="none" w:sz="0" w:space="0" w:color="auto"/>
                        <w:bottom w:val="none" w:sz="0" w:space="0" w:color="auto"/>
                        <w:right w:val="none" w:sz="0" w:space="0" w:color="auto"/>
                      </w:divBdr>
                    </w:div>
                  </w:divsChild>
                </w:div>
                <w:div w:id="760375122">
                  <w:marLeft w:val="0"/>
                  <w:marRight w:val="0"/>
                  <w:marTop w:val="0"/>
                  <w:marBottom w:val="0"/>
                  <w:divBdr>
                    <w:top w:val="none" w:sz="0" w:space="0" w:color="auto"/>
                    <w:left w:val="none" w:sz="0" w:space="0" w:color="auto"/>
                    <w:bottom w:val="none" w:sz="0" w:space="0" w:color="auto"/>
                    <w:right w:val="none" w:sz="0" w:space="0" w:color="auto"/>
                  </w:divBdr>
                  <w:divsChild>
                    <w:div w:id="1118641752">
                      <w:marLeft w:val="0"/>
                      <w:marRight w:val="0"/>
                      <w:marTop w:val="0"/>
                      <w:marBottom w:val="0"/>
                      <w:divBdr>
                        <w:top w:val="none" w:sz="0" w:space="0" w:color="auto"/>
                        <w:left w:val="none" w:sz="0" w:space="0" w:color="auto"/>
                        <w:bottom w:val="none" w:sz="0" w:space="0" w:color="auto"/>
                        <w:right w:val="none" w:sz="0" w:space="0" w:color="auto"/>
                      </w:divBdr>
                    </w:div>
                  </w:divsChild>
                </w:div>
                <w:div w:id="761267944">
                  <w:marLeft w:val="0"/>
                  <w:marRight w:val="0"/>
                  <w:marTop w:val="0"/>
                  <w:marBottom w:val="0"/>
                  <w:divBdr>
                    <w:top w:val="none" w:sz="0" w:space="0" w:color="auto"/>
                    <w:left w:val="none" w:sz="0" w:space="0" w:color="auto"/>
                    <w:bottom w:val="none" w:sz="0" w:space="0" w:color="auto"/>
                    <w:right w:val="none" w:sz="0" w:space="0" w:color="auto"/>
                  </w:divBdr>
                  <w:divsChild>
                    <w:div w:id="255477249">
                      <w:marLeft w:val="0"/>
                      <w:marRight w:val="0"/>
                      <w:marTop w:val="0"/>
                      <w:marBottom w:val="0"/>
                      <w:divBdr>
                        <w:top w:val="none" w:sz="0" w:space="0" w:color="auto"/>
                        <w:left w:val="none" w:sz="0" w:space="0" w:color="auto"/>
                        <w:bottom w:val="none" w:sz="0" w:space="0" w:color="auto"/>
                        <w:right w:val="none" w:sz="0" w:space="0" w:color="auto"/>
                      </w:divBdr>
                    </w:div>
                  </w:divsChild>
                </w:div>
                <w:div w:id="765543634">
                  <w:marLeft w:val="0"/>
                  <w:marRight w:val="0"/>
                  <w:marTop w:val="0"/>
                  <w:marBottom w:val="0"/>
                  <w:divBdr>
                    <w:top w:val="none" w:sz="0" w:space="0" w:color="auto"/>
                    <w:left w:val="none" w:sz="0" w:space="0" w:color="auto"/>
                    <w:bottom w:val="none" w:sz="0" w:space="0" w:color="auto"/>
                    <w:right w:val="none" w:sz="0" w:space="0" w:color="auto"/>
                  </w:divBdr>
                  <w:divsChild>
                    <w:div w:id="1691570373">
                      <w:marLeft w:val="0"/>
                      <w:marRight w:val="0"/>
                      <w:marTop w:val="0"/>
                      <w:marBottom w:val="0"/>
                      <w:divBdr>
                        <w:top w:val="none" w:sz="0" w:space="0" w:color="auto"/>
                        <w:left w:val="none" w:sz="0" w:space="0" w:color="auto"/>
                        <w:bottom w:val="none" w:sz="0" w:space="0" w:color="auto"/>
                        <w:right w:val="none" w:sz="0" w:space="0" w:color="auto"/>
                      </w:divBdr>
                    </w:div>
                  </w:divsChild>
                </w:div>
                <w:div w:id="768812338">
                  <w:marLeft w:val="0"/>
                  <w:marRight w:val="0"/>
                  <w:marTop w:val="0"/>
                  <w:marBottom w:val="0"/>
                  <w:divBdr>
                    <w:top w:val="none" w:sz="0" w:space="0" w:color="auto"/>
                    <w:left w:val="none" w:sz="0" w:space="0" w:color="auto"/>
                    <w:bottom w:val="none" w:sz="0" w:space="0" w:color="auto"/>
                    <w:right w:val="none" w:sz="0" w:space="0" w:color="auto"/>
                  </w:divBdr>
                  <w:divsChild>
                    <w:div w:id="1841850373">
                      <w:marLeft w:val="0"/>
                      <w:marRight w:val="0"/>
                      <w:marTop w:val="0"/>
                      <w:marBottom w:val="0"/>
                      <w:divBdr>
                        <w:top w:val="none" w:sz="0" w:space="0" w:color="auto"/>
                        <w:left w:val="none" w:sz="0" w:space="0" w:color="auto"/>
                        <w:bottom w:val="none" w:sz="0" w:space="0" w:color="auto"/>
                        <w:right w:val="none" w:sz="0" w:space="0" w:color="auto"/>
                      </w:divBdr>
                    </w:div>
                  </w:divsChild>
                </w:div>
                <w:div w:id="768895631">
                  <w:marLeft w:val="0"/>
                  <w:marRight w:val="0"/>
                  <w:marTop w:val="0"/>
                  <w:marBottom w:val="0"/>
                  <w:divBdr>
                    <w:top w:val="none" w:sz="0" w:space="0" w:color="auto"/>
                    <w:left w:val="none" w:sz="0" w:space="0" w:color="auto"/>
                    <w:bottom w:val="none" w:sz="0" w:space="0" w:color="auto"/>
                    <w:right w:val="none" w:sz="0" w:space="0" w:color="auto"/>
                  </w:divBdr>
                  <w:divsChild>
                    <w:div w:id="1325550108">
                      <w:marLeft w:val="0"/>
                      <w:marRight w:val="0"/>
                      <w:marTop w:val="0"/>
                      <w:marBottom w:val="0"/>
                      <w:divBdr>
                        <w:top w:val="none" w:sz="0" w:space="0" w:color="auto"/>
                        <w:left w:val="none" w:sz="0" w:space="0" w:color="auto"/>
                        <w:bottom w:val="none" w:sz="0" w:space="0" w:color="auto"/>
                        <w:right w:val="none" w:sz="0" w:space="0" w:color="auto"/>
                      </w:divBdr>
                    </w:div>
                  </w:divsChild>
                </w:div>
                <w:div w:id="770468256">
                  <w:marLeft w:val="0"/>
                  <w:marRight w:val="0"/>
                  <w:marTop w:val="0"/>
                  <w:marBottom w:val="0"/>
                  <w:divBdr>
                    <w:top w:val="none" w:sz="0" w:space="0" w:color="auto"/>
                    <w:left w:val="none" w:sz="0" w:space="0" w:color="auto"/>
                    <w:bottom w:val="none" w:sz="0" w:space="0" w:color="auto"/>
                    <w:right w:val="none" w:sz="0" w:space="0" w:color="auto"/>
                  </w:divBdr>
                  <w:divsChild>
                    <w:div w:id="1739745876">
                      <w:marLeft w:val="0"/>
                      <w:marRight w:val="0"/>
                      <w:marTop w:val="0"/>
                      <w:marBottom w:val="0"/>
                      <w:divBdr>
                        <w:top w:val="none" w:sz="0" w:space="0" w:color="auto"/>
                        <w:left w:val="none" w:sz="0" w:space="0" w:color="auto"/>
                        <w:bottom w:val="none" w:sz="0" w:space="0" w:color="auto"/>
                        <w:right w:val="none" w:sz="0" w:space="0" w:color="auto"/>
                      </w:divBdr>
                    </w:div>
                  </w:divsChild>
                </w:div>
                <w:div w:id="788202191">
                  <w:marLeft w:val="0"/>
                  <w:marRight w:val="0"/>
                  <w:marTop w:val="0"/>
                  <w:marBottom w:val="0"/>
                  <w:divBdr>
                    <w:top w:val="none" w:sz="0" w:space="0" w:color="auto"/>
                    <w:left w:val="none" w:sz="0" w:space="0" w:color="auto"/>
                    <w:bottom w:val="none" w:sz="0" w:space="0" w:color="auto"/>
                    <w:right w:val="none" w:sz="0" w:space="0" w:color="auto"/>
                  </w:divBdr>
                  <w:divsChild>
                    <w:div w:id="2043245761">
                      <w:marLeft w:val="0"/>
                      <w:marRight w:val="0"/>
                      <w:marTop w:val="0"/>
                      <w:marBottom w:val="0"/>
                      <w:divBdr>
                        <w:top w:val="none" w:sz="0" w:space="0" w:color="auto"/>
                        <w:left w:val="none" w:sz="0" w:space="0" w:color="auto"/>
                        <w:bottom w:val="none" w:sz="0" w:space="0" w:color="auto"/>
                        <w:right w:val="none" w:sz="0" w:space="0" w:color="auto"/>
                      </w:divBdr>
                    </w:div>
                  </w:divsChild>
                </w:div>
                <w:div w:id="790628647">
                  <w:marLeft w:val="0"/>
                  <w:marRight w:val="0"/>
                  <w:marTop w:val="0"/>
                  <w:marBottom w:val="0"/>
                  <w:divBdr>
                    <w:top w:val="none" w:sz="0" w:space="0" w:color="auto"/>
                    <w:left w:val="none" w:sz="0" w:space="0" w:color="auto"/>
                    <w:bottom w:val="none" w:sz="0" w:space="0" w:color="auto"/>
                    <w:right w:val="none" w:sz="0" w:space="0" w:color="auto"/>
                  </w:divBdr>
                  <w:divsChild>
                    <w:div w:id="1868831920">
                      <w:marLeft w:val="0"/>
                      <w:marRight w:val="0"/>
                      <w:marTop w:val="0"/>
                      <w:marBottom w:val="0"/>
                      <w:divBdr>
                        <w:top w:val="none" w:sz="0" w:space="0" w:color="auto"/>
                        <w:left w:val="none" w:sz="0" w:space="0" w:color="auto"/>
                        <w:bottom w:val="none" w:sz="0" w:space="0" w:color="auto"/>
                        <w:right w:val="none" w:sz="0" w:space="0" w:color="auto"/>
                      </w:divBdr>
                    </w:div>
                  </w:divsChild>
                </w:div>
                <w:div w:id="800197653">
                  <w:marLeft w:val="0"/>
                  <w:marRight w:val="0"/>
                  <w:marTop w:val="0"/>
                  <w:marBottom w:val="0"/>
                  <w:divBdr>
                    <w:top w:val="none" w:sz="0" w:space="0" w:color="auto"/>
                    <w:left w:val="none" w:sz="0" w:space="0" w:color="auto"/>
                    <w:bottom w:val="none" w:sz="0" w:space="0" w:color="auto"/>
                    <w:right w:val="none" w:sz="0" w:space="0" w:color="auto"/>
                  </w:divBdr>
                  <w:divsChild>
                    <w:div w:id="384764923">
                      <w:marLeft w:val="0"/>
                      <w:marRight w:val="0"/>
                      <w:marTop w:val="0"/>
                      <w:marBottom w:val="0"/>
                      <w:divBdr>
                        <w:top w:val="none" w:sz="0" w:space="0" w:color="auto"/>
                        <w:left w:val="none" w:sz="0" w:space="0" w:color="auto"/>
                        <w:bottom w:val="none" w:sz="0" w:space="0" w:color="auto"/>
                        <w:right w:val="none" w:sz="0" w:space="0" w:color="auto"/>
                      </w:divBdr>
                    </w:div>
                  </w:divsChild>
                </w:div>
                <w:div w:id="804853284">
                  <w:marLeft w:val="0"/>
                  <w:marRight w:val="0"/>
                  <w:marTop w:val="0"/>
                  <w:marBottom w:val="0"/>
                  <w:divBdr>
                    <w:top w:val="none" w:sz="0" w:space="0" w:color="auto"/>
                    <w:left w:val="none" w:sz="0" w:space="0" w:color="auto"/>
                    <w:bottom w:val="none" w:sz="0" w:space="0" w:color="auto"/>
                    <w:right w:val="none" w:sz="0" w:space="0" w:color="auto"/>
                  </w:divBdr>
                  <w:divsChild>
                    <w:div w:id="835463636">
                      <w:marLeft w:val="0"/>
                      <w:marRight w:val="0"/>
                      <w:marTop w:val="0"/>
                      <w:marBottom w:val="0"/>
                      <w:divBdr>
                        <w:top w:val="none" w:sz="0" w:space="0" w:color="auto"/>
                        <w:left w:val="none" w:sz="0" w:space="0" w:color="auto"/>
                        <w:bottom w:val="none" w:sz="0" w:space="0" w:color="auto"/>
                        <w:right w:val="none" w:sz="0" w:space="0" w:color="auto"/>
                      </w:divBdr>
                    </w:div>
                  </w:divsChild>
                </w:div>
                <w:div w:id="805585520">
                  <w:marLeft w:val="0"/>
                  <w:marRight w:val="0"/>
                  <w:marTop w:val="0"/>
                  <w:marBottom w:val="0"/>
                  <w:divBdr>
                    <w:top w:val="none" w:sz="0" w:space="0" w:color="auto"/>
                    <w:left w:val="none" w:sz="0" w:space="0" w:color="auto"/>
                    <w:bottom w:val="none" w:sz="0" w:space="0" w:color="auto"/>
                    <w:right w:val="none" w:sz="0" w:space="0" w:color="auto"/>
                  </w:divBdr>
                  <w:divsChild>
                    <w:div w:id="286591281">
                      <w:marLeft w:val="0"/>
                      <w:marRight w:val="0"/>
                      <w:marTop w:val="0"/>
                      <w:marBottom w:val="0"/>
                      <w:divBdr>
                        <w:top w:val="none" w:sz="0" w:space="0" w:color="auto"/>
                        <w:left w:val="none" w:sz="0" w:space="0" w:color="auto"/>
                        <w:bottom w:val="none" w:sz="0" w:space="0" w:color="auto"/>
                        <w:right w:val="none" w:sz="0" w:space="0" w:color="auto"/>
                      </w:divBdr>
                    </w:div>
                  </w:divsChild>
                </w:div>
                <w:div w:id="819880767">
                  <w:marLeft w:val="0"/>
                  <w:marRight w:val="0"/>
                  <w:marTop w:val="0"/>
                  <w:marBottom w:val="0"/>
                  <w:divBdr>
                    <w:top w:val="none" w:sz="0" w:space="0" w:color="auto"/>
                    <w:left w:val="none" w:sz="0" w:space="0" w:color="auto"/>
                    <w:bottom w:val="none" w:sz="0" w:space="0" w:color="auto"/>
                    <w:right w:val="none" w:sz="0" w:space="0" w:color="auto"/>
                  </w:divBdr>
                  <w:divsChild>
                    <w:div w:id="1019085675">
                      <w:marLeft w:val="0"/>
                      <w:marRight w:val="0"/>
                      <w:marTop w:val="0"/>
                      <w:marBottom w:val="0"/>
                      <w:divBdr>
                        <w:top w:val="none" w:sz="0" w:space="0" w:color="auto"/>
                        <w:left w:val="none" w:sz="0" w:space="0" w:color="auto"/>
                        <w:bottom w:val="none" w:sz="0" w:space="0" w:color="auto"/>
                        <w:right w:val="none" w:sz="0" w:space="0" w:color="auto"/>
                      </w:divBdr>
                    </w:div>
                  </w:divsChild>
                </w:div>
                <w:div w:id="824856817">
                  <w:marLeft w:val="0"/>
                  <w:marRight w:val="0"/>
                  <w:marTop w:val="0"/>
                  <w:marBottom w:val="0"/>
                  <w:divBdr>
                    <w:top w:val="none" w:sz="0" w:space="0" w:color="auto"/>
                    <w:left w:val="none" w:sz="0" w:space="0" w:color="auto"/>
                    <w:bottom w:val="none" w:sz="0" w:space="0" w:color="auto"/>
                    <w:right w:val="none" w:sz="0" w:space="0" w:color="auto"/>
                  </w:divBdr>
                  <w:divsChild>
                    <w:div w:id="1742020171">
                      <w:marLeft w:val="0"/>
                      <w:marRight w:val="0"/>
                      <w:marTop w:val="0"/>
                      <w:marBottom w:val="0"/>
                      <w:divBdr>
                        <w:top w:val="none" w:sz="0" w:space="0" w:color="auto"/>
                        <w:left w:val="none" w:sz="0" w:space="0" w:color="auto"/>
                        <w:bottom w:val="none" w:sz="0" w:space="0" w:color="auto"/>
                        <w:right w:val="none" w:sz="0" w:space="0" w:color="auto"/>
                      </w:divBdr>
                    </w:div>
                  </w:divsChild>
                </w:div>
                <w:div w:id="829753635">
                  <w:marLeft w:val="0"/>
                  <w:marRight w:val="0"/>
                  <w:marTop w:val="0"/>
                  <w:marBottom w:val="0"/>
                  <w:divBdr>
                    <w:top w:val="none" w:sz="0" w:space="0" w:color="auto"/>
                    <w:left w:val="none" w:sz="0" w:space="0" w:color="auto"/>
                    <w:bottom w:val="none" w:sz="0" w:space="0" w:color="auto"/>
                    <w:right w:val="none" w:sz="0" w:space="0" w:color="auto"/>
                  </w:divBdr>
                  <w:divsChild>
                    <w:div w:id="325011742">
                      <w:marLeft w:val="0"/>
                      <w:marRight w:val="0"/>
                      <w:marTop w:val="0"/>
                      <w:marBottom w:val="0"/>
                      <w:divBdr>
                        <w:top w:val="none" w:sz="0" w:space="0" w:color="auto"/>
                        <w:left w:val="none" w:sz="0" w:space="0" w:color="auto"/>
                        <w:bottom w:val="none" w:sz="0" w:space="0" w:color="auto"/>
                        <w:right w:val="none" w:sz="0" w:space="0" w:color="auto"/>
                      </w:divBdr>
                    </w:div>
                  </w:divsChild>
                </w:div>
                <w:div w:id="865601346">
                  <w:marLeft w:val="0"/>
                  <w:marRight w:val="0"/>
                  <w:marTop w:val="0"/>
                  <w:marBottom w:val="0"/>
                  <w:divBdr>
                    <w:top w:val="none" w:sz="0" w:space="0" w:color="auto"/>
                    <w:left w:val="none" w:sz="0" w:space="0" w:color="auto"/>
                    <w:bottom w:val="none" w:sz="0" w:space="0" w:color="auto"/>
                    <w:right w:val="none" w:sz="0" w:space="0" w:color="auto"/>
                  </w:divBdr>
                  <w:divsChild>
                    <w:div w:id="1317805756">
                      <w:marLeft w:val="0"/>
                      <w:marRight w:val="0"/>
                      <w:marTop w:val="0"/>
                      <w:marBottom w:val="0"/>
                      <w:divBdr>
                        <w:top w:val="none" w:sz="0" w:space="0" w:color="auto"/>
                        <w:left w:val="none" w:sz="0" w:space="0" w:color="auto"/>
                        <w:bottom w:val="none" w:sz="0" w:space="0" w:color="auto"/>
                        <w:right w:val="none" w:sz="0" w:space="0" w:color="auto"/>
                      </w:divBdr>
                    </w:div>
                  </w:divsChild>
                </w:div>
                <w:div w:id="872381416">
                  <w:marLeft w:val="0"/>
                  <w:marRight w:val="0"/>
                  <w:marTop w:val="0"/>
                  <w:marBottom w:val="0"/>
                  <w:divBdr>
                    <w:top w:val="none" w:sz="0" w:space="0" w:color="auto"/>
                    <w:left w:val="none" w:sz="0" w:space="0" w:color="auto"/>
                    <w:bottom w:val="none" w:sz="0" w:space="0" w:color="auto"/>
                    <w:right w:val="none" w:sz="0" w:space="0" w:color="auto"/>
                  </w:divBdr>
                  <w:divsChild>
                    <w:div w:id="1292789678">
                      <w:marLeft w:val="0"/>
                      <w:marRight w:val="0"/>
                      <w:marTop w:val="0"/>
                      <w:marBottom w:val="0"/>
                      <w:divBdr>
                        <w:top w:val="none" w:sz="0" w:space="0" w:color="auto"/>
                        <w:left w:val="none" w:sz="0" w:space="0" w:color="auto"/>
                        <w:bottom w:val="none" w:sz="0" w:space="0" w:color="auto"/>
                        <w:right w:val="none" w:sz="0" w:space="0" w:color="auto"/>
                      </w:divBdr>
                    </w:div>
                  </w:divsChild>
                </w:div>
                <w:div w:id="873882841">
                  <w:marLeft w:val="0"/>
                  <w:marRight w:val="0"/>
                  <w:marTop w:val="0"/>
                  <w:marBottom w:val="0"/>
                  <w:divBdr>
                    <w:top w:val="none" w:sz="0" w:space="0" w:color="auto"/>
                    <w:left w:val="none" w:sz="0" w:space="0" w:color="auto"/>
                    <w:bottom w:val="none" w:sz="0" w:space="0" w:color="auto"/>
                    <w:right w:val="none" w:sz="0" w:space="0" w:color="auto"/>
                  </w:divBdr>
                  <w:divsChild>
                    <w:div w:id="1776099762">
                      <w:marLeft w:val="0"/>
                      <w:marRight w:val="0"/>
                      <w:marTop w:val="0"/>
                      <w:marBottom w:val="0"/>
                      <w:divBdr>
                        <w:top w:val="none" w:sz="0" w:space="0" w:color="auto"/>
                        <w:left w:val="none" w:sz="0" w:space="0" w:color="auto"/>
                        <w:bottom w:val="none" w:sz="0" w:space="0" w:color="auto"/>
                        <w:right w:val="none" w:sz="0" w:space="0" w:color="auto"/>
                      </w:divBdr>
                    </w:div>
                  </w:divsChild>
                </w:div>
                <w:div w:id="873886583">
                  <w:marLeft w:val="0"/>
                  <w:marRight w:val="0"/>
                  <w:marTop w:val="0"/>
                  <w:marBottom w:val="0"/>
                  <w:divBdr>
                    <w:top w:val="none" w:sz="0" w:space="0" w:color="auto"/>
                    <w:left w:val="none" w:sz="0" w:space="0" w:color="auto"/>
                    <w:bottom w:val="none" w:sz="0" w:space="0" w:color="auto"/>
                    <w:right w:val="none" w:sz="0" w:space="0" w:color="auto"/>
                  </w:divBdr>
                  <w:divsChild>
                    <w:div w:id="49429559">
                      <w:marLeft w:val="0"/>
                      <w:marRight w:val="0"/>
                      <w:marTop w:val="0"/>
                      <w:marBottom w:val="0"/>
                      <w:divBdr>
                        <w:top w:val="none" w:sz="0" w:space="0" w:color="auto"/>
                        <w:left w:val="none" w:sz="0" w:space="0" w:color="auto"/>
                        <w:bottom w:val="none" w:sz="0" w:space="0" w:color="auto"/>
                        <w:right w:val="none" w:sz="0" w:space="0" w:color="auto"/>
                      </w:divBdr>
                    </w:div>
                  </w:divsChild>
                </w:div>
                <w:div w:id="881290279">
                  <w:marLeft w:val="0"/>
                  <w:marRight w:val="0"/>
                  <w:marTop w:val="0"/>
                  <w:marBottom w:val="0"/>
                  <w:divBdr>
                    <w:top w:val="none" w:sz="0" w:space="0" w:color="auto"/>
                    <w:left w:val="none" w:sz="0" w:space="0" w:color="auto"/>
                    <w:bottom w:val="none" w:sz="0" w:space="0" w:color="auto"/>
                    <w:right w:val="none" w:sz="0" w:space="0" w:color="auto"/>
                  </w:divBdr>
                  <w:divsChild>
                    <w:div w:id="1540893750">
                      <w:marLeft w:val="0"/>
                      <w:marRight w:val="0"/>
                      <w:marTop w:val="0"/>
                      <w:marBottom w:val="0"/>
                      <w:divBdr>
                        <w:top w:val="none" w:sz="0" w:space="0" w:color="auto"/>
                        <w:left w:val="none" w:sz="0" w:space="0" w:color="auto"/>
                        <w:bottom w:val="none" w:sz="0" w:space="0" w:color="auto"/>
                        <w:right w:val="none" w:sz="0" w:space="0" w:color="auto"/>
                      </w:divBdr>
                    </w:div>
                    <w:div w:id="2033264862">
                      <w:marLeft w:val="0"/>
                      <w:marRight w:val="0"/>
                      <w:marTop w:val="0"/>
                      <w:marBottom w:val="0"/>
                      <w:divBdr>
                        <w:top w:val="none" w:sz="0" w:space="0" w:color="auto"/>
                        <w:left w:val="none" w:sz="0" w:space="0" w:color="auto"/>
                        <w:bottom w:val="none" w:sz="0" w:space="0" w:color="auto"/>
                        <w:right w:val="none" w:sz="0" w:space="0" w:color="auto"/>
                      </w:divBdr>
                    </w:div>
                  </w:divsChild>
                </w:div>
                <w:div w:id="890924014">
                  <w:marLeft w:val="0"/>
                  <w:marRight w:val="0"/>
                  <w:marTop w:val="0"/>
                  <w:marBottom w:val="0"/>
                  <w:divBdr>
                    <w:top w:val="none" w:sz="0" w:space="0" w:color="auto"/>
                    <w:left w:val="none" w:sz="0" w:space="0" w:color="auto"/>
                    <w:bottom w:val="none" w:sz="0" w:space="0" w:color="auto"/>
                    <w:right w:val="none" w:sz="0" w:space="0" w:color="auto"/>
                  </w:divBdr>
                  <w:divsChild>
                    <w:div w:id="1982231104">
                      <w:marLeft w:val="0"/>
                      <w:marRight w:val="0"/>
                      <w:marTop w:val="0"/>
                      <w:marBottom w:val="0"/>
                      <w:divBdr>
                        <w:top w:val="none" w:sz="0" w:space="0" w:color="auto"/>
                        <w:left w:val="none" w:sz="0" w:space="0" w:color="auto"/>
                        <w:bottom w:val="none" w:sz="0" w:space="0" w:color="auto"/>
                        <w:right w:val="none" w:sz="0" w:space="0" w:color="auto"/>
                      </w:divBdr>
                    </w:div>
                  </w:divsChild>
                </w:div>
                <w:div w:id="901597818">
                  <w:marLeft w:val="0"/>
                  <w:marRight w:val="0"/>
                  <w:marTop w:val="0"/>
                  <w:marBottom w:val="0"/>
                  <w:divBdr>
                    <w:top w:val="none" w:sz="0" w:space="0" w:color="auto"/>
                    <w:left w:val="none" w:sz="0" w:space="0" w:color="auto"/>
                    <w:bottom w:val="none" w:sz="0" w:space="0" w:color="auto"/>
                    <w:right w:val="none" w:sz="0" w:space="0" w:color="auto"/>
                  </w:divBdr>
                  <w:divsChild>
                    <w:div w:id="2003659998">
                      <w:marLeft w:val="0"/>
                      <w:marRight w:val="0"/>
                      <w:marTop w:val="0"/>
                      <w:marBottom w:val="0"/>
                      <w:divBdr>
                        <w:top w:val="none" w:sz="0" w:space="0" w:color="auto"/>
                        <w:left w:val="none" w:sz="0" w:space="0" w:color="auto"/>
                        <w:bottom w:val="none" w:sz="0" w:space="0" w:color="auto"/>
                        <w:right w:val="none" w:sz="0" w:space="0" w:color="auto"/>
                      </w:divBdr>
                    </w:div>
                  </w:divsChild>
                </w:div>
                <w:div w:id="902567142">
                  <w:marLeft w:val="0"/>
                  <w:marRight w:val="0"/>
                  <w:marTop w:val="0"/>
                  <w:marBottom w:val="0"/>
                  <w:divBdr>
                    <w:top w:val="none" w:sz="0" w:space="0" w:color="auto"/>
                    <w:left w:val="none" w:sz="0" w:space="0" w:color="auto"/>
                    <w:bottom w:val="none" w:sz="0" w:space="0" w:color="auto"/>
                    <w:right w:val="none" w:sz="0" w:space="0" w:color="auto"/>
                  </w:divBdr>
                  <w:divsChild>
                    <w:div w:id="548418585">
                      <w:marLeft w:val="0"/>
                      <w:marRight w:val="0"/>
                      <w:marTop w:val="0"/>
                      <w:marBottom w:val="0"/>
                      <w:divBdr>
                        <w:top w:val="none" w:sz="0" w:space="0" w:color="auto"/>
                        <w:left w:val="none" w:sz="0" w:space="0" w:color="auto"/>
                        <w:bottom w:val="none" w:sz="0" w:space="0" w:color="auto"/>
                        <w:right w:val="none" w:sz="0" w:space="0" w:color="auto"/>
                      </w:divBdr>
                    </w:div>
                    <w:div w:id="1036465980">
                      <w:marLeft w:val="0"/>
                      <w:marRight w:val="0"/>
                      <w:marTop w:val="0"/>
                      <w:marBottom w:val="0"/>
                      <w:divBdr>
                        <w:top w:val="none" w:sz="0" w:space="0" w:color="auto"/>
                        <w:left w:val="none" w:sz="0" w:space="0" w:color="auto"/>
                        <w:bottom w:val="none" w:sz="0" w:space="0" w:color="auto"/>
                        <w:right w:val="none" w:sz="0" w:space="0" w:color="auto"/>
                      </w:divBdr>
                    </w:div>
                    <w:div w:id="1210722735">
                      <w:marLeft w:val="0"/>
                      <w:marRight w:val="0"/>
                      <w:marTop w:val="0"/>
                      <w:marBottom w:val="0"/>
                      <w:divBdr>
                        <w:top w:val="none" w:sz="0" w:space="0" w:color="auto"/>
                        <w:left w:val="none" w:sz="0" w:space="0" w:color="auto"/>
                        <w:bottom w:val="none" w:sz="0" w:space="0" w:color="auto"/>
                        <w:right w:val="none" w:sz="0" w:space="0" w:color="auto"/>
                      </w:divBdr>
                    </w:div>
                  </w:divsChild>
                </w:div>
                <w:div w:id="906303844">
                  <w:marLeft w:val="0"/>
                  <w:marRight w:val="0"/>
                  <w:marTop w:val="0"/>
                  <w:marBottom w:val="0"/>
                  <w:divBdr>
                    <w:top w:val="none" w:sz="0" w:space="0" w:color="auto"/>
                    <w:left w:val="none" w:sz="0" w:space="0" w:color="auto"/>
                    <w:bottom w:val="none" w:sz="0" w:space="0" w:color="auto"/>
                    <w:right w:val="none" w:sz="0" w:space="0" w:color="auto"/>
                  </w:divBdr>
                  <w:divsChild>
                    <w:div w:id="968706048">
                      <w:marLeft w:val="0"/>
                      <w:marRight w:val="0"/>
                      <w:marTop w:val="0"/>
                      <w:marBottom w:val="0"/>
                      <w:divBdr>
                        <w:top w:val="none" w:sz="0" w:space="0" w:color="auto"/>
                        <w:left w:val="none" w:sz="0" w:space="0" w:color="auto"/>
                        <w:bottom w:val="none" w:sz="0" w:space="0" w:color="auto"/>
                        <w:right w:val="none" w:sz="0" w:space="0" w:color="auto"/>
                      </w:divBdr>
                    </w:div>
                  </w:divsChild>
                </w:div>
                <w:div w:id="908729753">
                  <w:marLeft w:val="0"/>
                  <w:marRight w:val="0"/>
                  <w:marTop w:val="0"/>
                  <w:marBottom w:val="0"/>
                  <w:divBdr>
                    <w:top w:val="none" w:sz="0" w:space="0" w:color="auto"/>
                    <w:left w:val="none" w:sz="0" w:space="0" w:color="auto"/>
                    <w:bottom w:val="none" w:sz="0" w:space="0" w:color="auto"/>
                    <w:right w:val="none" w:sz="0" w:space="0" w:color="auto"/>
                  </w:divBdr>
                  <w:divsChild>
                    <w:div w:id="1117258553">
                      <w:marLeft w:val="0"/>
                      <w:marRight w:val="0"/>
                      <w:marTop w:val="0"/>
                      <w:marBottom w:val="0"/>
                      <w:divBdr>
                        <w:top w:val="none" w:sz="0" w:space="0" w:color="auto"/>
                        <w:left w:val="none" w:sz="0" w:space="0" w:color="auto"/>
                        <w:bottom w:val="none" w:sz="0" w:space="0" w:color="auto"/>
                        <w:right w:val="none" w:sz="0" w:space="0" w:color="auto"/>
                      </w:divBdr>
                    </w:div>
                  </w:divsChild>
                </w:div>
                <w:div w:id="910431676">
                  <w:marLeft w:val="0"/>
                  <w:marRight w:val="0"/>
                  <w:marTop w:val="0"/>
                  <w:marBottom w:val="0"/>
                  <w:divBdr>
                    <w:top w:val="none" w:sz="0" w:space="0" w:color="auto"/>
                    <w:left w:val="none" w:sz="0" w:space="0" w:color="auto"/>
                    <w:bottom w:val="none" w:sz="0" w:space="0" w:color="auto"/>
                    <w:right w:val="none" w:sz="0" w:space="0" w:color="auto"/>
                  </w:divBdr>
                  <w:divsChild>
                    <w:div w:id="297153147">
                      <w:marLeft w:val="0"/>
                      <w:marRight w:val="0"/>
                      <w:marTop w:val="0"/>
                      <w:marBottom w:val="0"/>
                      <w:divBdr>
                        <w:top w:val="none" w:sz="0" w:space="0" w:color="auto"/>
                        <w:left w:val="none" w:sz="0" w:space="0" w:color="auto"/>
                        <w:bottom w:val="none" w:sz="0" w:space="0" w:color="auto"/>
                        <w:right w:val="none" w:sz="0" w:space="0" w:color="auto"/>
                      </w:divBdr>
                    </w:div>
                  </w:divsChild>
                </w:div>
                <w:div w:id="911543588">
                  <w:marLeft w:val="0"/>
                  <w:marRight w:val="0"/>
                  <w:marTop w:val="0"/>
                  <w:marBottom w:val="0"/>
                  <w:divBdr>
                    <w:top w:val="none" w:sz="0" w:space="0" w:color="auto"/>
                    <w:left w:val="none" w:sz="0" w:space="0" w:color="auto"/>
                    <w:bottom w:val="none" w:sz="0" w:space="0" w:color="auto"/>
                    <w:right w:val="none" w:sz="0" w:space="0" w:color="auto"/>
                  </w:divBdr>
                  <w:divsChild>
                    <w:div w:id="1077481978">
                      <w:marLeft w:val="0"/>
                      <w:marRight w:val="0"/>
                      <w:marTop w:val="0"/>
                      <w:marBottom w:val="0"/>
                      <w:divBdr>
                        <w:top w:val="none" w:sz="0" w:space="0" w:color="auto"/>
                        <w:left w:val="none" w:sz="0" w:space="0" w:color="auto"/>
                        <w:bottom w:val="none" w:sz="0" w:space="0" w:color="auto"/>
                        <w:right w:val="none" w:sz="0" w:space="0" w:color="auto"/>
                      </w:divBdr>
                    </w:div>
                  </w:divsChild>
                </w:div>
                <w:div w:id="915820941">
                  <w:marLeft w:val="0"/>
                  <w:marRight w:val="0"/>
                  <w:marTop w:val="0"/>
                  <w:marBottom w:val="0"/>
                  <w:divBdr>
                    <w:top w:val="none" w:sz="0" w:space="0" w:color="auto"/>
                    <w:left w:val="none" w:sz="0" w:space="0" w:color="auto"/>
                    <w:bottom w:val="none" w:sz="0" w:space="0" w:color="auto"/>
                    <w:right w:val="none" w:sz="0" w:space="0" w:color="auto"/>
                  </w:divBdr>
                  <w:divsChild>
                    <w:div w:id="404035283">
                      <w:marLeft w:val="0"/>
                      <w:marRight w:val="0"/>
                      <w:marTop w:val="0"/>
                      <w:marBottom w:val="0"/>
                      <w:divBdr>
                        <w:top w:val="none" w:sz="0" w:space="0" w:color="auto"/>
                        <w:left w:val="none" w:sz="0" w:space="0" w:color="auto"/>
                        <w:bottom w:val="none" w:sz="0" w:space="0" w:color="auto"/>
                        <w:right w:val="none" w:sz="0" w:space="0" w:color="auto"/>
                      </w:divBdr>
                    </w:div>
                    <w:div w:id="1262180401">
                      <w:marLeft w:val="0"/>
                      <w:marRight w:val="0"/>
                      <w:marTop w:val="0"/>
                      <w:marBottom w:val="0"/>
                      <w:divBdr>
                        <w:top w:val="none" w:sz="0" w:space="0" w:color="auto"/>
                        <w:left w:val="none" w:sz="0" w:space="0" w:color="auto"/>
                        <w:bottom w:val="none" w:sz="0" w:space="0" w:color="auto"/>
                        <w:right w:val="none" w:sz="0" w:space="0" w:color="auto"/>
                      </w:divBdr>
                    </w:div>
                    <w:div w:id="1697074859">
                      <w:marLeft w:val="0"/>
                      <w:marRight w:val="0"/>
                      <w:marTop w:val="0"/>
                      <w:marBottom w:val="0"/>
                      <w:divBdr>
                        <w:top w:val="none" w:sz="0" w:space="0" w:color="auto"/>
                        <w:left w:val="none" w:sz="0" w:space="0" w:color="auto"/>
                        <w:bottom w:val="none" w:sz="0" w:space="0" w:color="auto"/>
                        <w:right w:val="none" w:sz="0" w:space="0" w:color="auto"/>
                      </w:divBdr>
                    </w:div>
                  </w:divsChild>
                </w:div>
                <w:div w:id="917984409">
                  <w:marLeft w:val="0"/>
                  <w:marRight w:val="0"/>
                  <w:marTop w:val="0"/>
                  <w:marBottom w:val="0"/>
                  <w:divBdr>
                    <w:top w:val="none" w:sz="0" w:space="0" w:color="auto"/>
                    <w:left w:val="none" w:sz="0" w:space="0" w:color="auto"/>
                    <w:bottom w:val="none" w:sz="0" w:space="0" w:color="auto"/>
                    <w:right w:val="none" w:sz="0" w:space="0" w:color="auto"/>
                  </w:divBdr>
                  <w:divsChild>
                    <w:div w:id="470095405">
                      <w:marLeft w:val="0"/>
                      <w:marRight w:val="0"/>
                      <w:marTop w:val="0"/>
                      <w:marBottom w:val="0"/>
                      <w:divBdr>
                        <w:top w:val="none" w:sz="0" w:space="0" w:color="auto"/>
                        <w:left w:val="none" w:sz="0" w:space="0" w:color="auto"/>
                        <w:bottom w:val="none" w:sz="0" w:space="0" w:color="auto"/>
                        <w:right w:val="none" w:sz="0" w:space="0" w:color="auto"/>
                      </w:divBdr>
                    </w:div>
                    <w:div w:id="673186496">
                      <w:marLeft w:val="0"/>
                      <w:marRight w:val="0"/>
                      <w:marTop w:val="0"/>
                      <w:marBottom w:val="0"/>
                      <w:divBdr>
                        <w:top w:val="none" w:sz="0" w:space="0" w:color="auto"/>
                        <w:left w:val="none" w:sz="0" w:space="0" w:color="auto"/>
                        <w:bottom w:val="none" w:sz="0" w:space="0" w:color="auto"/>
                        <w:right w:val="none" w:sz="0" w:space="0" w:color="auto"/>
                      </w:divBdr>
                    </w:div>
                    <w:div w:id="705837009">
                      <w:marLeft w:val="0"/>
                      <w:marRight w:val="0"/>
                      <w:marTop w:val="0"/>
                      <w:marBottom w:val="0"/>
                      <w:divBdr>
                        <w:top w:val="none" w:sz="0" w:space="0" w:color="auto"/>
                        <w:left w:val="none" w:sz="0" w:space="0" w:color="auto"/>
                        <w:bottom w:val="none" w:sz="0" w:space="0" w:color="auto"/>
                        <w:right w:val="none" w:sz="0" w:space="0" w:color="auto"/>
                      </w:divBdr>
                    </w:div>
                    <w:div w:id="902637311">
                      <w:marLeft w:val="0"/>
                      <w:marRight w:val="0"/>
                      <w:marTop w:val="0"/>
                      <w:marBottom w:val="0"/>
                      <w:divBdr>
                        <w:top w:val="none" w:sz="0" w:space="0" w:color="auto"/>
                        <w:left w:val="none" w:sz="0" w:space="0" w:color="auto"/>
                        <w:bottom w:val="none" w:sz="0" w:space="0" w:color="auto"/>
                        <w:right w:val="none" w:sz="0" w:space="0" w:color="auto"/>
                      </w:divBdr>
                    </w:div>
                    <w:div w:id="968360441">
                      <w:marLeft w:val="0"/>
                      <w:marRight w:val="0"/>
                      <w:marTop w:val="0"/>
                      <w:marBottom w:val="0"/>
                      <w:divBdr>
                        <w:top w:val="none" w:sz="0" w:space="0" w:color="auto"/>
                        <w:left w:val="none" w:sz="0" w:space="0" w:color="auto"/>
                        <w:bottom w:val="none" w:sz="0" w:space="0" w:color="auto"/>
                        <w:right w:val="none" w:sz="0" w:space="0" w:color="auto"/>
                      </w:divBdr>
                    </w:div>
                    <w:div w:id="1375734599">
                      <w:marLeft w:val="0"/>
                      <w:marRight w:val="0"/>
                      <w:marTop w:val="0"/>
                      <w:marBottom w:val="0"/>
                      <w:divBdr>
                        <w:top w:val="none" w:sz="0" w:space="0" w:color="auto"/>
                        <w:left w:val="none" w:sz="0" w:space="0" w:color="auto"/>
                        <w:bottom w:val="none" w:sz="0" w:space="0" w:color="auto"/>
                        <w:right w:val="none" w:sz="0" w:space="0" w:color="auto"/>
                      </w:divBdr>
                    </w:div>
                    <w:div w:id="1431311808">
                      <w:marLeft w:val="0"/>
                      <w:marRight w:val="0"/>
                      <w:marTop w:val="0"/>
                      <w:marBottom w:val="0"/>
                      <w:divBdr>
                        <w:top w:val="none" w:sz="0" w:space="0" w:color="auto"/>
                        <w:left w:val="none" w:sz="0" w:space="0" w:color="auto"/>
                        <w:bottom w:val="none" w:sz="0" w:space="0" w:color="auto"/>
                        <w:right w:val="none" w:sz="0" w:space="0" w:color="auto"/>
                      </w:divBdr>
                    </w:div>
                    <w:div w:id="1511989235">
                      <w:marLeft w:val="0"/>
                      <w:marRight w:val="0"/>
                      <w:marTop w:val="0"/>
                      <w:marBottom w:val="0"/>
                      <w:divBdr>
                        <w:top w:val="none" w:sz="0" w:space="0" w:color="auto"/>
                        <w:left w:val="none" w:sz="0" w:space="0" w:color="auto"/>
                        <w:bottom w:val="none" w:sz="0" w:space="0" w:color="auto"/>
                        <w:right w:val="none" w:sz="0" w:space="0" w:color="auto"/>
                      </w:divBdr>
                    </w:div>
                    <w:div w:id="1520924719">
                      <w:marLeft w:val="0"/>
                      <w:marRight w:val="0"/>
                      <w:marTop w:val="0"/>
                      <w:marBottom w:val="0"/>
                      <w:divBdr>
                        <w:top w:val="none" w:sz="0" w:space="0" w:color="auto"/>
                        <w:left w:val="none" w:sz="0" w:space="0" w:color="auto"/>
                        <w:bottom w:val="none" w:sz="0" w:space="0" w:color="auto"/>
                        <w:right w:val="none" w:sz="0" w:space="0" w:color="auto"/>
                      </w:divBdr>
                    </w:div>
                    <w:div w:id="1593509540">
                      <w:marLeft w:val="0"/>
                      <w:marRight w:val="0"/>
                      <w:marTop w:val="0"/>
                      <w:marBottom w:val="0"/>
                      <w:divBdr>
                        <w:top w:val="none" w:sz="0" w:space="0" w:color="auto"/>
                        <w:left w:val="none" w:sz="0" w:space="0" w:color="auto"/>
                        <w:bottom w:val="none" w:sz="0" w:space="0" w:color="auto"/>
                        <w:right w:val="none" w:sz="0" w:space="0" w:color="auto"/>
                      </w:divBdr>
                    </w:div>
                    <w:div w:id="1728725230">
                      <w:marLeft w:val="0"/>
                      <w:marRight w:val="0"/>
                      <w:marTop w:val="0"/>
                      <w:marBottom w:val="0"/>
                      <w:divBdr>
                        <w:top w:val="none" w:sz="0" w:space="0" w:color="auto"/>
                        <w:left w:val="none" w:sz="0" w:space="0" w:color="auto"/>
                        <w:bottom w:val="none" w:sz="0" w:space="0" w:color="auto"/>
                        <w:right w:val="none" w:sz="0" w:space="0" w:color="auto"/>
                      </w:divBdr>
                    </w:div>
                    <w:div w:id="2025283220">
                      <w:marLeft w:val="0"/>
                      <w:marRight w:val="0"/>
                      <w:marTop w:val="0"/>
                      <w:marBottom w:val="0"/>
                      <w:divBdr>
                        <w:top w:val="none" w:sz="0" w:space="0" w:color="auto"/>
                        <w:left w:val="none" w:sz="0" w:space="0" w:color="auto"/>
                        <w:bottom w:val="none" w:sz="0" w:space="0" w:color="auto"/>
                        <w:right w:val="none" w:sz="0" w:space="0" w:color="auto"/>
                      </w:divBdr>
                    </w:div>
                    <w:div w:id="2090155118">
                      <w:marLeft w:val="0"/>
                      <w:marRight w:val="0"/>
                      <w:marTop w:val="0"/>
                      <w:marBottom w:val="0"/>
                      <w:divBdr>
                        <w:top w:val="none" w:sz="0" w:space="0" w:color="auto"/>
                        <w:left w:val="none" w:sz="0" w:space="0" w:color="auto"/>
                        <w:bottom w:val="none" w:sz="0" w:space="0" w:color="auto"/>
                        <w:right w:val="none" w:sz="0" w:space="0" w:color="auto"/>
                      </w:divBdr>
                    </w:div>
                  </w:divsChild>
                </w:div>
                <w:div w:id="929124111">
                  <w:marLeft w:val="0"/>
                  <w:marRight w:val="0"/>
                  <w:marTop w:val="0"/>
                  <w:marBottom w:val="0"/>
                  <w:divBdr>
                    <w:top w:val="none" w:sz="0" w:space="0" w:color="auto"/>
                    <w:left w:val="none" w:sz="0" w:space="0" w:color="auto"/>
                    <w:bottom w:val="none" w:sz="0" w:space="0" w:color="auto"/>
                    <w:right w:val="none" w:sz="0" w:space="0" w:color="auto"/>
                  </w:divBdr>
                  <w:divsChild>
                    <w:div w:id="942343480">
                      <w:marLeft w:val="0"/>
                      <w:marRight w:val="0"/>
                      <w:marTop w:val="0"/>
                      <w:marBottom w:val="0"/>
                      <w:divBdr>
                        <w:top w:val="none" w:sz="0" w:space="0" w:color="auto"/>
                        <w:left w:val="none" w:sz="0" w:space="0" w:color="auto"/>
                        <w:bottom w:val="none" w:sz="0" w:space="0" w:color="auto"/>
                        <w:right w:val="none" w:sz="0" w:space="0" w:color="auto"/>
                      </w:divBdr>
                    </w:div>
                  </w:divsChild>
                </w:div>
                <w:div w:id="935750481">
                  <w:marLeft w:val="0"/>
                  <w:marRight w:val="0"/>
                  <w:marTop w:val="0"/>
                  <w:marBottom w:val="0"/>
                  <w:divBdr>
                    <w:top w:val="none" w:sz="0" w:space="0" w:color="auto"/>
                    <w:left w:val="none" w:sz="0" w:space="0" w:color="auto"/>
                    <w:bottom w:val="none" w:sz="0" w:space="0" w:color="auto"/>
                    <w:right w:val="none" w:sz="0" w:space="0" w:color="auto"/>
                  </w:divBdr>
                  <w:divsChild>
                    <w:div w:id="593052641">
                      <w:marLeft w:val="0"/>
                      <w:marRight w:val="0"/>
                      <w:marTop w:val="0"/>
                      <w:marBottom w:val="0"/>
                      <w:divBdr>
                        <w:top w:val="none" w:sz="0" w:space="0" w:color="auto"/>
                        <w:left w:val="none" w:sz="0" w:space="0" w:color="auto"/>
                        <w:bottom w:val="none" w:sz="0" w:space="0" w:color="auto"/>
                        <w:right w:val="none" w:sz="0" w:space="0" w:color="auto"/>
                      </w:divBdr>
                    </w:div>
                  </w:divsChild>
                </w:div>
                <w:div w:id="936058420">
                  <w:marLeft w:val="0"/>
                  <w:marRight w:val="0"/>
                  <w:marTop w:val="0"/>
                  <w:marBottom w:val="0"/>
                  <w:divBdr>
                    <w:top w:val="none" w:sz="0" w:space="0" w:color="auto"/>
                    <w:left w:val="none" w:sz="0" w:space="0" w:color="auto"/>
                    <w:bottom w:val="none" w:sz="0" w:space="0" w:color="auto"/>
                    <w:right w:val="none" w:sz="0" w:space="0" w:color="auto"/>
                  </w:divBdr>
                  <w:divsChild>
                    <w:div w:id="1188984021">
                      <w:marLeft w:val="0"/>
                      <w:marRight w:val="0"/>
                      <w:marTop w:val="0"/>
                      <w:marBottom w:val="0"/>
                      <w:divBdr>
                        <w:top w:val="none" w:sz="0" w:space="0" w:color="auto"/>
                        <w:left w:val="none" w:sz="0" w:space="0" w:color="auto"/>
                        <w:bottom w:val="none" w:sz="0" w:space="0" w:color="auto"/>
                        <w:right w:val="none" w:sz="0" w:space="0" w:color="auto"/>
                      </w:divBdr>
                    </w:div>
                  </w:divsChild>
                </w:div>
                <w:div w:id="940796682">
                  <w:marLeft w:val="0"/>
                  <w:marRight w:val="0"/>
                  <w:marTop w:val="0"/>
                  <w:marBottom w:val="0"/>
                  <w:divBdr>
                    <w:top w:val="none" w:sz="0" w:space="0" w:color="auto"/>
                    <w:left w:val="none" w:sz="0" w:space="0" w:color="auto"/>
                    <w:bottom w:val="none" w:sz="0" w:space="0" w:color="auto"/>
                    <w:right w:val="none" w:sz="0" w:space="0" w:color="auto"/>
                  </w:divBdr>
                  <w:divsChild>
                    <w:div w:id="913857043">
                      <w:marLeft w:val="0"/>
                      <w:marRight w:val="0"/>
                      <w:marTop w:val="0"/>
                      <w:marBottom w:val="0"/>
                      <w:divBdr>
                        <w:top w:val="none" w:sz="0" w:space="0" w:color="auto"/>
                        <w:left w:val="none" w:sz="0" w:space="0" w:color="auto"/>
                        <w:bottom w:val="none" w:sz="0" w:space="0" w:color="auto"/>
                        <w:right w:val="none" w:sz="0" w:space="0" w:color="auto"/>
                      </w:divBdr>
                    </w:div>
                  </w:divsChild>
                </w:div>
                <w:div w:id="951206545">
                  <w:marLeft w:val="0"/>
                  <w:marRight w:val="0"/>
                  <w:marTop w:val="0"/>
                  <w:marBottom w:val="0"/>
                  <w:divBdr>
                    <w:top w:val="none" w:sz="0" w:space="0" w:color="auto"/>
                    <w:left w:val="none" w:sz="0" w:space="0" w:color="auto"/>
                    <w:bottom w:val="none" w:sz="0" w:space="0" w:color="auto"/>
                    <w:right w:val="none" w:sz="0" w:space="0" w:color="auto"/>
                  </w:divBdr>
                  <w:divsChild>
                    <w:div w:id="901915221">
                      <w:marLeft w:val="0"/>
                      <w:marRight w:val="0"/>
                      <w:marTop w:val="0"/>
                      <w:marBottom w:val="0"/>
                      <w:divBdr>
                        <w:top w:val="none" w:sz="0" w:space="0" w:color="auto"/>
                        <w:left w:val="none" w:sz="0" w:space="0" w:color="auto"/>
                        <w:bottom w:val="none" w:sz="0" w:space="0" w:color="auto"/>
                        <w:right w:val="none" w:sz="0" w:space="0" w:color="auto"/>
                      </w:divBdr>
                    </w:div>
                  </w:divsChild>
                </w:div>
                <w:div w:id="956369906">
                  <w:marLeft w:val="0"/>
                  <w:marRight w:val="0"/>
                  <w:marTop w:val="0"/>
                  <w:marBottom w:val="0"/>
                  <w:divBdr>
                    <w:top w:val="none" w:sz="0" w:space="0" w:color="auto"/>
                    <w:left w:val="none" w:sz="0" w:space="0" w:color="auto"/>
                    <w:bottom w:val="none" w:sz="0" w:space="0" w:color="auto"/>
                    <w:right w:val="none" w:sz="0" w:space="0" w:color="auto"/>
                  </w:divBdr>
                  <w:divsChild>
                    <w:div w:id="1433084204">
                      <w:marLeft w:val="0"/>
                      <w:marRight w:val="0"/>
                      <w:marTop w:val="0"/>
                      <w:marBottom w:val="0"/>
                      <w:divBdr>
                        <w:top w:val="none" w:sz="0" w:space="0" w:color="auto"/>
                        <w:left w:val="none" w:sz="0" w:space="0" w:color="auto"/>
                        <w:bottom w:val="none" w:sz="0" w:space="0" w:color="auto"/>
                        <w:right w:val="none" w:sz="0" w:space="0" w:color="auto"/>
                      </w:divBdr>
                    </w:div>
                  </w:divsChild>
                </w:div>
                <w:div w:id="959533335">
                  <w:marLeft w:val="0"/>
                  <w:marRight w:val="0"/>
                  <w:marTop w:val="0"/>
                  <w:marBottom w:val="0"/>
                  <w:divBdr>
                    <w:top w:val="none" w:sz="0" w:space="0" w:color="auto"/>
                    <w:left w:val="none" w:sz="0" w:space="0" w:color="auto"/>
                    <w:bottom w:val="none" w:sz="0" w:space="0" w:color="auto"/>
                    <w:right w:val="none" w:sz="0" w:space="0" w:color="auto"/>
                  </w:divBdr>
                  <w:divsChild>
                    <w:div w:id="2112160336">
                      <w:marLeft w:val="0"/>
                      <w:marRight w:val="0"/>
                      <w:marTop w:val="0"/>
                      <w:marBottom w:val="0"/>
                      <w:divBdr>
                        <w:top w:val="none" w:sz="0" w:space="0" w:color="auto"/>
                        <w:left w:val="none" w:sz="0" w:space="0" w:color="auto"/>
                        <w:bottom w:val="none" w:sz="0" w:space="0" w:color="auto"/>
                        <w:right w:val="none" w:sz="0" w:space="0" w:color="auto"/>
                      </w:divBdr>
                    </w:div>
                  </w:divsChild>
                </w:div>
                <w:div w:id="963775689">
                  <w:marLeft w:val="0"/>
                  <w:marRight w:val="0"/>
                  <w:marTop w:val="0"/>
                  <w:marBottom w:val="0"/>
                  <w:divBdr>
                    <w:top w:val="none" w:sz="0" w:space="0" w:color="auto"/>
                    <w:left w:val="none" w:sz="0" w:space="0" w:color="auto"/>
                    <w:bottom w:val="none" w:sz="0" w:space="0" w:color="auto"/>
                    <w:right w:val="none" w:sz="0" w:space="0" w:color="auto"/>
                  </w:divBdr>
                  <w:divsChild>
                    <w:div w:id="753361121">
                      <w:marLeft w:val="0"/>
                      <w:marRight w:val="0"/>
                      <w:marTop w:val="0"/>
                      <w:marBottom w:val="0"/>
                      <w:divBdr>
                        <w:top w:val="none" w:sz="0" w:space="0" w:color="auto"/>
                        <w:left w:val="none" w:sz="0" w:space="0" w:color="auto"/>
                        <w:bottom w:val="none" w:sz="0" w:space="0" w:color="auto"/>
                        <w:right w:val="none" w:sz="0" w:space="0" w:color="auto"/>
                      </w:divBdr>
                    </w:div>
                  </w:divsChild>
                </w:div>
                <w:div w:id="967664629">
                  <w:marLeft w:val="0"/>
                  <w:marRight w:val="0"/>
                  <w:marTop w:val="0"/>
                  <w:marBottom w:val="0"/>
                  <w:divBdr>
                    <w:top w:val="none" w:sz="0" w:space="0" w:color="auto"/>
                    <w:left w:val="none" w:sz="0" w:space="0" w:color="auto"/>
                    <w:bottom w:val="none" w:sz="0" w:space="0" w:color="auto"/>
                    <w:right w:val="none" w:sz="0" w:space="0" w:color="auto"/>
                  </w:divBdr>
                  <w:divsChild>
                    <w:div w:id="314333038">
                      <w:marLeft w:val="0"/>
                      <w:marRight w:val="0"/>
                      <w:marTop w:val="0"/>
                      <w:marBottom w:val="0"/>
                      <w:divBdr>
                        <w:top w:val="none" w:sz="0" w:space="0" w:color="auto"/>
                        <w:left w:val="none" w:sz="0" w:space="0" w:color="auto"/>
                        <w:bottom w:val="none" w:sz="0" w:space="0" w:color="auto"/>
                        <w:right w:val="none" w:sz="0" w:space="0" w:color="auto"/>
                      </w:divBdr>
                    </w:div>
                  </w:divsChild>
                </w:div>
                <w:div w:id="968902217">
                  <w:marLeft w:val="0"/>
                  <w:marRight w:val="0"/>
                  <w:marTop w:val="0"/>
                  <w:marBottom w:val="0"/>
                  <w:divBdr>
                    <w:top w:val="none" w:sz="0" w:space="0" w:color="auto"/>
                    <w:left w:val="none" w:sz="0" w:space="0" w:color="auto"/>
                    <w:bottom w:val="none" w:sz="0" w:space="0" w:color="auto"/>
                    <w:right w:val="none" w:sz="0" w:space="0" w:color="auto"/>
                  </w:divBdr>
                  <w:divsChild>
                    <w:div w:id="242572002">
                      <w:marLeft w:val="0"/>
                      <w:marRight w:val="0"/>
                      <w:marTop w:val="0"/>
                      <w:marBottom w:val="0"/>
                      <w:divBdr>
                        <w:top w:val="none" w:sz="0" w:space="0" w:color="auto"/>
                        <w:left w:val="none" w:sz="0" w:space="0" w:color="auto"/>
                        <w:bottom w:val="none" w:sz="0" w:space="0" w:color="auto"/>
                        <w:right w:val="none" w:sz="0" w:space="0" w:color="auto"/>
                      </w:divBdr>
                    </w:div>
                  </w:divsChild>
                </w:div>
                <w:div w:id="983194544">
                  <w:marLeft w:val="0"/>
                  <w:marRight w:val="0"/>
                  <w:marTop w:val="0"/>
                  <w:marBottom w:val="0"/>
                  <w:divBdr>
                    <w:top w:val="none" w:sz="0" w:space="0" w:color="auto"/>
                    <w:left w:val="none" w:sz="0" w:space="0" w:color="auto"/>
                    <w:bottom w:val="none" w:sz="0" w:space="0" w:color="auto"/>
                    <w:right w:val="none" w:sz="0" w:space="0" w:color="auto"/>
                  </w:divBdr>
                  <w:divsChild>
                    <w:div w:id="1578172941">
                      <w:marLeft w:val="0"/>
                      <w:marRight w:val="0"/>
                      <w:marTop w:val="0"/>
                      <w:marBottom w:val="0"/>
                      <w:divBdr>
                        <w:top w:val="none" w:sz="0" w:space="0" w:color="auto"/>
                        <w:left w:val="none" w:sz="0" w:space="0" w:color="auto"/>
                        <w:bottom w:val="none" w:sz="0" w:space="0" w:color="auto"/>
                        <w:right w:val="none" w:sz="0" w:space="0" w:color="auto"/>
                      </w:divBdr>
                    </w:div>
                  </w:divsChild>
                </w:div>
                <w:div w:id="983698601">
                  <w:marLeft w:val="0"/>
                  <w:marRight w:val="0"/>
                  <w:marTop w:val="0"/>
                  <w:marBottom w:val="0"/>
                  <w:divBdr>
                    <w:top w:val="none" w:sz="0" w:space="0" w:color="auto"/>
                    <w:left w:val="none" w:sz="0" w:space="0" w:color="auto"/>
                    <w:bottom w:val="none" w:sz="0" w:space="0" w:color="auto"/>
                    <w:right w:val="none" w:sz="0" w:space="0" w:color="auto"/>
                  </w:divBdr>
                  <w:divsChild>
                    <w:div w:id="162401215">
                      <w:marLeft w:val="0"/>
                      <w:marRight w:val="0"/>
                      <w:marTop w:val="0"/>
                      <w:marBottom w:val="0"/>
                      <w:divBdr>
                        <w:top w:val="none" w:sz="0" w:space="0" w:color="auto"/>
                        <w:left w:val="none" w:sz="0" w:space="0" w:color="auto"/>
                        <w:bottom w:val="none" w:sz="0" w:space="0" w:color="auto"/>
                        <w:right w:val="none" w:sz="0" w:space="0" w:color="auto"/>
                      </w:divBdr>
                    </w:div>
                  </w:divsChild>
                </w:div>
                <w:div w:id="983898608">
                  <w:marLeft w:val="0"/>
                  <w:marRight w:val="0"/>
                  <w:marTop w:val="0"/>
                  <w:marBottom w:val="0"/>
                  <w:divBdr>
                    <w:top w:val="none" w:sz="0" w:space="0" w:color="auto"/>
                    <w:left w:val="none" w:sz="0" w:space="0" w:color="auto"/>
                    <w:bottom w:val="none" w:sz="0" w:space="0" w:color="auto"/>
                    <w:right w:val="none" w:sz="0" w:space="0" w:color="auto"/>
                  </w:divBdr>
                  <w:divsChild>
                    <w:div w:id="876116655">
                      <w:marLeft w:val="0"/>
                      <w:marRight w:val="0"/>
                      <w:marTop w:val="0"/>
                      <w:marBottom w:val="0"/>
                      <w:divBdr>
                        <w:top w:val="none" w:sz="0" w:space="0" w:color="auto"/>
                        <w:left w:val="none" w:sz="0" w:space="0" w:color="auto"/>
                        <w:bottom w:val="none" w:sz="0" w:space="0" w:color="auto"/>
                        <w:right w:val="none" w:sz="0" w:space="0" w:color="auto"/>
                      </w:divBdr>
                    </w:div>
                  </w:divsChild>
                </w:div>
                <w:div w:id="999968997">
                  <w:marLeft w:val="0"/>
                  <w:marRight w:val="0"/>
                  <w:marTop w:val="0"/>
                  <w:marBottom w:val="0"/>
                  <w:divBdr>
                    <w:top w:val="none" w:sz="0" w:space="0" w:color="auto"/>
                    <w:left w:val="none" w:sz="0" w:space="0" w:color="auto"/>
                    <w:bottom w:val="none" w:sz="0" w:space="0" w:color="auto"/>
                    <w:right w:val="none" w:sz="0" w:space="0" w:color="auto"/>
                  </w:divBdr>
                  <w:divsChild>
                    <w:div w:id="901332040">
                      <w:marLeft w:val="0"/>
                      <w:marRight w:val="0"/>
                      <w:marTop w:val="0"/>
                      <w:marBottom w:val="0"/>
                      <w:divBdr>
                        <w:top w:val="none" w:sz="0" w:space="0" w:color="auto"/>
                        <w:left w:val="none" w:sz="0" w:space="0" w:color="auto"/>
                        <w:bottom w:val="none" w:sz="0" w:space="0" w:color="auto"/>
                        <w:right w:val="none" w:sz="0" w:space="0" w:color="auto"/>
                      </w:divBdr>
                    </w:div>
                  </w:divsChild>
                </w:div>
                <w:div w:id="1001082961">
                  <w:marLeft w:val="0"/>
                  <w:marRight w:val="0"/>
                  <w:marTop w:val="0"/>
                  <w:marBottom w:val="0"/>
                  <w:divBdr>
                    <w:top w:val="none" w:sz="0" w:space="0" w:color="auto"/>
                    <w:left w:val="none" w:sz="0" w:space="0" w:color="auto"/>
                    <w:bottom w:val="none" w:sz="0" w:space="0" w:color="auto"/>
                    <w:right w:val="none" w:sz="0" w:space="0" w:color="auto"/>
                  </w:divBdr>
                  <w:divsChild>
                    <w:div w:id="2035226604">
                      <w:marLeft w:val="0"/>
                      <w:marRight w:val="0"/>
                      <w:marTop w:val="0"/>
                      <w:marBottom w:val="0"/>
                      <w:divBdr>
                        <w:top w:val="none" w:sz="0" w:space="0" w:color="auto"/>
                        <w:left w:val="none" w:sz="0" w:space="0" w:color="auto"/>
                        <w:bottom w:val="none" w:sz="0" w:space="0" w:color="auto"/>
                        <w:right w:val="none" w:sz="0" w:space="0" w:color="auto"/>
                      </w:divBdr>
                    </w:div>
                  </w:divsChild>
                </w:div>
                <w:div w:id="1027096411">
                  <w:marLeft w:val="0"/>
                  <w:marRight w:val="0"/>
                  <w:marTop w:val="0"/>
                  <w:marBottom w:val="0"/>
                  <w:divBdr>
                    <w:top w:val="none" w:sz="0" w:space="0" w:color="auto"/>
                    <w:left w:val="none" w:sz="0" w:space="0" w:color="auto"/>
                    <w:bottom w:val="none" w:sz="0" w:space="0" w:color="auto"/>
                    <w:right w:val="none" w:sz="0" w:space="0" w:color="auto"/>
                  </w:divBdr>
                  <w:divsChild>
                    <w:div w:id="577636794">
                      <w:marLeft w:val="0"/>
                      <w:marRight w:val="0"/>
                      <w:marTop w:val="0"/>
                      <w:marBottom w:val="0"/>
                      <w:divBdr>
                        <w:top w:val="none" w:sz="0" w:space="0" w:color="auto"/>
                        <w:left w:val="none" w:sz="0" w:space="0" w:color="auto"/>
                        <w:bottom w:val="none" w:sz="0" w:space="0" w:color="auto"/>
                        <w:right w:val="none" w:sz="0" w:space="0" w:color="auto"/>
                      </w:divBdr>
                    </w:div>
                  </w:divsChild>
                </w:div>
                <w:div w:id="1034773090">
                  <w:marLeft w:val="0"/>
                  <w:marRight w:val="0"/>
                  <w:marTop w:val="0"/>
                  <w:marBottom w:val="0"/>
                  <w:divBdr>
                    <w:top w:val="none" w:sz="0" w:space="0" w:color="auto"/>
                    <w:left w:val="none" w:sz="0" w:space="0" w:color="auto"/>
                    <w:bottom w:val="none" w:sz="0" w:space="0" w:color="auto"/>
                    <w:right w:val="none" w:sz="0" w:space="0" w:color="auto"/>
                  </w:divBdr>
                  <w:divsChild>
                    <w:div w:id="1250697146">
                      <w:marLeft w:val="0"/>
                      <w:marRight w:val="0"/>
                      <w:marTop w:val="0"/>
                      <w:marBottom w:val="0"/>
                      <w:divBdr>
                        <w:top w:val="none" w:sz="0" w:space="0" w:color="auto"/>
                        <w:left w:val="none" w:sz="0" w:space="0" w:color="auto"/>
                        <w:bottom w:val="none" w:sz="0" w:space="0" w:color="auto"/>
                        <w:right w:val="none" w:sz="0" w:space="0" w:color="auto"/>
                      </w:divBdr>
                    </w:div>
                  </w:divsChild>
                </w:div>
                <w:div w:id="1042366749">
                  <w:marLeft w:val="0"/>
                  <w:marRight w:val="0"/>
                  <w:marTop w:val="0"/>
                  <w:marBottom w:val="0"/>
                  <w:divBdr>
                    <w:top w:val="none" w:sz="0" w:space="0" w:color="auto"/>
                    <w:left w:val="none" w:sz="0" w:space="0" w:color="auto"/>
                    <w:bottom w:val="none" w:sz="0" w:space="0" w:color="auto"/>
                    <w:right w:val="none" w:sz="0" w:space="0" w:color="auto"/>
                  </w:divBdr>
                  <w:divsChild>
                    <w:div w:id="1105231666">
                      <w:marLeft w:val="0"/>
                      <w:marRight w:val="0"/>
                      <w:marTop w:val="0"/>
                      <w:marBottom w:val="0"/>
                      <w:divBdr>
                        <w:top w:val="none" w:sz="0" w:space="0" w:color="auto"/>
                        <w:left w:val="none" w:sz="0" w:space="0" w:color="auto"/>
                        <w:bottom w:val="none" w:sz="0" w:space="0" w:color="auto"/>
                        <w:right w:val="none" w:sz="0" w:space="0" w:color="auto"/>
                      </w:divBdr>
                    </w:div>
                  </w:divsChild>
                </w:div>
                <w:div w:id="1074744450">
                  <w:marLeft w:val="0"/>
                  <w:marRight w:val="0"/>
                  <w:marTop w:val="0"/>
                  <w:marBottom w:val="0"/>
                  <w:divBdr>
                    <w:top w:val="none" w:sz="0" w:space="0" w:color="auto"/>
                    <w:left w:val="none" w:sz="0" w:space="0" w:color="auto"/>
                    <w:bottom w:val="none" w:sz="0" w:space="0" w:color="auto"/>
                    <w:right w:val="none" w:sz="0" w:space="0" w:color="auto"/>
                  </w:divBdr>
                  <w:divsChild>
                    <w:div w:id="1716276608">
                      <w:marLeft w:val="0"/>
                      <w:marRight w:val="0"/>
                      <w:marTop w:val="0"/>
                      <w:marBottom w:val="0"/>
                      <w:divBdr>
                        <w:top w:val="none" w:sz="0" w:space="0" w:color="auto"/>
                        <w:left w:val="none" w:sz="0" w:space="0" w:color="auto"/>
                        <w:bottom w:val="none" w:sz="0" w:space="0" w:color="auto"/>
                        <w:right w:val="none" w:sz="0" w:space="0" w:color="auto"/>
                      </w:divBdr>
                    </w:div>
                  </w:divsChild>
                </w:div>
                <w:div w:id="1081293740">
                  <w:marLeft w:val="0"/>
                  <w:marRight w:val="0"/>
                  <w:marTop w:val="0"/>
                  <w:marBottom w:val="0"/>
                  <w:divBdr>
                    <w:top w:val="none" w:sz="0" w:space="0" w:color="auto"/>
                    <w:left w:val="none" w:sz="0" w:space="0" w:color="auto"/>
                    <w:bottom w:val="none" w:sz="0" w:space="0" w:color="auto"/>
                    <w:right w:val="none" w:sz="0" w:space="0" w:color="auto"/>
                  </w:divBdr>
                  <w:divsChild>
                    <w:div w:id="888297757">
                      <w:marLeft w:val="0"/>
                      <w:marRight w:val="0"/>
                      <w:marTop w:val="0"/>
                      <w:marBottom w:val="0"/>
                      <w:divBdr>
                        <w:top w:val="none" w:sz="0" w:space="0" w:color="auto"/>
                        <w:left w:val="none" w:sz="0" w:space="0" w:color="auto"/>
                        <w:bottom w:val="none" w:sz="0" w:space="0" w:color="auto"/>
                        <w:right w:val="none" w:sz="0" w:space="0" w:color="auto"/>
                      </w:divBdr>
                    </w:div>
                  </w:divsChild>
                </w:div>
                <w:div w:id="1109085174">
                  <w:marLeft w:val="0"/>
                  <w:marRight w:val="0"/>
                  <w:marTop w:val="0"/>
                  <w:marBottom w:val="0"/>
                  <w:divBdr>
                    <w:top w:val="none" w:sz="0" w:space="0" w:color="auto"/>
                    <w:left w:val="none" w:sz="0" w:space="0" w:color="auto"/>
                    <w:bottom w:val="none" w:sz="0" w:space="0" w:color="auto"/>
                    <w:right w:val="none" w:sz="0" w:space="0" w:color="auto"/>
                  </w:divBdr>
                  <w:divsChild>
                    <w:div w:id="962157596">
                      <w:marLeft w:val="0"/>
                      <w:marRight w:val="0"/>
                      <w:marTop w:val="0"/>
                      <w:marBottom w:val="0"/>
                      <w:divBdr>
                        <w:top w:val="none" w:sz="0" w:space="0" w:color="auto"/>
                        <w:left w:val="none" w:sz="0" w:space="0" w:color="auto"/>
                        <w:bottom w:val="none" w:sz="0" w:space="0" w:color="auto"/>
                        <w:right w:val="none" w:sz="0" w:space="0" w:color="auto"/>
                      </w:divBdr>
                    </w:div>
                  </w:divsChild>
                </w:div>
                <w:div w:id="1111390797">
                  <w:marLeft w:val="0"/>
                  <w:marRight w:val="0"/>
                  <w:marTop w:val="0"/>
                  <w:marBottom w:val="0"/>
                  <w:divBdr>
                    <w:top w:val="none" w:sz="0" w:space="0" w:color="auto"/>
                    <w:left w:val="none" w:sz="0" w:space="0" w:color="auto"/>
                    <w:bottom w:val="none" w:sz="0" w:space="0" w:color="auto"/>
                    <w:right w:val="none" w:sz="0" w:space="0" w:color="auto"/>
                  </w:divBdr>
                  <w:divsChild>
                    <w:div w:id="1601909455">
                      <w:marLeft w:val="0"/>
                      <w:marRight w:val="0"/>
                      <w:marTop w:val="0"/>
                      <w:marBottom w:val="0"/>
                      <w:divBdr>
                        <w:top w:val="none" w:sz="0" w:space="0" w:color="auto"/>
                        <w:left w:val="none" w:sz="0" w:space="0" w:color="auto"/>
                        <w:bottom w:val="none" w:sz="0" w:space="0" w:color="auto"/>
                        <w:right w:val="none" w:sz="0" w:space="0" w:color="auto"/>
                      </w:divBdr>
                    </w:div>
                  </w:divsChild>
                </w:div>
                <w:div w:id="1120030035">
                  <w:marLeft w:val="0"/>
                  <w:marRight w:val="0"/>
                  <w:marTop w:val="0"/>
                  <w:marBottom w:val="0"/>
                  <w:divBdr>
                    <w:top w:val="none" w:sz="0" w:space="0" w:color="auto"/>
                    <w:left w:val="none" w:sz="0" w:space="0" w:color="auto"/>
                    <w:bottom w:val="none" w:sz="0" w:space="0" w:color="auto"/>
                    <w:right w:val="none" w:sz="0" w:space="0" w:color="auto"/>
                  </w:divBdr>
                  <w:divsChild>
                    <w:div w:id="757360579">
                      <w:marLeft w:val="0"/>
                      <w:marRight w:val="0"/>
                      <w:marTop w:val="0"/>
                      <w:marBottom w:val="0"/>
                      <w:divBdr>
                        <w:top w:val="none" w:sz="0" w:space="0" w:color="auto"/>
                        <w:left w:val="none" w:sz="0" w:space="0" w:color="auto"/>
                        <w:bottom w:val="none" w:sz="0" w:space="0" w:color="auto"/>
                        <w:right w:val="none" w:sz="0" w:space="0" w:color="auto"/>
                      </w:divBdr>
                    </w:div>
                  </w:divsChild>
                </w:div>
                <w:div w:id="1138571596">
                  <w:marLeft w:val="0"/>
                  <w:marRight w:val="0"/>
                  <w:marTop w:val="0"/>
                  <w:marBottom w:val="0"/>
                  <w:divBdr>
                    <w:top w:val="none" w:sz="0" w:space="0" w:color="auto"/>
                    <w:left w:val="none" w:sz="0" w:space="0" w:color="auto"/>
                    <w:bottom w:val="none" w:sz="0" w:space="0" w:color="auto"/>
                    <w:right w:val="none" w:sz="0" w:space="0" w:color="auto"/>
                  </w:divBdr>
                  <w:divsChild>
                    <w:div w:id="47077811">
                      <w:marLeft w:val="0"/>
                      <w:marRight w:val="0"/>
                      <w:marTop w:val="0"/>
                      <w:marBottom w:val="0"/>
                      <w:divBdr>
                        <w:top w:val="none" w:sz="0" w:space="0" w:color="auto"/>
                        <w:left w:val="none" w:sz="0" w:space="0" w:color="auto"/>
                        <w:bottom w:val="none" w:sz="0" w:space="0" w:color="auto"/>
                        <w:right w:val="none" w:sz="0" w:space="0" w:color="auto"/>
                      </w:divBdr>
                    </w:div>
                  </w:divsChild>
                </w:div>
                <w:div w:id="1148665283">
                  <w:marLeft w:val="0"/>
                  <w:marRight w:val="0"/>
                  <w:marTop w:val="0"/>
                  <w:marBottom w:val="0"/>
                  <w:divBdr>
                    <w:top w:val="none" w:sz="0" w:space="0" w:color="auto"/>
                    <w:left w:val="none" w:sz="0" w:space="0" w:color="auto"/>
                    <w:bottom w:val="none" w:sz="0" w:space="0" w:color="auto"/>
                    <w:right w:val="none" w:sz="0" w:space="0" w:color="auto"/>
                  </w:divBdr>
                  <w:divsChild>
                    <w:div w:id="1330794467">
                      <w:marLeft w:val="0"/>
                      <w:marRight w:val="0"/>
                      <w:marTop w:val="0"/>
                      <w:marBottom w:val="0"/>
                      <w:divBdr>
                        <w:top w:val="none" w:sz="0" w:space="0" w:color="auto"/>
                        <w:left w:val="none" w:sz="0" w:space="0" w:color="auto"/>
                        <w:bottom w:val="none" w:sz="0" w:space="0" w:color="auto"/>
                        <w:right w:val="none" w:sz="0" w:space="0" w:color="auto"/>
                      </w:divBdr>
                    </w:div>
                  </w:divsChild>
                </w:div>
                <w:div w:id="1151360906">
                  <w:marLeft w:val="0"/>
                  <w:marRight w:val="0"/>
                  <w:marTop w:val="0"/>
                  <w:marBottom w:val="0"/>
                  <w:divBdr>
                    <w:top w:val="none" w:sz="0" w:space="0" w:color="auto"/>
                    <w:left w:val="none" w:sz="0" w:space="0" w:color="auto"/>
                    <w:bottom w:val="none" w:sz="0" w:space="0" w:color="auto"/>
                    <w:right w:val="none" w:sz="0" w:space="0" w:color="auto"/>
                  </w:divBdr>
                  <w:divsChild>
                    <w:div w:id="697394155">
                      <w:marLeft w:val="0"/>
                      <w:marRight w:val="0"/>
                      <w:marTop w:val="0"/>
                      <w:marBottom w:val="0"/>
                      <w:divBdr>
                        <w:top w:val="none" w:sz="0" w:space="0" w:color="auto"/>
                        <w:left w:val="none" w:sz="0" w:space="0" w:color="auto"/>
                        <w:bottom w:val="none" w:sz="0" w:space="0" w:color="auto"/>
                        <w:right w:val="none" w:sz="0" w:space="0" w:color="auto"/>
                      </w:divBdr>
                    </w:div>
                  </w:divsChild>
                </w:div>
                <w:div w:id="1178808787">
                  <w:marLeft w:val="0"/>
                  <w:marRight w:val="0"/>
                  <w:marTop w:val="0"/>
                  <w:marBottom w:val="0"/>
                  <w:divBdr>
                    <w:top w:val="none" w:sz="0" w:space="0" w:color="auto"/>
                    <w:left w:val="none" w:sz="0" w:space="0" w:color="auto"/>
                    <w:bottom w:val="none" w:sz="0" w:space="0" w:color="auto"/>
                    <w:right w:val="none" w:sz="0" w:space="0" w:color="auto"/>
                  </w:divBdr>
                  <w:divsChild>
                    <w:div w:id="479157396">
                      <w:marLeft w:val="0"/>
                      <w:marRight w:val="0"/>
                      <w:marTop w:val="0"/>
                      <w:marBottom w:val="0"/>
                      <w:divBdr>
                        <w:top w:val="none" w:sz="0" w:space="0" w:color="auto"/>
                        <w:left w:val="none" w:sz="0" w:space="0" w:color="auto"/>
                        <w:bottom w:val="none" w:sz="0" w:space="0" w:color="auto"/>
                        <w:right w:val="none" w:sz="0" w:space="0" w:color="auto"/>
                      </w:divBdr>
                    </w:div>
                  </w:divsChild>
                </w:div>
                <w:div w:id="1182478430">
                  <w:marLeft w:val="0"/>
                  <w:marRight w:val="0"/>
                  <w:marTop w:val="0"/>
                  <w:marBottom w:val="0"/>
                  <w:divBdr>
                    <w:top w:val="none" w:sz="0" w:space="0" w:color="auto"/>
                    <w:left w:val="none" w:sz="0" w:space="0" w:color="auto"/>
                    <w:bottom w:val="none" w:sz="0" w:space="0" w:color="auto"/>
                    <w:right w:val="none" w:sz="0" w:space="0" w:color="auto"/>
                  </w:divBdr>
                  <w:divsChild>
                    <w:div w:id="1428308952">
                      <w:marLeft w:val="0"/>
                      <w:marRight w:val="0"/>
                      <w:marTop w:val="0"/>
                      <w:marBottom w:val="0"/>
                      <w:divBdr>
                        <w:top w:val="none" w:sz="0" w:space="0" w:color="auto"/>
                        <w:left w:val="none" w:sz="0" w:space="0" w:color="auto"/>
                        <w:bottom w:val="none" w:sz="0" w:space="0" w:color="auto"/>
                        <w:right w:val="none" w:sz="0" w:space="0" w:color="auto"/>
                      </w:divBdr>
                    </w:div>
                  </w:divsChild>
                </w:div>
                <w:div w:id="1201288209">
                  <w:marLeft w:val="0"/>
                  <w:marRight w:val="0"/>
                  <w:marTop w:val="0"/>
                  <w:marBottom w:val="0"/>
                  <w:divBdr>
                    <w:top w:val="none" w:sz="0" w:space="0" w:color="auto"/>
                    <w:left w:val="none" w:sz="0" w:space="0" w:color="auto"/>
                    <w:bottom w:val="none" w:sz="0" w:space="0" w:color="auto"/>
                    <w:right w:val="none" w:sz="0" w:space="0" w:color="auto"/>
                  </w:divBdr>
                  <w:divsChild>
                    <w:div w:id="94447837">
                      <w:marLeft w:val="0"/>
                      <w:marRight w:val="0"/>
                      <w:marTop w:val="0"/>
                      <w:marBottom w:val="0"/>
                      <w:divBdr>
                        <w:top w:val="none" w:sz="0" w:space="0" w:color="auto"/>
                        <w:left w:val="none" w:sz="0" w:space="0" w:color="auto"/>
                        <w:bottom w:val="none" w:sz="0" w:space="0" w:color="auto"/>
                        <w:right w:val="none" w:sz="0" w:space="0" w:color="auto"/>
                      </w:divBdr>
                    </w:div>
                  </w:divsChild>
                </w:div>
                <w:div w:id="1210410700">
                  <w:marLeft w:val="0"/>
                  <w:marRight w:val="0"/>
                  <w:marTop w:val="0"/>
                  <w:marBottom w:val="0"/>
                  <w:divBdr>
                    <w:top w:val="none" w:sz="0" w:space="0" w:color="auto"/>
                    <w:left w:val="none" w:sz="0" w:space="0" w:color="auto"/>
                    <w:bottom w:val="none" w:sz="0" w:space="0" w:color="auto"/>
                    <w:right w:val="none" w:sz="0" w:space="0" w:color="auto"/>
                  </w:divBdr>
                  <w:divsChild>
                    <w:div w:id="1830974334">
                      <w:marLeft w:val="0"/>
                      <w:marRight w:val="0"/>
                      <w:marTop w:val="0"/>
                      <w:marBottom w:val="0"/>
                      <w:divBdr>
                        <w:top w:val="none" w:sz="0" w:space="0" w:color="auto"/>
                        <w:left w:val="none" w:sz="0" w:space="0" w:color="auto"/>
                        <w:bottom w:val="none" w:sz="0" w:space="0" w:color="auto"/>
                        <w:right w:val="none" w:sz="0" w:space="0" w:color="auto"/>
                      </w:divBdr>
                    </w:div>
                  </w:divsChild>
                </w:div>
                <w:div w:id="1213807959">
                  <w:marLeft w:val="0"/>
                  <w:marRight w:val="0"/>
                  <w:marTop w:val="0"/>
                  <w:marBottom w:val="0"/>
                  <w:divBdr>
                    <w:top w:val="none" w:sz="0" w:space="0" w:color="auto"/>
                    <w:left w:val="none" w:sz="0" w:space="0" w:color="auto"/>
                    <w:bottom w:val="none" w:sz="0" w:space="0" w:color="auto"/>
                    <w:right w:val="none" w:sz="0" w:space="0" w:color="auto"/>
                  </w:divBdr>
                  <w:divsChild>
                    <w:div w:id="1475372858">
                      <w:marLeft w:val="0"/>
                      <w:marRight w:val="0"/>
                      <w:marTop w:val="0"/>
                      <w:marBottom w:val="0"/>
                      <w:divBdr>
                        <w:top w:val="none" w:sz="0" w:space="0" w:color="auto"/>
                        <w:left w:val="none" w:sz="0" w:space="0" w:color="auto"/>
                        <w:bottom w:val="none" w:sz="0" w:space="0" w:color="auto"/>
                        <w:right w:val="none" w:sz="0" w:space="0" w:color="auto"/>
                      </w:divBdr>
                    </w:div>
                  </w:divsChild>
                </w:div>
                <w:div w:id="1214393428">
                  <w:marLeft w:val="0"/>
                  <w:marRight w:val="0"/>
                  <w:marTop w:val="0"/>
                  <w:marBottom w:val="0"/>
                  <w:divBdr>
                    <w:top w:val="none" w:sz="0" w:space="0" w:color="auto"/>
                    <w:left w:val="none" w:sz="0" w:space="0" w:color="auto"/>
                    <w:bottom w:val="none" w:sz="0" w:space="0" w:color="auto"/>
                    <w:right w:val="none" w:sz="0" w:space="0" w:color="auto"/>
                  </w:divBdr>
                  <w:divsChild>
                    <w:div w:id="1663579548">
                      <w:marLeft w:val="0"/>
                      <w:marRight w:val="0"/>
                      <w:marTop w:val="0"/>
                      <w:marBottom w:val="0"/>
                      <w:divBdr>
                        <w:top w:val="none" w:sz="0" w:space="0" w:color="auto"/>
                        <w:left w:val="none" w:sz="0" w:space="0" w:color="auto"/>
                        <w:bottom w:val="none" w:sz="0" w:space="0" w:color="auto"/>
                        <w:right w:val="none" w:sz="0" w:space="0" w:color="auto"/>
                      </w:divBdr>
                    </w:div>
                  </w:divsChild>
                </w:div>
                <w:div w:id="1220940811">
                  <w:marLeft w:val="0"/>
                  <w:marRight w:val="0"/>
                  <w:marTop w:val="0"/>
                  <w:marBottom w:val="0"/>
                  <w:divBdr>
                    <w:top w:val="none" w:sz="0" w:space="0" w:color="auto"/>
                    <w:left w:val="none" w:sz="0" w:space="0" w:color="auto"/>
                    <w:bottom w:val="none" w:sz="0" w:space="0" w:color="auto"/>
                    <w:right w:val="none" w:sz="0" w:space="0" w:color="auto"/>
                  </w:divBdr>
                  <w:divsChild>
                    <w:div w:id="876313003">
                      <w:marLeft w:val="0"/>
                      <w:marRight w:val="0"/>
                      <w:marTop w:val="0"/>
                      <w:marBottom w:val="0"/>
                      <w:divBdr>
                        <w:top w:val="none" w:sz="0" w:space="0" w:color="auto"/>
                        <w:left w:val="none" w:sz="0" w:space="0" w:color="auto"/>
                        <w:bottom w:val="none" w:sz="0" w:space="0" w:color="auto"/>
                        <w:right w:val="none" w:sz="0" w:space="0" w:color="auto"/>
                      </w:divBdr>
                    </w:div>
                  </w:divsChild>
                </w:div>
                <w:div w:id="1234776642">
                  <w:marLeft w:val="0"/>
                  <w:marRight w:val="0"/>
                  <w:marTop w:val="0"/>
                  <w:marBottom w:val="0"/>
                  <w:divBdr>
                    <w:top w:val="none" w:sz="0" w:space="0" w:color="auto"/>
                    <w:left w:val="none" w:sz="0" w:space="0" w:color="auto"/>
                    <w:bottom w:val="none" w:sz="0" w:space="0" w:color="auto"/>
                    <w:right w:val="none" w:sz="0" w:space="0" w:color="auto"/>
                  </w:divBdr>
                  <w:divsChild>
                    <w:div w:id="1950962826">
                      <w:marLeft w:val="0"/>
                      <w:marRight w:val="0"/>
                      <w:marTop w:val="0"/>
                      <w:marBottom w:val="0"/>
                      <w:divBdr>
                        <w:top w:val="none" w:sz="0" w:space="0" w:color="auto"/>
                        <w:left w:val="none" w:sz="0" w:space="0" w:color="auto"/>
                        <w:bottom w:val="none" w:sz="0" w:space="0" w:color="auto"/>
                        <w:right w:val="none" w:sz="0" w:space="0" w:color="auto"/>
                      </w:divBdr>
                    </w:div>
                  </w:divsChild>
                </w:div>
                <w:div w:id="1237277964">
                  <w:marLeft w:val="0"/>
                  <w:marRight w:val="0"/>
                  <w:marTop w:val="0"/>
                  <w:marBottom w:val="0"/>
                  <w:divBdr>
                    <w:top w:val="none" w:sz="0" w:space="0" w:color="auto"/>
                    <w:left w:val="none" w:sz="0" w:space="0" w:color="auto"/>
                    <w:bottom w:val="none" w:sz="0" w:space="0" w:color="auto"/>
                    <w:right w:val="none" w:sz="0" w:space="0" w:color="auto"/>
                  </w:divBdr>
                  <w:divsChild>
                    <w:div w:id="1548176905">
                      <w:marLeft w:val="0"/>
                      <w:marRight w:val="0"/>
                      <w:marTop w:val="0"/>
                      <w:marBottom w:val="0"/>
                      <w:divBdr>
                        <w:top w:val="none" w:sz="0" w:space="0" w:color="auto"/>
                        <w:left w:val="none" w:sz="0" w:space="0" w:color="auto"/>
                        <w:bottom w:val="none" w:sz="0" w:space="0" w:color="auto"/>
                        <w:right w:val="none" w:sz="0" w:space="0" w:color="auto"/>
                      </w:divBdr>
                    </w:div>
                  </w:divsChild>
                </w:div>
                <w:div w:id="1242132997">
                  <w:marLeft w:val="0"/>
                  <w:marRight w:val="0"/>
                  <w:marTop w:val="0"/>
                  <w:marBottom w:val="0"/>
                  <w:divBdr>
                    <w:top w:val="none" w:sz="0" w:space="0" w:color="auto"/>
                    <w:left w:val="none" w:sz="0" w:space="0" w:color="auto"/>
                    <w:bottom w:val="none" w:sz="0" w:space="0" w:color="auto"/>
                    <w:right w:val="none" w:sz="0" w:space="0" w:color="auto"/>
                  </w:divBdr>
                  <w:divsChild>
                    <w:div w:id="1558202625">
                      <w:marLeft w:val="0"/>
                      <w:marRight w:val="0"/>
                      <w:marTop w:val="0"/>
                      <w:marBottom w:val="0"/>
                      <w:divBdr>
                        <w:top w:val="none" w:sz="0" w:space="0" w:color="auto"/>
                        <w:left w:val="none" w:sz="0" w:space="0" w:color="auto"/>
                        <w:bottom w:val="none" w:sz="0" w:space="0" w:color="auto"/>
                        <w:right w:val="none" w:sz="0" w:space="0" w:color="auto"/>
                      </w:divBdr>
                    </w:div>
                  </w:divsChild>
                </w:div>
                <w:div w:id="1243029352">
                  <w:marLeft w:val="0"/>
                  <w:marRight w:val="0"/>
                  <w:marTop w:val="0"/>
                  <w:marBottom w:val="0"/>
                  <w:divBdr>
                    <w:top w:val="none" w:sz="0" w:space="0" w:color="auto"/>
                    <w:left w:val="none" w:sz="0" w:space="0" w:color="auto"/>
                    <w:bottom w:val="none" w:sz="0" w:space="0" w:color="auto"/>
                    <w:right w:val="none" w:sz="0" w:space="0" w:color="auto"/>
                  </w:divBdr>
                  <w:divsChild>
                    <w:div w:id="930895947">
                      <w:marLeft w:val="0"/>
                      <w:marRight w:val="0"/>
                      <w:marTop w:val="0"/>
                      <w:marBottom w:val="0"/>
                      <w:divBdr>
                        <w:top w:val="none" w:sz="0" w:space="0" w:color="auto"/>
                        <w:left w:val="none" w:sz="0" w:space="0" w:color="auto"/>
                        <w:bottom w:val="none" w:sz="0" w:space="0" w:color="auto"/>
                        <w:right w:val="none" w:sz="0" w:space="0" w:color="auto"/>
                      </w:divBdr>
                    </w:div>
                  </w:divsChild>
                </w:div>
                <w:div w:id="1261716464">
                  <w:marLeft w:val="0"/>
                  <w:marRight w:val="0"/>
                  <w:marTop w:val="0"/>
                  <w:marBottom w:val="0"/>
                  <w:divBdr>
                    <w:top w:val="none" w:sz="0" w:space="0" w:color="auto"/>
                    <w:left w:val="none" w:sz="0" w:space="0" w:color="auto"/>
                    <w:bottom w:val="none" w:sz="0" w:space="0" w:color="auto"/>
                    <w:right w:val="none" w:sz="0" w:space="0" w:color="auto"/>
                  </w:divBdr>
                  <w:divsChild>
                    <w:div w:id="616719646">
                      <w:marLeft w:val="0"/>
                      <w:marRight w:val="0"/>
                      <w:marTop w:val="0"/>
                      <w:marBottom w:val="0"/>
                      <w:divBdr>
                        <w:top w:val="none" w:sz="0" w:space="0" w:color="auto"/>
                        <w:left w:val="none" w:sz="0" w:space="0" w:color="auto"/>
                        <w:bottom w:val="none" w:sz="0" w:space="0" w:color="auto"/>
                        <w:right w:val="none" w:sz="0" w:space="0" w:color="auto"/>
                      </w:divBdr>
                    </w:div>
                  </w:divsChild>
                </w:div>
                <w:div w:id="1265922394">
                  <w:marLeft w:val="0"/>
                  <w:marRight w:val="0"/>
                  <w:marTop w:val="0"/>
                  <w:marBottom w:val="0"/>
                  <w:divBdr>
                    <w:top w:val="none" w:sz="0" w:space="0" w:color="auto"/>
                    <w:left w:val="none" w:sz="0" w:space="0" w:color="auto"/>
                    <w:bottom w:val="none" w:sz="0" w:space="0" w:color="auto"/>
                    <w:right w:val="none" w:sz="0" w:space="0" w:color="auto"/>
                  </w:divBdr>
                  <w:divsChild>
                    <w:div w:id="1781803883">
                      <w:marLeft w:val="0"/>
                      <w:marRight w:val="0"/>
                      <w:marTop w:val="0"/>
                      <w:marBottom w:val="0"/>
                      <w:divBdr>
                        <w:top w:val="none" w:sz="0" w:space="0" w:color="auto"/>
                        <w:left w:val="none" w:sz="0" w:space="0" w:color="auto"/>
                        <w:bottom w:val="none" w:sz="0" w:space="0" w:color="auto"/>
                        <w:right w:val="none" w:sz="0" w:space="0" w:color="auto"/>
                      </w:divBdr>
                    </w:div>
                  </w:divsChild>
                </w:div>
                <w:div w:id="1268152818">
                  <w:marLeft w:val="0"/>
                  <w:marRight w:val="0"/>
                  <w:marTop w:val="0"/>
                  <w:marBottom w:val="0"/>
                  <w:divBdr>
                    <w:top w:val="none" w:sz="0" w:space="0" w:color="auto"/>
                    <w:left w:val="none" w:sz="0" w:space="0" w:color="auto"/>
                    <w:bottom w:val="none" w:sz="0" w:space="0" w:color="auto"/>
                    <w:right w:val="none" w:sz="0" w:space="0" w:color="auto"/>
                  </w:divBdr>
                  <w:divsChild>
                    <w:div w:id="768476673">
                      <w:marLeft w:val="0"/>
                      <w:marRight w:val="0"/>
                      <w:marTop w:val="0"/>
                      <w:marBottom w:val="0"/>
                      <w:divBdr>
                        <w:top w:val="none" w:sz="0" w:space="0" w:color="auto"/>
                        <w:left w:val="none" w:sz="0" w:space="0" w:color="auto"/>
                        <w:bottom w:val="none" w:sz="0" w:space="0" w:color="auto"/>
                        <w:right w:val="none" w:sz="0" w:space="0" w:color="auto"/>
                      </w:divBdr>
                    </w:div>
                  </w:divsChild>
                </w:div>
                <w:div w:id="1277132472">
                  <w:marLeft w:val="0"/>
                  <w:marRight w:val="0"/>
                  <w:marTop w:val="0"/>
                  <w:marBottom w:val="0"/>
                  <w:divBdr>
                    <w:top w:val="none" w:sz="0" w:space="0" w:color="auto"/>
                    <w:left w:val="none" w:sz="0" w:space="0" w:color="auto"/>
                    <w:bottom w:val="none" w:sz="0" w:space="0" w:color="auto"/>
                    <w:right w:val="none" w:sz="0" w:space="0" w:color="auto"/>
                  </w:divBdr>
                  <w:divsChild>
                    <w:div w:id="1313221540">
                      <w:marLeft w:val="0"/>
                      <w:marRight w:val="0"/>
                      <w:marTop w:val="0"/>
                      <w:marBottom w:val="0"/>
                      <w:divBdr>
                        <w:top w:val="none" w:sz="0" w:space="0" w:color="auto"/>
                        <w:left w:val="none" w:sz="0" w:space="0" w:color="auto"/>
                        <w:bottom w:val="none" w:sz="0" w:space="0" w:color="auto"/>
                        <w:right w:val="none" w:sz="0" w:space="0" w:color="auto"/>
                      </w:divBdr>
                    </w:div>
                  </w:divsChild>
                </w:div>
                <w:div w:id="1284002920">
                  <w:marLeft w:val="0"/>
                  <w:marRight w:val="0"/>
                  <w:marTop w:val="0"/>
                  <w:marBottom w:val="0"/>
                  <w:divBdr>
                    <w:top w:val="none" w:sz="0" w:space="0" w:color="auto"/>
                    <w:left w:val="none" w:sz="0" w:space="0" w:color="auto"/>
                    <w:bottom w:val="none" w:sz="0" w:space="0" w:color="auto"/>
                    <w:right w:val="none" w:sz="0" w:space="0" w:color="auto"/>
                  </w:divBdr>
                  <w:divsChild>
                    <w:div w:id="802429659">
                      <w:marLeft w:val="0"/>
                      <w:marRight w:val="0"/>
                      <w:marTop w:val="0"/>
                      <w:marBottom w:val="0"/>
                      <w:divBdr>
                        <w:top w:val="none" w:sz="0" w:space="0" w:color="auto"/>
                        <w:left w:val="none" w:sz="0" w:space="0" w:color="auto"/>
                        <w:bottom w:val="none" w:sz="0" w:space="0" w:color="auto"/>
                        <w:right w:val="none" w:sz="0" w:space="0" w:color="auto"/>
                      </w:divBdr>
                    </w:div>
                  </w:divsChild>
                </w:div>
                <w:div w:id="1286539797">
                  <w:marLeft w:val="0"/>
                  <w:marRight w:val="0"/>
                  <w:marTop w:val="0"/>
                  <w:marBottom w:val="0"/>
                  <w:divBdr>
                    <w:top w:val="none" w:sz="0" w:space="0" w:color="auto"/>
                    <w:left w:val="none" w:sz="0" w:space="0" w:color="auto"/>
                    <w:bottom w:val="none" w:sz="0" w:space="0" w:color="auto"/>
                    <w:right w:val="none" w:sz="0" w:space="0" w:color="auto"/>
                  </w:divBdr>
                  <w:divsChild>
                    <w:div w:id="1827428357">
                      <w:marLeft w:val="0"/>
                      <w:marRight w:val="0"/>
                      <w:marTop w:val="0"/>
                      <w:marBottom w:val="0"/>
                      <w:divBdr>
                        <w:top w:val="none" w:sz="0" w:space="0" w:color="auto"/>
                        <w:left w:val="none" w:sz="0" w:space="0" w:color="auto"/>
                        <w:bottom w:val="none" w:sz="0" w:space="0" w:color="auto"/>
                        <w:right w:val="none" w:sz="0" w:space="0" w:color="auto"/>
                      </w:divBdr>
                    </w:div>
                  </w:divsChild>
                </w:div>
                <w:div w:id="1298952472">
                  <w:marLeft w:val="0"/>
                  <w:marRight w:val="0"/>
                  <w:marTop w:val="0"/>
                  <w:marBottom w:val="0"/>
                  <w:divBdr>
                    <w:top w:val="none" w:sz="0" w:space="0" w:color="auto"/>
                    <w:left w:val="none" w:sz="0" w:space="0" w:color="auto"/>
                    <w:bottom w:val="none" w:sz="0" w:space="0" w:color="auto"/>
                    <w:right w:val="none" w:sz="0" w:space="0" w:color="auto"/>
                  </w:divBdr>
                  <w:divsChild>
                    <w:div w:id="1433932596">
                      <w:marLeft w:val="0"/>
                      <w:marRight w:val="0"/>
                      <w:marTop w:val="0"/>
                      <w:marBottom w:val="0"/>
                      <w:divBdr>
                        <w:top w:val="none" w:sz="0" w:space="0" w:color="auto"/>
                        <w:left w:val="none" w:sz="0" w:space="0" w:color="auto"/>
                        <w:bottom w:val="none" w:sz="0" w:space="0" w:color="auto"/>
                        <w:right w:val="none" w:sz="0" w:space="0" w:color="auto"/>
                      </w:divBdr>
                    </w:div>
                  </w:divsChild>
                </w:div>
                <w:div w:id="1306278683">
                  <w:marLeft w:val="0"/>
                  <w:marRight w:val="0"/>
                  <w:marTop w:val="0"/>
                  <w:marBottom w:val="0"/>
                  <w:divBdr>
                    <w:top w:val="none" w:sz="0" w:space="0" w:color="auto"/>
                    <w:left w:val="none" w:sz="0" w:space="0" w:color="auto"/>
                    <w:bottom w:val="none" w:sz="0" w:space="0" w:color="auto"/>
                    <w:right w:val="none" w:sz="0" w:space="0" w:color="auto"/>
                  </w:divBdr>
                  <w:divsChild>
                    <w:div w:id="221604046">
                      <w:marLeft w:val="0"/>
                      <w:marRight w:val="0"/>
                      <w:marTop w:val="0"/>
                      <w:marBottom w:val="0"/>
                      <w:divBdr>
                        <w:top w:val="none" w:sz="0" w:space="0" w:color="auto"/>
                        <w:left w:val="none" w:sz="0" w:space="0" w:color="auto"/>
                        <w:bottom w:val="none" w:sz="0" w:space="0" w:color="auto"/>
                        <w:right w:val="none" w:sz="0" w:space="0" w:color="auto"/>
                      </w:divBdr>
                    </w:div>
                  </w:divsChild>
                </w:div>
                <w:div w:id="1316642789">
                  <w:marLeft w:val="0"/>
                  <w:marRight w:val="0"/>
                  <w:marTop w:val="0"/>
                  <w:marBottom w:val="0"/>
                  <w:divBdr>
                    <w:top w:val="none" w:sz="0" w:space="0" w:color="auto"/>
                    <w:left w:val="none" w:sz="0" w:space="0" w:color="auto"/>
                    <w:bottom w:val="none" w:sz="0" w:space="0" w:color="auto"/>
                    <w:right w:val="none" w:sz="0" w:space="0" w:color="auto"/>
                  </w:divBdr>
                  <w:divsChild>
                    <w:div w:id="1760102973">
                      <w:marLeft w:val="0"/>
                      <w:marRight w:val="0"/>
                      <w:marTop w:val="0"/>
                      <w:marBottom w:val="0"/>
                      <w:divBdr>
                        <w:top w:val="none" w:sz="0" w:space="0" w:color="auto"/>
                        <w:left w:val="none" w:sz="0" w:space="0" w:color="auto"/>
                        <w:bottom w:val="none" w:sz="0" w:space="0" w:color="auto"/>
                        <w:right w:val="none" w:sz="0" w:space="0" w:color="auto"/>
                      </w:divBdr>
                    </w:div>
                  </w:divsChild>
                </w:div>
                <w:div w:id="1318874331">
                  <w:marLeft w:val="0"/>
                  <w:marRight w:val="0"/>
                  <w:marTop w:val="0"/>
                  <w:marBottom w:val="0"/>
                  <w:divBdr>
                    <w:top w:val="none" w:sz="0" w:space="0" w:color="auto"/>
                    <w:left w:val="none" w:sz="0" w:space="0" w:color="auto"/>
                    <w:bottom w:val="none" w:sz="0" w:space="0" w:color="auto"/>
                    <w:right w:val="none" w:sz="0" w:space="0" w:color="auto"/>
                  </w:divBdr>
                  <w:divsChild>
                    <w:div w:id="294719678">
                      <w:marLeft w:val="0"/>
                      <w:marRight w:val="0"/>
                      <w:marTop w:val="0"/>
                      <w:marBottom w:val="0"/>
                      <w:divBdr>
                        <w:top w:val="none" w:sz="0" w:space="0" w:color="auto"/>
                        <w:left w:val="none" w:sz="0" w:space="0" w:color="auto"/>
                        <w:bottom w:val="none" w:sz="0" w:space="0" w:color="auto"/>
                        <w:right w:val="none" w:sz="0" w:space="0" w:color="auto"/>
                      </w:divBdr>
                    </w:div>
                  </w:divsChild>
                </w:div>
                <w:div w:id="1338653985">
                  <w:marLeft w:val="0"/>
                  <w:marRight w:val="0"/>
                  <w:marTop w:val="0"/>
                  <w:marBottom w:val="0"/>
                  <w:divBdr>
                    <w:top w:val="none" w:sz="0" w:space="0" w:color="auto"/>
                    <w:left w:val="none" w:sz="0" w:space="0" w:color="auto"/>
                    <w:bottom w:val="none" w:sz="0" w:space="0" w:color="auto"/>
                    <w:right w:val="none" w:sz="0" w:space="0" w:color="auto"/>
                  </w:divBdr>
                  <w:divsChild>
                    <w:div w:id="341275925">
                      <w:marLeft w:val="0"/>
                      <w:marRight w:val="0"/>
                      <w:marTop w:val="0"/>
                      <w:marBottom w:val="0"/>
                      <w:divBdr>
                        <w:top w:val="none" w:sz="0" w:space="0" w:color="auto"/>
                        <w:left w:val="none" w:sz="0" w:space="0" w:color="auto"/>
                        <w:bottom w:val="none" w:sz="0" w:space="0" w:color="auto"/>
                        <w:right w:val="none" w:sz="0" w:space="0" w:color="auto"/>
                      </w:divBdr>
                    </w:div>
                  </w:divsChild>
                </w:div>
                <w:div w:id="1352561367">
                  <w:marLeft w:val="0"/>
                  <w:marRight w:val="0"/>
                  <w:marTop w:val="0"/>
                  <w:marBottom w:val="0"/>
                  <w:divBdr>
                    <w:top w:val="none" w:sz="0" w:space="0" w:color="auto"/>
                    <w:left w:val="none" w:sz="0" w:space="0" w:color="auto"/>
                    <w:bottom w:val="none" w:sz="0" w:space="0" w:color="auto"/>
                    <w:right w:val="none" w:sz="0" w:space="0" w:color="auto"/>
                  </w:divBdr>
                  <w:divsChild>
                    <w:div w:id="151455682">
                      <w:marLeft w:val="0"/>
                      <w:marRight w:val="0"/>
                      <w:marTop w:val="0"/>
                      <w:marBottom w:val="0"/>
                      <w:divBdr>
                        <w:top w:val="none" w:sz="0" w:space="0" w:color="auto"/>
                        <w:left w:val="none" w:sz="0" w:space="0" w:color="auto"/>
                        <w:bottom w:val="none" w:sz="0" w:space="0" w:color="auto"/>
                        <w:right w:val="none" w:sz="0" w:space="0" w:color="auto"/>
                      </w:divBdr>
                    </w:div>
                    <w:div w:id="184560240">
                      <w:marLeft w:val="0"/>
                      <w:marRight w:val="0"/>
                      <w:marTop w:val="0"/>
                      <w:marBottom w:val="0"/>
                      <w:divBdr>
                        <w:top w:val="none" w:sz="0" w:space="0" w:color="auto"/>
                        <w:left w:val="none" w:sz="0" w:space="0" w:color="auto"/>
                        <w:bottom w:val="none" w:sz="0" w:space="0" w:color="auto"/>
                        <w:right w:val="none" w:sz="0" w:space="0" w:color="auto"/>
                      </w:divBdr>
                    </w:div>
                    <w:div w:id="542641639">
                      <w:marLeft w:val="0"/>
                      <w:marRight w:val="0"/>
                      <w:marTop w:val="0"/>
                      <w:marBottom w:val="0"/>
                      <w:divBdr>
                        <w:top w:val="none" w:sz="0" w:space="0" w:color="auto"/>
                        <w:left w:val="none" w:sz="0" w:space="0" w:color="auto"/>
                        <w:bottom w:val="none" w:sz="0" w:space="0" w:color="auto"/>
                        <w:right w:val="none" w:sz="0" w:space="0" w:color="auto"/>
                      </w:divBdr>
                    </w:div>
                    <w:div w:id="789318749">
                      <w:marLeft w:val="0"/>
                      <w:marRight w:val="0"/>
                      <w:marTop w:val="0"/>
                      <w:marBottom w:val="0"/>
                      <w:divBdr>
                        <w:top w:val="none" w:sz="0" w:space="0" w:color="auto"/>
                        <w:left w:val="none" w:sz="0" w:space="0" w:color="auto"/>
                        <w:bottom w:val="none" w:sz="0" w:space="0" w:color="auto"/>
                        <w:right w:val="none" w:sz="0" w:space="0" w:color="auto"/>
                      </w:divBdr>
                    </w:div>
                    <w:div w:id="1111045876">
                      <w:marLeft w:val="0"/>
                      <w:marRight w:val="0"/>
                      <w:marTop w:val="0"/>
                      <w:marBottom w:val="0"/>
                      <w:divBdr>
                        <w:top w:val="none" w:sz="0" w:space="0" w:color="auto"/>
                        <w:left w:val="none" w:sz="0" w:space="0" w:color="auto"/>
                        <w:bottom w:val="none" w:sz="0" w:space="0" w:color="auto"/>
                        <w:right w:val="none" w:sz="0" w:space="0" w:color="auto"/>
                      </w:divBdr>
                    </w:div>
                    <w:div w:id="1266959942">
                      <w:marLeft w:val="0"/>
                      <w:marRight w:val="0"/>
                      <w:marTop w:val="0"/>
                      <w:marBottom w:val="0"/>
                      <w:divBdr>
                        <w:top w:val="none" w:sz="0" w:space="0" w:color="auto"/>
                        <w:left w:val="none" w:sz="0" w:space="0" w:color="auto"/>
                        <w:bottom w:val="none" w:sz="0" w:space="0" w:color="auto"/>
                        <w:right w:val="none" w:sz="0" w:space="0" w:color="auto"/>
                      </w:divBdr>
                    </w:div>
                    <w:div w:id="1681078214">
                      <w:marLeft w:val="0"/>
                      <w:marRight w:val="0"/>
                      <w:marTop w:val="0"/>
                      <w:marBottom w:val="0"/>
                      <w:divBdr>
                        <w:top w:val="none" w:sz="0" w:space="0" w:color="auto"/>
                        <w:left w:val="none" w:sz="0" w:space="0" w:color="auto"/>
                        <w:bottom w:val="none" w:sz="0" w:space="0" w:color="auto"/>
                        <w:right w:val="none" w:sz="0" w:space="0" w:color="auto"/>
                      </w:divBdr>
                    </w:div>
                    <w:div w:id="1745255663">
                      <w:marLeft w:val="0"/>
                      <w:marRight w:val="0"/>
                      <w:marTop w:val="0"/>
                      <w:marBottom w:val="0"/>
                      <w:divBdr>
                        <w:top w:val="none" w:sz="0" w:space="0" w:color="auto"/>
                        <w:left w:val="none" w:sz="0" w:space="0" w:color="auto"/>
                        <w:bottom w:val="none" w:sz="0" w:space="0" w:color="auto"/>
                        <w:right w:val="none" w:sz="0" w:space="0" w:color="auto"/>
                      </w:divBdr>
                    </w:div>
                    <w:div w:id="1918436398">
                      <w:marLeft w:val="0"/>
                      <w:marRight w:val="0"/>
                      <w:marTop w:val="0"/>
                      <w:marBottom w:val="0"/>
                      <w:divBdr>
                        <w:top w:val="none" w:sz="0" w:space="0" w:color="auto"/>
                        <w:left w:val="none" w:sz="0" w:space="0" w:color="auto"/>
                        <w:bottom w:val="none" w:sz="0" w:space="0" w:color="auto"/>
                        <w:right w:val="none" w:sz="0" w:space="0" w:color="auto"/>
                      </w:divBdr>
                    </w:div>
                  </w:divsChild>
                </w:div>
                <w:div w:id="1362239206">
                  <w:marLeft w:val="0"/>
                  <w:marRight w:val="0"/>
                  <w:marTop w:val="0"/>
                  <w:marBottom w:val="0"/>
                  <w:divBdr>
                    <w:top w:val="none" w:sz="0" w:space="0" w:color="auto"/>
                    <w:left w:val="none" w:sz="0" w:space="0" w:color="auto"/>
                    <w:bottom w:val="none" w:sz="0" w:space="0" w:color="auto"/>
                    <w:right w:val="none" w:sz="0" w:space="0" w:color="auto"/>
                  </w:divBdr>
                  <w:divsChild>
                    <w:div w:id="386225961">
                      <w:marLeft w:val="0"/>
                      <w:marRight w:val="0"/>
                      <w:marTop w:val="0"/>
                      <w:marBottom w:val="0"/>
                      <w:divBdr>
                        <w:top w:val="none" w:sz="0" w:space="0" w:color="auto"/>
                        <w:left w:val="none" w:sz="0" w:space="0" w:color="auto"/>
                        <w:bottom w:val="none" w:sz="0" w:space="0" w:color="auto"/>
                        <w:right w:val="none" w:sz="0" w:space="0" w:color="auto"/>
                      </w:divBdr>
                    </w:div>
                  </w:divsChild>
                </w:div>
                <w:div w:id="1362701203">
                  <w:marLeft w:val="0"/>
                  <w:marRight w:val="0"/>
                  <w:marTop w:val="0"/>
                  <w:marBottom w:val="0"/>
                  <w:divBdr>
                    <w:top w:val="none" w:sz="0" w:space="0" w:color="auto"/>
                    <w:left w:val="none" w:sz="0" w:space="0" w:color="auto"/>
                    <w:bottom w:val="none" w:sz="0" w:space="0" w:color="auto"/>
                    <w:right w:val="none" w:sz="0" w:space="0" w:color="auto"/>
                  </w:divBdr>
                  <w:divsChild>
                    <w:div w:id="2111586190">
                      <w:marLeft w:val="0"/>
                      <w:marRight w:val="0"/>
                      <w:marTop w:val="0"/>
                      <w:marBottom w:val="0"/>
                      <w:divBdr>
                        <w:top w:val="none" w:sz="0" w:space="0" w:color="auto"/>
                        <w:left w:val="none" w:sz="0" w:space="0" w:color="auto"/>
                        <w:bottom w:val="none" w:sz="0" w:space="0" w:color="auto"/>
                        <w:right w:val="none" w:sz="0" w:space="0" w:color="auto"/>
                      </w:divBdr>
                    </w:div>
                  </w:divsChild>
                </w:div>
                <w:div w:id="1368291897">
                  <w:marLeft w:val="0"/>
                  <w:marRight w:val="0"/>
                  <w:marTop w:val="0"/>
                  <w:marBottom w:val="0"/>
                  <w:divBdr>
                    <w:top w:val="none" w:sz="0" w:space="0" w:color="auto"/>
                    <w:left w:val="none" w:sz="0" w:space="0" w:color="auto"/>
                    <w:bottom w:val="none" w:sz="0" w:space="0" w:color="auto"/>
                    <w:right w:val="none" w:sz="0" w:space="0" w:color="auto"/>
                  </w:divBdr>
                  <w:divsChild>
                    <w:div w:id="547377620">
                      <w:marLeft w:val="0"/>
                      <w:marRight w:val="0"/>
                      <w:marTop w:val="0"/>
                      <w:marBottom w:val="0"/>
                      <w:divBdr>
                        <w:top w:val="none" w:sz="0" w:space="0" w:color="auto"/>
                        <w:left w:val="none" w:sz="0" w:space="0" w:color="auto"/>
                        <w:bottom w:val="none" w:sz="0" w:space="0" w:color="auto"/>
                        <w:right w:val="none" w:sz="0" w:space="0" w:color="auto"/>
                      </w:divBdr>
                    </w:div>
                  </w:divsChild>
                </w:div>
                <w:div w:id="1392272463">
                  <w:marLeft w:val="0"/>
                  <w:marRight w:val="0"/>
                  <w:marTop w:val="0"/>
                  <w:marBottom w:val="0"/>
                  <w:divBdr>
                    <w:top w:val="none" w:sz="0" w:space="0" w:color="auto"/>
                    <w:left w:val="none" w:sz="0" w:space="0" w:color="auto"/>
                    <w:bottom w:val="none" w:sz="0" w:space="0" w:color="auto"/>
                    <w:right w:val="none" w:sz="0" w:space="0" w:color="auto"/>
                  </w:divBdr>
                  <w:divsChild>
                    <w:div w:id="1160342100">
                      <w:marLeft w:val="0"/>
                      <w:marRight w:val="0"/>
                      <w:marTop w:val="0"/>
                      <w:marBottom w:val="0"/>
                      <w:divBdr>
                        <w:top w:val="none" w:sz="0" w:space="0" w:color="auto"/>
                        <w:left w:val="none" w:sz="0" w:space="0" w:color="auto"/>
                        <w:bottom w:val="none" w:sz="0" w:space="0" w:color="auto"/>
                        <w:right w:val="none" w:sz="0" w:space="0" w:color="auto"/>
                      </w:divBdr>
                    </w:div>
                  </w:divsChild>
                </w:div>
                <w:div w:id="1396120415">
                  <w:marLeft w:val="0"/>
                  <w:marRight w:val="0"/>
                  <w:marTop w:val="0"/>
                  <w:marBottom w:val="0"/>
                  <w:divBdr>
                    <w:top w:val="none" w:sz="0" w:space="0" w:color="auto"/>
                    <w:left w:val="none" w:sz="0" w:space="0" w:color="auto"/>
                    <w:bottom w:val="none" w:sz="0" w:space="0" w:color="auto"/>
                    <w:right w:val="none" w:sz="0" w:space="0" w:color="auto"/>
                  </w:divBdr>
                  <w:divsChild>
                    <w:div w:id="150223114">
                      <w:marLeft w:val="0"/>
                      <w:marRight w:val="0"/>
                      <w:marTop w:val="0"/>
                      <w:marBottom w:val="0"/>
                      <w:divBdr>
                        <w:top w:val="none" w:sz="0" w:space="0" w:color="auto"/>
                        <w:left w:val="none" w:sz="0" w:space="0" w:color="auto"/>
                        <w:bottom w:val="none" w:sz="0" w:space="0" w:color="auto"/>
                        <w:right w:val="none" w:sz="0" w:space="0" w:color="auto"/>
                      </w:divBdr>
                    </w:div>
                  </w:divsChild>
                </w:div>
                <w:div w:id="1411197800">
                  <w:marLeft w:val="0"/>
                  <w:marRight w:val="0"/>
                  <w:marTop w:val="0"/>
                  <w:marBottom w:val="0"/>
                  <w:divBdr>
                    <w:top w:val="none" w:sz="0" w:space="0" w:color="auto"/>
                    <w:left w:val="none" w:sz="0" w:space="0" w:color="auto"/>
                    <w:bottom w:val="none" w:sz="0" w:space="0" w:color="auto"/>
                    <w:right w:val="none" w:sz="0" w:space="0" w:color="auto"/>
                  </w:divBdr>
                  <w:divsChild>
                    <w:div w:id="236520117">
                      <w:marLeft w:val="0"/>
                      <w:marRight w:val="0"/>
                      <w:marTop w:val="0"/>
                      <w:marBottom w:val="0"/>
                      <w:divBdr>
                        <w:top w:val="none" w:sz="0" w:space="0" w:color="auto"/>
                        <w:left w:val="none" w:sz="0" w:space="0" w:color="auto"/>
                        <w:bottom w:val="none" w:sz="0" w:space="0" w:color="auto"/>
                        <w:right w:val="none" w:sz="0" w:space="0" w:color="auto"/>
                      </w:divBdr>
                    </w:div>
                  </w:divsChild>
                </w:div>
                <w:div w:id="1413697180">
                  <w:marLeft w:val="0"/>
                  <w:marRight w:val="0"/>
                  <w:marTop w:val="0"/>
                  <w:marBottom w:val="0"/>
                  <w:divBdr>
                    <w:top w:val="none" w:sz="0" w:space="0" w:color="auto"/>
                    <w:left w:val="none" w:sz="0" w:space="0" w:color="auto"/>
                    <w:bottom w:val="none" w:sz="0" w:space="0" w:color="auto"/>
                    <w:right w:val="none" w:sz="0" w:space="0" w:color="auto"/>
                  </w:divBdr>
                  <w:divsChild>
                    <w:div w:id="1049113275">
                      <w:marLeft w:val="0"/>
                      <w:marRight w:val="0"/>
                      <w:marTop w:val="0"/>
                      <w:marBottom w:val="0"/>
                      <w:divBdr>
                        <w:top w:val="none" w:sz="0" w:space="0" w:color="auto"/>
                        <w:left w:val="none" w:sz="0" w:space="0" w:color="auto"/>
                        <w:bottom w:val="none" w:sz="0" w:space="0" w:color="auto"/>
                        <w:right w:val="none" w:sz="0" w:space="0" w:color="auto"/>
                      </w:divBdr>
                    </w:div>
                  </w:divsChild>
                </w:div>
                <w:div w:id="1413819915">
                  <w:marLeft w:val="0"/>
                  <w:marRight w:val="0"/>
                  <w:marTop w:val="0"/>
                  <w:marBottom w:val="0"/>
                  <w:divBdr>
                    <w:top w:val="none" w:sz="0" w:space="0" w:color="auto"/>
                    <w:left w:val="none" w:sz="0" w:space="0" w:color="auto"/>
                    <w:bottom w:val="none" w:sz="0" w:space="0" w:color="auto"/>
                    <w:right w:val="none" w:sz="0" w:space="0" w:color="auto"/>
                  </w:divBdr>
                  <w:divsChild>
                    <w:div w:id="715936282">
                      <w:marLeft w:val="0"/>
                      <w:marRight w:val="0"/>
                      <w:marTop w:val="0"/>
                      <w:marBottom w:val="0"/>
                      <w:divBdr>
                        <w:top w:val="none" w:sz="0" w:space="0" w:color="auto"/>
                        <w:left w:val="none" w:sz="0" w:space="0" w:color="auto"/>
                        <w:bottom w:val="none" w:sz="0" w:space="0" w:color="auto"/>
                        <w:right w:val="none" w:sz="0" w:space="0" w:color="auto"/>
                      </w:divBdr>
                    </w:div>
                  </w:divsChild>
                </w:div>
                <w:div w:id="1422409443">
                  <w:marLeft w:val="0"/>
                  <w:marRight w:val="0"/>
                  <w:marTop w:val="0"/>
                  <w:marBottom w:val="0"/>
                  <w:divBdr>
                    <w:top w:val="none" w:sz="0" w:space="0" w:color="auto"/>
                    <w:left w:val="none" w:sz="0" w:space="0" w:color="auto"/>
                    <w:bottom w:val="none" w:sz="0" w:space="0" w:color="auto"/>
                    <w:right w:val="none" w:sz="0" w:space="0" w:color="auto"/>
                  </w:divBdr>
                  <w:divsChild>
                    <w:div w:id="1104498682">
                      <w:marLeft w:val="0"/>
                      <w:marRight w:val="0"/>
                      <w:marTop w:val="0"/>
                      <w:marBottom w:val="0"/>
                      <w:divBdr>
                        <w:top w:val="none" w:sz="0" w:space="0" w:color="auto"/>
                        <w:left w:val="none" w:sz="0" w:space="0" w:color="auto"/>
                        <w:bottom w:val="none" w:sz="0" w:space="0" w:color="auto"/>
                        <w:right w:val="none" w:sz="0" w:space="0" w:color="auto"/>
                      </w:divBdr>
                    </w:div>
                  </w:divsChild>
                </w:div>
                <w:div w:id="1422990681">
                  <w:marLeft w:val="0"/>
                  <w:marRight w:val="0"/>
                  <w:marTop w:val="0"/>
                  <w:marBottom w:val="0"/>
                  <w:divBdr>
                    <w:top w:val="none" w:sz="0" w:space="0" w:color="auto"/>
                    <w:left w:val="none" w:sz="0" w:space="0" w:color="auto"/>
                    <w:bottom w:val="none" w:sz="0" w:space="0" w:color="auto"/>
                    <w:right w:val="none" w:sz="0" w:space="0" w:color="auto"/>
                  </w:divBdr>
                  <w:divsChild>
                    <w:div w:id="104931609">
                      <w:marLeft w:val="0"/>
                      <w:marRight w:val="0"/>
                      <w:marTop w:val="0"/>
                      <w:marBottom w:val="0"/>
                      <w:divBdr>
                        <w:top w:val="none" w:sz="0" w:space="0" w:color="auto"/>
                        <w:left w:val="none" w:sz="0" w:space="0" w:color="auto"/>
                        <w:bottom w:val="none" w:sz="0" w:space="0" w:color="auto"/>
                        <w:right w:val="none" w:sz="0" w:space="0" w:color="auto"/>
                      </w:divBdr>
                    </w:div>
                  </w:divsChild>
                </w:div>
                <w:div w:id="1441948269">
                  <w:marLeft w:val="0"/>
                  <w:marRight w:val="0"/>
                  <w:marTop w:val="0"/>
                  <w:marBottom w:val="0"/>
                  <w:divBdr>
                    <w:top w:val="none" w:sz="0" w:space="0" w:color="auto"/>
                    <w:left w:val="none" w:sz="0" w:space="0" w:color="auto"/>
                    <w:bottom w:val="none" w:sz="0" w:space="0" w:color="auto"/>
                    <w:right w:val="none" w:sz="0" w:space="0" w:color="auto"/>
                  </w:divBdr>
                  <w:divsChild>
                    <w:div w:id="629550229">
                      <w:marLeft w:val="0"/>
                      <w:marRight w:val="0"/>
                      <w:marTop w:val="0"/>
                      <w:marBottom w:val="0"/>
                      <w:divBdr>
                        <w:top w:val="none" w:sz="0" w:space="0" w:color="auto"/>
                        <w:left w:val="none" w:sz="0" w:space="0" w:color="auto"/>
                        <w:bottom w:val="none" w:sz="0" w:space="0" w:color="auto"/>
                        <w:right w:val="none" w:sz="0" w:space="0" w:color="auto"/>
                      </w:divBdr>
                    </w:div>
                  </w:divsChild>
                </w:div>
                <w:div w:id="1446385486">
                  <w:marLeft w:val="0"/>
                  <w:marRight w:val="0"/>
                  <w:marTop w:val="0"/>
                  <w:marBottom w:val="0"/>
                  <w:divBdr>
                    <w:top w:val="none" w:sz="0" w:space="0" w:color="auto"/>
                    <w:left w:val="none" w:sz="0" w:space="0" w:color="auto"/>
                    <w:bottom w:val="none" w:sz="0" w:space="0" w:color="auto"/>
                    <w:right w:val="none" w:sz="0" w:space="0" w:color="auto"/>
                  </w:divBdr>
                  <w:divsChild>
                    <w:div w:id="714430189">
                      <w:marLeft w:val="0"/>
                      <w:marRight w:val="0"/>
                      <w:marTop w:val="0"/>
                      <w:marBottom w:val="0"/>
                      <w:divBdr>
                        <w:top w:val="none" w:sz="0" w:space="0" w:color="auto"/>
                        <w:left w:val="none" w:sz="0" w:space="0" w:color="auto"/>
                        <w:bottom w:val="none" w:sz="0" w:space="0" w:color="auto"/>
                        <w:right w:val="none" w:sz="0" w:space="0" w:color="auto"/>
                      </w:divBdr>
                    </w:div>
                  </w:divsChild>
                </w:div>
                <w:div w:id="1452633063">
                  <w:marLeft w:val="0"/>
                  <w:marRight w:val="0"/>
                  <w:marTop w:val="0"/>
                  <w:marBottom w:val="0"/>
                  <w:divBdr>
                    <w:top w:val="none" w:sz="0" w:space="0" w:color="auto"/>
                    <w:left w:val="none" w:sz="0" w:space="0" w:color="auto"/>
                    <w:bottom w:val="none" w:sz="0" w:space="0" w:color="auto"/>
                    <w:right w:val="none" w:sz="0" w:space="0" w:color="auto"/>
                  </w:divBdr>
                  <w:divsChild>
                    <w:div w:id="1082532168">
                      <w:marLeft w:val="0"/>
                      <w:marRight w:val="0"/>
                      <w:marTop w:val="0"/>
                      <w:marBottom w:val="0"/>
                      <w:divBdr>
                        <w:top w:val="none" w:sz="0" w:space="0" w:color="auto"/>
                        <w:left w:val="none" w:sz="0" w:space="0" w:color="auto"/>
                        <w:bottom w:val="none" w:sz="0" w:space="0" w:color="auto"/>
                        <w:right w:val="none" w:sz="0" w:space="0" w:color="auto"/>
                      </w:divBdr>
                    </w:div>
                  </w:divsChild>
                </w:div>
                <w:div w:id="1455171196">
                  <w:marLeft w:val="0"/>
                  <w:marRight w:val="0"/>
                  <w:marTop w:val="0"/>
                  <w:marBottom w:val="0"/>
                  <w:divBdr>
                    <w:top w:val="none" w:sz="0" w:space="0" w:color="auto"/>
                    <w:left w:val="none" w:sz="0" w:space="0" w:color="auto"/>
                    <w:bottom w:val="none" w:sz="0" w:space="0" w:color="auto"/>
                    <w:right w:val="none" w:sz="0" w:space="0" w:color="auto"/>
                  </w:divBdr>
                  <w:divsChild>
                    <w:div w:id="763768187">
                      <w:marLeft w:val="0"/>
                      <w:marRight w:val="0"/>
                      <w:marTop w:val="0"/>
                      <w:marBottom w:val="0"/>
                      <w:divBdr>
                        <w:top w:val="none" w:sz="0" w:space="0" w:color="auto"/>
                        <w:left w:val="none" w:sz="0" w:space="0" w:color="auto"/>
                        <w:bottom w:val="none" w:sz="0" w:space="0" w:color="auto"/>
                        <w:right w:val="none" w:sz="0" w:space="0" w:color="auto"/>
                      </w:divBdr>
                    </w:div>
                  </w:divsChild>
                </w:div>
                <w:div w:id="1470826418">
                  <w:marLeft w:val="0"/>
                  <w:marRight w:val="0"/>
                  <w:marTop w:val="0"/>
                  <w:marBottom w:val="0"/>
                  <w:divBdr>
                    <w:top w:val="none" w:sz="0" w:space="0" w:color="auto"/>
                    <w:left w:val="none" w:sz="0" w:space="0" w:color="auto"/>
                    <w:bottom w:val="none" w:sz="0" w:space="0" w:color="auto"/>
                    <w:right w:val="none" w:sz="0" w:space="0" w:color="auto"/>
                  </w:divBdr>
                  <w:divsChild>
                    <w:div w:id="338849912">
                      <w:marLeft w:val="0"/>
                      <w:marRight w:val="0"/>
                      <w:marTop w:val="0"/>
                      <w:marBottom w:val="0"/>
                      <w:divBdr>
                        <w:top w:val="none" w:sz="0" w:space="0" w:color="auto"/>
                        <w:left w:val="none" w:sz="0" w:space="0" w:color="auto"/>
                        <w:bottom w:val="none" w:sz="0" w:space="0" w:color="auto"/>
                        <w:right w:val="none" w:sz="0" w:space="0" w:color="auto"/>
                      </w:divBdr>
                    </w:div>
                  </w:divsChild>
                </w:div>
                <w:div w:id="1475950649">
                  <w:marLeft w:val="0"/>
                  <w:marRight w:val="0"/>
                  <w:marTop w:val="0"/>
                  <w:marBottom w:val="0"/>
                  <w:divBdr>
                    <w:top w:val="none" w:sz="0" w:space="0" w:color="auto"/>
                    <w:left w:val="none" w:sz="0" w:space="0" w:color="auto"/>
                    <w:bottom w:val="none" w:sz="0" w:space="0" w:color="auto"/>
                    <w:right w:val="none" w:sz="0" w:space="0" w:color="auto"/>
                  </w:divBdr>
                  <w:divsChild>
                    <w:div w:id="1083340160">
                      <w:marLeft w:val="0"/>
                      <w:marRight w:val="0"/>
                      <w:marTop w:val="0"/>
                      <w:marBottom w:val="0"/>
                      <w:divBdr>
                        <w:top w:val="none" w:sz="0" w:space="0" w:color="auto"/>
                        <w:left w:val="none" w:sz="0" w:space="0" w:color="auto"/>
                        <w:bottom w:val="none" w:sz="0" w:space="0" w:color="auto"/>
                        <w:right w:val="none" w:sz="0" w:space="0" w:color="auto"/>
                      </w:divBdr>
                    </w:div>
                    <w:div w:id="1678575772">
                      <w:marLeft w:val="0"/>
                      <w:marRight w:val="0"/>
                      <w:marTop w:val="0"/>
                      <w:marBottom w:val="0"/>
                      <w:divBdr>
                        <w:top w:val="none" w:sz="0" w:space="0" w:color="auto"/>
                        <w:left w:val="none" w:sz="0" w:space="0" w:color="auto"/>
                        <w:bottom w:val="none" w:sz="0" w:space="0" w:color="auto"/>
                        <w:right w:val="none" w:sz="0" w:space="0" w:color="auto"/>
                      </w:divBdr>
                    </w:div>
                  </w:divsChild>
                </w:div>
                <w:div w:id="1476070766">
                  <w:marLeft w:val="0"/>
                  <w:marRight w:val="0"/>
                  <w:marTop w:val="0"/>
                  <w:marBottom w:val="0"/>
                  <w:divBdr>
                    <w:top w:val="none" w:sz="0" w:space="0" w:color="auto"/>
                    <w:left w:val="none" w:sz="0" w:space="0" w:color="auto"/>
                    <w:bottom w:val="none" w:sz="0" w:space="0" w:color="auto"/>
                    <w:right w:val="none" w:sz="0" w:space="0" w:color="auto"/>
                  </w:divBdr>
                  <w:divsChild>
                    <w:div w:id="898781622">
                      <w:marLeft w:val="0"/>
                      <w:marRight w:val="0"/>
                      <w:marTop w:val="0"/>
                      <w:marBottom w:val="0"/>
                      <w:divBdr>
                        <w:top w:val="none" w:sz="0" w:space="0" w:color="auto"/>
                        <w:left w:val="none" w:sz="0" w:space="0" w:color="auto"/>
                        <w:bottom w:val="none" w:sz="0" w:space="0" w:color="auto"/>
                        <w:right w:val="none" w:sz="0" w:space="0" w:color="auto"/>
                      </w:divBdr>
                    </w:div>
                  </w:divsChild>
                </w:div>
                <w:div w:id="1478256193">
                  <w:marLeft w:val="0"/>
                  <w:marRight w:val="0"/>
                  <w:marTop w:val="0"/>
                  <w:marBottom w:val="0"/>
                  <w:divBdr>
                    <w:top w:val="none" w:sz="0" w:space="0" w:color="auto"/>
                    <w:left w:val="none" w:sz="0" w:space="0" w:color="auto"/>
                    <w:bottom w:val="none" w:sz="0" w:space="0" w:color="auto"/>
                    <w:right w:val="none" w:sz="0" w:space="0" w:color="auto"/>
                  </w:divBdr>
                  <w:divsChild>
                    <w:div w:id="1414546699">
                      <w:marLeft w:val="0"/>
                      <w:marRight w:val="0"/>
                      <w:marTop w:val="0"/>
                      <w:marBottom w:val="0"/>
                      <w:divBdr>
                        <w:top w:val="none" w:sz="0" w:space="0" w:color="auto"/>
                        <w:left w:val="none" w:sz="0" w:space="0" w:color="auto"/>
                        <w:bottom w:val="none" w:sz="0" w:space="0" w:color="auto"/>
                        <w:right w:val="none" w:sz="0" w:space="0" w:color="auto"/>
                      </w:divBdr>
                    </w:div>
                  </w:divsChild>
                </w:div>
                <w:div w:id="1485925430">
                  <w:marLeft w:val="0"/>
                  <w:marRight w:val="0"/>
                  <w:marTop w:val="0"/>
                  <w:marBottom w:val="0"/>
                  <w:divBdr>
                    <w:top w:val="none" w:sz="0" w:space="0" w:color="auto"/>
                    <w:left w:val="none" w:sz="0" w:space="0" w:color="auto"/>
                    <w:bottom w:val="none" w:sz="0" w:space="0" w:color="auto"/>
                    <w:right w:val="none" w:sz="0" w:space="0" w:color="auto"/>
                  </w:divBdr>
                  <w:divsChild>
                    <w:div w:id="1144927398">
                      <w:marLeft w:val="0"/>
                      <w:marRight w:val="0"/>
                      <w:marTop w:val="0"/>
                      <w:marBottom w:val="0"/>
                      <w:divBdr>
                        <w:top w:val="none" w:sz="0" w:space="0" w:color="auto"/>
                        <w:left w:val="none" w:sz="0" w:space="0" w:color="auto"/>
                        <w:bottom w:val="none" w:sz="0" w:space="0" w:color="auto"/>
                        <w:right w:val="none" w:sz="0" w:space="0" w:color="auto"/>
                      </w:divBdr>
                    </w:div>
                  </w:divsChild>
                </w:div>
                <w:div w:id="1489248135">
                  <w:marLeft w:val="0"/>
                  <w:marRight w:val="0"/>
                  <w:marTop w:val="0"/>
                  <w:marBottom w:val="0"/>
                  <w:divBdr>
                    <w:top w:val="none" w:sz="0" w:space="0" w:color="auto"/>
                    <w:left w:val="none" w:sz="0" w:space="0" w:color="auto"/>
                    <w:bottom w:val="none" w:sz="0" w:space="0" w:color="auto"/>
                    <w:right w:val="none" w:sz="0" w:space="0" w:color="auto"/>
                  </w:divBdr>
                  <w:divsChild>
                    <w:div w:id="874385334">
                      <w:marLeft w:val="0"/>
                      <w:marRight w:val="0"/>
                      <w:marTop w:val="0"/>
                      <w:marBottom w:val="0"/>
                      <w:divBdr>
                        <w:top w:val="none" w:sz="0" w:space="0" w:color="auto"/>
                        <w:left w:val="none" w:sz="0" w:space="0" w:color="auto"/>
                        <w:bottom w:val="none" w:sz="0" w:space="0" w:color="auto"/>
                        <w:right w:val="none" w:sz="0" w:space="0" w:color="auto"/>
                      </w:divBdr>
                    </w:div>
                  </w:divsChild>
                </w:div>
                <w:div w:id="1491293898">
                  <w:marLeft w:val="0"/>
                  <w:marRight w:val="0"/>
                  <w:marTop w:val="0"/>
                  <w:marBottom w:val="0"/>
                  <w:divBdr>
                    <w:top w:val="none" w:sz="0" w:space="0" w:color="auto"/>
                    <w:left w:val="none" w:sz="0" w:space="0" w:color="auto"/>
                    <w:bottom w:val="none" w:sz="0" w:space="0" w:color="auto"/>
                    <w:right w:val="none" w:sz="0" w:space="0" w:color="auto"/>
                  </w:divBdr>
                  <w:divsChild>
                    <w:div w:id="1730609825">
                      <w:marLeft w:val="0"/>
                      <w:marRight w:val="0"/>
                      <w:marTop w:val="0"/>
                      <w:marBottom w:val="0"/>
                      <w:divBdr>
                        <w:top w:val="none" w:sz="0" w:space="0" w:color="auto"/>
                        <w:left w:val="none" w:sz="0" w:space="0" w:color="auto"/>
                        <w:bottom w:val="none" w:sz="0" w:space="0" w:color="auto"/>
                        <w:right w:val="none" w:sz="0" w:space="0" w:color="auto"/>
                      </w:divBdr>
                    </w:div>
                  </w:divsChild>
                </w:div>
                <w:div w:id="1499661855">
                  <w:marLeft w:val="0"/>
                  <w:marRight w:val="0"/>
                  <w:marTop w:val="0"/>
                  <w:marBottom w:val="0"/>
                  <w:divBdr>
                    <w:top w:val="none" w:sz="0" w:space="0" w:color="auto"/>
                    <w:left w:val="none" w:sz="0" w:space="0" w:color="auto"/>
                    <w:bottom w:val="none" w:sz="0" w:space="0" w:color="auto"/>
                    <w:right w:val="none" w:sz="0" w:space="0" w:color="auto"/>
                  </w:divBdr>
                  <w:divsChild>
                    <w:div w:id="1059788841">
                      <w:marLeft w:val="0"/>
                      <w:marRight w:val="0"/>
                      <w:marTop w:val="0"/>
                      <w:marBottom w:val="0"/>
                      <w:divBdr>
                        <w:top w:val="none" w:sz="0" w:space="0" w:color="auto"/>
                        <w:left w:val="none" w:sz="0" w:space="0" w:color="auto"/>
                        <w:bottom w:val="none" w:sz="0" w:space="0" w:color="auto"/>
                        <w:right w:val="none" w:sz="0" w:space="0" w:color="auto"/>
                      </w:divBdr>
                    </w:div>
                  </w:divsChild>
                </w:div>
                <w:div w:id="1510101199">
                  <w:marLeft w:val="0"/>
                  <w:marRight w:val="0"/>
                  <w:marTop w:val="0"/>
                  <w:marBottom w:val="0"/>
                  <w:divBdr>
                    <w:top w:val="none" w:sz="0" w:space="0" w:color="auto"/>
                    <w:left w:val="none" w:sz="0" w:space="0" w:color="auto"/>
                    <w:bottom w:val="none" w:sz="0" w:space="0" w:color="auto"/>
                    <w:right w:val="none" w:sz="0" w:space="0" w:color="auto"/>
                  </w:divBdr>
                  <w:divsChild>
                    <w:div w:id="913393161">
                      <w:marLeft w:val="0"/>
                      <w:marRight w:val="0"/>
                      <w:marTop w:val="0"/>
                      <w:marBottom w:val="0"/>
                      <w:divBdr>
                        <w:top w:val="none" w:sz="0" w:space="0" w:color="auto"/>
                        <w:left w:val="none" w:sz="0" w:space="0" w:color="auto"/>
                        <w:bottom w:val="none" w:sz="0" w:space="0" w:color="auto"/>
                        <w:right w:val="none" w:sz="0" w:space="0" w:color="auto"/>
                      </w:divBdr>
                    </w:div>
                  </w:divsChild>
                </w:div>
                <w:div w:id="1522738258">
                  <w:marLeft w:val="0"/>
                  <w:marRight w:val="0"/>
                  <w:marTop w:val="0"/>
                  <w:marBottom w:val="0"/>
                  <w:divBdr>
                    <w:top w:val="none" w:sz="0" w:space="0" w:color="auto"/>
                    <w:left w:val="none" w:sz="0" w:space="0" w:color="auto"/>
                    <w:bottom w:val="none" w:sz="0" w:space="0" w:color="auto"/>
                    <w:right w:val="none" w:sz="0" w:space="0" w:color="auto"/>
                  </w:divBdr>
                  <w:divsChild>
                    <w:div w:id="875119957">
                      <w:marLeft w:val="0"/>
                      <w:marRight w:val="0"/>
                      <w:marTop w:val="0"/>
                      <w:marBottom w:val="0"/>
                      <w:divBdr>
                        <w:top w:val="none" w:sz="0" w:space="0" w:color="auto"/>
                        <w:left w:val="none" w:sz="0" w:space="0" w:color="auto"/>
                        <w:bottom w:val="none" w:sz="0" w:space="0" w:color="auto"/>
                        <w:right w:val="none" w:sz="0" w:space="0" w:color="auto"/>
                      </w:divBdr>
                    </w:div>
                  </w:divsChild>
                </w:div>
                <w:div w:id="1526093169">
                  <w:marLeft w:val="0"/>
                  <w:marRight w:val="0"/>
                  <w:marTop w:val="0"/>
                  <w:marBottom w:val="0"/>
                  <w:divBdr>
                    <w:top w:val="none" w:sz="0" w:space="0" w:color="auto"/>
                    <w:left w:val="none" w:sz="0" w:space="0" w:color="auto"/>
                    <w:bottom w:val="none" w:sz="0" w:space="0" w:color="auto"/>
                    <w:right w:val="none" w:sz="0" w:space="0" w:color="auto"/>
                  </w:divBdr>
                  <w:divsChild>
                    <w:div w:id="2067757364">
                      <w:marLeft w:val="0"/>
                      <w:marRight w:val="0"/>
                      <w:marTop w:val="0"/>
                      <w:marBottom w:val="0"/>
                      <w:divBdr>
                        <w:top w:val="none" w:sz="0" w:space="0" w:color="auto"/>
                        <w:left w:val="none" w:sz="0" w:space="0" w:color="auto"/>
                        <w:bottom w:val="none" w:sz="0" w:space="0" w:color="auto"/>
                        <w:right w:val="none" w:sz="0" w:space="0" w:color="auto"/>
                      </w:divBdr>
                    </w:div>
                  </w:divsChild>
                </w:div>
                <w:div w:id="1546940627">
                  <w:marLeft w:val="0"/>
                  <w:marRight w:val="0"/>
                  <w:marTop w:val="0"/>
                  <w:marBottom w:val="0"/>
                  <w:divBdr>
                    <w:top w:val="none" w:sz="0" w:space="0" w:color="auto"/>
                    <w:left w:val="none" w:sz="0" w:space="0" w:color="auto"/>
                    <w:bottom w:val="none" w:sz="0" w:space="0" w:color="auto"/>
                    <w:right w:val="none" w:sz="0" w:space="0" w:color="auto"/>
                  </w:divBdr>
                  <w:divsChild>
                    <w:div w:id="102072298">
                      <w:marLeft w:val="0"/>
                      <w:marRight w:val="0"/>
                      <w:marTop w:val="0"/>
                      <w:marBottom w:val="0"/>
                      <w:divBdr>
                        <w:top w:val="none" w:sz="0" w:space="0" w:color="auto"/>
                        <w:left w:val="none" w:sz="0" w:space="0" w:color="auto"/>
                        <w:bottom w:val="none" w:sz="0" w:space="0" w:color="auto"/>
                        <w:right w:val="none" w:sz="0" w:space="0" w:color="auto"/>
                      </w:divBdr>
                    </w:div>
                  </w:divsChild>
                </w:div>
                <w:div w:id="1555507568">
                  <w:marLeft w:val="0"/>
                  <w:marRight w:val="0"/>
                  <w:marTop w:val="0"/>
                  <w:marBottom w:val="0"/>
                  <w:divBdr>
                    <w:top w:val="none" w:sz="0" w:space="0" w:color="auto"/>
                    <w:left w:val="none" w:sz="0" w:space="0" w:color="auto"/>
                    <w:bottom w:val="none" w:sz="0" w:space="0" w:color="auto"/>
                    <w:right w:val="none" w:sz="0" w:space="0" w:color="auto"/>
                  </w:divBdr>
                  <w:divsChild>
                    <w:div w:id="1206676463">
                      <w:marLeft w:val="0"/>
                      <w:marRight w:val="0"/>
                      <w:marTop w:val="0"/>
                      <w:marBottom w:val="0"/>
                      <w:divBdr>
                        <w:top w:val="none" w:sz="0" w:space="0" w:color="auto"/>
                        <w:left w:val="none" w:sz="0" w:space="0" w:color="auto"/>
                        <w:bottom w:val="none" w:sz="0" w:space="0" w:color="auto"/>
                        <w:right w:val="none" w:sz="0" w:space="0" w:color="auto"/>
                      </w:divBdr>
                    </w:div>
                  </w:divsChild>
                </w:div>
                <w:div w:id="1577671638">
                  <w:marLeft w:val="0"/>
                  <w:marRight w:val="0"/>
                  <w:marTop w:val="0"/>
                  <w:marBottom w:val="0"/>
                  <w:divBdr>
                    <w:top w:val="none" w:sz="0" w:space="0" w:color="auto"/>
                    <w:left w:val="none" w:sz="0" w:space="0" w:color="auto"/>
                    <w:bottom w:val="none" w:sz="0" w:space="0" w:color="auto"/>
                    <w:right w:val="none" w:sz="0" w:space="0" w:color="auto"/>
                  </w:divBdr>
                  <w:divsChild>
                    <w:div w:id="103814371">
                      <w:marLeft w:val="0"/>
                      <w:marRight w:val="0"/>
                      <w:marTop w:val="0"/>
                      <w:marBottom w:val="0"/>
                      <w:divBdr>
                        <w:top w:val="none" w:sz="0" w:space="0" w:color="auto"/>
                        <w:left w:val="none" w:sz="0" w:space="0" w:color="auto"/>
                        <w:bottom w:val="none" w:sz="0" w:space="0" w:color="auto"/>
                        <w:right w:val="none" w:sz="0" w:space="0" w:color="auto"/>
                      </w:divBdr>
                    </w:div>
                  </w:divsChild>
                </w:div>
                <w:div w:id="1583561641">
                  <w:marLeft w:val="0"/>
                  <w:marRight w:val="0"/>
                  <w:marTop w:val="0"/>
                  <w:marBottom w:val="0"/>
                  <w:divBdr>
                    <w:top w:val="none" w:sz="0" w:space="0" w:color="auto"/>
                    <w:left w:val="none" w:sz="0" w:space="0" w:color="auto"/>
                    <w:bottom w:val="none" w:sz="0" w:space="0" w:color="auto"/>
                    <w:right w:val="none" w:sz="0" w:space="0" w:color="auto"/>
                  </w:divBdr>
                  <w:divsChild>
                    <w:div w:id="285355163">
                      <w:marLeft w:val="0"/>
                      <w:marRight w:val="0"/>
                      <w:marTop w:val="0"/>
                      <w:marBottom w:val="0"/>
                      <w:divBdr>
                        <w:top w:val="none" w:sz="0" w:space="0" w:color="auto"/>
                        <w:left w:val="none" w:sz="0" w:space="0" w:color="auto"/>
                        <w:bottom w:val="none" w:sz="0" w:space="0" w:color="auto"/>
                        <w:right w:val="none" w:sz="0" w:space="0" w:color="auto"/>
                      </w:divBdr>
                    </w:div>
                  </w:divsChild>
                </w:div>
                <w:div w:id="1584031036">
                  <w:marLeft w:val="0"/>
                  <w:marRight w:val="0"/>
                  <w:marTop w:val="0"/>
                  <w:marBottom w:val="0"/>
                  <w:divBdr>
                    <w:top w:val="none" w:sz="0" w:space="0" w:color="auto"/>
                    <w:left w:val="none" w:sz="0" w:space="0" w:color="auto"/>
                    <w:bottom w:val="none" w:sz="0" w:space="0" w:color="auto"/>
                    <w:right w:val="none" w:sz="0" w:space="0" w:color="auto"/>
                  </w:divBdr>
                  <w:divsChild>
                    <w:div w:id="161091417">
                      <w:marLeft w:val="0"/>
                      <w:marRight w:val="0"/>
                      <w:marTop w:val="0"/>
                      <w:marBottom w:val="0"/>
                      <w:divBdr>
                        <w:top w:val="none" w:sz="0" w:space="0" w:color="auto"/>
                        <w:left w:val="none" w:sz="0" w:space="0" w:color="auto"/>
                        <w:bottom w:val="none" w:sz="0" w:space="0" w:color="auto"/>
                        <w:right w:val="none" w:sz="0" w:space="0" w:color="auto"/>
                      </w:divBdr>
                    </w:div>
                  </w:divsChild>
                </w:div>
                <w:div w:id="1586845005">
                  <w:marLeft w:val="0"/>
                  <w:marRight w:val="0"/>
                  <w:marTop w:val="0"/>
                  <w:marBottom w:val="0"/>
                  <w:divBdr>
                    <w:top w:val="none" w:sz="0" w:space="0" w:color="auto"/>
                    <w:left w:val="none" w:sz="0" w:space="0" w:color="auto"/>
                    <w:bottom w:val="none" w:sz="0" w:space="0" w:color="auto"/>
                    <w:right w:val="none" w:sz="0" w:space="0" w:color="auto"/>
                  </w:divBdr>
                  <w:divsChild>
                    <w:div w:id="1054237485">
                      <w:marLeft w:val="0"/>
                      <w:marRight w:val="0"/>
                      <w:marTop w:val="0"/>
                      <w:marBottom w:val="0"/>
                      <w:divBdr>
                        <w:top w:val="none" w:sz="0" w:space="0" w:color="auto"/>
                        <w:left w:val="none" w:sz="0" w:space="0" w:color="auto"/>
                        <w:bottom w:val="none" w:sz="0" w:space="0" w:color="auto"/>
                        <w:right w:val="none" w:sz="0" w:space="0" w:color="auto"/>
                      </w:divBdr>
                    </w:div>
                  </w:divsChild>
                </w:div>
                <w:div w:id="1592620143">
                  <w:marLeft w:val="0"/>
                  <w:marRight w:val="0"/>
                  <w:marTop w:val="0"/>
                  <w:marBottom w:val="0"/>
                  <w:divBdr>
                    <w:top w:val="none" w:sz="0" w:space="0" w:color="auto"/>
                    <w:left w:val="none" w:sz="0" w:space="0" w:color="auto"/>
                    <w:bottom w:val="none" w:sz="0" w:space="0" w:color="auto"/>
                    <w:right w:val="none" w:sz="0" w:space="0" w:color="auto"/>
                  </w:divBdr>
                  <w:divsChild>
                    <w:div w:id="396318448">
                      <w:marLeft w:val="0"/>
                      <w:marRight w:val="0"/>
                      <w:marTop w:val="0"/>
                      <w:marBottom w:val="0"/>
                      <w:divBdr>
                        <w:top w:val="none" w:sz="0" w:space="0" w:color="auto"/>
                        <w:left w:val="none" w:sz="0" w:space="0" w:color="auto"/>
                        <w:bottom w:val="none" w:sz="0" w:space="0" w:color="auto"/>
                        <w:right w:val="none" w:sz="0" w:space="0" w:color="auto"/>
                      </w:divBdr>
                    </w:div>
                  </w:divsChild>
                </w:div>
                <w:div w:id="1600794141">
                  <w:marLeft w:val="0"/>
                  <w:marRight w:val="0"/>
                  <w:marTop w:val="0"/>
                  <w:marBottom w:val="0"/>
                  <w:divBdr>
                    <w:top w:val="none" w:sz="0" w:space="0" w:color="auto"/>
                    <w:left w:val="none" w:sz="0" w:space="0" w:color="auto"/>
                    <w:bottom w:val="none" w:sz="0" w:space="0" w:color="auto"/>
                    <w:right w:val="none" w:sz="0" w:space="0" w:color="auto"/>
                  </w:divBdr>
                  <w:divsChild>
                    <w:div w:id="553614247">
                      <w:marLeft w:val="0"/>
                      <w:marRight w:val="0"/>
                      <w:marTop w:val="0"/>
                      <w:marBottom w:val="0"/>
                      <w:divBdr>
                        <w:top w:val="none" w:sz="0" w:space="0" w:color="auto"/>
                        <w:left w:val="none" w:sz="0" w:space="0" w:color="auto"/>
                        <w:bottom w:val="none" w:sz="0" w:space="0" w:color="auto"/>
                        <w:right w:val="none" w:sz="0" w:space="0" w:color="auto"/>
                      </w:divBdr>
                    </w:div>
                  </w:divsChild>
                </w:div>
                <w:div w:id="1606378219">
                  <w:marLeft w:val="0"/>
                  <w:marRight w:val="0"/>
                  <w:marTop w:val="0"/>
                  <w:marBottom w:val="0"/>
                  <w:divBdr>
                    <w:top w:val="none" w:sz="0" w:space="0" w:color="auto"/>
                    <w:left w:val="none" w:sz="0" w:space="0" w:color="auto"/>
                    <w:bottom w:val="none" w:sz="0" w:space="0" w:color="auto"/>
                    <w:right w:val="none" w:sz="0" w:space="0" w:color="auto"/>
                  </w:divBdr>
                  <w:divsChild>
                    <w:div w:id="156582999">
                      <w:marLeft w:val="0"/>
                      <w:marRight w:val="0"/>
                      <w:marTop w:val="0"/>
                      <w:marBottom w:val="0"/>
                      <w:divBdr>
                        <w:top w:val="none" w:sz="0" w:space="0" w:color="auto"/>
                        <w:left w:val="none" w:sz="0" w:space="0" w:color="auto"/>
                        <w:bottom w:val="none" w:sz="0" w:space="0" w:color="auto"/>
                        <w:right w:val="none" w:sz="0" w:space="0" w:color="auto"/>
                      </w:divBdr>
                    </w:div>
                  </w:divsChild>
                </w:div>
                <w:div w:id="1607497822">
                  <w:marLeft w:val="0"/>
                  <w:marRight w:val="0"/>
                  <w:marTop w:val="0"/>
                  <w:marBottom w:val="0"/>
                  <w:divBdr>
                    <w:top w:val="none" w:sz="0" w:space="0" w:color="auto"/>
                    <w:left w:val="none" w:sz="0" w:space="0" w:color="auto"/>
                    <w:bottom w:val="none" w:sz="0" w:space="0" w:color="auto"/>
                    <w:right w:val="none" w:sz="0" w:space="0" w:color="auto"/>
                  </w:divBdr>
                  <w:divsChild>
                    <w:div w:id="1013341510">
                      <w:marLeft w:val="0"/>
                      <w:marRight w:val="0"/>
                      <w:marTop w:val="0"/>
                      <w:marBottom w:val="0"/>
                      <w:divBdr>
                        <w:top w:val="none" w:sz="0" w:space="0" w:color="auto"/>
                        <w:left w:val="none" w:sz="0" w:space="0" w:color="auto"/>
                        <w:bottom w:val="none" w:sz="0" w:space="0" w:color="auto"/>
                        <w:right w:val="none" w:sz="0" w:space="0" w:color="auto"/>
                      </w:divBdr>
                    </w:div>
                  </w:divsChild>
                </w:div>
                <w:div w:id="1609851412">
                  <w:marLeft w:val="0"/>
                  <w:marRight w:val="0"/>
                  <w:marTop w:val="0"/>
                  <w:marBottom w:val="0"/>
                  <w:divBdr>
                    <w:top w:val="none" w:sz="0" w:space="0" w:color="auto"/>
                    <w:left w:val="none" w:sz="0" w:space="0" w:color="auto"/>
                    <w:bottom w:val="none" w:sz="0" w:space="0" w:color="auto"/>
                    <w:right w:val="none" w:sz="0" w:space="0" w:color="auto"/>
                  </w:divBdr>
                  <w:divsChild>
                    <w:div w:id="1531919103">
                      <w:marLeft w:val="0"/>
                      <w:marRight w:val="0"/>
                      <w:marTop w:val="0"/>
                      <w:marBottom w:val="0"/>
                      <w:divBdr>
                        <w:top w:val="none" w:sz="0" w:space="0" w:color="auto"/>
                        <w:left w:val="none" w:sz="0" w:space="0" w:color="auto"/>
                        <w:bottom w:val="none" w:sz="0" w:space="0" w:color="auto"/>
                        <w:right w:val="none" w:sz="0" w:space="0" w:color="auto"/>
                      </w:divBdr>
                    </w:div>
                  </w:divsChild>
                </w:div>
                <w:div w:id="1610041344">
                  <w:marLeft w:val="0"/>
                  <w:marRight w:val="0"/>
                  <w:marTop w:val="0"/>
                  <w:marBottom w:val="0"/>
                  <w:divBdr>
                    <w:top w:val="none" w:sz="0" w:space="0" w:color="auto"/>
                    <w:left w:val="none" w:sz="0" w:space="0" w:color="auto"/>
                    <w:bottom w:val="none" w:sz="0" w:space="0" w:color="auto"/>
                    <w:right w:val="none" w:sz="0" w:space="0" w:color="auto"/>
                  </w:divBdr>
                  <w:divsChild>
                    <w:div w:id="932737271">
                      <w:marLeft w:val="0"/>
                      <w:marRight w:val="0"/>
                      <w:marTop w:val="0"/>
                      <w:marBottom w:val="0"/>
                      <w:divBdr>
                        <w:top w:val="none" w:sz="0" w:space="0" w:color="auto"/>
                        <w:left w:val="none" w:sz="0" w:space="0" w:color="auto"/>
                        <w:bottom w:val="none" w:sz="0" w:space="0" w:color="auto"/>
                        <w:right w:val="none" w:sz="0" w:space="0" w:color="auto"/>
                      </w:divBdr>
                    </w:div>
                  </w:divsChild>
                </w:div>
                <w:div w:id="1615020296">
                  <w:marLeft w:val="0"/>
                  <w:marRight w:val="0"/>
                  <w:marTop w:val="0"/>
                  <w:marBottom w:val="0"/>
                  <w:divBdr>
                    <w:top w:val="none" w:sz="0" w:space="0" w:color="auto"/>
                    <w:left w:val="none" w:sz="0" w:space="0" w:color="auto"/>
                    <w:bottom w:val="none" w:sz="0" w:space="0" w:color="auto"/>
                    <w:right w:val="none" w:sz="0" w:space="0" w:color="auto"/>
                  </w:divBdr>
                  <w:divsChild>
                    <w:div w:id="40717466">
                      <w:marLeft w:val="0"/>
                      <w:marRight w:val="0"/>
                      <w:marTop w:val="0"/>
                      <w:marBottom w:val="0"/>
                      <w:divBdr>
                        <w:top w:val="none" w:sz="0" w:space="0" w:color="auto"/>
                        <w:left w:val="none" w:sz="0" w:space="0" w:color="auto"/>
                        <w:bottom w:val="none" w:sz="0" w:space="0" w:color="auto"/>
                        <w:right w:val="none" w:sz="0" w:space="0" w:color="auto"/>
                      </w:divBdr>
                    </w:div>
                  </w:divsChild>
                </w:div>
                <w:div w:id="1629773948">
                  <w:marLeft w:val="0"/>
                  <w:marRight w:val="0"/>
                  <w:marTop w:val="0"/>
                  <w:marBottom w:val="0"/>
                  <w:divBdr>
                    <w:top w:val="none" w:sz="0" w:space="0" w:color="auto"/>
                    <w:left w:val="none" w:sz="0" w:space="0" w:color="auto"/>
                    <w:bottom w:val="none" w:sz="0" w:space="0" w:color="auto"/>
                    <w:right w:val="none" w:sz="0" w:space="0" w:color="auto"/>
                  </w:divBdr>
                  <w:divsChild>
                    <w:div w:id="2057578438">
                      <w:marLeft w:val="0"/>
                      <w:marRight w:val="0"/>
                      <w:marTop w:val="0"/>
                      <w:marBottom w:val="0"/>
                      <w:divBdr>
                        <w:top w:val="none" w:sz="0" w:space="0" w:color="auto"/>
                        <w:left w:val="none" w:sz="0" w:space="0" w:color="auto"/>
                        <w:bottom w:val="none" w:sz="0" w:space="0" w:color="auto"/>
                        <w:right w:val="none" w:sz="0" w:space="0" w:color="auto"/>
                      </w:divBdr>
                    </w:div>
                  </w:divsChild>
                </w:div>
                <w:div w:id="1632319626">
                  <w:marLeft w:val="0"/>
                  <w:marRight w:val="0"/>
                  <w:marTop w:val="0"/>
                  <w:marBottom w:val="0"/>
                  <w:divBdr>
                    <w:top w:val="none" w:sz="0" w:space="0" w:color="auto"/>
                    <w:left w:val="none" w:sz="0" w:space="0" w:color="auto"/>
                    <w:bottom w:val="none" w:sz="0" w:space="0" w:color="auto"/>
                    <w:right w:val="none" w:sz="0" w:space="0" w:color="auto"/>
                  </w:divBdr>
                  <w:divsChild>
                    <w:div w:id="1729113227">
                      <w:marLeft w:val="0"/>
                      <w:marRight w:val="0"/>
                      <w:marTop w:val="0"/>
                      <w:marBottom w:val="0"/>
                      <w:divBdr>
                        <w:top w:val="none" w:sz="0" w:space="0" w:color="auto"/>
                        <w:left w:val="none" w:sz="0" w:space="0" w:color="auto"/>
                        <w:bottom w:val="none" w:sz="0" w:space="0" w:color="auto"/>
                        <w:right w:val="none" w:sz="0" w:space="0" w:color="auto"/>
                      </w:divBdr>
                    </w:div>
                  </w:divsChild>
                </w:div>
                <w:div w:id="1636913287">
                  <w:marLeft w:val="0"/>
                  <w:marRight w:val="0"/>
                  <w:marTop w:val="0"/>
                  <w:marBottom w:val="0"/>
                  <w:divBdr>
                    <w:top w:val="none" w:sz="0" w:space="0" w:color="auto"/>
                    <w:left w:val="none" w:sz="0" w:space="0" w:color="auto"/>
                    <w:bottom w:val="none" w:sz="0" w:space="0" w:color="auto"/>
                    <w:right w:val="none" w:sz="0" w:space="0" w:color="auto"/>
                  </w:divBdr>
                  <w:divsChild>
                    <w:div w:id="638923225">
                      <w:marLeft w:val="0"/>
                      <w:marRight w:val="0"/>
                      <w:marTop w:val="0"/>
                      <w:marBottom w:val="0"/>
                      <w:divBdr>
                        <w:top w:val="none" w:sz="0" w:space="0" w:color="auto"/>
                        <w:left w:val="none" w:sz="0" w:space="0" w:color="auto"/>
                        <w:bottom w:val="none" w:sz="0" w:space="0" w:color="auto"/>
                        <w:right w:val="none" w:sz="0" w:space="0" w:color="auto"/>
                      </w:divBdr>
                    </w:div>
                  </w:divsChild>
                </w:div>
                <w:div w:id="1648196612">
                  <w:marLeft w:val="0"/>
                  <w:marRight w:val="0"/>
                  <w:marTop w:val="0"/>
                  <w:marBottom w:val="0"/>
                  <w:divBdr>
                    <w:top w:val="none" w:sz="0" w:space="0" w:color="auto"/>
                    <w:left w:val="none" w:sz="0" w:space="0" w:color="auto"/>
                    <w:bottom w:val="none" w:sz="0" w:space="0" w:color="auto"/>
                    <w:right w:val="none" w:sz="0" w:space="0" w:color="auto"/>
                  </w:divBdr>
                  <w:divsChild>
                    <w:div w:id="1118183662">
                      <w:marLeft w:val="0"/>
                      <w:marRight w:val="0"/>
                      <w:marTop w:val="0"/>
                      <w:marBottom w:val="0"/>
                      <w:divBdr>
                        <w:top w:val="none" w:sz="0" w:space="0" w:color="auto"/>
                        <w:left w:val="none" w:sz="0" w:space="0" w:color="auto"/>
                        <w:bottom w:val="none" w:sz="0" w:space="0" w:color="auto"/>
                        <w:right w:val="none" w:sz="0" w:space="0" w:color="auto"/>
                      </w:divBdr>
                    </w:div>
                  </w:divsChild>
                </w:div>
                <w:div w:id="1650162817">
                  <w:marLeft w:val="0"/>
                  <w:marRight w:val="0"/>
                  <w:marTop w:val="0"/>
                  <w:marBottom w:val="0"/>
                  <w:divBdr>
                    <w:top w:val="none" w:sz="0" w:space="0" w:color="auto"/>
                    <w:left w:val="none" w:sz="0" w:space="0" w:color="auto"/>
                    <w:bottom w:val="none" w:sz="0" w:space="0" w:color="auto"/>
                    <w:right w:val="none" w:sz="0" w:space="0" w:color="auto"/>
                  </w:divBdr>
                  <w:divsChild>
                    <w:div w:id="612983287">
                      <w:marLeft w:val="0"/>
                      <w:marRight w:val="0"/>
                      <w:marTop w:val="0"/>
                      <w:marBottom w:val="0"/>
                      <w:divBdr>
                        <w:top w:val="none" w:sz="0" w:space="0" w:color="auto"/>
                        <w:left w:val="none" w:sz="0" w:space="0" w:color="auto"/>
                        <w:bottom w:val="none" w:sz="0" w:space="0" w:color="auto"/>
                        <w:right w:val="none" w:sz="0" w:space="0" w:color="auto"/>
                      </w:divBdr>
                    </w:div>
                  </w:divsChild>
                </w:div>
                <w:div w:id="1655718034">
                  <w:marLeft w:val="0"/>
                  <w:marRight w:val="0"/>
                  <w:marTop w:val="0"/>
                  <w:marBottom w:val="0"/>
                  <w:divBdr>
                    <w:top w:val="none" w:sz="0" w:space="0" w:color="auto"/>
                    <w:left w:val="none" w:sz="0" w:space="0" w:color="auto"/>
                    <w:bottom w:val="none" w:sz="0" w:space="0" w:color="auto"/>
                    <w:right w:val="none" w:sz="0" w:space="0" w:color="auto"/>
                  </w:divBdr>
                  <w:divsChild>
                    <w:div w:id="1745568011">
                      <w:marLeft w:val="0"/>
                      <w:marRight w:val="0"/>
                      <w:marTop w:val="0"/>
                      <w:marBottom w:val="0"/>
                      <w:divBdr>
                        <w:top w:val="none" w:sz="0" w:space="0" w:color="auto"/>
                        <w:left w:val="none" w:sz="0" w:space="0" w:color="auto"/>
                        <w:bottom w:val="none" w:sz="0" w:space="0" w:color="auto"/>
                        <w:right w:val="none" w:sz="0" w:space="0" w:color="auto"/>
                      </w:divBdr>
                    </w:div>
                  </w:divsChild>
                </w:div>
                <w:div w:id="1656520610">
                  <w:marLeft w:val="0"/>
                  <w:marRight w:val="0"/>
                  <w:marTop w:val="0"/>
                  <w:marBottom w:val="0"/>
                  <w:divBdr>
                    <w:top w:val="none" w:sz="0" w:space="0" w:color="auto"/>
                    <w:left w:val="none" w:sz="0" w:space="0" w:color="auto"/>
                    <w:bottom w:val="none" w:sz="0" w:space="0" w:color="auto"/>
                    <w:right w:val="none" w:sz="0" w:space="0" w:color="auto"/>
                  </w:divBdr>
                  <w:divsChild>
                    <w:div w:id="2119518205">
                      <w:marLeft w:val="0"/>
                      <w:marRight w:val="0"/>
                      <w:marTop w:val="0"/>
                      <w:marBottom w:val="0"/>
                      <w:divBdr>
                        <w:top w:val="none" w:sz="0" w:space="0" w:color="auto"/>
                        <w:left w:val="none" w:sz="0" w:space="0" w:color="auto"/>
                        <w:bottom w:val="none" w:sz="0" w:space="0" w:color="auto"/>
                        <w:right w:val="none" w:sz="0" w:space="0" w:color="auto"/>
                      </w:divBdr>
                    </w:div>
                  </w:divsChild>
                </w:div>
                <w:div w:id="1666780428">
                  <w:marLeft w:val="0"/>
                  <w:marRight w:val="0"/>
                  <w:marTop w:val="0"/>
                  <w:marBottom w:val="0"/>
                  <w:divBdr>
                    <w:top w:val="none" w:sz="0" w:space="0" w:color="auto"/>
                    <w:left w:val="none" w:sz="0" w:space="0" w:color="auto"/>
                    <w:bottom w:val="none" w:sz="0" w:space="0" w:color="auto"/>
                    <w:right w:val="none" w:sz="0" w:space="0" w:color="auto"/>
                  </w:divBdr>
                  <w:divsChild>
                    <w:div w:id="405495820">
                      <w:marLeft w:val="0"/>
                      <w:marRight w:val="0"/>
                      <w:marTop w:val="0"/>
                      <w:marBottom w:val="0"/>
                      <w:divBdr>
                        <w:top w:val="none" w:sz="0" w:space="0" w:color="auto"/>
                        <w:left w:val="none" w:sz="0" w:space="0" w:color="auto"/>
                        <w:bottom w:val="none" w:sz="0" w:space="0" w:color="auto"/>
                        <w:right w:val="none" w:sz="0" w:space="0" w:color="auto"/>
                      </w:divBdr>
                    </w:div>
                  </w:divsChild>
                </w:div>
                <w:div w:id="1678314577">
                  <w:marLeft w:val="0"/>
                  <w:marRight w:val="0"/>
                  <w:marTop w:val="0"/>
                  <w:marBottom w:val="0"/>
                  <w:divBdr>
                    <w:top w:val="none" w:sz="0" w:space="0" w:color="auto"/>
                    <w:left w:val="none" w:sz="0" w:space="0" w:color="auto"/>
                    <w:bottom w:val="none" w:sz="0" w:space="0" w:color="auto"/>
                    <w:right w:val="none" w:sz="0" w:space="0" w:color="auto"/>
                  </w:divBdr>
                  <w:divsChild>
                    <w:div w:id="1263606448">
                      <w:marLeft w:val="0"/>
                      <w:marRight w:val="0"/>
                      <w:marTop w:val="0"/>
                      <w:marBottom w:val="0"/>
                      <w:divBdr>
                        <w:top w:val="none" w:sz="0" w:space="0" w:color="auto"/>
                        <w:left w:val="none" w:sz="0" w:space="0" w:color="auto"/>
                        <w:bottom w:val="none" w:sz="0" w:space="0" w:color="auto"/>
                        <w:right w:val="none" w:sz="0" w:space="0" w:color="auto"/>
                      </w:divBdr>
                    </w:div>
                  </w:divsChild>
                </w:div>
                <w:div w:id="1679116565">
                  <w:marLeft w:val="0"/>
                  <w:marRight w:val="0"/>
                  <w:marTop w:val="0"/>
                  <w:marBottom w:val="0"/>
                  <w:divBdr>
                    <w:top w:val="none" w:sz="0" w:space="0" w:color="auto"/>
                    <w:left w:val="none" w:sz="0" w:space="0" w:color="auto"/>
                    <w:bottom w:val="none" w:sz="0" w:space="0" w:color="auto"/>
                    <w:right w:val="none" w:sz="0" w:space="0" w:color="auto"/>
                  </w:divBdr>
                  <w:divsChild>
                    <w:div w:id="1366171893">
                      <w:marLeft w:val="0"/>
                      <w:marRight w:val="0"/>
                      <w:marTop w:val="0"/>
                      <w:marBottom w:val="0"/>
                      <w:divBdr>
                        <w:top w:val="none" w:sz="0" w:space="0" w:color="auto"/>
                        <w:left w:val="none" w:sz="0" w:space="0" w:color="auto"/>
                        <w:bottom w:val="none" w:sz="0" w:space="0" w:color="auto"/>
                        <w:right w:val="none" w:sz="0" w:space="0" w:color="auto"/>
                      </w:divBdr>
                    </w:div>
                  </w:divsChild>
                </w:div>
                <w:div w:id="1695497063">
                  <w:marLeft w:val="0"/>
                  <w:marRight w:val="0"/>
                  <w:marTop w:val="0"/>
                  <w:marBottom w:val="0"/>
                  <w:divBdr>
                    <w:top w:val="none" w:sz="0" w:space="0" w:color="auto"/>
                    <w:left w:val="none" w:sz="0" w:space="0" w:color="auto"/>
                    <w:bottom w:val="none" w:sz="0" w:space="0" w:color="auto"/>
                    <w:right w:val="none" w:sz="0" w:space="0" w:color="auto"/>
                  </w:divBdr>
                  <w:divsChild>
                    <w:div w:id="1500004019">
                      <w:marLeft w:val="0"/>
                      <w:marRight w:val="0"/>
                      <w:marTop w:val="0"/>
                      <w:marBottom w:val="0"/>
                      <w:divBdr>
                        <w:top w:val="none" w:sz="0" w:space="0" w:color="auto"/>
                        <w:left w:val="none" w:sz="0" w:space="0" w:color="auto"/>
                        <w:bottom w:val="none" w:sz="0" w:space="0" w:color="auto"/>
                        <w:right w:val="none" w:sz="0" w:space="0" w:color="auto"/>
                      </w:divBdr>
                    </w:div>
                  </w:divsChild>
                </w:div>
                <w:div w:id="1703901933">
                  <w:marLeft w:val="0"/>
                  <w:marRight w:val="0"/>
                  <w:marTop w:val="0"/>
                  <w:marBottom w:val="0"/>
                  <w:divBdr>
                    <w:top w:val="none" w:sz="0" w:space="0" w:color="auto"/>
                    <w:left w:val="none" w:sz="0" w:space="0" w:color="auto"/>
                    <w:bottom w:val="none" w:sz="0" w:space="0" w:color="auto"/>
                    <w:right w:val="none" w:sz="0" w:space="0" w:color="auto"/>
                  </w:divBdr>
                  <w:divsChild>
                    <w:div w:id="1309675297">
                      <w:marLeft w:val="0"/>
                      <w:marRight w:val="0"/>
                      <w:marTop w:val="0"/>
                      <w:marBottom w:val="0"/>
                      <w:divBdr>
                        <w:top w:val="none" w:sz="0" w:space="0" w:color="auto"/>
                        <w:left w:val="none" w:sz="0" w:space="0" w:color="auto"/>
                        <w:bottom w:val="none" w:sz="0" w:space="0" w:color="auto"/>
                        <w:right w:val="none" w:sz="0" w:space="0" w:color="auto"/>
                      </w:divBdr>
                    </w:div>
                  </w:divsChild>
                </w:div>
                <w:div w:id="1710840369">
                  <w:marLeft w:val="0"/>
                  <w:marRight w:val="0"/>
                  <w:marTop w:val="0"/>
                  <w:marBottom w:val="0"/>
                  <w:divBdr>
                    <w:top w:val="none" w:sz="0" w:space="0" w:color="auto"/>
                    <w:left w:val="none" w:sz="0" w:space="0" w:color="auto"/>
                    <w:bottom w:val="none" w:sz="0" w:space="0" w:color="auto"/>
                    <w:right w:val="none" w:sz="0" w:space="0" w:color="auto"/>
                  </w:divBdr>
                  <w:divsChild>
                    <w:div w:id="1729376292">
                      <w:marLeft w:val="0"/>
                      <w:marRight w:val="0"/>
                      <w:marTop w:val="0"/>
                      <w:marBottom w:val="0"/>
                      <w:divBdr>
                        <w:top w:val="none" w:sz="0" w:space="0" w:color="auto"/>
                        <w:left w:val="none" w:sz="0" w:space="0" w:color="auto"/>
                        <w:bottom w:val="none" w:sz="0" w:space="0" w:color="auto"/>
                        <w:right w:val="none" w:sz="0" w:space="0" w:color="auto"/>
                      </w:divBdr>
                    </w:div>
                  </w:divsChild>
                </w:div>
                <w:div w:id="1716006170">
                  <w:marLeft w:val="0"/>
                  <w:marRight w:val="0"/>
                  <w:marTop w:val="0"/>
                  <w:marBottom w:val="0"/>
                  <w:divBdr>
                    <w:top w:val="none" w:sz="0" w:space="0" w:color="auto"/>
                    <w:left w:val="none" w:sz="0" w:space="0" w:color="auto"/>
                    <w:bottom w:val="none" w:sz="0" w:space="0" w:color="auto"/>
                    <w:right w:val="none" w:sz="0" w:space="0" w:color="auto"/>
                  </w:divBdr>
                  <w:divsChild>
                    <w:div w:id="365566724">
                      <w:marLeft w:val="0"/>
                      <w:marRight w:val="0"/>
                      <w:marTop w:val="0"/>
                      <w:marBottom w:val="0"/>
                      <w:divBdr>
                        <w:top w:val="none" w:sz="0" w:space="0" w:color="auto"/>
                        <w:left w:val="none" w:sz="0" w:space="0" w:color="auto"/>
                        <w:bottom w:val="none" w:sz="0" w:space="0" w:color="auto"/>
                        <w:right w:val="none" w:sz="0" w:space="0" w:color="auto"/>
                      </w:divBdr>
                    </w:div>
                  </w:divsChild>
                </w:div>
                <w:div w:id="1722705505">
                  <w:marLeft w:val="0"/>
                  <w:marRight w:val="0"/>
                  <w:marTop w:val="0"/>
                  <w:marBottom w:val="0"/>
                  <w:divBdr>
                    <w:top w:val="none" w:sz="0" w:space="0" w:color="auto"/>
                    <w:left w:val="none" w:sz="0" w:space="0" w:color="auto"/>
                    <w:bottom w:val="none" w:sz="0" w:space="0" w:color="auto"/>
                    <w:right w:val="none" w:sz="0" w:space="0" w:color="auto"/>
                  </w:divBdr>
                  <w:divsChild>
                    <w:div w:id="1422869812">
                      <w:marLeft w:val="0"/>
                      <w:marRight w:val="0"/>
                      <w:marTop w:val="0"/>
                      <w:marBottom w:val="0"/>
                      <w:divBdr>
                        <w:top w:val="none" w:sz="0" w:space="0" w:color="auto"/>
                        <w:left w:val="none" w:sz="0" w:space="0" w:color="auto"/>
                        <w:bottom w:val="none" w:sz="0" w:space="0" w:color="auto"/>
                        <w:right w:val="none" w:sz="0" w:space="0" w:color="auto"/>
                      </w:divBdr>
                    </w:div>
                  </w:divsChild>
                </w:div>
                <w:div w:id="1733696448">
                  <w:marLeft w:val="0"/>
                  <w:marRight w:val="0"/>
                  <w:marTop w:val="0"/>
                  <w:marBottom w:val="0"/>
                  <w:divBdr>
                    <w:top w:val="none" w:sz="0" w:space="0" w:color="auto"/>
                    <w:left w:val="none" w:sz="0" w:space="0" w:color="auto"/>
                    <w:bottom w:val="none" w:sz="0" w:space="0" w:color="auto"/>
                    <w:right w:val="none" w:sz="0" w:space="0" w:color="auto"/>
                  </w:divBdr>
                  <w:divsChild>
                    <w:div w:id="182523201">
                      <w:marLeft w:val="0"/>
                      <w:marRight w:val="0"/>
                      <w:marTop w:val="0"/>
                      <w:marBottom w:val="0"/>
                      <w:divBdr>
                        <w:top w:val="none" w:sz="0" w:space="0" w:color="auto"/>
                        <w:left w:val="none" w:sz="0" w:space="0" w:color="auto"/>
                        <w:bottom w:val="none" w:sz="0" w:space="0" w:color="auto"/>
                        <w:right w:val="none" w:sz="0" w:space="0" w:color="auto"/>
                      </w:divBdr>
                    </w:div>
                  </w:divsChild>
                </w:div>
                <w:div w:id="1736857435">
                  <w:marLeft w:val="0"/>
                  <w:marRight w:val="0"/>
                  <w:marTop w:val="0"/>
                  <w:marBottom w:val="0"/>
                  <w:divBdr>
                    <w:top w:val="none" w:sz="0" w:space="0" w:color="auto"/>
                    <w:left w:val="none" w:sz="0" w:space="0" w:color="auto"/>
                    <w:bottom w:val="none" w:sz="0" w:space="0" w:color="auto"/>
                    <w:right w:val="none" w:sz="0" w:space="0" w:color="auto"/>
                  </w:divBdr>
                  <w:divsChild>
                    <w:div w:id="1526361709">
                      <w:marLeft w:val="0"/>
                      <w:marRight w:val="0"/>
                      <w:marTop w:val="0"/>
                      <w:marBottom w:val="0"/>
                      <w:divBdr>
                        <w:top w:val="none" w:sz="0" w:space="0" w:color="auto"/>
                        <w:left w:val="none" w:sz="0" w:space="0" w:color="auto"/>
                        <w:bottom w:val="none" w:sz="0" w:space="0" w:color="auto"/>
                        <w:right w:val="none" w:sz="0" w:space="0" w:color="auto"/>
                      </w:divBdr>
                    </w:div>
                    <w:div w:id="2092657974">
                      <w:marLeft w:val="0"/>
                      <w:marRight w:val="0"/>
                      <w:marTop w:val="0"/>
                      <w:marBottom w:val="0"/>
                      <w:divBdr>
                        <w:top w:val="none" w:sz="0" w:space="0" w:color="auto"/>
                        <w:left w:val="none" w:sz="0" w:space="0" w:color="auto"/>
                        <w:bottom w:val="none" w:sz="0" w:space="0" w:color="auto"/>
                        <w:right w:val="none" w:sz="0" w:space="0" w:color="auto"/>
                      </w:divBdr>
                    </w:div>
                  </w:divsChild>
                </w:div>
                <w:div w:id="1740710405">
                  <w:marLeft w:val="0"/>
                  <w:marRight w:val="0"/>
                  <w:marTop w:val="0"/>
                  <w:marBottom w:val="0"/>
                  <w:divBdr>
                    <w:top w:val="none" w:sz="0" w:space="0" w:color="auto"/>
                    <w:left w:val="none" w:sz="0" w:space="0" w:color="auto"/>
                    <w:bottom w:val="none" w:sz="0" w:space="0" w:color="auto"/>
                    <w:right w:val="none" w:sz="0" w:space="0" w:color="auto"/>
                  </w:divBdr>
                  <w:divsChild>
                    <w:div w:id="711153082">
                      <w:marLeft w:val="0"/>
                      <w:marRight w:val="0"/>
                      <w:marTop w:val="0"/>
                      <w:marBottom w:val="0"/>
                      <w:divBdr>
                        <w:top w:val="none" w:sz="0" w:space="0" w:color="auto"/>
                        <w:left w:val="none" w:sz="0" w:space="0" w:color="auto"/>
                        <w:bottom w:val="none" w:sz="0" w:space="0" w:color="auto"/>
                        <w:right w:val="none" w:sz="0" w:space="0" w:color="auto"/>
                      </w:divBdr>
                    </w:div>
                  </w:divsChild>
                </w:div>
                <w:div w:id="1746679628">
                  <w:marLeft w:val="0"/>
                  <w:marRight w:val="0"/>
                  <w:marTop w:val="0"/>
                  <w:marBottom w:val="0"/>
                  <w:divBdr>
                    <w:top w:val="none" w:sz="0" w:space="0" w:color="auto"/>
                    <w:left w:val="none" w:sz="0" w:space="0" w:color="auto"/>
                    <w:bottom w:val="none" w:sz="0" w:space="0" w:color="auto"/>
                    <w:right w:val="none" w:sz="0" w:space="0" w:color="auto"/>
                  </w:divBdr>
                  <w:divsChild>
                    <w:div w:id="33891623">
                      <w:marLeft w:val="0"/>
                      <w:marRight w:val="0"/>
                      <w:marTop w:val="0"/>
                      <w:marBottom w:val="0"/>
                      <w:divBdr>
                        <w:top w:val="none" w:sz="0" w:space="0" w:color="auto"/>
                        <w:left w:val="none" w:sz="0" w:space="0" w:color="auto"/>
                        <w:bottom w:val="none" w:sz="0" w:space="0" w:color="auto"/>
                        <w:right w:val="none" w:sz="0" w:space="0" w:color="auto"/>
                      </w:divBdr>
                    </w:div>
                  </w:divsChild>
                </w:div>
                <w:div w:id="1756122183">
                  <w:marLeft w:val="0"/>
                  <w:marRight w:val="0"/>
                  <w:marTop w:val="0"/>
                  <w:marBottom w:val="0"/>
                  <w:divBdr>
                    <w:top w:val="none" w:sz="0" w:space="0" w:color="auto"/>
                    <w:left w:val="none" w:sz="0" w:space="0" w:color="auto"/>
                    <w:bottom w:val="none" w:sz="0" w:space="0" w:color="auto"/>
                    <w:right w:val="none" w:sz="0" w:space="0" w:color="auto"/>
                  </w:divBdr>
                  <w:divsChild>
                    <w:div w:id="181672417">
                      <w:marLeft w:val="0"/>
                      <w:marRight w:val="0"/>
                      <w:marTop w:val="0"/>
                      <w:marBottom w:val="0"/>
                      <w:divBdr>
                        <w:top w:val="none" w:sz="0" w:space="0" w:color="auto"/>
                        <w:left w:val="none" w:sz="0" w:space="0" w:color="auto"/>
                        <w:bottom w:val="none" w:sz="0" w:space="0" w:color="auto"/>
                        <w:right w:val="none" w:sz="0" w:space="0" w:color="auto"/>
                      </w:divBdr>
                    </w:div>
                  </w:divsChild>
                </w:div>
                <w:div w:id="1758599460">
                  <w:marLeft w:val="0"/>
                  <w:marRight w:val="0"/>
                  <w:marTop w:val="0"/>
                  <w:marBottom w:val="0"/>
                  <w:divBdr>
                    <w:top w:val="none" w:sz="0" w:space="0" w:color="auto"/>
                    <w:left w:val="none" w:sz="0" w:space="0" w:color="auto"/>
                    <w:bottom w:val="none" w:sz="0" w:space="0" w:color="auto"/>
                    <w:right w:val="none" w:sz="0" w:space="0" w:color="auto"/>
                  </w:divBdr>
                  <w:divsChild>
                    <w:div w:id="1346446114">
                      <w:marLeft w:val="0"/>
                      <w:marRight w:val="0"/>
                      <w:marTop w:val="0"/>
                      <w:marBottom w:val="0"/>
                      <w:divBdr>
                        <w:top w:val="none" w:sz="0" w:space="0" w:color="auto"/>
                        <w:left w:val="none" w:sz="0" w:space="0" w:color="auto"/>
                        <w:bottom w:val="none" w:sz="0" w:space="0" w:color="auto"/>
                        <w:right w:val="none" w:sz="0" w:space="0" w:color="auto"/>
                      </w:divBdr>
                    </w:div>
                  </w:divsChild>
                </w:div>
                <w:div w:id="1760171943">
                  <w:marLeft w:val="0"/>
                  <w:marRight w:val="0"/>
                  <w:marTop w:val="0"/>
                  <w:marBottom w:val="0"/>
                  <w:divBdr>
                    <w:top w:val="none" w:sz="0" w:space="0" w:color="auto"/>
                    <w:left w:val="none" w:sz="0" w:space="0" w:color="auto"/>
                    <w:bottom w:val="none" w:sz="0" w:space="0" w:color="auto"/>
                    <w:right w:val="none" w:sz="0" w:space="0" w:color="auto"/>
                  </w:divBdr>
                  <w:divsChild>
                    <w:div w:id="1944218798">
                      <w:marLeft w:val="0"/>
                      <w:marRight w:val="0"/>
                      <w:marTop w:val="0"/>
                      <w:marBottom w:val="0"/>
                      <w:divBdr>
                        <w:top w:val="none" w:sz="0" w:space="0" w:color="auto"/>
                        <w:left w:val="none" w:sz="0" w:space="0" w:color="auto"/>
                        <w:bottom w:val="none" w:sz="0" w:space="0" w:color="auto"/>
                        <w:right w:val="none" w:sz="0" w:space="0" w:color="auto"/>
                      </w:divBdr>
                    </w:div>
                  </w:divsChild>
                </w:div>
                <w:div w:id="1767312817">
                  <w:marLeft w:val="0"/>
                  <w:marRight w:val="0"/>
                  <w:marTop w:val="0"/>
                  <w:marBottom w:val="0"/>
                  <w:divBdr>
                    <w:top w:val="none" w:sz="0" w:space="0" w:color="auto"/>
                    <w:left w:val="none" w:sz="0" w:space="0" w:color="auto"/>
                    <w:bottom w:val="none" w:sz="0" w:space="0" w:color="auto"/>
                    <w:right w:val="none" w:sz="0" w:space="0" w:color="auto"/>
                  </w:divBdr>
                  <w:divsChild>
                    <w:div w:id="1771317714">
                      <w:marLeft w:val="0"/>
                      <w:marRight w:val="0"/>
                      <w:marTop w:val="0"/>
                      <w:marBottom w:val="0"/>
                      <w:divBdr>
                        <w:top w:val="none" w:sz="0" w:space="0" w:color="auto"/>
                        <w:left w:val="none" w:sz="0" w:space="0" w:color="auto"/>
                        <w:bottom w:val="none" w:sz="0" w:space="0" w:color="auto"/>
                        <w:right w:val="none" w:sz="0" w:space="0" w:color="auto"/>
                      </w:divBdr>
                    </w:div>
                  </w:divsChild>
                </w:div>
                <w:div w:id="1786851219">
                  <w:marLeft w:val="0"/>
                  <w:marRight w:val="0"/>
                  <w:marTop w:val="0"/>
                  <w:marBottom w:val="0"/>
                  <w:divBdr>
                    <w:top w:val="none" w:sz="0" w:space="0" w:color="auto"/>
                    <w:left w:val="none" w:sz="0" w:space="0" w:color="auto"/>
                    <w:bottom w:val="none" w:sz="0" w:space="0" w:color="auto"/>
                    <w:right w:val="none" w:sz="0" w:space="0" w:color="auto"/>
                  </w:divBdr>
                  <w:divsChild>
                    <w:div w:id="2073188374">
                      <w:marLeft w:val="0"/>
                      <w:marRight w:val="0"/>
                      <w:marTop w:val="0"/>
                      <w:marBottom w:val="0"/>
                      <w:divBdr>
                        <w:top w:val="none" w:sz="0" w:space="0" w:color="auto"/>
                        <w:left w:val="none" w:sz="0" w:space="0" w:color="auto"/>
                        <w:bottom w:val="none" w:sz="0" w:space="0" w:color="auto"/>
                        <w:right w:val="none" w:sz="0" w:space="0" w:color="auto"/>
                      </w:divBdr>
                    </w:div>
                  </w:divsChild>
                </w:div>
                <w:div w:id="1788618087">
                  <w:marLeft w:val="0"/>
                  <w:marRight w:val="0"/>
                  <w:marTop w:val="0"/>
                  <w:marBottom w:val="0"/>
                  <w:divBdr>
                    <w:top w:val="none" w:sz="0" w:space="0" w:color="auto"/>
                    <w:left w:val="none" w:sz="0" w:space="0" w:color="auto"/>
                    <w:bottom w:val="none" w:sz="0" w:space="0" w:color="auto"/>
                    <w:right w:val="none" w:sz="0" w:space="0" w:color="auto"/>
                  </w:divBdr>
                  <w:divsChild>
                    <w:div w:id="1886406594">
                      <w:marLeft w:val="0"/>
                      <w:marRight w:val="0"/>
                      <w:marTop w:val="0"/>
                      <w:marBottom w:val="0"/>
                      <w:divBdr>
                        <w:top w:val="none" w:sz="0" w:space="0" w:color="auto"/>
                        <w:left w:val="none" w:sz="0" w:space="0" w:color="auto"/>
                        <w:bottom w:val="none" w:sz="0" w:space="0" w:color="auto"/>
                        <w:right w:val="none" w:sz="0" w:space="0" w:color="auto"/>
                      </w:divBdr>
                    </w:div>
                  </w:divsChild>
                </w:div>
                <w:div w:id="1801848847">
                  <w:marLeft w:val="0"/>
                  <w:marRight w:val="0"/>
                  <w:marTop w:val="0"/>
                  <w:marBottom w:val="0"/>
                  <w:divBdr>
                    <w:top w:val="none" w:sz="0" w:space="0" w:color="auto"/>
                    <w:left w:val="none" w:sz="0" w:space="0" w:color="auto"/>
                    <w:bottom w:val="none" w:sz="0" w:space="0" w:color="auto"/>
                    <w:right w:val="none" w:sz="0" w:space="0" w:color="auto"/>
                  </w:divBdr>
                  <w:divsChild>
                    <w:div w:id="549152418">
                      <w:marLeft w:val="0"/>
                      <w:marRight w:val="0"/>
                      <w:marTop w:val="0"/>
                      <w:marBottom w:val="0"/>
                      <w:divBdr>
                        <w:top w:val="none" w:sz="0" w:space="0" w:color="auto"/>
                        <w:left w:val="none" w:sz="0" w:space="0" w:color="auto"/>
                        <w:bottom w:val="none" w:sz="0" w:space="0" w:color="auto"/>
                        <w:right w:val="none" w:sz="0" w:space="0" w:color="auto"/>
                      </w:divBdr>
                    </w:div>
                  </w:divsChild>
                </w:div>
                <w:div w:id="1802646380">
                  <w:marLeft w:val="0"/>
                  <w:marRight w:val="0"/>
                  <w:marTop w:val="0"/>
                  <w:marBottom w:val="0"/>
                  <w:divBdr>
                    <w:top w:val="none" w:sz="0" w:space="0" w:color="auto"/>
                    <w:left w:val="none" w:sz="0" w:space="0" w:color="auto"/>
                    <w:bottom w:val="none" w:sz="0" w:space="0" w:color="auto"/>
                    <w:right w:val="none" w:sz="0" w:space="0" w:color="auto"/>
                  </w:divBdr>
                  <w:divsChild>
                    <w:div w:id="345256950">
                      <w:marLeft w:val="0"/>
                      <w:marRight w:val="0"/>
                      <w:marTop w:val="0"/>
                      <w:marBottom w:val="0"/>
                      <w:divBdr>
                        <w:top w:val="none" w:sz="0" w:space="0" w:color="auto"/>
                        <w:left w:val="none" w:sz="0" w:space="0" w:color="auto"/>
                        <w:bottom w:val="none" w:sz="0" w:space="0" w:color="auto"/>
                        <w:right w:val="none" w:sz="0" w:space="0" w:color="auto"/>
                      </w:divBdr>
                    </w:div>
                  </w:divsChild>
                </w:div>
                <w:div w:id="1819493261">
                  <w:marLeft w:val="0"/>
                  <w:marRight w:val="0"/>
                  <w:marTop w:val="0"/>
                  <w:marBottom w:val="0"/>
                  <w:divBdr>
                    <w:top w:val="none" w:sz="0" w:space="0" w:color="auto"/>
                    <w:left w:val="none" w:sz="0" w:space="0" w:color="auto"/>
                    <w:bottom w:val="none" w:sz="0" w:space="0" w:color="auto"/>
                    <w:right w:val="none" w:sz="0" w:space="0" w:color="auto"/>
                  </w:divBdr>
                  <w:divsChild>
                    <w:div w:id="1246454447">
                      <w:marLeft w:val="0"/>
                      <w:marRight w:val="0"/>
                      <w:marTop w:val="0"/>
                      <w:marBottom w:val="0"/>
                      <w:divBdr>
                        <w:top w:val="none" w:sz="0" w:space="0" w:color="auto"/>
                        <w:left w:val="none" w:sz="0" w:space="0" w:color="auto"/>
                        <w:bottom w:val="none" w:sz="0" w:space="0" w:color="auto"/>
                        <w:right w:val="none" w:sz="0" w:space="0" w:color="auto"/>
                      </w:divBdr>
                    </w:div>
                  </w:divsChild>
                </w:div>
                <w:div w:id="1826512465">
                  <w:marLeft w:val="0"/>
                  <w:marRight w:val="0"/>
                  <w:marTop w:val="0"/>
                  <w:marBottom w:val="0"/>
                  <w:divBdr>
                    <w:top w:val="none" w:sz="0" w:space="0" w:color="auto"/>
                    <w:left w:val="none" w:sz="0" w:space="0" w:color="auto"/>
                    <w:bottom w:val="none" w:sz="0" w:space="0" w:color="auto"/>
                    <w:right w:val="none" w:sz="0" w:space="0" w:color="auto"/>
                  </w:divBdr>
                  <w:divsChild>
                    <w:div w:id="2142377938">
                      <w:marLeft w:val="0"/>
                      <w:marRight w:val="0"/>
                      <w:marTop w:val="0"/>
                      <w:marBottom w:val="0"/>
                      <w:divBdr>
                        <w:top w:val="none" w:sz="0" w:space="0" w:color="auto"/>
                        <w:left w:val="none" w:sz="0" w:space="0" w:color="auto"/>
                        <w:bottom w:val="none" w:sz="0" w:space="0" w:color="auto"/>
                        <w:right w:val="none" w:sz="0" w:space="0" w:color="auto"/>
                      </w:divBdr>
                    </w:div>
                  </w:divsChild>
                </w:div>
                <w:div w:id="1836874337">
                  <w:marLeft w:val="0"/>
                  <w:marRight w:val="0"/>
                  <w:marTop w:val="0"/>
                  <w:marBottom w:val="0"/>
                  <w:divBdr>
                    <w:top w:val="none" w:sz="0" w:space="0" w:color="auto"/>
                    <w:left w:val="none" w:sz="0" w:space="0" w:color="auto"/>
                    <w:bottom w:val="none" w:sz="0" w:space="0" w:color="auto"/>
                    <w:right w:val="none" w:sz="0" w:space="0" w:color="auto"/>
                  </w:divBdr>
                  <w:divsChild>
                    <w:div w:id="1353415858">
                      <w:marLeft w:val="0"/>
                      <w:marRight w:val="0"/>
                      <w:marTop w:val="0"/>
                      <w:marBottom w:val="0"/>
                      <w:divBdr>
                        <w:top w:val="none" w:sz="0" w:space="0" w:color="auto"/>
                        <w:left w:val="none" w:sz="0" w:space="0" w:color="auto"/>
                        <w:bottom w:val="none" w:sz="0" w:space="0" w:color="auto"/>
                        <w:right w:val="none" w:sz="0" w:space="0" w:color="auto"/>
                      </w:divBdr>
                    </w:div>
                  </w:divsChild>
                </w:div>
                <w:div w:id="1853954642">
                  <w:marLeft w:val="0"/>
                  <w:marRight w:val="0"/>
                  <w:marTop w:val="0"/>
                  <w:marBottom w:val="0"/>
                  <w:divBdr>
                    <w:top w:val="none" w:sz="0" w:space="0" w:color="auto"/>
                    <w:left w:val="none" w:sz="0" w:space="0" w:color="auto"/>
                    <w:bottom w:val="none" w:sz="0" w:space="0" w:color="auto"/>
                    <w:right w:val="none" w:sz="0" w:space="0" w:color="auto"/>
                  </w:divBdr>
                  <w:divsChild>
                    <w:div w:id="391736504">
                      <w:marLeft w:val="0"/>
                      <w:marRight w:val="0"/>
                      <w:marTop w:val="0"/>
                      <w:marBottom w:val="0"/>
                      <w:divBdr>
                        <w:top w:val="none" w:sz="0" w:space="0" w:color="auto"/>
                        <w:left w:val="none" w:sz="0" w:space="0" w:color="auto"/>
                        <w:bottom w:val="none" w:sz="0" w:space="0" w:color="auto"/>
                        <w:right w:val="none" w:sz="0" w:space="0" w:color="auto"/>
                      </w:divBdr>
                    </w:div>
                  </w:divsChild>
                </w:div>
                <w:div w:id="1875383536">
                  <w:marLeft w:val="0"/>
                  <w:marRight w:val="0"/>
                  <w:marTop w:val="0"/>
                  <w:marBottom w:val="0"/>
                  <w:divBdr>
                    <w:top w:val="none" w:sz="0" w:space="0" w:color="auto"/>
                    <w:left w:val="none" w:sz="0" w:space="0" w:color="auto"/>
                    <w:bottom w:val="none" w:sz="0" w:space="0" w:color="auto"/>
                    <w:right w:val="none" w:sz="0" w:space="0" w:color="auto"/>
                  </w:divBdr>
                  <w:divsChild>
                    <w:div w:id="456293508">
                      <w:marLeft w:val="0"/>
                      <w:marRight w:val="0"/>
                      <w:marTop w:val="0"/>
                      <w:marBottom w:val="0"/>
                      <w:divBdr>
                        <w:top w:val="none" w:sz="0" w:space="0" w:color="auto"/>
                        <w:left w:val="none" w:sz="0" w:space="0" w:color="auto"/>
                        <w:bottom w:val="none" w:sz="0" w:space="0" w:color="auto"/>
                        <w:right w:val="none" w:sz="0" w:space="0" w:color="auto"/>
                      </w:divBdr>
                    </w:div>
                  </w:divsChild>
                </w:div>
                <w:div w:id="1877697217">
                  <w:marLeft w:val="0"/>
                  <w:marRight w:val="0"/>
                  <w:marTop w:val="0"/>
                  <w:marBottom w:val="0"/>
                  <w:divBdr>
                    <w:top w:val="none" w:sz="0" w:space="0" w:color="auto"/>
                    <w:left w:val="none" w:sz="0" w:space="0" w:color="auto"/>
                    <w:bottom w:val="none" w:sz="0" w:space="0" w:color="auto"/>
                    <w:right w:val="none" w:sz="0" w:space="0" w:color="auto"/>
                  </w:divBdr>
                  <w:divsChild>
                    <w:div w:id="933316839">
                      <w:marLeft w:val="0"/>
                      <w:marRight w:val="0"/>
                      <w:marTop w:val="0"/>
                      <w:marBottom w:val="0"/>
                      <w:divBdr>
                        <w:top w:val="none" w:sz="0" w:space="0" w:color="auto"/>
                        <w:left w:val="none" w:sz="0" w:space="0" w:color="auto"/>
                        <w:bottom w:val="none" w:sz="0" w:space="0" w:color="auto"/>
                        <w:right w:val="none" w:sz="0" w:space="0" w:color="auto"/>
                      </w:divBdr>
                    </w:div>
                  </w:divsChild>
                </w:div>
                <w:div w:id="1879514078">
                  <w:marLeft w:val="0"/>
                  <w:marRight w:val="0"/>
                  <w:marTop w:val="0"/>
                  <w:marBottom w:val="0"/>
                  <w:divBdr>
                    <w:top w:val="none" w:sz="0" w:space="0" w:color="auto"/>
                    <w:left w:val="none" w:sz="0" w:space="0" w:color="auto"/>
                    <w:bottom w:val="none" w:sz="0" w:space="0" w:color="auto"/>
                    <w:right w:val="none" w:sz="0" w:space="0" w:color="auto"/>
                  </w:divBdr>
                  <w:divsChild>
                    <w:div w:id="478151546">
                      <w:marLeft w:val="0"/>
                      <w:marRight w:val="0"/>
                      <w:marTop w:val="0"/>
                      <w:marBottom w:val="0"/>
                      <w:divBdr>
                        <w:top w:val="none" w:sz="0" w:space="0" w:color="auto"/>
                        <w:left w:val="none" w:sz="0" w:space="0" w:color="auto"/>
                        <w:bottom w:val="none" w:sz="0" w:space="0" w:color="auto"/>
                        <w:right w:val="none" w:sz="0" w:space="0" w:color="auto"/>
                      </w:divBdr>
                    </w:div>
                  </w:divsChild>
                </w:div>
                <w:div w:id="1883512306">
                  <w:marLeft w:val="0"/>
                  <w:marRight w:val="0"/>
                  <w:marTop w:val="0"/>
                  <w:marBottom w:val="0"/>
                  <w:divBdr>
                    <w:top w:val="none" w:sz="0" w:space="0" w:color="auto"/>
                    <w:left w:val="none" w:sz="0" w:space="0" w:color="auto"/>
                    <w:bottom w:val="none" w:sz="0" w:space="0" w:color="auto"/>
                    <w:right w:val="none" w:sz="0" w:space="0" w:color="auto"/>
                  </w:divBdr>
                  <w:divsChild>
                    <w:div w:id="1811440336">
                      <w:marLeft w:val="0"/>
                      <w:marRight w:val="0"/>
                      <w:marTop w:val="0"/>
                      <w:marBottom w:val="0"/>
                      <w:divBdr>
                        <w:top w:val="none" w:sz="0" w:space="0" w:color="auto"/>
                        <w:left w:val="none" w:sz="0" w:space="0" w:color="auto"/>
                        <w:bottom w:val="none" w:sz="0" w:space="0" w:color="auto"/>
                        <w:right w:val="none" w:sz="0" w:space="0" w:color="auto"/>
                      </w:divBdr>
                    </w:div>
                  </w:divsChild>
                </w:div>
                <w:div w:id="1886720965">
                  <w:marLeft w:val="0"/>
                  <w:marRight w:val="0"/>
                  <w:marTop w:val="0"/>
                  <w:marBottom w:val="0"/>
                  <w:divBdr>
                    <w:top w:val="none" w:sz="0" w:space="0" w:color="auto"/>
                    <w:left w:val="none" w:sz="0" w:space="0" w:color="auto"/>
                    <w:bottom w:val="none" w:sz="0" w:space="0" w:color="auto"/>
                    <w:right w:val="none" w:sz="0" w:space="0" w:color="auto"/>
                  </w:divBdr>
                  <w:divsChild>
                    <w:div w:id="472140645">
                      <w:marLeft w:val="0"/>
                      <w:marRight w:val="0"/>
                      <w:marTop w:val="0"/>
                      <w:marBottom w:val="0"/>
                      <w:divBdr>
                        <w:top w:val="none" w:sz="0" w:space="0" w:color="auto"/>
                        <w:left w:val="none" w:sz="0" w:space="0" w:color="auto"/>
                        <w:bottom w:val="none" w:sz="0" w:space="0" w:color="auto"/>
                        <w:right w:val="none" w:sz="0" w:space="0" w:color="auto"/>
                      </w:divBdr>
                    </w:div>
                  </w:divsChild>
                </w:div>
                <w:div w:id="1887835926">
                  <w:marLeft w:val="0"/>
                  <w:marRight w:val="0"/>
                  <w:marTop w:val="0"/>
                  <w:marBottom w:val="0"/>
                  <w:divBdr>
                    <w:top w:val="none" w:sz="0" w:space="0" w:color="auto"/>
                    <w:left w:val="none" w:sz="0" w:space="0" w:color="auto"/>
                    <w:bottom w:val="none" w:sz="0" w:space="0" w:color="auto"/>
                    <w:right w:val="none" w:sz="0" w:space="0" w:color="auto"/>
                  </w:divBdr>
                  <w:divsChild>
                    <w:div w:id="13655553">
                      <w:marLeft w:val="0"/>
                      <w:marRight w:val="0"/>
                      <w:marTop w:val="0"/>
                      <w:marBottom w:val="0"/>
                      <w:divBdr>
                        <w:top w:val="none" w:sz="0" w:space="0" w:color="auto"/>
                        <w:left w:val="none" w:sz="0" w:space="0" w:color="auto"/>
                        <w:bottom w:val="none" w:sz="0" w:space="0" w:color="auto"/>
                        <w:right w:val="none" w:sz="0" w:space="0" w:color="auto"/>
                      </w:divBdr>
                    </w:div>
                  </w:divsChild>
                </w:div>
                <w:div w:id="1895045586">
                  <w:marLeft w:val="0"/>
                  <w:marRight w:val="0"/>
                  <w:marTop w:val="0"/>
                  <w:marBottom w:val="0"/>
                  <w:divBdr>
                    <w:top w:val="none" w:sz="0" w:space="0" w:color="auto"/>
                    <w:left w:val="none" w:sz="0" w:space="0" w:color="auto"/>
                    <w:bottom w:val="none" w:sz="0" w:space="0" w:color="auto"/>
                    <w:right w:val="none" w:sz="0" w:space="0" w:color="auto"/>
                  </w:divBdr>
                  <w:divsChild>
                    <w:div w:id="1738433729">
                      <w:marLeft w:val="0"/>
                      <w:marRight w:val="0"/>
                      <w:marTop w:val="0"/>
                      <w:marBottom w:val="0"/>
                      <w:divBdr>
                        <w:top w:val="none" w:sz="0" w:space="0" w:color="auto"/>
                        <w:left w:val="none" w:sz="0" w:space="0" w:color="auto"/>
                        <w:bottom w:val="none" w:sz="0" w:space="0" w:color="auto"/>
                        <w:right w:val="none" w:sz="0" w:space="0" w:color="auto"/>
                      </w:divBdr>
                    </w:div>
                  </w:divsChild>
                </w:div>
                <w:div w:id="1897543977">
                  <w:marLeft w:val="0"/>
                  <w:marRight w:val="0"/>
                  <w:marTop w:val="0"/>
                  <w:marBottom w:val="0"/>
                  <w:divBdr>
                    <w:top w:val="none" w:sz="0" w:space="0" w:color="auto"/>
                    <w:left w:val="none" w:sz="0" w:space="0" w:color="auto"/>
                    <w:bottom w:val="none" w:sz="0" w:space="0" w:color="auto"/>
                    <w:right w:val="none" w:sz="0" w:space="0" w:color="auto"/>
                  </w:divBdr>
                  <w:divsChild>
                    <w:div w:id="1097826189">
                      <w:marLeft w:val="0"/>
                      <w:marRight w:val="0"/>
                      <w:marTop w:val="0"/>
                      <w:marBottom w:val="0"/>
                      <w:divBdr>
                        <w:top w:val="none" w:sz="0" w:space="0" w:color="auto"/>
                        <w:left w:val="none" w:sz="0" w:space="0" w:color="auto"/>
                        <w:bottom w:val="none" w:sz="0" w:space="0" w:color="auto"/>
                        <w:right w:val="none" w:sz="0" w:space="0" w:color="auto"/>
                      </w:divBdr>
                    </w:div>
                  </w:divsChild>
                </w:div>
                <w:div w:id="1902325926">
                  <w:marLeft w:val="0"/>
                  <w:marRight w:val="0"/>
                  <w:marTop w:val="0"/>
                  <w:marBottom w:val="0"/>
                  <w:divBdr>
                    <w:top w:val="none" w:sz="0" w:space="0" w:color="auto"/>
                    <w:left w:val="none" w:sz="0" w:space="0" w:color="auto"/>
                    <w:bottom w:val="none" w:sz="0" w:space="0" w:color="auto"/>
                    <w:right w:val="none" w:sz="0" w:space="0" w:color="auto"/>
                  </w:divBdr>
                  <w:divsChild>
                    <w:div w:id="1960410227">
                      <w:marLeft w:val="0"/>
                      <w:marRight w:val="0"/>
                      <w:marTop w:val="0"/>
                      <w:marBottom w:val="0"/>
                      <w:divBdr>
                        <w:top w:val="none" w:sz="0" w:space="0" w:color="auto"/>
                        <w:left w:val="none" w:sz="0" w:space="0" w:color="auto"/>
                        <w:bottom w:val="none" w:sz="0" w:space="0" w:color="auto"/>
                        <w:right w:val="none" w:sz="0" w:space="0" w:color="auto"/>
                      </w:divBdr>
                    </w:div>
                  </w:divsChild>
                </w:div>
                <w:div w:id="1918441236">
                  <w:marLeft w:val="0"/>
                  <w:marRight w:val="0"/>
                  <w:marTop w:val="0"/>
                  <w:marBottom w:val="0"/>
                  <w:divBdr>
                    <w:top w:val="none" w:sz="0" w:space="0" w:color="auto"/>
                    <w:left w:val="none" w:sz="0" w:space="0" w:color="auto"/>
                    <w:bottom w:val="none" w:sz="0" w:space="0" w:color="auto"/>
                    <w:right w:val="none" w:sz="0" w:space="0" w:color="auto"/>
                  </w:divBdr>
                  <w:divsChild>
                    <w:div w:id="240650720">
                      <w:marLeft w:val="0"/>
                      <w:marRight w:val="0"/>
                      <w:marTop w:val="0"/>
                      <w:marBottom w:val="0"/>
                      <w:divBdr>
                        <w:top w:val="none" w:sz="0" w:space="0" w:color="auto"/>
                        <w:left w:val="none" w:sz="0" w:space="0" w:color="auto"/>
                        <w:bottom w:val="none" w:sz="0" w:space="0" w:color="auto"/>
                        <w:right w:val="none" w:sz="0" w:space="0" w:color="auto"/>
                      </w:divBdr>
                    </w:div>
                  </w:divsChild>
                </w:div>
                <w:div w:id="1927882019">
                  <w:marLeft w:val="0"/>
                  <w:marRight w:val="0"/>
                  <w:marTop w:val="0"/>
                  <w:marBottom w:val="0"/>
                  <w:divBdr>
                    <w:top w:val="none" w:sz="0" w:space="0" w:color="auto"/>
                    <w:left w:val="none" w:sz="0" w:space="0" w:color="auto"/>
                    <w:bottom w:val="none" w:sz="0" w:space="0" w:color="auto"/>
                    <w:right w:val="none" w:sz="0" w:space="0" w:color="auto"/>
                  </w:divBdr>
                  <w:divsChild>
                    <w:div w:id="518155044">
                      <w:marLeft w:val="0"/>
                      <w:marRight w:val="0"/>
                      <w:marTop w:val="0"/>
                      <w:marBottom w:val="0"/>
                      <w:divBdr>
                        <w:top w:val="none" w:sz="0" w:space="0" w:color="auto"/>
                        <w:left w:val="none" w:sz="0" w:space="0" w:color="auto"/>
                        <w:bottom w:val="none" w:sz="0" w:space="0" w:color="auto"/>
                        <w:right w:val="none" w:sz="0" w:space="0" w:color="auto"/>
                      </w:divBdr>
                    </w:div>
                  </w:divsChild>
                </w:div>
                <w:div w:id="1936278491">
                  <w:marLeft w:val="0"/>
                  <w:marRight w:val="0"/>
                  <w:marTop w:val="0"/>
                  <w:marBottom w:val="0"/>
                  <w:divBdr>
                    <w:top w:val="none" w:sz="0" w:space="0" w:color="auto"/>
                    <w:left w:val="none" w:sz="0" w:space="0" w:color="auto"/>
                    <w:bottom w:val="none" w:sz="0" w:space="0" w:color="auto"/>
                    <w:right w:val="none" w:sz="0" w:space="0" w:color="auto"/>
                  </w:divBdr>
                  <w:divsChild>
                    <w:div w:id="176772899">
                      <w:marLeft w:val="0"/>
                      <w:marRight w:val="0"/>
                      <w:marTop w:val="0"/>
                      <w:marBottom w:val="0"/>
                      <w:divBdr>
                        <w:top w:val="none" w:sz="0" w:space="0" w:color="auto"/>
                        <w:left w:val="none" w:sz="0" w:space="0" w:color="auto"/>
                        <w:bottom w:val="none" w:sz="0" w:space="0" w:color="auto"/>
                        <w:right w:val="none" w:sz="0" w:space="0" w:color="auto"/>
                      </w:divBdr>
                    </w:div>
                  </w:divsChild>
                </w:div>
                <w:div w:id="1939822866">
                  <w:marLeft w:val="0"/>
                  <w:marRight w:val="0"/>
                  <w:marTop w:val="0"/>
                  <w:marBottom w:val="0"/>
                  <w:divBdr>
                    <w:top w:val="none" w:sz="0" w:space="0" w:color="auto"/>
                    <w:left w:val="none" w:sz="0" w:space="0" w:color="auto"/>
                    <w:bottom w:val="none" w:sz="0" w:space="0" w:color="auto"/>
                    <w:right w:val="none" w:sz="0" w:space="0" w:color="auto"/>
                  </w:divBdr>
                  <w:divsChild>
                    <w:div w:id="2040662149">
                      <w:marLeft w:val="0"/>
                      <w:marRight w:val="0"/>
                      <w:marTop w:val="0"/>
                      <w:marBottom w:val="0"/>
                      <w:divBdr>
                        <w:top w:val="none" w:sz="0" w:space="0" w:color="auto"/>
                        <w:left w:val="none" w:sz="0" w:space="0" w:color="auto"/>
                        <w:bottom w:val="none" w:sz="0" w:space="0" w:color="auto"/>
                        <w:right w:val="none" w:sz="0" w:space="0" w:color="auto"/>
                      </w:divBdr>
                    </w:div>
                  </w:divsChild>
                </w:div>
                <w:div w:id="1946617592">
                  <w:marLeft w:val="0"/>
                  <w:marRight w:val="0"/>
                  <w:marTop w:val="0"/>
                  <w:marBottom w:val="0"/>
                  <w:divBdr>
                    <w:top w:val="none" w:sz="0" w:space="0" w:color="auto"/>
                    <w:left w:val="none" w:sz="0" w:space="0" w:color="auto"/>
                    <w:bottom w:val="none" w:sz="0" w:space="0" w:color="auto"/>
                    <w:right w:val="none" w:sz="0" w:space="0" w:color="auto"/>
                  </w:divBdr>
                  <w:divsChild>
                    <w:div w:id="56325928">
                      <w:marLeft w:val="0"/>
                      <w:marRight w:val="0"/>
                      <w:marTop w:val="0"/>
                      <w:marBottom w:val="0"/>
                      <w:divBdr>
                        <w:top w:val="none" w:sz="0" w:space="0" w:color="auto"/>
                        <w:left w:val="none" w:sz="0" w:space="0" w:color="auto"/>
                        <w:bottom w:val="none" w:sz="0" w:space="0" w:color="auto"/>
                        <w:right w:val="none" w:sz="0" w:space="0" w:color="auto"/>
                      </w:divBdr>
                    </w:div>
                  </w:divsChild>
                </w:div>
                <w:div w:id="1950236495">
                  <w:marLeft w:val="0"/>
                  <w:marRight w:val="0"/>
                  <w:marTop w:val="0"/>
                  <w:marBottom w:val="0"/>
                  <w:divBdr>
                    <w:top w:val="none" w:sz="0" w:space="0" w:color="auto"/>
                    <w:left w:val="none" w:sz="0" w:space="0" w:color="auto"/>
                    <w:bottom w:val="none" w:sz="0" w:space="0" w:color="auto"/>
                    <w:right w:val="none" w:sz="0" w:space="0" w:color="auto"/>
                  </w:divBdr>
                  <w:divsChild>
                    <w:div w:id="568881992">
                      <w:marLeft w:val="0"/>
                      <w:marRight w:val="0"/>
                      <w:marTop w:val="0"/>
                      <w:marBottom w:val="0"/>
                      <w:divBdr>
                        <w:top w:val="none" w:sz="0" w:space="0" w:color="auto"/>
                        <w:left w:val="none" w:sz="0" w:space="0" w:color="auto"/>
                        <w:bottom w:val="none" w:sz="0" w:space="0" w:color="auto"/>
                        <w:right w:val="none" w:sz="0" w:space="0" w:color="auto"/>
                      </w:divBdr>
                    </w:div>
                    <w:div w:id="719550352">
                      <w:marLeft w:val="0"/>
                      <w:marRight w:val="0"/>
                      <w:marTop w:val="0"/>
                      <w:marBottom w:val="0"/>
                      <w:divBdr>
                        <w:top w:val="none" w:sz="0" w:space="0" w:color="auto"/>
                        <w:left w:val="none" w:sz="0" w:space="0" w:color="auto"/>
                        <w:bottom w:val="none" w:sz="0" w:space="0" w:color="auto"/>
                        <w:right w:val="none" w:sz="0" w:space="0" w:color="auto"/>
                      </w:divBdr>
                    </w:div>
                  </w:divsChild>
                </w:div>
                <w:div w:id="1966304621">
                  <w:marLeft w:val="0"/>
                  <w:marRight w:val="0"/>
                  <w:marTop w:val="0"/>
                  <w:marBottom w:val="0"/>
                  <w:divBdr>
                    <w:top w:val="none" w:sz="0" w:space="0" w:color="auto"/>
                    <w:left w:val="none" w:sz="0" w:space="0" w:color="auto"/>
                    <w:bottom w:val="none" w:sz="0" w:space="0" w:color="auto"/>
                    <w:right w:val="none" w:sz="0" w:space="0" w:color="auto"/>
                  </w:divBdr>
                  <w:divsChild>
                    <w:div w:id="125201619">
                      <w:marLeft w:val="0"/>
                      <w:marRight w:val="0"/>
                      <w:marTop w:val="0"/>
                      <w:marBottom w:val="0"/>
                      <w:divBdr>
                        <w:top w:val="none" w:sz="0" w:space="0" w:color="auto"/>
                        <w:left w:val="none" w:sz="0" w:space="0" w:color="auto"/>
                        <w:bottom w:val="none" w:sz="0" w:space="0" w:color="auto"/>
                        <w:right w:val="none" w:sz="0" w:space="0" w:color="auto"/>
                      </w:divBdr>
                    </w:div>
                  </w:divsChild>
                </w:div>
                <w:div w:id="1968586471">
                  <w:marLeft w:val="0"/>
                  <w:marRight w:val="0"/>
                  <w:marTop w:val="0"/>
                  <w:marBottom w:val="0"/>
                  <w:divBdr>
                    <w:top w:val="none" w:sz="0" w:space="0" w:color="auto"/>
                    <w:left w:val="none" w:sz="0" w:space="0" w:color="auto"/>
                    <w:bottom w:val="none" w:sz="0" w:space="0" w:color="auto"/>
                    <w:right w:val="none" w:sz="0" w:space="0" w:color="auto"/>
                  </w:divBdr>
                  <w:divsChild>
                    <w:div w:id="1528567055">
                      <w:marLeft w:val="0"/>
                      <w:marRight w:val="0"/>
                      <w:marTop w:val="0"/>
                      <w:marBottom w:val="0"/>
                      <w:divBdr>
                        <w:top w:val="none" w:sz="0" w:space="0" w:color="auto"/>
                        <w:left w:val="none" w:sz="0" w:space="0" w:color="auto"/>
                        <w:bottom w:val="none" w:sz="0" w:space="0" w:color="auto"/>
                        <w:right w:val="none" w:sz="0" w:space="0" w:color="auto"/>
                      </w:divBdr>
                    </w:div>
                  </w:divsChild>
                </w:div>
                <w:div w:id="1971742030">
                  <w:marLeft w:val="0"/>
                  <w:marRight w:val="0"/>
                  <w:marTop w:val="0"/>
                  <w:marBottom w:val="0"/>
                  <w:divBdr>
                    <w:top w:val="none" w:sz="0" w:space="0" w:color="auto"/>
                    <w:left w:val="none" w:sz="0" w:space="0" w:color="auto"/>
                    <w:bottom w:val="none" w:sz="0" w:space="0" w:color="auto"/>
                    <w:right w:val="none" w:sz="0" w:space="0" w:color="auto"/>
                  </w:divBdr>
                  <w:divsChild>
                    <w:div w:id="1650285057">
                      <w:marLeft w:val="0"/>
                      <w:marRight w:val="0"/>
                      <w:marTop w:val="0"/>
                      <w:marBottom w:val="0"/>
                      <w:divBdr>
                        <w:top w:val="none" w:sz="0" w:space="0" w:color="auto"/>
                        <w:left w:val="none" w:sz="0" w:space="0" w:color="auto"/>
                        <w:bottom w:val="none" w:sz="0" w:space="0" w:color="auto"/>
                        <w:right w:val="none" w:sz="0" w:space="0" w:color="auto"/>
                      </w:divBdr>
                    </w:div>
                  </w:divsChild>
                </w:div>
                <w:div w:id="1975719732">
                  <w:marLeft w:val="0"/>
                  <w:marRight w:val="0"/>
                  <w:marTop w:val="0"/>
                  <w:marBottom w:val="0"/>
                  <w:divBdr>
                    <w:top w:val="none" w:sz="0" w:space="0" w:color="auto"/>
                    <w:left w:val="none" w:sz="0" w:space="0" w:color="auto"/>
                    <w:bottom w:val="none" w:sz="0" w:space="0" w:color="auto"/>
                    <w:right w:val="none" w:sz="0" w:space="0" w:color="auto"/>
                  </w:divBdr>
                  <w:divsChild>
                    <w:div w:id="1105999832">
                      <w:marLeft w:val="0"/>
                      <w:marRight w:val="0"/>
                      <w:marTop w:val="0"/>
                      <w:marBottom w:val="0"/>
                      <w:divBdr>
                        <w:top w:val="none" w:sz="0" w:space="0" w:color="auto"/>
                        <w:left w:val="none" w:sz="0" w:space="0" w:color="auto"/>
                        <w:bottom w:val="none" w:sz="0" w:space="0" w:color="auto"/>
                        <w:right w:val="none" w:sz="0" w:space="0" w:color="auto"/>
                      </w:divBdr>
                    </w:div>
                  </w:divsChild>
                </w:div>
                <w:div w:id="1984113229">
                  <w:marLeft w:val="0"/>
                  <w:marRight w:val="0"/>
                  <w:marTop w:val="0"/>
                  <w:marBottom w:val="0"/>
                  <w:divBdr>
                    <w:top w:val="none" w:sz="0" w:space="0" w:color="auto"/>
                    <w:left w:val="none" w:sz="0" w:space="0" w:color="auto"/>
                    <w:bottom w:val="none" w:sz="0" w:space="0" w:color="auto"/>
                    <w:right w:val="none" w:sz="0" w:space="0" w:color="auto"/>
                  </w:divBdr>
                  <w:divsChild>
                    <w:div w:id="1212107541">
                      <w:marLeft w:val="0"/>
                      <w:marRight w:val="0"/>
                      <w:marTop w:val="0"/>
                      <w:marBottom w:val="0"/>
                      <w:divBdr>
                        <w:top w:val="none" w:sz="0" w:space="0" w:color="auto"/>
                        <w:left w:val="none" w:sz="0" w:space="0" w:color="auto"/>
                        <w:bottom w:val="none" w:sz="0" w:space="0" w:color="auto"/>
                        <w:right w:val="none" w:sz="0" w:space="0" w:color="auto"/>
                      </w:divBdr>
                    </w:div>
                  </w:divsChild>
                </w:div>
                <w:div w:id="1985423554">
                  <w:marLeft w:val="0"/>
                  <w:marRight w:val="0"/>
                  <w:marTop w:val="0"/>
                  <w:marBottom w:val="0"/>
                  <w:divBdr>
                    <w:top w:val="none" w:sz="0" w:space="0" w:color="auto"/>
                    <w:left w:val="none" w:sz="0" w:space="0" w:color="auto"/>
                    <w:bottom w:val="none" w:sz="0" w:space="0" w:color="auto"/>
                    <w:right w:val="none" w:sz="0" w:space="0" w:color="auto"/>
                  </w:divBdr>
                  <w:divsChild>
                    <w:div w:id="1198662661">
                      <w:marLeft w:val="0"/>
                      <w:marRight w:val="0"/>
                      <w:marTop w:val="0"/>
                      <w:marBottom w:val="0"/>
                      <w:divBdr>
                        <w:top w:val="none" w:sz="0" w:space="0" w:color="auto"/>
                        <w:left w:val="none" w:sz="0" w:space="0" w:color="auto"/>
                        <w:bottom w:val="none" w:sz="0" w:space="0" w:color="auto"/>
                        <w:right w:val="none" w:sz="0" w:space="0" w:color="auto"/>
                      </w:divBdr>
                    </w:div>
                  </w:divsChild>
                </w:div>
                <w:div w:id="1999382748">
                  <w:marLeft w:val="0"/>
                  <w:marRight w:val="0"/>
                  <w:marTop w:val="0"/>
                  <w:marBottom w:val="0"/>
                  <w:divBdr>
                    <w:top w:val="none" w:sz="0" w:space="0" w:color="auto"/>
                    <w:left w:val="none" w:sz="0" w:space="0" w:color="auto"/>
                    <w:bottom w:val="none" w:sz="0" w:space="0" w:color="auto"/>
                    <w:right w:val="none" w:sz="0" w:space="0" w:color="auto"/>
                  </w:divBdr>
                  <w:divsChild>
                    <w:div w:id="228226643">
                      <w:marLeft w:val="0"/>
                      <w:marRight w:val="0"/>
                      <w:marTop w:val="0"/>
                      <w:marBottom w:val="0"/>
                      <w:divBdr>
                        <w:top w:val="none" w:sz="0" w:space="0" w:color="auto"/>
                        <w:left w:val="none" w:sz="0" w:space="0" w:color="auto"/>
                        <w:bottom w:val="none" w:sz="0" w:space="0" w:color="auto"/>
                        <w:right w:val="none" w:sz="0" w:space="0" w:color="auto"/>
                      </w:divBdr>
                    </w:div>
                  </w:divsChild>
                </w:div>
                <w:div w:id="2018383348">
                  <w:marLeft w:val="0"/>
                  <w:marRight w:val="0"/>
                  <w:marTop w:val="0"/>
                  <w:marBottom w:val="0"/>
                  <w:divBdr>
                    <w:top w:val="none" w:sz="0" w:space="0" w:color="auto"/>
                    <w:left w:val="none" w:sz="0" w:space="0" w:color="auto"/>
                    <w:bottom w:val="none" w:sz="0" w:space="0" w:color="auto"/>
                    <w:right w:val="none" w:sz="0" w:space="0" w:color="auto"/>
                  </w:divBdr>
                  <w:divsChild>
                    <w:div w:id="177503984">
                      <w:marLeft w:val="0"/>
                      <w:marRight w:val="0"/>
                      <w:marTop w:val="0"/>
                      <w:marBottom w:val="0"/>
                      <w:divBdr>
                        <w:top w:val="none" w:sz="0" w:space="0" w:color="auto"/>
                        <w:left w:val="none" w:sz="0" w:space="0" w:color="auto"/>
                        <w:bottom w:val="none" w:sz="0" w:space="0" w:color="auto"/>
                        <w:right w:val="none" w:sz="0" w:space="0" w:color="auto"/>
                      </w:divBdr>
                    </w:div>
                  </w:divsChild>
                </w:div>
                <w:div w:id="2019231845">
                  <w:marLeft w:val="0"/>
                  <w:marRight w:val="0"/>
                  <w:marTop w:val="0"/>
                  <w:marBottom w:val="0"/>
                  <w:divBdr>
                    <w:top w:val="none" w:sz="0" w:space="0" w:color="auto"/>
                    <w:left w:val="none" w:sz="0" w:space="0" w:color="auto"/>
                    <w:bottom w:val="none" w:sz="0" w:space="0" w:color="auto"/>
                    <w:right w:val="none" w:sz="0" w:space="0" w:color="auto"/>
                  </w:divBdr>
                  <w:divsChild>
                    <w:div w:id="1375542480">
                      <w:marLeft w:val="0"/>
                      <w:marRight w:val="0"/>
                      <w:marTop w:val="0"/>
                      <w:marBottom w:val="0"/>
                      <w:divBdr>
                        <w:top w:val="none" w:sz="0" w:space="0" w:color="auto"/>
                        <w:left w:val="none" w:sz="0" w:space="0" w:color="auto"/>
                        <w:bottom w:val="none" w:sz="0" w:space="0" w:color="auto"/>
                        <w:right w:val="none" w:sz="0" w:space="0" w:color="auto"/>
                      </w:divBdr>
                    </w:div>
                    <w:div w:id="2003459658">
                      <w:marLeft w:val="0"/>
                      <w:marRight w:val="0"/>
                      <w:marTop w:val="0"/>
                      <w:marBottom w:val="0"/>
                      <w:divBdr>
                        <w:top w:val="none" w:sz="0" w:space="0" w:color="auto"/>
                        <w:left w:val="none" w:sz="0" w:space="0" w:color="auto"/>
                        <w:bottom w:val="none" w:sz="0" w:space="0" w:color="auto"/>
                        <w:right w:val="none" w:sz="0" w:space="0" w:color="auto"/>
                      </w:divBdr>
                    </w:div>
                    <w:div w:id="2105880863">
                      <w:marLeft w:val="0"/>
                      <w:marRight w:val="0"/>
                      <w:marTop w:val="0"/>
                      <w:marBottom w:val="0"/>
                      <w:divBdr>
                        <w:top w:val="none" w:sz="0" w:space="0" w:color="auto"/>
                        <w:left w:val="none" w:sz="0" w:space="0" w:color="auto"/>
                        <w:bottom w:val="none" w:sz="0" w:space="0" w:color="auto"/>
                        <w:right w:val="none" w:sz="0" w:space="0" w:color="auto"/>
                      </w:divBdr>
                    </w:div>
                  </w:divsChild>
                </w:div>
                <w:div w:id="2022052265">
                  <w:marLeft w:val="0"/>
                  <w:marRight w:val="0"/>
                  <w:marTop w:val="0"/>
                  <w:marBottom w:val="0"/>
                  <w:divBdr>
                    <w:top w:val="none" w:sz="0" w:space="0" w:color="auto"/>
                    <w:left w:val="none" w:sz="0" w:space="0" w:color="auto"/>
                    <w:bottom w:val="none" w:sz="0" w:space="0" w:color="auto"/>
                    <w:right w:val="none" w:sz="0" w:space="0" w:color="auto"/>
                  </w:divBdr>
                  <w:divsChild>
                    <w:div w:id="1552232194">
                      <w:marLeft w:val="0"/>
                      <w:marRight w:val="0"/>
                      <w:marTop w:val="0"/>
                      <w:marBottom w:val="0"/>
                      <w:divBdr>
                        <w:top w:val="none" w:sz="0" w:space="0" w:color="auto"/>
                        <w:left w:val="none" w:sz="0" w:space="0" w:color="auto"/>
                        <w:bottom w:val="none" w:sz="0" w:space="0" w:color="auto"/>
                        <w:right w:val="none" w:sz="0" w:space="0" w:color="auto"/>
                      </w:divBdr>
                    </w:div>
                  </w:divsChild>
                </w:div>
                <w:div w:id="2024739606">
                  <w:marLeft w:val="0"/>
                  <w:marRight w:val="0"/>
                  <w:marTop w:val="0"/>
                  <w:marBottom w:val="0"/>
                  <w:divBdr>
                    <w:top w:val="none" w:sz="0" w:space="0" w:color="auto"/>
                    <w:left w:val="none" w:sz="0" w:space="0" w:color="auto"/>
                    <w:bottom w:val="none" w:sz="0" w:space="0" w:color="auto"/>
                    <w:right w:val="none" w:sz="0" w:space="0" w:color="auto"/>
                  </w:divBdr>
                  <w:divsChild>
                    <w:div w:id="1008361452">
                      <w:marLeft w:val="0"/>
                      <w:marRight w:val="0"/>
                      <w:marTop w:val="0"/>
                      <w:marBottom w:val="0"/>
                      <w:divBdr>
                        <w:top w:val="none" w:sz="0" w:space="0" w:color="auto"/>
                        <w:left w:val="none" w:sz="0" w:space="0" w:color="auto"/>
                        <w:bottom w:val="none" w:sz="0" w:space="0" w:color="auto"/>
                        <w:right w:val="none" w:sz="0" w:space="0" w:color="auto"/>
                      </w:divBdr>
                    </w:div>
                  </w:divsChild>
                </w:div>
                <w:div w:id="2026205877">
                  <w:marLeft w:val="0"/>
                  <w:marRight w:val="0"/>
                  <w:marTop w:val="0"/>
                  <w:marBottom w:val="0"/>
                  <w:divBdr>
                    <w:top w:val="none" w:sz="0" w:space="0" w:color="auto"/>
                    <w:left w:val="none" w:sz="0" w:space="0" w:color="auto"/>
                    <w:bottom w:val="none" w:sz="0" w:space="0" w:color="auto"/>
                    <w:right w:val="none" w:sz="0" w:space="0" w:color="auto"/>
                  </w:divBdr>
                  <w:divsChild>
                    <w:div w:id="1503084795">
                      <w:marLeft w:val="0"/>
                      <w:marRight w:val="0"/>
                      <w:marTop w:val="0"/>
                      <w:marBottom w:val="0"/>
                      <w:divBdr>
                        <w:top w:val="none" w:sz="0" w:space="0" w:color="auto"/>
                        <w:left w:val="none" w:sz="0" w:space="0" w:color="auto"/>
                        <w:bottom w:val="none" w:sz="0" w:space="0" w:color="auto"/>
                        <w:right w:val="none" w:sz="0" w:space="0" w:color="auto"/>
                      </w:divBdr>
                    </w:div>
                  </w:divsChild>
                </w:div>
                <w:div w:id="2027172777">
                  <w:marLeft w:val="0"/>
                  <w:marRight w:val="0"/>
                  <w:marTop w:val="0"/>
                  <w:marBottom w:val="0"/>
                  <w:divBdr>
                    <w:top w:val="none" w:sz="0" w:space="0" w:color="auto"/>
                    <w:left w:val="none" w:sz="0" w:space="0" w:color="auto"/>
                    <w:bottom w:val="none" w:sz="0" w:space="0" w:color="auto"/>
                    <w:right w:val="none" w:sz="0" w:space="0" w:color="auto"/>
                  </w:divBdr>
                  <w:divsChild>
                    <w:div w:id="713698240">
                      <w:marLeft w:val="0"/>
                      <w:marRight w:val="0"/>
                      <w:marTop w:val="0"/>
                      <w:marBottom w:val="0"/>
                      <w:divBdr>
                        <w:top w:val="none" w:sz="0" w:space="0" w:color="auto"/>
                        <w:left w:val="none" w:sz="0" w:space="0" w:color="auto"/>
                        <w:bottom w:val="none" w:sz="0" w:space="0" w:color="auto"/>
                        <w:right w:val="none" w:sz="0" w:space="0" w:color="auto"/>
                      </w:divBdr>
                    </w:div>
                  </w:divsChild>
                </w:div>
                <w:div w:id="2027946422">
                  <w:marLeft w:val="0"/>
                  <w:marRight w:val="0"/>
                  <w:marTop w:val="0"/>
                  <w:marBottom w:val="0"/>
                  <w:divBdr>
                    <w:top w:val="none" w:sz="0" w:space="0" w:color="auto"/>
                    <w:left w:val="none" w:sz="0" w:space="0" w:color="auto"/>
                    <w:bottom w:val="none" w:sz="0" w:space="0" w:color="auto"/>
                    <w:right w:val="none" w:sz="0" w:space="0" w:color="auto"/>
                  </w:divBdr>
                  <w:divsChild>
                    <w:div w:id="316615085">
                      <w:marLeft w:val="0"/>
                      <w:marRight w:val="0"/>
                      <w:marTop w:val="0"/>
                      <w:marBottom w:val="0"/>
                      <w:divBdr>
                        <w:top w:val="none" w:sz="0" w:space="0" w:color="auto"/>
                        <w:left w:val="none" w:sz="0" w:space="0" w:color="auto"/>
                        <w:bottom w:val="none" w:sz="0" w:space="0" w:color="auto"/>
                        <w:right w:val="none" w:sz="0" w:space="0" w:color="auto"/>
                      </w:divBdr>
                    </w:div>
                  </w:divsChild>
                </w:div>
                <w:div w:id="2033415476">
                  <w:marLeft w:val="0"/>
                  <w:marRight w:val="0"/>
                  <w:marTop w:val="0"/>
                  <w:marBottom w:val="0"/>
                  <w:divBdr>
                    <w:top w:val="none" w:sz="0" w:space="0" w:color="auto"/>
                    <w:left w:val="none" w:sz="0" w:space="0" w:color="auto"/>
                    <w:bottom w:val="none" w:sz="0" w:space="0" w:color="auto"/>
                    <w:right w:val="none" w:sz="0" w:space="0" w:color="auto"/>
                  </w:divBdr>
                  <w:divsChild>
                    <w:div w:id="1268122357">
                      <w:marLeft w:val="0"/>
                      <w:marRight w:val="0"/>
                      <w:marTop w:val="0"/>
                      <w:marBottom w:val="0"/>
                      <w:divBdr>
                        <w:top w:val="none" w:sz="0" w:space="0" w:color="auto"/>
                        <w:left w:val="none" w:sz="0" w:space="0" w:color="auto"/>
                        <w:bottom w:val="none" w:sz="0" w:space="0" w:color="auto"/>
                        <w:right w:val="none" w:sz="0" w:space="0" w:color="auto"/>
                      </w:divBdr>
                    </w:div>
                  </w:divsChild>
                </w:div>
                <w:div w:id="2042584588">
                  <w:marLeft w:val="0"/>
                  <w:marRight w:val="0"/>
                  <w:marTop w:val="0"/>
                  <w:marBottom w:val="0"/>
                  <w:divBdr>
                    <w:top w:val="none" w:sz="0" w:space="0" w:color="auto"/>
                    <w:left w:val="none" w:sz="0" w:space="0" w:color="auto"/>
                    <w:bottom w:val="none" w:sz="0" w:space="0" w:color="auto"/>
                    <w:right w:val="none" w:sz="0" w:space="0" w:color="auto"/>
                  </w:divBdr>
                  <w:divsChild>
                    <w:div w:id="174074753">
                      <w:marLeft w:val="0"/>
                      <w:marRight w:val="0"/>
                      <w:marTop w:val="0"/>
                      <w:marBottom w:val="0"/>
                      <w:divBdr>
                        <w:top w:val="none" w:sz="0" w:space="0" w:color="auto"/>
                        <w:left w:val="none" w:sz="0" w:space="0" w:color="auto"/>
                        <w:bottom w:val="none" w:sz="0" w:space="0" w:color="auto"/>
                        <w:right w:val="none" w:sz="0" w:space="0" w:color="auto"/>
                      </w:divBdr>
                    </w:div>
                  </w:divsChild>
                </w:div>
                <w:div w:id="2043363370">
                  <w:marLeft w:val="0"/>
                  <w:marRight w:val="0"/>
                  <w:marTop w:val="0"/>
                  <w:marBottom w:val="0"/>
                  <w:divBdr>
                    <w:top w:val="none" w:sz="0" w:space="0" w:color="auto"/>
                    <w:left w:val="none" w:sz="0" w:space="0" w:color="auto"/>
                    <w:bottom w:val="none" w:sz="0" w:space="0" w:color="auto"/>
                    <w:right w:val="none" w:sz="0" w:space="0" w:color="auto"/>
                  </w:divBdr>
                  <w:divsChild>
                    <w:div w:id="614600201">
                      <w:marLeft w:val="0"/>
                      <w:marRight w:val="0"/>
                      <w:marTop w:val="0"/>
                      <w:marBottom w:val="0"/>
                      <w:divBdr>
                        <w:top w:val="none" w:sz="0" w:space="0" w:color="auto"/>
                        <w:left w:val="none" w:sz="0" w:space="0" w:color="auto"/>
                        <w:bottom w:val="none" w:sz="0" w:space="0" w:color="auto"/>
                        <w:right w:val="none" w:sz="0" w:space="0" w:color="auto"/>
                      </w:divBdr>
                    </w:div>
                    <w:div w:id="615407969">
                      <w:marLeft w:val="0"/>
                      <w:marRight w:val="0"/>
                      <w:marTop w:val="0"/>
                      <w:marBottom w:val="0"/>
                      <w:divBdr>
                        <w:top w:val="none" w:sz="0" w:space="0" w:color="auto"/>
                        <w:left w:val="none" w:sz="0" w:space="0" w:color="auto"/>
                        <w:bottom w:val="none" w:sz="0" w:space="0" w:color="auto"/>
                        <w:right w:val="none" w:sz="0" w:space="0" w:color="auto"/>
                      </w:divBdr>
                    </w:div>
                    <w:div w:id="697388268">
                      <w:marLeft w:val="0"/>
                      <w:marRight w:val="0"/>
                      <w:marTop w:val="0"/>
                      <w:marBottom w:val="0"/>
                      <w:divBdr>
                        <w:top w:val="none" w:sz="0" w:space="0" w:color="auto"/>
                        <w:left w:val="none" w:sz="0" w:space="0" w:color="auto"/>
                        <w:bottom w:val="none" w:sz="0" w:space="0" w:color="auto"/>
                        <w:right w:val="none" w:sz="0" w:space="0" w:color="auto"/>
                      </w:divBdr>
                    </w:div>
                    <w:div w:id="898518502">
                      <w:marLeft w:val="0"/>
                      <w:marRight w:val="0"/>
                      <w:marTop w:val="0"/>
                      <w:marBottom w:val="0"/>
                      <w:divBdr>
                        <w:top w:val="none" w:sz="0" w:space="0" w:color="auto"/>
                        <w:left w:val="none" w:sz="0" w:space="0" w:color="auto"/>
                        <w:bottom w:val="none" w:sz="0" w:space="0" w:color="auto"/>
                        <w:right w:val="none" w:sz="0" w:space="0" w:color="auto"/>
                      </w:divBdr>
                    </w:div>
                    <w:div w:id="978461265">
                      <w:marLeft w:val="0"/>
                      <w:marRight w:val="0"/>
                      <w:marTop w:val="0"/>
                      <w:marBottom w:val="0"/>
                      <w:divBdr>
                        <w:top w:val="none" w:sz="0" w:space="0" w:color="auto"/>
                        <w:left w:val="none" w:sz="0" w:space="0" w:color="auto"/>
                        <w:bottom w:val="none" w:sz="0" w:space="0" w:color="auto"/>
                        <w:right w:val="none" w:sz="0" w:space="0" w:color="auto"/>
                      </w:divBdr>
                    </w:div>
                    <w:div w:id="1121612790">
                      <w:marLeft w:val="0"/>
                      <w:marRight w:val="0"/>
                      <w:marTop w:val="0"/>
                      <w:marBottom w:val="0"/>
                      <w:divBdr>
                        <w:top w:val="none" w:sz="0" w:space="0" w:color="auto"/>
                        <w:left w:val="none" w:sz="0" w:space="0" w:color="auto"/>
                        <w:bottom w:val="none" w:sz="0" w:space="0" w:color="auto"/>
                        <w:right w:val="none" w:sz="0" w:space="0" w:color="auto"/>
                      </w:divBdr>
                    </w:div>
                    <w:div w:id="1143160624">
                      <w:marLeft w:val="0"/>
                      <w:marRight w:val="0"/>
                      <w:marTop w:val="0"/>
                      <w:marBottom w:val="0"/>
                      <w:divBdr>
                        <w:top w:val="none" w:sz="0" w:space="0" w:color="auto"/>
                        <w:left w:val="none" w:sz="0" w:space="0" w:color="auto"/>
                        <w:bottom w:val="none" w:sz="0" w:space="0" w:color="auto"/>
                        <w:right w:val="none" w:sz="0" w:space="0" w:color="auto"/>
                      </w:divBdr>
                    </w:div>
                    <w:div w:id="1165315380">
                      <w:marLeft w:val="0"/>
                      <w:marRight w:val="0"/>
                      <w:marTop w:val="0"/>
                      <w:marBottom w:val="0"/>
                      <w:divBdr>
                        <w:top w:val="none" w:sz="0" w:space="0" w:color="auto"/>
                        <w:left w:val="none" w:sz="0" w:space="0" w:color="auto"/>
                        <w:bottom w:val="none" w:sz="0" w:space="0" w:color="auto"/>
                        <w:right w:val="none" w:sz="0" w:space="0" w:color="auto"/>
                      </w:divBdr>
                    </w:div>
                    <w:div w:id="1678775921">
                      <w:marLeft w:val="0"/>
                      <w:marRight w:val="0"/>
                      <w:marTop w:val="0"/>
                      <w:marBottom w:val="0"/>
                      <w:divBdr>
                        <w:top w:val="none" w:sz="0" w:space="0" w:color="auto"/>
                        <w:left w:val="none" w:sz="0" w:space="0" w:color="auto"/>
                        <w:bottom w:val="none" w:sz="0" w:space="0" w:color="auto"/>
                        <w:right w:val="none" w:sz="0" w:space="0" w:color="auto"/>
                      </w:divBdr>
                    </w:div>
                    <w:div w:id="2008089249">
                      <w:marLeft w:val="0"/>
                      <w:marRight w:val="0"/>
                      <w:marTop w:val="0"/>
                      <w:marBottom w:val="0"/>
                      <w:divBdr>
                        <w:top w:val="none" w:sz="0" w:space="0" w:color="auto"/>
                        <w:left w:val="none" w:sz="0" w:space="0" w:color="auto"/>
                        <w:bottom w:val="none" w:sz="0" w:space="0" w:color="auto"/>
                        <w:right w:val="none" w:sz="0" w:space="0" w:color="auto"/>
                      </w:divBdr>
                    </w:div>
                  </w:divsChild>
                </w:div>
                <w:div w:id="2044135865">
                  <w:marLeft w:val="0"/>
                  <w:marRight w:val="0"/>
                  <w:marTop w:val="0"/>
                  <w:marBottom w:val="0"/>
                  <w:divBdr>
                    <w:top w:val="none" w:sz="0" w:space="0" w:color="auto"/>
                    <w:left w:val="none" w:sz="0" w:space="0" w:color="auto"/>
                    <w:bottom w:val="none" w:sz="0" w:space="0" w:color="auto"/>
                    <w:right w:val="none" w:sz="0" w:space="0" w:color="auto"/>
                  </w:divBdr>
                  <w:divsChild>
                    <w:div w:id="1285039163">
                      <w:marLeft w:val="0"/>
                      <w:marRight w:val="0"/>
                      <w:marTop w:val="0"/>
                      <w:marBottom w:val="0"/>
                      <w:divBdr>
                        <w:top w:val="none" w:sz="0" w:space="0" w:color="auto"/>
                        <w:left w:val="none" w:sz="0" w:space="0" w:color="auto"/>
                        <w:bottom w:val="none" w:sz="0" w:space="0" w:color="auto"/>
                        <w:right w:val="none" w:sz="0" w:space="0" w:color="auto"/>
                      </w:divBdr>
                    </w:div>
                  </w:divsChild>
                </w:div>
                <w:div w:id="2050835075">
                  <w:marLeft w:val="0"/>
                  <w:marRight w:val="0"/>
                  <w:marTop w:val="0"/>
                  <w:marBottom w:val="0"/>
                  <w:divBdr>
                    <w:top w:val="none" w:sz="0" w:space="0" w:color="auto"/>
                    <w:left w:val="none" w:sz="0" w:space="0" w:color="auto"/>
                    <w:bottom w:val="none" w:sz="0" w:space="0" w:color="auto"/>
                    <w:right w:val="none" w:sz="0" w:space="0" w:color="auto"/>
                  </w:divBdr>
                  <w:divsChild>
                    <w:div w:id="634604799">
                      <w:marLeft w:val="0"/>
                      <w:marRight w:val="0"/>
                      <w:marTop w:val="0"/>
                      <w:marBottom w:val="0"/>
                      <w:divBdr>
                        <w:top w:val="none" w:sz="0" w:space="0" w:color="auto"/>
                        <w:left w:val="none" w:sz="0" w:space="0" w:color="auto"/>
                        <w:bottom w:val="none" w:sz="0" w:space="0" w:color="auto"/>
                        <w:right w:val="none" w:sz="0" w:space="0" w:color="auto"/>
                      </w:divBdr>
                    </w:div>
                  </w:divsChild>
                </w:div>
                <w:div w:id="2065984356">
                  <w:marLeft w:val="0"/>
                  <w:marRight w:val="0"/>
                  <w:marTop w:val="0"/>
                  <w:marBottom w:val="0"/>
                  <w:divBdr>
                    <w:top w:val="none" w:sz="0" w:space="0" w:color="auto"/>
                    <w:left w:val="none" w:sz="0" w:space="0" w:color="auto"/>
                    <w:bottom w:val="none" w:sz="0" w:space="0" w:color="auto"/>
                    <w:right w:val="none" w:sz="0" w:space="0" w:color="auto"/>
                  </w:divBdr>
                  <w:divsChild>
                    <w:div w:id="780808095">
                      <w:marLeft w:val="0"/>
                      <w:marRight w:val="0"/>
                      <w:marTop w:val="0"/>
                      <w:marBottom w:val="0"/>
                      <w:divBdr>
                        <w:top w:val="none" w:sz="0" w:space="0" w:color="auto"/>
                        <w:left w:val="none" w:sz="0" w:space="0" w:color="auto"/>
                        <w:bottom w:val="none" w:sz="0" w:space="0" w:color="auto"/>
                        <w:right w:val="none" w:sz="0" w:space="0" w:color="auto"/>
                      </w:divBdr>
                    </w:div>
                  </w:divsChild>
                </w:div>
                <w:div w:id="2070498823">
                  <w:marLeft w:val="0"/>
                  <w:marRight w:val="0"/>
                  <w:marTop w:val="0"/>
                  <w:marBottom w:val="0"/>
                  <w:divBdr>
                    <w:top w:val="none" w:sz="0" w:space="0" w:color="auto"/>
                    <w:left w:val="none" w:sz="0" w:space="0" w:color="auto"/>
                    <w:bottom w:val="none" w:sz="0" w:space="0" w:color="auto"/>
                    <w:right w:val="none" w:sz="0" w:space="0" w:color="auto"/>
                  </w:divBdr>
                  <w:divsChild>
                    <w:div w:id="1450126069">
                      <w:marLeft w:val="0"/>
                      <w:marRight w:val="0"/>
                      <w:marTop w:val="0"/>
                      <w:marBottom w:val="0"/>
                      <w:divBdr>
                        <w:top w:val="none" w:sz="0" w:space="0" w:color="auto"/>
                        <w:left w:val="none" w:sz="0" w:space="0" w:color="auto"/>
                        <w:bottom w:val="none" w:sz="0" w:space="0" w:color="auto"/>
                        <w:right w:val="none" w:sz="0" w:space="0" w:color="auto"/>
                      </w:divBdr>
                    </w:div>
                  </w:divsChild>
                </w:div>
                <w:div w:id="2072191407">
                  <w:marLeft w:val="0"/>
                  <w:marRight w:val="0"/>
                  <w:marTop w:val="0"/>
                  <w:marBottom w:val="0"/>
                  <w:divBdr>
                    <w:top w:val="none" w:sz="0" w:space="0" w:color="auto"/>
                    <w:left w:val="none" w:sz="0" w:space="0" w:color="auto"/>
                    <w:bottom w:val="none" w:sz="0" w:space="0" w:color="auto"/>
                    <w:right w:val="none" w:sz="0" w:space="0" w:color="auto"/>
                  </w:divBdr>
                  <w:divsChild>
                    <w:div w:id="1948805317">
                      <w:marLeft w:val="0"/>
                      <w:marRight w:val="0"/>
                      <w:marTop w:val="0"/>
                      <w:marBottom w:val="0"/>
                      <w:divBdr>
                        <w:top w:val="none" w:sz="0" w:space="0" w:color="auto"/>
                        <w:left w:val="none" w:sz="0" w:space="0" w:color="auto"/>
                        <w:bottom w:val="none" w:sz="0" w:space="0" w:color="auto"/>
                        <w:right w:val="none" w:sz="0" w:space="0" w:color="auto"/>
                      </w:divBdr>
                    </w:div>
                  </w:divsChild>
                </w:div>
                <w:div w:id="2077970455">
                  <w:marLeft w:val="0"/>
                  <w:marRight w:val="0"/>
                  <w:marTop w:val="0"/>
                  <w:marBottom w:val="0"/>
                  <w:divBdr>
                    <w:top w:val="none" w:sz="0" w:space="0" w:color="auto"/>
                    <w:left w:val="none" w:sz="0" w:space="0" w:color="auto"/>
                    <w:bottom w:val="none" w:sz="0" w:space="0" w:color="auto"/>
                    <w:right w:val="none" w:sz="0" w:space="0" w:color="auto"/>
                  </w:divBdr>
                  <w:divsChild>
                    <w:div w:id="337466060">
                      <w:marLeft w:val="0"/>
                      <w:marRight w:val="0"/>
                      <w:marTop w:val="0"/>
                      <w:marBottom w:val="0"/>
                      <w:divBdr>
                        <w:top w:val="none" w:sz="0" w:space="0" w:color="auto"/>
                        <w:left w:val="none" w:sz="0" w:space="0" w:color="auto"/>
                        <w:bottom w:val="none" w:sz="0" w:space="0" w:color="auto"/>
                        <w:right w:val="none" w:sz="0" w:space="0" w:color="auto"/>
                      </w:divBdr>
                    </w:div>
                  </w:divsChild>
                </w:div>
                <w:div w:id="2082634379">
                  <w:marLeft w:val="0"/>
                  <w:marRight w:val="0"/>
                  <w:marTop w:val="0"/>
                  <w:marBottom w:val="0"/>
                  <w:divBdr>
                    <w:top w:val="none" w:sz="0" w:space="0" w:color="auto"/>
                    <w:left w:val="none" w:sz="0" w:space="0" w:color="auto"/>
                    <w:bottom w:val="none" w:sz="0" w:space="0" w:color="auto"/>
                    <w:right w:val="none" w:sz="0" w:space="0" w:color="auto"/>
                  </w:divBdr>
                  <w:divsChild>
                    <w:div w:id="1861972066">
                      <w:marLeft w:val="0"/>
                      <w:marRight w:val="0"/>
                      <w:marTop w:val="0"/>
                      <w:marBottom w:val="0"/>
                      <w:divBdr>
                        <w:top w:val="none" w:sz="0" w:space="0" w:color="auto"/>
                        <w:left w:val="none" w:sz="0" w:space="0" w:color="auto"/>
                        <w:bottom w:val="none" w:sz="0" w:space="0" w:color="auto"/>
                        <w:right w:val="none" w:sz="0" w:space="0" w:color="auto"/>
                      </w:divBdr>
                    </w:div>
                  </w:divsChild>
                </w:div>
                <w:div w:id="2086412503">
                  <w:marLeft w:val="0"/>
                  <w:marRight w:val="0"/>
                  <w:marTop w:val="0"/>
                  <w:marBottom w:val="0"/>
                  <w:divBdr>
                    <w:top w:val="none" w:sz="0" w:space="0" w:color="auto"/>
                    <w:left w:val="none" w:sz="0" w:space="0" w:color="auto"/>
                    <w:bottom w:val="none" w:sz="0" w:space="0" w:color="auto"/>
                    <w:right w:val="none" w:sz="0" w:space="0" w:color="auto"/>
                  </w:divBdr>
                  <w:divsChild>
                    <w:div w:id="701513732">
                      <w:marLeft w:val="0"/>
                      <w:marRight w:val="0"/>
                      <w:marTop w:val="0"/>
                      <w:marBottom w:val="0"/>
                      <w:divBdr>
                        <w:top w:val="none" w:sz="0" w:space="0" w:color="auto"/>
                        <w:left w:val="none" w:sz="0" w:space="0" w:color="auto"/>
                        <w:bottom w:val="none" w:sz="0" w:space="0" w:color="auto"/>
                        <w:right w:val="none" w:sz="0" w:space="0" w:color="auto"/>
                      </w:divBdr>
                    </w:div>
                  </w:divsChild>
                </w:div>
                <w:div w:id="2094473534">
                  <w:marLeft w:val="0"/>
                  <w:marRight w:val="0"/>
                  <w:marTop w:val="0"/>
                  <w:marBottom w:val="0"/>
                  <w:divBdr>
                    <w:top w:val="none" w:sz="0" w:space="0" w:color="auto"/>
                    <w:left w:val="none" w:sz="0" w:space="0" w:color="auto"/>
                    <w:bottom w:val="none" w:sz="0" w:space="0" w:color="auto"/>
                    <w:right w:val="none" w:sz="0" w:space="0" w:color="auto"/>
                  </w:divBdr>
                  <w:divsChild>
                    <w:div w:id="1812097061">
                      <w:marLeft w:val="0"/>
                      <w:marRight w:val="0"/>
                      <w:marTop w:val="0"/>
                      <w:marBottom w:val="0"/>
                      <w:divBdr>
                        <w:top w:val="none" w:sz="0" w:space="0" w:color="auto"/>
                        <w:left w:val="none" w:sz="0" w:space="0" w:color="auto"/>
                        <w:bottom w:val="none" w:sz="0" w:space="0" w:color="auto"/>
                        <w:right w:val="none" w:sz="0" w:space="0" w:color="auto"/>
                      </w:divBdr>
                    </w:div>
                  </w:divsChild>
                </w:div>
                <w:div w:id="2096901224">
                  <w:marLeft w:val="0"/>
                  <w:marRight w:val="0"/>
                  <w:marTop w:val="0"/>
                  <w:marBottom w:val="0"/>
                  <w:divBdr>
                    <w:top w:val="none" w:sz="0" w:space="0" w:color="auto"/>
                    <w:left w:val="none" w:sz="0" w:space="0" w:color="auto"/>
                    <w:bottom w:val="none" w:sz="0" w:space="0" w:color="auto"/>
                    <w:right w:val="none" w:sz="0" w:space="0" w:color="auto"/>
                  </w:divBdr>
                  <w:divsChild>
                    <w:div w:id="2079089117">
                      <w:marLeft w:val="0"/>
                      <w:marRight w:val="0"/>
                      <w:marTop w:val="0"/>
                      <w:marBottom w:val="0"/>
                      <w:divBdr>
                        <w:top w:val="none" w:sz="0" w:space="0" w:color="auto"/>
                        <w:left w:val="none" w:sz="0" w:space="0" w:color="auto"/>
                        <w:bottom w:val="none" w:sz="0" w:space="0" w:color="auto"/>
                        <w:right w:val="none" w:sz="0" w:space="0" w:color="auto"/>
                      </w:divBdr>
                    </w:div>
                  </w:divsChild>
                </w:div>
                <w:div w:id="2112386904">
                  <w:marLeft w:val="0"/>
                  <w:marRight w:val="0"/>
                  <w:marTop w:val="0"/>
                  <w:marBottom w:val="0"/>
                  <w:divBdr>
                    <w:top w:val="none" w:sz="0" w:space="0" w:color="auto"/>
                    <w:left w:val="none" w:sz="0" w:space="0" w:color="auto"/>
                    <w:bottom w:val="none" w:sz="0" w:space="0" w:color="auto"/>
                    <w:right w:val="none" w:sz="0" w:space="0" w:color="auto"/>
                  </w:divBdr>
                  <w:divsChild>
                    <w:div w:id="1685787686">
                      <w:marLeft w:val="0"/>
                      <w:marRight w:val="0"/>
                      <w:marTop w:val="0"/>
                      <w:marBottom w:val="0"/>
                      <w:divBdr>
                        <w:top w:val="none" w:sz="0" w:space="0" w:color="auto"/>
                        <w:left w:val="none" w:sz="0" w:space="0" w:color="auto"/>
                        <w:bottom w:val="none" w:sz="0" w:space="0" w:color="auto"/>
                        <w:right w:val="none" w:sz="0" w:space="0" w:color="auto"/>
                      </w:divBdr>
                    </w:div>
                  </w:divsChild>
                </w:div>
                <w:div w:id="2114862530">
                  <w:marLeft w:val="0"/>
                  <w:marRight w:val="0"/>
                  <w:marTop w:val="0"/>
                  <w:marBottom w:val="0"/>
                  <w:divBdr>
                    <w:top w:val="none" w:sz="0" w:space="0" w:color="auto"/>
                    <w:left w:val="none" w:sz="0" w:space="0" w:color="auto"/>
                    <w:bottom w:val="none" w:sz="0" w:space="0" w:color="auto"/>
                    <w:right w:val="none" w:sz="0" w:space="0" w:color="auto"/>
                  </w:divBdr>
                  <w:divsChild>
                    <w:div w:id="193352226">
                      <w:marLeft w:val="0"/>
                      <w:marRight w:val="0"/>
                      <w:marTop w:val="0"/>
                      <w:marBottom w:val="0"/>
                      <w:divBdr>
                        <w:top w:val="none" w:sz="0" w:space="0" w:color="auto"/>
                        <w:left w:val="none" w:sz="0" w:space="0" w:color="auto"/>
                        <w:bottom w:val="none" w:sz="0" w:space="0" w:color="auto"/>
                        <w:right w:val="none" w:sz="0" w:space="0" w:color="auto"/>
                      </w:divBdr>
                    </w:div>
                  </w:divsChild>
                </w:div>
                <w:div w:id="2123722648">
                  <w:marLeft w:val="0"/>
                  <w:marRight w:val="0"/>
                  <w:marTop w:val="0"/>
                  <w:marBottom w:val="0"/>
                  <w:divBdr>
                    <w:top w:val="none" w:sz="0" w:space="0" w:color="auto"/>
                    <w:left w:val="none" w:sz="0" w:space="0" w:color="auto"/>
                    <w:bottom w:val="none" w:sz="0" w:space="0" w:color="auto"/>
                    <w:right w:val="none" w:sz="0" w:space="0" w:color="auto"/>
                  </w:divBdr>
                  <w:divsChild>
                    <w:div w:id="919633699">
                      <w:marLeft w:val="0"/>
                      <w:marRight w:val="0"/>
                      <w:marTop w:val="0"/>
                      <w:marBottom w:val="0"/>
                      <w:divBdr>
                        <w:top w:val="none" w:sz="0" w:space="0" w:color="auto"/>
                        <w:left w:val="none" w:sz="0" w:space="0" w:color="auto"/>
                        <w:bottom w:val="none" w:sz="0" w:space="0" w:color="auto"/>
                        <w:right w:val="none" w:sz="0" w:space="0" w:color="auto"/>
                      </w:divBdr>
                    </w:div>
                  </w:divsChild>
                </w:div>
                <w:div w:id="2125808875">
                  <w:marLeft w:val="0"/>
                  <w:marRight w:val="0"/>
                  <w:marTop w:val="0"/>
                  <w:marBottom w:val="0"/>
                  <w:divBdr>
                    <w:top w:val="none" w:sz="0" w:space="0" w:color="auto"/>
                    <w:left w:val="none" w:sz="0" w:space="0" w:color="auto"/>
                    <w:bottom w:val="none" w:sz="0" w:space="0" w:color="auto"/>
                    <w:right w:val="none" w:sz="0" w:space="0" w:color="auto"/>
                  </w:divBdr>
                  <w:divsChild>
                    <w:div w:id="59061532">
                      <w:marLeft w:val="0"/>
                      <w:marRight w:val="0"/>
                      <w:marTop w:val="0"/>
                      <w:marBottom w:val="0"/>
                      <w:divBdr>
                        <w:top w:val="none" w:sz="0" w:space="0" w:color="auto"/>
                        <w:left w:val="none" w:sz="0" w:space="0" w:color="auto"/>
                        <w:bottom w:val="none" w:sz="0" w:space="0" w:color="auto"/>
                        <w:right w:val="none" w:sz="0" w:space="0" w:color="auto"/>
                      </w:divBdr>
                    </w:div>
                  </w:divsChild>
                </w:div>
                <w:div w:id="2125881504">
                  <w:marLeft w:val="0"/>
                  <w:marRight w:val="0"/>
                  <w:marTop w:val="0"/>
                  <w:marBottom w:val="0"/>
                  <w:divBdr>
                    <w:top w:val="none" w:sz="0" w:space="0" w:color="auto"/>
                    <w:left w:val="none" w:sz="0" w:space="0" w:color="auto"/>
                    <w:bottom w:val="none" w:sz="0" w:space="0" w:color="auto"/>
                    <w:right w:val="none" w:sz="0" w:space="0" w:color="auto"/>
                  </w:divBdr>
                  <w:divsChild>
                    <w:div w:id="1751466606">
                      <w:marLeft w:val="0"/>
                      <w:marRight w:val="0"/>
                      <w:marTop w:val="0"/>
                      <w:marBottom w:val="0"/>
                      <w:divBdr>
                        <w:top w:val="none" w:sz="0" w:space="0" w:color="auto"/>
                        <w:left w:val="none" w:sz="0" w:space="0" w:color="auto"/>
                        <w:bottom w:val="none" w:sz="0" w:space="0" w:color="auto"/>
                        <w:right w:val="none" w:sz="0" w:space="0" w:color="auto"/>
                      </w:divBdr>
                    </w:div>
                  </w:divsChild>
                </w:div>
                <w:div w:id="2138640342">
                  <w:marLeft w:val="0"/>
                  <w:marRight w:val="0"/>
                  <w:marTop w:val="0"/>
                  <w:marBottom w:val="0"/>
                  <w:divBdr>
                    <w:top w:val="none" w:sz="0" w:space="0" w:color="auto"/>
                    <w:left w:val="none" w:sz="0" w:space="0" w:color="auto"/>
                    <w:bottom w:val="none" w:sz="0" w:space="0" w:color="auto"/>
                    <w:right w:val="none" w:sz="0" w:space="0" w:color="auto"/>
                  </w:divBdr>
                  <w:divsChild>
                    <w:div w:id="707097955">
                      <w:marLeft w:val="0"/>
                      <w:marRight w:val="0"/>
                      <w:marTop w:val="0"/>
                      <w:marBottom w:val="0"/>
                      <w:divBdr>
                        <w:top w:val="none" w:sz="0" w:space="0" w:color="auto"/>
                        <w:left w:val="none" w:sz="0" w:space="0" w:color="auto"/>
                        <w:bottom w:val="none" w:sz="0" w:space="0" w:color="auto"/>
                        <w:right w:val="none" w:sz="0" w:space="0" w:color="auto"/>
                      </w:divBdr>
                    </w:div>
                  </w:divsChild>
                </w:div>
                <w:div w:id="2139256595">
                  <w:marLeft w:val="0"/>
                  <w:marRight w:val="0"/>
                  <w:marTop w:val="0"/>
                  <w:marBottom w:val="0"/>
                  <w:divBdr>
                    <w:top w:val="none" w:sz="0" w:space="0" w:color="auto"/>
                    <w:left w:val="none" w:sz="0" w:space="0" w:color="auto"/>
                    <w:bottom w:val="none" w:sz="0" w:space="0" w:color="auto"/>
                    <w:right w:val="none" w:sz="0" w:space="0" w:color="auto"/>
                  </w:divBdr>
                  <w:divsChild>
                    <w:div w:id="430006295">
                      <w:marLeft w:val="0"/>
                      <w:marRight w:val="0"/>
                      <w:marTop w:val="0"/>
                      <w:marBottom w:val="0"/>
                      <w:divBdr>
                        <w:top w:val="none" w:sz="0" w:space="0" w:color="auto"/>
                        <w:left w:val="none" w:sz="0" w:space="0" w:color="auto"/>
                        <w:bottom w:val="none" w:sz="0" w:space="0" w:color="auto"/>
                        <w:right w:val="none" w:sz="0" w:space="0" w:color="auto"/>
                      </w:divBdr>
                    </w:div>
                  </w:divsChild>
                </w:div>
                <w:div w:id="2139299755">
                  <w:marLeft w:val="0"/>
                  <w:marRight w:val="0"/>
                  <w:marTop w:val="0"/>
                  <w:marBottom w:val="0"/>
                  <w:divBdr>
                    <w:top w:val="none" w:sz="0" w:space="0" w:color="auto"/>
                    <w:left w:val="none" w:sz="0" w:space="0" w:color="auto"/>
                    <w:bottom w:val="none" w:sz="0" w:space="0" w:color="auto"/>
                    <w:right w:val="none" w:sz="0" w:space="0" w:color="auto"/>
                  </w:divBdr>
                  <w:divsChild>
                    <w:div w:id="561451813">
                      <w:marLeft w:val="0"/>
                      <w:marRight w:val="0"/>
                      <w:marTop w:val="0"/>
                      <w:marBottom w:val="0"/>
                      <w:divBdr>
                        <w:top w:val="none" w:sz="0" w:space="0" w:color="auto"/>
                        <w:left w:val="none" w:sz="0" w:space="0" w:color="auto"/>
                        <w:bottom w:val="none" w:sz="0" w:space="0" w:color="auto"/>
                        <w:right w:val="none" w:sz="0" w:space="0" w:color="auto"/>
                      </w:divBdr>
                    </w:div>
                  </w:divsChild>
                </w:div>
                <w:div w:id="2140566652">
                  <w:marLeft w:val="0"/>
                  <w:marRight w:val="0"/>
                  <w:marTop w:val="0"/>
                  <w:marBottom w:val="0"/>
                  <w:divBdr>
                    <w:top w:val="none" w:sz="0" w:space="0" w:color="auto"/>
                    <w:left w:val="none" w:sz="0" w:space="0" w:color="auto"/>
                    <w:bottom w:val="none" w:sz="0" w:space="0" w:color="auto"/>
                    <w:right w:val="none" w:sz="0" w:space="0" w:color="auto"/>
                  </w:divBdr>
                  <w:divsChild>
                    <w:div w:id="2140872589">
                      <w:marLeft w:val="0"/>
                      <w:marRight w:val="0"/>
                      <w:marTop w:val="0"/>
                      <w:marBottom w:val="0"/>
                      <w:divBdr>
                        <w:top w:val="none" w:sz="0" w:space="0" w:color="auto"/>
                        <w:left w:val="none" w:sz="0" w:space="0" w:color="auto"/>
                        <w:bottom w:val="none" w:sz="0" w:space="0" w:color="auto"/>
                        <w:right w:val="none" w:sz="0" w:space="0" w:color="auto"/>
                      </w:divBdr>
                    </w:div>
                  </w:divsChild>
                </w:div>
                <w:div w:id="2143300509">
                  <w:marLeft w:val="0"/>
                  <w:marRight w:val="0"/>
                  <w:marTop w:val="0"/>
                  <w:marBottom w:val="0"/>
                  <w:divBdr>
                    <w:top w:val="none" w:sz="0" w:space="0" w:color="auto"/>
                    <w:left w:val="none" w:sz="0" w:space="0" w:color="auto"/>
                    <w:bottom w:val="none" w:sz="0" w:space="0" w:color="auto"/>
                    <w:right w:val="none" w:sz="0" w:space="0" w:color="auto"/>
                  </w:divBdr>
                  <w:divsChild>
                    <w:div w:id="586889200">
                      <w:marLeft w:val="0"/>
                      <w:marRight w:val="0"/>
                      <w:marTop w:val="0"/>
                      <w:marBottom w:val="0"/>
                      <w:divBdr>
                        <w:top w:val="none" w:sz="0" w:space="0" w:color="auto"/>
                        <w:left w:val="none" w:sz="0" w:space="0" w:color="auto"/>
                        <w:bottom w:val="none" w:sz="0" w:space="0" w:color="auto"/>
                        <w:right w:val="none" w:sz="0" w:space="0" w:color="auto"/>
                      </w:divBdr>
                    </w:div>
                  </w:divsChild>
                </w:div>
                <w:div w:id="2144419516">
                  <w:marLeft w:val="0"/>
                  <w:marRight w:val="0"/>
                  <w:marTop w:val="0"/>
                  <w:marBottom w:val="0"/>
                  <w:divBdr>
                    <w:top w:val="none" w:sz="0" w:space="0" w:color="auto"/>
                    <w:left w:val="none" w:sz="0" w:space="0" w:color="auto"/>
                    <w:bottom w:val="none" w:sz="0" w:space="0" w:color="auto"/>
                    <w:right w:val="none" w:sz="0" w:space="0" w:color="auto"/>
                  </w:divBdr>
                  <w:divsChild>
                    <w:div w:id="136304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42905">
      <w:bodyDiv w:val="1"/>
      <w:marLeft w:val="0"/>
      <w:marRight w:val="0"/>
      <w:marTop w:val="0"/>
      <w:marBottom w:val="0"/>
      <w:divBdr>
        <w:top w:val="none" w:sz="0" w:space="0" w:color="auto"/>
        <w:left w:val="none" w:sz="0" w:space="0" w:color="auto"/>
        <w:bottom w:val="none" w:sz="0" w:space="0" w:color="auto"/>
        <w:right w:val="none" w:sz="0" w:space="0" w:color="auto"/>
      </w:divBdr>
      <w:divsChild>
        <w:div w:id="49230877">
          <w:marLeft w:val="0"/>
          <w:marRight w:val="0"/>
          <w:marTop w:val="0"/>
          <w:marBottom w:val="0"/>
          <w:divBdr>
            <w:top w:val="none" w:sz="0" w:space="0" w:color="auto"/>
            <w:left w:val="none" w:sz="0" w:space="0" w:color="auto"/>
            <w:bottom w:val="none" w:sz="0" w:space="0" w:color="auto"/>
            <w:right w:val="none" w:sz="0" w:space="0" w:color="auto"/>
          </w:divBdr>
        </w:div>
        <w:div w:id="355348407">
          <w:marLeft w:val="0"/>
          <w:marRight w:val="0"/>
          <w:marTop w:val="0"/>
          <w:marBottom w:val="0"/>
          <w:divBdr>
            <w:top w:val="none" w:sz="0" w:space="0" w:color="auto"/>
            <w:left w:val="none" w:sz="0" w:space="0" w:color="auto"/>
            <w:bottom w:val="none" w:sz="0" w:space="0" w:color="auto"/>
            <w:right w:val="none" w:sz="0" w:space="0" w:color="auto"/>
          </w:divBdr>
        </w:div>
        <w:div w:id="425998348">
          <w:marLeft w:val="0"/>
          <w:marRight w:val="0"/>
          <w:marTop w:val="0"/>
          <w:marBottom w:val="0"/>
          <w:divBdr>
            <w:top w:val="none" w:sz="0" w:space="0" w:color="auto"/>
            <w:left w:val="none" w:sz="0" w:space="0" w:color="auto"/>
            <w:bottom w:val="none" w:sz="0" w:space="0" w:color="auto"/>
            <w:right w:val="none" w:sz="0" w:space="0" w:color="auto"/>
          </w:divBdr>
        </w:div>
        <w:div w:id="674773343">
          <w:marLeft w:val="0"/>
          <w:marRight w:val="0"/>
          <w:marTop w:val="0"/>
          <w:marBottom w:val="0"/>
          <w:divBdr>
            <w:top w:val="none" w:sz="0" w:space="0" w:color="auto"/>
            <w:left w:val="none" w:sz="0" w:space="0" w:color="auto"/>
            <w:bottom w:val="none" w:sz="0" w:space="0" w:color="auto"/>
            <w:right w:val="none" w:sz="0" w:space="0" w:color="auto"/>
          </w:divBdr>
        </w:div>
        <w:div w:id="712191056">
          <w:marLeft w:val="0"/>
          <w:marRight w:val="0"/>
          <w:marTop w:val="0"/>
          <w:marBottom w:val="0"/>
          <w:divBdr>
            <w:top w:val="none" w:sz="0" w:space="0" w:color="auto"/>
            <w:left w:val="none" w:sz="0" w:space="0" w:color="auto"/>
            <w:bottom w:val="none" w:sz="0" w:space="0" w:color="auto"/>
            <w:right w:val="none" w:sz="0" w:space="0" w:color="auto"/>
          </w:divBdr>
        </w:div>
        <w:div w:id="881938815">
          <w:marLeft w:val="0"/>
          <w:marRight w:val="0"/>
          <w:marTop w:val="0"/>
          <w:marBottom w:val="0"/>
          <w:divBdr>
            <w:top w:val="none" w:sz="0" w:space="0" w:color="auto"/>
            <w:left w:val="none" w:sz="0" w:space="0" w:color="auto"/>
            <w:bottom w:val="none" w:sz="0" w:space="0" w:color="auto"/>
            <w:right w:val="none" w:sz="0" w:space="0" w:color="auto"/>
          </w:divBdr>
        </w:div>
        <w:div w:id="1025474470">
          <w:marLeft w:val="0"/>
          <w:marRight w:val="0"/>
          <w:marTop w:val="0"/>
          <w:marBottom w:val="0"/>
          <w:divBdr>
            <w:top w:val="none" w:sz="0" w:space="0" w:color="auto"/>
            <w:left w:val="none" w:sz="0" w:space="0" w:color="auto"/>
            <w:bottom w:val="none" w:sz="0" w:space="0" w:color="auto"/>
            <w:right w:val="none" w:sz="0" w:space="0" w:color="auto"/>
          </w:divBdr>
          <w:divsChild>
            <w:div w:id="98643844">
              <w:marLeft w:val="0"/>
              <w:marRight w:val="0"/>
              <w:marTop w:val="0"/>
              <w:marBottom w:val="0"/>
              <w:divBdr>
                <w:top w:val="none" w:sz="0" w:space="0" w:color="auto"/>
                <w:left w:val="none" w:sz="0" w:space="0" w:color="auto"/>
                <w:bottom w:val="none" w:sz="0" w:space="0" w:color="auto"/>
                <w:right w:val="none" w:sz="0" w:space="0" w:color="auto"/>
              </w:divBdr>
            </w:div>
            <w:div w:id="296229786">
              <w:marLeft w:val="0"/>
              <w:marRight w:val="0"/>
              <w:marTop w:val="0"/>
              <w:marBottom w:val="0"/>
              <w:divBdr>
                <w:top w:val="none" w:sz="0" w:space="0" w:color="auto"/>
                <w:left w:val="none" w:sz="0" w:space="0" w:color="auto"/>
                <w:bottom w:val="none" w:sz="0" w:space="0" w:color="auto"/>
                <w:right w:val="none" w:sz="0" w:space="0" w:color="auto"/>
              </w:divBdr>
            </w:div>
            <w:div w:id="489172715">
              <w:marLeft w:val="0"/>
              <w:marRight w:val="0"/>
              <w:marTop w:val="0"/>
              <w:marBottom w:val="0"/>
              <w:divBdr>
                <w:top w:val="none" w:sz="0" w:space="0" w:color="auto"/>
                <w:left w:val="none" w:sz="0" w:space="0" w:color="auto"/>
                <w:bottom w:val="none" w:sz="0" w:space="0" w:color="auto"/>
                <w:right w:val="none" w:sz="0" w:space="0" w:color="auto"/>
              </w:divBdr>
            </w:div>
            <w:div w:id="533277756">
              <w:marLeft w:val="0"/>
              <w:marRight w:val="0"/>
              <w:marTop w:val="0"/>
              <w:marBottom w:val="0"/>
              <w:divBdr>
                <w:top w:val="none" w:sz="0" w:space="0" w:color="auto"/>
                <w:left w:val="none" w:sz="0" w:space="0" w:color="auto"/>
                <w:bottom w:val="none" w:sz="0" w:space="0" w:color="auto"/>
                <w:right w:val="none" w:sz="0" w:space="0" w:color="auto"/>
              </w:divBdr>
            </w:div>
            <w:div w:id="830878068">
              <w:marLeft w:val="0"/>
              <w:marRight w:val="0"/>
              <w:marTop w:val="0"/>
              <w:marBottom w:val="0"/>
              <w:divBdr>
                <w:top w:val="none" w:sz="0" w:space="0" w:color="auto"/>
                <w:left w:val="none" w:sz="0" w:space="0" w:color="auto"/>
                <w:bottom w:val="none" w:sz="0" w:space="0" w:color="auto"/>
                <w:right w:val="none" w:sz="0" w:space="0" w:color="auto"/>
              </w:divBdr>
            </w:div>
            <w:div w:id="1031301862">
              <w:marLeft w:val="0"/>
              <w:marRight w:val="0"/>
              <w:marTop w:val="0"/>
              <w:marBottom w:val="0"/>
              <w:divBdr>
                <w:top w:val="none" w:sz="0" w:space="0" w:color="auto"/>
                <w:left w:val="none" w:sz="0" w:space="0" w:color="auto"/>
                <w:bottom w:val="none" w:sz="0" w:space="0" w:color="auto"/>
                <w:right w:val="none" w:sz="0" w:space="0" w:color="auto"/>
              </w:divBdr>
            </w:div>
            <w:div w:id="1062556716">
              <w:marLeft w:val="0"/>
              <w:marRight w:val="0"/>
              <w:marTop w:val="0"/>
              <w:marBottom w:val="0"/>
              <w:divBdr>
                <w:top w:val="none" w:sz="0" w:space="0" w:color="auto"/>
                <w:left w:val="none" w:sz="0" w:space="0" w:color="auto"/>
                <w:bottom w:val="none" w:sz="0" w:space="0" w:color="auto"/>
                <w:right w:val="none" w:sz="0" w:space="0" w:color="auto"/>
              </w:divBdr>
            </w:div>
            <w:div w:id="1114135824">
              <w:marLeft w:val="0"/>
              <w:marRight w:val="0"/>
              <w:marTop w:val="0"/>
              <w:marBottom w:val="0"/>
              <w:divBdr>
                <w:top w:val="none" w:sz="0" w:space="0" w:color="auto"/>
                <w:left w:val="none" w:sz="0" w:space="0" w:color="auto"/>
                <w:bottom w:val="none" w:sz="0" w:space="0" w:color="auto"/>
                <w:right w:val="none" w:sz="0" w:space="0" w:color="auto"/>
              </w:divBdr>
            </w:div>
            <w:div w:id="1129585994">
              <w:marLeft w:val="0"/>
              <w:marRight w:val="0"/>
              <w:marTop w:val="0"/>
              <w:marBottom w:val="0"/>
              <w:divBdr>
                <w:top w:val="none" w:sz="0" w:space="0" w:color="auto"/>
                <w:left w:val="none" w:sz="0" w:space="0" w:color="auto"/>
                <w:bottom w:val="none" w:sz="0" w:space="0" w:color="auto"/>
                <w:right w:val="none" w:sz="0" w:space="0" w:color="auto"/>
              </w:divBdr>
            </w:div>
            <w:div w:id="1157769093">
              <w:marLeft w:val="0"/>
              <w:marRight w:val="0"/>
              <w:marTop w:val="0"/>
              <w:marBottom w:val="0"/>
              <w:divBdr>
                <w:top w:val="none" w:sz="0" w:space="0" w:color="auto"/>
                <w:left w:val="none" w:sz="0" w:space="0" w:color="auto"/>
                <w:bottom w:val="none" w:sz="0" w:space="0" w:color="auto"/>
                <w:right w:val="none" w:sz="0" w:space="0" w:color="auto"/>
              </w:divBdr>
            </w:div>
            <w:div w:id="1277635009">
              <w:marLeft w:val="0"/>
              <w:marRight w:val="0"/>
              <w:marTop w:val="0"/>
              <w:marBottom w:val="0"/>
              <w:divBdr>
                <w:top w:val="none" w:sz="0" w:space="0" w:color="auto"/>
                <w:left w:val="none" w:sz="0" w:space="0" w:color="auto"/>
                <w:bottom w:val="none" w:sz="0" w:space="0" w:color="auto"/>
                <w:right w:val="none" w:sz="0" w:space="0" w:color="auto"/>
              </w:divBdr>
            </w:div>
            <w:div w:id="1380393513">
              <w:marLeft w:val="0"/>
              <w:marRight w:val="0"/>
              <w:marTop w:val="0"/>
              <w:marBottom w:val="0"/>
              <w:divBdr>
                <w:top w:val="none" w:sz="0" w:space="0" w:color="auto"/>
                <w:left w:val="none" w:sz="0" w:space="0" w:color="auto"/>
                <w:bottom w:val="none" w:sz="0" w:space="0" w:color="auto"/>
                <w:right w:val="none" w:sz="0" w:space="0" w:color="auto"/>
              </w:divBdr>
            </w:div>
            <w:div w:id="1431390122">
              <w:marLeft w:val="0"/>
              <w:marRight w:val="0"/>
              <w:marTop w:val="0"/>
              <w:marBottom w:val="0"/>
              <w:divBdr>
                <w:top w:val="none" w:sz="0" w:space="0" w:color="auto"/>
                <w:left w:val="none" w:sz="0" w:space="0" w:color="auto"/>
                <w:bottom w:val="none" w:sz="0" w:space="0" w:color="auto"/>
                <w:right w:val="none" w:sz="0" w:space="0" w:color="auto"/>
              </w:divBdr>
            </w:div>
            <w:div w:id="1828086532">
              <w:marLeft w:val="0"/>
              <w:marRight w:val="0"/>
              <w:marTop w:val="0"/>
              <w:marBottom w:val="0"/>
              <w:divBdr>
                <w:top w:val="none" w:sz="0" w:space="0" w:color="auto"/>
                <w:left w:val="none" w:sz="0" w:space="0" w:color="auto"/>
                <w:bottom w:val="none" w:sz="0" w:space="0" w:color="auto"/>
                <w:right w:val="none" w:sz="0" w:space="0" w:color="auto"/>
              </w:divBdr>
            </w:div>
            <w:div w:id="1954166623">
              <w:marLeft w:val="0"/>
              <w:marRight w:val="0"/>
              <w:marTop w:val="0"/>
              <w:marBottom w:val="0"/>
              <w:divBdr>
                <w:top w:val="none" w:sz="0" w:space="0" w:color="auto"/>
                <w:left w:val="none" w:sz="0" w:space="0" w:color="auto"/>
                <w:bottom w:val="none" w:sz="0" w:space="0" w:color="auto"/>
                <w:right w:val="none" w:sz="0" w:space="0" w:color="auto"/>
              </w:divBdr>
            </w:div>
            <w:div w:id="2009214311">
              <w:marLeft w:val="0"/>
              <w:marRight w:val="0"/>
              <w:marTop w:val="0"/>
              <w:marBottom w:val="0"/>
              <w:divBdr>
                <w:top w:val="none" w:sz="0" w:space="0" w:color="auto"/>
                <w:left w:val="none" w:sz="0" w:space="0" w:color="auto"/>
                <w:bottom w:val="none" w:sz="0" w:space="0" w:color="auto"/>
                <w:right w:val="none" w:sz="0" w:space="0" w:color="auto"/>
              </w:divBdr>
            </w:div>
            <w:div w:id="2066947489">
              <w:marLeft w:val="0"/>
              <w:marRight w:val="0"/>
              <w:marTop w:val="0"/>
              <w:marBottom w:val="0"/>
              <w:divBdr>
                <w:top w:val="none" w:sz="0" w:space="0" w:color="auto"/>
                <w:left w:val="none" w:sz="0" w:space="0" w:color="auto"/>
                <w:bottom w:val="none" w:sz="0" w:space="0" w:color="auto"/>
                <w:right w:val="none" w:sz="0" w:space="0" w:color="auto"/>
              </w:divBdr>
            </w:div>
            <w:div w:id="2103868917">
              <w:marLeft w:val="0"/>
              <w:marRight w:val="0"/>
              <w:marTop w:val="0"/>
              <w:marBottom w:val="0"/>
              <w:divBdr>
                <w:top w:val="none" w:sz="0" w:space="0" w:color="auto"/>
                <w:left w:val="none" w:sz="0" w:space="0" w:color="auto"/>
                <w:bottom w:val="none" w:sz="0" w:space="0" w:color="auto"/>
                <w:right w:val="none" w:sz="0" w:space="0" w:color="auto"/>
              </w:divBdr>
            </w:div>
          </w:divsChild>
        </w:div>
        <w:div w:id="1134786120">
          <w:marLeft w:val="0"/>
          <w:marRight w:val="0"/>
          <w:marTop w:val="0"/>
          <w:marBottom w:val="0"/>
          <w:divBdr>
            <w:top w:val="none" w:sz="0" w:space="0" w:color="auto"/>
            <w:left w:val="none" w:sz="0" w:space="0" w:color="auto"/>
            <w:bottom w:val="none" w:sz="0" w:space="0" w:color="auto"/>
            <w:right w:val="none" w:sz="0" w:space="0" w:color="auto"/>
          </w:divBdr>
        </w:div>
        <w:div w:id="1205945021">
          <w:marLeft w:val="0"/>
          <w:marRight w:val="0"/>
          <w:marTop w:val="0"/>
          <w:marBottom w:val="0"/>
          <w:divBdr>
            <w:top w:val="none" w:sz="0" w:space="0" w:color="auto"/>
            <w:left w:val="none" w:sz="0" w:space="0" w:color="auto"/>
            <w:bottom w:val="none" w:sz="0" w:space="0" w:color="auto"/>
            <w:right w:val="none" w:sz="0" w:space="0" w:color="auto"/>
          </w:divBdr>
        </w:div>
        <w:div w:id="1324428116">
          <w:marLeft w:val="0"/>
          <w:marRight w:val="0"/>
          <w:marTop w:val="0"/>
          <w:marBottom w:val="0"/>
          <w:divBdr>
            <w:top w:val="none" w:sz="0" w:space="0" w:color="auto"/>
            <w:left w:val="none" w:sz="0" w:space="0" w:color="auto"/>
            <w:bottom w:val="none" w:sz="0" w:space="0" w:color="auto"/>
            <w:right w:val="none" w:sz="0" w:space="0" w:color="auto"/>
          </w:divBdr>
        </w:div>
        <w:div w:id="1682274574">
          <w:marLeft w:val="0"/>
          <w:marRight w:val="0"/>
          <w:marTop w:val="0"/>
          <w:marBottom w:val="0"/>
          <w:divBdr>
            <w:top w:val="none" w:sz="0" w:space="0" w:color="auto"/>
            <w:left w:val="none" w:sz="0" w:space="0" w:color="auto"/>
            <w:bottom w:val="none" w:sz="0" w:space="0" w:color="auto"/>
            <w:right w:val="none" w:sz="0" w:space="0" w:color="auto"/>
          </w:divBdr>
        </w:div>
      </w:divsChild>
    </w:div>
    <w:div w:id="268783261">
      <w:bodyDiv w:val="1"/>
      <w:marLeft w:val="0"/>
      <w:marRight w:val="0"/>
      <w:marTop w:val="0"/>
      <w:marBottom w:val="0"/>
      <w:divBdr>
        <w:top w:val="none" w:sz="0" w:space="0" w:color="auto"/>
        <w:left w:val="none" w:sz="0" w:space="0" w:color="auto"/>
        <w:bottom w:val="none" w:sz="0" w:space="0" w:color="auto"/>
        <w:right w:val="none" w:sz="0" w:space="0" w:color="auto"/>
      </w:divBdr>
      <w:divsChild>
        <w:div w:id="1204905381">
          <w:marLeft w:val="0"/>
          <w:marRight w:val="0"/>
          <w:marTop w:val="0"/>
          <w:marBottom w:val="0"/>
          <w:divBdr>
            <w:top w:val="none" w:sz="0" w:space="0" w:color="auto"/>
            <w:left w:val="none" w:sz="0" w:space="0" w:color="auto"/>
            <w:bottom w:val="none" w:sz="0" w:space="0" w:color="auto"/>
            <w:right w:val="none" w:sz="0" w:space="0" w:color="auto"/>
          </w:divBdr>
        </w:div>
        <w:div w:id="1674607705">
          <w:marLeft w:val="0"/>
          <w:marRight w:val="0"/>
          <w:marTop w:val="0"/>
          <w:marBottom w:val="0"/>
          <w:divBdr>
            <w:top w:val="none" w:sz="0" w:space="0" w:color="auto"/>
            <w:left w:val="none" w:sz="0" w:space="0" w:color="auto"/>
            <w:bottom w:val="none" w:sz="0" w:space="0" w:color="auto"/>
            <w:right w:val="none" w:sz="0" w:space="0" w:color="auto"/>
          </w:divBdr>
          <w:divsChild>
            <w:div w:id="1193836382">
              <w:marLeft w:val="-75"/>
              <w:marRight w:val="0"/>
              <w:marTop w:val="30"/>
              <w:marBottom w:val="30"/>
              <w:divBdr>
                <w:top w:val="none" w:sz="0" w:space="0" w:color="auto"/>
                <w:left w:val="none" w:sz="0" w:space="0" w:color="auto"/>
                <w:bottom w:val="none" w:sz="0" w:space="0" w:color="auto"/>
                <w:right w:val="none" w:sz="0" w:space="0" w:color="auto"/>
              </w:divBdr>
              <w:divsChild>
                <w:div w:id="1520450">
                  <w:marLeft w:val="0"/>
                  <w:marRight w:val="0"/>
                  <w:marTop w:val="0"/>
                  <w:marBottom w:val="0"/>
                  <w:divBdr>
                    <w:top w:val="none" w:sz="0" w:space="0" w:color="auto"/>
                    <w:left w:val="none" w:sz="0" w:space="0" w:color="auto"/>
                    <w:bottom w:val="none" w:sz="0" w:space="0" w:color="auto"/>
                    <w:right w:val="none" w:sz="0" w:space="0" w:color="auto"/>
                  </w:divBdr>
                  <w:divsChild>
                    <w:div w:id="717775709">
                      <w:marLeft w:val="0"/>
                      <w:marRight w:val="0"/>
                      <w:marTop w:val="0"/>
                      <w:marBottom w:val="0"/>
                      <w:divBdr>
                        <w:top w:val="none" w:sz="0" w:space="0" w:color="auto"/>
                        <w:left w:val="none" w:sz="0" w:space="0" w:color="auto"/>
                        <w:bottom w:val="none" w:sz="0" w:space="0" w:color="auto"/>
                        <w:right w:val="none" w:sz="0" w:space="0" w:color="auto"/>
                      </w:divBdr>
                    </w:div>
                  </w:divsChild>
                </w:div>
                <w:div w:id="2168921">
                  <w:marLeft w:val="0"/>
                  <w:marRight w:val="0"/>
                  <w:marTop w:val="0"/>
                  <w:marBottom w:val="0"/>
                  <w:divBdr>
                    <w:top w:val="none" w:sz="0" w:space="0" w:color="auto"/>
                    <w:left w:val="none" w:sz="0" w:space="0" w:color="auto"/>
                    <w:bottom w:val="none" w:sz="0" w:space="0" w:color="auto"/>
                    <w:right w:val="none" w:sz="0" w:space="0" w:color="auto"/>
                  </w:divBdr>
                  <w:divsChild>
                    <w:div w:id="267155081">
                      <w:marLeft w:val="0"/>
                      <w:marRight w:val="0"/>
                      <w:marTop w:val="0"/>
                      <w:marBottom w:val="0"/>
                      <w:divBdr>
                        <w:top w:val="none" w:sz="0" w:space="0" w:color="auto"/>
                        <w:left w:val="none" w:sz="0" w:space="0" w:color="auto"/>
                        <w:bottom w:val="none" w:sz="0" w:space="0" w:color="auto"/>
                        <w:right w:val="none" w:sz="0" w:space="0" w:color="auto"/>
                      </w:divBdr>
                    </w:div>
                  </w:divsChild>
                </w:div>
                <w:div w:id="7558993">
                  <w:marLeft w:val="0"/>
                  <w:marRight w:val="0"/>
                  <w:marTop w:val="0"/>
                  <w:marBottom w:val="0"/>
                  <w:divBdr>
                    <w:top w:val="none" w:sz="0" w:space="0" w:color="auto"/>
                    <w:left w:val="none" w:sz="0" w:space="0" w:color="auto"/>
                    <w:bottom w:val="none" w:sz="0" w:space="0" w:color="auto"/>
                    <w:right w:val="none" w:sz="0" w:space="0" w:color="auto"/>
                  </w:divBdr>
                  <w:divsChild>
                    <w:div w:id="1870407936">
                      <w:marLeft w:val="0"/>
                      <w:marRight w:val="0"/>
                      <w:marTop w:val="0"/>
                      <w:marBottom w:val="0"/>
                      <w:divBdr>
                        <w:top w:val="none" w:sz="0" w:space="0" w:color="auto"/>
                        <w:left w:val="none" w:sz="0" w:space="0" w:color="auto"/>
                        <w:bottom w:val="none" w:sz="0" w:space="0" w:color="auto"/>
                        <w:right w:val="none" w:sz="0" w:space="0" w:color="auto"/>
                      </w:divBdr>
                    </w:div>
                  </w:divsChild>
                </w:div>
                <w:div w:id="9337197">
                  <w:marLeft w:val="0"/>
                  <w:marRight w:val="0"/>
                  <w:marTop w:val="0"/>
                  <w:marBottom w:val="0"/>
                  <w:divBdr>
                    <w:top w:val="none" w:sz="0" w:space="0" w:color="auto"/>
                    <w:left w:val="none" w:sz="0" w:space="0" w:color="auto"/>
                    <w:bottom w:val="none" w:sz="0" w:space="0" w:color="auto"/>
                    <w:right w:val="none" w:sz="0" w:space="0" w:color="auto"/>
                  </w:divBdr>
                  <w:divsChild>
                    <w:div w:id="308755900">
                      <w:marLeft w:val="0"/>
                      <w:marRight w:val="0"/>
                      <w:marTop w:val="0"/>
                      <w:marBottom w:val="0"/>
                      <w:divBdr>
                        <w:top w:val="none" w:sz="0" w:space="0" w:color="auto"/>
                        <w:left w:val="none" w:sz="0" w:space="0" w:color="auto"/>
                        <w:bottom w:val="none" w:sz="0" w:space="0" w:color="auto"/>
                        <w:right w:val="none" w:sz="0" w:space="0" w:color="auto"/>
                      </w:divBdr>
                    </w:div>
                  </w:divsChild>
                </w:div>
                <w:div w:id="10492719">
                  <w:marLeft w:val="0"/>
                  <w:marRight w:val="0"/>
                  <w:marTop w:val="0"/>
                  <w:marBottom w:val="0"/>
                  <w:divBdr>
                    <w:top w:val="none" w:sz="0" w:space="0" w:color="auto"/>
                    <w:left w:val="none" w:sz="0" w:space="0" w:color="auto"/>
                    <w:bottom w:val="none" w:sz="0" w:space="0" w:color="auto"/>
                    <w:right w:val="none" w:sz="0" w:space="0" w:color="auto"/>
                  </w:divBdr>
                  <w:divsChild>
                    <w:div w:id="1371296043">
                      <w:marLeft w:val="0"/>
                      <w:marRight w:val="0"/>
                      <w:marTop w:val="0"/>
                      <w:marBottom w:val="0"/>
                      <w:divBdr>
                        <w:top w:val="none" w:sz="0" w:space="0" w:color="auto"/>
                        <w:left w:val="none" w:sz="0" w:space="0" w:color="auto"/>
                        <w:bottom w:val="none" w:sz="0" w:space="0" w:color="auto"/>
                        <w:right w:val="none" w:sz="0" w:space="0" w:color="auto"/>
                      </w:divBdr>
                    </w:div>
                  </w:divsChild>
                </w:div>
                <w:div w:id="12074237">
                  <w:marLeft w:val="0"/>
                  <w:marRight w:val="0"/>
                  <w:marTop w:val="0"/>
                  <w:marBottom w:val="0"/>
                  <w:divBdr>
                    <w:top w:val="none" w:sz="0" w:space="0" w:color="auto"/>
                    <w:left w:val="none" w:sz="0" w:space="0" w:color="auto"/>
                    <w:bottom w:val="none" w:sz="0" w:space="0" w:color="auto"/>
                    <w:right w:val="none" w:sz="0" w:space="0" w:color="auto"/>
                  </w:divBdr>
                  <w:divsChild>
                    <w:div w:id="940839634">
                      <w:marLeft w:val="0"/>
                      <w:marRight w:val="0"/>
                      <w:marTop w:val="0"/>
                      <w:marBottom w:val="0"/>
                      <w:divBdr>
                        <w:top w:val="none" w:sz="0" w:space="0" w:color="auto"/>
                        <w:left w:val="none" w:sz="0" w:space="0" w:color="auto"/>
                        <w:bottom w:val="none" w:sz="0" w:space="0" w:color="auto"/>
                        <w:right w:val="none" w:sz="0" w:space="0" w:color="auto"/>
                      </w:divBdr>
                    </w:div>
                  </w:divsChild>
                </w:div>
                <w:div w:id="25255929">
                  <w:marLeft w:val="0"/>
                  <w:marRight w:val="0"/>
                  <w:marTop w:val="0"/>
                  <w:marBottom w:val="0"/>
                  <w:divBdr>
                    <w:top w:val="none" w:sz="0" w:space="0" w:color="auto"/>
                    <w:left w:val="none" w:sz="0" w:space="0" w:color="auto"/>
                    <w:bottom w:val="none" w:sz="0" w:space="0" w:color="auto"/>
                    <w:right w:val="none" w:sz="0" w:space="0" w:color="auto"/>
                  </w:divBdr>
                  <w:divsChild>
                    <w:div w:id="364912652">
                      <w:marLeft w:val="0"/>
                      <w:marRight w:val="0"/>
                      <w:marTop w:val="0"/>
                      <w:marBottom w:val="0"/>
                      <w:divBdr>
                        <w:top w:val="none" w:sz="0" w:space="0" w:color="auto"/>
                        <w:left w:val="none" w:sz="0" w:space="0" w:color="auto"/>
                        <w:bottom w:val="none" w:sz="0" w:space="0" w:color="auto"/>
                        <w:right w:val="none" w:sz="0" w:space="0" w:color="auto"/>
                      </w:divBdr>
                    </w:div>
                  </w:divsChild>
                </w:div>
                <w:div w:id="27801034">
                  <w:marLeft w:val="0"/>
                  <w:marRight w:val="0"/>
                  <w:marTop w:val="0"/>
                  <w:marBottom w:val="0"/>
                  <w:divBdr>
                    <w:top w:val="none" w:sz="0" w:space="0" w:color="auto"/>
                    <w:left w:val="none" w:sz="0" w:space="0" w:color="auto"/>
                    <w:bottom w:val="none" w:sz="0" w:space="0" w:color="auto"/>
                    <w:right w:val="none" w:sz="0" w:space="0" w:color="auto"/>
                  </w:divBdr>
                  <w:divsChild>
                    <w:div w:id="988217848">
                      <w:marLeft w:val="0"/>
                      <w:marRight w:val="0"/>
                      <w:marTop w:val="0"/>
                      <w:marBottom w:val="0"/>
                      <w:divBdr>
                        <w:top w:val="none" w:sz="0" w:space="0" w:color="auto"/>
                        <w:left w:val="none" w:sz="0" w:space="0" w:color="auto"/>
                        <w:bottom w:val="none" w:sz="0" w:space="0" w:color="auto"/>
                        <w:right w:val="none" w:sz="0" w:space="0" w:color="auto"/>
                      </w:divBdr>
                    </w:div>
                  </w:divsChild>
                </w:div>
                <w:div w:id="29961037">
                  <w:marLeft w:val="0"/>
                  <w:marRight w:val="0"/>
                  <w:marTop w:val="0"/>
                  <w:marBottom w:val="0"/>
                  <w:divBdr>
                    <w:top w:val="none" w:sz="0" w:space="0" w:color="auto"/>
                    <w:left w:val="none" w:sz="0" w:space="0" w:color="auto"/>
                    <w:bottom w:val="none" w:sz="0" w:space="0" w:color="auto"/>
                    <w:right w:val="none" w:sz="0" w:space="0" w:color="auto"/>
                  </w:divBdr>
                  <w:divsChild>
                    <w:div w:id="106631403">
                      <w:marLeft w:val="0"/>
                      <w:marRight w:val="0"/>
                      <w:marTop w:val="0"/>
                      <w:marBottom w:val="0"/>
                      <w:divBdr>
                        <w:top w:val="none" w:sz="0" w:space="0" w:color="auto"/>
                        <w:left w:val="none" w:sz="0" w:space="0" w:color="auto"/>
                        <w:bottom w:val="none" w:sz="0" w:space="0" w:color="auto"/>
                        <w:right w:val="none" w:sz="0" w:space="0" w:color="auto"/>
                      </w:divBdr>
                    </w:div>
                  </w:divsChild>
                </w:div>
                <w:div w:id="35929614">
                  <w:marLeft w:val="0"/>
                  <w:marRight w:val="0"/>
                  <w:marTop w:val="0"/>
                  <w:marBottom w:val="0"/>
                  <w:divBdr>
                    <w:top w:val="none" w:sz="0" w:space="0" w:color="auto"/>
                    <w:left w:val="none" w:sz="0" w:space="0" w:color="auto"/>
                    <w:bottom w:val="none" w:sz="0" w:space="0" w:color="auto"/>
                    <w:right w:val="none" w:sz="0" w:space="0" w:color="auto"/>
                  </w:divBdr>
                  <w:divsChild>
                    <w:div w:id="1804075318">
                      <w:marLeft w:val="0"/>
                      <w:marRight w:val="0"/>
                      <w:marTop w:val="0"/>
                      <w:marBottom w:val="0"/>
                      <w:divBdr>
                        <w:top w:val="none" w:sz="0" w:space="0" w:color="auto"/>
                        <w:left w:val="none" w:sz="0" w:space="0" w:color="auto"/>
                        <w:bottom w:val="none" w:sz="0" w:space="0" w:color="auto"/>
                        <w:right w:val="none" w:sz="0" w:space="0" w:color="auto"/>
                      </w:divBdr>
                    </w:div>
                  </w:divsChild>
                </w:div>
                <w:div w:id="36511996">
                  <w:marLeft w:val="0"/>
                  <w:marRight w:val="0"/>
                  <w:marTop w:val="0"/>
                  <w:marBottom w:val="0"/>
                  <w:divBdr>
                    <w:top w:val="none" w:sz="0" w:space="0" w:color="auto"/>
                    <w:left w:val="none" w:sz="0" w:space="0" w:color="auto"/>
                    <w:bottom w:val="none" w:sz="0" w:space="0" w:color="auto"/>
                    <w:right w:val="none" w:sz="0" w:space="0" w:color="auto"/>
                  </w:divBdr>
                  <w:divsChild>
                    <w:div w:id="2082287823">
                      <w:marLeft w:val="0"/>
                      <w:marRight w:val="0"/>
                      <w:marTop w:val="0"/>
                      <w:marBottom w:val="0"/>
                      <w:divBdr>
                        <w:top w:val="none" w:sz="0" w:space="0" w:color="auto"/>
                        <w:left w:val="none" w:sz="0" w:space="0" w:color="auto"/>
                        <w:bottom w:val="none" w:sz="0" w:space="0" w:color="auto"/>
                        <w:right w:val="none" w:sz="0" w:space="0" w:color="auto"/>
                      </w:divBdr>
                    </w:div>
                  </w:divsChild>
                </w:div>
                <w:div w:id="37903656">
                  <w:marLeft w:val="0"/>
                  <w:marRight w:val="0"/>
                  <w:marTop w:val="0"/>
                  <w:marBottom w:val="0"/>
                  <w:divBdr>
                    <w:top w:val="none" w:sz="0" w:space="0" w:color="auto"/>
                    <w:left w:val="none" w:sz="0" w:space="0" w:color="auto"/>
                    <w:bottom w:val="none" w:sz="0" w:space="0" w:color="auto"/>
                    <w:right w:val="none" w:sz="0" w:space="0" w:color="auto"/>
                  </w:divBdr>
                  <w:divsChild>
                    <w:div w:id="681711174">
                      <w:marLeft w:val="0"/>
                      <w:marRight w:val="0"/>
                      <w:marTop w:val="0"/>
                      <w:marBottom w:val="0"/>
                      <w:divBdr>
                        <w:top w:val="none" w:sz="0" w:space="0" w:color="auto"/>
                        <w:left w:val="none" w:sz="0" w:space="0" w:color="auto"/>
                        <w:bottom w:val="none" w:sz="0" w:space="0" w:color="auto"/>
                        <w:right w:val="none" w:sz="0" w:space="0" w:color="auto"/>
                      </w:divBdr>
                    </w:div>
                  </w:divsChild>
                </w:div>
                <w:div w:id="44568598">
                  <w:marLeft w:val="0"/>
                  <w:marRight w:val="0"/>
                  <w:marTop w:val="0"/>
                  <w:marBottom w:val="0"/>
                  <w:divBdr>
                    <w:top w:val="none" w:sz="0" w:space="0" w:color="auto"/>
                    <w:left w:val="none" w:sz="0" w:space="0" w:color="auto"/>
                    <w:bottom w:val="none" w:sz="0" w:space="0" w:color="auto"/>
                    <w:right w:val="none" w:sz="0" w:space="0" w:color="auto"/>
                  </w:divBdr>
                  <w:divsChild>
                    <w:div w:id="627056679">
                      <w:marLeft w:val="0"/>
                      <w:marRight w:val="0"/>
                      <w:marTop w:val="0"/>
                      <w:marBottom w:val="0"/>
                      <w:divBdr>
                        <w:top w:val="none" w:sz="0" w:space="0" w:color="auto"/>
                        <w:left w:val="none" w:sz="0" w:space="0" w:color="auto"/>
                        <w:bottom w:val="none" w:sz="0" w:space="0" w:color="auto"/>
                        <w:right w:val="none" w:sz="0" w:space="0" w:color="auto"/>
                      </w:divBdr>
                    </w:div>
                  </w:divsChild>
                </w:div>
                <w:div w:id="69623003">
                  <w:marLeft w:val="0"/>
                  <w:marRight w:val="0"/>
                  <w:marTop w:val="0"/>
                  <w:marBottom w:val="0"/>
                  <w:divBdr>
                    <w:top w:val="none" w:sz="0" w:space="0" w:color="auto"/>
                    <w:left w:val="none" w:sz="0" w:space="0" w:color="auto"/>
                    <w:bottom w:val="none" w:sz="0" w:space="0" w:color="auto"/>
                    <w:right w:val="none" w:sz="0" w:space="0" w:color="auto"/>
                  </w:divBdr>
                  <w:divsChild>
                    <w:div w:id="472675039">
                      <w:marLeft w:val="0"/>
                      <w:marRight w:val="0"/>
                      <w:marTop w:val="0"/>
                      <w:marBottom w:val="0"/>
                      <w:divBdr>
                        <w:top w:val="none" w:sz="0" w:space="0" w:color="auto"/>
                        <w:left w:val="none" w:sz="0" w:space="0" w:color="auto"/>
                        <w:bottom w:val="none" w:sz="0" w:space="0" w:color="auto"/>
                        <w:right w:val="none" w:sz="0" w:space="0" w:color="auto"/>
                      </w:divBdr>
                    </w:div>
                  </w:divsChild>
                </w:div>
                <w:div w:id="85614025">
                  <w:marLeft w:val="0"/>
                  <w:marRight w:val="0"/>
                  <w:marTop w:val="0"/>
                  <w:marBottom w:val="0"/>
                  <w:divBdr>
                    <w:top w:val="none" w:sz="0" w:space="0" w:color="auto"/>
                    <w:left w:val="none" w:sz="0" w:space="0" w:color="auto"/>
                    <w:bottom w:val="none" w:sz="0" w:space="0" w:color="auto"/>
                    <w:right w:val="none" w:sz="0" w:space="0" w:color="auto"/>
                  </w:divBdr>
                  <w:divsChild>
                    <w:div w:id="1454904004">
                      <w:marLeft w:val="0"/>
                      <w:marRight w:val="0"/>
                      <w:marTop w:val="0"/>
                      <w:marBottom w:val="0"/>
                      <w:divBdr>
                        <w:top w:val="none" w:sz="0" w:space="0" w:color="auto"/>
                        <w:left w:val="none" w:sz="0" w:space="0" w:color="auto"/>
                        <w:bottom w:val="none" w:sz="0" w:space="0" w:color="auto"/>
                        <w:right w:val="none" w:sz="0" w:space="0" w:color="auto"/>
                      </w:divBdr>
                    </w:div>
                  </w:divsChild>
                </w:div>
                <w:div w:id="89326313">
                  <w:marLeft w:val="0"/>
                  <w:marRight w:val="0"/>
                  <w:marTop w:val="0"/>
                  <w:marBottom w:val="0"/>
                  <w:divBdr>
                    <w:top w:val="none" w:sz="0" w:space="0" w:color="auto"/>
                    <w:left w:val="none" w:sz="0" w:space="0" w:color="auto"/>
                    <w:bottom w:val="none" w:sz="0" w:space="0" w:color="auto"/>
                    <w:right w:val="none" w:sz="0" w:space="0" w:color="auto"/>
                  </w:divBdr>
                  <w:divsChild>
                    <w:div w:id="2093970050">
                      <w:marLeft w:val="0"/>
                      <w:marRight w:val="0"/>
                      <w:marTop w:val="0"/>
                      <w:marBottom w:val="0"/>
                      <w:divBdr>
                        <w:top w:val="none" w:sz="0" w:space="0" w:color="auto"/>
                        <w:left w:val="none" w:sz="0" w:space="0" w:color="auto"/>
                        <w:bottom w:val="none" w:sz="0" w:space="0" w:color="auto"/>
                        <w:right w:val="none" w:sz="0" w:space="0" w:color="auto"/>
                      </w:divBdr>
                    </w:div>
                  </w:divsChild>
                </w:div>
                <w:div w:id="89351795">
                  <w:marLeft w:val="0"/>
                  <w:marRight w:val="0"/>
                  <w:marTop w:val="0"/>
                  <w:marBottom w:val="0"/>
                  <w:divBdr>
                    <w:top w:val="none" w:sz="0" w:space="0" w:color="auto"/>
                    <w:left w:val="none" w:sz="0" w:space="0" w:color="auto"/>
                    <w:bottom w:val="none" w:sz="0" w:space="0" w:color="auto"/>
                    <w:right w:val="none" w:sz="0" w:space="0" w:color="auto"/>
                  </w:divBdr>
                  <w:divsChild>
                    <w:div w:id="943004127">
                      <w:marLeft w:val="0"/>
                      <w:marRight w:val="0"/>
                      <w:marTop w:val="0"/>
                      <w:marBottom w:val="0"/>
                      <w:divBdr>
                        <w:top w:val="none" w:sz="0" w:space="0" w:color="auto"/>
                        <w:left w:val="none" w:sz="0" w:space="0" w:color="auto"/>
                        <w:bottom w:val="none" w:sz="0" w:space="0" w:color="auto"/>
                        <w:right w:val="none" w:sz="0" w:space="0" w:color="auto"/>
                      </w:divBdr>
                    </w:div>
                  </w:divsChild>
                </w:div>
                <w:div w:id="104663353">
                  <w:marLeft w:val="0"/>
                  <w:marRight w:val="0"/>
                  <w:marTop w:val="0"/>
                  <w:marBottom w:val="0"/>
                  <w:divBdr>
                    <w:top w:val="none" w:sz="0" w:space="0" w:color="auto"/>
                    <w:left w:val="none" w:sz="0" w:space="0" w:color="auto"/>
                    <w:bottom w:val="none" w:sz="0" w:space="0" w:color="auto"/>
                    <w:right w:val="none" w:sz="0" w:space="0" w:color="auto"/>
                  </w:divBdr>
                  <w:divsChild>
                    <w:div w:id="790517860">
                      <w:marLeft w:val="0"/>
                      <w:marRight w:val="0"/>
                      <w:marTop w:val="0"/>
                      <w:marBottom w:val="0"/>
                      <w:divBdr>
                        <w:top w:val="none" w:sz="0" w:space="0" w:color="auto"/>
                        <w:left w:val="none" w:sz="0" w:space="0" w:color="auto"/>
                        <w:bottom w:val="none" w:sz="0" w:space="0" w:color="auto"/>
                        <w:right w:val="none" w:sz="0" w:space="0" w:color="auto"/>
                      </w:divBdr>
                    </w:div>
                  </w:divsChild>
                </w:div>
                <w:div w:id="135803075">
                  <w:marLeft w:val="0"/>
                  <w:marRight w:val="0"/>
                  <w:marTop w:val="0"/>
                  <w:marBottom w:val="0"/>
                  <w:divBdr>
                    <w:top w:val="none" w:sz="0" w:space="0" w:color="auto"/>
                    <w:left w:val="none" w:sz="0" w:space="0" w:color="auto"/>
                    <w:bottom w:val="none" w:sz="0" w:space="0" w:color="auto"/>
                    <w:right w:val="none" w:sz="0" w:space="0" w:color="auto"/>
                  </w:divBdr>
                  <w:divsChild>
                    <w:div w:id="1952514151">
                      <w:marLeft w:val="0"/>
                      <w:marRight w:val="0"/>
                      <w:marTop w:val="0"/>
                      <w:marBottom w:val="0"/>
                      <w:divBdr>
                        <w:top w:val="none" w:sz="0" w:space="0" w:color="auto"/>
                        <w:left w:val="none" w:sz="0" w:space="0" w:color="auto"/>
                        <w:bottom w:val="none" w:sz="0" w:space="0" w:color="auto"/>
                        <w:right w:val="none" w:sz="0" w:space="0" w:color="auto"/>
                      </w:divBdr>
                    </w:div>
                  </w:divsChild>
                </w:div>
                <w:div w:id="136848560">
                  <w:marLeft w:val="0"/>
                  <w:marRight w:val="0"/>
                  <w:marTop w:val="0"/>
                  <w:marBottom w:val="0"/>
                  <w:divBdr>
                    <w:top w:val="none" w:sz="0" w:space="0" w:color="auto"/>
                    <w:left w:val="none" w:sz="0" w:space="0" w:color="auto"/>
                    <w:bottom w:val="none" w:sz="0" w:space="0" w:color="auto"/>
                    <w:right w:val="none" w:sz="0" w:space="0" w:color="auto"/>
                  </w:divBdr>
                  <w:divsChild>
                    <w:div w:id="509411842">
                      <w:marLeft w:val="0"/>
                      <w:marRight w:val="0"/>
                      <w:marTop w:val="0"/>
                      <w:marBottom w:val="0"/>
                      <w:divBdr>
                        <w:top w:val="none" w:sz="0" w:space="0" w:color="auto"/>
                        <w:left w:val="none" w:sz="0" w:space="0" w:color="auto"/>
                        <w:bottom w:val="none" w:sz="0" w:space="0" w:color="auto"/>
                        <w:right w:val="none" w:sz="0" w:space="0" w:color="auto"/>
                      </w:divBdr>
                    </w:div>
                  </w:divsChild>
                </w:div>
                <w:div w:id="138690434">
                  <w:marLeft w:val="0"/>
                  <w:marRight w:val="0"/>
                  <w:marTop w:val="0"/>
                  <w:marBottom w:val="0"/>
                  <w:divBdr>
                    <w:top w:val="none" w:sz="0" w:space="0" w:color="auto"/>
                    <w:left w:val="none" w:sz="0" w:space="0" w:color="auto"/>
                    <w:bottom w:val="none" w:sz="0" w:space="0" w:color="auto"/>
                    <w:right w:val="none" w:sz="0" w:space="0" w:color="auto"/>
                  </w:divBdr>
                  <w:divsChild>
                    <w:div w:id="1919748150">
                      <w:marLeft w:val="0"/>
                      <w:marRight w:val="0"/>
                      <w:marTop w:val="0"/>
                      <w:marBottom w:val="0"/>
                      <w:divBdr>
                        <w:top w:val="none" w:sz="0" w:space="0" w:color="auto"/>
                        <w:left w:val="none" w:sz="0" w:space="0" w:color="auto"/>
                        <w:bottom w:val="none" w:sz="0" w:space="0" w:color="auto"/>
                        <w:right w:val="none" w:sz="0" w:space="0" w:color="auto"/>
                      </w:divBdr>
                    </w:div>
                  </w:divsChild>
                </w:div>
                <w:div w:id="148055280">
                  <w:marLeft w:val="0"/>
                  <w:marRight w:val="0"/>
                  <w:marTop w:val="0"/>
                  <w:marBottom w:val="0"/>
                  <w:divBdr>
                    <w:top w:val="none" w:sz="0" w:space="0" w:color="auto"/>
                    <w:left w:val="none" w:sz="0" w:space="0" w:color="auto"/>
                    <w:bottom w:val="none" w:sz="0" w:space="0" w:color="auto"/>
                    <w:right w:val="none" w:sz="0" w:space="0" w:color="auto"/>
                  </w:divBdr>
                  <w:divsChild>
                    <w:div w:id="1293512098">
                      <w:marLeft w:val="0"/>
                      <w:marRight w:val="0"/>
                      <w:marTop w:val="0"/>
                      <w:marBottom w:val="0"/>
                      <w:divBdr>
                        <w:top w:val="none" w:sz="0" w:space="0" w:color="auto"/>
                        <w:left w:val="none" w:sz="0" w:space="0" w:color="auto"/>
                        <w:bottom w:val="none" w:sz="0" w:space="0" w:color="auto"/>
                        <w:right w:val="none" w:sz="0" w:space="0" w:color="auto"/>
                      </w:divBdr>
                    </w:div>
                  </w:divsChild>
                </w:div>
                <w:div w:id="149715943">
                  <w:marLeft w:val="0"/>
                  <w:marRight w:val="0"/>
                  <w:marTop w:val="0"/>
                  <w:marBottom w:val="0"/>
                  <w:divBdr>
                    <w:top w:val="none" w:sz="0" w:space="0" w:color="auto"/>
                    <w:left w:val="none" w:sz="0" w:space="0" w:color="auto"/>
                    <w:bottom w:val="none" w:sz="0" w:space="0" w:color="auto"/>
                    <w:right w:val="none" w:sz="0" w:space="0" w:color="auto"/>
                  </w:divBdr>
                  <w:divsChild>
                    <w:div w:id="1022322902">
                      <w:marLeft w:val="0"/>
                      <w:marRight w:val="0"/>
                      <w:marTop w:val="0"/>
                      <w:marBottom w:val="0"/>
                      <w:divBdr>
                        <w:top w:val="none" w:sz="0" w:space="0" w:color="auto"/>
                        <w:left w:val="none" w:sz="0" w:space="0" w:color="auto"/>
                        <w:bottom w:val="none" w:sz="0" w:space="0" w:color="auto"/>
                        <w:right w:val="none" w:sz="0" w:space="0" w:color="auto"/>
                      </w:divBdr>
                    </w:div>
                  </w:divsChild>
                </w:div>
                <w:div w:id="151020754">
                  <w:marLeft w:val="0"/>
                  <w:marRight w:val="0"/>
                  <w:marTop w:val="0"/>
                  <w:marBottom w:val="0"/>
                  <w:divBdr>
                    <w:top w:val="none" w:sz="0" w:space="0" w:color="auto"/>
                    <w:left w:val="none" w:sz="0" w:space="0" w:color="auto"/>
                    <w:bottom w:val="none" w:sz="0" w:space="0" w:color="auto"/>
                    <w:right w:val="none" w:sz="0" w:space="0" w:color="auto"/>
                  </w:divBdr>
                  <w:divsChild>
                    <w:div w:id="1147092156">
                      <w:marLeft w:val="0"/>
                      <w:marRight w:val="0"/>
                      <w:marTop w:val="0"/>
                      <w:marBottom w:val="0"/>
                      <w:divBdr>
                        <w:top w:val="none" w:sz="0" w:space="0" w:color="auto"/>
                        <w:left w:val="none" w:sz="0" w:space="0" w:color="auto"/>
                        <w:bottom w:val="none" w:sz="0" w:space="0" w:color="auto"/>
                        <w:right w:val="none" w:sz="0" w:space="0" w:color="auto"/>
                      </w:divBdr>
                    </w:div>
                  </w:divsChild>
                </w:div>
                <w:div w:id="164976578">
                  <w:marLeft w:val="0"/>
                  <w:marRight w:val="0"/>
                  <w:marTop w:val="0"/>
                  <w:marBottom w:val="0"/>
                  <w:divBdr>
                    <w:top w:val="none" w:sz="0" w:space="0" w:color="auto"/>
                    <w:left w:val="none" w:sz="0" w:space="0" w:color="auto"/>
                    <w:bottom w:val="none" w:sz="0" w:space="0" w:color="auto"/>
                    <w:right w:val="none" w:sz="0" w:space="0" w:color="auto"/>
                  </w:divBdr>
                  <w:divsChild>
                    <w:div w:id="1407073194">
                      <w:marLeft w:val="0"/>
                      <w:marRight w:val="0"/>
                      <w:marTop w:val="0"/>
                      <w:marBottom w:val="0"/>
                      <w:divBdr>
                        <w:top w:val="none" w:sz="0" w:space="0" w:color="auto"/>
                        <w:left w:val="none" w:sz="0" w:space="0" w:color="auto"/>
                        <w:bottom w:val="none" w:sz="0" w:space="0" w:color="auto"/>
                        <w:right w:val="none" w:sz="0" w:space="0" w:color="auto"/>
                      </w:divBdr>
                    </w:div>
                  </w:divsChild>
                </w:div>
                <w:div w:id="165824896">
                  <w:marLeft w:val="0"/>
                  <w:marRight w:val="0"/>
                  <w:marTop w:val="0"/>
                  <w:marBottom w:val="0"/>
                  <w:divBdr>
                    <w:top w:val="none" w:sz="0" w:space="0" w:color="auto"/>
                    <w:left w:val="none" w:sz="0" w:space="0" w:color="auto"/>
                    <w:bottom w:val="none" w:sz="0" w:space="0" w:color="auto"/>
                    <w:right w:val="none" w:sz="0" w:space="0" w:color="auto"/>
                  </w:divBdr>
                  <w:divsChild>
                    <w:div w:id="293029519">
                      <w:marLeft w:val="0"/>
                      <w:marRight w:val="0"/>
                      <w:marTop w:val="0"/>
                      <w:marBottom w:val="0"/>
                      <w:divBdr>
                        <w:top w:val="none" w:sz="0" w:space="0" w:color="auto"/>
                        <w:left w:val="none" w:sz="0" w:space="0" w:color="auto"/>
                        <w:bottom w:val="none" w:sz="0" w:space="0" w:color="auto"/>
                        <w:right w:val="none" w:sz="0" w:space="0" w:color="auto"/>
                      </w:divBdr>
                    </w:div>
                  </w:divsChild>
                </w:div>
                <w:div w:id="171650961">
                  <w:marLeft w:val="0"/>
                  <w:marRight w:val="0"/>
                  <w:marTop w:val="0"/>
                  <w:marBottom w:val="0"/>
                  <w:divBdr>
                    <w:top w:val="none" w:sz="0" w:space="0" w:color="auto"/>
                    <w:left w:val="none" w:sz="0" w:space="0" w:color="auto"/>
                    <w:bottom w:val="none" w:sz="0" w:space="0" w:color="auto"/>
                    <w:right w:val="none" w:sz="0" w:space="0" w:color="auto"/>
                  </w:divBdr>
                  <w:divsChild>
                    <w:div w:id="1550335254">
                      <w:marLeft w:val="0"/>
                      <w:marRight w:val="0"/>
                      <w:marTop w:val="0"/>
                      <w:marBottom w:val="0"/>
                      <w:divBdr>
                        <w:top w:val="none" w:sz="0" w:space="0" w:color="auto"/>
                        <w:left w:val="none" w:sz="0" w:space="0" w:color="auto"/>
                        <w:bottom w:val="none" w:sz="0" w:space="0" w:color="auto"/>
                        <w:right w:val="none" w:sz="0" w:space="0" w:color="auto"/>
                      </w:divBdr>
                    </w:div>
                  </w:divsChild>
                </w:div>
                <w:div w:id="173690712">
                  <w:marLeft w:val="0"/>
                  <w:marRight w:val="0"/>
                  <w:marTop w:val="0"/>
                  <w:marBottom w:val="0"/>
                  <w:divBdr>
                    <w:top w:val="none" w:sz="0" w:space="0" w:color="auto"/>
                    <w:left w:val="none" w:sz="0" w:space="0" w:color="auto"/>
                    <w:bottom w:val="none" w:sz="0" w:space="0" w:color="auto"/>
                    <w:right w:val="none" w:sz="0" w:space="0" w:color="auto"/>
                  </w:divBdr>
                  <w:divsChild>
                    <w:div w:id="268270841">
                      <w:marLeft w:val="0"/>
                      <w:marRight w:val="0"/>
                      <w:marTop w:val="0"/>
                      <w:marBottom w:val="0"/>
                      <w:divBdr>
                        <w:top w:val="none" w:sz="0" w:space="0" w:color="auto"/>
                        <w:left w:val="none" w:sz="0" w:space="0" w:color="auto"/>
                        <w:bottom w:val="none" w:sz="0" w:space="0" w:color="auto"/>
                        <w:right w:val="none" w:sz="0" w:space="0" w:color="auto"/>
                      </w:divBdr>
                    </w:div>
                  </w:divsChild>
                </w:div>
                <w:div w:id="184251283">
                  <w:marLeft w:val="0"/>
                  <w:marRight w:val="0"/>
                  <w:marTop w:val="0"/>
                  <w:marBottom w:val="0"/>
                  <w:divBdr>
                    <w:top w:val="none" w:sz="0" w:space="0" w:color="auto"/>
                    <w:left w:val="none" w:sz="0" w:space="0" w:color="auto"/>
                    <w:bottom w:val="none" w:sz="0" w:space="0" w:color="auto"/>
                    <w:right w:val="none" w:sz="0" w:space="0" w:color="auto"/>
                  </w:divBdr>
                  <w:divsChild>
                    <w:div w:id="292444877">
                      <w:marLeft w:val="0"/>
                      <w:marRight w:val="0"/>
                      <w:marTop w:val="0"/>
                      <w:marBottom w:val="0"/>
                      <w:divBdr>
                        <w:top w:val="none" w:sz="0" w:space="0" w:color="auto"/>
                        <w:left w:val="none" w:sz="0" w:space="0" w:color="auto"/>
                        <w:bottom w:val="none" w:sz="0" w:space="0" w:color="auto"/>
                        <w:right w:val="none" w:sz="0" w:space="0" w:color="auto"/>
                      </w:divBdr>
                    </w:div>
                  </w:divsChild>
                </w:div>
                <w:div w:id="189951827">
                  <w:marLeft w:val="0"/>
                  <w:marRight w:val="0"/>
                  <w:marTop w:val="0"/>
                  <w:marBottom w:val="0"/>
                  <w:divBdr>
                    <w:top w:val="none" w:sz="0" w:space="0" w:color="auto"/>
                    <w:left w:val="none" w:sz="0" w:space="0" w:color="auto"/>
                    <w:bottom w:val="none" w:sz="0" w:space="0" w:color="auto"/>
                    <w:right w:val="none" w:sz="0" w:space="0" w:color="auto"/>
                  </w:divBdr>
                  <w:divsChild>
                    <w:div w:id="928077770">
                      <w:marLeft w:val="0"/>
                      <w:marRight w:val="0"/>
                      <w:marTop w:val="0"/>
                      <w:marBottom w:val="0"/>
                      <w:divBdr>
                        <w:top w:val="none" w:sz="0" w:space="0" w:color="auto"/>
                        <w:left w:val="none" w:sz="0" w:space="0" w:color="auto"/>
                        <w:bottom w:val="none" w:sz="0" w:space="0" w:color="auto"/>
                        <w:right w:val="none" w:sz="0" w:space="0" w:color="auto"/>
                      </w:divBdr>
                    </w:div>
                  </w:divsChild>
                </w:div>
                <w:div w:id="192043164">
                  <w:marLeft w:val="0"/>
                  <w:marRight w:val="0"/>
                  <w:marTop w:val="0"/>
                  <w:marBottom w:val="0"/>
                  <w:divBdr>
                    <w:top w:val="none" w:sz="0" w:space="0" w:color="auto"/>
                    <w:left w:val="none" w:sz="0" w:space="0" w:color="auto"/>
                    <w:bottom w:val="none" w:sz="0" w:space="0" w:color="auto"/>
                    <w:right w:val="none" w:sz="0" w:space="0" w:color="auto"/>
                  </w:divBdr>
                  <w:divsChild>
                    <w:div w:id="592518977">
                      <w:marLeft w:val="0"/>
                      <w:marRight w:val="0"/>
                      <w:marTop w:val="0"/>
                      <w:marBottom w:val="0"/>
                      <w:divBdr>
                        <w:top w:val="none" w:sz="0" w:space="0" w:color="auto"/>
                        <w:left w:val="none" w:sz="0" w:space="0" w:color="auto"/>
                        <w:bottom w:val="none" w:sz="0" w:space="0" w:color="auto"/>
                        <w:right w:val="none" w:sz="0" w:space="0" w:color="auto"/>
                      </w:divBdr>
                    </w:div>
                  </w:divsChild>
                </w:div>
                <w:div w:id="198510846">
                  <w:marLeft w:val="0"/>
                  <w:marRight w:val="0"/>
                  <w:marTop w:val="0"/>
                  <w:marBottom w:val="0"/>
                  <w:divBdr>
                    <w:top w:val="none" w:sz="0" w:space="0" w:color="auto"/>
                    <w:left w:val="none" w:sz="0" w:space="0" w:color="auto"/>
                    <w:bottom w:val="none" w:sz="0" w:space="0" w:color="auto"/>
                    <w:right w:val="none" w:sz="0" w:space="0" w:color="auto"/>
                  </w:divBdr>
                  <w:divsChild>
                    <w:div w:id="1473979702">
                      <w:marLeft w:val="0"/>
                      <w:marRight w:val="0"/>
                      <w:marTop w:val="0"/>
                      <w:marBottom w:val="0"/>
                      <w:divBdr>
                        <w:top w:val="none" w:sz="0" w:space="0" w:color="auto"/>
                        <w:left w:val="none" w:sz="0" w:space="0" w:color="auto"/>
                        <w:bottom w:val="none" w:sz="0" w:space="0" w:color="auto"/>
                        <w:right w:val="none" w:sz="0" w:space="0" w:color="auto"/>
                      </w:divBdr>
                    </w:div>
                  </w:divsChild>
                </w:div>
                <w:div w:id="201094362">
                  <w:marLeft w:val="0"/>
                  <w:marRight w:val="0"/>
                  <w:marTop w:val="0"/>
                  <w:marBottom w:val="0"/>
                  <w:divBdr>
                    <w:top w:val="none" w:sz="0" w:space="0" w:color="auto"/>
                    <w:left w:val="none" w:sz="0" w:space="0" w:color="auto"/>
                    <w:bottom w:val="none" w:sz="0" w:space="0" w:color="auto"/>
                    <w:right w:val="none" w:sz="0" w:space="0" w:color="auto"/>
                  </w:divBdr>
                  <w:divsChild>
                    <w:div w:id="409623652">
                      <w:marLeft w:val="0"/>
                      <w:marRight w:val="0"/>
                      <w:marTop w:val="0"/>
                      <w:marBottom w:val="0"/>
                      <w:divBdr>
                        <w:top w:val="none" w:sz="0" w:space="0" w:color="auto"/>
                        <w:left w:val="none" w:sz="0" w:space="0" w:color="auto"/>
                        <w:bottom w:val="none" w:sz="0" w:space="0" w:color="auto"/>
                        <w:right w:val="none" w:sz="0" w:space="0" w:color="auto"/>
                      </w:divBdr>
                    </w:div>
                  </w:divsChild>
                </w:div>
                <w:div w:id="224414344">
                  <w:marLeft w:val="0"/>
                  <w:marRight w:val="0"/>
                  <w:marTop w:val="0"/>
                  <w:marBottom w:val="0"/>
                  <w:divBdr>
                    <w:top w:val="none" w:sz="0" w:space="0" w:color="auto"/>
                    <w:left w:val="none" w:sz="0" w:space="0" w:color="auto"/>
                    <w:bottom w:val="none" w:sz="0" w:space="0" w:color="auto"/>
                    <w:right w:val="none" w:sz="0" w:space="0" w:color="auto"/>
                  </w:divBdr>
                  <w:divsChild>
                    <w:div w:id="55907310">
                      <w:marLeft w:val="0"/>
                      <w:marRight w:val="0"/>
                      <w:marTop w:val="0"/>
                      <w:marBottom w:val="0"/>
                      <w:divBdr>
                        <w:top w:val="none" w:sz="0" w:space="0" w:color="auto"/>
                        <w:left w:val="none" w:sz="0" w:space="0" w:color="auto"/>
                        <w:bottom w:val="none" w:sz="0" w:space="0" w:color="auto"/>
                        <w:right w:val="none" w:sz="0" w:space="0" w:color="auto"/>
                      </w:divBdr>
                    </w:div>
                  </w:divsChild>
                </w:div>
                <w:div w:id="224724876">
                  <w:marLeft w:val="0"/>
                  <w:marRight w:val="0"/>
                  <w:marTop w:val="0"/>
                  <w:marBottom w:val="0"/>
                  <w:divBdr>
                    <w:top w:val="none" w:sz="0" w:space="0" w:color="auto"/>
                    <w:left w:val="none" w:sz="0" w:space="0" w:color="auto"/>
                    <w:bottom w:val="none" w:sz="0" w:space="0" w:color="auto"/>
                    <w:right w:val="none" w:sz="0" w:space="0" w:color="auto"/>
                  </w:divBdr>
                  <w:divsChild>
                    <w:div w:id="1968117935">
                      <w:marLeft w:val="0"/>
                      <w:marRight w:val="0"/>
                      <w:marTop w:val="0"/>
                      <w:marBottom w:val="0"/>
                      <w:divBdr>
                        <w:top w:val="none" w:sz="0" w:space="0" w:color="auto"/>
                        <w:left w:val="none" w:sz="0" w:space="0" w:color="auto"/>
                        <w:bottom w:val="none" w:sz="0" w:space="0" w:color="auto"/>
                        <w:right w:val="none" w:sz="0" w:space="0" w:color="auto"/>
                      </w:divBdr>
                    </w:div>
                  </w:divsChild>
                </w:div>
                <w:div w:id="237206481">
                  <w:marLeft w:val="0"/>
                  <w:marRight w:val="0"/>
                  <w:marTop w:val="0"/>
                  <w:marBottom w:val="0"/>
                  <w:divBdr>
                    <w:top w:val="none" w:sz="0" w:space="0" w:color="auto"/>
                    <w:left w:val="none" w:sz="0" w:space="0" w:color="auto"/>
                    <w:bottom w:val="none" w:sz="0" w:space="0" w:color="auto"/>
                    <w:right w:val="none" w:sz="0" w:space="0" w:color="auto"/>
                  </w:divBdr>
                  <w:divsChild>
                    <w:div w:id="941915789">
                      <w:marLeft w:val="0"/>
                      <w:marRight w:val="0"/>
                      <w:marTop w:val="0"/>
                      <w:marBottom w:val="0"/>
                      <w:divBdr>
                        <w:top w:val="none" w:sz="0" w:space="0" w:color="auto"/>
                        <w:left w:val="none" w:sz="0" w:space="0" w:color="auto"/>
                        <w:bottom w:val="none" w:sz="0" w:space="0" w:color="auto"/>
                        <w:right w:val="none" w:sz="0" w:space="0" w:color="auto"/>
                      </w:divBdr>
                    </w:div>
                  </w:divsChild>
                </w:div>
                <w:div w:id="243732008">
                  <w:marLeft w:val="0"/>
                  <w:marRight w:val="0"/>
                  <w:marTop w:val="0"/>
                  <w:marBottom w:val="0"/>
                  <w:divBdr>
                    <w:top w:val="none" w:sz="0" w:space="0" w:color="auto"/>
                    <w:left w:val="none" w:sz="0" w:space="0" w:color="auto"/>
                    <w:bottom w:val="none" w:sz="0" w:space="0" w:color="auto"/>
                    <w:right w:val="none" w:sz="0" w:space="0" w:color="auto"/>
                  </w:divBdr>
                  <w:divsChild>
                    <w:div w:id="1017733831">
                      <w:marLeft w:val="0"/>
                      <w:marRight w:val="0"/>
                      <w:marTop w:val="0"/>
                      <w:marBottom w:val="0"/>
                      <w:divBdr>
                        <w:top w:val="none" w:sz="0" w:space="0" w:color="auto"/>
                        <w:left w:val="none" w:sz="0" w:space="0" w:color="auto"/>
                        <w:bottom w:val="none" w:sz="0" w:space="0" w:color="auto"/>
                        <w:right w:val="none" w:sz="0" w:space="0" w:color="auto"/>
                      </w:divBdr>
                    </w:div>
                  </w:divsChild>
                </w:div>
                <w:div w:id="257834447">
                  <w:marLeft w:val="0"/>
                  <w:marRight w:val="0"/>
                  <w:marTop w:val="0"/>
                  <w:marBottom w:val="0"/>
                  <w:divBdr>
                    <w:top w:val="none" w:sz="0" w:space="0" w:color="auto"/>
                    <w:left w:val="none" w:sz="0" w:space="0" w:color="auto"/>
                    <w:bottom w:val="none" w:sz="0" w:space="0" w:color="auto"/>
                    <w:right w:val="none" w:sz="0" w:space="0" w:color="auto"/>
                  </w:divBdr>
                  <w:divsChild>
                    <w:div w:id="1365595396">
                      <w:marLeft w:val="0"/>
                      <w:marRight w:val="0"/>
                      <w:marTop w:val="0"/>
                      <w:marBottom w:val="0"/>
                      <w:divBdr>
                        <w:top w:val="none" w:sz="0" w:space="0" w:color="auto"/>
                        <w:left w:val="none" w:sz="0" w:space="0" w:color="auto"/>
                        <w:bottom w:val="none" w:sz="0" w:space="0" w:color="auto"/>
                        <w:right w:val="none" w:sz="0" w:space="0" w:color="auto"/>
                      </w:divBdr>
                    </w:div>
                  </w:divsChild>
                </w:div>
                <w:div w:id="271282753">
                  <w:marLeft w:val="0"/>
                  <w:marRight w:val="0"/>
                  <w:marTop w:val="0"/>
                  <w:marBottom w:val="0"/>
                  <w:divBdr>
                    <w:top w:val="none" w:sz="0" w:space="0" w:color="auto"/>
                    <w:left w:val="none" w:sz="0" w:space="0" w:color="auto"/>
                    <w:bottom w:val="none" w:sz="0" w:space="0" w:color="auto"/>
                    <w:right w:val="none" w:sz="0" w:space="0" w:color="auto"/>
                  </w:divBdr>
                  <w:divsChild>
                    <w:div w:id="1186098110">
                      <w:marLeft w:val="0"/>
                      <w:marRight w:val="0"/>
                      <w:marTop w:val="0"/>
                      <w:marBottom w:val="0"/>
                      <w:divBdr>
                        <w:top w:val="none" w:sz="0" w:space="0" w:color="auto"/>
                        <w:left w:val="none" w:sz="0" w:space="0" w:color="auto"/>
                        <w:bottom w:val="none" w:sz="0" w:space="0" w:color="auto"/>
                        <w:right w:val="none" w:sz="0" w:space="0" w:color="auto"/>
                      </w:divBdr>
                    </w:div>
                  </w:divsChild>
                </w:div>
                <w:div w:id="281763951">
                  <w:marLeft w:val="0"/>
                  <w:marRight w:val="0"/>
                  <w:marTop w:val="0"/>
                  <w:marBottom w:val="0"/>
                  <w:divBdr>
                    <w:top w:val="none" w:sz="0" w:space="0" w:color="auto"/>
                    <w:left w:val="none" w:sz="0" w:space="0" w:color="auto"/>
                    <w:bottom w:val="none" w:sz="0" w:space="0" w:color="auto"/>
                    <w:right w:val="none" w:sz="0" w:space="0" w:color="auto"/>
                  </w:divBdr>
                  <w:divsChild>
                    <w:div w:id="1566456159">
                      <w:marLeft w:val="0"/>
                      <w:marRight w:val="0"/>
                      <w:marTop w:val="0"/>
                      <w:marBottom w:val="0"/>
                      <w:divBdr>
                        <w:top w:val="none" w:sz="0" w:space="0" w:color="auto"/>
                        <w:left w:val="none" w:sz="0" w:space="0" w:color="auto"/>
                        <w:bottom w:val="none" w:sz="0" w:space="0" w:color="auto"/>
                        <w:right w:val="none" w:sz="0" w:space="0" w:color="auto"/>
                      </w:divBdr>
                    </w:div>
                  </w:divsChild>
                </w:div>
                <w:div w:id="286666754">
                  <w:marLeft w:val="0"/>
                  <w:marRight w:val="0"/>
                  <w:marTop w:val="0"/>
                  <w:marBottom w:val="0"/>
                  <w:divBdr>
                    <w:top w:val="none" w:sz="0" w:space="0" w:color="auto"/>
                    <w:left w:val="none" w:sz="0" w:space="0" w:color="auto"/>
                    <w:bottom w:val="none" w:sz="0" w:space="0" w:color="auto"/>
                    <w:right w:val="none" w:sz="0" w:space="0" w:color="auto"/>
                  </w:divBdr>
                  <w:divsChild>
                    <w:div w:id="1326514396">
                      <w:marLeft w:val="0"/>
                      <w:marRight w:val="0"/>
                      <w:marTop w:val="0"/>
                      <w:marBottom w:val="0"/>
                      <w:divBdr>
                        <w:top w:val="none" w:sz="0" w:space="0" w:color="auto"/>
                        <w:left w:val="none" w:sz="0" w:space="0" w:color="auto"/>
                        <w:bottom w:val="none" w:sz="0" w:space="0" w:color="auto"/>
                        <w:right w:val="none" w:sz="0" w:space="0" w:color="auto"/>
                      </w:divBdr>
                    </w:div>
                  </w:divsChild>
                </w:div>
                <w:div w:id="287856839">
                  <w:marLeft w:val="0"/>
                  <w:marRight w:val="0"/>
                  <w:marTop w:val="0"/>
                  <w:marBottom w:val="0"/>
                  <w:divBdr>
                    <w:top w:val="none" w:sz="0" w:space="0" w:color="auto"/>
                    <w:left w:val="none" w:sz="0" w:space="0" w:color="auto"/>
                    <w:bottom w:val="none" w:sz="0" w:space="0" w:color="auto"/>
                    <w:right w:val="none" w:sz="0" w:space="0" w:color="auto"/>
                  </w:divBdr>
                  <w:divsChild>
                    <w:div w:id="1132096673">
                      <w:marLeft w:val="0"/>
                      <w:marRight w:val="0"/>
                      <w:marTop w:val="0"/>
                      <w:marBottom w:val="0"/>
                      <w:divBdr>
                        <w:top w:val="none" w:sz="0" w:space="0" w:color="auto"/>
                        <w:left w:val="none" w:sz="0" w:space="0" w:color="auto"/>
                        <w:bottom w:val="none" w:sz="0" w:space="0" w:color="auto"/>
                        <w:right w:val="none" w:sz="0" w:space="0" w:color="auto"/>
                      </w:divBdr>
                    </w:div>
                  </w:divsChild>
                </w:div>
                <w:div w:id="288824453">
                  <w:marLeft w:val="0"/>
                  <w:marRight w:val="0"/>
                  <w:marTop w:val="0"/>
                  <w:marBottom w:val="0"/>
                  <w:divBdr>
                    <w:top w:val="none" w:sz="0" w:space="0" w:color="auto"/>
                    <w:left w:val="none" w:sz="0" w:space="0" w:color="auto"/>
                    <w:bottom w:val="none" w:sz="0" w:space="0" w:color="auto"/>
                    <w:right w:val="none" w:sz="0" w:space="0" w:color="auto"/>
                  </w:divBdr>
                  <w:divsChild>
                    <w:div w:id="1102071877">
                      <w:marLeft w:val="0"/>
                      <w:marRight w:val="0"/>
                      <w:marTop w:val="0"/>
                      <w:marBottom w:val="0"/>
                      <w:divBdr>
                        <w:top w:val="none" w:sz="0" w:space="0" w:color="auto"/>
                        <w:left w:val="none" w:sz="0" w:space="0" w:color="auto"/>
                        <w:bottom w:val="none" w:sz="0" w:space="0" w:color="auto"/>
                        <w:right w:val="none" w:sz="0" w:space="0" w:color="auto"/>
                      </w:divBdr>
                    </w:div>
                  </w:divsChild>
                </w:div>
                <w:div w:id="291714971">
                  <w:marLeft w:val="0"/>
                  <w:marRight w:val="0"/>
                  <w:marTop w:val="0"/>
                  <w:marBottom w:val="0"/>
                  <w:divBdr>
                    <w:top w:val="none" w:sz="0" w:space="0" w:color="auto"/>
                    <w:left w:val="none" w:sz="0" w:space="0" w:color="auto"/>
                    <w:bottom w:val="none" w:sz="0" w:space="0" w:color="auto"/>
                    <w:right w:val="none" w:sz="0" w:space="0" w:color="auto"/>
                  </w:divBdr>
                  <w:divsChild>
                    <w:div w:id="2080908444">
                      <w:marLeft w:val="0"/>
                      <w:marRight w:val="0"/>
                      <w:marTop w:val="0"/>
                      <w:marBottom w:val="0"/>
                      <w:divBdr>
                        <w:top w:val="none" w:sz="0" w:space="0" w:color="auto"/>
                        <w:left w:val="none" w:sz="0" w:space="0" w:color="auto"/>
                        <w:bottom w:val="none" w:sz="0" w:space="0" w:color="auto"/>
                        <w:right w:val="none" w:sz="0" w:space="0" w:color="auto"/>
                      </w:divBdr>
                    </w:div>
                  </w:divsChild>
                </w:div>
                <w:div w:id="305162447">
                  <w:marLeft w:val="0"/>
                  <w:marRight w:val="0"/>
                  <w:marTop w:val="0"/>
                  <w:marBottom w:val="0"/>
                  <w:divBdr>
                    <w:top w:val="none" w:sz="0" w:space="0" w:color="auto"/>
                    <w:left w:val="none" w:sz="0" w:space="0" w:color="auto"/>
                    <w:bottom w:val="none" w:sz="0" w:space="0" w:color="auto"/>
                    <w:right w:val="none" w:sz="0" w:space="0" w:color="auto"/>
                  </w:divBdr>
                  <w:divsChild>
                    <w:div w:id="1867988463">
                      <w:marLeft w:val="0"/>
                      <w:marRight w:val="0"/>
                      <w:marTop w:val="0"/>
                      <w:marBottom w:val="0"/>
                      <w:divBdr>
                        <w:top w:val="none" w:sz="0" w:space="0" w:color="auto"/>
                        <w:left w:val="none" w:sz="0" w:space="0" w:color="auto"/>
                        <w:bottom w:val="none" w:sz="0" w:space="0" w:color="auto"/>
                        <w:right w:val="none" w:sz="0" w:space="0" w:color="auto"/>
                      </w:divBdr>
                    </w:div>
                  </w:divsChild>
                </w:div>
                <w:div w:id="311567491">
                  <w:marLeft w:val="0"/>
                  <w:marRight w:val="0"/>
                  <w:marTop w:val="0"/>
                  <w:marBottom w:val="0"/>
                  <w:divBdr>
                    <w:top w:val="none" w:sz="0" w:space="0" w:color="auto"/>
                    <w:left w:val="none" w:sz="0" w:space="0" w:color="auto"/>
                    <w:bottom w:val="none" w:sz="0" w:space="0" w:color="auto"/>
                    <w:right w:val="none" w:sz="0" w:space="0" w:color="auto"/>
                  </w:divBdr>
                  <w:divsChild>
                    <w:div w:id="1673602798">
                      <w:marLeft w:val="0"/>
                      <w:marRight w:val="0"/>
                      <w:marTop w:val="0"/>
                      <w:marBottom w:val="0"/>
                      <w:divBdr>
                        <w:top w:val="none" w:sz="0" w:space="0" w:color="auto"/>
                        <w:left w:val="none" w:sz="0" w:space="0" w:color="auto"/>
                        <w:bottom w:val="none" w:sz="0" w:space="0" w:color="auto"/>
                        <w:right w:val="none" w:sz="0" w:space="0" w:color="auto"/>
                      </w:divBdr>
                    </w:div>
                  </w:divsChild>
                </w:div>
                <w:div w:id="322776715">
                  <w:marLeft w:val="0"/>
                  <w:marRight w:val="0"/>
                  <w:marTop w:val="0"/>
                  <w:marBottom w:val="0"/>
                  <w:divBdr>
                    <w:top w:val="none" w:sz="0" w:space="0" w:color="auto"/>
                    <w:left w:val="none" w:sz="0" w:space="0" w:color="auto"/>
                    <w:bottom w:val="none" w:sz="0" w:space="0" w:color="auto"/>
                    <w:right w:val="none" w:sz="0" w:space="0" w:color="auto"/>
                  </w:divBdr>
                  <w:divsChild>
                    <w:div w:id="183784538">
                      <w:marLeft w:val="0"/>
                      <w:marRight w:val="0"/>
                      <w:marTop w:val="0"/>
                      <w:marBottom w:val="0"/>
                      <w:divBdr>
                        <w:top w:val="none" w:sz="0" w:space="0" w:color="auto"/>
                        <w:left w:val="none" w:sz="0" w:space="0" w:color="auto"/>
                        <w:bottom w:val="none" w:sz="0" w:space="0" w:color="auto"/>
                        <w:right w:val="none" w:sz="0" w:space="0" w:color="auto"/>
                      </w:divBdr>
                    </w:div>
                    <w:div w:id="557977818">
                      <w:marLeft w:val="0"/>
                      <w:marRight w:val="0"/>
                      <w:marTop w:val="0"/>
                      <w:marBottom w:val="0"/>
                      <w:divBdr>
                        <w:top w:val="none" w:sz="0" w:space="0" w:color="auto"/>
                        <w:left w:val="none" w:sz="0" w:space="0" w:color="auto"/>
                        <w:bottom w:val="none" w:sz="0" w:space="0" w:color="auto"/>
                        <w:right w:val="none" w:sz="0" w:space="0" w:color="auto"/>
                      </w:divBdr>
                    </w:div>
                    <w:div w:id="1282111857">
                      <w:marLeft w:val="0"/>
                      <w:marRight w:val="0"/>
                      <w:marTop w:val="0"/>
                      <w:marBottom w:val="0"/>
                      <w:divBdr>
                        <w:top w:val="none" w:sz="0" w:space="0" w:color="auto"/>
                        <w:left w:val="none" w:sz="0" w:space="0" w:color="auto"/>
                        <w:bottom w:val="none" w:sz="0" w:space="0" w:color="auto"/>
                        <w:right w:val="none" w:sz="0" w:space="0" w:color="auto"/>
                      </w:divBdr>
                    </w:div>
                  </w:divsChild>
                </w:div>
                <w:div w:id="332149671">
                  <w:marLeft w:val="0"/>
                  <w:marRight w:val="0"/>
                  <w:marTop w:val="0"/>
                  <w:marBottom w:val="0"/>
                  <w:divBdr>
                    <w:top w:val="none" w:sz="0" w:space="0" w:color="auto"/>
                    <w:left w:val="none" w:sz="0" w:space="0" w:color="auto"/>
                    <w:bottom w:val="none" w:sz="0" w:space="0" w:color="auto"/>
                    <w:right w:val="none" w:sz="0" w:space="0" w:color="auto"/>
                  </w:divBdr>
                  <w:divsChild>
                    <w:div w:id="272980812">
                      <w:marLeft w:val="0"/>
                      <w:marRight w:val="0"/>
                      <w:marTop w:val="0"/>
                      <w:marBottom w:val="0"/>
                      <w:divBdr>
                        <w:top w:val="none" w:sz="0" w:space="0" w:color="auto"/>
                        <w:left w:val="none" w:sz="0" w:space="0" w:color="auto"/>
                        <w:bottom w:val="none" w:sz="0" w:space="0" w:color="auto"/>
                        <w:right w:val="none" w:sz="0" w:space="0" w:color="auto"/>
                      </w:divBdr>
                    </w:div>
                  </w:divsChild>
                </w:div>
                <w:div w:id="345642913">
                  <w:marLeft w:val="0"/>
                  <w:marRight w:val="0"/>
                  <w:marTop w:val="0"/>
                  <w:marBottom w:val="0"/>
                  <w:divBdr>
                    <w:top w:val="none" w:sz="0" w:space="0" w:color="auto"/>
                    <w:left w:val="none" w:sz="0" w:space="0" w:color="auto"/>
                    <w:bottom w:val="none" w:sz="0" w:space="0" w:color="auto"/>
                    <w:right w:val="none" w:sz="0" w:space="0" w:color="auto"/>
                  </w:divBdr>
                  <w:divsChild>
                    <w:div w:id="813762024">
                      <w:marLeft w:val="0"/>
                      <w:marRight w:val="0"/>
                      <w:marTop w:val="0"/>
                      <w:marBottom w:val="0"/>
                      <w:divBdr>
                        <w:top w:val="none" w:sz="0" w:space="0" w:color="auto"/>
                        <w:left w:val="none" w:sz="0" w:space="0" w:color="auto"/>
                        <w:bottom w:val="none" w:sz="0" w:space="0" w:color="auto"/>
                        <w:right w:val="none" w:sz="0" w:space="0" w:color="auto"/>
                      </w:divBdr>
                    </w:div>
                  </w:divsChild>
                </w:div>
                <w:div w:id="362705139">
                  <w:marLeft w:val="0"/>
                  <w:marRight w:val="0"/>
                  <w:marTop w:val="0"/>
                  <w:marBottom w:val="0"/>
                  <w:divBdr>
                    <w:top w:val="none" w:sz="0" w:space="0" w:color="auto"/>
                    <w:left w:val="none" w:sz="0" w:space="0" w:color="auto"/>
                    <w:bottom w:val="none" w:sz="0" w:space="0" w:color="auto"/>
                    <w:right w:val="none" w:sz="0" w:space="0" w:color="auto"/>
                  </w:divBdr>
                  <w:divsChild>
                    <w:div w:id="1184322897">
                      <w:marLeft w:val="0"/>
                      <w:marRight w:val="0"/>
                      <w:marTop w:val="0"/>
                      <w:marBottom w:val="0"/>
                      <w:divBdr>
                        <w:top w:val="none" w:sz="0" w:space="0" w:color="auto"/>
                        <w:left w:val="none" w:sz="0" w:space="0" w:color="auto"/>
                        <w:bottom w:val="none" w:sz="0" w:space="0" w:color="auto"/>
                        <w:right w:val="none" w:sz="0" w:space="0" w:color="auto"/>
                      </w:divBdr>
                    </w:div>
                  </w:divsChild>
                </w:div>
                <w:div w:id="369496195">
                  <w:marLeft w:val="0"/>
                  <w:marRight w:val="0"/>
                  <w:marTop w:val="0"/>
                  <w:marBottom w:val="0"/>
                  <w:divBdr>
                    <w:top w:val="none" w:sz="0" w:space="0" w:color="auto"/>
                    <w:left w:val="none" w:sz="0" w:space="0" w:color="auto"/>
                    <w:bottom w:val="none" w:sz="0" w:space="0" w:color="auto"/>
                    <w:right w:val="none" w:sz="0" w:space="0" w:color="auto"/>
                  </w:divBdr>
                  <w:divsChild>
                    <w:div w:id="279604529">
                      <w:marLeft w:val="0"/>
                      <w:marRight w:val="0"/>
                      <w:marTop w:val="0"/>
                      <w:marBottom w:val="0"/>
                      <w:divBdr>
                        <w:top w:val="none" w:sz="0" w:space="0" w:color="auto"/>
                        <w:left w:val="none" w:sz="0" w:space="0" w:color="auto"/>
                        <w:bottom w:val="none" w:sz="0" w:space="0" w:color="auto"/>
                        <w:right w:val="none" w:sz="0" w:space="0" w:color="auto"/>
                      </w:divBdr>
                    </w:div>
                  </w:divsChild>
                </w:div>
                <w:div w:id="369645148">
                  <w:marLeft w:val="0"/>
                  <w:marRight w:val="0"/>
                  <w:marTop w:val="0"/>
                  <w:marBottom w:val="0"/>
                  <w:divBdr>
                    <w:top w:val="none" w:sz="0" w:space="0" w:color="auto"/>
                    <w:left w:val="none" w:sz="0" w:space="0" w:color="auto"/>
                    <w:bottom w:val="none" w:sz="0" w:space="0" w:color="auto"/>
                    <w:right w:val="none" w:sz="0" w:space="0" w:color="auto"/>
                  </w:divBdr>
                  <w:divsChild>
                    <w:div w:id="1900825205">
                      <w:marLeft w:val="0"/>
                      <w:marRight w:val="0"/>
                      <w:marTop w:val="0"/>
                      <w:marBottom w:val="0"/>
                      <w:divBdr>
                        <w:top w:val="none" w:sz="0" w:space="0" w:color="auto"/>
                        <w:left w:val="none" w:sz="0" w:space="0" w:color="auto"/>
                        <w:bottom w:val="none" w:sz="0" w:space="0" w:color="auto"/>
                        <w:right w:val="none" w:sz="0" w:space="0" w:color="auto"/>
                      </w:divBdr>
                    </w:div>
                  </w:divsChild>
                </w:div>
                <w:div w:id="383607724">
                  <w:marLeft w:val="0"/>
                  <w:marRight w:val="0"/>
                  <w:marTop w:val="0"/>
                  <w:marBottom w:val="0"/>
                  <w:divBdr>
                    <w:top w:val="none" w:sz="0" w:space="0" w:color="auto"/>
                    <w:left w:val="none" w:sz="0" w:space="0" w:color="auto"/>
                    <w:bottom w:val="none" w:sz="0" w:space="0" w:color="auto"/>
                    <w:right w:val="none" w:sz="0" w:space="0" w:color="auto"/>
                  </w:divBdr>
                  <w:divsChild>
                    <w:div w:id="666250837">
                      <w:marLeft w:val="0"/>
                      <w:marRight w:val="0"/>
                      <w:marTop w:val="0"/>
                      <w:marBottom w:val="0"/>
                      <w:divBdr>
                        <w:top w:val="none" w:sz="0" w:space="0" w:color="auto"/>
                        <w:left w:val="none" w:sz="0" w:space="0" w:color="auto"/>
                        <w:bottom w:val="none" w:sz="0" w:space="0" w:color="auto"/>
                        <w:right w:val="none" w:sz="0" w:space="0" w:color="auto"/>
                      </w:divBdr>
                    </w:div>
                  </w:divsChild>
                </w:div>
                <w:div w:id="385952393">
                  <w:marLeft w:val="0"/>
                  <w:marRight w:val="0"/>
                  <w:marTop w:val="0"/>
                  <w:marBottom w:val="0"/>
                  <w:divBdr>
                    <w:top w:val="none" w:sz="0" w:space="0" w:color="auto"/>
                    <w:left w:val="none" w:sz="0" w:space="0" w:color="auto"/>
                    <w:bottom w:val="none" w:sz="0" w:space="0" w:color="auto"/>
                    <w:right w:val="none" w:sz="0" w:space="0" w:color="auto"/>
                  </w:divBdr>
                  <w:divsChild>
                    <w:div w:id="709764252">
                      <w:marLeft w:val="0"/>
                      <w:marRight w:val="0"/>
                      <w:marTop w:val="0"/>
                      <w:marBottom w:val="0"/>
                      <w:divBdr>
                        <w:top w:val="none" w:sz="0" w:space="0" w:color="auto"/>
                        <w:left w:val="none" w:sz="0" w:space="0" w:color="auto"/>
                        <w:bottom w:val="none" w:sz="0" w:space="0" w:color="auto"/>
                        <w:right w:val="none" w:sz="0" w:space="0" w:color="auto"/>
                      </w:divBdr>
                    </w:div>
                  </w:divsChild>
                </w:div>
                <w:div w:id="396512127">
                  <w:marLeft w:val="0"/>
                  <w:marRight w:val="0"/>
                  <w:marTop w:val="0"/>
                  <w:marBottom w:val="0"/>
                  <w:divBdr>
                    <w:top w:val="none" w:sz="0" w:space="0" w:color="auto"/>
                    <w:left w:val="none" w:sz="0" w:space="0" w:color="auto"/>
                    <w:bottom w:val="none" w:sz="0" w:space="0" w:color="auto"/>
                    <w:right w:val="none" w:sz="0" w:space="0" w:color="auto"/>
                  </w:divBdr>
                  <w:divsChild>
                    <w:div w:id="1120220391">
                      <w:marLeft w:val="0"/>
                      <w:marRight w:val="0"/>
                      <w:marTop w:val="0"/>
                      <w:marBottom w:val="0"/>
                      <w:divBdr>
                        <w:top w:val="none" w:sz="0" w:space="0" w:color="auto"/>
                        <w:left w:val="none" w:sz="0" w:space="0" w:color="auto"/>
                        <w:bottom w:val="none" w:sz="0" w:space="0" w:color="auto"/>
                        <w:right w:val="none" w:sz="0" w:space="0" w:color="auto"/>
                      </w:divBdr>
                    </w:div>
                  </w:divsChild>
                </w:div>
                <w:div w:id="412515071">
                  <w:marLeft w:val="0"/>
                  <w:marRight w:val="0"/>
                  <w:marTop w:val="0"/>
                  <w:marBottom w:val="0"/>
                  <w:divBdr>
                    <w:top w:val="none" w:sz="0" w:space="0" w:color="auto"/>
                    <w:left w:val="none" w:sz="0" w:space="0" w:color="auto"/>
                    <w:bottom w:val="none" w:sz="0" w:space="0" w:color="auto"/>
                    <w:right w:val="none" w:sz="0" w:space="0" w:color="auto"/>
                  </w:divBdr>
                  <w:divsChild>
                    <w:div w:id="448937829">
                      <w:marLeft w:val="0"/>
                      <w:marRight w:val="0"/>
                      <w:marTop w:val="0"/>
                      <w:marBottom w:val="0"/>
                      <w:divBdr>
                        <w:top w:val="none" w:sz="0" w:space="0" w:color="auto"/>
                        <w:left w:val="none" w:sz="0" w:space="0" w:color="auto"/>
                        <w:bottom w:val="none" w:sz="0" w:space="0" w:color="auto"/>
                        <w:right w:val="none" w:sz="0" w:space="0" w:color="auto"/>
                      </w:divBdr>
                    </w:div>
                  </w:divsChild>
                </w:div>
                <w:div w:id="416637661">
                  <w:marLeft w:val="0"/>
                  <w:marRight w:val="0"/>
                  <w:marTop w:val="0"/>
                  <w:marBottom w:val="0"/>
                  <w:divBdr>
                    <w:top w:val="none" w:sz="0" w:space="0" w:color="auto"/>
                    <w:left w:val="none" w:sz="0" w:space="0" w:color="auto"/>
                    <w:bottom w:val="none" w:sz="0" w:space="0" w:color="auto"/>
                    <w:right w:val="none" w:sz="0" w:space="0" w:color="auto"/>
                  </w:divBdr>
                  <w:divsChild>
                    <w:div w:id="2025352097">
                      <w:marLeft w:val="0"/>
                      <w:marRight w:val="0"/>
                      <w:marTop w:val="0"/>
                      <w:marBottom w:val="0"/>
                      <w:divBdr>
                        <w:top w:val="none" w:sz="0" w:space="0" w:color="auto"/>
                        <w:left w:val="none" w:sz="0" w:space="0" w:color="auto"/>
                        <w:bottom w:val="none" w:sz="0" w:space="0" w:color="auto"/>
                        <w:right w:val="none" w:sz="0" w:space="0" w:color="auto"/>
                      </w:divBdr>
                    </w:div>
                  </w:divsChild>
                </w:div>
                <w:div w:id="417947874">
                  <w:marLeft w:val="0"/>
                  <w:marRight w:val="0"/>
                  <w:marTop w:val="0"/>
                  <w:marBottom w:val="0"/>
                  <w:divBdr>
                    <w:top w:val="none" w:sz="0" w:space="0" w:color="auto"/>
                    <w:left w:val="none" w:sz="0" w:space="0" w:color="auto"/>
                    <w:bottom w:val="none" w:sz="0" w:space="0" w:color="auto"/>
                    <w:right w:val="none" w:sz="0" w:space="0" w:color="auto"/>
                  </w:divBdr>
                  <w:divsChild>
                    <w:div w:id="1178468559">
                      <w:marLeft w:val="0"/>
                      <w:marRight w:val="0"/>
                      <w:marTop w:val="0"/>
                      <w:marBottom w:val="0"/>
                      <w:divBdr>
                        <w:top w:val="none" w:sz="0" w:space="0" w:color="auto"/>
                        <w:left w:val="none" w:sz="0" w:space="0" w:color="auto"/>
                        <w:bottom w:val="none" w:sz="0" w:space="0" w:color="auto"/>
                        <w:right w:val="none" w:sz="0" w:space="0" w:color="auto"/>
                      </w:divBdr>
                    </w:div>
                  </w:divsChild>
                </w:div>
                <w:div w:id="423913758">
                  <w:marLeft w:val="0"/>
                  <w:marRight w:val="0"/>
                  <w:marTop w:val="0"/>
                  <w:marBottom w:val="0"/>
                  <w:divBdr>
                    <w:top w:val="none" w:sz="0" w:space="0" w:color="auto"/>
                    <w:left w:val="none" w:sz="0" w:space="0" w:color="auto"/>
                    <w:bottom w:val="none" w:sz="0" w:space="0" w:color="auto"/>
                    <w:right w:val="none" w:sz="0" w:space="0" w:color="auto"/>
                  </w:divBdr>
                  <w:divsChild>
                    <w:div w:id="1190409977">
                      <w:marLeft w:val="0"/>
                      <w:marRight w:val="0"/>
                      <w:marTop w:val="0"/>
                      <w:marBottom w:val="0"/>
                      <w:divBdr>
                        <w:top w:val="none" w:sz="0" w:space="0" w:color="auto"/>
                        <w:left w:val="none" w:sz="0" w:space="0" w:color="auto"/>
                        <w:bottom w:val="none" w:sz="0" w:space="0" w:color="auto"/>
                        <w:right w:val="none" w:sz="0" w:space="0" w:color="auto"/>
                      </w:divBdr>
                    </w:div>
                  </w:divsChild>
                </w:div>
                <w:div w:id="425424630">
                  <w:marLeft w:val="0"/>
                  <w:marRight w:val="0"/>
                  <w:marTop w:val="0"/>
                  <w:marBottom w:val="0"/>
                  <w:divBdr>
                    <w:top w:val="none" w:sz="0" w:space="0" w:color="auto"/>
                    <w:left w:val="none" w:sz="0" w:space="0" w:color="auto"/>
                    <w:bottom w:val="none" w:sz="0" w:space="0" w:color="auto"/>
                    <w:right w:val="none" w:sz="0" w:space="0" w:color="auto"/>
                  </w:divBdr>
                  <w:divsChild>
                    <w:div w:id="973438722">
                      <w:marLeft w:val="0"/>
                      <w:marRight w:val="0"/>
                      <w:marTop w:val="0"/>
                      <w:marBottom w:val="0"/>
                      <w:divBdr>
                        <w:top w:val="none" w:sz="0" w:space="0" w:color="auto"/>
                        <w:left w:val="none" w:sz="0" w:space="0" w:color="auto"/>
                        <w:bottom w:val="none" w:sz="0" w:space="0" w:color="auto"/>
                        <w:right w:val="none" w:sz="0" w:space="0" w:color="auto"/>
                      </w:divBdr>
                    </w:div>
                  </w:divsChild>
                </w:div>
                <w:div w:id="430976269">
                  <w:marLeft w:val="0"/>
                  <w:marRight w:val="0"/>
                  <w:marTop w:val="0"/>
                  <w:marBottom w:val="0"/>
                  <w:divBdr>
                    <w:top w:val="none" w:sz="0" w:space="0" w:color="auto"/>
                    <w:left w:val="none" w:sz="0" w:space="0" w:color="auto"/>
                    <w:bottom w:val="none" w:sz="0" w:space="0" w:color="auto"/>
                    <w:right w:val="none" w:sz="0" w:space="0" w:color="auto"/>
                  </w:divBdr>
                  <w:divsChild>
                    <w:div w:id="2120760512">
                      <w:marLeft w:val="0"/>
                      <w:marRight w:val="0"/>
                      <w:marTop w:val="0"/>
                      <w:marBottom w:val="0"/>
                      <w:divBdr>
                        <w:top w:val="none" w:sz="0" w:space="0" w:color="auto"/>
                        <w:left w:val="none" w:sz="0" w:space="0" w:color="auto"/>
                        <w:bottom w:val="none" w:sz="0" w:space="0" w:color="auto"/>
                        <w:right w:val="none" w:sz="0" w:space="0" w:color="auto"/>
                      </w:divBdr>
                    </w:div>
                  </w:divsChild>
                </w:div>
                <w:div w:id="435448409">
                  <w:marLeft w:val="0"/>
                  <w:marRight w:val="0"/>
                  <w:marTop w:val="0"/>
                  <w:marBottom w:val="0"/>
                  <w:divBdr>
                    <w:top w:val="none" w:sz="0" w:space="0" w:color="auto"/>
                    <w:left w:val="none" w:sz="0" w:space="0" w:color="auto"/>
                    <w:bottom w:val="none" w:sz="0" w:space="0" w:color="auto"/>
                    <w:right w:val="none" w:sz="0" w:space="0" w:color="auto"/>
                  </w:divBdr>
                  <w:divsChild>
                    <w:div w:id="605043473">
                      <w:marLeft w:val="0"/>
                      <w:marRight w:val="0"/>
                      <w:marTop w:val="0"/>
                      <w:marBottom w:val="0"/>
                      <w:divBdr>
                        <w:top w:val="none" w:sz="0" w:space="0" w:color="auto"/>
                        <w:left w:val="none" w:sz="0" w:space="0" w:color="auto"/>
                        <w:bottom w:val="none" w:sz="0" w:space="0" w:color="auto"/>
                        <w:right w:val="none" w:sz="0" w:space="0" w:color="auto"/>
                      </w:divBdr>
                    </w:div>
                  </w:divsChild>
                </w:div>
                <w:div w:id="437607166">
                  <w:marLeft w:val="0"/>
                  <w:marRight w:val="0"/>
                  <w:marTop w:val="0"/>
                  <w:marBottom w:val="0"/>
                  <w:divBdr>
                    <w:top w:val="none" w:sz="0" w:space="0" w:color="auto"/>
                    <w:left w:val="none" w:sz="0" w:space="0" w:color="auto"/>
                    <w:bottom w:val="none" w:sz="0" w:space="0" w:color="auto"/>
                    <w:right w:val="none" w:sz="0" w:space="0" w:color="auto"/>
                  </w:divBdr>
                  <w:divsChild>
                    <w:div w:id="1935547708">
                      <w:marLeft w:val="0"/>
                      <w:marRight w:val="0"/>
                      <w:marTop w:val="0"/>
                      <w:marBottom w:val="0"/>
                      <w:divBdr>
                        <w:top w:val="none" w:sz="0" w:space="0" w:color="auto"/>
                        <w:left w:val="none" w:sz="0" w:space="0" w:color="auto"/>
                        <w:bottom w:val="none" w:sz="0" w:space="0" w:color="auto"/>
                        <w:right w:val="none" w:sz="0" w:space="0" w:color="auto"/>
                      </w:divBdr>
                    </w:div>
                  </w:divsChild>
                </w:div>
                <w:div w:id="438723458">
                  <w:marLeft w:val="0"/>
                  <w:marRight w:val="0"/>
                  <w:marTop w:val="0"/>
                  <w:marBottom w:val="0"/>
                  <w:divBdr>
                    <w:top w:val="none" w:sz="0" w:space="0" w:color="auto"/>
                    <w:left w:val="none" w:sz="0" w:space="0" w:color="auto"/>
                    <w:bottom w:val="none" w:sz="0" w:space="0" w:color="auto"/>
                    <w:right w:val="none" w:sz="0" w:space="0" w:color="auto"/>
                  </w:divBdr>
                  <w:divsChild>
                    <w:div w:id="1275556072">
                      <w:marLeft w:val="0"/>
                      <w:marRight w:val="0"/>
                      <w:marTop w:val="0"/>
                      <w:marBottom w:val="0"/>
                      <w:divBdr>
                        <w:top w:val="none" w:sz="0" w:space="0" w:color="auto"/>
                        <w:left w:val="none" w:sz="0" w:space="0" w:color="auto"/>
                        <w:bottom w:val="none" w:sz="0" w:space="0" w:color="auto"/>
                        <w:right w:val="none" w:sz="0" w:space="0" w:color="auto"/>
                      </w:divBdr>
                    </w:div>
                  </w:divsChild>
                </w:div>
                <w:div w:id="445080784">
                  <w:marLeft w:val="0"/>
                  <w:marRight w:val="0"/>
                  <w:marTop w:val="0"/>
                  <w:marBottom w:val="0"/>
                  <w:divBdr>
                    <w:top w:val="none" w:sz="0" w:space="0" w:color="auto"/>
                    <w:left w:val="none" w:sz="0" w:space="0" w:color="auto"/>
                    <w:bottom w:val="none" w:sz="0" w:space="0" w:color="auto"/>
                    <w:right w:val="none" w:sz="0" w:space="0" w:color="auto"/>
                  </w:divBdr>
                  <w:divsChild>
                    <w:div w:id="178004231">
                      <w:marLeft w:val="0"/>
                      <w:marRight w:val="0"/>
                      <w:marTop w:val="0"/>
                      <w:marBottom w:val="0"/>
                      <w:divBdr>
                        <w:top w:val="none" w:sz="0" w:space="0" w:color="auto"/>
                        <w:left w:val="none" w:sz="0" w:space="0" w:color="auto"/>
                        <w:bottom w:val="none" w:sz="0" w:space="0" w:color="auto"/>
                        <w:right w:val="none" w:sz="0" w:space="0" w:color="auto"/>
                      </w:divBdr>
                    </w:div>
                  </w:divsChild>
                </w:div>
                <w:div w:id="462577213">
                  <w:marLeft w:val="0"/>
                  <w:marRight w:val="0"/>
                  <w:marTop w:val="0"/>
                  <w:marBottom w:val="0"/>
                  <w:divBdr>
                    <w:top w:val="none" w:sz="0" w:space="0" w:color="auto"/>
                    <w:left w:val="none" w:sz="0" w:space="0" w:color="auto"/>
                    <w:bottom w:val="none" w:sz="0" w:space="0" w:color="auto"/>
                    <w:right w:val="none" w:sz="0" w:space="0" w:color="auto"/>
                  </w:divBdr>
                  <w:divsChild>
                    <w:div w:id="598685644">
                      <w:marLeft w:val="0"/>
                      <w:marRight w:val="0"/>
                      <w:marTop w:val="0"/>
                      <w:marBottom w:val="0"/>
                      <w:divBdr>
                        <w:top w:val="none" w:sz="0" w:space="0" w:color="auto"/>
                        <w:left w:val="none" w:sz="0" w:space="0" w:color="auto"/>
                        <w:bottom w:val="none" w:sz="0" w:space="0" w:color="auto"/>
                        <w:right w:val="none" w:sz="0" w:space="0" w:color="auto"/>
                      </w:divBdr>
                    </w:div>
                  </w:divsChild>
                </w:div>
                <w:div w:id="466972456">
                  <w:marLeft w:val="0"/>
                  <w:marRight w:val="0"/>
                  <w:marTop w:val="0"/>
                  <w:marBottom w:val="0"/>
                  <w:divBdr>
                    <w:top w:val="none" w:sz="0" w:space="0" w:color="auto"/>
                    <w:left w:val="none" w:sz="0" w:space="0" w:color="auto"/>
                    <w:bottom w:val="none" w:sz="0" w:space="0" w:color="auto"/>
                    <w:right w:val="none" w:sz="0" w:space="0" w:color="auto"/>
                  </w:divBdr>
                  <w:divsChild>
                    <w:div w:id="1242520843">
                      <w:marLeft w:val="0"/>
                      <w:marRight w:val="0"/>
                      <w:marTop w:val="0"/>
                      <w:marBottom w:val="0"/>
                      <w:divBdr>
                        <w:top w:val="none" w:sz="0" w:space="0" w:color="auto"/>
                        <w:left w:val="none" w:sz="0" w:space="0" w:color="auto"/>
                        <w:bottom w:val="none" w:sz="0" w:space="0" w:color="auto"/>
                        <w:right w:val="none" w:sz="0" w:space="0" w:color="auto"/>
                      </w:divBdr>
                    </w:div>
                  </w:divsChild>
                </w:div>
                <w:div w:id="479736002">
                  <w:marLeft w:val="0"/>
                  <w:marRight w:val="0"/>
                  <w:marTop w:val="0"/>
                  <w:marBottom w:val="0"/>
                  <w:divBdr>
                    <w:top w:val="none" w:sz="0" w:space="0" w:color="auto"/>
                    <w:left w:val="none" w:sz="0" w:space="0" w:color="auto"/>
                    <w:bottom w:val="none" w:sz="0" w:space="0" w:color="auto"/>
                    <w:right w:val="none" w:sz="0" w:space="0" w:color="auto"/>
                  </w:divBdr>
                  <w:divsChild>
                    <w:div w:id="51083483">
                      <w:marLeft w:val="0"/>
                      <w:marRight w:val="0"/>
                      <w:marTop w:val="0"/>
                      <w:marBottom w:val="0"/>
                      <w:divBdr>
                        <w:top w:val="none" w:sz="0" w:space="0" w:color="auto"/>
                        <w:left w:val="none" w:sz="0" w:space="0" w:color="auto"/>
                        <w:bottom w:val="none" w:sz="0" w:space="0" w:color="auto"/>
                        <w:right w:val="none" w:sz="0" w:space="0" w:color="auto"/>
                      </w:divBdr>
                    </w:div>
                  </w:divsChild>
                </w:div>
                <w:div w:id="482086684">
                  <w:marLeft w:val="0"/>
                  <w:marRight w:val="0"/>
                  <w:marTop w:val="0"/>
                  <w:marBottom w:val="0"/>
                  <w:divBdr>
                    <w:top w:val="none" w:sz="0" w:space="0" w:color="auto"/>
                    <w:left w:val="none" w:sz="0" w:space="0" w:color="auto"/>
                    <w:bottom w:val="none" w:sz="0" w:space="0" w:color="auto"/>
                    <w:right w:val="none" w:sz="0" w:space="0" w:color="auto"/>
                  </w:divBdr>
                  <w:divsChild>
                    <w:div w:id="1875345027">
                      <w:marLeft w:val="0"/>
                      <w:marRight w:val="0"/>
                      <w:marTop w:val="0"/>
                      <w:marBottom w:val="0"/>
                      <w:divBdr>
                        <w:top w:val="none" w:sz="0" w:space="0" w:color="auto"/>
                        <w:left w:val="none" w:sz="0" w:space="0" w:color="auto"/>
                        <w:bottom w:val="none" w:sz="0" w:space="0" w:color="auto"/>
                        <w:right w:val="none" w:sz="0" w:space="0" w:color="auto"/>
                      </w:divBdr>
                    </w:div>
                  </w:divsChild>
                </w:div>
                <w:div w:id="483816649">
                  <w:marLeft w:val="0"/>
                  <w:marRight w:val="0"/>
                  <w:marTop w:val="0"/>
                  <w:marBottom w:val="0"/>
                  <w:divBdr>
                    <w:top w:val="none" w:sz="0" w:space="0" w:color="auto"/>
                    <w:left w:val="none" w:sz="0" w:space="0" w:color="auto"/>
                    <w:bottom w:val="none" w:sz="0" w:space="0" w:color="auto"/>
                    <w:right w:val="none" w:sz="0" w:space="0" w:color="auto"/>
                  </w:divBdr>
                  <w:divsChild>
                    <w:div w:id="1091776606">
                      <w:marLeft w:val="0"/>
                      <w:marRight w:val="0"/>
                      <w:marTop w:val="0"/>
                      <w:marBottom w:val="0"/>
                      <w:divBdr>
                        <w:top w:val="none" w:sz="0" w:space="0" w:color="auto"/>
                        <w:left w:val="none" w:sz="0" w:space="0" w:color="auto"/>
                        <w:bottom w:val="none" w:sz="0" w:space="0" w:color="auto"/>
                        <w:right w:val="none" w:sz="0" w:space="0" w:color="auto"/>
                      </w:divBdr>
                    </w:div>
                  </w:divsChild>
                </w:div>
                <w:div w:id="495800076">
                  <w:marLeft w:val="0"/>
                  <w:marRight w:val="0"/>
                  <w:marTop w:val="0"/>
                  <w:marBottom w:val="0"/>
                  <w:divBdr>
                    <w:top w:val="none" w:sz="0" w:space="0" w:color="auto"/>
                    <w:left w:val="none" w:sz="0" w:space="0" w:color="auto"/>
                    <w:bottom w:val="none" w:sz="0" w:space="0" w:color="auto"/>
                    <w:right w:val="none" w:sz="0" w:space="0" w:color="auto"/>
                  </w:divBdr>
                  <w:divsChild>
                    <w:div w:id="333457328">
                      <w:marLeft w:val="0"/>
                      <w:marRight w:val="0"/>
                      <w:marTop w:val="0"/>
                      <w:marBottom w:val="0"/>
                      <w:divBdr>
                        <w:top w:val="none" w:sz="0" w:space="0" w:color="auto"/>
                        <w:left w:val="none" w:sz="0" w:space="0" w:color="auto"/>
                        <w:bottom w:val="none" w:sz="0" w:space="0" w:color="auto"/>
                        <w:right w:val="none" w:sz="0" w:space="0" w:color="auto"/>
                      </w:divBdr>
                    </w:div>
                  </w:divsChild>
                </w:div>
                <w:div w:id="497697527">
                  <w:marLeft w:val="0"/>
                  <w:marRight w:val="0"/>
                  <w:marTop w:val="0"/>
                  <w:marBottom w:val="0"/>
                  <w:divBdr>
                    <w:top w:val="none" w:sz="0" w:space="0" w:color="auto"/>
                    <w:left w:val="none" w:sz="0" w:space="0" w:color="auto"/>
                    <w:bottom w:val="none" w:sz="0" w:space="0" w:color="auto"/>
                    <w:right w:val="none" w:sz="0" w:space="0" w:color="auto"/>
                  </w:divBdr>
                  <w:divsChild>
                    <w:div w:id="639264432">
                      <w:marLeft w:val="0"/>
                      <w:marRight w:val="0"/>
                      <w:marTop w:val="0"/>
                      <w:marBottom w:val="0"/>
                      <w:divBdr>
                        <w:top w:val="none" w:sz="0" w:space="0" w:color="auto"/>
                        <w:left w:val="none" w:sz="0" w:space="0" w:color="auto"/>
                        <w:bottom w:val="none" w:sz="0" w:space="0" w:color="auto"/>
                        <w:right w:val="none" w:sz="0" w:space="0" w:color="auto"/>
                      </w:divBdr>
                    </w:div>
                  </w:divsChild>
                </w:div>
                <w:div w:id="511994984">
                  <w:marLeft w:val="0"/>
                  <w:marRight w:val="0"/>
                  <w:marTop w:val="0"/>
                  <w:marBottom w:val="0"/>
                  <w:divBdr>
                    <w:top w:val="none" w:sz="0" w:space="0" w:color="auto"/>
                    <w:left w:val="none" w:sz="0" w:space="0" w:color="auto"/>
                    <w:bottom w:val="none" w:sz="0" w:space="0" w:color="auto"/>
                    <w:right w:val="none" w:sz="0" w:space="0" w:color="auto"/>
                  </w:divBdr>
                  <w:divsChild>
                    <w:div w:id="419718902">
                      <w:marLeft w:val="0"/>
                      <w:marRight w:val="0"/>
                      <w:marTop w:val="0"/>
                      <w:marBottom w:val="0"/>
                      <w:divBdr>
                        <w:top w:val="none" w:sz="0" w:space="0" w:color="auto"/>
                        <w:left w:val="none" w:sz="0" w:space="0" w:color="auto"/>
                        <w:bottom w:val="none" w:sz="0" w:space="0" w:color="auto"/>
                        <w:right w:val="none" w:sz="0" w:space="0" w:color="auto"/>
                      </w:divBdr>
                    </w:div>
                  </w:divsChild>
                </w:div>
                <w:div w:id="517473878">
                  <w:marLeft w:val="0"/>
                  <w:marRight w:val="0"/>
                  <w:marTop w:val="0"/>
                  <w:marBottom w:val="0"/>
                  <w:divBdr>
                    <w:top w:val="none" w:sz="0" w:space="0" w:color="auto"/>
                    <w:left w:val="none" w:sz="0" w:space="0" w:color="auto"/>
                    <w:bottom w:val="none" w:sz="0" w:space="0" w:color="auto"/>
                    <w:right w:val="none" w:sz="0" w:space="0" w:color="auto"/>
                  </w:divBdr>
                  <w:divsChild>
                    <w:div w:id="3169981">
                      <w:marLeft w:val="0"/>
                      <w:marRight w:val="0"/>
                      <w:marTop w:val="0"/>
                      <w:marBottom w:val="0"/>
                      <w:divBdr>
                        <w:top w:val="none" w:sz="0" w:space="0" w:color="auto"/>
                        <w:left w:val="none" w:sz="0" w:space="0" w:color="auto"/>
                        <w:bottom w:val="none" w:sz="0" w:space="0" w:color="auto"/>
                        <w:right w:val="none" w:sz="0" w:space="0" w:color="auto"/>
                      </w:divBdr>
                    </w:div>
                  </w:divsChild>
                </w:div>
                <w:div w:id="533813175">
                  <w:marLeft w:val="0"/>
                  <w:marRight w:val="0"/>
                  <w:marTop w:val="0"/>
                  <w:marBottom w:val="0"/>
                  <w:divBdr>
                    <w:top w:val="none" w:sz="0" w:space="0" w:color="auto"/>
                    <w:left w:val="none" w:sz="0" w:space="0" w:color="auto"/>
                    <w:bottom w:val="none" w:sz="0" w:space="0" w:color="auto"/>
                    <w:right w:val="none" w:sz="0" w:space="0" w:color="auto"/>
                  </w:divBdr>
                  <w:divsChild>
                    <w:div w:id="327094407">
                      <w:marLeft w:val="0"/>
                      <w:marRight w:val="0"/>
                      <w:marTop w:val="0"/>
                      <w:marBottom w:val="0"/>
                      <w:divBdr>
                        <w:top w:val="none" w:sz="0" w:space="0" w:color="auto"/>
                        <w:left w:val="none" w:sz="0" w:space="0" w:color="auto"/>
                        <w:bottom w:val="none" w:sz="0" w:space="0" w:color="auto"/>
                        <w:right w:val="none" w:sz="0" w:space="0" w:color="auto"/>
                      </w:divBdr>
                    </w:div>
                  </w:divsChild>
                </w:div>
                <w:div w:id="542328768">
                  <w:marLeft w:val="0"/>
                  <w:marRight w:val="0"/>
                  <w:marTop w:val="0"/>
                  <w:marBottom w:val="0"/>
                  <w:divBdr>
                    <w:top w:val="none" w:sz="0" w:space="0" w:color="auto"/>
                    <w:left w:val="none" w:sz="0" w:space="0" w:color="auto"/>
                    <w:bottom w:val="none" w:sz="0" w:space="0" w:color="auto"/>
                    <w:right w:val="none" w:sz="0" w:space="0" w:color="auto"/>
                  </w:divBdr>
                  <w:divsChild>
                    <w:div w:id="1521047095">
                      <w:marLeft w:val="0"/>
                      <w:marRight w:val="0"/>
                      <w:marTop w:val="0"/>
                      <w:marBottom w:val="0"/>
                      <w:divBdr>
                        <w:top w:val="none" w:sz="0" w:space="0" w:color="auto"/>
                        <w:left w:val="none" w:sz="0" w:space="0" w:color="auto"/>
                        <w:bottom w:val="none" w:sz="0" w:space="0" w:color="auto"/>
                        <w:right w:val="none" w:sz="0" w:space="0" w:color="auto"/>
                      </w:divBdr>
                    </w:div>
                  </w:divsChild>
                </w:div>
                <w:div w:id="557859274">
                  <w:marLeft w:val="0"/>
                  <w:marRight w:val="0"/>
                  <w:marTop w:val="0"/>
                  <w:marBottom w:val="0"/>
                  <w:divBdr>
                    <w:top w:val="none" w:sz="0" w:space="0" w:color="auto"/>
                    <w:left w:val="none" w:sz="0" w:space="0" w:color="auto"/>
                    <w:bottom w:val="none" w:sz="0" w:space="0" w:color="auto"/>
                    <w:right w:val="none" w:sz="0" w:space="0" w:color="auto"/>
                  </w:divBdr>
                  <w:divsChild>
                    <w:div w:id="1450662876">
                      <w:marLeft w:val="0"/>
                      <w:marRight w:val="0"/>
                      <w:marTop w:val="0"/>
                      <w:marBottom w:val="0"/>
                      <w:divBdr>
                        <w:top w:val="none" w:sz="0" w:space="0" w:color="auto"/>
                        <w:left w:val="none" w:sz="0" w:space="0" w:color="auto"/>
                        <w:bottom w:val="none" w:sz="0" w:space="0" w:color="auto"/>
                        <w:right w:val="none" w:sz="0" w:space="0" w:color="auto"/>
                      </w:divBdr>
                    </w:div>
                  </w:divsChild>
                </w:div>
                <w:div w:id="560676214">
                  <w:marLeft w:val="0"/>
                  <w:marRight w:val="0"/>
                  <w:marTop w:val="0"/>
                  <w:marBottom w:val="0"/>
                  <w:divBdr>
                    <w:top w:val="none" w:sz="0" w:space="0" w:color="auto"/>
                    <w:left w:val="none" w:sz="0" w:space="0" w:color="auto"/>
                    <w:bottom w:val="none" w:sz="0" w:space="0" w:color="auto"/>
                    <w:right w:val="none" w:sz="0" w:space="0" w:color="auto"/>
                  </w:divBdr>
                  <w:divsChild>
                    <w:div w:id="1249578833">
                      <w:marLeft w:val="0"/>
                      <w:marRight w:val="0"/>
                      <w:marTop w:val="0"/>
                      <w:marBottom w:val="0"/>
                      <w:divBdr>
                        <w:top w:val="none" w:sz="0" w:space="0" w:color="auto"/>
                        <w:left w:val="none" w:sz="0" w:space="0" w:color="auto"/>
                        <w:bottom w:val="none" w:sz="0" w:space="0" w:color="auto"/>
                        <w:right w:val="none" w:sz="0" w:space="0" w:color="auto"/>
                      </w:divBdr>
                    </w:div>
                  </w:divsChild>
                </w:div>
                <w:div w:id="563610090">
                  <w:marLeft w:val="0"/>
                  <w:marRight w:val="0"/>
                  <w:marTop w:val="0"/>
                  <w:marBottom w:val="0"/>
                  <w:divBdr>
                    <w:top w:val="none" w:sz="0" w:space="0" w:color="auto"/>
                    <w:left w:val="none" w:sz="0" w:space="0" w:color="auto"/>
                    <w:bottom w:val="none" w:sz="0" w:space="0" w:color="auto"/>
                    <w:right w:val="none" w:sz="0" w:space="0" w:color="auto"/>
                  </w:divBdr>
                  <w:divsChild>
                    <w:div w:id="1243762774">
                      <w:marLeft w:val="0"/>
                      <w:marRight w:val="0"/>
                      <w:marTop w:val="0"/>
                      <w:marBottom w:val="0"/>
                      <w:divBdr>
                        <w:top w:val="none" w:sz="0" w:space="0" w:color="auto"/>
                        <w:left w:val="none" w:sz="0" w:space="0" w:color="auto"/>
                        <w:bottom w:val="none" w:sz="0" w:space="0" w:color="auto"/>
                        <w:right w:val="none" w:sz="0" w:space="0" w:color="auto"/>
                      </w:divBdr>
                    </w:div>
                  </w:divsChild>
                </w:div>
                <w:div w:id="566502029">
                  <w:marLeft w:val="0"/>
                  <w:marRight w:val="0"/>
                  <w:marTop w:val="0"/>
                  <w:marBottom w:val="0"/>
                  <w:divBdr>
                    <w:top w:val="none" w:sz="0" w:space="0" w:color="auto"/>
                    <w:left w:val="none" w:sz="0" w:space="0" w:color="auto"/>
                    <w:bottom w:val="none" w:sz="0" w:space="0" w:color="auto"/>
                    <w:right w:val="none" w:sz="0" w:space="0" w:color="auto"/>
                  </w:divBdr>
                  <w:divsChild>
                    <w:div w:id="875698809">
                      <w:marLeft w:val="0"/>
                      <w:marRight w:val="0"/>
                      <w:marTop w:val="0"/>
                      <w:marBottom w:val="0"/>
                      <w:divBdr>
                        <w:top w:val="none" w:sz="0" w:space="0" w:color="auto"/>
                        <w:left w:val="none" w:sz="0" w:space="0" w:color="auto"/>
                        <w:bottom w:val="none" w:sz="0" w:space="0" w:color="auto"/>
                        <w:right w:val="none" w:sz="0" w:space="0" w:color="auto"/>
                      </w:divBdr>
                    </w:div>
                  </w:divsChild>
                </w:div>
                <w:div w:id="575483623">
                  <w:marLeft w:val="0"/>
                  <w:marRight w:val="0"/>
                  <w:marTop w:val="0"/>
                  <w:marBottom w:val="0"/>
                  <w:divBdr>
                    <w:top w:val="none" w:sz="0" w:space="0" w:color="auto"/>
                    <w:left w:val="none" w:sz="0" w:space="0" w:color="auto"/>
                    <w:bottom w:val="none" w:sz="0" w:space="0" w:color="auto"/>
                    <w:right w:val="none" w:sz="0" w:space="0" w:color="auto"/>
                  </w:divBdr>
                  <w:divsChild>
                    <w:div w:id="1032729674">
                      <w:marLeft w:val="0"/>
                      <w:marRight w:val="0"/>
                      <w:marTop w:val="0"/>
                      <w:marBottom w:val="0"/>
                      <w:divBdr>
                        <w:top w:val="none" w:sz="0" w:space="0" w:color="auto"/>
                        <w:left w:val="none" w:sz="0" w:space="0" w:color="auto"/>
                        <w:bottom w:val="none" w:sz="0" w:space="0" w:color="auto"/>
                        <w:right w:val="none" w:sz="0" w:space="0" w:color="auto"/>
                      </w:divBdr>
                    </w:div>
                  </w:divsChild>
                </w:div>
                <w:div w:id="576473509">
                  <w:marLeft w:val="0"/>
                  <w:marRight w:val="0"/>
                  <w:marTop w:val="0"/>
                  <w:marBottom w:val="0"/>
                  <w:divBdr>
                    <w:top w:val="none" w:sz="0" w:space="0" w:color="auto"/>
                    <w:left w:val="none" w:sz="0" w:space="0" w:color="auto"/>
                    <w:bottom w:val="none" w:sz="0" w:space="0" w:color="auto"/>
                    <w:right w:val="none" w:sz="0" w:space="0" w:color="auto"/>
                  </w:divBdr>
                  <w:divsChild>
                    <w:div w:id="1578248352">
                      <w:marLeft w:val="0"/>
                      <w:marRight w:val="0"/>
                      <w:marTop w:val="0"/>
                      <w:marBottom w:val="0"/>
                      <w:divBdr>
                        <w:top w:val="none" w:sz="0" w:space="0" w:color="auto"/>
                        <w:left w:val="none" w:sz="0" w:space="0" w:color="auto"/>
                        <w:bottom w:val="none" w:sz="0" w:space="0" w:color="auto"/>
                        <w:right w:val="none" w:sz="0" w:space="0" w:color="auto"/>
                      </w:divBdr>
                    </w:div>
                  </w:divsChild>
                </w:div>
                <w:div w:id="591547286">
                  <w:marLeft w:val="0"/>
                  <w:marRight w:val="0"/>
                  <w:marTop w:val="0"/>
                  <w:marBottom w:val="0"/>
                  <w:divBdr>
                    <w:top w:val="none" w:sz="0" w:space="0" w:color="auto"/>
                    <w:left w:val="none" w:sz="0" w:space="0" w:color="auto"/>
                    <w:bottom w:val="none" w:sz="0" w:space="0" w:color="auto"/>
                    <w:right w:val="none" w:sz="0" w:space="0" w:color="auto"/>
                  </w:divBdr>
                  <w:divsChild>
                    <w:div w:id="175970970">
                      <w:marLeft w:val="0"/>
                      <w:marRight w:val="0"/>
                      <w:marTop w:val="0"/>
                      <w:marBottom w:val="0"/>
                      <w:divBdr>
                        <w:top w:val="none" w:sz="0" w:space="0" w:color="auto"/>
                        <w:left w:val="none" w:sz="0" w:space="0" w:color="auto"/>
                        <w:bottom w:val="none" w:sz="0" w:space="0" w:color="auto"/>
                        <w:right w:val="none" w:sz="0" w:space="0" w:color="auto"/>
                      </w:divBdr>
                    </w:div>
                  </w:divsChild>
                </w:div>
                <w:div w:id="594751078">
                  <w:marLeft w:val="0"/>
                  <w:marRight w:val="0"/>
                  <w:marTop w:val="0"/>
                  <w:marBottom w:val="0"/>
                  <w:divBdr>
                    <w:top w:val="none" w:sz="0" w:space="0" w:color="auto"/>
                    <w:left w:val="none" w:sz="0" w:space="0" w:color="auto"/>
                    <w:bottom w:val="none" w:sz="0" w:space="0" w:color="auto"/>
                    <w:right w:val="none" w:sz="0" w:space="0" w:color="auto"/>
                  </w:divBdr>
                  <w:divsChild>
                    <w:div w:id="1941183711">
                      <w:marLeft w:val="0"/>
                      <w:marRight w:val="0"/>
                      <w:marTop w:val="0"/>
                      <w:marBottom w:val="0"/>
                      <w:divBdr>
                        <w:top w:val="none" w:sz="0" w:space="0" w:color="auto"/>
                        <w:left w:val="none" w:sz="0" w:space="0" w:color="auto"/>
                        <w:bottom w:val="none" w:sz="0" w:space="0" w:color="auto"/>
                        <w:right w:val="none" w:sz="0" w:space="0" w:color="auto"/>
                      </w:divBdr>
                    </w:div>
                  </w:divsChild>
                </w:div>
                <w:div w:id="610628442">
                  <w:marLeft w:val="0"/>
                  <w:marRight w:val="0"/>
                  <w:marTop w:val="0"/>
                  <w:marBottom w:val="0"/>
                  <w:divBdr>
                    <w:top w:val="none" w:sz="0" w:space="0" w:color="auto"/>
                    <w:left w:val="none" w:sz="0" w:space="0" w:color="auto"/>
                    <w:bottom w:val="none" w:sz="0" w:space="0" w:color="auto"/>
                    <w:right w:val="none" w:sz="0" w:space="0" w:color="auto"/>
                  </w:divBdr>
                  <w:divsChild>
                    <w:div w:id="894316808">
                      <w:marLeft w:val="0"/>
                      <w:marRight w:val="0"/>
                      <w:marTop w:val="0"/>
                      <w:marBottom w:val="0"/>
                      <w:divBdr>
                        <w:top w:val="none" w:sz="0" w:space="0" w:color="auto"/>
                        <w:left w:val="none" w:sz="0" w:space="0" w:color="auto"/>
                        <w:bottom w:val="none" w:sz="0" w:space="0" w:color="auto"/>
                        <w:right w:val="none" w:sz="0" w:space="0" w:color="auto"/>
                      </w:divBdr>
                    </w:div>
                  </w:divsChild>
                </w:div>
                <w:div w:id="612058935">
                  <w:marLeft w:val="0"/>
                  <w:marRight w:val="0"/>
                  <w:marTop w:val="0"/>
                  <w:marBottom w:val="0"/>
                  <w:divBdr>
                    <w:top w:val="none" w:sz="0" w:space="0" w:color="auto"/>
                    <w:left w:val="none" w:sz="0" w:space="0" w:color="auto"/>
                    <w:bottom w:val="none" w:sz="0" w:space="0" w:color="auto"/>
                    <w:right w:val="none" w:sz="0" w:space="0" w:color="auto"/>
                  </w:divBdr>
                  <w:divsChild>
                    <w:div w:id="1814366406">
                      <w:marLeft w:val="0"/>
                      <w:marRight w:val="0"/>
                      <w:marTop w:val="0"/>
                      <w:marBottom w:val="0"/>
                      <w:divBdr>
                        <w:top w:val="none" w:sz="0" w:space="0" w:color="auto"/>
                        <w:left w:val="none" w:sz="0" w:space="0" w:color="auto"/>
                        <w:bottom w:val="none" w:sz="0" w:space="0" w:color="auto"/>
                        <w:right w:val="none" w:sz="0" w:space="0" w:color="auto"/>
                      </w:divBdr>
                    </w:div>
                  </w:divsChild>
                </w:div>
                <w:div w:id="615991184">
                  <w:marLeft w:val="0"/>
                  <w:marRight w:val="0"/>
                  <w:marTop w:val="0"/>
                  <w:marBottom w:val="0"/>
                  <w:divBdr>
                    <w:top w:val="none" w:sz="0" w:space="0" w:color="auto"/>
                    <w:left w:val="none" w:sz="0" w:space="0" w:color="auto"/>
                    <w:bottom w:val="none" w:sz="0" w:space="0" w:color="auto"/>
                    <w:right w:val="none" w:sz="0" w:space="0" w:color="auto"/>
                  </w:divBdr>
                  <w:divsChild>
                    <w:div w:id="844052702">
                      <w:marLeft w:val="0"/>
                      <w:marRight w:val="0"/>
                      <w:marTop w:val="0"/>
                      <w:marBottom w:val="0"/>
                      <w:divBdr>
                        <w:top w:val="none" w:sz="0" w:space="0" w:color="auto"/>
                        <w:left w:val="none" w:sz="0" w:space="0" w:color="auto"/>
                        <w:bottom w:val="none" w:sz="0" w:space="0" w:color="auto"/>
                        <w:right w:val="none" w:sz="0" w:space="0" w:color="auto"/>
                      </w:divBdr>
                    </w:div>
                  </w:divsChild>
                </w:div>
                <w:div w:id="616176463">
                  <w:marLeft w:val="0"/>
                  <w:marRight w:val="0"/>
                  <w:marTop w:val="0"/>
                  <w:marBottom w:val="0"/>
                  <w:divBdr>
                    <w:top w:val="none" w:sz="0" w:space="0" w:color="auto"/>
                    <w:left w:val="none" w:sz="0" w:space="0" w:color="auto"/>
                    <w:bottom w:val="none" w:sz="0" w:space="0" w:color="auto"/>
                    <w:right w:val="none" w:sz="0" w:space="0" w:color="auto"/>
                  </w:divBdr>
                  <w:divsChild>
                    <w:div w:id="17974351">
                      <w:marLeft w:val="0"/>
                      <w:marRight w:val="0"/>
                      <w:marTop w:val="0"/>
                      <w:marBottom w:val="0"/>
                      <w:divBdr>
                        <w:top w:val="none" w:sz="0" w:space="0" w:color="auto"/>
                        <w:left w:val="none" w:sz="0" w:space="0" w:color="auto"/>
                        <w:bottom w:val="none" w:sz="0" w:space="0" w:color="auto"/>
                        <w:right w:val="none" w:sz="0" w:space="0" w:color="auto"/>
                      </w:divBdr>
                    </w:div>
                  </w:divsChild>
                </w:div>
                <w:div w:id="641277761">
                  <w:marLeft w:val="0"/>
                  <w:marRight w:val="0"/>
                  <w:marTop w:val="0"/>
                  <w:marBottom w:val="0"/>
                  <w:divBdr>
                    <w:top w:val="none" w:sz="0" w:space="0" w:color="auto"/>
                    <w:left w:val="none" w:sz="0" w:space="0" w:color="auto"/>
                    <w:bottom w:val="none" w:sz="0" w:space="0" w:color="auto"/>
                    <w:right w:val="none" w:sz="0" w:space="0" w:color="auto"/>
                  </w:divBdr>
                  <w:divsChild>
                    <w:div w:id="1117066352">
                      <w:marLeft w:val="0"/>
                      <w:marRight w:val="0"/>
                      <w:marTop w:val="0"/>
                      <w:marBottom w:val="0"/>
                      <w:divBdr>
                        <w:top w:val="none" w:sz="0" w:space="0" w:color="auto"/>
                        <w:left w:val="none" w:sz="0" w:space="0" w:color="auto"/>
                        <w:bottom w:val="none" w:sz="0" w:space="0" w:color="auto"/>
                        <w:right w:val="none" w:sz="0" w:space="0" w:color="auto"/>
                      </w:divBdr>
                    </w:div>
                  </w:divsChild>
                </w:div>
                <w:div w:id="666520863">
                  <w:marLeft w:val="0"/>
                  <w:marRight w:val="0"/>
                  <w:marTop w:val="0"/>
                  <w:marBottom w:val="0"/>
                  <w:divBdr>
                    <w:top w:val="none" w:sz="0" w:space="0" w:color="auto"/>
                    <w:left w:val="none" w:sz="0" w:space="0" w:color="auto"/>
                    <w:bottom w:val="none" w:sz="0" w:space="0" w:color="auto"/>
                    <w:right w:val="none" w:sz="0" w:space="0" w:color="auto"/>
                  </w:divBdr>
                  <w:divsChild>
                    <w:div w:id="1708019198">
                      <w:marLeft w:val="0"/>
                      <w:marRight w:val="0"/>
                      <w:marTop w:val="0"/>
                      <w:marBottom w:val="0"/>
                      <w:divBdr>
                        <w:top w:val="none" w:sz="0" w:space="0" w:color="auto"/>
                        <w:left w:val="none" w:sz="0" w:space="0" w:color="auto"/>
                        <w:bottom w:val="none" w:sz="0" w:space="0" w:color="auto"/>
                        <w:right w:val="none" w:sz="0" w:space="0" w:color="auto"/>
                      </w:divBdr>
                    </w:div>
                  </w:divsChild>
                </w:div>
                <w:div w:id="670259378">
                  <w:marLeft w:val="0"/>
                  <w:marRight w:val="0"/>
                  <w:marTop w:val="0"/>
                  <w:marBottom w:val="0"/>
                  <w:divBdr>
                    <w:top w:val="none" w:sz="0" w:space="0" w:color="auto"/>
                    <w:left w:val="none" w:sz="0" w:space="0" w:color="auto"/>
                    <w:bottom w:val="none" w:sz="0" w:space="0" w:color="auto"/>
                    <w:right w:val="none" w:sz="0" w:space="0" w:color="auto"/>
                  </w:divBdr>
                  <w:divsChild>
                    <w:div w:id="1893081625">
                      <w:marLeft w:val="0"/>
                      <w:marRight w:val="0"/>
                      <w:marTop w:val="0"/>
                      <w:marBottom w:val="0"/>
                      <w:divBdr>
                        <w:top w:val="none" w:sz="0" w:space="0" w:color="auto"/>
                        <w:left w:val="none" w:sz="0" w:space="0" w:color="auto"/>
                        <w:bottom w:val="none" w:sz="0" w:space="0" w:color="auto"/>
                        <w:right w:val="none" w:sz="0" w:space="0" w:color="auto"/>
                      </w:divBdr>
                    </w:div>
                  </w:divsChild>
                </w:div>
                <w:div w:id="670371869">
                  <w:marLeft w:val="0"/>
                  <w:marRight w:val="0"/>
                  <w:marTop w:val="0"/>
                  <w:marBottom w:val="0"/>
                  <w:divBdr>
                    <w:top w:val="none" w:sz="0" w:space="0" w:color="auto"/>
                    <w:left w:val="none" w:sz="0" w:space="0" w:color="auto"/>
                    <w:bottom w:val="none" w:sz="0" w:space="0" w:color="auto"/>
                    <w:right w:val="none" w:sz="0" w:space="0" w:color="auto"/>
                  </w:divBdr>
                  <w:divsChild>
                    <w:div w:id="1525560128">
                      <w:marLeft w:val="0"/>
                      <w:marRight w:val="0"/>
                      <w:marTop w:val="0"/>
                      <w:marBottom w:val="0"/>
                      <w:divBdr>
                        <w:top w:val="none" w:sz="0" w:space="0" w:color="auto"/>
                        <w:left w:val="none" w:sz="0" w:space="0" w:color="auto"/>
                        <w:bottom w:val="none" w:sz="0" w:space="0" w:color="auto"/>
                        <w:right w:val="none" w:sz="0" w:space="0" w:color="auto"/>
                      </w:divBdr>
                    </w:div>
                  </w:divsChild>
                </w:div>
                <w:div w:id="690767287">
                  <w:marLeft w:val="0"/>
                  <w:marRight w:val="0"/>
                  <w:marTop w:val="0"/>
                  <w:marBottom w:val="0"/>
                  <w:divBdr>
                    <w:top w:val="none" w:sz="0" w:space="0" w:color="auto"/>
                    <w:left w:val="none" w:sz="0" w:space="0" w:color="auto"/>
                    <w:bottom w:val="none" w:sz="0" w:space="0" w:color="auto"/>
                    <w:right w:val="none" w:sz="0" w:space="0" w:color="auto"/>
                  </w:divBdr>
                  <w:divsChild>
                    <w:div w:id="601646932">
                      <w:marLeft w:val="0"/>
                      <w:marRight w:val="0"/>
                      <w:marTop w:val="0"/>
                      <w:marBottom w:val="0"/>
                      <w:divBdr>
                        <w:top w:val="none" w:sz="0" w:space="0" w:color="auto"/>
                        <w:left w:val="none" w:sz="0" w:space="0" w:color="auto"/>
                        <w:bottom w:val="none" w:sz="0" w:space="0" w:color="auto"/>
                        <w:right w:val="none" w:sz="0" w:space="0" w:color="auto"/>
                      </w:divBdr>
                    </w:div>
                  </w:divsChild>
                </w:div>
                <w:div w:id="692078597">
                  <w:marLeft w:val="0"/>
                  <w:marRight w:val="0"/>
                  <w:marTop w:val="0"/>
                  <w:marBottom w:val="0"/>
                  <w:divBdr>
                    <w:top w:val="none" w:sz="0" w:space="0" w:color="auto"/>
                    <w:left w:val="none" w:sz="0" w:space="0" w:color="auto"/>
                    <w:bottom w:val="none" w:sz="0" w:space="0" w:color="auto"/>
                    <w:right w:val="none" w:sz="0" w:space="0" w:color="auto"/>
                  </w:divBdr>
                  <w:divsChild>
                    <w:div w:id="1908876275">
                      <w:marLeft w:val="0"/>
                      <w:marRight w:val="0"/>
                      <w:marTop w:val="0"/>
                      <w:marBottom w:val="0"/>
                      <w:divBdr>
                        <w:top w:val="none" w:sz="0" w:space="0" w:color="auto"/>
                        <w:left w:val="none" w:sz="0" w:space="0" w:color="auto"/>
                        <w:bottom w:val="none" w:sz="0" w:space="0" w:color="auto"/>
                        <w:right w:val="none" w:sz="0" w:space="0" w:color="auto"/>
                      </w:divBdr>
                    </w:div>
                  </w:divsChild>
                </w:div>
                <w:div w:id="701978990">
                  <w:marLeft w:val="0"/>
                  <w:marRight w:val="0"/>
                  <w:marTop w:val="0"/>
                  <w:marBottom w:val="0"/>
                  <w:divBdr>
                    <w:top w:val="none" w:sz="0" w:space="0" w:color="auto"/>
                    <w:left w:val="none" w:sz="0" w:space="0" w:color="auto"/>
                    <w:bottom w:val="none" w:sz="0" w:space="0" w:color="auto"/>
                    <w:right w:val="none" w:sz="0" w:space="0" w:color="auto"/>
                  </w:divBdr>
                  <w:divsChild>
                    <w:div w:id="1799253674">
                      <w:marLeft w:val="0"/>
                      <w:marRight w:val="0"/>
                      <w:marTop w:val="0"/>
                      <w:marBottom w:val="0"/>
                      <w:divBdr>
                        <w:top w:val="none" w:sz="0" w:space="0" w:color="auto"/>
                        <w:left w:val="none" w:sz="0" w:space="0" w:color="auto"/>
                        <w:bottom w:val="none" w:sz="0" w:space="0" w:color="auto"/>
                        <w:right w:val="none" w:sz="0" w:space="0" w:color="auto"/>
                      </w:divBdr>
                    </w:div>
                  </w:divsChild>
                </w:div>
                <w:div w:id="704797292">
                  <w:marLeft w:val="0"/>
                  <w:marRight w:val="0"/>
                  <w:marTop w:val="0"/>
                  <w:marBottom w:val="0"/>
                  <w:divBdr>
                    <w:top w:val="none" w:sz="0" w:space="0" w:color="auto"/>
                    <w:left w:val="none" w:sz="0" w:space="0" w:color="auto"/>
                    <w:bottom w:val="none" w:sz="0" w:space="0" w:color="auto"/>
                    <w:right w:val="none" w:sz="0" w:space="0" w:color="auto"/>
                  </w:divBdr>
                  <w:divsChild>
                    <w:div w:id="1929270606">
                      <w:marLeft w:val="0"/>
                      <w:marRight w:val="0"/>
                      <w:marTop w:val="0"/>
                      <w:marBottom w:val="0"/>
                      <w:divBdr>
                        <w:top w:val="none" w:sz="0" w:space="0" w:color="auto"/>
                        <w:left w:val="none" w:sz="0" w:space="0" w:color="auto"/>
                        <w:bottom w:val="none" w:sz="0" w:space="0" w:color="auto"/>
                        <w:right w:val="none" w:sz="0" w:space="0" w:color="auto"/>
                      </w:divBdr>
                    </w:div>
                  </w:divsChild>
                </w:div>
                <w:div w:id="708408968">
                  <w:marLeft w:val="0"/>
                  <w:marRight w:val="0"/>
                  <w:marTop w:val="0"/>
                  <w:marBottom w:val="0"/>
                  <w:divBdr>
                    <w:top w:val="none" w:sz="0" w:space="0" w:color="auto"/>
                    <w:left w:val="none" w:sz="0" w:space="0" w:color="auto"/>
                    <w:bottom w:val="none" w:sz="0" w:space="0" w:color="auto"/>
                    <w:right w:val="none" w:sz="0" w:space="0" w:color="auto"/>
                  </w:divBdr>
                  <w:divsChild>
                    <w:div w:id="1355500874">
                      <w:marLeft w:val="0"/>
                      <w:marRight w:val="0"/>
                      <w:marTop w:val="0"/>
                      <w:marBottom w:val="0"/>
                      <w:divBdr>
                        <w:top w:val="none" w:sz="0" w:space="0" w:color="auto"/>
                        <w:left w:val="none" w:sz="0" w:space="0" w:color="auto"/>
                        <w:bottom w:val="none" w:sz="0" w:space="0" w:color="auto"/>
                        <w:right w:val="none" w:sz="0" w:space="0" w:color="auto"/>
                      </w:divBdr>
                    </w:div>
                  </w:divsChild>
                </w:div>
                <w:div w:id="723991207">
                  <w:marLeft w:val="0"/>
                  <w:marRight w:val="0"/>
                  <w:marTop w:val="0"/>
                  <w:marBottom w:val="0"/>
                  <w:divBdr>
                    <w:top w:val="none" w:sz="0" w:space="0" w:color="auto"/>
                    <w:left w:val="none" w:sz="0" w:space="0" w:color="auto"/>
                    <w:bottom w:val="none" w:sz="0" w:space="0" w:color="auto"/>
                    <w:right w:val="none" w:sz="0" w:space="0" w:color="auto"/>
                  </w:divBdr>
                  <w:divsChild>
                    <w:div w:id="230232922">
                      <w:marLeft w:val="0"/>
                      <w:marRight w:val="0"/>
                      <w:marTop w:val="0"/>
                      <w:marBottom w:val="0"/>
                      <w:divBdr>
                        <w:top w:val="none" w:sz="0" w:space="0" w:color="auto"/>
                        <w:left w:val="none" w:sz="0" w:space="0" w:color="auto"/>
                        <w:bottom w:val="none" w:sz="0" w:space="0" w:color="auto"/>
                        <w:right w:val="none" w:sz="0" w:space="0" w:color="auto"/>
                      </w:divBdr>
                    </w:div>
                    <w:div w:id="339819875">
                      <w:marLeft w:val="0"/>
                      <w:marRight w:val="0"/>
                      <w:marTop w:val="0"/>
                      <w:marBottom w:val="0"/>
                      <w:divBdr>
                        <w:top w:val="none" w:sz="0" w:space="0" w:color="auto"/>
                        <w:left w:val="none" w:sz="0" w:space="0" w:color="auto"/>
                        <w:bottom w:val="none" w:sz="0" w:space="0" w:color="auto"/>
                        <w:right w:val="none" w:sz="0" w:space="0" w:color="auto"/>
                      </w:divBdr>
                    </w:div>
                    <w:div w:id="372079290">
                      <w:marLeft w:val="0"/>
                      <w:marRight w:val="0"/>
                      <w:marTop w:val="0"/>
                      <w:marBottom w:val="0"/>
                      <w:divBdr>
                        <w:top w:val="none" w:sz="0" w:space="0" w:color="auto"/>
                        <w:left w:val="none" w:sz="0" w:space="0" w:color="auto"/>
                        <w:bottom w:val="none" w:sz="0" w:space="0" w:color="auto"/>
                        <w:right w:val="none" w:sz="0" w:space="0" w:color="auto"/>
                      </w:divBdr>
                    </w:div>
                    <w:div w:id="501244174">
                      <w:marLeft w:val="0"/>
                      <w:marRight w:val="0"/>
                      <w:marTop w:val="0"/>
                      <w:marBottom w:val="0"/>
                      <w:divBdr>
                        <w:top w:val="none" w:sz="0" w:space="0" w:color="auto"/>
                        <w:left w:val="none" w:sz="0" w:space="0" w:color="auto"/>
                        <w:bottom w:val="none" w:sz="0" w:space="0" w:color="auto"/>
                        <w:right w:val="none" w:sz="0" w:space="0" w:color="auto"/>
                      </w:divBdr>
                    </w:div>
                    <w:div w:id="580331368">
                      <w:marLeft w:val="0"/>
                      <w:marRight w:val="0"/>
                      <w:marTop w:val="0"/>
                      <w:marBottom w:val="0"/>
                      <w:divBdr>
                        <w:top w:val="none" w:sz="0" w:space="0" w:color="auto"/>
                        <w:left w:val="none" w:sz="0" w:space="0" w:color="auto"/>
                        <w:bottom w:val="none" w:sz="0" w:space="0" w:color="auto"/>
                        <w:right w:val="none" w:sz="0" w:space="0" w:color="auto"/>
                      </w:divBdr>
                    </w:div>
                    <w:div w:id="741683675">
                      <w:marLeft w:val="0"/>
                      <w:marRight w:val="0"/>
                      <w:marTop w:val="0"/>
                      <w:marBottom w:val="0"/>
                      <w:divBdr>
                        <w:top w:val="none" w:sz="0" w:space="0" w:color="auto"/>
                        <w:left w:val="none" w:sz="0" w:space="0" w:color="auto"/>
                        <w:bottom w:val="none" w:sz="0" w:space="0" w:color="auto"/>
                        <w:right w:val="none" w:sz="0" w:space="0" w:color="auto"/>
                      </w:divBdr>
                    </w:div>
                    <w:div w:id="1059746835">
                      <w:marLeft w:val="0"/>
                      <w:marRight w:val="0"/>
                      <w:marTop w:val="0"/>
                      <w:marBottom w:val="0"/>
                      <w:divBdr>
                        <w:top w:val="none" w:sz="0" w:space="0" w:color="auto"/>
                        <w:left w:val="none" w:sz="0" w:space="0" w:color="auto"/>
                        <w:bottom w:val="none" w:sz="0" w:space="0" w:color="auto"/>
                        <w:right w:val="none" w:sz="0" w:space="0" w:color="auto"/>
                      </w:divBdr>
                    </w:div>
                    <w:div w:id="1194002131">
                      <w:marLeft w:val="0"/>
                      <w:marRight w:val="0"/>
                      <w:marTop w:val="0"/>
                      <w:marBottom w:val="0"/>
                      <w:divBdr>
                        <w:top w:val="none" w:sz="0" w:space="0" w:color="auto"/>
                        <w:left w:val="none" w:sz="0" w:space="0" w:color="auto"/>
                        <w:bottom w:val="none" w:sz="0" w:space="0" w:color="auto"/>
                        <w:right w:val="none" w:sz="0" w:space="0" w:color="auto"/>
                      </w:divBdr>
                    </w:div>
                    <w:div w:id="1423069549">
                      <w:marLeft w:val="0"/>
                      <w:marRight w:val="0"/>
                      <w:marTop w:val="0"/>
                      <w:marBottom w:val="0"/>
                      <w:divBdr>
                        <w:top w:val="none" w:sz="0" w:space="0" w:color="auto"/>
                        <w:left w:val="none" w:sz="0" w:space="0" w:color="auto"/>
                        <w:bottom w:val="none" w:sz="0" w:space="0" w:color="auto"/>
                        <w:right w:val="none" w:sz="0" w:space="0" w:color="auto"/>
                      </w:divBdr>
                    </w:div>
                    <w:div w:id="2124181970">
                      <w:marLeft w:val="0"/>
                      <w:marRight w:val="0"/>
                      <w:marTop w:val="0"/>
                      <w:marBottom w:val="0"/>
                      <w:divBdr>
                        <w:top w:val="none" w:sz="0" w:space="0" w:color="auto"/>
                        <w:left w:val="none" w:sz="0" w:space="0" w:color="auto"/>
                        <w:bottom w:val="none" w:sz="0" w:space="0" w:color="auto"/>
                        <w:right w:val="none" w:sz="0" w:space="0" w:color="auto"/>
                      </w:divBdr>
                    </w:div>
                    <w:div w:id="2145462261">
                      <w:marLeft w:val="0"/>
                      <w:marRight w:val="0"/>
                      <w:marTop w:val="0"/>
                      <w:marBottom w:val="0"/>
                      <w:divBdr>
                        <w:top w:val="none" w:sz="0" w:space="0" w:color="auto"/>
                        <w:left w:val="none" w:sz="0" w:space="0" w:color="auto"/>
                        <w:bottom w:val="none" w:sz="0" w:space="0" w:color="auto"/>
                        <w:right w:val="none" w:sz="0" w:space="0" w:color="auto"/>
                      </w:divBdr>
                    </w:div>
                  </w:divsChild>
                </w:div>
                <w:div w:id="735278074">
                  <w:marLeft w:val="0"/>
                  <w:marRight w:val="0"/>
                  <w:marTop w:val="0"/>
                  <w:marBottom w:val="0"/>
                  <w:divBdr>
                    <w:top w:val="none" w:sz="0" w:space="0" w:color="auto"/>
                    <w:left w:val="none" w:sz="0" w:space="0" w:color="auto"/>
                    <w:bottom w:val="none" w:sz="0" w:space="0" w:color="auto"/>
                    <w:right w:val="none" w:sz="0" w:space="0" w:color="auto"/>
                  </w:divBdr>
                  <w:divsChild>
                    <w:div w:id="1632705863">
                      <w:marLeft w:val="0"/>
                      <w:marRight w:val="0"/>
                      <w:marTop w:val="0"/>
                      <w:marBottom w:val="0"/>
                      <w:divBdr>
                        <w:top w:val="none" w:sz="0" w:space="0" w:color="auto"/>
                        <w:left w:val="none" w:sz="0" w:space="0" w:color="auto"/>
                        <w:bottom w:val="none" w:sz="0" w:space="0" w:color="auto"/>
                        <w:right w:val="none" w:sz="0" w:space="0" w:color="auto"/>
                      </w:divBdr>
                    </w:div>
                  </w:divsChild>
                </w:div>
                <w:div w:id="739597931">
                  <w:marLeft w:val="0"/>
                  <w:marRight w:val="0"/>
                  <w:marTop w:val="0"/>
                  <w:marBottom w:val="0"/>
                  <w:divBdr>
                    <w:top w:val="none" w:sz="0" w:space="0" w:color="auto"/>
                    <w:left w:val="none" w:sz="0" w:space="0" w:color="auto"/>
                    <w:bottom w:val="none" w:sz="0" w:space="0" w:color="auto"/>
                    <w:right w:val="none" w:sz="0" w:space="0" w:color="auto"/>
                  </w:divBdr>
                  <w:divsChild>
                    <w:div w:id="1811898236">
                      <w:marLeft w:val="0"/>
                      <w:marRight w:val="0"/>
                      <w:marTop w:val="0"/>
                      <w:marBottom w:val="0"/>
                      <w:divBdr>
                        <w:top w:val="none" w:sz="0" w:space="0" w:color="auto"/>
                        <w:left w:val="none" w:sz="0" w:space="0" w:color="auto"/>
                        <w:bottom w:val="none" w:sz="0" w:space="0" w:color="auto"/>
                        <w:right w:val="none" w:sz="0" w:space="0" w:color="auto"/>
                      </w:divBdr>
                    </w:div>
                  </w:divsChild>
                </w:div>
                <w:div w:id="739913501">
                  <w:marLeft w:val="0"/>
                  <w:marRight w:val="0"/>
                  <w:marTop w:val="0"/>
                  <w:marBottom w:val="0"/>
                  <w:divBdr>
                    <w:top w:val="none" w:sz="0" w:space="0" w:color="auto"/>
                    <w:left w:val="none" w:sz="0" w:space="0" w:color="auto"/>
                    <w:bottom w:val="none" w:sz="0" w:space="0" w:color="auto"/>
                    <w:right w:val="none" w:sz="0" w:space="0" w:color="auto"/>
                  </w:divBdr>
                  <w:divsChild>
                    <w:div w:id="1253664649">
                      <w:marLeft w:val="0"/>
                      <w:marRight w:val="0"/>
                      <w:marTop w:val="0"/>
                      <w:marBottom w:val="0"/>
                      <w:divBdr>
                        <w:top w:val="none" w:sz="0" w:space="0" w:color="auto"/>
                        <w:left w:val="none" w:sz="0" w:space="0" w:color="auto"/>
                        <w:bottom w:val="none" w:sz="0" w:space="0" w:color="auto"/>
                        <w:right w:val="none" w:sz="0" w:space="0" w:color="auto"/>
                      </w:divBdr>
                    </w:div>
                  </w:divsChild>
                </w:div>
                <w:div w:id="740641858">
                  <w:marLeft w:val="0"/>
                  <w:marRight w:val="0"/>
                  <w:marTop w:val="0"/>
                  <w:marBottom w:val="0"/>
                  <w:divBdr>
                    <w:top w:val="none" w:sz="0" w:space="0" w:color="auto"/>
                    <w:left w:val="none" w:sz="0" w:space="0" w:color="auto"/>
                    <w:bottom w:val="none" w:sz="0" w:space="0" w:color="auto"/>
                    <w:right w:val="none" w:sz="0" w:space="0" w:color="auto"/>
                  </w:divBdr>
                  <w:divsChild>
                    <w:div w:id="1730156186">
                      <w:marLeft w:val="0"/>
                      <w:marRight w:val="0"/>
                      <w:marTop w:val="0"/>
                      <w:marBottom w:val="0"/>
                      <w:divBdr>
                        <w:top w:val="none" w:sz="0" w:space="0" w:color="auto"/>
                        <w:left w:val="none" w:sz="0" w:space="0" w:color="auto"/>
                        <w:bottom w:val="none" w:sz="0" w:space="0" w:color="auto"/>
                        <w:right w:val="none" w:sz="0" w:space="0" w:color="auto"/>
                      </w:divBdr>
                    </w:div>
                  </w:divsChild>
                </w:div>
                <w:div w:id="741870928">
                  <w:marLeft w:val="0"/>
                  <w:marRight w:val="0"/>
                  <w:marTop w:val="0"/>
                  <w:marBottom w:val="0"/>
                  <w:divBdr>
                    <w:top w:val="none" w:sz="0" w:space="0" w:color="auto"/>
                    <w:left w:val="none" w:sz="0" w:space="0" w:color="auto"/>
                    <w:bottom w:val="none" w:sz="0" w:space="0" w:color="auto"/>
                    <w:right w:val="none" w:sz="0" w:space="0" w:color="auto"/>
                  </w:divBdr>
                  <w:divsChild>
                    <w:div w:id="1959409225">
                      <w:marLeft w:val="0"/>
                      <w:marRight w:val="0"/>
                      <w:marTop w:val="0"/>
                      <w:marBottom w:val="0"/>
                      <w:divBdr>
                        <w:top w:val="none" w:sz="0" w:space="0" w:color="auto"/>
                        <w:left w:val="none" w:sz="0" w:space="0" w:color="auto"/>
                        <w:bottom w:val="none" w:sz="0" w:space="0" w:color="auto"/>
                        <w:right w:val="none" w:sz="0" w:space="0" w:color="auto"/>
                      </w:divBdr>
                    </w:div>
                  </w:divsChild>
                </w:div>
                <w:div w:id="754399691">
                  <w:marLeft w:val="0"/>
                  <w:marRight w:val="0"/>
                  <w:marTop w:val="0"/>
                  <w:marBottom w:val="0"/>
                  <w:divBdr>
                    <w:top w:val="none" w:sz="0" w:space="0" w:color="auto"/>
                    <w:left w:val="none" w:sz="0" w:space="0" w:color="auto"/>
                    <w:bottom w:val="none" w:sz="0" w:space="0" w:color="auto"/>
                    <w:right w:val="none" w:sz="0" w:space="0" w:color="auto"/>
                  </w:divBdr>
                  <w:divsChild>
                    <w:div w:id="116412476">
                      <w:marLeft w:val="0"/>
                      <w:marRight w:val="0"/>
                      <w:marTop w:val="0"/>
                      <w:marBottom w:val="0"/>
                      <w:divBdr>
                        <w:top w:val="none" w:sz="0" w:space="0" w:color="auto"/>
                        <w:left w:val="none" w:sz="0" w:space="0" w:color="auto"/>
                        <w:bottom w:val="none" w:sz="0" w:space="0" w:color="auto"/>
                        <w:right w:val="none" w:sz="0" w:space="0" w:color="auto"/>
                      </w:divBdr>
                    </w:div>
                    <w:div w:id="1055278459">
                      <w:marLeft w:val="0"/>
                      <w:marRight w:val="0"/>
                      <w:marTop w:val="0"/>
                      <w:marBottom w:val="0"/>
                      <w:divBdr>
                        <w:top w:val="none" w:sz="0" w:space="0" w:color="auto"/>
                        <w:left w:val="none" w:sz="0" w:space="0" w:color="auto"/>
                        <w:bottom w:val="none" w:sz="0" w:space="0" w:color="auto"/>
                        <w:right w:val="none" w:sz="0" w:space="0" w:color="auto"/>
                      </w:divBdr>
                    </w:div>
                    <w:div w:id="1095127526">
                      <w:marLeft w:val="0"/>
                      <w:marRight w:val="0"/>
                      <w:marTop w:val="0"/>
                      <w:marBottom w:val="0"/>
                      <w:divBdr>
                        <w:top w:val="none" w:sz="0" w:space="0" w:color="auto"/>
                        <w:left w:val="none" w:sz="0" w:space="0" w:color="auto"/>
                        <w:bottom w:val="none" w:sz="0" w:space="0" w:color="auto"/>
                        <w:right w:val="none" w:sz="0" w:space="0" w:color="auto"/>
                      </w:divBdr>
                    </w:div>
                  </w:divsChild>
                </w:div>
                <w:div w:id="759569527">
                  <w:marLeft w:val="0"/>
                  <w:marRight w:val="0"/>
                  <w:marTop w:val="0"/>
                  <w:marBottom w:val="0"/>
                  <w:divBdr>
                    <w:top w:val="none" w:sz="0" w:space="0" w:color="auto"/>
                    <w:left w:val="none" w:sz="0" w:space="0" w:color="auto"/>
                    <w:bottom w:val="none" w:sz="0" w:space="0" w:color="auto"/>
                    <w:right w:val="none" w:sz="0" w:space="0" w:color="auto"/>
                  </w:divBdr>
                  <w:divsChild>
                    <w:div w:id="826552578">
                      <w:marLeft w:val="0"/>
                      <w:marRight w:val="0"/>
                      <w:marTop w:val="0"/>
                      <w:marBottom w:val="0"/>
                      <w:divBdr>
                        <w:top w:val="none" w:sz="0" w:space="0" w:color="auto"/>
                        <w:left w:val="none" w:sz="0" w:space="0" w:color="auto"/>
                        <w:bottom w:val="none" w:sz="0" w:space="0" w:color="auto"/>
                        <w:right w:val="none" w:sz="0" w:space="0" w:color="auto"/>
                      </w:divBdr>
                    </w:div>
                  </w:divsChild>
                </w:div>
                <w:div w:id="773474972">
                  <w:marLeft w:val="0"/>
                  <w:marRight w:val="0"/>
                  <w:marTop w:val="0"/>
                  <w:marBottom w:val="0"/>
                  <w:divBdr>
                    <w:top w:val="none" w:sz="0" w:space="0" w:color="auto"/>
                    <w:left w:val="none" w:sz="0" w:space="0" w:color="auto"/>
                    <w:bottom w:val="none" w:sz="0" w:space="0" w:color="auto"/>
                    <w:right w:val="none" w:sz="0" w:space="0" w:color="auto"/>
                  </w:divBdr>
                  <w:divsChild>
                    <w:div w:id="1308897728">
                      <w:marLeft w:val="0"/>
                      <w:marRight w:val="0"/>
                      <w:marTop w:val="0"/>
                      <w:marBottom w:val="0"/>
                      <w:divBdr>
                        <w:top w:val="none" w:sz="0" w:space="0" w:color="auto"/>
                        <w:left w:val="none" w:sz="0" w:space="0" w:color="auto"/>
                        <w:bottom w:val="none" w:sz="0" w:space="0" w:color="auto"/>
                        <w:right w:val="none" w:sz="0" w:space="0" w:color="auto"/>
                      </w:divBdr>
                    </w:div>
                  </w:divsChild>
                </w:div>
                <w:div w:id="774906969">
                  <w:marLeft w:val="0"/>
                  <w:marRight w:val="0"/>
                  <w:marTop w:val="0"/>
                  <w:marBottom w:val="0"/>
                  <w:divBdr>
                    <w:top w:val="none" w:sz="0" w:space="0" w:color="auto"/>
                    <w:left w:val="none" w:sz="0" w:space="0" w:color="auto"/>
                    <w:bottom w:val="none" w:sz="0" w:space="0" w:color="auto"/>
                    <w:right w:val="none" w:sz="0" w:space="0" w:color="auto"/>
                  </w:divBdr>
                  <w:divsChild>
                    <w:div w:id="16123922">
                      <w:marLeft w:val="0"/>
                      <w:marRight w:val="0"/>
                      <w:marTop w:val="0"/>
                      <w:marBottom w:val="0"/>
                      <w:divBdr>
                        <w:top w:val="none" w:sz="0" w:space="0" w:color="auto"/>
                        <w:left w:val="none" w:sz="0" w:space="0" w:color="auto"/>
                        <w:bottom w:val="none" w:sz="0" w:space="0" w:color="auto"/>
                        <w:right w:val="none" w:sz="0" w:space="0" w:color="auto"/>
                      </w:divBdr>
                    </w:div>
                  </w:divsChild>
                </w:div>
                <w:div w:id="775247750">
                  <w:marLeft w:val="0"/>
                  <w:marRight w:val="0"/>
                  <w:marTop w:val="0"/>
                  <w:marBottom w:val="0"/>
                  <w:divBdr>
                    <w:top w:val="none" w:sz="0" w:space="0" w:color="auto"/>
                    <w:left w:val="none" w:sz="0" w:space="0" w:color="auto"/>
                    <w:bottom w:val="none" w:sz="0" w:space="0" w:color="auto"/>
                    <w:right w:val="none" w:sz="0" w:space="0" w:color="auto"/>
                  </w:divBdr>
                  <w:divsChild>
                    <w:div w:id="1777552290">
                      <w:marLeft w:val="0"/>
                      <w:marRight w:val="0"/>
                      <w:marTop w:val="0"/>
                      <w:marBottom w:val="0"/>
                      <w:divBdr>
                        <w:top w:val="none" w:sz="0" w:space="0" w:color="auto"/>
                        <w:left w:val="none" w:sz="0" w:space="0" w:color="auto"/>
                        <w:bottom w:val="none" w:sz="0" w:space="0" w:color="auto"/>
                        <w:right w:val="none" w:sz="0" w:space="0" w:color="auto"/>
                      </w:divBdr>
                    </w:div>
                  </w:divsChild>
                </w:div>
                <w:div w:id="776367035">
                  <w:marLeft w:val="0"/>
                  <w:marRight w:val="0"/>
                  <w:marTop w:val="0"/>
                  <w:marBottom w:val="0"/>
                  <w:divBdr>
                    <w:top w:val="none" w:sz="0" w:space="0" w:color="auto"/>
                    <w:left w:val="none" w:sz="0" w:space="0" w:color="auto"/>
                    <w:bottom w:val="none" w:sz="0" w:space="0" w:color="auto"/>
                    <w:right w:val="none" w:sz="0" w:space="0" w:color="auto"/>
                  </w:divBdr>
                  <w:divsChild>
                    <w:div w:id="1990938864">
                      <w:marLeft w:val="0"/>
                      <w:marRight w:val="0"/>
                      <w:marTop w:val="0"/>
                      <w:marBottom w:val="0"/>
                      <w:divBdr>
                        <w:top w:val="none" w:sz="0" w:space="0" w:color="auto"/>
                        <w:left w:val="none" w:sz="0" w:space="0" w:color="auto"/>
                        <w:bottom w:val="none" w:sz="0" w:space="0" w:color="auto"/>
                        <w:right w:val="none" w:sz="0" w:space="0" w:color="auto"/>
                      </w:divBdr>
                    </w:div>
                  </w:divsChild>
                </w:div>
                <w:div w:id="778522851">
                  <w:marLeft w:val="0"/>
                  <w:marRight w:val="0"/>
                  <w:marTop w:val="0"/>
                  <w:marBottom w:val="0"/>
                  <w:divBdr>
                    <w:top w:val="none" w:sz="0" w:space="0" w:color="auto"/>
                    <w:left w:val="none" w:sz="0" w:space="0" w:color="auto"/>
                    <w:bottom w:val="none" w:sz="0" w:space="0" w:color="auto"/>
                    <w:right w:val="none" w:sz="0" w:space="0" w:color="auto"/>
                  </w:divBdr>
                  <w:divsChild>
                    <w:div w:id="673339783">
                      <w:marLeft w:val="0"/>
                      <w:marRight w:val="0"/>
                      <w:marTop w:val="0"/>
                      <w:marBottom w:val="0"/>
                      <w:divBdr>
                        <w:top w:val="none" w:sz="0" w:space="0" w:color="auto"/>
                        <w:left w:val="none" w:sz="0" w:space="0" w:color="auto"/>
                        <w:bottom w:val="none" w:sz="0" w:space="0" w:color="auto"/>
                        <w:right w:val="none" w:sz="0" w:space="0" w:color="auto"/>
                      </w:divBdr>
                    </w:div>
                  </w:divsChild>
                </w:div>
                <w:div w:id="783696063">
                  <w:marLeft w:val="0"/>
                  <w:marRight w:val="0"/>
                  <w:marTop w:val="0"/>
                  <w:marBottom w:val="0"/>
                  <w:divBdr>
                    <w:top w:val="none" w:sz="0" w:space="0" w:color="auto"/>
                    <w:left w:val="none" w:sz="0" w:space="0" w:color="auto"/>
                    <w:bottom w:val="none" w:sz="0" w:space="0" w:color="auto"/>
                    <w:right w:val="none" w:sz="0" w:space="0" w:color="auto"/>
                  </w:divBdr>
                  <w:divsChild>
                    <w:div w:id="367989849">
                      <w:marLeft w:val="0"/>
                      <w:marRight w:val="0"/>
                      <w:marTop w:val="0"/>
                      <w:marBottom w:val="0"/>
                      <w:divBdr>
                        <w:top w:val="none" w:sz="0" w:space="0" w:color="auto"/>
                        <w:left w:val="none" w:sz="0" w:space="0" w:color="auto"/>
                        <w:bottom w:val="none" w:sz="0" w:space="0" w:color="auto"/>
                        <w:right w:val="none" w:sz="0" w:space="0" w:color="auto"/>
                      </w:divBdr>
                    </w:div>
                  </w:divsChild>
                </w:div>
                <w:div w:id="785546395">
                  <w:marLeft w:val="0"/>
                  <w:marRight w:val="0"/>
                  <w:marTop w:val="0"/>
                  <w:marBottom w:val="0"/>
                  <w:divBdr>
                    <w:top w:val="none" w:sz="0" w:space="0" w:color="auto"/>
                    <w:left w:val="none" w:sz="0" w:space="0" w:color="auto"/>
                    <w:bottom w:val="none" w:sz="0" w:space="0" w:color="auto"/>
                    <w:right w:val="none" w:sz="0" w:space="0" w:color="auto"/>
                  </w:divBdr>
                  <w:divsChild>
                    <w:div w:id="179978873">
                      <w:marLeft w:val="0"/>
                      <w:marRight w:val="0"/>
                      <w:marTop w:val="0"/>
                      <w:marBottom w:val="0"/>
                      <w:divBdr>
                        <w:top w:val="none" w:sz="0" w:space="0" w:color="auto"/>
                        <w:left w:val="none" w:sz="0" w:space="0" w:color="auto"/>
                        <w:bottom w:val="none" w:sz="0" w:space="0" w:color="auto"/>
                        <w:right w:val="none" w:sz="0" w:space="0" w:color="auto"/>
                      </w:divBdr>
                    </w:div>
                  </w:divsChild>
                </w:div>
                <w:div w:id="789201835">
                  <w:marLeft w:val="0"/>
                  <w:marRight w:val="0"/>
                  <w:marTop w:val="0"/>
                  <w:marBottom w:val="0"/>
                  <w:divBdr>
                    <w:top w:val="none" w:sz="0" w:space="0" w:color="auto"/>
                    <w:left w:val="none" w:sz="0" w:space="0" w:color="auto"/>
                    <w:bottom w:val="none" w:sz="0" w:space="0" w:color="auto"/>
                    <w:right w:val="none" w:sz="0" w:space="0" w:color="auto"/>
                  </w:divBdr>
                  <w:divsChild>
                    <w:div w:id="1414619894">
                      <w:marLeft w:val="0"/>
                      <w:marRight w:val="0"/>
                      <w:marTop w:val="0"/>
                      <w:marBottom w:val="0"/>
                      <w:divBdr>
                        <w:top w:val="none" w:sz="0" w:space="0" w:color="auto"/>
                        <w:left w:val="none" w:sz="0" w:space="0" w:color="auto"/>
                        <w:bottom w:val="none" w:sz="0" w:space="0" w:color="auto"/>
                        <w:right w:val="none" w:sz="0" w:space="0" w:color="auto"/>
                      </w:divBdr>
                    </w:div>
                  </w:divsChild>
                </w:div>
                <w:div w:id="792986287">
                  <w:marLeft w:val="0"/>
                  <w:marRight w:val="0"/>
                  <w:marTop w:val="0"/>
                  <w:marBottom w:val="0"/>
                  <w:divBdr>
                    <w:top w:val="none" w:sz="0" w:space="0" w:color="auto"/>
                    <w:left w:val="none" w:sz="0" w:space="0" w:color="auto"/>
                    <w:bottom w:val="none" w:sz="0" w:space="0" w:color="auto"/>
                    <w:right w:val="none" w:sz="0" w:space="0" w:color="auto"/>
                  </w:divBdr>
                  <w:divsChild>
                    <w:div w:id="201670615">
                      <w:marLeft w:val="0"/>
                      <w:marRight w:val="0"/>
                      <w:marTop w:val="0"/>
                      <w:marBottom w:val="0"/>
                      <w:divBdr>
                        <w:top w:val="none" w:sz="0" w:space="0" w:color="auto"/>
                        <w:left w:val="none" w:sz="0" w:space="0" w:color="auto"/>
                        <w:bottom w:val="none" w:sz="0" w:space="0" w:color="auto"/>
                        <w:right w:val="none" w:sz="0" w:space="0" w:color="auto"/>
                      </w:divBdr>
                    </w:div>
                  </w:divsChild>
                </w:div>
                <w:div w:id="794569307">
                  <w:marLeft w:val="0"/>
                  <w:marRight w:val="0"/>
                  <w:marTop w:val="0"/>
                  <w:marBottom w:val="0"/>
                  <w:divBdr>
                    <w:top w:val="none" w:sz="0" w:space="0" w:color="auto"/>
                    <w:left w:val="none" w:sz="0" w:space="0" w:color="auto"/>
                    <w:bottom w:val="none" w:sz="0" w:space="0" w:color="auto"/>
                    <w:right w:val="none" w:sz="0" w:space="0" w:color="auto"/>
                  </w:divBdr>
                  <w:divsChild>
                    <w:div w:id="467165696">
                      <w:marLeft w:val="0"/>
                      <w:marRight w:val="0"/>
                      <w:marTop w:val="0"/>
                      <w:marBottom w:val="0"/>
                      <w:divBdr>
                        <w:top w:val="none" w:sz="0" w:space="0" w:color="auto"/>
                        <w:left w:val="none" w:sz="0" w:space="0" w:color="auto"/>
                        <w:bottom w:val="none" w:sz="0" w:space="0" w:color="auto"/>
                        <w:right w:val="none" w:sz="0" w:space="0" w:color="auto"/>
                      </w:divBdr>
                    </w:div>
                  </w:divsChild>
                </w:div>
                <w:div w:id="805705926">
                  <w:marLeft w:val="0"/>
                  <w:marRight w:val="0"/>
                  <w:marTop w:val="0"/>
                  <w:marBottom w:val="0"/>
                  <w:divBdr>
                    <w:top w:val="none" w:sz="0" w:space="0" w:color="auto"/>
                    <w:left w:val="none" w:sz="0" w:space="0" w:color="auto"/>
                    <w:bottom w:val="none" w:sz="0" w:space="0" w:color="auto"/>
                    <w:right w:val="none" w:sz="0" w:space="0" w:color="auto"/>
                  </w:divBdr>
                  <w:divsChild>
                    <w:div w:id="1562787699">
                      <w:marLeft w:val="0"/>
                      <w:marRight w:val="0"/>
                      <w:marTop w:val="0"/>
                      <w:marBottom w:val="0"/>
                      <w:divBdr>
                        <w:top w:val="none" w:sz="0" w:space="0" w:color="auto"/>
                        <w:left w:val="none" w:sz="0" w:space="0" w:color="auto"/>
                        <w:bottom w:val="none" w:sz="0" w:space="0" w:color="auto"/>
                        <w:right w:val="none" w:sz="0" w:space="0" w:color="auto"/>
                      </w:divBdr>
                    </w:div>
                  </w:divsChild>
                </w:div>
                <w:div w:id="814835150">
                  <w:marLeft w:val="0"/>
                  <w:marRight w:val="0"/>
                  <w:marTop w:val="0"/>
                  <w:marBottom w:val="0"/>
                  <w:divBdr>
                    <w:top w:val="none" w:sz="0" w:space="0" w:color="auto"/>
                    <w:left w:val="none" w:sz="0" w:space="0" w:color="auto"/>
                    <w:bottom w:val="none" w:sz="0" w:space="0" w:color="auto"/>
                    <w:right w:val="none" w:sz="0" w:space="0" w:color="auto"/>
                  </w:divBdr>
                  <w:divsChild>
                    <w:div w:id="44255268">
                      <w:marLeft w:val="0"/>
                      <w:marRight w:val="0"/>
                      <w:marTop w:val="0"/>
                      <w:marBottom w:val="0"/>
                      <w:divBdr>
                        <w:top w:val="none" w:sz="0" w:space="0" w:color="auto"/>
                        <w:left w:val="none" w:sz="0" w:space="0" w:color="auto"/>
                        <w:bottom w:val="none" w:sz="0" w:space="0" w:color="auto"/>
                        <w:right w:val="none" w:sz="0" w:space="0" w:color="auto"/>
                      </w:divBdr>
                    </w:div>
                  </w:divsChild>
                </w:div>
                <w:div w:id="815874165">
                  <w:marLeft w:val="0"/>
                  <w:marRight w:val="0"/>
                  <w:marTop w:val="0"/>
                  <w:marBottom w:val="0"/>
                  <w:divBdr>
                    <w:top w:val="none" w:sz="0" w:space="0" w:color="auto"/>
                    <w:left w:val="none" w:sz="0" w:space="0" w:color="auto"/>
                    <w:bottom w:val="none" w:sz="0" w:space="0" w:color="auto"/>
                    <w:right w:val="none" w:sz="0" w:space="0" w:color="auto"/>
                  </w:divBdr>
                  <w:divsChild>
                    <w:div w:id="340620255">
                      <w:marLeft w:val="0"/>
                      <w:marRight w:val="0"/>
                      <w:marTop w:val="0"/>
                      <w:marBottom w:val="0"/>
                      <w:divBdr>
                        <w:top w:val="none" w:sz="0" w:space="0" w:color="auto"/>
                        <w:left w:val="none" w:sz="0" w:space="0" w:color="auto"/>
                        <w:bottom w:val="none" w:sz="0" w:space="0" w:color="auto"/>
                        <w:right w:val="none" w:sz="0" w:space="0" w:color="auto"/>
                      </w:divBdr>
                    </w:div>
                    <w:div w:id="1556819679">
                      <w:marLeft w:val="0"/>
                      <w:marRight w:val="0"/>
                      <w:marTop w:val="0"/>
                      <w:marBottom w:val="0"/>
                      <w:divBdr>
                        <w:top w:val="none" w:sz="0" w:space="0" w:color="auto"/>
                        <w:left w:val="none" w:sz="0" w:space="0" w:color="auto"/>
                        <w:bottom w:val="none" w:sz="0" w:space="0" w:color="auto"/>
                        <w:right w:val="none" w:sz="0" w:space="0" w:color="auto"/>
                      </w:divBdr>
                    </w:div>
                  </w:divsChild>
                </w:div>
                <w:div w:id="817575556">
                  <w:marLeft w:val="0"/>
                  <w:marRight w:val="0"/>
                  <w:marTop w:val="0"/>
                  <w:marBottom w:val="0"/>
                  <w:divBdr>
                    <w:top w:val="none" w:sz="0" w:space="0" w:color="auto"/>
                    <w:left w:val="none" w:sz="0" w:space="0" w:color="auto"/>
                    <w:bottom w:val="none" w:sz="0" w:space="0" w:color="auto"/>
                    <w:right w:val="none" w:sz="0" w:space="0" w:color="auto"/>
                  </w:divBdr>
                  <w:divsChild>
                    <w:div w:id="1647055044">
                      <w:marLeft w:val="0"/>
                      <w:marRight w:val="0"/>
                      <w:marTop w:val="0"/>
                      <w:marBottom w:val="0"/>
                      <w:divBdr>
                        <w:top w:val="none" w:sz="0" w:space="0" w:color="auto"/>
                        <w:left w:val="none" w:sz="0" w:space="0" w:color="auto"/>
                        <w:bottom w:val="none" w:sz="0" w:space="0" w:color="auto"/>
                        <w:right w:val="none" w:sz="0" w:space="0" w:color="auto"/>
                      </w:divBdr>
                    </w:div>
                  </w:divsChild>
                </w:div>
                <w:div w:id="826944677">
                  <w:marLeft w:val="0"/>
                  <w:marRight w:val="0"/>
                  <w:marTop w:val="0"/>
                  <w:marBottom w:val="0"/>
                  <w:divBdr>
                    <w:top w:val="none" w:sz="0" w:space="0" w:color="auto"/>
                    <w:left w:val="none" w:sz="0" w:space="0" w:color="auto"/>
                    <w:bottom w:val="none" w:sz="0" w:space="0" w:color="auto"/>
                    <w:right w:val="none" w:sz="0" w:space="0" w:color="auto"/>
                  </w:divBdr>
                  <w:divsChild>
                    <w:div w:id="1116020666">
                      <w:marLeft w:val="0"/>
                      <w:marRight w:val="0"/>
                      <w:marTop w:val="0"/>
                      <w:marBottom w:val="0"/>
                      <w:divBdr>
                        <w:top w:val="none" w:sz="0" w:space="0" w:color="auto"/>
                        <w:left w:val="none" w:sz="0" w:space="0" w:color="auto"/>
                        <w:bottom w:val="none" w:sz="0" w:space="0" w:color="auto"/>
                        <w:right w:val="none" w:sz="0" w:space="0" w:color="auto"/>
                      </w:divBdr>
                    </w:div>
                  </w:divsChild>
                </w:div>
                <w:div w:id="831600385">
                  <w:marLeft w:val="0"/>
                  <w:marRight w:val="0"/>
                  <w:marTop w:val="0"/>
                  <w:marBottom w:val="0"/>
                  <w:divBdr>
                    <w:top w:val="none" w:sz="0" w:space="0" w:color="auto"/>
                    <w:left w:val="none" w:sz="0" w:space="0" w:color="auto"/>
                    <w:bottom w:val="none" w:sz="0" w:space="0" w:color="auto"/>
                    <w:right w:val="none" w:sz="0" w:space="0" w:color="auto"/>
                  </w:divBdr>
                  <w:divsChild>
                    <w:div w:id="256325767">
                      <w:marLeft w:val="0"/>
                      <w:marRight w:val="0"/>
                      <w:marTop w:val="0"/>
                      <w:marBottom w:val="0"/>
                      <w:divBdr>
                        <w:top w:val="none" w:sz="0" w:space="0" w:color="auto"/>
                        <w:left w:val="none" w:sz="0" w:space="0" w:color="auto"/>
                        <w:bottom w:val="none" w:sz="0" w:space="0" w:color="auto"/>
                        <w:right w:val="none" w:sz="0" w:space="0" w:color="auto"/>
                      </w:divBdr>
                    </w:div>
                  </w:divsChild>
                </w:div>
                <w:div w:id="833447153">
                  <w:marLeft w:val="0"/>
                  <w:marRight w:val="0"/>
                  <w:marTop w:val="0"/>
                  <w:marBottom w:val="0"/>
                  <w:divBdr>
                    <w:top w:val="none" w:sz="0" w:space="0" w:color="auto"/>
                    <w:left w:val="none" w:sz="0" w:space="0" w:color="auto"/>
                    <w:bottom w:val="none" w:sz="0" w:space="0" w:color="auto"/>
                    <w:right w:val="none" w:sz="0" w:space="0" w:color="auto"/>
                  </w:divBdr>
                  <w:divsChild>
                    <w:div w:id="693969026">
                      <w:marLeft w:val="0"/>
                      <w:marRight w:val="0"/>
                      <w:marTop w:val="0"/>
                      <w:marBottom w:val="0"/>
                      <w:divBdr>
                        <w:top w:val="none" w:sz="0" w:space="0" w:color="auto"/>
                        <w:left w:val="none" w:sz="0" w:space="0" w:color="auto"/>
                        <w:bottom w:val="none" w:sz="0" w:space="0" w:color="auto"/>
                        <w:right w:val="none" w:sz="0" w:space="0" w:color="auto"/>
                      </w:divBdr>
                    </w:div>
                  </w:divsChild>
                </w:div>
                <w:div w:id="838496509">
                  <w:marLeft w:val="0"/>
                  <w:marRight w:val="0"/>
                  <w:marTop w:val="0"/>
                  <w:marBottom w:val="0"/>
                  <w:divBdr>
                    <w:top w:val="none" w:sz="0" w:space="0" w:color="auto"/>
                    <w:left w:val="none" w:sz="0" w:space="0" w:color="auto"/>
                    <w:bottom w:val="none" w:sz="0" w:space="0" w:color="auto"/>
                    <w:right w:val="none" w:sz="0" w:space="0" w:color="auto"/>
                  </w:divBdr>
                  <w:divsChild>
                    <w:div w:id="1512598063">
                      <w:marLeft w:val="0"/>
                      <w:marRight w:val="0"/>
                      <w:marTop w:val="0"/>
                      <w:marBottom w:val="0"/>
                      <w:divBdr>
                        <w:top w:val="none" w:sz="0" w:space="0" w:color="auto"/>
                        <w:left w:val="none" w:sz="0" w:space="0" w:color="auto"/>
                        <w:bottom w:val="none" w:sz="0" w:space="0" w:color="auto"/>
                        <w:right w:val="none" w:sz="0" w:space="0" w:color="auto"/>
                      </w:divBdr>
                    </w:div>
                  </w:divsChild>
                </w:div>
                <w:div w:id="843130696">
                  <w:marLeft w:val="0"/>
                  <w:marRight w:val="0"/>
                  <w:marTop w:val="0"/>
                  <w:marBottom w:val="0"/>
                  <w:divBdr>
                    <w:top w:val="none" w:sz="0" w:space="0" w:color="auto"/>
                    <w:left w:val="none" w:sz="0" w:space="0" w:color="auto"/>
                    <w:bottom w:val="none" w:sz="0" w:space="0" w:color="auto"/>
                    <w:right w:val="none" w:sz="0" w:space="0" w:color="auto"/>
                  </w:divBdr>
                  <w:divsChild>
                    <w:div w:id="506947909">
                      <w:marLeft w:val="0"/>
                      <w:marRight w:val="0"/>
                      <w:marTop w:val="0"/>
                      <w:marBottom w:val="0"/>
                      <w:divBdr>
                        <w:top w:val="none" w:sz="0" w:space="0" w:color="auto"/>
                        <w:left w:val="none" w:sz="0" w:space="0" w:color="auto"/>
                        <w:bottom w:val="none" w:sz="0" w:space="0" w:color="auto"/>
                        <w:right w:val="none" w:sz="0" w:space="0" w:color="auto"/>
                      </w:divBdr>
                    </w:div>
                  </w:divsChild>
                </w:div>
                <w:div w:id="845949153">
                  <w:marLeft w:val="0"/>
                  <w:marRight w:val="0"/>
                  <w:marTop w:val="0"/>
                  <w:marBottom w:val="0"/>
                  <w:divBdr>
                    <w:top w:val="none" w:sz="0" w:space="0" w:color="auto"/>
                    <w:left w:val="none" w:sz="0" w:space="0" w:color="auto"/>
                    <w:bottom w:val="none" w:sz="0" w:space="0" w:color="auto"/>
                    <w:right w:val="none" w:sz="0" w:space="0" w:color="auto"/>
                  </w:divBdr>
                  <w:divsChild>
                    <w:div w:id="1388382243">
                      <w:marLeft w:val="0"/>
                      <w:marRight w:val="0"/>
                      <w:marTop w:val="0"/>
                      <w:marBottom w:val="0"/>
                      <w:divBdr>
                        <w:top w:val="none" w:sz="0" w:space="0" w:color="auto"/>
                        <w:left w:val="none" w:sz="0" w:space="0" w:color="auto"/>
                        <w:bottom w:val="none" w:sz="0" w:space="0" w:color="auto"/>
                        <w:right w:val="none" w:sz="0" w:space="0" w:color="auto"/>
                      </w:divBdr>
                    </w:div>
                  </w:divsChild>
                </w:div>
                <w:div w:id="849026171">
                  <w:marLeft w:val="0"/>
                  <w:marRight w:val="0"/>
                  <w:marTop w:val="0"/>
                  <w:marBottom w:val="0"/>
                  <w:divBdr>
                    <w:top w:val="none" w:sz="0" w:space="0" w:color="auto"/>
                    <w:left w:val="none" w:sz="0" w:space="0" w:color="auto"/>
                    <w:bottom w:val="none" w:sz="0" w:space="0" w:color="auto"/>
                    <w:right w:val="none" w:sz="0" w:space="0" w:color="auto"/>
                  </w:divBdr>
                  <w:divsChild>
                    <w:div w:id="63458501">
                      <w:marLeft w:val="0"/>
                      <w:marRight w:val="0"/>
                      <w:marTop w:val="0"/>
                      <w:marBottom w:val="0"/>
                      <w:divBdr>
                        <w:top w:val="none" w:sz="0" w:space="0" w:color="auto"/>
                        <w:left w:val="none" w:sz="0" w:space="0" w:color="auto"/>
                        <w:bottom w:val="none" w:sz="0" w:space="0" w:color="auto"/>
                        <w:right w:val="none" w:sz="0" w:space="0" w:color="auto"/>
                      </w:divBdr>
                    </w:div>
                    <w:div w:id="302077654">
                      <w:marLeft w:val="0"/>
                      <w:marRight w:val="0"/>
                      <w:marTop w:val="0"/>
                      <w:marBottom w:val="0"/>
                      <w:divBdr>
                        <w:top w:val="none" w:sz="0" w:space="0" w:color="auto"/>
                        <w:left w:val="none" w:sz="0" w:space="0" w:color="auto"/>
                        <w:bottom w:val="none" w:sz="0" w:space="0" w:color="auto"/>
                        <w:right w:val="none" w:sz="0" w:space="0" w:color="auto"/>
                      </w:divBdr>
                    </w:div>
                    <w:div w:id="547038458">
                      <w:marLeft w:val="0"/>
                      <w:marRight w:val="0"/>
                      <w:marTop w:val="0"/>
                      <w:marBottom w:val="0"/>
                      <w:divBdr>
                        <w:top w:val="none" w:sz="0" w:space="0" w:color="auto"/>
                        <w:left w:val="none" w:sz="0" w:space="0" w:color="auto"/>
                        <w:bottom w:val="none" w:sz="0" w:space="0" w:color="auto"/>
                        <w:right w:val="none" w:sz="0" w:space="0" w:color="auto"/>
                      </w:divBdr>
                    </w:div>
                    <w:div w:id="635524067">
                      <w:marLeft w:val="0"/>
                      <w:marRight w:val="0"/>
                      <w:marTop w:val="0"/>
                      <w:marBottom w:val="0"/>
                      <w:divBdr>
                        <w:top w:val="none" w:sz="0" w:space="0" w:color="auto"/>
                        <w:left w:val="none" w:sz="0" w:space="0" w:color="auto"/>
                        <w:bottom w:val="none" w:sz="0" w:space="0" w:color="auto"/>
                        <w:right w:val="none" w:sz="0" w:space="0" w:color="auto"/>
                      </w:divBdr>
                    </w:div>
                    <w:div w:id="763956820">
                      <w:marLeft w:val="0"/>
                      <w:marRight w:val="0"/>
                      <w:marTop w:val="0"/>
                      <w:marBottom w:val="0"/>
                      <w:divBdr>
                        <w:top w:val="none" w:sz="0" w:space="0" w:color="auto"/>
                        <w:left w:val="none" w:sz="0" w:space="0" w:color="auto"/>
                        <w:bottom w:val="none" w:sz="0" w:space="0" w:color="auto"/>
                        <w:right w:val="none" w:sz="0" w:space="0" w:color="auto"/>
                      </w:divBdr>
                    </w:div>
                    <w:div w:id="1392928147">
                      <w:marLeft w:val="0"/>
                      <w:marRight w:val="0"/>
                      <w:marTop w:val="0"/>
                      <w:marBottom w:val="0"/>
                      <w:divBdr>
                        <w:top w:val="none" w:sz="0" w:space="0" w:color="auto"/>
                        <w:left w:val="none" w:sz="0" w:space="0" w:color="auto"/>
                        <w:bottom w:val="none" w:sz="0" w:space="0" w:color="auto"/>
                        <w:right w:val="none" w:sz="0" w:space="0" w:color="auto"/>
                      </w:divBdr>
                    </w:div>
                    <w:div w:id="1555390559">
                      <w:marLeft w:val="0"/>
                      <w:marRight w:val="0"/>
                      <w:marTop w:val="0"/>
                      <w:marBottom w:val="0"/>
                      <w:divBdr>
                        <w:top w:val="none" w:sz="0" w:space="0" w:color="auto"/>
                        <w:left w:val="none" w:sz="0" w:space="0" w:color="auto"/>
                        <w:bottom w:val="none" w:sz="0" w:space="0" w:color="auto"/>
                        <w:right w:val="none" w:sz="0" w:space="0" w:color="auto"/>
                      </w:divBdr>
                    </w:div>
                    <w:div w:id="1612394958">
                      <w:marLeft w:val="0"/>
                      <w:marRight w:val="0"/>
                      <w:marTop w:val="0"/>
                      <w:marBottom w:val="0"/>
                      <w:divBdr>
                        <w:top w:val="none" w:sz="0" w:space="0" w:color="auto"/>
                        <w:left w:val="none" w:sz="0" w:space="0" w:color="auto"/>
                        <w:bottom w:val="none" w:sz="0" w:space="0" w:color="auto"/>
                        <w:right w:val="none" w:sz="0" w:space="0" w:color="auto"/>
                      </w:divBdr>
                    </w:div>
                    <w:div w:id="2042321403">
                      <w:marLeft w:val="0"/>
                      <w:marRight w:val="0"/>
                      <w:marTop w:val="0"/>
                      <w:marBottom w:val="0"/>
                      <w:divBdr>
                        <w:top w:val="none" w:sz="0" w:space="0" w:color="auto"/>
                        <w:left w:val="none" w:sz="0" w:space="0" w:color="auto"/>
                        <w:bottom w:val="none" w:sz="0" w:space="0" w:color="auto"/>
                        <w:right w:val="none" w:sz="0" w:space="0" w:color="auto"/>
                      </w:divBdr>
                    </w:div>
                  </w:divsChild>
                </w:div>
                <w:div w:id="850142360">
                  <w:marLeft w:val="0"/>
                  <w:marRight w:val="0"/>
                  <w:marTop w:val="0"/>
                  <w:marBottom w:val="0"/>
                  <w:divBdr>
                    <w:top w:val="none" w:sz="0" w:space="0" w:color="auto"/>
                    <w:left w:val="none" w:sz="0" w:space="0" w:color="auto"/>
                    <w:bottom w:val="none" w:sz="0" w:space="0" w:color="auto"/>
                    <w:right w:val="none" w:sz="0" w:space="0" w:color="auto"/>
                  </w:divBdr>
                  <w:divsChild>
                    <w:div w:id="963659068">
                      <w:marLeft w:val="0"/>
                      <w:marRight w:val="0"/>
                      <w:marTop w:val="0"/>
                      <w:marBottom w:val="0"/>
                      <w:divBdr>
                        <w:top w:val="none" w:sz="0" w:space="0" w:color="auto"/>
                        <w:left w:val="none" w:sz="0" w:space="0" w:color="auto"/>
                        <w:bottom w:val="none" w:sz="0" w:space="0" w:color="auto"/>
                        <w:right w:val="none" w:sz="0" w:space="0" w:color="auto"/>
                      </w:divBdr>
                    </w:div>
                  </w:divsChild>
                </w:div>
                <w:div w:id="864756687">
                  <w:marLeft w:val="0"/>
                  <w:marRight w:val="0"/>
                  <w:marTop w:val="0"/>
                  <w:marBottom w:val="0"/>
                  <w:divBdr>
                    <w:top w:val="none" w:sz="0" w:space="0" w:color="auto"/>
                    <w:left w:val="none" w:sz="0" w:space="0" w:color="auto"/>
                    <w:bottom w:val="none" w:sz="0" w:space="0" w:color="auto"/>
                    <w:right w:val="none" w:sz="0" w:space="0" w:color="auto"/>
                  </w:divBdr>
                  <w:divsChild>
                    <w:div w:id="1966152006">
                      <w:marLeft w:val="0"/>
                      <w:marRight w:val="0"/>
                      <w:marTop w:val="0"/>
                      <w:marBottom w:val="0"/>
                      <w:divBdr>
                        <w:top w:val="none" w:sz="0" w:space="0" w:color="auto"/>
                        <w:left w:val="none" w:sz="0" w:space="0" w:color="auto"/>
                        <w:bottom w:val="none" w:sz="0" w:space="0" w:color="auto"/>
                        <w:right w:val="none" w:sz="0" w:space="0" w:color="auto"/>
                      </w:divBdr>
                    </w:div>
                  </w:divsChild>
                </w:div>
                <w:div w:id="871454938">
                  <w:marLeft w:val="0"/>
                  <w:marRight w:val="0"/>
                  <w:marTop w:val="0"/>
                  <w:marBottom w:val="0"/>
                  <w:divBdr>
                    <w:top w:val="none" w:sz="0" w:space="0" w:color="auto"/>
                    <w:left w:val="none" w:sz="0" w:space="0" w:color="auto"/>
                    <w:bottom w:val="none" w:sz="0" w:space="0" w:color="auto"/>
                    <w:right w:val="none" w:sz="0" w:space="0" w:color="auto"/>
                  </w:divBdr>
                  <w:divsChild>
                    <w:div w:id="1570920679">
                      <w:marLeft w:val="0"/>
                      <w:marRight w:val="0"/>
                      <w:marTop w:val="0"/>
                      <w:marBottom w:val="0"/>
                      <w:divBdr>
                        <w:top w:val="none" w:sz="0" w:space="0" w:color="auto"/>
                        <w:left w:val="none" w:sz="0" w:space="0" w:color="auto"/>
                        <w:bottom w:val="none" w:sz="0" w:space="0" w:color="auto"/>
                        <w:right w:val="none" w:sz="0" w:space="0" w:color="auto"/>
                      </w:divBdr>
                    </w:div>
                  </w:divsChild>
                </w:div>
                <w:div w:id="875896203">
                  <w:marLeft w:val="0"/>
                  <w:marRight w:val="0"/>
                  <w:marTop w:val="0"/>
                  <w:marBottom w:val="0"/>
                  <w:divBdr>
                    <w:top w:val="none" w:sz="0" w:space="0" w:color="auto"/>
                    <w:left w:val="none" w:sz="0" w:space="0" w:color="auto"/>
                    <w:bottom w:val="none" w:sz="0" w:space="0" w:color="auto"/>
                    <w:right w:val="none" w:sz="0" w:space="0" w:color="auto"/>
                  </w:divBdr>
                  <w:divsChild>
                    <w:div w:id="854882007">
                      <w:marLeft w:val="0"/>
                      <w:marRight w:val="0"/>
                      <w:marTop w:val="0"/>
                      <w:marBottom w:val="0"/>
                      <w:divBdr>
                        <w:top w:val="none" w:sz="0" w:space="0" w:color="auto"/>
                        <w:left w:val="none" w:sz="0" w:space="0" w:color="auto"/>
                        <w:bottom w:val="none" w:sz="0" w:space="0" w:color="auto"/>
                        <w:right w:val="none" w:sz="0" w:space="0" w:color="auto"/>
                      </w:divBdr>
                    </w:div>
                  </w:divsChild>
                </w:div>
                <w:div w:id="878397262">
                  <w:marLeft w:val="0"/>
                  <w:marRight w:val="0"/>
                  <w:marTop w:val="0"/>
                  <w:marBottom w:val="0"/>
                  <w:divBdr>
                    <w:top w:val="none" w:sz="0" w:space="0" w:color="auto"/>
                    <w:left w:val="none" w:sz="0" w:space="0" w:color="auto"/>
                    <w:bottom w:val="none" w:sz="0" w:space="0" w:color="auto"/>
                    <w:right w:val="none" w:sz="0" w:space="0" w:color="auto"/>
                  </w:divBdr>
                  <w:divsChild>
                    <w:div w:id="2008049773">
                      <w:marLeft w:val="0"/>
                      <w:marRight w:val="0"/>
                      <w:marTop w:val="0"/>
                      <w:marBottom w:val="0"/>
                      <w:divBdr>
                        <w:top w:val="none" w:sz="0" w:space="0" w:color="auto"/>
                        <w:left w:val="none" w:sz="0" w:space="0" w:color="auto"/>
                        <w:bottom w:val="none" w:sz="0" w:space="0" w:color="auto"/>
                        <w:right w:val="none" w:sz="0" w:space="0" w:color="auto"/>
                      </w:divBdr>
                    </w:div>
                  </w:divsChild>
                </w:div>
                <w:div w:id="892473468">
                  <w:marLeft w:val="0"/>
                  <w:marRight w:val="0"/>
                  <w:marTop w:val="0"/>
                  <w:marBottom w:val="0"/>
                  <w:divBdr>
                    <w:top w:val="none" w:sz="0" w:space="0" w:color="auto"/>
                    <w:left w:val="none" w:sz="0" w:space="0" w:color="auto"/>
                    <w:bottom w:val="none" w:sz="0" w:space="0" w:color="auto"/>
                    <w:right w:val="none" w:sz="0" w:space="0" w:color="auto"/>
                  </w:divBdr>
                  <w:divsChild>
                    <w:div w:id="1456757985">
                      <w:marLeft w:val="0"/>
                      <w:marRight w:val="0"/>
                      <w:marTop w:val="0"/>
                      <w:marBottom w:val="0"/>
                      <w:divBdr>
                        <w:top w:val="none" w:sz="0" w:space="0" w:color="auto"/>
                        <w:left w:val="none" w:sz="0" w:space="0" w:color="auto"/>
                        <w:bottom w:val="none" w:sz="0" w:space="0" w:color="auto"/>
                        <w:right w:val="none" w:sz="0" w:space="0" w:color="auto"/>
                      </w:divBdr>
                    </w:div>
                  </w:divsChild>
                </w:div>
                <w:div w:id="894394241">
                  <w:marLeft w:val="0"/>
                  <w:marRight w:val="0"/>
                  <w:marTop w:val="0"/>
                  <w:marBottom w:val="0"/>
                  <w:divBdr>
                    <w:top w:val="none" w:sz="0" w:space="0" w:color="auto"/>
                    <w:left w:val="none" w:sz="0" w:space="0" w:color="auto"/>
                    <w:bottom w:val="none" w:sz="0" w:space="0" w:color="auto"/>
                    <w:right w:val="none" w:sz="0" w:space="0" w:color="auto"/>
                  </w:divBdr>
                  <w:divsChild>
                    <w:div w:id="854536227">
                      <w:marLeft w:val="0"/>
                      <w:marRight w:val="0"/>
                      <w:marTop w:val="0"/>
                      <w:marBottom w:val="0"/>
                      <w:divBdr>
                        <w:top w:val="none" w:sz="0" w:space="0" w:color="auto"/>
                        <w:left w:val="none" w:sz="0" w:space="0" w:color="auto"/>
                        <w:bottom w:val="none" w:sz="0" w:space="0" w:color="auto"/>
                        <w:right w:val="none" w:sz="0" w:space="0" w:color="auto"/>
                      </w:divBdr>
                    </w:div>
                  </w:divsChild>
                </w:div>
                <w:div w:id="902104988">
                  <w:marLeft w:val="0"/>
                  <w:marRight w:val="0"/>
                  <w:marTop w:val="0"/>
                  <w:marBottom w:val="0"/>
                  <w:divBdr>
                    <w:top w:val="none" w:sz="0" w:space="0" w:color="auto"/>
                    <w:left w:val="none" w:sz="0" w:space="0" w:color="auto"/>
                    <w:bottom w:val="none" w:sz="0" w:space="0" w:color="auto"/>
                    <w:right w:val="none" w:sz="0" w:space="0" w:color="auto"/>
                  </w:divBdr>
                  <w:divsChild>
                    <w:div w:id="428888688">
                      <w:marLeft w:val="0"/>
                      <w:marRight w:val="0"/>
                      <w:marTop w:val="0"/>
                      <w:marBottom w:val="0"/>
                      <w:divBdr>
                        <w:top w:val="none" w:sz="0" w:space="0" w:color="auto"/>
                        <w:left w:val="none" w:sz="0" w:space="0" w:color="auto"/>
                        <w:bottom w:val="none" w:sz="0" w:space="0" w:color="auto"/>
                        <w:right w:val="none" w:sz="0" w:space="0" w:color="auto"/>
                      </w:divBdr>
                    </w:div>
                  </w:divsChild>
                </w:div>
                <w:div w:id="904754605">
                  <w:marLeft w:val="0"/>
                  <w:marRight w:val="0"/>
                  <w:marTop w:val="0"/>
                  <w:marBottom w:val="0"/>
                  <w:divBdr>
                    <w:top w:val="none" w:sz="0" w:space="0" w:color="auto"/>
                    <w:left w:val="none" w:sz="0" w:space="0" w:color="auto"/>
                    <w:bottom w:val="none" w:sz="0" w:space="0" w:color="auto"/>
                    <w:right w:val="none" w:sz="0" w:space="0" w:color="auto"/>
                  </w:divBdr>
                  <w:divsChild>
                    <w:div w:id="2044868223">
                      <w:marLeft w:val="0"/>
                      <w:marRight w:val="0"/>
                      <w:marTop w:val="0"/>
                      <w:marBottom w:val="0"/>
                      <w:divBdr>
                        <w:top w:val="none" w:sz="0" w:space="0" w:color="auto"/>
                        <w:left w:val="none" w:sz="0" w:space="0" w:color="auto"/>
                        <w:bottom w:val="none" w:sz="0" w:space="0" w:color="auto"/>
                        <w:right w:val="none" w:sz="0" w:space="0" w:color="auto"/>
                      </w:divBdr>
                    </w:div>
                  </w:divsChild>
                </w:div>
                <w:div w:id="906383988">
                  <w:marLeft w:val="0"/>
                  <w:marRight w:val="0"/>
                  <w:marTop w:val="0"/>
                  <w:marBottom w:val="0"/>
                  <w:divBdr>
                    <w:top w:val="none" w:sz="0" w:space="0" w:color="auto"/>
                    <w:left w:val="none" w:sz="0" w:space="0" w:color="auto"/>
                    <w:bottom w:val="none" w:sz="0" w:space="0" w:color="auto"/>
                    <w:right w:val="none" w:sz="0" w:space="0" w:color="auto"/>
                  </w:divBdr>
                  <w:divsChild>
                    <w:div w:id="1774593862">
                      <w:marLeft w:val="0"/>
                      <w:marRight w:val="0"/>
                      <w:marTop w:val="0"/>
                      <w:marBottom w:val="0"/>
                      <w:divBdr>
                        <w:top w:val="none" w:sz="0" w:space="0" w:color="auto"/>
                        <w:left w:val="none" w:sz="0" w:space="0" w:color="auto"/>
                        <w:bottom w:val="none" w:sz="0" w:space="0" w:color="auto"/>
                        <w:right w:val="none" w:sz="0" w:space="0" w:color="auto"/>
                      </w:divBdr>
                    </w:div>
                  </w:divsChild>
                </w:div>
                <w:div w:id="910046768">
                  <w:marLeft w:val="0"/>
                  <w:marRight w:val="0"/>
                  <w:marTop w:val="0"/>
                  <w:marBottom w:val="0"/>
                  <w:divBdr>
                    <w:top w:val="none" w:sz="0" w:space="0" w:color="auto"/>
                    <w:left w:val="none" w:sz="0" w:space="0" w:color="auto"/>
                    <w:bottom w:val="none" w:sz="0" w:space="0" w:color="auto"/>
                    <w:right w:val="none" w:sz="0" w:space="0" w:color="auto"/>
                  </w:divBdr>
                  <w:divsChild>
                    <w:div w:id="1347176371">
                      <w:marLeft w:val="0"/>
                      <w:marRight w:val="0"/>
                      <w:marTop w:val="0"/>
                      <w:marBottom w:val="0"/>
                      <w:divBdr>
                        <w:top w:val="none" w:sz="0" w:space="0" w:color="auto"/>
                        <w:left w:val="none" w:sz="0" w:space="0" w:color="auto"/>
                        <w:bottom w:val="none" w:sz="0" w:space="0" w:color="auto"/>
                        <w:right w:val="none" w:sz="0" w:space="0" w:color="auto"/>
                      </w:divBdr>
                    </w:div>
                  </w:divsChild>
                </w:div>
                <w:div w:id="914096685">
                  <w:marLeft w:val="0"/>
                  <w:marRight w:val="0"/>
                  <w:marTop w:val="0"/>
                  <w:marBottom w:val="0"/>
                  <w:divBdr>
                    <w:top w:val="none" w:sz="0" w:space="0" w:color="auto"/>
                    <w:left w:val="none" w:sz="0" w:space="0" w:color="auto"/>
                    <w:bottom w:val="none" w:sz="0" w:space="0" w:color="auto"/>
                    <w:right w:val="none" w:sz="0" w:space="0" w:color="auto"/>
                  </w:divBdr>
                  <w:divsChild>
                    <w:div w:id="1981691746">
                      <w:marLeft w:val="0"/>
                      <w:marRight w:val="0"/>
                      <w:marTop w:val="0"/>
                      <w:marBottom w:val="0"/>
                      <w:divBdr>
                        <w:top w:val="none" w:sz="0" w:space="0" w:color="auto"/>
                        <w:left w:val="none" w:sz="0" w:space="0" w:color="auto"/>
                        <w:bottom w:val="none" w:sz="0" w:space="0" w:color="auto"/>
                        <w:right w:val="none" w:sz="0" w:space="0" w:color="auto"/>
                      </w:divBdr>
                    </w:div>
                  </w:divsChild>
                </w:div>
                <w:div w:id="915280854">
                  <w:marLeft w:val="0"/>
                  <w:marRight w:val="0"/>
                  <w:marTop w:val="0"/>
                  <w:marBottom w:val="0"/>
                  <w:divBdr>
                    <w:top w:val="none" w:sz="0" w:space="0" w:color="auto"/>
                    <w:left w:val="none" w:sz="0" w:space="0" w:color="auto"/>
                    <w:bottom w:val="none" w:sz="0" w:space="0" w:color="auto"/>
                    <w:right w:val="none" w:sz="0" w:space="0" w:color="auto"/>
                  </w:divBdr>
                  <w:divsChild>
                    <w:div w:id="1985085948">
                      <w:marLeft w:val="0"/>
                      <w:marRight w:val="0"/>
                      <w:marTop w:val="0"/>
                      <w:marBottom w:val="0"/>
                      <w:divBdr>
                        <w:top w:val="none" w:sz="0" w:space="0" w:color="auto"/>
                        <w:left w:val="none" w:sz="0" w:space="0" w:color="auto"/>
                        <w:bottom w:val="none" w:sz="0" w:space="0" w:color="auto"/>
                        <w:right w:val="none" w:sz="0" w:space="0" w:color="auto"/>
                      </w:divBdr>
                    </w:div>
                  </w:divsChild>
                </w:div>
                <w:div w:id="917713466">
                  <w:marLeft w:val="0"/>
                  <w:marRight w:val="0"/>
                  <w:marTop w:val="0"/>
                  <w:marBottom w:val="0"/>
                  <w:divBdr>
                    <w:top w:val="none" w:sz="0" w:space="0" w:color="auto"/>
                    <w:left w:val="none" w:sz="0" w:space="0" w:color="auto"/>
                    <w:bottom w:val="none" w:sz="0" w:space="0" w:color="auto"/>
                    <w:right w:val="none" w:sz="0" w:space="0" w:color="auto"/>
                  </w:divBdr>
                  <w:divsChild>
                    <w:div w:id="382214861">
                      <w:marLeft w:val="0"/>
                      <w:marRight w:val="0"/>
                      <w:marTop w:val="0"/>
                      <w:marBottom w:val="0"/>
                      <w:divBdr>
                        <w:top w:val="none" w:sz="0" w:space="0" w:color="auto"/>
                        <w:left w:val="none" w:sz="0" w:space="0" w:color="auto"/>
                        <w:bottom w:val="none" w:sz="0" w:space="0" w:color="auto"/>
                        <w:right w:val="none" w:sz="0" w:space="0" w:color="auto"/>
                      </w:divBdr>
                    </w:div>
                  </w:divsChild>
                </w:div>
                <w:div w:id="932326050">
                  <w:marLeft w:val="0"/>
                  <w:marRight w:val="0"/>
                  <w:marTop w:val="0"/>
                  <w:marBottom w:val="0"/>
                  <w:divBdr>
                    <w:top w:val="none" w:sz="0" w:space="0" w:color="auto"/>
                    <w:left w:val="none" w:sz="0" w:space="0" w:color="auto"/>
                    <w:bottom w:val="none" w:sz="0" w:space="0" w:color="auto"/>
                    <w:right w:val="none" w:sz="0" w:space="0" w:color="auto"/>
                  </w:divBdr>
                  <w:divsChild>
                    <w:div w:id="1049035798">
                      <w:marLeft w:val="0"/>
                      <w:marRight w:val="0"/>
                      <w:marTop w:val="0"/>
                      <w:marBottom w:val="0"/>
                      <w:divBdr>
                        <w:top w:val="none" w:sz="0" w:space="0" w:color="auto"/>
                        <w:left w:val="none" w:sz="0" w:space="0" w:color="auto"/>
                        <w:bottom w:val="none" w:sz="0" w:space="0" w:color="auto"/>
                        <w:right w:val="none" w:sz="0" w:space="0" w:color="auto"/>
                      </w:divBdr>
                    </w:div>
                  </w:divsChild>
                </w:div>
                <w:div w:id="934049277">
                  <w:marLeft w:val="0"/>
                  <w:marRight w:val="0"/>
                  <w:marTop w:val="0"/>
                  <w:marBottom w:val="0"/>
                  <w:divBdr>
                    <w:top w:val="none" w:sz="0" w:space="0" w:color="auto"/>
                    <w:left w:val="none" w:sz="0" w:space="0" w:color="auto"/>
                    <w:bottom w:val="none" w:sz="0" w:space="0" w:color="auto"/>
                    <w:right w:val="none" w:sz="0" w:space="0" w:color="auto"/>
                  </w:divBdr>
                  <w:divsChild>
                    <w:div w:id="938950335">
                      <w:marLeft w:val="0"/>
                      <w:marRight w:val="0"/>
                      <w:marTop w:val="0"/>
                      <w:marBottom w:val="0"/>
                      <w:divBdr>
                        <w:top w:val="none" w:sz="0" w:space="0" w:color="auto"/>
                        <w:left w:val="none" w:sz="0" w:space="0" w:color="auto"/>
                        <w:bottom w:val="none" w:sz="0" w:space="0" w:color="auto"/>
                        <w:right w:val="none" w:sz="0" w:space="0" w:color="auto"/>
                      </w:divBdr>
                    </w:div>
                  </w:divsChild>
                </w:div>
                <w:div w:id="934247349">
                  <w:marLeft w:val="0"/>
                  <w:marRight w:val="0"/>
                  <w:marTop w:val="0"/>
                  <w:marBottom w:val="0"/>
                  <w:divBdr>
                    <w:top w:val="none" w:sz="0" w:space="0" w:color="auto"/>
                    <w:left w:val="none" w:sz="0" w:space="0" w:color="auto"/>
                    <w:bottom w:val="none" w:sz="0" w:space="0" w:color="auto"/>
                    <w:right w:val="none" w:sz="0" w:space="0" w:color="auto"/>
                  </w:divBdr>
                  <w:divsChild>
                    <w:div w:id="1161434575">
                      <w:marLeft w:val="0"/>
                      <w:marRight w:val="0"/>
                      <w:marTop w:val="0"/>
                      <w:marBottom w:val="0"/>
                      <w:divBdr>
                        <w:top w:val="none" w:sz="0" w:space="0" w:color="auto"/>
                        <w:left w:val="none" w:sz="0" w:space="0" w:color="auto"/>
                        <w:bottom w:val="none" w:sz="0" w:space="0" w:color="auto"/>
                        <w:right w:val="none" w:sz="0" w:space="0" w:color="auto"/>
                      </w:divBdr>
                    </w:div>
                  </w:divsChild>
                </w:div>
                <w:div w:id="935552134">
                  <w:marLeft w:val="0"/>
                  <w:marRight w:val="0"/>
                  <w:marTop w:val="0"/>
                  <w:marBottom w:val="0"/>
                  <w:divBdr>
                    <w:top w:val="none" w:sz="0" w:space="0" w:color="auto"/>
                    <w:left w:val="none" w:sz="0" w:space="0" w:color="auto"/>
                    <w:bottom w:val="none" w:sz="0" w:space="0" w:color="auto"/>
                    <w:right w:val="none" w:sz="0" w:space="0" w:color="auto"/>
                  </w:divBdr>
                  <w:divsChild>
                    <w:div w:id="2050228489">
                      <w:marLeft w:val="0"/>
                      <w:marRight w:val="0"/>
                      <w:marTop w:val="0"/>
                      <w:marBottom w:val="0"/>
                      <w:divBdr>
                        <w:top w:val="none" w:sz="0" w:space="0" w:color="auto"/>
                        <w:left w:val="none" w:sz="0" w:space="0" w:color="auto"/>
                        <w:bottom w:val="none" w:sz="0" w:space="0" w:color="auto"/>
                        <w:right w:val="none" w:sz="0" w:space="0" w:color="auto"/>
                      </w:divBdr>
                    </w:div>
                  </w:divsChild>
                </w:div>
                <w:div w:id="938411918">
                  <w:marLeft w:val="0"/>
                  <w:marRight w:val="0"/>
                  <w:marTop w:val="0"/>
                  <w:marBottom w:val="0"/>
                  <w:divBdr>
                    <w:top w:val="none" w:sz="0" w:space="0" w:color="auto"/>
                    <w:left w:val="none" w:sz="0" w:space="0" w:color="auto"/>
                    <w:bottom w:val="none" w:sz="0" w:space="0" w:color="auto"/>
                    <w:right w:val="none" w:sz="0" w:space="0" w:color="auto"/>
                  </w:divBdr>
                  <w:divsChild>
                    <w:div w:id="752895259">
                      <w:marLeft w:val="0"/>
                      <w:marRight w:val="0"/>
                      <w:marTop w:val="0"/>
                      <w:marBottom w:val="0"/>
                      <w:divBdr>
                        <w:top w:val="none" w:sz="0" w:space="0" w:color="auto"/>
                        <w:left w:val="none" w:sz="0" w:space="0" w:color="auto"/>
                        <w:bottom w:val="none" w:sz="0" w:space="0" w:color="auto"/>
                        <w:right w:val="none" w:sz="0" w:space="0" w:color="auto"/>
                      </w:divBdr>
                    </w:div>
                  </w:divsChild>
                </w:div>
                <w:div w:id="945691882">
                  <w:marLeft w:val="0"/>
                  <w:marRight w:val="0"/>
                  <w:marTop w:val="0"/>
                  <w:marBottom w:val="0"/>
                  <w:divBdr>
                    <w:top w:val="none" w:sz="0" w:space="0" w:color="auto"/>
                    <w:left w:val="none" w:sz="0" w:space="0" w:color="auto"/>
                    <w:bottom w:val="none" w:sz="0" w:space="0" w:color="auto"/>
                    <w:right w:val="none" w:sz="0" w:space="0" w:color="auto"/>
                  </w:divBdr>
                  <w:divsChild>
                    <w:div w:id="172376140">
                      <w:marLeft w:val="0"/>
                      <w:marRight w:val="0"/>
                      <w:marTop w:val="0"/>
                      <w:marBottom w:val="0"/>
                      <w:divBdr>
                        <w:top w:val="none" w:sz="0" w:space="0" w:color="auto"/>
                        <w:left w:val="none" w:sz="0" w:space="0" w:color="auto"/>
                        <w:bottom w:val="none" w:sz="0" w:space="0" w:color="auto"/>
                        <w:right w:val="none" w:sz="0" w:space="0" w:color="auto"/>
                      </w:divBdr>
                    </w:div>
                  </w:divsChild>
                </w:div>
                <w:div w:id="951975977">
                  <w:marLeft w:val="0"/>
                  <w:marRight w:val="0"/>
                  <w:marTop w:val="0"/>
                  <w:marBottom w:val="0"/>
                  <w:divBdr>
                    <w:top w:val="none" w:sz="0" w:space="0" w:color="auto"/>
                    <w:left w:val="none" w:sz="0" w:space="0" w:color="auto"/>
                    <w:bottom w:val="none" w:sz="0" w:space="0" w:color="auto"/>
                    <w:right w:val="none" w:sz="0" w:space="0" w:color="auto"/>
                  </w:divBdr>
                  <w:divsChild>
                    <w:div w:id="1182209988">
                      <w:marLeft w:val="0"/>
                      <w:marRight w:val="0"/>
                      <w:marTop w:val="0"/>
                      <w:marBottom w:val="0"/>
                      <w:divBdr>
                        <w:top w:val="none" w:sz="0" w:space="0" w:color="auto"/>
                        <w:left w:val="none" w:sz="0" w:space="0" w:color="auto"/>
                        <w:bottom w:val="none" w:sz="0" w:space="0" w:color="auto"/>
                        <w:right w:val="none" w:sz="0" w:space="0" w:color="auto"/>
                      </w:divBdr>
                    </w:div>
                  </w:divsChild>
                </w:div>
                <w:div w:id="960771895">
                  <w:marLeft w:val="0"/>
                  <w:marRight w:val="0"/>
                  <w:marTop w:val="0"/>
                  <w:marBottom w:val="0"/>
                  <w:divBdr>
                    <w:top w:val="none" w:sz="0" w:space="0" w:color="auto"/>
                    <w:left w:val="none" w:sz="0" w:space="0" w:color="auto"/>
                    <w:bottom w:val="none" w:sz="0" w:space="0" w:color="auto"/>
                    <w:right w:val="none" w:sz="0" w:space="0" w:color="auto"/>
                  </w:divBdr>
                  <w:divsChild>
                    <w:div w:id="1837525881">
                      <w:marLeft w:val="0"/>
                      <w:marRight w:val="0"/>
                      <w:marTop w:val="0"/>
                      <w:marBottom w:val="0"/>
                      <w:divBdr>
                        <w:top w:val="none" w:sz="0" w:space="0" w:color="auto"/>
                        <w:left w:val="none" w:sz="0" w:space="0" w:color="auto"/>
                        <w:bottom w:val="none" w:sz="0" w:space="0" w:color="auto"/>
                        <w:right w:val="none" w:sz="0" w:space="0" w:color="auto"/>
                      </w:divBdr>
                    </w:div>
                  </w:divsChild>
                </w:div>
                <w:div w:id="987511068">
                  <w:marLeft w:val="0"/>
                  <w:marRight w:val="0"/>
                  <w:marTop w:val="0"/>
                  <w:marBottom w:val="0"/>
                  <w:divBdr>
                    <w:top w:val="none" w:sz="0" w:space="0" w:color="auto"/>
                    <w:left w:val="none" w:sz="0" w:space="0" w:color="auto"/>
                    <w:bottom w:val="none" w:sz="0" w:space="0" w:color="auto"/>
                    <w:right w:val="none" w:sz="0" w:space="0" w:color="auto"/>
                  </w:divBdr>
                  <w:divsChild>
                    <w:div w:id="1922831303">
                      <w:marLeft w:val="0"/>
                      <w:marRight w:val="0"/>
                      <w:marTop w:val="0"/>
                      <w:marBottom w:val="0"/>
                      <w:divBdr>
                        <w:top w:val="none" w:sz="0" w:space="0" w:color="auto"/>
                        <w:left w:val="none" w:sz="0" w:space="0" w:color="auto"/>
                        <w:bottom w:val="none" w:sz="0" w:space="0" w:color="auto"/>
                        <w:right w:val="none" w:sz="0" w:space="0" w:color="auto"/>
                      </w:divBdr>
                    </w:div>
                  </w:divsChild>
                </w:div>
                <w:div w:id="1011643969">
                  <w:marLeft w:val="0"/>
                  <w:marRight w:val="0"/>
                  <w:marTop w:val="0"/>
                  <w:marBottom w:val="0"/>
                  <w:divBdr>
                    <w:top w:val="none" w:sz="0" w:space="0" w:color="auto"/>
                    <w:left w:val="none" w:sz="0" w:space="0" w:color="auto"/>
                    <w:bottom w:val="none" w:sz="0" w:space="0" w:color="auto"/>
                    <w:right w:val="none" w:sz="0" w:space="0" w:color="auto"/>
                  </w:divBdr>
                  <w:divsChild>
                    <w:div w:id="251402497">
                      <w:marLeft w:val="0"/>
                      <w:marRight w:val="0"/>
                      <w:marTop w:val="0"/>
                      <w:marBottom w:val="0"/>
                      <w:divBdr>
                        <w:top w:val="none" w:sz="0" w:space="0" w:color="auto"/>
                        <w:left w:val="none" w:sz="0" w:space="0" w:color="auto"/>
                        <w:bottom w:val="none" w:sz="0" w:space="0" w:color="auto"/>
                        <w:right w:val="none" w:sz="0" w:space="0" w:color="auto"/>
                      </w:divBdr>
                    </w:div>
                  </w:divsChild>
                </w:div>
                <w:div w:id="1030690913">
                  <w:marLeft w:val="0"/>
                  <w:marRight w:val="0"/>
                  <w:marTop w:val="0"/>
                  <w:marBottom w:val="0"/>
                  <w:divBdr>
                    <w:top w:val="none" w:sz="0" w:space="0" w:color="auto"/>
                    <w:left w:val="none" w:sz="0" w:space="0" w:color="auto"/>
                    <w:bottom w:val="none" w:sz="0" w:space="0" w:color="auto"/>
                    <w:right w:val="none" w:sz="0" w:space="0" w:color="auto"/>
                  </w:divBdr>
                  <w:divsChild>
                    <w:div w:id="391461573">
                      <w:marLeft w:val="0"/>
                      <w:marRight w:val="0"/>
                      <w:marTop w:val="0"/>
                      <w:marBottom w:val="0"/>
                      <w:divBdr>
                        <w:top w:val="none" w:sz="0" w:space="0" w:color="auto"/>
                        <w:left w:val="none" w:sz="0" w:space="0" w:color="auto"/>
                        <w:bottom w:val="none" w:sz="0" w:space="0" w:color="auto"/>
                        <w:right w:val="none" w:sz="0" w:space="0" w:color="auto"/>
                      </w:divBdr>
                    </w:div>
                  </w:divsChild>
                </w:div>
                <w:div w:id="1035735351">
                  <w:marLeft w:val="0"/>
                  <w:marRight w:val="0"/>
                  <w:marTop w:val="0"/>
                  <w:marBottom w:val="0"/>
                  <w:divBdr>
                    <w:top w:val="none" w:sz="0" w:space="0" w:color="auto"/>
                    <w:left w:val="none" w:sz="0" w:space="0" w:color="auto"/>
                    <w:bottom w:val="none" w:sz="0" w:space="0" w:color="auto"/>
                    <w:right w:val="none" w:sz="0" w:space="0" w:color="auto"/>
                  </w:divBdr>
                  <w:divsChild>
                    <w:div w:id="1829860625">
                      <w:marLeft w:val="0"/>
                      <w:marRight w:val="0"/>
                      <w:marTop w:val="0"/>
                      <w:marBottom w:val="0"/>
                      <w:divBdr>
                        <w:top w:val="none" w:sz="0" w:space="0" w:color="auto"/>
                        <w:left w:val="none" w:sz="0" w:space="0" w:color="auto"/>
                        <w:bottom w:val="none" w:sz="0" w:space="0" w:color="auto"/>
                        <w:right w:val="none" w:sz="0" w:space="0" w:color="auto"/>
                      </w:divBdr>
                    </w:div>
                  </w:divsChild>
                </w:div>
                <w:div w:id="1037001030">
                  <w:marLeft w:val="0"/>
                  <w:marRight w:val="0"/>
                  <w:marTop w:val="0"/>
                  <w:marBottom w:val="0"/>
                  <w:divBdr>
                    <w:top w:val="none" w:sz="0" w:space="0" w:color="auto"/>
                    <w:left w:val="none" w:sz="0" w:space="0" w:color="auto"/>
                    <w:bottom w:val="none" w:sz="0" w:space="0" w:color="auto"/>
                    <w:right w:val="none" w:sz="0" w:space="0" w:color="auto"/>
                  </w:divBdr>
                  <w:divsChild>
                    <w:div w:id="14499402">
                      <w:marLeft w:val="0"/>
                      <w:marRight w:val="0"/>
                      <w:marTop w:val="0"/>
                      <w:marBottom w:val="0"/>
                      <w:divBdr>
                        <w:top w:val="none" w:sz="0" w:space="0" w:color="auto"/>
                        <w:left w:val="none" w:sz="0" w:space="0" w:color="auto"/>
                        <w:bottom w:val="none" w:sz="0" w:space="0" w:color="auto"/>
                        <w:right w:val="none" w:sz="0" w:space="0" w:color="auto"/>
                      </w:divBdr>
                    </w:div>
                  </w:divsChild>
                </w:div>
                <w:div w:id="1049064670">
                  <w:marLeft w:val="0"/>
                  <w:marRight w:val="0"/>
                  <w:marTop w:val="0"/>
                  <w:marBottom w:val="0"/>
                  <w:divBdr>
                    <w:top w:val="none" w:sz="0" w:space="0" w:color="auto"/>
                    <w:left w:val="none" w:sz="0" w:space="0" w:color="auto"/>
                    <w:bottom w:val="none" w:sz="0" w:space="0" w:color="auto"/>
                    <w:right w:val="none" w:sz="0" w:space="0" w:color="auto"/>
                  </w:divBdr>
                  <w:divsChild>
                    <w:div w:id="1060983058">
                      <w:marLeft w:val="0"/>
                      <w:marRight w:val="0"/>
                      <w:marTop w:val="0"/>
                      <w:marBottom w:val="0"/>
                      <w:divBdr>
                        <w:top w:val="none" w:sz="0" w:space="0" w:color="auto"/>
                        <w:left w:val="none" w:sz="0" w:space="0" w:color="auto"/>
                        <w:bottom w:val="none" w:sz="0" w:space="0" w:color="auto"/>
                        <w:right w:val="none" w:sz="0" w:space="0" w:color="auto"/>
                      </w:divBdr>
                    </w:div>
                  </w:divsChild>
                </w:div>
                <w:div w:id="1052653141">
                  <w:marLeft w:val="0"/>
                  <w:marRight w:val="0"/>
                  <w:marTop w:val="0"/>
                  <w:marBottom w:val="0"/>
                  <w:divBdr>
                    <w:top w:val="none" w:sz="0" w:space="0" w:color="auto"/>
                    <w:left w:val="none" w:sz="0" w:space="0" w:color="auto"/>
                    <w:bottom w:val="none" w:sz="0" w:space="0" w:color="auto"/>
                    <w:right w:val="none" w:sz="0" w:space="0" w:color="auto"/>
                  </w:divBdr>
                  <w:divsChild>
                    <w:div w:id="1920603082">
                      <w:marLeft w:val="0"/>
                      <w:marRight w:val="0"/>
                      <w:marTop w:val="0"/>
                      <w:marBottom w:val="0"/>
                      <w:divBdr>
                        <w:top w:val="none" w:sz="0" w:space="0" w:color="auto"/>
                        <w:left w:val="none" w:sz="0" w:space="0" w:color="auto"/>
                        <w:bottom w:val="none" w:sz="0" w:space="0" w:color="auto"/>
                        <w:right w:val="none" w:sz="0" w:space="0" w:color="auto"/>
                      </w:divBdr>
                    </w:div>
                  </w:divsChild>
                </w:div>
                <w:div w:id="1073089050">
                  <w:marLeft w:val="0"/>
                  <w:marRight w:val="0"/>
                  <w:marTop w:val="0"/>
                  <w:marBottom w:val="0"/>
                  <w:divBdr>
                    <w:top w:val="none" w:sz="0" w:space="0" w:color="auto"/>
                    <w:left w:val="none" w:sz="0" w:space="0" w:color="auto"/>
                    <w:bottom w:val="none" w:sz="0" w:space="0" w:color="auto"/>
                    <w:right w:val="none" w:sz="0" w:space="0" w:color="auto"/>
                  </w:divBdr>
                  <w:divsChild>
                    <w:div w:id="1982687001">
                      <w:marLeft w:val="0"/>
                      <w:marRight w:val="0"/>
                      <w:marTop w:val="0"/>
                      <w:marBottom w:val="0"/>
                      <w:divBdr>
                        <w:top w:val="none" w:sz="0" w:space="0" w:color="auto"/>
                        <w:left w:val="none" w:sz="0" w:space="0" w:color="auto"/>
                        <w:bottom w:val="none" w:sz="0" w:space="0" w:color="auto"/>
                        <w:right w:val="none" w:sz="0" w:space="0" w:color="auto"/>
                      </w:divBdr>
                    </w:div>
                  </w:divsChild>
                </w:div>
                <w:div w:id="1087266417">
                  <w:marLeft w:val="0"/>
                  <w:marRight w:val="0"/>
                  <w:marTop w:val="0"/>
                  <w:marBottom w:val="0"/>
                  <w:divBdr>
                    <w:top w:val="none" w:sz="0" w:space="0" w:color="auto"/>
                    <w:left w:val="none" w:sz="0" w:space="0" w:color="auto"/>
                    <w:bottom w:val="none" w:sz="0" w:space="0" w:color="auto"/>
                    <w:right w:val="none" w:sz="0" w:space="0" w:color="auto"/>
                  </w:divBdr>
                  <w:divsChild>
                    <w:div w:id="613561583">
                      <w:marLeft w:val="0"/>
                      <w:marRight w:val="0"/>
                      <w:marTop w:val="0"/>
                      <w:marBottom w:val="0"/>
                      <w:divBdr>
                        <w:top w:val="none" w:sz="0" w:space="0" w:color="auto"/>
                        <w:left w:val="none" w:sz="0" w:space="0" w:color="auto"/>
                        <w:bottom w:val="none" w:sz="0" w:space="0" w:color="auto"/>
                        <w:right w:val="none" w:sz="0" w:space="0" w:color="auto"/>
                      </w:divBdr>
                    </w:div>
                  </w:divsChild>
                </w:div>
                <w:div w:id="1098595112">
                  <w:marLeft w:val="0"/>
                  <w:marRight w:val="0"/>
                  <w:marTop w:val="0"/>
                  <w:marBottom w:val="0"/>
                  <w:divBdr>
                    <w:top w:val="none" w:sz="0" w:space="0" w:color="auto"/>
                    <w:left w:val="none" w:sz="0" w:space="0" w:color="auto"/>
                    <w:bottom w:val="none" w:sz="0" w:space="0" w:color="auto"/>
                    <w:right w:val="none" w:sz="0" w:space="0" w:color="auto"/>
                  </w:divBdr>
                  <w:divsChild>
                    <w:div w:id="1531843850">
                      <w:marLeft w:val="0"/>
                      <w:marRight w:val="0"/>
                      <w:marTop w:val="0"/>
                      <w:marBottom w:val="0"/>
                      <w:divBdr>
                        <w:top w:val="none" w:sz="0" w:space="0" w:color="auto"/>
                        <w:left w:val="none" w:sz="0" w:space="0" w:color="auto"/>
                        <w:bottom w:val="none" w:sz="0" w:space="0" w:color="auto"/>
                        <w:right w:val="none" w:sz="0" w:space="0" w:color="auto"/>
                      </w:divBdr>
                    </w:div>
                  </w:divsChild>
                </w:div>
                <w:div w:id="1102914701">
                  <w:marLeft w:val="0"/>
                  <w:marRight w:val="0"/>
                  <w:marTop w:val="0"/>
                  <w:marBottom w:val="0"/>
                  <w:divBdr>
                    <w:top w:val="none" w:sz="0" w:space="0" w:color="auto"/>
                    <w:left w:val="none" w:sz="0" w:space="0" w:color="auto"/>
                    <w:bottom w:val="none" w:sz="0" w:space="0" w:color="auto"/>
                    <w:right w:val="none" w:sz="0" w:space="0" w:color="auto"/>
                  </w:divBdr>
                  <w:divsChild>
                    <w:div w:id="1491559593">
                      <w:marLeft w:val="0"/>
                      <w:marRight w:val="0"/>
                      <w:marTop w:val="0"/>
                      <w:marBottom w:val="0"/>
                      <w:divBdr>
                        <w:top w:val="none" w:sz="0" w:space="0" w:color="auto"/>
                        <w:left w:val="none" w:sz="0" w:space="0" w:color="auto"/>
                        <w:bottom w:val="none" w:sz="0" w:space="0" w:color="auto"/>
                        <w:right w:val="none" w:sz="0" w:space="0" w:color="auto"/>
                      </w:divBdr>
                    </w:div>
                  </w:divsChild>
                </w:div>
                <w:div w:id="1105349692">
                  <w:marLeft w:val="0"/>
                  <w:marRight w:val="0"/>
                  <w:marTop w:val="0"/>
                  <w:marBottom w:val="0"/>
                  <w:divBdr>
                    <w:top w:val="none" w:sz="0" w:space="0" w:color="auto"/>
                    <w:left w:val="none" w:sz="0" w:space="0" w:color="auto"/>
                    <w:bottom w:val="none" w:sz="0" w:space="0" w:color="auto"/>
                    <w:right w:val="none" w:sz="0" w:space="0" w:color="auto"/>
                  </w:divBdr>
                  <w:divsChild>
                    <w:div w:id="629166264">
                      <w:marLeft w:val="0"/>
                      <w:marRight w:val="0"/>
                      <w:marTop w:val="0"/>
                      <w:marBottom w:val="0"/>
                      <w:divBdr>
                        <w:top w:val="none" w:sz="0" w:space="0" w:color="auto"/>
                        <w:left w:val="none" w:sz="0" w:space="0" w:color="auto"/>
                        <w:bottom w:val="none" w:sz="0" w:space="0" w:color="auto"/>
                        <w:right w:val="none" w:sz="0" w:space="0" w:color="auto"/>
                      </w:divBdr>
                    </w:div>
                  </w:divsChild>
                </w:div>
                <w:div w:id="1114784006">
                  <w:marLeft w:val="0"/>
                  <w:marRight w:val="0"/>
                  <w:marTop w:val="0"/>
                  <w:marBottom w:val="0"/>
                  <w:divBdr>
                    <w:top w:val="none" w:sz="0" w:space="0" w:color="auto"/>
                    <w:left w:val="none" w:sz="0" w:space="0" w:color="auto"/>
                    <w:bottom w:val="none" w:sz="0" w:space="0" w:color="auto"/>
                    <w:right w:val="none" w:sz="0" w:space="0" w:color="auto"/>
                  </w:divBdr>
                  <w:divsChild>
                    <w:div w:id="1344894022">
                      <w:marLeft w:val="0"/>
                      <w:marRight w:val="0"/>
                      <w:marTop w:val="0"/>
                      <w:marBottom w:val="0"/>
                      <w:divBdr>
                        <w:top w:val="none" w:sz="0" w:space="0" w:color="auto"/>
                        <w:left w:val="none" w:sz="0" w:space="0" w:color="auto"/>
                        <w:bottom w:val="none" w:sz="0" w:space="0" w:color="auto"/>
                        <w:right w:val="none" w:sz="0" w:space="0" w:color="auto"/>
                      </w:divBdr>
                    </w:div>
                  </w:divsChild>
                </w:div>
                <w:div w:id="1118253489">
                  <w:marLeft w:val="0"/>
                  <w:marRight w:val="0"/>
                  <w:marTop w:val="0"/>
                  <w:marBottom w:val="0"/>
                  <w:divBdr>
                    <w:top w:val="none" w:sz="0" w:space="0" w:color="auto"/>
                    <w:left w:val="none" w:sz="0" w:space="0" w:color="auto"/>
                    <w:bottom w:val="none" w:sz="0" w:space="0" w:color="auto"/>
                    <w:right w:val="none" w:sz="0" w:space="0" w:color="auto"/>
                  </w:divBdr>
                  <w:divsChild>
                    <w:div w:id="136997100">
                      <w:marLeft w:val="0"/>
                      <w:marRight w:val="0"/>
                      <w:marTop w:val="0"/>
                      <w:marBottom w:val="0"/>
                      <w:divBdr>
                        <w:top w:val="none" w:sz="0" w:space="0" w:color="auto"/>
                        <w:left w:val="none" w:sz="0" w:space="0" w:color="auto"/>
                        <w:bottom w:val="none" w:sz="0" w:space="0" w:color="auto"/>
                        <w:right w:val="none" w:sz="0" w:space="0" w:color="auto"/>
                      </w:divBdr>
                    </w:div>
                  </w:divsChild>
                </w:div>
                <w:div w:id="1127161547">
                  <w:marLeft w:val="0"/>
                  <w:marRight w:val="0"/>
                  <w:marTop w:val="0"/>
                  <w:marBottom w:val="0"/>
                  <w:divBdr>
                    <w:top w:val="none" w:sz="0" w:space="0" w:color="auto"/>
                    <w:left w:val="none" w:sz="0" w:space="0" w:color="auto"/>
                    <w:bottom w:val="none" w:sz="0" w:space="0" w:color="auto"/>
                    <w:right w:val="none" w:sz="0" w:space="0" w:color="auto"/>
                  </w:divBdr>
                  <w:divsChild>
                    <w:div w:id="717515979">
                      <w:marLeft w:val="0"/>
                      <w:marRight w:val="0"/>
                      <w:marTop w:val="0"/>
                      <w:marBottom w:val="0"/>
                      <w:divBdr>
                        <w:top w:val="none" w:sz="0" w:space="0" w:color="auto"/>
                        <w:left w:val="none" w:sz="0" w:space="0" w:color="auto"/>
                        <w:bottom w:val="none" w:sz="0" w:space="0" w:color="auto"/>
                        <w:right w:val="none" w:sz="0" w:space="0" w:color="auto"/>
                      </w:divBdr>
                    </w:div>
                  </w:divsChild>
                </w:div>
                <w:div w:id="1135099105">
                  <w:marLeft w:val="0"/>
                  <w:marRight w:val="0"/>
                  <w:marTop w:val="0"/>
                  <w:marBottom w:val="0"/>
                  <w:divBdr>
                    <w:top w:val="none" w:sz="0" w:space="0" w:color="auto"/>
                    <w:left w:val="none" w:sz="0" w:space="0" w:color="auto"/>
                    <w:bottom w:val="none" w:sz="0" w:space="0" w:color="auto"/>
                    <w:right w:val="none" w:sz="0" w:space="0" w:color="auto"/>
                  </w:divBdr>
                  <w:divsChild>
                    <w:div w:id="2028633102">
                      <w:marLeft w:val="0"/>
                      <w:marRight w:val="0"/>
                      <w:marTop w:val="0"/>
                      <w:marBottom w:val="0"/>
                      <w:divBdr>
                        <w:top w:val="none" w:sz="0" w:space="0" w:color="auto"/>
                        <w:left w:val="none" w:sz="0" w:space="0" w:color="auto"/>
                        <w:bottom w:val="none" w:sz="0" w:space="0" w:color="auto"/>
                        <w:right w:val="none" w:sz="0" w:space="0" w:color="auto"/>
                      </w:divBdr>
                    </w:div>
                  </w:divsChild>
                </w:div>
                <w:div w:id="1140925220">
                  <w:marLeft w:val="0"/>
                  <w:marRight w:val="0"/>
                  <w:marTop w:val="0"/>
                  <w:marBottom w:val="0"/>
                  <w:divBdr>
                    <w:top w:val="none" w:sz="0" w:space="0" w:color="auto"/>
                    <w:left w:val="none" w:sz="0" w:space="0" w:color="auto"/>
                    <w:bottom w:val="none" w:sz="0" w:space="0" w:color="auto"/>
                    <w:right w:val="none" w:sz="0" w:space="0" w:color="auto"/>
                  </w:divBdr>
                  <w:divsChild>
                    <w:div w:id="677149663">
                      <w:marLeft w:val="0"/>
                      <w:marRight w:val="0"/>
                      <w:marTop w:val="0"/>
                      <w:marBottom w:val="0"/>
                      <w:divBdr>
                        <w:top w:val="none" w:sz="0" w:space="0" w:color="auto"/>
                        <w:left w:val="none" w:sz="0" w:space="0" w:color="auto"/>
                        <w:bottom w:val="none" w:sz="0" w:space="0" w:color="auto"/>
                        <w:right w:val="none" w:sz="0" w:space="0" w:color="auto"/>
                      </w:divBdr>
                    </w:div>
                  </w:divsChild>
                </w:div>
                <w:div w:id="1141729089">
                  <w:marLeft w:val="0"/>
                  <w:marRight w:val="0"/>
                  <w:marTop w:val="0"/>
                  <w:marBottom w:val="0"/>
                  <w:divBdr>
                    <w:top w:val="none" w:sz="0" w:space="0" w:color="auto"/>
                    <w:left w:val="none" w:sz="0" w:space="0" w:color="auto"/>
                    <w:bottom w:val="none" w:sz="0" w:space="0" w:color="auto"/>
                    <w:right w:val="none" w:sz="0" w:space="0" w:color="auto"/>
                  </w:divBdr>
                  <w:divsChild>
                    <w:div w:id="1649508039">
                      <w:marLeft w:val="0"/>
                      <w:marRight w:val="0"/>
                      <w:marTop w:val="0"/>
                      <w:marBottom w:val="0"/>
                      <w:divBdr>
                        <w:top w:val="none" w:sz="0" w:space="0" w:color="auto"/>
                        <w:left w:val="none" w:sz="0" w:space="0" w:color="auto"/>
                        <w:bottom w:val="none" w:sz="0" w:space="0" w:color="auto"/>
                        <w:right w:val="none" w:sz="0" w:space="0" w:color="auto"/>
                      </w:divBdr>
                    </w:div>
                  </w:divsChild>
                </w:div>
                <w:div w:id="1159614865">
                  <w:marLeft w:val="0"/>
                  <w:marRight w:val="0"/>
                  <w:marTop w:val="0"/>
                  <w:marBottom w:val="0"/>
                  <w:divBdr>
                    <w:top w:val="none" w:sz="0" w:space="0" w:color="auto"/>
                    <w:left w:val="none" w:sz="0" w:space="0" w:color="auto"/>
                    <w:bottom w:val="none" w:sz="0" w:space="0" w:color="auto"/>
                    <w:right w:val="none" w:sz="0" w:space="0" w:color="auto"/>
                  </w:divBdr>
                  <w:divsChild>
                    <w:div w:id="216166109">
                      <w:marLeft w:val="0"/>
                      <w:marRight w:val="0"/>
                      <w:marTop w:val="0"/>
                      <w:marBottom w:val="0"/>
                      <w:divBdr>
                        <w:top w:val="none" w:sz="0" w:space="0" w:color="auto"/>
                        <w:left w:val="none" w:sz="0" w:space="0" w:color="auto"/>
                        <w:bottom w:val="none" w:sz="0" w:space="0" w:color="auto"/>
                        <w:right w:val="none" w:sz="0" w:space="0" w:color="auto"/>
                      </w:divBdr>
                    </w:div>
                  </w:divsChild>
                </w:div>
                <w:div w:id="1195079908">
                  <w:marLeft w:val="0"/>
                  <w:marRight w:val="0"/>
                  <w:marTop w:val="0"/>
                  <w:marBottom w:val="0"/>
                  <w:divBdr>
                    <w:top w:val="none" w:sz="0" w:space="0" w:color="auto"/>
                    <w:left w:val="none" w:sz="0" w:space="0" w:color="auto"/>
                    <w:bottom w:val="none" w:sz="0" w:space="0" w:color="auto"/>
                    <w:right w:val="none" w:sz="0" w:space="0" w:color="auto"/>
                  </w:divBdr>
                  <w:divsChild>
                    <w:div w:id="1921676952">
                      <w:marLeft w:val="0"/>
                      <w:marRight w:val="0"/>
                      <w:marTop w:val="0"/>
                      <w:marBottom w:val="0"/>
                      <w:divBdr>
                        <w:top w:val="none" w:sz="0" w:space="0" w:color="auto"/>
                        <w:left w:val="none" w:sz="0" w:space="0" w:color="auto"/>
                        <w:bottom w:val="none" w:sz="0" w:space="0" w:color="auto"/>
                        <w:right w:val="none" w:sz="0" w:space="0" w:color="auto"/>
                      </w:divBdr>
                    </w:div>
                  </w:divsChild>
                </w:div>
                <w:div w:id="1201089880">
                  <w:marLeft w:val="0"/>
                  <w:marRight w:val="0"/>
                  <w:marTop w:val="0"/>
                  <w:marBottom w:val="0"/>
                  <w:divBdr>
                    <w:top w:val="none" w:sz="0" w:space="0" w:color="auto"/>
                    <w:left w:val="none" w:sz="0" w:space="0" w:color="auto"/>
                    <w:bottom w:val="none" w:sz="0" w:space="0" w:color="auto"/>
                    <w:right w:val="none" w:sz="0" w:space="0" w:color="auto"/>
                  </w:divBdr>
                  <w:divsChild>
                    <w:div w:id="84692536">
                      <w:marLeft w:val="0"/>
                      <w:marRight w:val="0"/>
                      <w:marTop w:val="0"/>
                      <w:marBottom w:val="0"/>
                      <w:divBdr>
                        <w:top w:val="none" w:sz="0" w:space="0" w:color="auto"/>
                        <w:left w:val="none" w:sz="0" w:space="0" w:color="auto"/>
                        <w:bottom w:val="none" w:sz="0" w:space="0" w:color="auto"/>
                        <w:right w:val="none" w:sz="0" w:space="0" w:color="auto"/>
                      </w:divBdr>
                    </w:div>
                  </w:divsChild>
                </w:div>
                <w:div w:id="1207449510">
                  <w:marLeft w:val="0"/>
                  <w:marRight w:val="0"/>
                  <w:marTop w:val="0"/>
                  <w:marBottom w:val="0"/>
                  <w:divBdr>
                    <w:top w:val="none" w:sz="0" w:space="0" w:color="auto"/>
                    <w:left w:val="none" w:sz="0" w:space="0" w:color="auto"/>
                    <w:bottom w:val="none" w:sz="0" w:space="0" w:color="auto"/>
                    <w:right w:val="none" w:sz="0" w:space="0" w:color="auto"/>
                  </w:divBdr>
                  <w:divsChild>
                    <w:div w:id="77025424">
                      <w:marLeft w:val="0"/>
                      <w:marRight w:val="0"/>
                      <w:marTop w:val="0"/>
                      <w:marBottom w:val="0"/>
                      <w:divBdr>
                        <w:top w:val="none" w:sz="0" w:space="0" w:color="auto"/>
                        <w:left w:val="none" w:sz="0" w:space="0" w:color="auto"/>
                        <w:bottom w:val="none" w:sz="0" w:space="0" w:color="auto"/>
                        <w:right w:val="none" w:sz="0" w:space="0" w:color="auto"/>
                      </w:divBdr>
                    </w:div>
                  </w:divsChild>
                </w:div>
                <w:div w:id="1209562495">
                  <w:marLeft w:val="0"/>
                  <w:marRight w:val="0"/>
                  <w:marTop w:val="0"/>
                  <w:marBottom w:val="0"/>
                  <w:divBdr>
                    <w:top w:val="none" w:sz="0" w:space="0" w:color="auto"/>
                    <w:left w:val="none" w:sz="0" w:space="0" w:color="auto"/>
                    <w:bottom w:val="none" w:sz="0" w:space="0" w:color="auto"/>
                    <w:right w:val="none" w:sz="0" w:space="0" w:color="auto"/>
                  </w:divBdr>
                  <w:divsChild>
                    <w:div w:id="1861354324">
                      <w:marLeft w:val="0"/>
                      <w:marRight w:val="0"/>
                      <w:marTop w:val="0"/>
                      <w:marBottom w:val="0"/>
                      <w:divBdr>
                        <w:top w:val="none" w:sz="0" w:space="0" w:color="auto"/>
                        <w:left w:val="none" w:sz="0" w:space="0" w:color="auto"/>
                        <w:bottom w:val="none" w:sz="0" w:space="0" w:color="auto"/>
                        <w:right w:val="none" w:sz="0" w:space="0" w:color="auto"/>
                      </w:divBdr>
                    </w:div>
                  </w:divsChild>
                </w:div>
                <w:div w:id="1221750113">
                  <w:marLeft w:val="0"/>
                  <w:marRight w:val="0"/>
                  <w:marTop w:val="0"/>
                  <w:marBottom w:val="0"/>
                  <w:divBdr>
                    <w:top w:val="none" w:sz="0" w:space="0" w:color="auto"/>
                    <w:left w:val="none" w:sz="0" w:space="0" w:color="auto"/>
                    <w:bottom w:val="none" w:sz="0" w:space="0" w:color="auto"/>
                    <w:right w:val="none" w:sz="0" w:space="0" w:color="auto"/>
                  </w:divBdr>
                  <w:divsChild>
                    <w:div w:id="1185442545">
                      <w:marLeft w:val="0"/>
                      <w:marRight w:val="0"/>
                      <w:marTop w:val="0"/>
                      <w:marBottom w:val="0"/>
                      <w:divBdr>
                        <w:top w:val="none" w:sz="0" w:space="0" w:color="auto"/>
                        <w:left w:val="none" w:sz="0" w:space="0" w:color="auto"/>
                        <w:bottom w:val="none" w:sz="0" w:space="0" w:color="auto"/>
                        <w:right w:val="none" w:sz="0" w:space="0" w:color="auto"/>
                      </w:divBdr>
                    </w:div>
                  </w:divsChild>
                </w:div>
                <w:div w:id="1247688196">
                  <w:marLeft w:val="0"/>
                  <w:marRight w:val="0"/>
                  <w:marTop w:val="0"/>
                  <w:marBottom w:val="0"/>
                  <w:divBdr>
                    <w:top w:val="none" w:sz="0" w:space="0" w:color="auto"/>
                    <w:left w:val="none" w:sz="0" w:space="0" w:color="auto"/>
                    <w:bottom w:val="none" w:sz="0" w:space="0" w:color="auto"/>
                    <w:right w:val="none" w:sz="0" w:space="0" w:color="auto"/>
                  </w:divBdr>
                  <w:divsChild>
                    <w:div w:id="1366980158">
                      <w:marLeft w:val="0"/>
                      <w:marRight w:val="0"/>
                      <w:marTop w:val="0"/>
                      <w:marBottom w:val="0"/>
                      <w:divBdr>
                        <w:top w:val="none" w:sz="0" w:space="0" w:color="auto"/>
                        <w:left w:val="none" w:sz="0" w:space="0" w:color="auto"/>
                        <w:bottom w:val="none" w:sz="0" w:space="0" w:color="auto"/>
                        <w:right w:val="none" w:sz="0" w:space="0" w:color="auto"/>
                      </w:divBdr>
                    </w:div>
                  </w:divsChild>
                </w:div>
                <w:div w:id="1251503400">
                  <w:marLeft w:val="0"/>
                  <w:marRight w:val="0"/>
                  <w:marTop w:val="0"/>
                  <w:marBottom w:val="0"/>
                  <w:divBdr>
                    <w:top w:val="none" w:sz="0" w:space="0" w:color="auto"/>
                    <w:left w:val="none" w:sz="0" w:space="0" w:color="auto"/>
                    <w:bottom w:val="none" w:sz="0" w:space="0" w:color="auto"/>
                    <w:right w:val="none" w:sz="0" w:space="0" w:color="auto"/>
                  </w:divBdr>
                  <w:divsChild>
                    <w:div w:id="715396977">
                      <w:marLeft w:val="0"/>
                      <w:marRight w:val="0"/>
                      <w:marTop w:val="0"/>
                      <w:marBottom w:val="0"/>
                      <w:divBdr>
                        <w:top w:val="none" w:sz="0" w:space="0" w:color="auto"/>
                        <w:left w:val="none" w:sz="0" w:space="0" w:color="auto"/>
                        <w:bottom w:val="none" w:sz="0" w:space="0" w:color="auto"/>
                        <w:right w:val="none" w:sz="0" w:space="0" w:color="auto"/>
                      </w:divBdr>
                    </w:div>
                  </w:divsChild>
                </w:div>
                <w:div w:id="1252809865">
                  <w:marLeft w:val="0"/>
                  <w:marRight w:val="0"/>
                  <w:marTop w:val="0"/>
                  <w:marBottom w:val="0"/>
                  <w:divBdr>
                    <w:top w:val="none" w:sz="0" w:space="0" w:color="auto"/>
                    <w:left w:val="none" w:sz="0" w:space="0" w:color="auto"/>
                    <w:bottom w:val="none" w:sz="0" w:space="0" w:color="auto"/>
                    <w:right w:val="none" w:sz="0" w:space="0" w:color="auto"/>
                  </w:divBdr>
                  <w:divsChild>
                    <w:div w:id="772628278">
                      <w:marLeft w:val="0"/>
                      <w:marRight w:val="0"/>
                      <w:marTop w:val="0"/>
                      <w:marBottom w:val="0"/>
                      <w:divBdr>
                        <w:top w:val="none" w:sz="0" w:space="0" w:color="auto"/>
                        <w:left w:val="none" w:sz="0" w:space="0" w:color="auto"/>
                        <w:bottom w:val="none" w:sz="0" w:space="0" w:color="auto"/>
                        <w:right w:val="none" w:sz="0" w:space="0" w:color="auto"/>
                      </w:divBdr>
                    </w:div>
                  </w:divsChild>
                </w:div>
                <w:div w:id="1257248719">
                  <w:marLeft w:val="0"/>
                  <w:marRight w:val="0"/>
                  <w:marTop w:val="0"/>
                  <w:marBottom w:val="0"/>
                  <w:divBdr>
                    <w:top w:val="none" w:sz="0" w:space="0" w:color="auto"/>
                    <w:left w:val="none" w:sz="0" w:space="0" w:color="auto"/>
                    <w:bottom w:val="none" w:sz="0" w:space="0" w:color="auto"/>
                    <w:right w:val="none" w:sz="0" w:space="0" w:color="auto"/>
                  </w:divBdr>
                  <w:divsChild>
                    <w:div w:id="2132936489">
                      <w:marLeft w:val="0"/>
                      <w:marRight w:val="0"/>
                      <w:marTop w:val="0"/>
                      <w:marBottom w:val="0"/>
                      <w:divBdr>
                        <w:top w:val="none" w:sz="0" w:space="0" w:color="auto"/>
                        <w:left w:val="none" w:sz="0" w:space="0" w:color="auto"/>
                        <w:bottom w:val="none" w:sz="0" w:space="0" w:color="auto"/>
                        <w:right w:val="none" w:sz="0" w:space="0" w:color="auto"/>
                      </w:divBdr>
                    </w:div>
                  </w:divsChild>
                </w:div>
                <w:div w:id="1257862006">
                  <w:marLeft w:val="0"/>
                  <w:marRight w:val="0"/>
                  <w:marTop w:val="0"/>
                  <w:marBottom w:val="0"/>
                  <w:divBdr>
                    <w:top w:val="none" w:sz="0" w:space="0" w:color="auto"/>
                    <w:left w:val="none" w:sz="0" w:space="0" w:color="auto"/>
                    <w:bottom w:val="none" w:sz="0" w:space="0" w:color="auto"/>
                    <w:right w:val="none" w:sz="0" w:space="0" w:color="auto"/>
                  </w:divBdr>
                  <w:divsChild>
                    <w:div w:id="1513565663">
                      <w:marLeft w:val="0"/>
                      <w:marRight w:val="0"/>
                      <w:marTop w:val="0"/>
                      <w:marBottom w:val="0"/>
                      <w:divBdr>
                        <w:top w:val="none" w:sz="0" w:space="0" w:color="auto"/>
                        <w:left w:val="none" w:sz="0" w:space="0" w:color="auto"/>
                        <w:bottom w:val="none" w:sz="0" w:space="0" w:color="auto"/>
                        <w:right w:val="none" w:sz="0" w:space="0" w:color="auto"/>
                      </w:divBdr>
                    </w:div>
                  </w:divsChild>
                </w:div>
                <w:div w:id="1264143222">
                  <w:marLeft w:val="0"/>
                  <w:marRight w:val="0"/>
                  <w:marTop w:val="0"/>
                  <w:marBottom w:val="0"/>
                  <w:divBdr>
                    <w:top w:val="none" w:sz="0" w:space="0" w:color="auto"/>
                    <w:left w:val="none" w:sz="0" w:space="0" w:color="auto"/>
                    <w:bottom w:val="none" w:sz="0" w:space="0" w:color="auto"/>
                    <w:right w:val="none" w:sz="0" w:space="0" w:color="auto"/>
                  </w:divBdr>
                  <w:divsChild>
                    <w:div w:id="759986336">
                      <w:marLeft w:val="0"/>
                      <w:marRight w:val="0"/>
                      <w:marTop w:val="0"/>
                      <w:marBottom w:val="0"/>
                      <w:divBdr>
                        <w:top w:val="none" w:sz="0" w:space="0" w:color="auto"/>
                        <w:left w:val="none" w:sz="0" w:space="0" w:color="auto"/>
                        <w:bottom w:val="none" w:sz="0" w:space="0" w:color="auto"/>
                        <w:right w:val="none" w:sz="0" w:space="0" w:color="auto"/>
                      </w:divBdr>
                    </w:div>
                  </w:divsChild>
                </w:div>
                <w:div w:id="1281110942">
                  <w:marLeft w:val="0"/>
                  <w:marRight w:val="0"/>
                  <w:marTop w:val="0"/>
                  <w:marBottom w:val="0"/>
                  <w:divBdr>
                    <w:top w:val="none" w:sz="0" w:space="0" w:color="auto"/>
                    <w:left w:val="none" w:sz="0" w:space="0" w:color="auto"/>
                    <w:bottom w:val="none" w:sz="0" w:space="0" w:color="auto"/>
                    <w:right w:val="none" w:sz="0" w:space="0" w:color="auto"/>
                  </w:divBdr>
                  <w:divsChild>
                    <w:div w:id="1924878817">
                      <w:marLeft w:val="0"/>
                      <w:marRight w:val="0"/>
                      <w:marTop w:val="0"/>
                      <w:marBottom w:val="0"/>
                      <w:divBdr>
                        <w:top w:val="none" w:sz="0" w:space="0" w:color="auto"/>
                        <w:left w:val="none" w:sz="0" w:space="0" w:color="auto"/>
                        <w:bottom w:val="none" w:sz="0" w:space="0" w:color="auto"/>
                        <w:right w:val="none" w:sz="0" w:space="0" w:color="auto"/>
                      </w:divBdr>
                    </w:div>
                  </w:divsChild>
                </w:div>
                <w:div w:id="1287586265">
                  <w:marLeft w:val="0"/>
                  <w:marRight w:val="0"/>
                  <w:marTop w:val="0"/>
                  <w:marBottom w:val="0"/>
                  <w:divBdr>
                    <w:top w:val="none" w:sz="0" w:space="0" w:color="auto"/>
                    <w:left w:val="none" w:sz="0" w:space="0" w:color="auto"/>
                    <w:bottom w:val="none" w:sz="0" w:space="0" w:color="auto"/>
                    <w:right w:val="none" w:sz="0" w:space="0" w:color="auto"/>
                  </w:divBdr>
                  <w:divsChild>
                    <w:div w:id="143007935">
                      <w:marLeft w:val="0"/>
                      <w:marRight w:val="0"/>
                      <w:marTop w:val="0"/>
                      <w:marBottom w:val="0"/>
                      <w:divBdr>
                        <w:top w:val="none" w:sz="0" w:space="0" w:color="auto"/>
                        <w:left w:val="none" w:sz="0" w:space="0" w:color="auto"/>
                        <w:bottom w:val="none" w:sz="0" w:space="0" w:color="auto"/>
                        <w:right w:val="none" w:sz="0" w:space="0" w:color="auto"/>
                      </w:divBdr>
                    </w:div>
                  </w:divsChild>
                </w:div>
                <w:div w:id="1299724517">
                  <w:marLeft w:val="0"/>
                  <w:marRight w:val="0"/>
                  <w:marTop w:val="0"/>
                  <w:marBottom w:val="0"/>
                  <w:divBdr>
                    <w:top w:val="none" w:sz="0" w:space="0" w:color="auto"/>
                    <w:left w:val="none" w:sz="0" w:space="0" w:color="auto"/>
                    <w:bottom w:val="none" w:sz="0" w:space="0" w:color="auto"/>
                    <w:right w:val="none" w:sz="0" w:space="0" w:color="auto"/>
                  </w:divBdr>
                  <w:divsChild>
                    <w:div w:id="475804953">
                      <w:marLeft w:val="0"/>
                      <w:marRight w:val="0"/>
                      <w:marTop w:val="0"/>
                      <w:marBottom w:val="0"/>
                      <w:divBdr>
                        <w:top w:val="none" w:sz="0" w:space="0" w:color="auto"/>
                        <w:left w:val="none" w:sz="0" w:space="0" w:color="auto"/>
                        <w:bottom w:val="none" w:sz="0" w:space="0" w:color="auto"/>
                        <w:right w:val="none" w:sz="0" w:space="0" w:color="auto"/>
                      </w:divBdr>
                    </w:div>
                    <w:div w:id="622808855">
                      <w:marLeft w:val="0"/>
                      <w:marRight w:val="0"/>
                      <w:marTop w:val="0"/>
                      <w:marBottom w:val="0"/>
                      <w:divBdr>
                        <w:top w:val="none" w:sz="0" w:space="0" w:color="auto"/>
                        <w:left w:val="none" w:sz="0" w:space="0" w:color="auto"/>
                        <w:bottom w:val="none" w:sz="0" w:space="0" w:color="auto"/>
                        <w:right w:val="none" w:sz="0" w:space="0" w:color="auto"/>
                      </w:divBdr>
                    </w:div>
                  </w:divsChild>
                </w:div>
                <w:div w:id="1304889343">
                  <w:marLeft w:val="0"/>
                  <w:marRight w:val="0"/>
                  <w:marTop w:val="0"/>
                  <w:marBottom w:val="0"/>
                  <w:divBdr>
                    <w:top w:val="none" w:sz="0" w:space="0" w:color="auto"/>
                    <w:left w:val="none" w:sz="0" w:space="0" w:color="auto"/>
                    <w:bottom w:val="none" w:sz="0" w:space="0" w:color="auto"/>
                    <w:right w:val="none" w:sz="0" w:space="0" w:color="auto"/>
                  </w:divBdr>
                  <w:divsChild>
                    <w:div w:id="1500655474">
                      <w:marLeft w:val="0"/>
                      <w:marRight w:val="0"/>
                      <w:marTop w:val="0"/>
                      <w:marBottom w:val="0"/>
                      <w:divBdr>
                        <w:top w:val="none" w:sz="0" w:space="0" w:color="auto"/>
                        <w:left w:val="none" w:sz="0" w:space="0" w:color="auto"/>
                        <w:bottom w:val="none" w:sz="0" w:space="0" w:color="auto"/>
                        <w:right w:val="none" w:sz="0" w:space="0" w:color="auto"/>
                      </w:divBdr>
                    </w:div>
                  </w:divsChild>
                </w:div>
                <w:div w:id="1308128225">
                  <w:marLeft w:val="0"/>
                  <w:marRight w:val="0"/>
                  <w:marTop w:val="0"/>
                  <w:marBottom w:val="0"/>
                  <w:divBdr>
                    <w:top w:val="none" w:sz="0" w:space="0" w:color="auto"/>
                    <w:left w:val="none" w:sz="0" w:space="0" w:color="auto"/>
                    <w:bottom w:val="none" w:sz="0" w:space="0" w:color="auto"/>
                    <w:right w:val="none" w:sz="0" w:space="0" w:color="auto"/>
                  </w:divBdr>
                  <w:divsChild>
                    <w:div w:id="1278760014">
                      <w:marLeft w:val="0"/>
                      <w:marRight w:val="0"/>
                      <w:marTop w:val="0"/>
                      <w:marBottom w:val="0"/>
                      <w:divBdr>
                        <w:top w:val="none" w:sz="0" w:space="0" w:color="auto"/>
                        <w:left w:val="none" w:sz="0" w:space="0" w:color="auto"/>
                        <w:bottom w:val="none" w:sz="0" w:space="0" w:color="auto"/>
                        <w:right w:val="none" w:sz="0" w:space="0" w:color="auto"/>
                      </w:divBdr>
                    </w:div>
                  </w:divsChild>
                </w:div>
                <w:div w:id="1310401360">
                  <w:marLeft w:val="0"/>
                  <w:marRight w:val="0"/>
                  <w:marTop w:val="0"/>
                  <w:marBottom w:val="0"/>
                  <w:divBdr>
                    <w:top w:val="none" w:sz="0" w:space="0" w:color="auto"/>
                    <w:left w:val="none" w:sz="0" w:space="0" w:color="auto"/>
                    <w:bottom w:val="none" w:sz="0" w:space="0" w:color="auto"/>
                    <w:right w:val="none" w:sz="0" w:space="0" w:color="auto"/>
                  </w:divBdr>
                  <w:divsChild>
                    <w:div w:id="413823867">
                      <w:marLeft w:val="0"/>
                      <w:marRight w:val="0"/>
                      <w:marTop w:val="0"/>
                      <w:marBottom w:val="0"/>
                      <w:divBdr>
                        <w:top w:val="none" w:sz="0" w:space="0" w:color="auto"/>
                        <w:left w:val="none" w:sz="0" w:space="0" w:color="auto"/>
                        <w:bottom w:val="none" w:sz="0" w:space="0" w:color="auto"/>
                        <w:right w:val="none" w:sz="0" w:space="0" w:color="auto"/>
                      </w:divBdr>
                    </w:div>
                  </w:divsChild>
                </w:div>
                <w:div w:id="1315064643">
                  <w:marLeft w:val="0"/>
                  <w:marRight w:val="0"/>
                  <w:marTop w:val="0"/>
                  <w:marBottom w:val="0"/>
                  <w:divBdr>
                    <w:top w:val="none" w:sz="0" w:space="0" w:color="auto"/>
                    <w:left w:val="none" w:sz="0" w:space="0" w:color="auto"/>
                    <w:bottom w:val="none" w:sz="0" w:space="0" w:color="auto"/>
                    <w:right w:val="none" w:sz="0" w:space="0" w:color="auto"/>
                  </w:divBdr>
                  <w:divsChild>
                    <w:div w:id="1890410284">
                      <w:marLeft w:val="0"/>
                      <w:marRight w:val="0"/>
                      <w:marTop w:val="0"/>
                      <w:marBottom w:val="0"/>
                      <w:divBdr>
                        <w:top w:val="none" w:sz="0" w:space="0" w:color="auto"/>
                        <w:left w:val="none" w:sz="0" w:space="0" w:color="auto"/>
                        <w:bottom w:val="none" w:sz="0" w:space="0" w:color="auto"/>
                        <w:right w:val="none" w:sz="0" w:space="0" w:color="auto"/>
                      </w:divBdr>
                    </w:div>
                  </w:divsChild>
                </w:div>
                <w:div w:id="1319310205">
                  <w:marLeft w:val="0"/>
                  <w:marRight w:val="0"/>
                  <w:marTop w:val="0"/>
                  <w:marBottom w:val="0"/>
                  <w:divBdr>
                    <w:top w:val="none" w:sz="0" w:space="0" w:color="auto"/>
                    <w:left w:val="none" w:sz="0" w:space="0" w:color="auto"/>
                    <w:bottom w:val="none" w:sz="0" w:space="0" w:color="auto"/>
                    <w:right w:val="none" w:sz="0" w:space="0" w:color="auto"/>
                  </w:divBdr>
                  <w:divsChild>
                    <w:div w:id="235433443">
                      <w:marLeft w:val="0"/>
                      <w:marRight w:val="0"/>
                      <w:marTop w:val="0"/>
                      <w:marBottom w:val="0"/>
                      <w:divBdr>
                        <w:top w:val="none" w:sz="0" w:space="0" w:color="auto"/>
                        <w:left w:val="none" w:sz="0" w:space="0" w:color="auto"/>
                        <w:bottom w:val="none" w:sz="0" w:space="0" w:color="auto"/>
                        <w:right w:val="none" w:sz="0" w:space="0" w:color="auto"/>
                      </w:divBdr>
                    </w:div>
                  </w:divsChild>
                </w:div>
                <w:div w:id="1323313771">
                  <w:marLeft w:val="0"/>
                  <w:marRight w:val="0"/>
                  <w:marTop w:val="0"/>
                  <w:marBottom w:val="0"/>
                  <w:divBdr>
                    <w:top w:val="none" w:sz="0" w:space="0" w:color="auto"/>
                    <w:left w:val="none" w:sz="0" w:space="0" w:color="auto"/>
                    <w:bottom w:val="none" w:sz="0" w:space="0" w:color="auto"/>
                    <w:right w:val="none" w:sz="0" w:space="0" w:color="auto"/>
                  </w:divBdr>
                  <w:divsChild>
                    <w:div w:id="103421505">
                      <w:marLeft w:val="0"/>
                      <w:marRight w:val="0"/>
                      <w:marTop w:val="0"/>
                      <w:marBottom w:val="0"/>
                      <w:divBdr>
                        <w:top w:val="none" w:sz="0" w:space="0" w:color="auto"/>
                        <w:left w:val="none" w:sz="0" w:space="0" w:color="auto"/>
                        <w:bottom w:val="none" w:sz="0" w:space="0" w:color="auto"/>
                        <w:right w:val="none" w:sz="0" w:space="0" w:color="auto"/>
                      </w:divBdr>
                    </w:div>
                  </w:divsChild>
                </w:div>
                <w:div w:id="1334185462">
                  <w:marLeft w:val="0"/>
                  <w:marRight w:val="0"/>
                  <w:marTop w:val="0"/>
                  <w:marBottom w:val="0"/>
                  <w:divBdr>
                    <w:top w:val="none" w:sz="0" w:space="0" w:color="auto"/>
                    <w:left w:val="none" w:sz="0" w:space="0" w:color="auto"/>
                    <w:bottom w:val="none" w:sz="0" w:space="0" w:color="auto"/>
                    <w:right w:val="none" w:sz="0" w:space="0" w:color="auto"/>
                  </w:divBdr>
                  <w:divsChild>
                    <w:div w:id="1708332679">
                      <w:marLeft w:val="0"/>
                      <w:marRight w:val="0"/>
                      <w:marTop w:val="0"/>
                      <w:marBottom w:val="0"/>
                      <w:divBdr>
                        <w:top w:val="none" w:sz="0" w:space="0" w:color="auto"/>
                        <w:left w:val="none" w:sz="0" w:space="0" w:color="auto"/>
                        <w:bottom w:val="none" w:sz="0" w:space="0" w:color="auto"/>
                        <w:right w:val="none" w:sz="0" w:space="0" w:color="auto"/>
                      </w:divBdr>
                    </w:div>
                  </w:divsChild>
                </w:div>
                <w:div w:id="1338002815">
                  <w:marLeft w:val="0"/>
                  <w:marRight w:val="0"/>
                  <w:marTop w:val="0"/>
                  <w:marBottom w:val="0"/>
                  <w:divBdr>
                    <w:top w:val="none" w:sz="0" w:space="0" w:color="auto"/>
                    <w:left w:val="none" w:sz="0" w:space="0" w:color="auto"/>
                    <w:bottom w:val="none" w:sz="0" w:space="0" w:color="auto"/>
                    <w:right w:val="none" w:sz="0" w:space="0" w:color="auto"/>
                  </w:divBdr>
                  <w:divsChild>
                    <w:div w:id="1987079127">
                      <w:marLeft w:val="0"/>
                      <w:marRight w:val="0"/>
                      <w:marTop w:val="0"/>
                      <w:marBottom w:val="0"/>
                      <w:divBdr>
                        <w:top w:val="none" w:sz="0" w:space="0" w:color="auto"/>
                        <w:left w:val="none" w:sz="0" w:space="0" w:color="auto"/>
                        <w:bottom w:val="none" w:sz="0" w:space="0" w:color="auto"/>
                        <w:right w:val="none" w:sz="0" w:space="0" w:color="auto"/>
                      </w:divBdr>
                    </w:div>
                  </w:divsChild>
                </w:div>
                <w:div w:id="1338657624">
                  <w:marLeft w:val="0"/>
                  <w:marRight w:val="0"/>
                  <w:marTop w:val="0"/>
                  <w:marBottom w:val="0"/>
                  <w:divBdr>
                    <w:top w:val="none" w:sz="0" w:space="0" w:color="auto"/>
                    <w:left w:val="none" w:sz="0" w:space="0" w:color="auto"/>
                    <w:bottom w:val="none" w:sz="0" w:space="0" w:color="auto"/>
                    <w:right w:val="none" w:sz="0" w:space="0" w:color="auto"/>
                  </w:divBdr>
                  <w:divsChild>
                    <w:div w:id="1512329384">
                      <w:marLeft w:val="0"/>
                      <w:marRight w:val="0"/>
                      <w:marTop w:val="0"/>
                      <w:marBottom w:val="0"/>
                      <w:divBdr>
                        <w:top w:val="none" w:sz="0" w:space="0" w:color="auto"/>
                        <w:left w:val="none" w:sz="0" w:space="0" w:color="auto"/>
                        <w:bottom w:val="none" w:sz="0" w:space="0" w:color="auto"/>
                        <w:right w:val="none" w:sz="0" w:space="0" w:color="auto"/>
                      </w:divBdr>
                    </w:div>
                  </w:divsChild>
                </w:div>
                <w:div w:id="1339043030">
                  <w:marLeft w:val="0"/>
                  <w:marRight w:val="0"/>
                  <w:marTop w:val="0"/>
                  <w:marBottom w:val="0"/>
                  <w:divBdr>
                    <w:top w:val="none" w:sz="0" w:space="0" w:color="auto"/>
                    <w:left w:val="none" w:sz="0" w:space="0" w:color="auto"/>
                    <w:bottom w:val="none" w:sz="0" w:space="0" w:color="auto"/>
                    <w:right w:val="none" w:sz="0" w:space="0" w:color="auto"/>
                  </w:divBdr>
                  <w:divsChild>
                    <w:div w:id="1012685065">
                      <w:marLeft w:val="0"/>
                      <w:marRight w:val="0"/>
                      <w:marTop w:val="0"/>
                      <w:marBottom w:val="0"/>
                      <w:divBdr>
                        <w:top w:val="none" w:sz="0" w:space="0" w:color="auto"/>
                        <w:left w:val="none" w:sz="0" w:space="0" w:color="auto"/>
                        <w:bottom w:val="none" w:sz="0" w:space="0" w:color="auto"/>
                        <w:right w:val="none" w:sz="0" w:space="0" w:color="auto"/>
                      </w:divBdr>
                    </w:div>
                  </w:divsChild>
                </w:div>
                <w:div w:id="1339888315">
                  <w:marLeft w:val="0"/>
                  <w:marRight w:val="0"/>
                  <w:marTop w:val="0"/>
                  <w:marBottom w:val="0"/>
                  <w:divBdr>
                    <w:top w:val="none" w:sz="0" w:space="0" w:color="auto"/>
                    <w:left w:val="none" w:sz="0" w:space="0" w:color="auto"/>
                    <w:bottom w:val="none" w:sz="0" w:space="0" w:color="auto"/>
                    <w:right w:val="none" w:sz="0" w:space="0" w:color="auto"/>
                  </w:divBdr>
                  <w:divsChild>
                    <w:div w:id="812719919">
                      <w:marLeft w:val="0"/>
                      <w:marRight w:val="0"/>
                      <w:marTop w:val="0"/>
                      <w:marBottom w:val="0"/>
                      <w:divBdr>
                        <w:top w:val="none" w:sz="0" w:space="0" w:color="auto"/>
                        <w:left w:val="none" w:sz="0" w:space="0" w:color="auto"/>
                        <w:bottom w:val="none" w:sz="0" w:space="0" w:color="auto"/>
                        <w:right w:val="none" w:sz="0" w:space="0" w:color="auto"/>
                      </w:divBdr>
                    </w:div>
                  </w:divsChild>
                </w:div>
                <w:div w:id="1343239476">
                  <w:marLeft w:val="0"/>
                  <w:marRight w:val="0"/>
                  <w:marTop w:val="0"/>
                  <w:marBottom w:val="0"/>
                  <w:divBdr>
                    <w:top w:val="none" w:sz="0" w:space="0" w:color="auto"/>
                    <w:left w:val="none" w:sz="0" w:space="0" w:color="auto"/>
                    <w:bottom w:val="none" w:sz="0" w:space="0" w:color="auto"/>
                    <w:right w:val="none" w:sz="0" w:space="0" w:color="auto"/>
                  </w:divBdr>
                  <w:divsChild>
                    <w:div w:id="2004774638">
                      <w:marLeft w:val="0"/>
                      <w:marRight w:val="0"/>
                      <w:marTop w:val="0"/>
                      <w:marBottom w:val="0"/>
                      <w:divBdr>
                        <w:top w:val="none" w:sz="0" w:space="0" w:color="auto"/>
                        <w:left w:val="none" w:sz="0" w:space="0" w:color="auto"/>
                        <w:bottom w:val="none" w:sz="0" w:space="0" w:color="auto"/>
                        <w:right w:val="none" w:sz="0" w:space="0" w:color="auto"/>
                      </w:divBdr>
                    </w:div>
                  </w:divsChild>
                </w:div>
                <w:div w:id="1344287176">
                  <w:marLeft w:val="0"/>
                  <w:marRight w:val="0"/>
                  <w:marTop w:val="0"/>
                  <w:marBottom w:val="0"/>
                  <w:divBdr>
                    <w:top w:val="none" w:sz="0" w:space="0" w:color="auto"/>
                    <w:left w:val="none" w:sz="0" w:space="0" w:color="auto"/>
                    <w:bottom w:val="none" w:sz="0" w:space="0" w:color="auto"/>
                    <w:right w:val="none" w:sz="0" w:space="0" w:color="auto"/>
                  </w:divBdr>
                  <w:divsChild>
                    <w:div w:id="1520701303">
                      <w:marLeft w:val="0"/>
                      <w:marRight w:val="0"/>
                      <w:marTop w:val="0"/>
                      <w:marBottom w:val="0"/>
                      <w:divBdr>
                        <w:top w:val="none" w:sz="0" w:space="0" w:color="auto"/>
                        <w:left w:val="none" w:sz="0" w:space="0" w:color="auto"/>
                        <w:bottom w:val="none" w:sz="0" w:space="0" w:color="auto"/>
                        <w:right w:val="none" w:sz="0" w:space="0" w:color="auto"/>
                      </w:divBdr>
                    </w:div>
                  </w:divsChild>
                </w:div>
                <w:div w:id="1347436950">
                  <w:marLeft w:val="0"/>
                  <w:marRight w:val="0"/>
                  <w:marTop w:val="0"/>
                  <w:marBottom w:val="0"/>
                  <w:divBdr>
                    <w:top w:val="none" w:sz="0" w:space="0" w:color="auto"/>
                    <w:left w:val="none" w:sz="0" w:space="0" w:color="auto"/>
                    <w:bottom w:val="none" w:sz="0" w:space="0" w:color="auto"/>
                    <w:right w:val="none" w:sz="0" w:space="0" w:color="auto"/>
                  </w:divBdr>
                  <w:divsChild>
                    <w:div w:id="1990941017">
                      <w:marLeft w:val="0"/>
                      <w:marRight w:val="0"/>
                      <w:marTop w:val="0"/>
                      <w:marBottom w:val="0"/>
                      <w:divBdr>
                        <w:top w:val="none" w:sz="0" w:space="0" w:color="auto"/>
                        <w:left w:val="none" w:sz="0" w:space="0" w:color="auto"/>
                        <w:bottom w:val="none" w:sz="0" w:space="0" w:color="auto"/>
                        <w:right w:val="none" w:sz="0" w:space="0" w:color="auto"/>
                      </w:divBdr>
                    </w:div>
                  </w:divsChild>
                </w:div>
                <w:div w:id="1368140212">
                  <w:marLeft w:val="0"/>
                  <w:marRight w:val="0"/>
                  <w:marTop w:val="0"/>
                  <w:marBottom w:val="0"/>
                  <w:divBdr>
                    <w:top w:val="none" w:sz="0" w:space="0" w:color="auto"/>
                    <w:left w:val="none" w:sz="0" w:space="0" w:color="auto"/>
                    <w:bottom w:val="none" w:sz="0" w:space="0" w:color="auto"/>
                    <w:right w:val="none" w:sz="0" w:space="0" w:color="auto"/>
                  </w:divBdr>
                  <w:divsChild>
                    <w:div w:id="2106146365">
                      <w:marLeft w:val="0"/>
                      <w:marRight w:val="0"/>
                      <w:marTop w:val="0"/>
                      <w:marBottom w:val="0"/>
                      <w:divBdr>
                        <w:top w:val="none" w:sz="0" w:space="0" w:color="auto"/>
                        <w:left w:val="none" w:sz="0" w:space="0" w:color="auto"/>
                        <w:bottom w:val="none" w:sz="0" w:space="0" w:color="auto"/>
                        <w:right w:val="none" w:sz="0" w:space="0" w:color="auto"/>
                      </w:divBdr>
                    </w:div>
                  </w:divsChild>
                </w:div>
                <w:div w:id="1380398084">
                  <w:marLeft w:val="0"/>
                  <w:marRight w:val="0"/>
                  <w:marTop w:val="0"/>
                  <w:marBottom w:val="0"/>
                  <w:divBdr>
                    <w:top w:val="none" w:sz="0" w:space="0" w:color="auto"/>
                    <w:left w:val="none" w:sz="0" w:space="0" w:color="auto"/>
                    <w:bottom w:val="none" w:sz="0" w:space="0" w:color="auto"/>
                    <w:right w:val="none" w:sz="0" w:space="0" w:color="auto"/>
                  </w:divBdr>
                  <w:divsChild>
                    <w:div w:id="1640190323">
                      <w:marLeft w:val="0"/>
                      <w:marRight w:val="0"/>
                      <w:marTop w:val="0"/>
                      <w:marBottom w:val="0"/>
                      <w:divBdr>
                        <w:top w:val="none" w:sz="0" w:space="0" w:color="auto"/>
                        <w:left w:val="none" w:sz="0" w:space="0" w:color="auto"/>
                        <w:bottom w:val="none" w:sz="0" w:space="0" w:color="auto"/>
                        <w:right w:val="none" w:sz="0" w:space="0" w:color="auto"/>
                      </w:divBdr>
                    </w:div>
                  </w:divsChild>
                </w:div>
                <w:div w:id="1393695260">
                  <w:marLeft w:val="0"/>
                  <w:marRight w:val="0"/>
                  <w:marTop w:val="0"/>
                  <w:marBottom w:val="0"/>
                  <w:divBdr>
                    <w:top w:val="none" w:sz="0" w:space="0" w:color="auto"/>
                    <w:left w:val="none" w:sz="0" w:space="0" w:color="auto"/>
                    <w:bottom w:val="none" w:sz="0" w:space="0" w:color="auto"/>
                    <w:right w:val="none" w:sz="0" w:space="0" w:color="auto"/>
                  </w:divBdr>
                  <w:divsChild>
                    <w:div w:id="1465123502">
                      <w:marLeft w:val="0"/>
                      <w:marRight w:val="0"/>
                      <w:marTop w:val="0"/>
                      <w:marBottom w:val="0"/>
                      <w:divBdr>
                        <w:top w:val="none" w:sz="0" w:space="0" w:color="auto"/>
                        <w:left w:val="none" w:sz="0" w:space="0" w:color="auto"/>
                        <w:bottom w:val="none" w:sz="0" w:space="0" w:color="auto"/>
                        <w:right w:val="none" w:sz="0" w:space="0" w:color="auto"/>
                      </w:divBdr>
                    </w:div>
                  </w:divsChild>
                </w:div>
                <w:div w:id="1395928068">
                  <w:marLeft w:val="0"/>
                  <w:marRight w:val="0"/>
                  <w:marTop w:val="0"/>
                  <w:marBottom w:val="0"/>
                  <w:divBdr>
                    <w:top w:val="none" w:sz="0" w:space="0" w:color="auto"/>
                    <w:left w:val="none" w:sz="0" w:space="0" w:color="auto"/>
                    <w:bottom w:val="none" w:sz="0" w:space="0" w:color="auto"/>
                    <w:right w:val="none" w:sz="0" w:space="0" w:color="auto"/>
                  </w:divBdr>
                  <w:divsChild>
                    <w:div w:id="34279617">
                      <w:marLeft w:val="0"/>
                      <w:marRight w:val="0"/>
                      <w:marTop w:val="0"/>
                      <w:marBottom w:val="0"/>
                      <w:divBdr>
                        <w:top w:val="none" w:sz="0" w:space="0" w:color="auto"/>
                        <w:left w:val="none" w:sz="0" w:space="0" w:color="auto"/>
                        <w:bottom w:val="none" w:sz="0" w:space="0" w:color="auto"/>
                        <w:right w:val="none" w:sz="0" w:space="0" w:color="auto"/>
                      </w:divBdr>
                    </w:div>
                  </w:divsChild>
                </w:div>
                <w:div w:id="1399521851">
                  <w:marLeft w:val="0"/>
                  <w:marRight w:val="0"/>
                  <w:marTop w:val="0"/>
                  <w:marBottom w:val="0"/>
                  <w:divBdr>
                    <w:top w:val="none" w:sz="0" w:space="0" w:color="auto"/>
                    <w:left w:val="none" w:sz="0" w:space="0" w:color="auto"/>
                    <w:bottom w:val="none" w:sz="0" w:space="0" w:color="auto"/>
                    <w:right w:val="none" w:sz="0" w:space="0" w:color="auto"/>
                  </w:divBdr>
                  <w:divsChild>
                    <w:div w:id="1509440361">
                      <w:marLeft w:val="0"/>
                      <w:marRight w:val="0"/>
                      <w:marTop w:val="0"/>
                      <w:marBottom w:val="0"/>
                      <w:divBdr>
                        <w:top w:val="none" w:sz="0" w:space="0" w:color="auto"/>
                        <w:left w:val="none" w:sz="0" w:space="0" w:color="auto"/>
                        <w:bottom w:val="none" w:sz="0" w:space="0" w:color="auto"/>
                        <w:right w:val="none" w:sz="0" w:space="0" w:color="auto"/>
                      </w:divBdr>
                    </w:div>
                  </w:divsChild>
                </w:div>
                <w:div w:id="1407263201">
                  <w:marLeft w:val="0"/>
                  <w:marRight w:val="0"/>
                  <w:marTop w:val="0"/>
                  <w:marBottom w:val="0"/>
                  <w:divBdr>
                    <w:top w:val="none" w:sz="0" w:space="0" w:color="auto"/>
                    <w:left w:val="none" w:sz="0" w:space="0" w:color="auto"/>
                    <w:bottom w:val="none" w:sz="0" w:space="0" w:color="auto"/>
                    <w:right w:val="none" w:sz="0" w:space="0" w:color="auto"/>
                  </w:divBdr>
                  <w:divsChild>
                    <w:div w:id="598149353">
                      <w:marLeft w:val="0"/>
                      <w:marRight w:val="0"/>
                      <w:marTop w:val="0"/>
                      <w:marBottom w:val="0"/>
                      <w:divBdr>
                        <w:top w:val="none" w:sz="0" w:space="0" w:color="auto"/>
                        <w:left w:val="none" w:sz="0" w:space="0" w:color="auto"/>
                        <w:bottom w:val="none" w:sz="0" w:space="0" w:color="auto"/>
                        <w:right w:val="none" w:sz="0" w:space="0" w:color="auto"/>
                      </w:divBdr>
                    </w:div>
                  </w:divsChild>
                </w:div>
                <w:div w:id="1409883510">
                  <w:marLeft w:val="0"/>
                  <w:marRight w:val="0"/>
                  <w:marTop w:val="0"/>
                  <w:marBottom w:val="0"/>
                  <w:divBdr>
                    <w:top w:val="none" w:sz="0" w:space="0" w:color="auto"/>
                    <w:left w:val="none" w:sz="0" w:space="0" w:color="auto"/>
                    <w:bottom w:val="none" w:sz="0" w:space="0" w:color="auto"/>
                    <w:right w:val="none" w:sz="0" w:space="0" w:color="auto"/>
                  </w:divBdr>
                  <w:divsChild>
                    <w:div w:id="511803330">
                      <w:marLeft w:val="0"/>
                      <w:marRight w:val="0"/>
                      <w:marTop w:val="0"/>
                      <w:marBottom w:val="0"/>
                      <w:divBdr>
                        <w:top w:val="none" w:sz="0" w:space="0" w:color="auto"/>
                        <w:left w:val="none" w:sz="0" w:space="0" w:color="auto"/>
                        <w:bottom w:val="none" w:sz="0" w:space="0" w:color="auto"/>
                        <w:right w:val="none" w:sz="0" w:space="0" w:color="auto"/>
                      </w:divBdr>
                    </w:div>
                  </w:divsChild>
                </w:div>
                <w:div w:id="1411196792">
                  <w:marLeft w:val="0"/>
                  <w:marRight w:val="0"/>
                  <w:marTop w:val="0"/>
                  <w:marBottom w:val="0"/>
                  <w:divBdr>
                    <w:top w:val="none" w:sz="0" w:space="0" w:color="auto"/>
                    <w:left w:val="none" w:sz="0" w:space="0" w:color="auto"/>
                    <w:bottom w:val="none" w:sz="0" w:space="0" w:color="auto"/>
                    <w:right w:val="none" w:sz="0" w:space="0" w:color="auto"/>
                  </w:divBdr>
                  <w:divsChild>
                    <w:div w:id="1493137872">
                      <w:marLeft w:val="0"/>
                      <w:marRight w:val="0"/>
                      <w:marTop w:val="0"/>
                      <w:marBottom w:val="0"/>
                      <w:divBdr>
                        <w:top w:val="none" w:sz="0" w:space="0" w:color="auto"/>
                        <w:left w:val="none" w:sz="0" w:space="0" w:color="auto"/>
                        <w:bottom w:val="none" w:sz="0" w:space="0" w:color="auto"/>
                        <w:right w:val="none" w:sz="0" w:space="0" w:color="auto"/>
                      </w:divBdr>
                    </w:div>
                  </w:divsChild>
                </w:div>
                <w:div w:id="1411999183">
                  <w:marLeft w:val="0"/>
                  <w:marRight w:val="0"/>
                  <w:marTop w:val="0"/>
                  <w:marBottom w:val="0"/>
                  <w:divBdr>
                    <w:top w:val="none" w:sz="0" w:space="0" w:color="auto"/>
                    <w:left w:val="none" w:sz="0" w:space="0" w:color="auto"/>
                    <w:bottom w:val="none" w:sz="0" w:space="0" w:color="auto"/>
                    <w:right w:val="none" w:sz="0" w:space="0" w:color="auto"/>
                  </w:divBdr>
                  <w:divsChild>
                    <w:div w:id="1554148235">
                      <w:marLeft w:val="0"/>
                      <w:marRight w:val="0"/>
                      <w:marTop w:val="0"/>
                      <w:marBottom w:val="0"/>
                      <w:divBdr>
                        <w:top w:val="none" w:sz="0" w:space="0" w:color="auto"/>
                        <w:left w:val="none" w:sz="0" w:space="0" w:color="auto"/>
                        <w:bottom w:val="none" w:sz="0" w:space="0" w:color="auto"/>
                        <w:right w:val="none" w:sz="0" w:space="0" w:color="auto"/>
                      </w:divBdr>
                    </w:div>
                  </w:divsChild>
                </w:div>
                <w:div w:id="1417945713">
                  <w:marLeft w:val="0"/>
                  <w:marRight w:val="0"/>
                  <w:marTop w:val="0"/>
                  <w:marBottom w:val="0"/>
                  <w:divBdr>
                    <w:top w:val="none" w:sz="0" w:space="0" w:color="auto"/>
                    <w:left w:val="none" w:sz="0" w:space="0" w:color="auto"/>
                    <w:bottom w:val="none" w:sz="0" w:space="0" w:color="auto"/>
                    <w:right w:val="none" w:sz="0" w:space="0" w:color="auto"/>
                  </w:divBdr>
                  <w:divsChild>
                    <w:div w:id="124852625">
                      <w:marLeft w:val="0"/>
                      <w:marRight w:val="0"/>
                      <w:marTop w:val="0"/>
                      <w:marBottom w:val="0"/>
                      <w:divBdr>
                        <w:top w:val="none" w:sz="0" w:space="0" w:color="auto"/>
                        <w:left w:val="none" w:sz="0" w:space="0" w:color="auto"/>
                        <w:bottom w:val="none" w:sz="0" w:space="0" w:color="auto"/>
                        <w:right w:val="none" w:sz="0" w:space="0" w:color="auto"/>
                      </w:divBdr>
                    </w:div>
                  </w:divsChild>
                </w:div>
                <w:div w:id="1420709659">
                  <w:marLeft w:val="0"/>
                  <w:marRight w:val="0"/>
                  <w:marTop w:val="0"/>
                  <w:marBottom w:val="0"/>
                  <w:divBdr>
                    <w:top w:val="none" w:sz="0" w:space="0" w:color="auto"/>
                    <w:left w:val="none" w:sz="0" w:space="0" w:color="auto"/>
                    <w:bottom w:val="none" w:sz="0" w:space="0" w:color="auto"/>
                    <w:right w:val="none" w:sz="0" w:space="0" w:color="auto"/>
                  </w:divBdr>
                  <w:divsChild>
                    <w:div w:id="161435349">
                      <w:marLeft w:val="0"/>
                      <w:marRight w:val="0"/>
                      <w:marTop w:val="0"/>
                      <w:marBottom w:val="0"/>
                      <w:divBdr>
                        <w:top w:val="none" w:sz="0" w:space="0" w:color="auto"/>
                        <w:left w:val="none" w:sz="0" w:space="0" w:color="auto"/>
                        <w:bottom w:val="none" w:sz="0" w:space="0" w:color="auto"/>
                        <w:right w:val="none" w:sz="0" w:space="0" w:color="auto"/>
                      </w:divBdr>
                    </w:div>
                  </w:divsChild>
                </w:div>
                <w:div w:id="1439176992">
                  <w:marLeft w:val="0"/>
                  <w:marRight w:val="0"/>
                  <w:marTop w:val="0"/>
                  <w:marBottom w:val="0"/>
                  <w:divBdr>
                    <w:top w:val="none" w:sz="0" w:space="0" w:color="auto"/>
                    <w:left w:val="none" w:sz="0" w:space="0" w:color="auto"/>
                    <w:bottom w:val="none" w:sz="0" w:space="0" w:color="auto"/>
                    <w:right w:val="none" w:sz="0" w:space="0" w:color="auto"/>
                  </w:divBdr>
                  <w:divsChild>
                    <w:div w:id="472720942">
                      <w:marLeft w:val="0"/>
                      <w:marRight w:val="0"/>
                      <w:marTop w:val="0"/>
                      <w:marBottom w:val="0"/>
                      <w:divBdr>
                        <w:top w:val="none" w:sz="0" w:space="0" w:color="auto"/>
                        <w:left w:val="none" w:sz="0" w:space="0" w:color="auto"/>
                        <w:bottom w:val="none" w:sz="0" w:space="0" w:color="auto"/>
                        <w:right w:val="none" w:sz="0" w:space="0" w:color="auto"/>
                      </w:divBdr>
                    </w:div>
                  </w:divsChild>
                </w:div>
                <w:div w:id="1440416796">
                  <w:marLeft w:val="0"/>
                  <w:marRight w:val="0"/>
                  <w:marTop w:val="0"/>
                  <w:marBottom w:val="0"/>
                  <w:divBdr>
                    <w:top w:val="none" w:sz="0" w:space="0" w:color="auto"/>
                    <w:left w:val="none" w:sz="0" w:space="0" w:color="auto"/>
                    <w:bottom w:val="none" w:sz="0" w:space="0" w:color="auto"/>
                    <w:right w:val="none" w:sz="0" w:space="0" w:color="auto"/>
                  </w:divBdr>
                  <w:divsChild>
                    <w:div w:id="169301853">
                      <w:marLeft w:val="0"/>
                      <w:marRight w:val="0"/>
                      <w:marTop w:val="0"/>
                      <w:marBottom w:val="0"/>
                      <w:divBdr>
                        <w:top w:val="none" w:sz="0" w:space="0" w:color="auto"/>
                        <w:left w:val="none" w:sz="0" w:space="0" w:color="auto"/>
                        <w:bottom w:val="none" w:sz="0" w:space="0" w:color="auto"/>
                        <w:right w:val="none" w:sz="0" w:space="0" w:color="auto"/>
                      </w:divBdr>
                    </w:div>
                    <w:div w:id="708532549">
                      <w:marLeft w:val="0"/>
                      <w:marRight w:val="0"/>
                      <w:marTop w:val="0"/>
                      <w:marBottom w:val="0"/>
                      <w:divBdr>
                        <w:top w:val="none" w:sz="0" w:space="0" w:color="auto"/>
                        <w:left w:val="none" w:sz="0" w:space="0" w:color="auto"/>
                        <w:bottom w:val="none" w:sz="0" w:space="0" w:color="auto"/>
                        <w:right w:val="none" w:sz="0" w:space="0" w:color="auto"/>
                      </w:divBdr>
                    </w:div>
                    <w:div w:id="1571577918">
                      <w:marLeft w:val="0"/>
                      <w:marRight w:val="0"/>
                      <w:marTop w:val="0"/>
                      <w:marBottom w:val="0"/>
                      <w:divBdr>
                        <w:top w:val="none" w:sz="0" w:space="0" w:color="auto"/>
                        <w:left w:val="none" w:sz="0" w:space="0" w:color="auto"/>
                        <w:bottom w:val="none" w:sz="0" w:space="0" w:color="auto"/>
                        <w:right w:val="none" w:sz="0" w:space="0" w:color="auto"/>
                      </w:divBdr>
                    </w:div>
                  </w:divsChild>
                </w:div>
                <w:div w:id="1447314102">
                  <w:marLeft w:val="0"/>
                  <w:marRight w:val="0"/>
                  <w:marTop w:val="0"/>
                  <w:marBottom w:val="0"/>
                  <w:divBdr>
                    <w:top w:val="none" w:sz="0" w:space="0" w:color="auto"/>
                    <w:left w:val="none" w:sz="0" w:space="0" w:color="auto"/>
                    <w:bottom w:val="none" w:sz="0" w:space="0" w:color="auto"/>
                    <w:right w:val="none" w:sz="0" w:space="0" w:color="auto"/>
                  </w:divBdr>
                  <w:divsChild>
                    <w:div w:id="1907298227">
                      <w:marLeft w:val="0"/>
                      <w:marRight w:val="0"/>
                      <w:marTop w:val="0"/>
                      <w:marBottom w:val="0"/>
                      <w:divBdr>
                        <w:top w:val="none" w:sz="0" w:space="0" w:color="auto"/>
                        <w:left w:val="none" w:sz="0" w:space="0" w:color="auto"/>
                        <w:bottom w:val="none" w:sz="0" w:space="0" w:color="auto"/>
                        <w:right w:val="none" w:sz="0" w:space="0" w:color="auto"/>
                      </w:divBdr>
                    </w:div>
                  </w:divsChild>
                </w:div>
                <w:div w:id="1456170805">
                  <w:marLeft w:val="0"/>
                  <w:marRight w:val="0"/>
                  <w:marTop w:val="0"/>
                  <w:marBottom w:val="0"/>
                  <w:divBdr>
                    <w:top w:val="none" w:sz="0" w:space="0" w:color="auto"/>
                    <w:left w:val="none" w:sz="0" w:space="0" w:color="auto"/>
                    <w:bottom w:val="none" w:sz="0" w:space="0" w:color="auto"/>
                    <w:right w:val="none" w:sz="0" w:space="0" w:color="auto"/>
                  </w:divBdr>
                  <w:divsChild>
                    <w:div w:id="1467047808">
                      <w:marLeft w:val="0"/>
                      <w:marRight w:val="0"/>
                      <w:marTop w:val="0"/>
                      <w:marBottom w:val="0"/>
                      <w:divBdr>
                        <w:top w:val="none" w:sz="0" w:space="0" w:color="auto"/>
                        <w:left w:val="none" w:sz="0" w:space="0" w:color="auto"/>
                        <w:bottom w:val="none" w:sz="0" w:space="0" w:color="auto"/>
                        <w:right w:val="none" w:sz="0" w:space="0" w:color="auto"/>
                      </w:divBdr>
                    </w:div>
                  </w:divsChild>
                </w:div>
                <w:div w:id="1463231952">
                  <w:marLeft w:val="0"/>
                  <w:marRight w:val="0"/>
                  <w:marTop w:val="0"/>
                  <w:marBottom w:val="0"/>
                  <w:divBdr>
                    <w:top w:val="none" w:sz="0" w:space="0" w:color="auto"/>
                    <w:left w:val="none" w:sz="0" w:space="0" w:color="auto"/>
                    <w:bottom w:val="none" w:sz="0" w:space="0" w:color="auto"/>
                    <w:right w:val="none" w:sz="0" w:space="0" w:color="auto"/>
                  </w:divBdr>
                  <w:divsChild>
                    <w:div w:id="710302995">
                      <w:marLeft w:val="0"/>
                      <w:marRight w:val="0"/>
                      <w:marTop w:val="0"/>
                      <w:marBottom w:val="0"/>
                      <w:divBdr>
                        <w:top w:val="none" w:sz="0" w:space="0" w:color="auto"/>
                        <w:left w:val="none" w:sz="0" w:space="0" w:color="auto"/>
                        <w:bottom w:val="none" w:sz="0" w:space="0" w:color="auto"/>
                        <w:right w:val="none" w:sz="0" w:space="0" w:color="auto"/>
                      </w:divBdr>
                    </w:div>
                  </w:divsChild>
                </w:div>
                <w:div w:id="1470976580">
                  <w:marLeft w:val="0"/>
                  <w:marRight w:val="0"/>
                  <w:marTop w:val="0"/>
                  <w:marBottom w:val="0"/>
                  <w:divBdr>
                    <w:top w:val="none" w:sz="0" w:space="0" w:color="auto"/>
                    <w:left w:val="none" w:sz="0" w:space="0" w:color="auto"/>
                    <w:bottom w:val="none" w:sz="0" w:space="0" w:color="auto"/>
                    <w:right w:val="none" w:sz="0" w:space="0" w:color="auto"/>
                  </w:divBdr>
                  <w:divsChild>
                    <w:div w:id="800726297">
                      <w:marLeft w:val="0"/>
                      <w:marRight w:val="0"/>
                      <w:marTop w:val="0"/>
                      <w:marBottom w:val="0"/>
                      <w:divBdr>
                        <w:top w:val="none" w:sz="0" w:space="0" w:color="auto"/>
                        <w:left w:val="none" w:sz="0" w:space="0" w:color="auto"/>
                        <w:bottom w:val="none" w:sz="0" w:space="0" w:color="auto"/>
                        <w:right w:val="none" w:sz="0" w:space="0" w:color="auto"/>
                      </w:divBdr>
                    </w:div>
                  </w:divsChild>
                </w:div>
                <w:div w:id="1481844786">
                  <w:marLeft w:val="0"/>
                  <w:marRight w:val="0"/>
                  <w:marTop w:val="0"/>
                  <w:marBottom w:val="0"/>
                  <w:divBdr>
                    <w:top w:val="none" w:sz="0" w:space="0" w:color="auto"/>
                    <w:left w:val="none" w:sz="0" w:space="0" w:color="auto"/>
                    <w:bottom w:val="none" w:sz="0" w:space="0" w:color="auto"/>
                    <w:right w:val="none" w:sz="0" w:space="0" w:color="auto"/>
                  </w:divBdr>
                  <w:divsChild>
                    <w:div w:id="557979482">
                      <w:marLeft w:val="0"/>
                      <w:marRight w:val="0"/>
                      <w:marTop w:val="0"/>
                      <w:marBottom w:val="0"/>
                      <w:divBdr>
                        <w:top w:val="none" w:sz="0" w:space="0" w:color="auto"/>
                        <w:left w:val="none" w:sz="0" w:space="0" w:color="auto"/>
                        <w:bottom w:val="none" w:sz="0" w:space="0" w:color="auto"/>
                        <w:right w:val="none" w:sz="0" w:space="0" w:color="auto"/>
                      </w:divBdr>
                    </w:div>
                  </w:divsChild>
                </w:div>
                <w:div w:id="1491674507">
                  <w:marLeft w:val="0"/>
                  <w:marRight w:val="0"/>
                  <w:marTop w:val="0"/>
                  <w:marBottom w:val="0"/>
                  <w:divBdr>
                    <w:top w:val="none" w:sz="0" w:space="0" w:color="auto"/>
                    <w:left w:val="none" w:sz="0" w:space="0" w:color="auto"/>
                    <w:bottom w:val="none" w:sz="0" w:space="0" w:color="auto"/>
                    <w:right w:val="none" w:sz="0" w:space="0" w:color="auto"/>
                  </w:divBdr>
                  <w:divsChild>
                    <w:div w:id="1893231342">
                      <w:marLeft w:val="0"/>
                      <w:marRight w:val="0"/>
                      <w:marTop w:val="0"/>
                      <w:marBottom w:val="0"/>
                      <w:divBdr>
                        <w:top w:val="none" w:sz="0" w:space="0" w:color="auto"/>
                        <w:left w:val="none" w:sz="0" w:space="0" w:color="auto"/>
                        <w:bottom w:val="none" w:sz="0" w:space="0" w:color="auto"/>
                        <w:right w:val="none" w:sz="0" w:space="0" w:color="auto"/>
                      </w:divBdr>
                    </w:div>
                  </w:divsChild>
                </w:div>
                <w:div w:id="1498302976">
                  <w:marLeft w:val="0"/>
                  <w:marRight w:val="0"/>
                  <w:marTop w:val="0"/>
                  <w:marBottom w:val="0"/>
                  <w:divBdr>
                    <w:top w:val="none" w:sz="0" w:space="0" w:color="auto"/>
                    <w:left w:val="none" w:sz="0" w:space="0" w:color="auto"/>
                    <w:bottom w:val="none" w:sz="0" w:space="0" w:color="auto"/>
                    <w:right w:val="none" w:sz="0" w:space="0" w:color="auto"/>
                  </w:divBdr>
                  <w:divsChild>
                    <w:div w:id="768934931">
                      <w:marLeft w:val="0"/>
                      <w:marRight w:val="0"/>
                      <w:marTop w:val="0"/>
                      <w:marBottom w:val="0"/>
                      <w:divBdr>
                        <w:top w:val="none" w:sz="0" w:space="0" w:color="auto"/>
                        <w:left w:val="none" w:sz="0" w:space="0" w:color="auto"/>
                        <w:bottom w:val="none" w:sz="0" w:space="0" w:color="auto"/>
                        <w:right w:val="none" w:sz="0" w:space="0" w:color="auto"/>
                      </w:divBdr>
                    </w:div>
                  </w:divsChild>
                </w:div>
                <w:div w:id="1509061621">
                  <w:marLeft w:val="0"/>
                  <w:marRight w:val="0"/>
                  <w:marTop w:val="0"/>
                  <w:marBottom w:val="0"/>
                  <w:divBdr>
                    <w:top w:val="none" w:sz="0" w:space="0" w:color="auto"/>
                    <w:left w:val="none" w:sz="0" w:space="0" w:color="auto"/>
                    <w:bottom w:val="none" w:sz="0" w:space="0" w:color="auto"/>
                    <w:right w:val="none" w:sz="0" w:space="0" w:color="auto"/>
                  </w:divBdr>
                  <w:divsChild>
                    <w:div w:id="253590008">
                      <w:marLeft w:val="0"/>
                      <w:marRight w:val="0"/>
                      <w:marTop w:val="0"/>
                      <w:marBottom w:val="0"/>
                      <w:divBdr>
                        <w:top w:val="none" w:sz="0" w:space="0" w:color="auto"/>
                        <w:left w:val="none" w:sz="0" w:space="0" w:color="auto"/>
                        <w:bottom w:val="none" w:sz="0" w:space="0" w:color="auto"/>
                        <w:right w:val="none" w:sz="0" w:space="0" w:color="auto"/>
                      </w:divBdr>
                    </w:div>
                  </w:divsChild>
                </w:div>
                <w:div w:id="1510634173">
                  <w:marLeft w:val="0"/>
                  <w:marRight w:val="0"/>
                  <w:marTop w:val="0"/>
                  <w:marBottom w:val="0"/>
                  <w:divBdr>
                    <w:top w:val="none" w:sz="0" w:space="0" w:color="auto"/>
                    <w:left w:val="none" w:sz="0" w:space="0" w:color="auto"/>
                    <w:bottom w:val="none" w:sz="0" w:space="0" w:color="auto"/>
                    <w:right w:val="none" w:sz="0" w:space="0" w:color="auto"/>
                  </w:divBdr>
                  <w:divsChild>
                    <w:div w:id="1930189205">
                      <w:marLeft w:val="0"/>
                      <w:marRight w:val="0"/>
                      <w:marTop w:val="0"/>
                      <w:marBottom w:val="0"/>
                      <w:divBdr>
                        <w:top w:val="none" w:sz="0" w:space="0" w:color="auto"/>
                        <w:left w:val="none" w:sz="0" w:space="0" w:color="auto"/>
                        <w:bottom w:val="none" w:sz="0" w:space="0" w:color="auto"/>
                        <w:right w:val="none" w:sz="0" w:space="0" w:color="auto"/>
                      </w:divBdr>
                    </w:div>
                  </w:divsChild>
                </w:div>
                <w:div w:id="1517114336">
                  <w:marLeft w:val="0"/>
                  <w:marRight w:val="0"/>
                  <w:marTop w:val="0"/>
                  <w:marBottom w:val="0"/>
                  <w:divBdr>
                    <w:top w:val="none" w:sz="0" w:space="0" w:color="auto"/>
                    <w:left w:val="none" w:sz="0" w:space="0" w:color="auto"/>
                    <w:bottom w:val="none" w:sz="0" w:space="0" w:color="auto"/>
                    <w:right w:val="none" w:sz="0" w:space="0" w:color="auto"/>
                  </w:divBdr>
                  <w:divsChild>
                    <w:div w:id="1550652817">
                      <w:marLeft w:val="0"/>
                      <w:marRight w:val="0"/>
                      <w:marTop w:val="0"/>
                      <w:marBottom w:val="0"/>
                      <w:divBdr>
                        <w:top w:val="none" w:sz="0" w:space="0" w:color="auto"/>
                        <w:left w:val="none" w:sz="0" w:space="0" w:color="auto"/>
                        <w:bottom w:val="none" w:sz="0" w:space="0" w:color="auto"/>
                        <w:right w:val="none" w:sz="0" w:space="0" w:color="auto"/>
                      </w:divBdr>
                    </w:div>
                  </w:divsChild>
                </w:div>
                <w:div w:id="1531986808">
                  <w:marLeft w:val="0"/>
                  <w:marRight w:val="0"/>
                  <w:marTop w:val="0"/>
                  <w:marBottom w:val="0"/>
                  <w:divBdr>
                    <w:top w:val="none" w:sz="0" w:space="0" w:color="auto"/>
                    <w:left w:val="none" w:sz="0" w:space="0" w:color="auto"/>
                    <w:bottom w:val="none" w:sz="0" w:space="0" w:color="auto"/>
                    <w:right w:val="none" w:sz="0" w:space="0" w:color="auto"/>
                  </w:divBdr>
                  <w:divsChild>
                    <w:div w:id="981733793">
                      <w:marLeft w:val="0"/>
                      <w:marRight w:val="0"/>
                      <w:marTop w:val="0"/>
                      <w:marBottom w:val="0"/>
                      <w:divBdr>
                        <w:top w:val="none" w:sz="0" w:space="0" w:color="auto"/>
                        <w:left w:val="none" w:sz="0" w:space="0" w:color="auto"/>
                        <w:bottom w:val="none" w:sz="0" w:space="0" w:color="auto"/>
                        <w:right w:val="none" w:sz="0" w:space="0" w:color="auto"/>
                      </w:divBdr>
                    </w:div>
                  </w:divsChild>
                </w:div>
                <w:div w:id="1534148625">
                  <w:marLeft w:val="0"/>
                  <w:marRight w:val="0"/>
                  <w:marTop w:val="0"/>
                  <w:marBottom w:val="0"/>
                  <w:divBdr>
                    <w:top w:val="none" w:sz="0" w:space="0" w:color="auto"/>
                    <w:left w:val="none" w:sz="0" w:space="0" w:color="auto"/>
                    <w:bottom w:val="none" w:sz="0" w:space="0" w:color="auto"/>
                    <w:right w:val="none" w:sz="0" w:space="0" w:color="auto"/>
                  </w:divBdr>
                  <w:divsChild>
                    <w:div w:id="415976532">
                      <w:marLeft w:val="0"/>
                      <w:marRight w:val="0"/>
                      <w:marTop w:val="0"/>
                      <w:marBottom w:val="0"/>
                      <w:divBdr>
                        <w:top w:val="none" w:sz="0" w:space="0" w:color="auto"/>
                        <w:left w:val="none" w:sz="0" w:space="0" w:color="auto"/>
                        <w:bottom w:val="none" w:sz="0" w:space="0" w:color="auto"/>
                        <w:right w:val="none" w:sz="0" w:space="0" w:color="auto"/>
                      </w:divBdr>
                    </w:div>
                  </w:divsChild>
                </w:div>
                <w:div w:id="1539659287">
                  <w:marLeft w:val="0"/>
                  <w:marRight w:val="0"/>
                  <w:marTop w:val="0"/>
                  <w:marBottom w:val="0"/>
                  <w:divBdr>
                    <w:top w:val="none" w:sz="0" w:space="0" w:color="auto"/>
                    <w:left w:val="none" w:sz="0" w:space="0" w:color="auto"/>
                    <w:bottom w:val="none" w:sz="0" w:space="0" w:color="auto"/>
                    <w:right w:val="none" w:sz="0" w:space="0" w:color="auto"/>
                  </w:divBdr>
                  <w:divsChild>
                    <w:div w:id="870647217">
                      <w:marLeft w:val="0"/>
                      <w:marRight w:val="0"/>
                      <w:marTop w:val="0"/>
                      <w:marBottom w:val="0"/>
                      <w:divBdr>
                        <w:top w:val="none" w:sz="0" w:space="0" w:color="auto"/>
                        <w:left w:val="none" w:sz="0" w:space="0" w:color="auto"/>
                        <w:bottom w:val="none" w:sz="0" w:space="0" w:color="auto"/>
                        <w:right w:val="none" w:sz="0" w:space="0" w:color="auto"/>
                      </w:divBdr>
                    </w:div>
                  </w:divsChild>
                </w:div>
                <w:div w:id="1545674412">
                  <w:marLeft w:val="0"/>
                  <w:marRight w:val="0"/>
                  <w:marTop w:val="0"/>
                  <w:marBottom w:val="0"/>
                  <w:divBdr>
                    <w:top w:val="none" w:sz="0" w:space="0" w:color="auto"/>
                    <w:left w:val="none" w:sz="0" w:space="0" w:color="auto"/>
                    <w:bottom w:val="none" w:sz="0" w:space="0" w:color="auto"/>
                    <w:right w:val="none" w:sz="0" w:space="0" w:color="auto"/>
                  </w:divBdr>
                  <w:divsChild>
                    <w:div w:id="1698238868">
                      <w:marLeft w:val="0"/>
                      <w:marRight w:val="0"/>
                      <w:marTop w:val="0"/>
                      <w:marBottom w:val="0"/>
                      <w:divBdr>
                        <w:top w:val="none" w:sz="0" w:space="0" w:color="auto"/>
                        <w:left w:val="none" w:sz="0" w:space="0" w:color="auto"/>
                        <w:bottom w:val="none" w:sz="0" w:space="0" w:color="auto"/>
                        <w:right w:val="none" w:sz="0" w:space="0" w:color="auto"/>
                      </w:divBdr>
                    </w:div>
                  </w:divsChild>
                </w:div>
                <w:div w:id="1548568504">
                  <w:marLeft w:val="0"/>
                  <w:marRight w:val="0"/>
                  <w:marTop w:val="0"/>
                  <w:marBottom w:val="0"/>
                  <w:divBdr>
                    <w:top w:val="none" w:sz="0" w:space="0" w:color="auto"/>
                    <w:left w:val="none" w:sz="0" w:space="0" w:color="auto"/>
                    <w:bottom w:val="none" w:sz="0" w:space="0" w:color="auto"/>
                    <w:right w:val="none" w:sz="0" w:space="0" w:color="auto"/>
                  </w:divBdr>
                  <w:divsChild>
                    <w:div w:id="890699878">
                      <w:marLeft w:val="0"/>
                      <w:marRight w:val="0"/>
                      <w:marTop w:val="0"/>
                      <w:marBottom w:val="0"/>
                      <w:divBdr>
                        <w:top w:val="none" w:sz="0" w:space="0" w:color="auto"/>
                        <w:left w:val="none" w:sz="0" w:space="0" w:color="auto"/>
                        <w:bottom w:val="none" w:sz="0" w:space="0" w:color="auto"/>
                        <w:right w:val="none" w:sz="0" w:space="0" w:color="auto"/>
                      </w:divBdr>
                    </w:div>
                  </w:divsChild>
                </w:div>
                <w:div w:id="1567764915">
                  <w:marLeft w:val="0"/>
                  <w:marRight w:val="0"/>
                  <w:marTop w:val="0"/>
                  <w:marBottom w:val="0"/>
                  <w:divBdr>
                    <w:top w:val="none" w:sz="0" w:space="0" w:color="auto"/>
                    <w:left w:val="none" w:sz="0" w:space="0" w:color="auto"/>
                    <w:bottom w:val="none" w:sz="0" w:space="0" w:color="auto"/>
                    <w:right w:val="none" w:sz="0" w:space="0" w:color="auto"/>
                  </w:divBdr>
                  <w:divsChild>
                    <w:div w:id="796679327">
                      <w:marLeft w:val="0"/>
                      <w:marRight w:val="0"/>
                      <w:marTop w:val="0"/>
                      <w:marBottom w:val="0"/>
                      <w:divBdr>
                        <w:top w:val="none" w:sz="0" w:space="0" w:color="auto"/>
                        <w:left w:val="none" w:sz="0" w:space="0" w:color="auto"/>
                        <w:bottom w:val="none" w:sz="0" w:space="0" w:color="auto"/>
                        <w:right w:val="none" w:sz="0" w:space="0" w:color="auto"/>
                      </w:divBdr>
                    </w:div>
                  </w:divsChild>
                </w:div>
                <w:div w:id="1570574924">
                  <w:marLeft w:val="0"/>
                  <w:marRight w:val="0"/>
                  <w:marTop w:val="0"/>
                  <w:marBottom w:val="0"/>
                  <w:divBdr>
                    <w:top w:val="none" w:sz="0" w:space="0" w:color="auto"/>
                    <w:left w:val="none" w:sz="0" w:space="0" w:color="auto"/>
                    <w:bottom w:val="none" w:sz="0" w:space="0" w:color="auto"/>
                    <w:right w:val="none" w:sz="0" w:space="0" w:color="auto"/>
                  </w:divBdr>
                  <w:divsChild>
                    <w:div w:id="342367146">
                      <w:marLeft w:val="0"/>
                      <w:marRight w:val="0"/>
                      <w:marTop w:val="0"/>
                      <w:marBottom w:val="0"/>
                      <w:divBdr>
                        <w:top w:val="none" w:sz="0" w:space="0" w:color="auto"/>
                        <w:left w:val="none" w:sz="0" w:space="0" w:color="auto"/>
                        <w:bottom w:val="none" w:sz="0" w:space="0" w:color="auto"/>
                        <w:right w:val="none" w:sz="0" w:space="0" w:color="auto"/>
                      </w:divBdr>
                    </w:div>
                  </w:divsChild>
                </w:div>
                <w:div w:id="1576009755">
                  <w:marLeft w:val="0"/>
                  <w:marRight w:val="0"/>
                  <w:marTop w:val="0"/>
                  <w:marBottom w:val="0"/>
                  <w:divBdr>
                    <w:top w:val="none" w:sz="0" w:space="0" w:color="auto"/>
                    <w:left w:val="none" w:sz="0" w:space="0" w:color="auto"/>
                    <w:bottom w:val="none" w:sz="0" w:space="0" w:color="auto"/>
                    <w:right w:val="none" w:sz="0" w:space="0" w:color="auto"/>
                  </w:divBdr>
                  <w:divsChild>
                    <w:div w:id="1828128938">
                      <w:marLeft w:val="0"/>
                      <w:marRight w:val="0"/>
                      <w:marTop w:val="0"/>
                      <w:marBottom w:val="0"/>
                      <w:divBdr>
                        <w:top w:val="none" w:sz="0" w:space="0" w:color="auto"/>
                        <w:left w:val="none" w:sz="0" w:space="0" w:color="auto"/>
                        <w:bottom w:val="none" w:sz="0" w:space="0" w:color="auto"/>
                        <w:right w:val="none" w:sz="0" w:space="0" w:color="auto"/>
                      </w:divBdr>
                    </w:div>
                  </w:divsChild>
                </w:div>
                <w:div w:id="1582911610">
                  <w:marLeft w:val="0"/>
                  <w:marRight w:val="0"/>
                  <w:marTop w:val="0"/>
                  <w:marBottom w:val="0"/>
                  <w:divBdr>
                    <w:top w:val="none" w:sz="0" w:space="0" w:color="auto"/>
                    <w:left w:val="none" w:sz="0" w:space="0" w:color="auto"/>
                    <w:bottom w:val="none" w:sz="0" w:space="0" w:color="auto"/>
                    <w:right w:val="none" w:sz="0" w:space="0" w:color="auto"/>
                  </w:divBdr>
                  <w:divsChild>
                    <w:div w:id="81143387">
                      <w:marLeft w:val="0"/>
                      <w:marRight w:val="0"/>
                      <w:marTop w:val="0"/>
                      <w:marBottom w:val="0"/>
                      <w:divBdr>
                        <w:top w:val="none" w:sz="0" w:space="0" w:color="auto"/>
                        <w:left w:val="none" w:sz="0" w:space="0" w:color="auto"/>
                        <w:bottom w:val="none" w:sz="0" w:space="0" w:color="auto"/>
                        <w:right w:val="none" w:sz="0" w:space="0" w:color="auto"/>
                      </w:divBdr>
                    </w:div>
                    <w:div w:id="223417321">
                      <w:marLeft w:val="0"/>
                      <w:marRight w:val="0"/>
                      <w:marTop w:val="0"/>
                      <w:marBottom w:val="0"/>
                      <w:divBdr>
                        <w:top w:val="none" w:sz="0" w:space="0" w:color="auto"/>
                        <w:left w:val="none" w:sz="0" w:space="0" w:color="auto"/>
                        <w:bottom w:val="none" w:sz="0" w:space="0" w:color="auto"/>
                        <w:right w:val="none" w:sz="0" w:space="0" w:color="auto"/>
                      </w:divBdr>
                    </w:div>
                  </w:divsChild>
                </w:div>
                <w:div w:id="1583830519">
                  <w:marLeft w:val="0"/>
                  <w:marRight w:val="0"/>
                  <w:marTop w:val="0"/>
                  <w:marBottom w:val="0"/>
                  <w:divBdr>
                    <w:top w:val="none" w:sz="0" w:space="0" w:color="auto"/>
                    <w:left w:val="none" w:sz="0" w:space="0" w:color="auto"/>
                    <w:bottom w:val="none" w:sz="0" w:space="0" w:color="auto"/>
                    <w:right w:val="none" w:sz="0" w:space="0" w:color="auto"/>
                  </w:divBdr>
                  <w:divsChild>
                    <w:div w:id="1929194341">
                      <w:marLeft w:val="0"/>
                      <w:marRight w:val="0"/>
                      <w:marTop w:val="0"/>
                      <w:marBottom w:val="0"/>
                      <w:divBdr>
                        <w:top w:val="none" w:sz="0" w:space="0" w:color="auto"/>
                        <w:left w:val="none" w:sz="0" w:space="0" w:color="auto"/>
                        <w:bottom w:val="none" w:sz="0" w:space="0" w:color="auto"/>
                        <w:right w:val="none" w:sz="0" w:space="0" w:color="auto"/>
                      </w:divBdr>
                    </w:div>
                  </w:divsChild>
                </w:div>
                <w:div w:id="1585842787">
                  <w:marLeft w:val="0"/>
                  <w:marRight w:val="0"/>
                  <w:marTop w:val="0"/>
                  <w:marBottom w:val="0"/>
                  <w:divBdr>
                    <w:top w:val="none" w:sz="0" w:space="0" w:color="auto"/>
                    <w:left w:val="none" w:sz="0" w:space="0" w:color="auto"/>
                    <w:bottom w:val="none" w:sz="0" w:space="0" w:color="auto"/>
                    <w:right w:val="none" w:sz="0" w:space="0" w:color="auto"/>
                  </w:divBdr>
                  <w:divsChild>
                    <w:div w:id="853424294">
                      <w:marLeft w:val="0"/>
                      <w:marRight w:val="0"/>
                      <w:marTop w:val="0"/>
                      <w:marBottom w:val="0"/>
                      <w:divBdr>
                        <w:top w:val="none" w:sz="0" w:space="0" w:color="auto"/>
                        <w:left w:val="none" w:sz="0" w:space="0" w:color="auto"/>
                        <w:bottom w:val="none" w:sz="0" w:space="0" w:color="auto"/>
                        <w:right w:val="none" w:sz="0" w:space="0" w:color="auto"/>
                      </w:divBdr>
                    </w:div>
                  </w:divsChild>
                </w:div>
                <w:div w:id="1586109004">
                  <w:marLeft w:val="0"/>
                  <w:marRight w:val="0"/>
                  <w:marTop w:val="0"/>
                  <w:marBottom w:val="0"/>
                  <w:divBdr>
                    <w:top w:val="none" w:sz="0" w:space="0" w:color="auto"/>
                    <w:left w:val="none" w:sz="0" w:space="0" w:color="auto"/>
                    <w:bottom w:val="none" w:sz="0" w:space="0" w:color="auto"/>
                    <w:right w:val="none" w:sz="0" w:space="0" w:color="auto"/>
                  </w:divBdr>
                  <w:divsChild>
                    <w:div w:id="2037194129">
                      <w:marLeft w:val="0"/>
                      <w:marRight w:val="0"/>
                      <w:marTop w:val="0"/>
                      <w:marBottom w:val="0"/>
                      <w:divBdr>
                        <w:top w:val="none" w:sz="0" w:space="0" w:color="auto"/>
                        <w:left w:val="none" w:sz="0" w:space="0" w:color="auto"/>
                        <w:bottom w:val="none" w:sz="0" w:space="0" w:color="auto"/>
                        <w:right w:val="none" w:sz="0" w:space="0" w:color="auto"/>
                      </w:divBdr>
                    </w:div>
                  </w:divsChild>
                </w:div>
                <w:div w:id="1586645760">
                  <w:marLeft w:val="0"/>
                  <w:marRight w:val="0"/>
                  <w:marTop w:val="0"/>
                  <w:marBottom w:val="0"/>
                  <w:divBdr>
                    <w:top w:val="none" w:sz="0" w:space="0" w:color="auto"/>
                    <w:left w:val="none" w:sz="0" w:space="0" w:color="auto"/>
                    <w:bottom w:val="none" w:sz="0" w:space="0" w:color="auto"/>
                    <w:right w:val="none" w:sz="0" w:space="0" w:color="auto"/>
                  </w:divBdr>
                  <w:divsChild>
                    <w:div w:id="1849906107">
                      <w:marLeft w:val="0"/>
                      <w:marRight w:val="0"/>
                      <w:marTop w:val="0"/>
                      <w:marBottom w:val="0"/>
                      <w:divBdr>
                        <w:top w:val="none" w:sz="0" w:space="0" w:color="auto"/>
                        <w:left w:val="none" w:sz="0" w:space="0" w:color="auto"/>
                        <w:bottom w:val="none" w:sz="0" w:space="0" w:color="auto"/>
                        <w:right w:val="none" w:sz="0" w:space="0" w:color="auto"/>
                      </w:divBdr>
                    </w:div>
                  </w:divsChild>
                </w:div>
                <w:div w:id="1587571487">
                  <w:marLeft w:val="0"/>
                  <w:marRight w:val="0"/>
                  <w:marTop w:val="0"/>
                  <w:marBottom w:val="0"/>
                  <w:divBdr>
                    <w:top w:val="none" w:sz="0" w:space="0" w:color="auto"/>
                    <w:left w:val="none" w:sz="0" w:space="0" w:color="auto"/>
                    <w:bottom w:val="none" w:sz="0" w:space="0" w:color="auto"/>
                    <w:right w:val="none" w:sz="0" w:space="0" w:color="auto"/>
                  </w:divBdr>
                  <w:divsChild>
                    <w:div w:id="958758316">
                      <w:marLeft w:val="0"/>
                      <w:marRight w:val="0"/>
                      <w:marTop w:val="0"/>
                      <w:marBottom w:val="0"/>
                      <w:divBdr>
                        <w:top w:val="none" w:sz="0" w:space="0" w:color="auto"/>
                        <w:left w:val="none" w:sz="0" w:space="0" w:color="auto"/>
                        <w:bottom w:val="none" w:sz="0" w:space="0" w:color="auto"/>
                        <w:right w:val="none" w:sz="0" w:space="0" w:color="auto"/>
                      </w:divBdr>
                    </w:div>
                  </w:divsChild>
                </w:div>
                <w:div w:id="1588153573">
                  <w:marLeft w:val="0"/>
                  <w:marRight w:val="0"/>
                  <w:marTop w:val="0"/>
                  <w:marBottom w:val="0"/>
                  <w:divBdr>
                    <w:top w:val="none" w:sz="0" w:space="0" w:color="auto"/>
                    <w:left w:val="none" w:sz="0" w:space="0" w:color="auto"/>
                    <w:bottom w:val="none" w:sz="0" w:space="0" w:color="auto"/>
                    <w:right w:val="none" w:sz="0" w:space="0" w:color="auto"/>
                  </w:divBdr>
                  <w:divsChild>
                    <w:div w:id="1812091288">
                      <w:marLeft w:val="0"/>
                      <w:marRight w:val="0"/>
                      <w:marTop w:val="0"/>
                      <w:marBottom w:val="0"/>
                      <w:divBdr>
                        <w:top w:val="none" w:sz="0" w:space="0" w:color="auto"/>
                        <w:left w:val="none" w:sz="0" w:space="0" w:color="auto"/>
                        <w:bottom w:val="none" w:sz="0" w:space="0" w:color="auto"/>
                        <w:right w:val="none" w:sz="0" w:space="0" w:color="auto"/>
                      </w:divBdr>
                    </w:div>
                  </w:divsChild>
                </w:div>
                <w:div w:id="1594168803">
                  <w:marLeft w:val="0"/>
                  <w:marRight w:val="0"/>
                  <w:marTop w:val="0"/>
                  <w:marBottom w:val="0"/>
                  <w:divBdr>
                    <w:top w:val="none" w:sz="0" w:space="0" w:color="auto"/>
                    <w:left w:val="none" w:sz="0" w:space="0" w:color="auto"/>
                    <w:bottom w:val="none" w:sz="0" w:space="0" w:color="auto"/>
                    <w:right w:val="none" w:sz="0" w:space="0" w:color="auto"/>
                  </w:divBdr>
                  <w:divsChild>
                    <w:div w:id="1459225753">
                      <w:marLeft w:val="0"/>
                      <w:marRight w:val="0"/>
                      <w:marTop w:val="0"/>
                      <w:marBottom w:val="0"/>
                      <w:divBdr>
                        <w:top w:val="none" w:sz="0" w:space="0" w:color="auto"/>
                        <w:left w:val="none" w:sz="0" w:space="0" w:color="auto"/>
                        <w:bottom w:val="none" w:sz="0" w:space="0" w:color="auto"/>
                        <w:right w:val="none" w:sz="0" w:space="0" w:color="auto"/>
                      </w:divBdr>
                    </w:div>
                  </w:divsChild>
                </w:div>
                <w:div w:id="1598059861">
                  <w:marLeft w:val="0"/>
                  <w:marRight w:val="0"/>
                  <w:marTop w:val="0"/>
                  <w:marBottom w:val="0"/>
                  <w:divBdr>
                    <w:top w:val="none" w:sz="0" w:space="0" w:color="auto"/>
                    <w:left w:val="none" w:sz="0" w:space="0" w:color="auto"/>
                    <w:bottom w:val="none" w:sz="0" w:space="0" w:color="auto"/>
                    <w:right w:val="none" w:sz="0" w:space="0" w:color="auto"/>
                  </w:divBdr>
                  <w:divsChild>
                    <w:div w:id="2088383010">
                      <w:marLeft w:val="0"/>
                      <w:marRight w:val="0"/>
                      <w:marTop w:val="0"/>
                      <w:marBottom w:val="0"/>
                      <w:divBdr>
                        <w:top w:val="none" w:sz="0" w:space="0" w:color="auto"/>
                        <w:left w:val="none" w:sz="0" w:space="0" w:color="auto"/>
                        <w:bottom w:val="none" w:sz="0" w:space="0" w:color="auto"/>
                        <w:right w:val="none" w:sz="0" w:space="0" w:color="auto"/>
                      </w:divBdr>
                    </w:div>
                  </w:divsChild>
                </w:div>
                <w:div w:id="1599558379">
                  <w:marLeft w:val="0"/>
                  <w:marRight w:val="0"/>
                  <w:marTop w:val="0"/>
                  <w:marBottom w:val="0"/>
                  <w:divBdr>
                    <w:top w:val="none" w:sz="0" w:space="0" w:color="auto"/>
                    <w:left w:val="none" w:sz="0" w:space="0" w:color="auto"/>
                    <w:bottom w:val="none" w:sz="0" w:space="0" w:color="auto"/>
                    <w:right w:val="none" w:sz="0" w:space="0" w:color="auto"/>
                  </w:divBdr>
                  <w:divsChild>
                    <w:div w:id="1940719849">
                      <w:marLeft w:val="0"/>
                      <w:marRight w:val="0"/>
                      <w:marTop w:val="0"/>
                      <w:marBottom w:val="0"/>
                      <w:divBdr>
                        <w:top w:val="none" w:sz="0" w:space="0" w:color="auto"/>
                        <w:left w:val="none" w:sz="0" w:space="0" w:color="auto"/>
                        <w:bottom w:val="none" w:sz="0" w:space="0" w:color="auto"/>
                        <w:right w:val="none" w:sz="0" w:space="0" w:color="auto"/>
                      </w:divBdr>
                    </w:div>
                  </w:divsChild>
                </w:div>
                <w:div w:id="1600486503">
                  <w:marLeft w:val="0"/>
                  <w:marRight w:val="0"/>
                  <w:marTop w:val="0"/>
                  <w:marBottom w:val="0"/>
                  <w:divBdr>
                    <w:top w:val="none" w:sz="0" w:space="0" w:color="auto"/>
                    <w:left w:val="none" w:sz="0" w:space="0" w:color="auto"/>
                    <w:bottom w:val="none" w:sz="0" w:space="0" w:color="auto"/>
                    <w:right w:val="none" w:sz="0" w:space="0" w:color="auto"/>
                  </w:divBdr>
                  <w:divsChild>
                    <w:div w:id="2045791440">
                      <w:marLeft w:val="0"/>
                      <w:marRight w:val="0"/>
                      <w:marTop w:val="0"/>
                      <w:marBottom w:val="0"/>
                      <w:divBdr>
                        <w:top w:val="none" w:sz="0" w:space="0" w:color="auto"/>
                        <w:left w:val="none" w:sz="0" w:space="0" w:color="auto"/>
                        <w:bottom w:val="none" w:sz="0" w:space="0" w:color="auto"/>
                        <w:right w:val="none" w:sz="0" w:space="0" w:color="auto"/>
                      </w:divBdr>
                    </w:div>
                  </w:divsChild>
                </w:div>
                <w:div w:id="1603564987">
                  <w:marLeft w:val="0"/>
                  <w:marRight w:val="0"/>
                  <w:marTop w:val="0"/>
                  <w:marBottom w:val="0"/>
                  <w:divBdr>
                    <w:top w:val="none" w:sz="0" w:space="0" w:color="auto"/>
                    <w:left w:val="none" w:sz="0" w:space="0" w:color="auto"/>
                    <w:bottom w:val="none" w:sz="0" w:space="0" w:color="auto"/>
                    <w:right w:val="none" w:sz="0" w:space="0" w:color="auto"/>
                  </w:divBdr>
                  <w:divsChild>
                    <w:div w:id="136073674">
                      <w:marLeft w:val="0"/>
                      <w:marRight w:val="0"/>
                      <w:marTop w:val="0"/>
                      <w:marBottom w:val="0"/>
                      <w:divBdr>
                        <w:top w:val="none" w:sz="0" w:space="0" w:color="auto"/>
                        <w:left w:val="none" w:sz="0" w:space="0" w:color="auto"/>
                        <w:bottom w:val="none" w:sz="0" w:space="0" w:color="auto"/>
                        <w:right w:val="none" w:sz="0" w:space="0" w:color="auto"/>
                      </w:divBdr>
                    </w:div>
                  </w:divsChild>
                </w:div>
                <w:div w:id="1604918591">
                  <w:marLeft w:val="0"/>
                  <w:marRight w:val="0"/>
                  <w:marTop w:val="0"/>
                  <w:marBottom w:val="0"/>
                  <w:divBdr>
                    <w:top w:val="none" w:sz="0" w:space="0" w:color="auto"/>
                    <w:left w:val="none" w:sz="0" w:space="0" w:color="auto"/>
                    <w:bottom w:val="none" w:sz="0" w:space="0" w:color="auto"/>
                    <w:right w:val="none" w:sz="0" w:space="0" w:color="auto"/>
                  </w:divBdr>
                  <w:divsChild>
                    <w:div w:id="1714650707">
                      <w:marLeft w:val="0"/>
                      <w:marRight w:val="0"/>
                      <w:marTop w:val="0"/>
                      <w:marBottom w:val="0"/>
                      <w:divBdr>
                        <w:top w:val="none" w:sz="0" w:space="0" w:color="auto"/>
                        <w:left w:val="none" w:sz="0" w:space="0" w:color="auto"/>
                        <w:bottom w:val="none" w:sz="0" w:space="0" w:color="auto"/>
                        <w:right w:val="none" w:sz="0" w:space="0" w:color="auto"/>
                      </w:divBdr>
                    </w:div>
                  </w:divsChild>
                </w:div>
                <w:div w:id="1612935896">
                  <w:marLeft w:val="0"/>
                  <w:marRight w:val="0"/>
                  <w:marTop w:val="0"/>
                  <w:marBottom w:val="0"/>
                  <w:divBdr>
                    <w:top w:val="none" w:sz="0" w:space="0" w:color="auto"/>
                    <w:left w:val="none" w:sz="0" w:space="0" w:color="auto"/>
                    <w:bottom w:val="none" w:sz="0" w:space="0" w:color="auto"/>
                    <w:right w:val="none" w:sz="0" w:space="0" w:color="auto"/>
                  </w:divBdr>
                  <w:divsChild>
                    <w:div w:id="1608924066">
                      <w:marLeft w:val="0"/>
                      <w:marRight w:val="0"/>
                      <w:marTop w:val="0"/>
                      <w:marBottom w:val="0"/>
                      <w:divBdr>
                        <w:top w:val="none" w:sz="0" w:space="0" w:color="auto"/>
                        <w:left w:val="none" w:sz="0" w:space="0" w:color="auto"/>
                        <w:bottom w:val="none" w:sz="0" w:space="0" w:color="auto"/>
                        <w:right w:val="none" w:sz="0" w:space="0" w:color="auto"/>
                      </w:divBdr>
                    </w:div>
                  </w:divsChild>
                </w:div>
                <w:div w:id="1614246707">
                  <w:marLeft w:val="0"/>
                  <w:marRight w:val="0"/>
                  <w:marTop w:val="0"/>
                  <w:marBottom w:val="0"/>
                  <w:divBdr>
                    <w:top w:val="none" w:sz="0" w:space="0" w:color="auto"/>
                    <w:left w:val="none" w:sz="0" w:space="0" w:color="auto"/>
                    <w:bottom w:val="none" w:sz="0" w:space="0" w:color="auto"/>
                    <w:right w:val="none" w:sz="0" w:space="0" w:color="auto"/>
                  </w:divBdr>
                  <w:divsChild>
                    <w:div w:id="1249192795">
                      <w:marLeft w:val="0"/>
                      <w:marRight w:val="0"/>
                      <w:marTop w:val="0"/>
                      <w:marBottom w:val="0"/>
                      <w:divBdr>
                        <w:top w:val="none" w:sz="0" w:space="0" w:color="auto"/>
                        <w:left w:val="none" w:sz="0" w:space="0" w:color="auto"/>
                        <w:bottom w:val="none" w:sz="0" w:space="0" w:color="auto"/>
                        <w:right w:val="none" w:sz="0" w:space="0" w:color="auto"/>
                      </w:divBdr>
                    </w:div>
                  </w:divsChild>
                </w:div>
                <w:div w:id="1623655707">
                  <w:marLeft w:val="0"/>
                  <w:marRight w:val="0"/>
                  <w:marTop w:val="0"/>
                  <w:marBottom w:val="0"/>
                  <w:divBdr>
                    <w:top w:val="none" w:sz="0" w:space="0" w:color="auto"/>
                    <w:left w:val="none" w:sz="0" w:space="0" w:color="auto"/>
                    <w:bottom w:val="none" w:sz="0" w:space="0" w:color="auto"/>
                    <w:right w:val="none" w:sz="0" w:space="0" w:color="auto"/>
                  </w:divBdr>
                  <w:divsChild>
                    <w:div w:id="1557549624">
                      <w:marLeft w:val="0"/>
                      <w:marRight w:val="0"/>
                      <w:marTop w:val="0"/>
                      <w:marBottom w:val="0"/>
                      <w:divBdr>
                        <w:top w:val="none" w:sz="0" w:space="0" w:color="auto"/>
                        <w:left w:val="none" w:sz="0" w:space="0" w:color="auto"/>
                        <w:bottom w:val="none" w:sz="0" w:space="0" w:color="auto"/>
                        <w:right w:val="none" w:sz="0" w:space="0" w:color="auto"/>
                      </w:divBdr>
                    </w:div>
                  </w:divsChild>
                </w:div>
                <w:div w:id="1630354993">
                  <w:marLeft w:val="0"/>
                  <w:marRight w:val="0"/>
                  <w:marTop w:val="0"/>
                  <w:marBottom w:val="0"/>
                  <w:divBdr>
                    <w:top w:val="none" w:sz="0" w:space="0" w:color="auto"/>
                    <w:left w:val="none" w:sz="0" w:space="0" w:color="auto"/>
                    <w:bottom w:val="none" w:sz="0" w:space="0" w:color="auto"/>
                    <w:right w:val="none" w:sz="0" w:space="0" w:color="auto"/>
                  </w:divBdr>
                  <w:divsChild>
                    <w:div w:id="1674145195">
                      <w:marLeft w:val="0"/>
                      <w:marRight w:val="0"/>
                      <w:marTop w:val="0"/>
                      <w:marBottom w:val="0"/>
                      <w:divBdr>
                        <w:top w:val="none" w:sz="0" w:space="0" w:color="auto"/>
                        <w:left w:val="none" w:sz="0" w:space="0" w:color="auto"/>
                        <w:bottom w:val="none" w:sz="0" w:space="0" w:color="auto"/>
                        <w:right w:val="none" w:sz="0" w:space="0" w:color="auto"/>
                      </w:divBdr>
                    </w:div>
                  </w:divsChild>
                </w:div>
                <w:div w:id="1630670592">
                  <w:marLeft w:val="0"/>
                  <w:marRight w:val="0"/>
                  <w:marTop w:val="0"/>
                  <w:marBottom w:val="0"/>
                  <w:divBdr>
                    <w:top w:val="none" w:sz="0" w:space="0" w:color="auto"/>
                    <w:left w:val="none" w:sz="0" w:space="0" w:color="auto"/>
                    <w:bottom w:val="none" w:sz="0" w:space="0" w:color="auto"/>
                    <w:right w:val="none" w:sz="0" w:space="0" w:color="auto"/>
                  </w:divBdr>
                  <w:divsChild>
                    <w:div w:id="1862694579">
                      <w:marLeft w:val="0"/>
                      <w:marRight w:val="0"/>
                      <w:marTop w:val="0"/>
                      <w:marBottom w:val="0"/>
                      <w:divBdr>
                        <w:top w:val="none" w:sz="0" w:space="0" w:color="auto"/>
                        <w:left w:val="none" w:sz="0" w:space="0" w:color="auto"/>
                        <w:bottom w:val="none" w:sz="0" w:space="0" w:color="auto"/>
                        <w:right w:val="none" w:sz="0" w:space="0" w:color="auto"/>
                      </w:divBdr>
                    </w:div>
                  </w:divsChild>
                </w:div>
                <w:div w:id="1632788555">
                  <w:marLeft w:val="0"/>
                  <w:marRight w:val="0"/>
                  <w:marTop w:val="0"/>
                  <w:marBottom w:val="0"/>
                  <w:divBdr>
                    <w:top w:val="none" w:sz="0" w:space="0" w:color="auto"/>
                    <w:left w:val="none" w:sz="0" w:space="0" w:color="auto"/>
                    <w:bottom w:val="none" w:sz="0" w:space="0" w:color="auto"/>
                    <w:right w:val="none" w:sz="0" w:space="0" w:color="auto"/>
                  </w:divBdr>
                  <w:divsChild>
                    <w:div w:id="870461069">
                      <w:marLeft w:val="0"/>
                      <w:marRight w:val="0"/>
                      <w:marTop w:val="0"/>
                      <w:marBottom w:val="0"/>
                      <w:divBdr>
                        <w:top w:val="none" w:sz="0" w:space="0" w:color="auto"/>
                        <w:left w:val="none" w:sz="0" w:space="0" w:color="auto"/>
                        <w:bottom w:val="none" w:sz="0" w:space="0" w:color="auto"/>
                        <w:right w:val="none" w:sz="0" w:space="0" w:color="auto"/>
                      </w:divBdr>
                    </w:div>
                  </w:divsChild>
                </w:div>
                <w:div w:id="1648779673">
                  <w:marLeft w:val="0"/>
                  <w:marRight w:val="0"/>
                  <w:marTop w:val="0"/>
                  <w:marBottom w:val="0"/>
                  <w:divBdr>
                    <w:top w:val="none" w:sz="0" w:space="0" w:color="auto"/>
                    <w:left w:val="none" w:sz="0" w:space="0" w:color="auto"/>
                    <w:bottom w:val="none" w:sz="0" w:space="0" w:color="auto"/>
                    <w:right w:val="none" w:sz="0" w:space="0" w:color="auto"/>
                  </w:divBdr>
                  <w:divsChild>
                    <w:div w:id="202180601">
                      <w:marLeft w:val="0"/>
                      <w:marRight w:val="0"/>
                      <w:marTop w:val="0"/>
                      <w:marBottom w:val="0"/>
                      <w:divBdr>
                        <w:top w:val="none" w:sz="0" w:space="0" w:color="auto"/>
                        <w:left w:val="none" w:sz="0" w:space="0" w:color="auto"/>
                        <w:bottom w:val="none" w:sz="0" w:space="0" w:color="auto"/>
                        <w:right w:val="none" w:sz="0" w:space="0" w:color="auto"/>
                      </w:divBdr>
                    </w:div>
                  </w:divsChild>
                </w:div>
                <w:div w:id="1653097690">
                  <w:marLeft w:val="0"/>
                  <w:marRight w:val="0"/>
                  <w:marTop w:val="0"/>
                  <w:marBottom w:val="0"/>
                  <w:divBdr>
                    <w:top w:val="none" w:sz="0" w:space="0" w:color="auto"/>
                    <w:left w:val="none" w:sz="0" w:space="0" w:color="auto"/>
                    <w:bottom w:val="none" w:sz="0" w:space="0" w:color="auto"/>
                    <w:right w:val="none" w:sz="0" w:space="0" w:color="auto"/>
                  </w:divBdr>
                  <w:divsChild>
                    <w:div w:id="366413610">
                      <w:marLeft w:val="0"/>
                      <w:marRight w:val="0"/>
                      <w:marTop w:val="0"/>
                      <w:marBottom w:val="0"/>
                      <w:divBdr>
                        <w:top w:val="none" w:sz="0" w:space="0" w:color="auto"/>
                        <w:left w:val="none" w:sz="0" w:space="0" w:color="auto"/>
                        <w:bottom w:val="none" w:sz="0" w:space="0" w:color="auto"/>
                        <w:right w:val="none" w:sz="0" w:space="0" w:color="auto"/>
                      </w:divBdr>
                    </w:div>
                  </w:divsChild>
                </w:div>
                <w:div w:id="1655140447">
                  <w:marLeft w:val="0"/>
                  <w:marRight w:val="0"/>
                  <w:marTop w:val="0"/>
                  <w:marBottom w:val="0"/>
                  <w:divBdr>
                    <w:top w:val="none" w:sz="0" w:space="0" w:color="auto"/>
                    <w:left w:val="none" w:sz="0" w:space="0" w:color="auto"/>
                    <w:bottom w:val="none" w:sz="0" w:space="0" w:color="auto"/>
                    <w:right w:val="none" w:sz="0" w:space="0" w:color="auto"/>
                  </w:divBdr>
                  <w:divsChild>
                    <w:div w:id="937251144">
                      <w:marLeft w:val="0"/>
                      <w:marRight w:val="0"/>
                      <w:marTop w:val="0"/>
                      <w:marBottom w:val="0"/>
                      <w:divBdr>
                        <w:top w:val="none" w:sz="0" w:space="0" w:color="auto"/>
                        <w:left w:val="none" w:sz="0" w:space="0" w:color="auto"/>
                        <w:bottom w:val="none" w:sz="0" w:space="0" w:color="auto"/>
                        <w:right w:val="none" w:sz="0" w:space="0" w:color="auto"/>
                      </w:divBdr>
                    </w:div>
                  </w:divsChild>
                </w:div>
                <w:div w:id="1658419185">
                  <w:marLeft w:val="0"/>
                  <w:marRight w:val="0"/>
                  <w:marTop w:val="0"/>
                  <w:marBottom w:val="0"/>
                  <w:divBdr>
                    <w:top w:val="none" w:sz="0" w:space="0" w:color="auto"/>
                    <w:left w:val="none" w:sz="0" w:space="0" w:color="auto"/>
                    <w:bottom w:val="none" w:sz="0" w:space="0" w:color="auto"/>
                    <w:right w:val="none" w:sz="0" w:space="0" w:color="auto"/>
                  </w:divBdr>
                  <w:divsChild>
                    <w:div w:id="191774407">
                      <w:marLeft w:val="0"/>
                      <w:marRight w:val="0"/>
                      <w:marTop w:val="0"/>
                      <w:marBottom w:val="0"/>
                      <w:divBdr>
                        <w:top w:val="none" w:sz="0" w:space="0" w:color="auto"/>
                        <w:left w:val="none" w:sz="0" w:space="0" w:color="auto"/>
                        <w:bottom w:val="none" w:sz="0" w:space="0" w:color="auto"/>
                        <w:right w:val="none" w:sz="0" w:space="0" w:color="auto"/>
                      </w:divBdr>
                    </w:div>
                  </w:divsChild>
                </w:div>
                <w:div w:id="1659113626">
                  <w:marLeft w:val="0"/>
                  <w:marRight w:val="0"/>
                  <w:marTop w:val="0"/>
                  <w:marBottom w:val="0"/>
                  <w:divBdr>
                    <w:top w:val="none" w:sz="0" w:space="0" w:color="auto"/>
                    <w:left w:val="none" w:sz="0" w:space="0" w:color="auto"/>
                    <w:bottom w:val="none" w:sz="0" w:space="0" w:color="auto"/>
                    <w:right w:val="none" w:sz="0" w:space="0" w:color="auto"/>
                  </w:divBdr>
                  <w:divsChild>
                    <w:div w:id="854274040">
                      <w:marLeft w:val="0"/>
                      <w:marRight w:val="0"/>
                      <w:marTop w:val="0"/>
                      <w:marBottom w:val="0"/>
                      <w:divBdr>
                        <w:top w:val="none" w:sz="0" w:space="0" w:color="auto"/>
                        <w:left w:val="none" w:sz="0" w:space="0" w:color="auto"/>
                        <w:bottom w:val="none" w:sz="0" w:space="0" w:color="auto"/>
                        <w:right w:val="none" w:sz="0" w:space="0" w:color="auto"/>
                      </w:divBdr>
                    </w:div>
                  </w:divsChild>
                </w:div>
                <w:div w:id="1679575355">
                  <w:marLeft w:val="0"/>
                  <w:marRight w:val="0"/>
                  <w:marTop w:val="0"/>
                  <w:marBottom w:val="0"/>
                  <w:divBdr>
                    <w:top w:val="none" w:sz="0" w:space="0" w:color="auto"/>
                    <w:left w:val="none" w:sz="0" w:space="0" w:color="auto"/>
                    <w:bottom w:val="none" w:sz="0" w:space="0" w:color="auto"/>
                    <w:right w:val="none" w:sz="0" w:space="0" w:color="auto"/>
                  </w:divBdr>
                  <w:divsChild>
                    <w:div w:id="589510098">
                      <w:marLeft w:val="0"/>
                      <w:marRight w:val="0"/>
                      <w:marTop w:val="0"/>
                      <w:marBottom w:val="0"/>
                      <w:divBdr>
                        <w:top w:val="none" w:sz="0" w:space="0" w:color="auto"/>
                        <w:left w:val="none" w:sz="0" w:space="0" w:color="auto"/>
                        <w:bottom w:val="none" w:sz="0" w:space="0" w:color="auto"/>
                        <w:right w:val="none" w:sz="0" w:space="0" w:color="auto"/>
                      </w:divBdr>
                    </w:div>
                  </w:divsChild>
                </w:div>
                <w:div w:id="1681352874">
                  <w:marLeft w:val="0"/>
                  <w:marRight w:val="0"/>
                  <w:marTop w:val="0"/>
                  <w:marBottom w:val="0"/>
                  <w:divBdr>
                    <w:top w:val="none" w:sz="0" w:space="0" w:color="auto"/>
                    <w:left w:val="none" w:sz="0" w:space="0" w:color="auto"/>
                    <w:bottom w:val="none" w:sz="0" w:space="0" w:color="auto"/>
                    <w:right w:val="none" w:sz="0" w:space="0" w:color="auto"/>
                  </w:divBdr>
                  <w:divsChild>
                    <w:div w:id="1199976270">
                      <w:marLeft w:val="0"/>
                      <w:marRight w:val="0"/>
                      <w:marTop w:val="0"/>
                      <w:marBottom w:val="0"/>
                      <w:divBdr>
                        <w:top w:val="none" w:sz="0" w:space="0" w:color="auto"/>
                        <w:left w:val="none" w:sz="0" w:space="0" w:color="auto"/>
                        <w:bottom w:val="none" w:sz="0" w:space="0" w:color="auto"/>
                        <w:right w:val="none" w:sz="0" w:space="0" w:color="auto"/>
                      </w:divBdr>
                    </w:div>
                  </w:divsChild>
                </w:div>
                <w:div w:id="1689868714">
                  <w:marLeft w:val="0"/>
                  <w:marRight w:val="0"/>
                  <w:marTop w:val="0"/>
                  <w:marBottom w:val="0"/>
                  <w:divBdr>
                    <w:top w:val="none" w:sz="0" w:space="0" w:color="auto"/>
                    <w:left w:val="none" w:sz="0" w:space="0" w:color="auto"/>
                    <w:bottom w:val="none" w:sz="0" w:space="0" w:color="auto"/>
                    <w:right w:val="none" w:sz="0" w:space="0" w:color="auto"/>
                  </w:divBdr>
                  <w:divsChild>
                    <w:div w:id="1673559278">
                      <w:marLeft w:val="0"/>
                      <w:marRight w:val="0"/>
                      <w:marTop w:val="0"/>
                      <w:marBottom w:val="0"/>
                      <w:divBdr>
                        <w:top w:val="none" w:sz="0" w:space="0" w:color="auto"/>
                        <w:left w:val="none" w:sz="0" w:space="0" w:color="auto"/>
                        <w:bottom w:val="none" w:sz="0" w:space="0" w:color="auto"/>
                        <w:right w:val="none" w:sz="0" w:space="0" w:color="auto"/>
                      </w:divBdr>
                    </w:div>
                  </w:divsChild>
                </w:div>
                <w:div w:id="1690794180">
                  <w:marLeft w:val="0"/>
                  <w:marRight w:val="0"/>
                  <w:marTop w:val="0"/>
                  <w:marBottom w:val="0"/>
                  <w:divBdr>
                    <w:top w:val="none" w:sz="0" w:space="0" w:color="auto"/>
                    <w:left w:val="none" w:sz="0" w:space="0" w:color="auto"/>
                    <w:bottom w:val="none" w:sz="0" w:space="0" w:color="auto"/>
                    <w:right w:val="none" w:sz="0" w:space="0" w:color="auto"/>
                  </w:divBdr>
                  <w:divsChild>
                    <w:div w:id="1472946145">
                      <w:marLeft w:val="0"/>
                      <w:marRight w:val="0"/>
                      <w:marTop w:val="0"/>
                      <w:marBottom w:val="0"/>
                      <w:divBdr>
                        <w:top w:val="none" w:sz="0" w:space="0" w:color="auto"/>
                        <w:left w:val="none" w:sz="0" w:space="0" w:color="auto"/>
                        <w:bottom w:val="none" w:sz="0" w:space="0" w:color="auto"/>
                        <w:right w:val="none" w:sz="0" w:space="0" w:color="auto"/>
                      </w:divBdr>
                    </w:div>
                  </w:divsChild>
                </w:div>
                <w:div w:id="1709331660">
                  <w:marLeft w:val="0"/>
                  <w:marRight w:val="0"/>
                  <w:marTop w:val="0"/>
                  <w:marBottom w:val="0"/>
                  <w:divBdr>
                    <w:top w:val="none" w:sz="0" w:space="0" w:color="auto"/>
                    <w:left w:val="none" w:sz="0" w:space="0" w:color="auto"/>
                    <w:bottom w:val="none" w:sz="0" w:space="0" w:color="auto"/>
                    <w:right w:val="none" w:sz="0" w:space="0" w:color="auto"/>
                  </w:divBdr>
                  <w:divsChild>
                    <w:div w:id="180555986">
                      <w:marLeft w:val="0"/>
                      <w:marRight w:val="0"/>
                      <w:marTop w:val="0"/>
                      <w:marBottom w:val="0"/>
                      <w:divBdr>
                        <w:top w:val="none" w:sz="0" w:space="0" w:color="auto"/>
                        <w:left w:val="none" w:sz="0" w:space="0" w:color="auto"/>
                        <w:bottom w:val="none" w:sz="0" w:space="0" w:color="auto"/>
                        <w:right w:val="none" w:sz="0" w:space="0" w:color="auto"/>
                      </w:divBdr>
                    </w:div>
                  </w:divsChild>
                </w:div>
                <w:div w:id="1712807720">
                  <w:marLeft w:val="0"/>
                  <w:marRight w:val="0"/>
                  <w:marTop w:val="0"/>
                  <w:marBottom w:val="0"/>
                  <w:divBdr>
                    <w:top w:val="none" w:sz="0" w:space="0" w:color="auto"/>
                    <w:left w:val="none" w:sz="0" w:space="0" w:color="auto"/>
                    <w:bottom w:val="none" w:sz="0" w:space="0" w:color="auto"/>
                    <w:right w:val="none" w:sz="0" w:space="0" w:color="auto"/>
                  </w:divBdr>
                  <w:divsChild>
                    <w:div w:id="206069287">
                      <w:marLeft w:val="0"/>
                      <w:marRight w:val="0"/>
                      <w:marTop w:val="0"/>
                      <w:marBottom w:val="0"/>
                      <w:divBdr>
                        <w:top w:val="none" w:sz="0" w:space="0" w:color="auto"/>
                        <w:left w:val="none" w:sz="0" w:space="0" w:color="auto"/>
                        <w:bottom w:val="none" w:sz="0" w:space="0" w:color="auto"/>
                        <w:right w:val="none" w:sz="0" w:space="0" w:color="auto"/>
                      </w:divBdr>
                    </w:div>
                    <w:div w:id="356346310">
                      <w:marLeft w:val="0"/>
                      <w:marRight w:val="0"/>
                      <w:marTop w:val="0"/>
                      <w:marBottom w:val="0"/>
                      <w:divBdr>
                        <w:top w:val="none" w:sz="0" w:space="0" w:color="auto"/>
                        <w:left w:val="none" w:sz="0" w:space="0" w:color="auto"/>
                        <w:bottom w:val="none" w:sz="0" w:space="0" w:color="auto"/>
                        <w:right w:val="none" w:sz="0" w:space="0" w:color="auto"/>
                      </w:divBdr>
                    </w:div>
                    <w:div w:id="604313391">
                      <w:marLeft w:val="0"/>
                      <w:marRight w:val="0"/>
                      <w:marTop w:val="0"/>
                      <w:marBottom w:val="0"/>
                      <w:divBdr>
                        <w:top w:val="none" w:sz="0" w:space="0" w:color="auto"/>
                        <w:left w:val="none" w:sz="0" w:space="0" w:color="auto"/>
                        <w:bottom w:val="none" w:sz="0" w:space="0" w:color="auto"/>
                        <w:right w:val="none" w:sz="0" w:space="0" w:color="auto"/>
                      </w:divBdr>
                    </w:div>
                    <w:div w:id="623193193">
                      <w:marLeft w:val="0"/>
                      <w:marRight w:val="0"/>
                      <w:marTop w:val="0"/>
                      <w:marBottom w:val="0"/>
                      <w:divBdr>
                        <w:top w:val="none" w:sz="0" w:space="0" w:color="auto"/>
                        <w:left w:val="none" w:sz="0" w:space="0" w:color="auto"/>
                        <w:bottom w:val="none" w:sz="0" w:space="0" w:color="auto"/>
                        <w:right w:val="none" w:sz="0" w:space="0" w:color="auto"/>
                      </w:divBdr>
                    </w:div>
                    <w:div w:id="756366996">
                      <w:marLeft w:val="0"/>
                      <w:marRight w:val="0"/>
                      <w:marTop w:val="0"/>
                      <w:marBottom w:val="0"/>
                      <w:divBdr>
                        <w:top w:val="none" w:sz="0" w:space="0" w:color="auto"/>
                        <w:left w:val="none" w:sz="0" w:space="0" w:color="auto"/>
                        <w:bottom w:val="none" w:sz="0" w:space="0" w:color="auto"/>
                        <w:right w:val="none" w:sz="0" w:space="0" w:color="auto"/>
                      </w:divBdr>
                    </w:div>
                    <w:div w:id="862595930">
                      <w:marLeft w:val="0"/>
                      <w:marRight w:val="0"/>
                      <w:marTop w:val="0"/>
                      <w:marBottom w:val="0"/>
                      <w:divBdr>
                        <w:top w:val="none" w:sz="0" w:space="0" w:color="auto"/>
                        <w:left w:val="none" w:sz="0" w:space="0" w:color="auto"/>
                        <w:bottom w:val="none" w:sz="0" w:space="0" w:color="auto"/>
                        <w:right w:val="none" w:sz="0" w:space="0" w:color="auto"/>
                      </w:divBdr>
                    </w:div>
                    <w:div w:id="1024096291">
                      <w:marLeft w:val="0"/>
                      <w:marRight w:val="0"/>
                      <w:marTop w:val="0"/>
                      <w:marBottom w:val="0"/>
                      <w:divBdr>
                        <w:top w:val="none" w:sz="0" w:space="0" w:color="auto"/>
                        <w:left w:val="none" w:sz="0" w:space="0" w:color="auto"/>
                        <w:bottom w:val="none" w:sz="0" w:space="0" w:color="auto"/>
                        <w:right w:val="none" w:sz="0" w:space="0" w:color="auto"/>
                      </w:divBdr>
                    </w:div>
                    <w:div w:id="1066611250">
                      <w:marLeft w:val="0"/>
                      <w:marRight w:val="0"/>
                      <w:marTop w:val="0"/>
                      <w:marBottom w:val="0"/>
                      <w:divBdr>
                        <w:top w:val="none" w:sz="0" w:space="0" w:color="auto"/>
                        <w:left w:val="none" w:sz="0" w:space="0" w:color="auto"/>
                        <w:bottom w:val="none" w:sz="0" w:space="0" w:color="auto"/>
                        <w:right w:val="none" w:sz="0" w:space="0" w:color="auto"/>
                      </w:divBdr>
                    </w:div>
                    <w:div w:id="1122722270">
                      <w:marLeft w:val="0"/>
                      <w:marRight w:val="0"/>
                      <w:marTop w:val="0"/>
                      <w:marBottom w:val="0"/>
                      <w:divBdr>
                        <w:top w:val="none" w:sz="0" w:space="0" w:color="auto"/>
                        <w:left w:val="none" w:sz="0" w:space="0" w:color="auto"/>
                        <w:bottom w:val="none" w:sz="0" w:space="0" w:color="auto"/>
                        <w:right w:val="none" w:sz="0" w:space="0" w:color="auto"/>
                      </w:divBdr>
                    </w:div>
                    <w:div w:id="1158693757">
                      <w:marLeft w:val="0"/>
                      <w:marRight w:val="0"/>
                      <w:marTop w:val="0"/>
                      <w:marBottom w:val="0"/>
                      <w:divBdr>
                        <w:top w:val="none" w:sz="0" w:space="0" w:color="auto"/>
                        <w:left w:val="none" w:sz="0" w:space="0" w:color="auto"/>
                        <w:bottom w:val="none" w:sz="0" w:space="0" w:color="auto"/>
                        <w:right w:val="none" w:sz="0" w:space="0" w:color="auto"/>
                      </w:divBdr>
                    </w:div>
                    <w:div w:id="1542671169">
                      <w:marLeft w:val="0"/>
                      <w:marRight w:val="0"/>
                      <w:marTop w:val="0"/>
                      <w:marBottom w:val="0"/>
                      <w:divBdr>
                        <w:top w:val="none" w:sz="0" w:space="0" w:color="auto"/>
                        <w:left w:val="none" w:sz="0" w:space="0" w:color="auto"/>
                        <w:bottom w:val="none" w:sz="0" w:space="0" w:color="auto"/>
                        <w:right w:val="none" w:sz="0" w:space="0" w:color="auto"/>
                      </w:divBdr>
                    </w:div>
                    <w:div w:id="1755586923">
                      <w:marLeft w:val="0"/>
                      <w:marRight w:val="0"/>
                      <w:marTop w:val="0"/>
                      <w:marBottom w:val="0"/>
                      <w:divBdr>
                        <w:top w:val="none" w:sz="0" w:space="0" w:color="auto"/>
                        <w:left w:val="none" w:sz="0" w:space="0" w:color="auto"/>
                        <w:bottom w:val="none" w:sz="0" w:space="0" w:color="auto"/>
                        <w:right w:val="none" w:sz="0" w:space="0" w:color="auto"/>
                      </w:divBdr>
                    </w:div>
                    <w:div w:id="1906792144">
                      <w:marLeft w:val="0"/>
                      <w:marRight w:val="0"/>
                      <w:marTop w:val="0"/>
                      <w:marBottom w:val="0"/>
                      <w:divBdr>
                        <w:top w:val="none" w:sz="0" w:space="0" w:color="auto"/>
                        <w:left w:val="none" w:sz="0" w:space="0" w:color="auto"/>
                        <w:bottom w:val="none" w:sz="0" w:space="0" w:color="auto"/>
                        <w:right w:val="none" w:sz="0" w:space="0" w:color="auto"/>
                      </w:divBdr>
                    </w:div>
                    <w:div w:id="1978559812">
                      <w:marLeft w:val="0"/>
                      <w:marRight w:val="0"/>
                      <w:marTop w:val="0"/>
                      <w:marBottom w:val="0"/>
                      <w:divBdr>
                        <w:top w:val="none" w:sz="0" w:space="0" w:color="auto"/>
                        <w:left w:val="none" w:sz="0" w:space="0" w:color="auto"/>
                        <w:bottom w:val="none" w:sz="0" w:space="0" w:color="auto"/>
                        <w:right w:val="none" w:sz="0" w:space="0" w:color="auto"/>
                      </w:divBdr>
                    </w:div>
                    <w:div w:id="1996955988">
                      <w:marLeft w:val="0"/>
                      <w:marRight w:val="0"/>
                      <w:marTop w:val="0"/>
                      <w:marBottom w:val="0"/>
                      <w:divBdr>
                        <w:top w:val="none" w:sz="0" w:space="0" w:color="auto"/>
                        <w:left w:val="none" w:sz="0" w:space="0" w:color="auto"/>
                        <w:bottom w:val="none" w:sz="0" w:space="0" w:color="auto"/>
                        <w:right w:val="none" w:sz="0" w:space="0" w:color="auto"/>
                      </w:divBdr>
                    </w:div>
                  </w:divsChild>
                </w:div>
                <w:div w:id="1716195615">
                  <w:marLeft w:val="0"/>
                  <w:marRight w:val="0"/>
                  <w:marTop w:val="0"/>
                  <w:marBottom w:val="0"/>
                  <w:divBdr>
                    <w:top w:val="none" w:sz="0" w:space="0" w:color="auto"/>
                    <w:left w:val="none" w:sz="0" w:space="0" w:color="auto"/>
                    <w:bottom w:val="none" w:sz="0" w:space="0" w:color="auto"/>
                    <w:right w:val="none" w:sz="0" w:space="0" w:color="auto"/>
                  </w:divBdr>
                  <w:divsChild>
                    <w:div w:id="962150887">
                      <w:marLeft w:val="0"/>
                      <w:marRight w:val="0"/>
                      <w:marTop w:val="0"/>
                      <w:marBottom w:val="0"/>
                      <w:divBdr>
                        <w:top w:val="none" w:sz="0" w:space="0" w:color="auto"/>
                        <w:left w:val="none" w:sz="0" w:space="0" w:color="auto"/>
                        <w:bottom w:val="none" w:sz="0" w:space="0" w:color="auto"/>
                        <w:right w:val="none" w:sz="0" w:space="0" w:color="auto"/>
                      </w:divBdr>
                    </w:div>
                  </w:divsChild>
                </w:div>
                <w:div w:id="1731227412">
                  <w:marLeft w:val="0"/>
                  <w:marRight w:val="0"/>
                  <w:marTop w:val="0"/>
                  <w:marBottom w:val="0"/>
                  <w:divBdr>
                    <w:top w:val="none" w:sz="0" w:space="0" w:color="auto"/>
                    <w:left w:val="none" w:sz="0" w:space="0" w:color="auto"/>
                    <w:bottom w:val="none" w:sz="0" w:space="0" w:color="auto"/>
                    <w:right w:val="none" w:sz="0" w:space="0" w:color="auto"/>
                  </w:divBdr>
                  <w:divsChild>
                    <w:div w:id="908199012">
                      <w:marLeft w:val="0"/>
                      <w:marRight w:val="0"/>
                      <w:marTop w:val="0"/>
                      <w:marBottom w:val="0"/>
                      <w:divBdr>
                        <w:top w:val="none" w:sz="0" w:space="0" w:color="auto"/>
                        <w:left w:val="none" w:sz="0" w:space="0" w:color="auto"/>
                        <w:bottom w:val="none" w:sz="0" w:space="0" w:color="auto"/>
                        <w:right w:val="none" w:sz="0" w:space="0" w:color="auto"/>
                      </w:divBdr>
                    </w:div>
                  </w:divsChild>
                </w:div>
                <w:div w:id="1734545531">
                  <w:marLeft w:val="0"/>
                  <w:marRight w:val="0"/>
                  <w:marTop w:val="0"/>
                  <w:marBottom w:val="0"/>
                  <w:divBdr>
                    <w:top w:val="none" w:sz="0" w:space="0" w:color="auto"/>
                    <w:left w:val="none" w:sz="0" w:space="0" w:color="auto"/>
                    <w:bottom w:val="none" w:sz="0" w:space="0" w:color="auto"/>
                    <w:right w:val="none" w:sz="0" w:space="0" w:color="auto"/>
                  </w:divBdr>
                  <w:divsChild>
                    <w:div w:id="572930001">
                      <w:marLeft w:val="0"/>
                      <w:marRight w:val="0"/>
                      <w:marTop w:val="0"/>
                      <w:marBottom w:val="0"/>
                      <w:divBdr>
                        <w:top w:val="none" w:sz="0" w:space="0" w:color="auto"/>
                        <w:left w:val="none" w:sz="0" w:space="0" w:color="auto"/>
                        <w:bottom w:val="none" w:sz="0" w:space="0" w:color="auto"/>
                        <w:right w:val="none" w:sz="0" w:space="0" w:color="auto"/>
                      </w:divBdr>
                    </w:div>
                  </w:divsChild>
                </w:div>
                <w:div w:id="1747413739">
                  <w:marLeft w:val="0"/>
                  <w:marRight w:val="0"/>
                  <w:marTop w:val="0"/>
                  <w:marBottom w:val="0"/>
                  <w:divBdr>
                    <w:top w:val="none" w:sz="0" w:space="0" w:color="auto"/>
                    <w:left w:val="none" w:sz="0" w:space="0" w:color="auto"/>
                    <w:bottom w:val="none" w:sz="0" w:space="0" w:color="auto"/>
                    <w:right w:val="none" w:sz="0" w:space="0" w:color="auto"/>
                  </w:divBdr>
                  <w:divsChild>
                    <w:div w:id="30687112">
                      <w:marLeft w:val="0"/>
                      <w:marRight w:val="0"/>
                      <w:marTop w:val="0"/>
                      <w:marBottom w:val="0"/>
                      <w:divBdr>
                        <w:top w:val="none" w:sz="0" w:space="0" w:color="auto"/>
                        <w:left w:val="none" w:sz="0" w:space="0" w:color="auto"/>
                        <w:bottom w:val="none" w:sz="0" w:space="0" w:color="auto"/>
                        <w:right w:val="none" w:sz="0" w:space="0" w:color="auto"/>
                      </w:divBdr>
                    </w:div>
                  </w:divsChild>
                </w:div>
                <w:div w:id="1747460689">
                  <w:marLeft w:val="0"/>
                  <w:marRight w:val="0"/>
                  <w:marTop w:val="0"/>
                  <w:marBottom w:val="0"/>
                  <w:divBdr>
                    <w:top w:val="none" w:sz="0" w:space="0" w:color="auto"/>
                    <w:left w:val="none" w:sz="0" w:space="0" w:color="auto"/>
                    <w:bottom w:val="none" w:sz="0" w:space="0" w:color="auto"/>
                    <w:right w:val="none" w:sz="0" w:space="0" w:color="auto"/>
                  </w:divBdr>
                  <w:divsChild>
                    <w:div w:id="2144812346">
                      <w:marLeft w:val="0"/>
                      <w:marRight w:val="0"/>
                      <w:marTop w:val="0"/>
                      <w:marBottom w:val="0"/>
                      <w:divBdr>
                        <w:top w:val="none" w:sz="0" w:space="0" w:color="auto"/>
                        <w:left w:val="none" w:sz="0" w:space="0" w:color="auto"/>
                        <w:bottom w:val="none" w:sz="0" w:space="0" w:color="auto"/>
                        <w:right w:val="none" w:sz="0" w:space="0" w:color="auto"/>
                      </w:divBdr>
                    </w:div>
                  </w:divsChild>
                </w:div>
                <w:div w:id="1753114055">
                  <w:marLeft w:val="0"/>
                  <w:marRight w:val="0"/>
                  <w:marTop w:val="0"/>
                  <w:marBottom w:val="0"/>
                  <w:divBdr>
                    <w:top w:val="none" w:sz="0" w:space="0" w:color="auto"/>
                    <w:left w:val="none" w:sz="0" w:space="0" w:color="auto"/>
                    <w:bottom w:val="none" w:sz="0" w:space="0" w:color="auto"/>
                    <w:right w:val="none" w:sz="0" w:space="0" w:color="auto"/>
                  </w:divBdr>
                  <w:divsChild>
                    <w:div w:id="1673533935">
                      <w:marLeft w:val="0"/>
                      <w:marRight w:val="0"/>
                      <w:marTop w:val="0"/>
                      <w:marBottom w:val="0"/>
                      <w:divBdr>
                        <w:top w:val="none" w:sz="0" w:space="0" w:color="auto"/>
                        <w:left w:val="none" w:sz="0" w:space="0" w:color="auto"/>
                        <w:bottom w:val="none" w:sz="0" w:space="0" w:color="auto"/>
                        <w:right w:val="none" w:sz="0" w:space="0" w:color="auto"/>
                      </w:divBdr>
                    </w:div>
                  </w:divsChild>
                </w:div>
                <w:div w:id="1763257161">
                  <w:marLeft w:val="0"/>
                  <w:marRight w:val="0"/>
                  <w:marTop w:val="0"/>
                  <w:marBottom w:val="0"/>
                  <w:divBdr>
                    <w:top w:val="none" w:sz="0" w:space="0" w:color="auto"/>
                    <w:left w:val="none" w:sz="0" w:space="0" w:color="auto"/>
                    <w:bottom w:val="none" w:sz="0" w:space="0" w:color="auto"/>
                    <w:right w:val="none" w:sz="0" w:space="0" w:color="auto"/>
                  </w:divBdr>
                  <w:divsChild>
                    <w:div w:id="429203638">
                      <w:marLeft w:val="0"/>
                      <w:marRight w:val="0"/>
                      <w:marTop w:val="0"/>
                      <w:marBottom w:val="0"/>
                      <w:divBdr>
                        <w:top w:val="none" w:sz="0" w:space="0" w:color="auto"/>
                        <w:left w:val="none" w:sz="0" w:space="0" w:color="auto"/>
                        <w:bottom w:val="none" w:sz="0" w:space="0" w:color="auto"/>
                        <w:right w:val="none" w:sz="0" w:space="0" w:color="auto"/>
                      </w:divBdr>
                    </w:div>
                  </w:divsChild>
                </w:div>
                <w:div w:id="1763723449">
                  <w:marLeft w:val="0"/>
                  <w:marRight w:val="0"/>
                  <w:marTop w:val="0"/>
                  <w:marBottom w:val="0"/>
                  <w:divBdr>
                    <w:top w:val="none" w:sz="0" w:space="0" w:color="auto"/>
                    <w:left w:val="none" w:sz="0" w:space="0" w:color="auto"/>
                    <w:bottom w:val="none" w:sz="0" w:space="0" w:color="auto"/>
                    <w:right w:val="none" w:sz="0" w:space="0" w:color="auto"/>
                  </w:divBdr>
                  <w:divsChild>
                    <w:div w:id="91323050">
                      <w:marLeft w:val="0"/>
                      <w:marRight w:val="0"/>
                      <w:marTop w:val="0"/>
                      <w:marBottom w:val="0"/>
                      <w:divBdr>
                        <w:top w:val="none" w:sz="0" w:space="0" w:color="auto"/>
                        <w:left w:val="none" w:sz="0" w:space="0" w:color="auto"/>
                        <w:bottom w:val="none" w:sz="0" w:space="0" w:color="auto"/>
                        <w:right w:val="none" w:sz="0" w:space="0" w:color="auto"/>
                      </w:divBdr>
                    </w:div>
                  </w:divsChild>
                </w:div>
                <w:div w:id="1768497618">
                  <w:marLeft w:val="0"/>
                  <w:marRight w:val="0"/>
                  <w:marTop w:val="0"/>
                  <w:marBottom w:val="0"/>
                  <w:divBdr>
                    <w:top w:val="none" w:sz="0" w:space="0" w:color="auto"/>
                    <w:left w:val="none" w:sz="0" w:space="0" w:color="auto"/>
                    <w:bottom w:val="none" w:sz="0" w:space="0" w:color="auto"/>
                    <w:right w:val="none" w:sz="0" w:space="0" w:color="auto"/>
                  </w:divBdr>
                  <w:divsChild>
                    <w:div w:id="1068303957">
                      <w:marLeft w:val="0"/>
                      <w:marRight w:val="0"/>
                      <w:marTop w:val="0"/>
                      <w:marBottom w:val="0"/>
                      <w:divBdr>
                        <w:top w:val="none" w:sz="0" w:space="0" w:color="auto"/>
                        <w:left w:val="none" w:sz="0" w:space="0" w:color="auto"/>
                        <w:bottom w:val="none" w:sz="0" w:space="0" w:color="auto"/>
                        <w:right w:val="none" w:sz="0" w:space="0" w:color="auto"/>
                      </w:divBdr>
                    </w:div>
                  </w:divsChild>
                </w:div>
                <w:div w:id="1769302230">
                  <w:marLeft w:val="0"/>
                  <w:marRight w:val="0"/>
                  <w:marTop w:val="0"/>
                  <w:marBottom w:val="0"/>
                  <w:divBdr>
                    <w:top w:val="none" w:sz="0" w:space="0" w:color="auto"/>
                    <w:left w:val="none" w:sz="0" w:space="0" w:color="auto"/>
                    <w:bottom w:val="none" w:sz="0" w:space="0" w:color="auto"/>
                    <w:right w:val="none" w:sz="0" w:space="0" w:color="auto"/>
                  </w:divBdr>
                  <w:divsChild>
                    <w:div w:id="1827820089">
                      <w:marLeft w:val="0"/>
                      <w:marRight w:val="0"/>
                      <w:marTop w:val="0"/>
                      <w:marBottom w:val="0"/>
                      <w:divBdr>
                        <w:top w:val="none" w:sz="0" w:space="0" w:color="auto"/>
                        <w:left w:val="none" w:sz="0" w:space="0" w:color="auto"/>
                        <w:bottom w:val="none" w:sz="0" w:space="0" w:color="auto"/>
                        <w:right w:val="none" w:sz="0" w:space="0" w:color="auto"/>
                      </w:divBdr>
                    </w:div>
                  </w:divsChild>
                </w:div>
                <w:div w:id="1781295884">
                  <w:marLeft w:val="0"/>
                  <w:marRight w:val="0"/>
                  <w:marTop w:val="0"/>
                  <w:marBottom w:val="0"/>
                  <w:divBdr>
                    <w:top w:val="none" w:sz="0" w:space="0" w:color="auto"/>
                    <w:left w:val="none" w:sz="0" w:space="0" w:color="auto"/>
                    <w:bottom w:val="none" w:sz="0" w:space="0" w:color="auto"/>
                    <w:right w:val="none" w:sz="0" w:space="0" w:color="auto"/>
                  </w:divBdr>
                  <w:divsChild>
                    <w:div w:id="582102886">
                      <w:marLeft w:val="0"/>
                      <w:marRight w:val="0"/>
                      <w:marTop w:val="0"/>
                      <w:marBottom w:val="0"/>
                      <w:divBdr>
                        <w:top w:val="none" w:sz="0" w:space="0" w:color="auto"/>
                        <w:left w:val="none" w:sz="0" w:space="0" w:color="auto"/>
                        <w:bottom w:val="none" w:sz="0" w:space="0" w:color="auto"/>
                        <w:right w:val="none" w:sz="0" w:space="0" w:color="auto"/>
                      </w:divBdr>
                    </w:div>
                  </w:divsChild>
                </w:div>
                <w:div w:id="1781989577">
                  <w:marLeft w:val="0"/>
                  <w:marRight w:val="0"/>
                  <w:marTop w:val="0"/>
                  <w:marBottom w:val="0"/>
                  <w:divBdr>
                    <w:top w:val="none" w:sz="0" w:space="0" w:color="auto"/>
                    <w:left w:val="none" w:sz="0" w:space="0" w:color="auto"/>
                    <w:bottom w:val="none" w:sz="0" w:space="0" w:color="auto"/>
                    <w:right w:val="none" w:sz="0" w:space="0" w:color="auto"/>
                  </w:divBdr>
                  <w:divsChild>
                    <w:div w:id="468481505">
                      <w:marLeft w:val="0"/>
                      <w:marRight w:val="0"/>
                      <w:marTop w:val="0"/>
                      <w:marBottom w:val="0"/>
                      <w:divBdr>
                        <w:top w:val="none" w:sz="0" w:space="0" w:color="auto"/>
                        <w:left w:val="none" w:sz="0" w:space="0" w:color="auto"/>
                        <w:bottom w:val="none" w:sz="0" w:space="0" w:color="auto"/>
                        <w:right w:val="none" w:sz="0" w:space="0" w:color="auto"/>
                      </w:divBdr>
                    </w:div>
                  </w:divsChild>
                </w:div>
                <w:div w:id="1786657517">
                  <w:marLeft w:val="0"/>
                  <w:marRight w:val="0"/>
                  <w:marTop w:val="0"/>
                  <w:marBottom w:val="0"/>
                  <w:divBdr>
                    <w:top w:val="none" w:sz="0" w:space="0" w:color="auto"/>
                    <w:left w:val="none" w:sz="0" w:space="0" w:color="auto"/>
                    <w:bottom w:val="none" w:sz="0" w:space="0" w:color="auto"/>
                    <w:right w:val="none" w:sz="0" w:space="0" w:color="auto"/>
                  </w:divBdr>
                  <w:divsChild>
                    <w:div w:id="1898130671">
                      <w:marLeft w:val="0"/>
                      <w:marRight w:val="0"/>
                      <w:marTop w:val="0"/>
                      <w:marBottom w:val="0"/>
                      <w:divBdr>
                        <w:top w:val="none" w:sz="0" w:space="0" w:color="auto"/>
                        <w:left w:val="none" w:sz="0" w:space="0" w:color="auto"/>
                        <w:bottom w:val="none" w:sz="0" w:space="0" w:color="auto"/>
                        <w:right w:val="none" w:sz="0" w:space="0" w:color="auto"/>
                      </w:divBdr>
                    </w:div>
                  </w:divsChild>
                </w:div>
                <w:div w:id="1792168868">
                  <w:marLeft w:val="0"/>
                  <w:marRight w:val="0"/>
                  <w:marTop w:val="0"/>
                  <w:marBottom w:val="0"/>
                  <w:divBdr>
                    <w:top w:val="none" w:sz="0" w:space="0" w:color="auto"/>
                    <w:left w:val="none" w:sz="0" w:space="0" w:color="auto"/>
                    <w:bottom w:val="none" w:sz="0" w:space="0" w:color="auto"/>
                    <w:right w:val="none" w:sz="0" w:space="0" w:color="auto"/>
                  </w:divBdr>
                  <w:divsChild>
                    <w:div w:id="27873041">
                      <w:marLeft w:val="0"/>
                      <w:marRight w:val="0"/>
                      <w:marTop w:val="0"/>
                      <w:marBottom w:val="0"/>
                      <w:divBdr>
                        <w:top w:val="none" w:sz="0" w:space="0" w:color="auto"/>
                        <w:left w:val="none" w:sz="0" w:space="0" w:color="auto"/>
                        <w:bottom w:val="none" w:sz="0" w:space="0" w:color="auto"/>
                        <w:right w:val="none" w:sz="0" w:space="0" w:color="auto"/>
                      </w:divBdr>
                    </w:div>
                    <w:div w:id="30307482">
                      <w:marLeft w:val="0"/>
                      <w:marRight w:val="0"/>
                      <w:marTop w:val="0"/>
                      <w:marBottom w:val="0"/>
                      <w:divBdr>
                        <w:top w:val="none" w:sz="0" w:space="0" w:color="auto"/>
                        <w:left w:val="none" w:sz="0" w:space="0" w:color="auto"/>
                        <w:bottom w:val="none" w:sz="0" w:space="0" w:color="auto"/>
                        <w:right w:val="none" w:sz="0" w:space="0" w:color="auto"/>
                      </w:divBdr>
                    </w:div>
                    <w:div w:id="156851449">
                      <w:marLeft w:val="0"/>
                      <w:marRight w:val="0"/>
                      <w:marTop w:val="0"/>
                      <w:marBottom w:val="0"/>
                      <w:divBdr>
                        <w:top w:val="none" w:sz="0" w:space="0" w:color="auto"/>
                        <w:left w:val="none" w:sz="0" w:space="0" w:color="auto"/>
                        <w:bottom w:val="none" w:sz="0" w:space="0" w:color="auto"/>
                        <w:right w:val="none" w:sz="0" w:space="0" w:color="auto"/>
                      </w:divBdr>
                    </w:div>
                    <w:div w:id="263072516">
                      <w:marLeft w:val="0"/>
                      <w:marRight w:val="0"/>
                      <w:marTop w:val="0"/>
                      <w:marBottom w:val="0"/>
                      <w:divBdr>
                        <w:top w:val="none" w:sz="0" w:space="0" w:color="auto"/>
                        <w:left w:val="none" w:sz="0" w:space="0" w:color="auto"/>
                        <w:bottom w:val="none" w:sz="0" w:space="0" w:color="auto"/>
                        <w:right w:val="none" w:sz="0" w:space="0" w:color="auto"/>
                      </w:divBdr>
                    </w:div>
                    <w:div w:id="502549138">
                      <w:marLeft w:val="0"/>
                      <w:marRight w:val="0"/>
                      <w:marTop w:val="0"/>
                      <w:marBottom w:val="0"/>
                      <w:divBdr>
                        <w:top w:val="none" w:sz="0" w:space="0" w:color="auto"/>
                        <w:left w:val="none" w:sz="0" w:space="0" w:color="auto"/>
                        <w:bottom w:val="none" w:sz="0" w:space="0" w:color="auto"/>
                        <w:right w:val="none" w:sz="0" w:space="0" w:color="auto"/>
                      </w:divBdr>
                    </w:div>
                    <w:div w:id="775713030">
                      <w:marLeft w:val="0"/>
                      <w:marRight w:val="0"/>
                      <w:marTop w:val="0"/>
                      <w:marBottom w:val="0"/>
                      <w:divBdr>
                        <w:top w:val="none" w:sz="0" w:space="0" w:color="auto"/>
                        <w:left w:val="none" w:sz="0" w:space="0" w:color="auto"/>
                        <w:bottom w:val="none" w:sz="0" w:space="0" w:color="auto"/>
                        <w:right w:val="none" w:sz="0" w:space="0" w:color="auto"/>
                      </w:divBdr>
                    </w:div>
                    <w:div w:id="1116944677">
                      <w:marLeft w:val="0"/>
                      <w:marRight w:val="0"/>
                      <w:marTop w:val="0"/>
                      <w:marBottom w:val="0"/>
                      <w:divBdr>
                        <w:top w:val="none" w:sz="0" w:space="0" w:color="auto"/>
                        <w:left w:val="none" w:sz="0" w:space="0" w:color="auto"/>
                        <w:bottom w:val="none" w:sz="0" w:space="0" w:color="auto"/>
                        <w:right w:val="none" w:sz="0" w:space="0" w:color="auto"/>
                      </w:divBdr>
                    </w:div>
                    <w:div w:id="1287198022">
                      <w:marLeft w:val="0"/>
                      <w:marRight w:val="0"/>
                      <w:marTop w:val="0"/>
                      <w:marBottom w:val="0"/>
                      <w:divBdr>
                        <w:top w:val="none" w:sz="0" w:space="0" w:color="auto"/>
                        <w:left w:val="none" w:sz="0" w:space="0" w:color="auto"/>
                        <w:bottom w:val="none" w:sz="0" w:space="0" w:color="auto"/>
                        <w:right w:val="none" w:sz="0" w:space="0" w:color="auto"/>
                      </w:divBdr>
                    </w:div>
                    <w:div w:id="1397435954">
                      <w:marLeft w:val="0"/>
                      <w:marRight w:val="0"/>
                      <w:marTop w:val="0"/>
                      <w:marBottom w:val="0"/>
                      <w:divBdr>
                        <w:top w:val="none" w:sz="0" w:space="0" w:color="auto"/>
                        <w:left w:val="none" w:sz="0" w:space="0" w:color="auto"/>
                        <w:bottom w:val="none" w:sz="0" w:space="0" w:color="auto"/>
                        <w:right w:val="none" w:sz="0" w:space="0" w:color="auto"/>
                      </w:divBdr>
                    </w:div>
                    <w:div w:id="1403060584">
                      <w:marLeft w:val="0"/>
                      <w:marRight w:val="0"/>
                      <w:marTop w:val="0"/>
                      <w:marBottom w:val="0"/>
                      <w:divBdr>
                        <w:top w:val="none" w:sz="0" w:space="0" w:color="auto"/>
                        <w:left w:val="none" w:sz="0" w:space="0" w:color="auto"/>
                        <w:bottom w:val="none" w:sz="0" w:space="0" w:color="auto"/>
                        <w:right w:val="none" w:sz="0" w:space="0" w:color="auto"/>
                      </w:divBdr>
                    </w:div>
                    <w:div w:id="1469084913">
                      <w:marLeft w:val="0"/>
                      <w:marRight w:val="0"/>
                      <w:marTop w:val="0"/>
                      <w:marBottom w:val="0"/>
                      <w:divBdr>
                        <w:top w:val="none" w:sz="0" w:space="0" w:color="auto"/>
                        <w:left w:val="none" w:sz="0" w:space="0" w:color="auto"/>
                        <w:bottom w:val="none" w:sz="0" w:space="0" w:color="auto"/>
                        <w:right w:val="none" w:sz="0" w:space="0" w:color="auto"/>
                      </w:divBdr>
                    </w:div>
                    <w:div w:id="1687171264">
                      <w:marLeft w:val="0"/>
                      <w:marRight w:val="0"/>
                      <w:marTop w:val="0"/>
                      <w:marBottom w:val="0"/>
                      <w:divBdr>
                        <w:top w:val="none" w:sz="0" w:space="0" w:color="auto"/>
                        <w:left w:val="none" w:sz="0" w:space="0" w:color="auto"/>
                        <w:bottom w:val="none" w:sz="0" w:space="0" w:color="auto"/>
                        <w:right w:val="none" w:sz="0" w:space="0" w:color="auto"/>
                      </w:divBdr>
                    </w:div>
                    <w:div w:id="1742021262">
                      <w:marLeft w:val="0"/>
                      <w:marRight w:val="0"/>
                      <w:marTop w:val="0"/>
                      <w:marBottom w:val="0"/>
                      <w:divBdr>
                        <w:top w:val="none" w:sz="0" w:space="0" w:color="auto"/>
                        <w:left w:val="none" w:sz="0" w:space="0" w:color="auto"/>
                        <w:bottom w:val="none" w:sz="0" w:space="0" w:color="auto"/>
                        <w:right w:val="none" w:sz="0" w:space="0" w:color="auto"/>
                      </w:divBdr>
                    </w:div>
                  </w:divsChild>
                </w:div>
                <w:div w:id="1805077689">
                  <w:marLeft w:val="0"/>
                  <w:marRight w:val="0"/>
                  <w:marTop w:val="0"/>
                  <w:marBottom w:val="0"/>
                  <w:divBdr>
                    <w:top w:val="none" w:sz="0" w:space="0" w:color="auto"/>
                    <w:left w:val="none" w:sz="0" w:space="0" w:color="auto"/>
                    <w:bottom w:val="none" w:sz="0" w:space="0" w:color="auto"/>
                    <w:right w:val="none" w:sz="0" w:space="0" w:color="auto"/>
                  </w:divBdr>
                  <w:divsChild>
                    <w:div w:id="1747190530">
                      <w:marLeft w:val="0"/>
                      <w:marRight w:val="0"/>
                      <w:marTop w:val="0"/>
                      <w:marBottom w:val="0"/>
                      <w:divBdr>
                        <w:top w:val="none" w:sz="0" w:space="0" w:color="auto"/>
                        <w:left w:val="none" w:sz="0" w:space="0" w:color="auto"/>
                        <w:bottom w:val="none" w:sz="0" w:space="0" w:color="auto"/>
                        <w:right w:val="none" w:sz="0" w:space="0" w:color="auto"/>
                      </w:divBdr>
                    </w:div>
                  </w:divsChild>
                </w:div>
                <w:div w:id="1811940798">
                  <w:marLeft w:val="0"/>
                  <w:marRight w:val="0"/>
                  <w:marTop w:val="0"/>
                  <w:marBottom w:val="0"/>
                  <w:divBdr>
                    <w:top w:val="none" w:sz="0" w:space="0" w:color="auto"/>
                    <w:left w:val="none" w:sz="0" w:space="0" w:color="auto"/>
                    <w:bottom w:val="none" w:sz="0" w:space="0" w:color="auto"/>
                    <w:right w:val="none" w:sz="0" w:space="0" w:color="auto"/>
                  </w:divBdr>
                  <w:divsChild>
                    <w:div w:id="843669243">
                      <w:marLeft w:val="0"/>
                      <w:marRight w:val="0"/>
                      <w:marTop w:val="0"/>
                      <w:marBottom w:val="0"/>
                      <w:divBdr>
                        <w:top w:val="none" w:sz="0" w:space="0" w:color="auto"/>
                        <w:left w:val="none" w:sz="0" w:space="0" w:color="auto"/>
                        <w:bottom w:val="none" w:sz="0" w:space="0" w:color="auto"/>
                        <w:right w:val="none" w:sz="0" w:space="0" w:color="auto"/>
                      </w:divBdr>
                    </w:div>
                  </w:divsChild>
                </w:div>
                <w:div w:id="1814373261">
                  <w:marLeft w:val="0"/>
                  <w:marRight w:val="0"/>
                  <w:marTop w:val="0"/>
                  <w:marBottom w:val="0"/>
                  <w:divBdr>
                    <w:top w:val="none" w:sz="0" w:space="0" w:color="auto"/>
                    <w:left w:val="none" w:sz="0" w:space="0" w:color="auto"/>
                    <w:bottom w:val="none" w:sz="0" w:space="0" w:color="auto"/>
                    <w:right w:val="none" w:sz="0" w:space="0" w:color="auto"/>
                  </w:divBdr>
                  <w:divsChild>
                    <w:div w:id="734085831">
                      <w:marLeft w:val="0"/>
                      <w:marRight w:val="0"/>
                      <w:marTop w:val="0"/>
                      <w:marBottom w:val="0"/>
                      <w:divBdr>
                        <w:top w:val="none" w:sz="0" w:space="0" w:color="auto"/>
                        <w:left w:val="none" w:sz="0" w:space="0" w:color="auto"/>
                        <w:bottom w:val="none" w:sz="0" w:space="0" w:color="auto"/>
                        <w:right w:val="none" w:sz="0" w:space="0" w:color="auto"/>
                      </w:divBdr>
                    </w:div>
                  </w:divsChild>
                </w:div>
                <w:div w:id="1815295532">
                  <w:marLeft w:val="0"/>
                  <w:marRight w:val="0"/>
                  <w:marTop w:val="0"/>
                  <w:marBottom w:val="0"/>
                  <w:divBdr>
                    <w:top w:val="none" w:sz="0" w:space="0" w:color="auto"/>
                    <w:left w:val="none" w:sz="0" w:space="0" w:color="auto"/>
                    <w:bottom w:val="none" w:sz="0" w:space="0" w:color="auto"/>
                    <w:right w:val="none" w:sz="0" w:space="0" w:color="auto"/>
                  </w:divBdr>
                  <w:divsChild>
                    <w:div w:id="1676569490">
                      <w:marLeft w:val="0"/>
                      <w:marRight w:val="0"/>
                      <w:marTop w:val="0"/>
                      <w:marBottom w:val="0"/>
                      <w:divBdr>
                        <w:top w:val="none" w:sz="0" w:space="0" w:color="auto"/>
                        <w:left w:val="none" w:sz="0" w:space="0" w:color="auto"/>
                        <w:bottom w:val="none" w:sz="0" w:space="0" w:color="auto"/>
                        <w:right w:val="none" w:sz="0" w:space="0" w:color="auto"/>
                      </w:divBdr>
                    </w:div>
                  </w:divsChild>
                </w:div>
                <w:div w:id="1820341276">
                  <w:marLeft w:val="0"/>
                  <w:marRight w:val="0"/>
                  <w:marTop w:val="0"/>
                  <w:marBottom w:val="0"/>
                  <w:divBdr>
                    <w:top w:val="none" w:sz="0" w:space="0" w:color="auto"/>
                    <w:left w:val="none" w:sz="0" w:space="0" w:color="auto"/>
                    <w:bottom w:val="none" w:sz="0" w:space="0" w:color="auto"/>
                    <w:right w:val="none" w:sz="0" w:space="0" w:color="auto"/>
                  </w:divBdr>
                  <w:divsChild>
                    <w:div w:id="1247685761">
                      <w:marLeft w:val="0"/>
                      <w:marRight w:val="0"/>
                      <w:marTop w:val="0"/>
                      <w:marBottom w:val="0"/>
                      <w:divBdr>
                        <w:top w:val="none" w:sz="0" w:space="0" w:color="auto"/>
                        <w:left w:val="none" w:sz="0" w:space="0" w:color="auto"/>
                        <w:bottom w:val="none" w:sz="0" w:space="0" w:color="auto"/>
                        <w:right w:val="none" w:sz="0" w:space="0" w:color="auto"/>
                      </w:divBdr>
                    </w:div>
                  </w:divsChild>
                </w:div>
                <w:div w:id="1821994481">
                  <w:marLeft w:val="0"/>
                  <w:marRight w:val="0"/>
                  <w:marTop w:val="0"/>
                  <w:marBottom w:val="0"/>
                  <w:divBdr>
                    <w:top w:val="none" w:sz="0" w:space="0" w:color="auto"/>
                    <w:left w:val="none" w:sz="0" w:space="0" w:color="auto"/>
                    <w:bottom w:val="none" w:sz="0" w:space="0" w:color="auto"/>
                    <w:right w:val="none" w:sz="0" w:space="0" w:color="auto"/>
                  </w:divBdr>
                  <w:divsChild>
                    <w:div w:id="2070496827">
                      <w:marLeft w:val="0"/>
                      <w:marRight w:val="0"/>
                      <w:marTop w:val="0"/>
                      <w:marBottom w:val="0"/>
                      <w:divBdr>
                        <w:top w:val="none" w:sz="0" w:space="0" w:color="auto"/>
                        <w:left w:val="none" w:sz="0" w:space="0" w:color="auto"/>
                        <w:bottom w:val="none" w:sz="0" w:space="0" w:color="auto"/>
                        <w:right w:val="none" w:sz="0" w:space="0" w:color="auto"/>
                      </w:divBdr>
                    </w:div>
                  </w:divsChild>
                </w:div>
                <w:div w:id="1823620251">
                  <w:marLeft w:val="0"/>
                  <w:marRight w:val="0"/>
                  <w:marTop w:val="0"/>
                  <w:marBottom w:val="0"/>
                  <w:divBdr>
                    <w:top w:val="none" w:sz="0" w:space="0" w:color="auto"/>
                    <w:left w:val="none" w:sz="0" w:space="0" w:color="auto"/>
                    <w:bottom w:val="none" w:sz="0" w:space="0" w:color="auto"/>
                    <w:right w:val="none" w:sz="0" w:space="0" w:color="auto"/>
                  </w:divBdr>
                  <w:divsChild>
                    <w:div w:id="1737508375">
                      <w:marLeft w:val="0"/>
                      <w:marRight w:val="0"/>
                      <w:marTop w:val="0"/>
                      <w:marBottom w:val="0"/>
                      <w:divBdr>
                        <w:top w:val="none" w:sz="0" w:space="0" w:color="auto"/>
                        <w:left w:val="none" w:sz="0" w:space="0" w:color="auto"/>
                        <w:bottom w:val="none" w:sz="0" w:space="0" w:color="auto"/>
                        <w:right w:val="none" w:sz="0" w:space="0" w:color="auto"/>
                      </w:divBdr>
                    </w:div>
                  </w:divsChild>
                </w:div>
                <w:div w:id="1825968468">
                  <w:marLeft w:val="0"/>
                  <w:marRight w:val="0"/>
                  <w:marTop w:val="0"/>
                  <w:marBottom w:val="0"/>
                  <w:divBdr>
                    <w:top w:val="none" w:sz="0" w:space="0" w:color="auto"/>
                    <w:left w:val="none" w:sz="0" w:space="0" w:color="auto"/>
                    <w:bottom w:val="none" w:sz="0" w:space="0" w:color="auto"/>
                    <w:right w:val="none" w:sz="0" w:space="0" w:color="auto"/>
                  </w:divBdr>
                  <w:divsChild>
                    <w:div w:id="239487875">
                      <w:marLeft w:val="0"/>
                      <w:marRight w:val="0"/>
                      <w:marTop w:val="0"/>
                      <w:marBottom w:val="0"/>
                      <w:divBdr>
                        <w:top w:val="none" w:sz="0" w:space="0" w:color="auto"/>
                        <w:left w:val="none" w:sz="0" w:space="0" w:color="auto"/>
                        <w:bottom w:val="none" w:sz="0" w:space="0" w:color="auto"/>
                        <w:right w:val="none" w:sz="0" w:space="0" w:color="auto"/>
                      </w:divBdr>
                    </w:div>
                  </w:divsChild>
                </w:div>
                <w:div w:id="1837838511">
                  <w:marLeft w:val="0"/>
                  <w:marRight w:val="0"/>
                  <w:marTop w:val="0"/>
                  <w:marBottom w:val="0"/>
                  <w:divBdr>
                    <w:top w:val="none" w:sz="0" w:space="0" w:color="auto"/>
                    <w:left w:val="none" w:sz="0" w:space="0" w:color="auto"/>
                    <w:bottom w:val="none" w:sz="0" w:space="0" w:color="auto"/>
                    <w:right w:val="none" w:sz="0" w:space="0" w:color="auto"/>
                  </w:divBdr>
                  <w:divsChild>
                    <w:div w:id="1121145671">
                      <w:marLeft w:val="0"/>
                      <w:marRight w:val="0"/>
                      <w:marTop w:val="0"/>
                      <w:marBottom w:val="0"/>
                      <w:divBdr>
                        <w:top w:val="none" w:sz="0" w:space="0" w:color="auto"/>
                        <w:left w:val="none" w:sz="0" w:space="0" w:color="auto"/>
                        <w:bottom w:val="none" w:sz="0" w:space="0" w:color="auto"/>
                        <w:right w:val="none" w:sz="0" w:space="0" w:color="auto"/>
                      </w:divBdr>
                    </w:div>
                  </w:divsChild>
                </w:div>
                <w:div w:id="1838960193">
                  <w:marLeft w:val="0"/>
                  <w:marRight w:val="0"/>
                  <w:marTop w:val="0"/>
                  <w:marBottom w:val="0"/>
                  <w:divBdr>
                    <w:top w:val="none" w:sz="0" w:space="0" w:color="auto"/>
                    <w:left w:val="none" w:sz="0" w:space="0" w:color="auto"/>
                    <w:bottom w:val="none" w:sz="0" w:space="0" w:color="auto"/>
                    <w:right w:val="none" w:sz="0" w:space="0" w:color="auto"/>
                  </w:divBdr>
                  <w:divsChild>
                    <w:div w:id="839393295">
                      <w:marLeft w:val="0"/>
                      <w:marRight w:val="0"/>
                      <w:marTop w:val="0"/>
                      <w:marBottom w:val="0"/>
                      <w:divBdr>
                        <w:top w:val="none" w:sz="0" w:space="0" w:color="auto"/>
                        <w:left w:val="none" w:sz="0" w:space="0" w:color="auto"/>
                        <w:bottom w:val="none" w:sz="0" w:space="0" w:color="auto"/>
                        <w:right w:val="none" w:sz="0" w:space="0" w:color="auto"/>
                      </w:divBdr>
                    </w:div>
                  </w:divsChild>
                </w:div>
                <w:div w:id="1847860925">
                  <w:marLeft w:val="0"/>
                  <w:marRight w:val="0"/>
                  <w:marTop w:val="0"/>
                  <w:marBottom w:val="0"/>
                  <w:divBdr>
                    <w:top w:val="none" w:sz="0" w:space="0" w:color="auto"/>
                    <w:left w:val="none" w:sz="0" w:space="0" w:color="auto"/>
                    <w:bottom w:val="none" w:sz="0" w:space="0" w:color="auto"/>
                    <w:right w:val="none" w:sz="0" w:space="0" w:color="auto"/>
                  </w:divBdr>
                  <w:divsChild>
                    <w:div w:id="1753891721">
                      <w:marLeft w:val="0"/>
                      <w:marRight w:val="0"/>
                      <w:marTop w:val="0"/>
                      <w:marBottom w:val="0"/>
                      <w:divBdr>
                        <w:top w:val="none" w:sz="0" w:space="0" w:color="auto"/>
                        <w:left w:val="none" w:sz="0" w:space="0" w:color="auto"/>
                        <w:bottom w:val="none" w:sz="0" w:space="0" w:color="auto"/>
                        <w:right w:val="none" w:sz="0" w:space="0" w:color="auto"/>
                      </w:divBdr>
                    </w:div>
                  </w:divsChild>
                </w:div>
                <w:div w:id="1854302346">
                  <w:marLeft w:val="0"/>
                  <w:marRight w:val="0"/>
                  <w:marTop w:val="0"/>
                  <w:marBottom w:val="0"/>
                  <w:divBdr>
                    <w:top w:val="none" w:sz="0" w:space="0" w:color="auto"/>
                    <w:left w:val="none" w:sz="0" w:space="0" w:color="auto"/>
                    <w:bottom w:val="none" w:sz="0" w:space="0" w:color="auto"/>
                    <w:right w:val="none" w:sz="0" w:space="0" w:color="auto"/>
                  </w:divBdr>
                  <w:divsChild>
                    <w:div w:id="2083022047">
                      <w:marLeft w:val="0"/>
                      <w:marRight w:val="0"/>
                      <w:marTop w:val="0"/>
                      <w:marBottom w:val="0"/>
                      <w:divBdr>
                        <w:top w:val="none" w:sz="0" w:space="0" w:color="auto"/>
                        <w:left w:val="none" w:sz="0" w:space="0" w:color="auto"/>
                        <w:bottom w:val="none" w:sz="0" w:space="0" w:color="auto"/>
                        <w:right w:val="none" w:sz="0" w:space="0" w:color="auto"/>
                      </w:divBdr>
                    </w:div>
                  </w:divsChild>
                </w:div>
                <w:div w:id="1862232648">
                  <w:marLeft w:val="0"/>
                  <w:marRight w:val="0"/>
                  <w:marTop w:val="0"/>
                  <w:marBottom w:val="0"/>
                  <w:divBdr>
                    <w:top w:val="none" w:sz="0" w:space="0" w:color="auto"/>
                    <w:left w:val="none" w:sz="0" w:space="0" w:color="auto"/>
                    <w:bottom w:val="none" w:sz="0" w:space="0" w:color="auto"/>
                    <w:right w:val="none" w:sz="0" w:space="0" w:color="auto"/>
                  </w:divBdr>
                  <w:divsChild>
                    <w:div w:id="1063142077">
                      <w:marLeft w:val="0"/>
                      <w:marRight w:val="0"/>
                      <w:marTop w:val="0"/>
                      <w:marBottom w:val="0"/>
                      <w:divBdr>
                        <w:top w:val="none" w:sz="0" w:space="0" w:color="auto"/>
                        <w:left w:val="none" w:sz="0" w:space="0" w:color="auto"/>
                        <w:bottom w:val="none" w:sz="0" w:space="0" w:color="auto"/>
                        <w:right w:val="none" w:sz="0" w:space="0" w:color="auto"/>
                      </w:divBdr>
                    </w:div>
                  </w:divsChild>
                </w:div>
                <w:div w:id="1865484636">
                  <w:marLeft w:val="0"/>
                  <w:marRight w:val="0"/>
                  <w:marTop w:val="0"/>
                  <w:marBottom w:val="0"/>
                  <w:divBdr>
                    <w:top w:val="none" w:sz="0" w:space="0" w:color="auto"/>
                    <w:left w:val="none" w:sz="0" w:space="0" w:color="auto"/>
                    <w:bottom w:val="none" w:sz="0" w:space="0" w:color="auto"/>
                    <w:right w:val="none" w:sz="0" w:space="0" w:color="auto"/>
                  </w:divBdr>
                  <w:divsChild>
                    <w:div w:id="573974110">
                      <w:marLeft w:val="0"/>
                      <w:marRight w:val="0"/>
                      <w:marTop w:val="0"/>
                      <w:marBottom w:val="0"/>
                      <w:divBdr>
                        <w:top w:val="none" w:sz="0" w:space="0" w:color="auto"/>
                        <w:left w:val="none" w:sz="0" w:space="0" w:color="auto"/>
                        <w:bottom w:val="none" w:sz="0" w:space="0" w:color="auto"/>
                        <w:right w:val="none" w:sz="0" w:space="0" w:color="auto"/>
                      </w:divBdr>
                    </w:div>
                  </w:divsChild>
                </w:div>
                <w:div w:id="1873759116">
                  <w:marLeft w:val="0"/>
                  <w:marRight w:val="0"/>
                  <w:marTop w:val="0"/>
                  <w:marBottom w:val="0"/>
                  <w:divBdr>
                    <w:top w:val="none" w:sz="0" w:space="0" w:color="auto"/>
                    <w:left w:val="none" w:sz="0" w:space="0" w:color="auto"/>
                    <w:bottom w:val="none" w:sz="0" w:space="0" w:color="auto"/>
                    <w:right w:val="none" w:sz="0" w:space="0" w:color="auto"/>
                  </w:divBdr>
                  <w:divsChild>
                    <w:div w:id="735280910">
                      <w:marLeft w:val="0"/>
                      <w:marRight w:val="0"/>
                      <w:marTop w:val="0"/>
                      <w:marBottom w:val="0"/>
                      <w:divBdr>
                        <w:top w:val="none" w:sz="0" w:space="0" w:color="auto"/>
                        <w:left w:val="none" w:sz="0" w:space="0" w:color="auto"/>
                        <w:bottom w:val="none" w:sz="0" w:space="0" w:color="auto"/>
                        <w:right w:val="none" w:sz="0" w:space="0" w:color="auto"/>
                      </w:divBdr>
                    </w:div>
                  </w:divsChild>
                </w:div>
                <w:div w:id="1879662942">
                  <w:marLeft w:val="0"/>
                  <w:marRight w:val="0"/>
                  <w:marTop w:val="0"/>
                  <w:marBottom w:val="0"/>
                  <w:divBdr>
                    <w:top w:val="none" w:sz="0" w:space="0" w:color="auto"/>
                    <w:left w:val="none" w:sz="0" w:space="0" w:color="auto"/>
                    <w:bottom w:val="none" w:sz="0" w:space="0" w:color="auto"/>
                    <w:right w:val="none" w:sz="0" w:space="0" w:color="auto"/>
                  </w:divBdr>
                  <w:divsChild>
                    <w:div w:id="497621994">
                      <w:marLeft w:val="0"/>
                      <w:marRight w:val="0"/>
                      <w:marTop w:val="0"/>
                      <w:marBottom w:val="0"/>
                      <w:divBdr>
                        <w:top w:val="none" w:sz="0" w:space="0" w:color="auto"/>
                        <w:left w:val="none" w:sz="0" w:space="0" w:color="auto"/>
                        <w:bottom w:val="none" w:sz="0" w:space="0" w:color="auto"/>
                        <w:right w:val="none" w:sz="0" w:space="0" w:color="auto"/>
                      </w:divBdr>
                    </w:div>
                  </w:divsChild>
                </w:div>
                <w:div w:id="1888057869">
                  <w:marLeft w:val="0"/>
                  <w:marRight w:val="0"/>
                  <w:marTop w:val="0"/>
                  <w:marBottom w:val="0"/>
                  <w:divBdr>
                    <w:top w:val="none" w:sz="0" w:space="0" w:color="auto"/>
                    <w:left w:val="none" w:sz="0" w:space="0" w:color="auto"/>
                    <w:bottom w:val="none" w:sz="0" w:space="0" w:color="auto"/>
                    <w:right w:val="none" w:sz="0" w:space="0" w:color="auto"/>
                  </w:divBdr>
                  <w:divsChild>
                    <w:div w:id="885796693">
                      <w:marLeft w:val="0"/>
                      <w:marRight w:val="0"/>
                      <w:marTop w:val="0"/>
                      <w:marBottom w:val="0"/>
                      <w:divBdr>
                        <w:top w:val="none" w:sz="0" w:space="0" w:color="auto"/>
                        <w:left w:val="none" w:sz="0" w:space="0" w:color="auto"/>
                        <w:bottom w:val="none" w:sz="0" w:space="0" w:color="auto"/>
                        <w:right w:val="none" w:sz="0" w:space="0" w:color="auto"/>
                      </w:divBdr>
                    </w:div>
                  </w:divsChild>
                </w:div>
                <w:div w:id="1911694728">
                  <w:marLeft w:val="0"/>
                  <w:marRight w:val="0"/>
                  <w:marTop w:val="0"/>
                  <w:marBottom w:val="0"/>
                  <w:divBdr>
                    <w:top w:val="none" w:sz="0" w:space="0" w:color="auto"/>
                    <w:left w:val="none" w:sz="0" w:space="0" w:color="auto"/>
                    <w:bottom w:val="none" w:sz="0" w:space="0" w:color="auto"/>
                    <w:right w:val="none" w:sz="0" w:space="0" w:color="auto"/>
                  </w:divBdr>
                  <w:divsChild>
                    <w:div w:id="831409394">
                      <w:marLeft w:val="0"/>
                      <w:marRight w:val="0"/>
                      <w:marTop w:val="0"/>
                      <w:marBottom w:val="0"/>
                      <w:divBdr>
                        <w:top w:val="none" w:sz="0" w:space="0" w:color="auto"/>
                        <w:left w:val="none" w:sz="0" w:space="0" w:color="auto"/>
                        <w:bottom w:val="none" w:sz="0" w:space="0" w:color="auto"/>
                        <w:right w:val="none" w:sz="0" w:space="0" w:color="auto"/>
                      </w:divBdr>
                    </w:div>
                  </w:divsChild>
                </w:div>
                <w:div w:id="1920746635">
                  <w:marLeft w:val="0"/>
                  <w:marRight w:val="0"/>
                  <w:marTop w:val="0"/>
                  <w:marBottom w:val="0"/>
                  <w:divBdr>
                    <w:top w:val="none" w:sz="0" w:space="0" w:color="auto"/>
                    <w:left w:val="none" w:sz="0" w:space="0" w:color="auto"/>
                    <w:bottom w:val="none" w:sz="0" w:space="0" w:color="auto"/>
                    <w:right w:val="none" w:sz="0" w:space="0" w:color="auto"/>
                  </w:divBdr>
                  <w:divsChild>
                    <w:div w:id="2128816647">
                      <w:marLeft w:val="0"/>
                      <w:marRight w:val="0"/>
                      <w:marTop w:val="0"/>
                      <w:marBottom w:val="0"/>
                      <w:divBdr>
                        <w:top w:val="none" w:sz="0" w:space="0" w:color="auto"/>
                        <w:left w:val="none" w:sz="0" w:space="0" w:color="auto"/>
                        <w:bottom w:val="none" w:sz="0" w:space="0" w:color="auto"/>
                        <w:right w:val="none" w:sz="0" w:space="0" w:color="auto"/>
                      </w:divBdr>
                    </w:div>
                  </w:divsChild>
                </w:div>
                <w:div w:id="1923564160">
                  <w:marLeft w:val="0"/>
                  <w:marRight w:val="0"/>
                  <w:marTop w:val="0"/>
                  <w:marBottom w:val="0"/>
                  <w:divBdr>
                    <w:top w:val="none" w:sz="0" w:space="0" w:color="auto"/>
                    <w:left w:val="none" w:sz="0" w:space="0" w:color="auto"/>
                    <w:bottom w:val="none" w:sz="0" w:space="0" w:color="auto"/>
                    <w:right w:val="none" w:sz="0" w:space="0" w:color="auto"/>
                  </w:divBdr>
                  <w:divsChild>
                    <w:div w:id="1613708188">
                      <w:marLeft w:val="0"/>
                      <w:marRight w:val="0"/>
                      <w:marTop w:val="0"/>
                      <w:marBottom w:val="0"/>
                      <w:divBdr>
                        <w:top w:val="none" w:sz="0" w:space="0" w:color="auto"/>
                        <w:left w:val="none" w:sz="0" w:space="0" w:color="auto"/>
                        <w:bottom w:val="none" w:sz="0" w:space="0" w:color="auto"/>
                        <w:right w:val="none" w:sz="0" w:space="0" w:color="auto"/>
                      </w:divBdr>
                    </w:div>
                  </w:divsChild>
                </w:div>
                <w:div w:id="1926568254">
                  <w:marLeft w:val="0"/>
                  <w:marRight w:val="0"/>
                  <w:marTop w:val="0"/>
                  <w:marBottom w:val="0"/>
                  <w:divBdr>
                    <w:top w:val="none" w:sz="0" w:space="0" w:color="auto"/>
                    <w:left w:val="none" w:sz="0" w:space="0" w:color="auto"/>
                    <w:bottom w:val="none" w:sz="0" w:space="0" w:color="auto"/>
                    <w:right w:val="none" w:sz="0" w:space="0" w:color="auto"/>
                  </w:divBdr>
                  <w:divsChild>
                    <w:div w:id="124664585">
                      <w:marLeft w:val="0"/>
                      <w:marRight w:val="0"/>
                      <w:marTop w:val="0"/>
                      <w:marBottom w:val="0"/>
                      <w:divBdr>
                        <w:top w:val="none" w:sz="0" w:space="0" w:color="auto"/>
                        <w:left w:val="none" w:sz="0" w:space="0" w:color="auto"/>
                        <w:bottom w:val="none" w:sz="0" w:space="0" w:color="auto"/>
                        <w:right w:val="none" w:sz="0" w:space="0" w:color="auto"/>
                      </w:divBdr>
                    </w:div>
                  </w:divsChild>
                </w:div>
                <w:div w:id="1929265663">
                  <w:marLeft w:val="0"/>
                  <w:marRight w:val="0"/>
                  <w:marTop w:val="0"/>
                  <w:marBottom w:val="0"/>
                  <w:divBdr>
                    <w:top w:val="none" w:sz="0" w:space="0" w:color="auto"/>
                    <w:left w:val="none" w:sz="0" w:space="0" w:color="auto"/>
                    <w:bottom w:val="none" w:sz="0" w:space="0" w:color="auto"/>
                    <w:right w:val="none" w:sz="0" w:space="0" w:color="auto"/>
                  </w:divBdr>
                  <w:divsChild>
                    <w:div w:id="1965036992">
                      <w:marLeft w:val="0"/>
                      <w:marRight w:val="0"/>
                      <w:marTop w:val="0"/>
                      <w:marBottom w:val="0"/>
                      <w:divBdr>
                        <w:top w:val="none" w:sz="0" w:space="0" w:color="auto"/>
                        <w:left w:val="none" w:sz="0" w:space="0" w:color="auto"/>
                        <w:bottom w:val="none" w:sz="0" w:space="0" w:color="auto"/>
                        <w:right w:val="none" w:sz="0" w:space="0" w:color="auto"/>
                      </w:divBdr>
                    </w:div>
                  </w:divsChild>
                </w:div>
                <w:div w:id="1950121450">
                  <w:marLeft w:val="0"/>
                  <w:marRight w:val="0"/>
                  <w:marTop w:val="0"/>
                  <w:marBottom w:val="0"/>
                  <w:divBdr>
                    <w:top w:val="none" w:sz="0" w:space="0" w:color="auto"/>
                    <w:left w:val="none" w:sz="0" w:space="0" w:color="auto"/>
                    <w:bottom w:val="none" w:sz="0" w:space="0" w:color="auto"/>
                    <w:right w:val="none" w:sz="0" w:space="0" w:color="auto"/>
                  </w:divBdr>
                  <w:divsChild>
                    <w:div w:id="1003043897">
                      <w:marLeft w:val="0"/>
                      <w:marRight w:val="0"/>
                      <w:marTop w:val="0"/>
                      <w:marBottom w:val="0"/>
                      <w:divBdr>
                        <w:top w:val="none" w:sz="0" w:space="0" w:color="auto"/>
                        <w:left w:val="none" w:sz="0" w:space="0" w:color="auto"/>
                        <w:bottom w:val="none" w:sz="0" w:space="0" w:color="auto"/>
                        <w:right w:val="none" w:sz="0" w:space="0" w:color="auto"/>
                      </w:divBdr>
                    </w:div>
                  </w:divsChild>
                </w:div>
                <w:div w:id="1951400568">
                  <w:marLeft w:val="0"/>
                  <w:marRight w:val="0"/>
                  <w:marTop w:val="0"/>
                  <w:marBottom w:val="0"/>
                  <w:divBdr>
                    <w:top w:val="none" w:sz="0" w:space="0" w:color="auto"/>
                    <w:left w:val="none" w:sz="0" w:space="0" w:color="auto"/>
                    <w:bottom w:val="none" w:sz="0" w:space="0" w:color="auto"/>
                    <w:right w:val="none" w:sz="0" w:space="0" w:color="auto"/>
                  </w:divBdr>
                  <w:divsChild>
                    <w:div w:id="74978849">
                      <w:marLeft w:val="0"/>
                      <w:marRight w:val="0"/>
                      <w:marTop w:val="0"/>
                      <w:marBottom w:val="0"/>
                      <w:divBdr>
                        <w:top w:val="none" w:sz="0" w:space="0" w:color="auto"/>
                        <w:left w:val="none" w:sz="0" w:space="0" w:color="auto"/>
                        <w:bottom w:val="none" w:sz="0" w:space="0" w:color="auto"/>
                        <w:right w:val="none" w:sz="0" w:space="0" w:color="auto"/>
                      </w:divBdr>
                    </w:div>
                  </w:divsChild>
                </w:div>
                <w:div w:id="1958103666">
                  <w:marLeft w:val="0"/>
                  <w:marRight w:val="0"/>
                  <w:marTop w:val="0"/>
                  <w:marBottom w:val="0"/>
                  <w:divBdr>
                    <w:top w:val="none" w:sz="0" w:space="0" w:color="auto"/>
                    <w:left w:val="none" w:sz="0" w:space="0" w:color="auto"/>
                    <w:bottom w:val="none" w:sz="0" w:space="0" w:color="auto"/>
                    <w:right w:val="none" w:sz="0" w:space="0" w:color="auto"/>
                  </w:divBdr>
                  <w:divsChild>
                    <w:div w:id="1458914996">
                      <w:marLeft w:val="0"/>
                      <w:marRight w:val="0"/>
                      <w:marTop w:val="0"/>
                      <w:marBottom w:val="0"/>
                      <w:divBdr>
                        <w:top w:val="none" w:sz="0" w:space="0" w:color="auto"/>
                        <w:left w:val="none" w:sz="0" w:space="0" w:color="auto"/>
                        <w:bottom w:val="none" w:sz="0" w:space="0" w:color="auto"/>
                        <w:right w:val="none" w:sz="0" w:space="0" w:color="auto"/>
                      </w:divBdr>
                    </w:div>
                  </w:divsChild>
                </w:div>
                <w:div w:id="1962225920">
                  <w:marLeft w:val="0"/>
                  <w:marRight w:val="0"/>
                  <w:marTop w:val="0"/>
                  <w:marBottom w:val="0"/>
                  <w:divBdr>
                    <w:top w:val="none" w:sz="0" w:space="0" w:color="auto"/>
                    <w:left w:val="none" w:sz="0" w:space="0" w:color="auto"/>
                    <w:bottom w:val="none" w:sz="0" w:space="0" w:color="auto"/>
                    <w:right w:val="none" w:sz="0" w:space="0" w:color="auto"/>
                  </w:divBdr>
                  <w:divsChild>
                    <w:div w:id="801657026">
                      <w:marLeft w:val="0"/>
                      <w:marRight w:val="0"/>
                      <w:marTop w:val="0"/>
                      <w:marBottom w:val="0"/>
                      <w:divBdr>
                        <w:top w:val="none" w:sz="0" w:space="0" w:color="auto"/>
                        <w:left w:val="none" w:sz="0" w:space="0" w:color="auto"/>
                        <w:bottom w:val="none" w:sz="0" w:space="0" w:color="auto"/>
                        <w:right w:val="none" w:sz="0" w:space="0" w:color="auto"/>
                      </w:divBdr>
                    </w:div>
                    <w:div w:id="1378431986">
                      <w:marLeft w:val="0"/>
                      <w:marRight w:val="0"/>
                      <w:marTop w:val="0"/>
                      <w:marBottom w:val="0"/>
                      <w:divBdr>
                        <w:top w:val="none" w:sz="0" w:space="0" w:color="auto"/>
                        <w:left w:val="none" w:sz="0" w:space="0" w:color="auto"/>
                        <w:bottom w:val="none" w:sz="0" w:space="0" w:color="auto"/>
                        <w:right w:val="none" w:sz="0" w:space="0" w:color="auto"/>
                      </w:divBdr>
                    </w:div>
                  </w:divsChild>
                </w:div>
                <w:div w:id="1963729996">
                  <w:marLeft w:val="0"/>
                  <w:marRight w:val="0"/>
                  <w:marTop w:val="0"/>
                  <w:marBottom w:val="0"/>
                  <w:divBdr>
                    <w:top w:val="none" w:sz="0" w:space="0" w:color="auto"/>
                    <w:left w:val="none" w:sz="0" w:space="0" w:color="auto"/>
                    <w:bottom w:val="none" w:sz="0" w:space="0" w:color="auto"/>
                    <w:right w:val="none" w:sz="0" w:space="0" w:color="auto"/>
                  </w:divBdr>
                  <w:divsChild>
                    <w:div w:id="1801529520">
                      <w:marLeft w:val="0"/>
                      <w:marRight w:val="0"/>
                      <w:marTop w:val="0"/>
                      <w:marBottom w:val="0"/>
                      <w:divBdr>
                        <w:top w:val="none" w:sz="0" w:space="0" w:color="auto"/>
                        <w:left w:val="none" w:sz="0" w:space="0" w:color="auto"/>
                        <w:bottom w:val="none" w:sz="0" w:space="0" w:color="auto"/>
                        <w:right w:val="none" w:sz="0" w:space="0" w:color="auto"/>
                      </w:divBdr>
                    </w:div>
                  </w:divsChild>
                </w:div>
                <w:div w:id="1964916380">
                  <w:marLeft w:val="0"/>
                  <w:marRight w:val="0"/>
                  <w:marTop w:val="0"/>
                  <w:marBottom w:val="0"/>
                  <w:divBdr>
                    <w:top w:val="none" w:sz="0" w:space="0" w:color="auto"/>
                    <w:left w:val="none" w:sz="0" w:space="0" w:color="auto"/>
                    <w:bottom w:val="none" w:sz="0" w:space="0" w:color="auto"/>
                    <w:right w:val="none" w:sz="0" w:space="0" w:color="auto"/>
                  </w:divBdr>
                  <w:divsChild>
                    <w:div w:id="67699975">
                      <w:marLeft w:val="0"/>
                      <w:marRight w:val="0"/>
                      <w:marTop w:val="0"/>
                      <w:marBottom w:val="0"/>
                      <w:divBdr>
                        <w:top w:val="none" w:sz="0" w:space="0" w:color="auto"/>
                        <w:left w:val="none" w:sz="0" w:space="0" w:color="auto"/>
                        <w:bottom w:val="none" w:sz="0" w:space="0" w:color="auto"/>
                        <w:right w:val="none" w:sz="0" w:space="0" w:color="auto"/>
                      </w:divBdr>
                    </w:div>
                  </w:divsChild>
                </w:div>
                <w:div w:id="1978803089">
                  <w:marLeft w:val="0"/>
                  <w:marRight w:val="0"/>
                  <w:marTop w:val="0"/>
                  <w:marBottom w:val="0"/>
                  <w:divBdr>
                    <w:top w:val="none" w:sz="0" w:space="0" w:color="auto"/>
                    <w:left w:val="none" w:sz="0" w:space="0" w:color="auto"/>
                    <w:bottom w:val="none" w:sz="0" w:space="0" w:color="auto"/>
                    <w:right w:val="none" w:sz="0" w:space="0" w:color="auto"/>
                  </w:divBdr>
                  <w:divsChild>
                    <w:div w:id="1585652334">
                      <w:marLeft w:val="0"/>
                      <w:marRight w:val="0"/>
                      <w:marTop w:val="0"/>
                      <w:marBottom w:val="0"/>
                      <w:divBdr>
                        <w:top w:val="none" w:sz="0" w:space="0" w:color="auto"/>
                        <w:left w:val="none" w:sz="0" w:space="0" w:color="auto"/>
                        <w:bottom w:val="none" w:sz="0" w:space="0" w:color="auto"/>
                        <w:right w:val="none" w:sz="0" w:space="0" w:color="auto"/>
                      </w:divBdr>
                    </w:div>
                  </w:divsChild>
                </w:div>
                <w:div w:id="1992173416">
                  <w:marLeft w:val="0"/>
                  <w:marRight w:val="0"/>
                  <w:marTop w:val="0"/>
                  <w:marBottom w:val="0"/>
                  <w:divBdr>
                    <w:top w:val="none" w:sz="0" w:space="0" w:color="auto"/>
                    <w:left w:val="none" w:sz="0" w:space="0" w:color="auto"/>
                    <w:bottom w:val="none" w:sz="0" w:space="0" w:color="auto"/>
                    <w:right w:val="none" w:sz="0" w:space="0" w:color="auto"/>
                  </w:divBdr>
                  <w:divsChild>
                    <w:div w:id="1183590595">
                      <w:marLeft w:val="0"/>
                      <w:marRight w:val="0"/>
                      <w:marTop w:val="0"/>
                      <w:marBottom w:val="0"/>
                      <w:divBdr>
                        <w:top w:val="none" w:sz="0" w:space="0" w:color="auto"/>
                        <w:left w:val="none" w:sz="0" w:space="0" w:color="auto"/>
                        <w:bottom w:val="none" w:sz="0" w:space="0" w:color="auto"/>
                        <w:right w:val="none" w:sz="0" w:space="0" w:color="auto"/>
                      </w:divBdr>
                    </w:div>
                    <w:div w:id="1644238539">
                      <w:marLeft w:val="0"/>
                      <w:marRight w:val="0"/>
                      <w:marTop w:val="0"/>
                      <w:marBottom w:val="0"/>
                      <w:divBdr>
                        <w:top w:val="none" w:sz="0" w:space="0" w:color="auto"/>
                        <w:left w:val="none" w:sz="0" w:space="0" w:color="auto"/>
                        <w:bottom w:val="none" w:sz="0" w:space="0" w:color="auto"/>
                        <w:right w:val="none" w:sz="0" w:space="0" w:color="auto"/>
                      </w:divBdr>
                    </w:div>
                  </w:divsChild>
                </w:div>
                <w:div w:id="1997418994">
                  <w:marLeft w:val="0"/>
                  <w:marRight w:val="0"/>
                  <w:marTop w:val="0"/>
                  <w:marBottom w:val="0"/>
                  <w:divBdr>
                    <w:top w:val="none" w:sz="0" w:space="0" w:color="auto"/>
                    <w:left w:val="none" w:sz="0" w:space="0" w:color="auto"/>
                    <w:bottom w:val="none" w:sz="0" w:space="0" w:color="auto"/>
                    <w:right w:val="none" w:sz="0" w:space="0" w:color="auto"/>
                  </w:divBdr>
                  <w:divsChild>
                    <w:div w:id="1315917402">
                      <w:marLeft w:val="0"/>
                      <w:marRight w:val="0"/>
                      <w:marTop w:val="0"/>
                      <w:marBottom w:val="0"/>
                      <w:divBdr>
                        <w:top w:val="none" w:sz="0" w:space="0" w:color="auto"/>
                        <w:left w:val="none" w:sz="0" w:space="0" w:color="auto"/>
                        <w:bottom w:val="none" w:sz="0" w:space="0" w:color="auto"/>
                        <w:right w:val="none" w:sz="0" w:space="0" w:color="auto"/>
                      </w:divBdr>
                    </w:div>
                  </w:divsChild>
                </w:div>
                <w:div w:id="1997609156">
                  <w:marLeft w:val="0"/>
                  <w:marRight w:val="0"/>
                  <w:marTop w:val="0"/>
                  <w:marBottom w:val="0"/>
                  <w:divBdr>
                    <w:top w:val="none" w:sz="0" w:space="0" w:color="auto"/>
                    <w:left w:val="none" w:sz="0" w:space="0" w:color="auto"/>
                    <w:bottom w:val="none" w:sz="0" w:space="0" w:color="auto"/>
                    <w:right w:val="none" w:sz="0" w:space="0" w:color="auto"/>
                  </w:divBdr>
                  <w:divsChild>
                    <w:div w:id="1188956444">
                      <w:marLeft w:val="0"/>
                      <w:marRight w:val="0"/>
                      <w:marTop w:val="0"/>
                      <w:marBottom w:val="0"/>
                      <w:divBdr>
                        <w:top w:val="none" w:sz="0" w:space="0" w:color="auto"/>
                        <w:left w:val="none" w:sz="0" w:space="0" w:color="auto"/>
                        <w:bottom w:val="none" w:sz="0" w:space="0" w:color="auto"/>
                        <w:right w:val="none" w:sz="0" w:space="0" w:color="auto"/>
                      </w:divBdr>
                    </w:div>
                  </w:divsChild>
                </w:div>
                <w:div w:id="2000381790">
                  <w:marLeft w:val="0"/>
                  <w:marRight w:val="0"/>
                  <w:marTop w:val="0"/>
                  <w:marBottom w:val="0"/>
                  <w:divBdr>
                    <w:top w:val="none" w:sz="0" w:space="0" w:color="auto"/>
                    <w:left w:val="none" w:sz="0" w:space="0" w:color="auto"/>
                    <w:bottom w:val="none" w:sz="0" w:space="0" w:color="auto"/>
                    <w:right w:val="none" w:sz="0" w:space="0" w:color="auto"/>
                  </w:divBdr>
                  <w:divsChild>
                    <w:div w:id="48891883">
                      <w:marLeft w:val="0"/>
                      <w:marRight w:val="0"/>
                      <w:marTop w:val="0"/>
                      <w:marBottom w:val="0"/>
                      <w:divBdr>
                        <w:top w:val="none" w:sz="0" w:space="0" w:color="auto"/>
                        <w:left w:val="none" w:sz="0" w:space="0" w:color="auto"/>
                        <w:bottom w:val="none" w:sz="0" w:space="0" w:color="auto"/>
                        <w:right w:val="none" w:sz="0" w:space="0" w:color="auto"/>
                      </w:divBdr>
                    </w:div>
                    <w:div w:id="594678793">
                      <w:marLeft w:val="0"/>
                      <w:marRight w:val="0"/>
                      <w:marTop w:val="0"/>
                      <w:marBottom w:val="0"/>
                      <w:divBdr>
                        <w:top w:val="none" w:sz="0" w:space="0" w:color="auto"/>
                        <w:left w:val="none" w:sz="0" w:space="0" w:color="auto"/>
                        <w:bottom w:val="none" w:sz="0" w:space="0" w:color="auto"/>
                        <w:right w:val="none" w:sz="0" w:space="0" w:color="auto"/>
                      </w:divBdr>
                    </w:div>
                    <w:div w:id="784927631">
                      <w:marLeft w:val="0"/>
                      <w:marRight w:val="0"/>
                      <w:marTop w:val="0"/>
                      <w:marBottom w:val="0"/>
                      <w:divBdr>
                        <w:top w:val="none" w:sz="0" w:space="0" w:color="auto"/>
                        <w:left w:val="none" w:sz="0" w:space="0" w:color="auto"/>
                        <w:bottom w:val="none" w:sz="0" w:space="0" w:color="auto"/>
                        <w:right w:val="none" w:sz="0" w:space="0" w:color="auto"/>
                      </w:divBdr>
                    </w:div>
                    <w:div w:id="1270965877">
                      <w:marLeft w:val="0"/>
                      <w:marRight w:val="0"/>
                      <w:marTop w:val="0"/>
                      <w:marBottom w:val="0"/>
                      <w:divBdr>
                        <w:top w:val="none" w:sz="0" w:space="0" w:color="auto"/>
                        <w:left w:val="none" w:sz="0" w:space="0" w:color="auto"/>
                        <w:bottom w:val="none" w:sz="0" w:space="0" w:color="auto"/>
                        <w:right w:val="none" w:sz="0" w:space="0" w:color="auto"/>
                      </w:divBdr>
                    </w:div>
                    <w:div w:id="1569918076">
                      <w:marLeft w:val="0"/>
                      <w:marRight w:val="0"/>
                      <w:marTop w:val="0"/>
                      <w:marBottom w:val="0"/>
                      <w:divBdr>
                        <w:top w:val="none" w:sz="0" w:space="0" w:color="auto"/>
                        <w:left w:val="none" w:sz="0" w:space="0" w:color="auto"/>
                        <w:bottom w:val="none" w:sz="0" w:space="0" w:color="auto"/>
                        <w:right w:val="none" w:sz="0" w:space="0" w:color="auto"/>
                      </w:divBdr>
                    </w:div>
                    <w:div w:id="1681002697">
                      <w:marLeft w:val="0"/>
                      <w:marRight w:val="0"/>
                      <w:marTop w:val="0"/>
                      <w:marBottom w:val="0"/>
                      <w:divBdr>
                        <w:top w:val="none" w:sz="0" w:space="0" w:color="auto"/>
                        <w:left w:val="none" w:sz="0" w:space="0" w:color="auto"/>
                        <w:bottom w:val="none" w:sz="0" w:space="0" w:color="auto"/>
                        <w:right w:val="none" w:sz="0" w:space="0" w:color="auto"/>
                      </w:divBdr>
                    </w:div>
                    <w:div w:id="1773166764">
                      <w:marLeft w:val="0"/>
                      <w:marRight w:val="0"/>
                      <w:marTop w:val="0"/>
                      <w:marBottom w:val="0"/>
                      <w:divBdr>
                        <w:top w:val="none" w:sz="0" w:space="0" w:color="auto"/>
                        <w:left w:val="none" w:sz="0" w:space="0" w:color="auto"/>
                        <w:bottom w:val="none" w:sz="0" w:space="0" w:color="auto"/>
                        <w:right w:val="none" w:sz="0" w:space="0" w:color="auto"/>
                      </w:divBdr>
                    </w:div>
                    <w:div w:id="1812867843">
                      <w:marLeft w:val="0"/>
                      <w:marRight w:val="0"/>
                      <w:marTop w:val="0"/>
                      <w:marBottom w:val="0"/>
                      <w:divBdr>
                        <w:top w:val="none" w:sz="0" w:space="0" w:color="auto"/>
                        <w:left w:val="none" w:sz="0" w:space="0" w:color="auto"/>
                        <w:bottom w:val="none" w:sz="0" w:space="0" w:color="auto"/>
                        <w:right w:val="none" w:sz="0" w:space="0" w:color="auto"/>
                      </w:divBdr>
                    </w:div>
                    <w:div w:id="1953970900">
                      <w:marLeft w:val="0"/>
                      <w:marRight w:val="0"/>
                      <w:marTop w:val="0"/>
                      <w:marBottom w:val="0"/>
                      <w:divBdr>
                        <w:top w:val="none" w:sz="0" w:space="0" w:color="auto"/>
                        <w:left w:val="none" w:sz="0" w:space="0" w:color="auto"/>
                        <w:bottom w:val="none" w:sz="0" w:space="0" w:color="auto"/>
                        <w:right w:val="none" w:sz="0" w:space="0" w:color="auto"/>
                      </w:divBdr>
                    </w:div>
                    <w:div w:id="2136020532">
                      <w:marLeft w:val="0"/>
                      <w:marRight w:val="0"/>
                      <w:marTop w:val="0"/>
                      <w:marBottom w:val="0"/>
                      <w:divBdr>
                        <w:top w:val="none" w:sz="0" w:space="0" w:color="auto"/>
                        <w:left w:val="none" w:sz="0" w:space="0" w:color="auto"/>
                        <w:bottom w:val="none" w:sz="0" w:space="0" w:color="auto"/>
                        <w:right w:val="none" w:sz="0" w:space="0" w:color="auto"/>
                      </w:divBdr>
                    </w:div>
                  </w:divsChild>
                </w:div>
                <w:div w:id="2000383568">
                  <w:marLeft w:val="0"/>
                  <w:marRight w:val="0"/>
                  <w:marTop w:val="0"/>
                  <w:marBottom w:val="0"/>
                  <w:divBdr>
                    <w:top w:val="none" w:sz="0" w:space="0" w:color="auto"/>
                    <w:left w:val="none" w:sz="0" w:space="0" w:color="auto"/>
                    <w:bottom w:val="none" w:sz="0" w:space="0" w:color="auto"/>
                    <w:right w:val="none" w:sz="0" w:space="0" w:color="auto"/>
                  </w:divBdr>
                  <w:divsChild>
                    <w:div w:id="1869904577">
                      <w:marLeft w:val="0"/>
                      <w:marRight w:val="0"/>
                      <w:marTop w:val="0"/>
                      <w:marBottom w:val="0"/>
                      <w:divBdr>
                        <w:top w:val="none" w:sz="0" w:space="0" w:color="auto"/>
                        <w:left w:val="none" w:sz="0" w:space="0" w:color="auto"/>
                        <w:bottom w:val="none" w:sz="0" w:space="0" w:color="auto"/>
                        <w:right w:val="none" w:sz="0" w:space="0" w:color="auto"/>
                      </w:divBdr>
                    </w:div>
                  </w:divsChild>
                </w:div>
                <w:div w:id="2003046810">
                  <w:marLeft w:val="0"/>
                  <w:marRight w:val="0"/>
                  <w:marTop w:val="0"/>
                  <w:marBottom w:val="0"/>
                  <w:divBdr>
                    <w:top w:val="none" w:sz="0" w:space="0" w:color="auto"/>
                    <w:left w:val="none" w:sz="0" w:space="0" w:color="auto"/>
                    <w:bottom w:val="none" w:sz="0" w:space="0" w:color="auto"/>
                    <w:right w:val="none" w:sz="0" w:space="0" w:color="auto"/>
                  </w:divBdr>
                  <w:divsChild>
                    <w:div w:id="24604322">
                      <w:marLeft w:val="0"/>
                      <w:marRight w:val="0"/>
                      <w:marTop w:val="0"/>
                      <w:marBottom w:val="0"/>
                      <w:divBdr>
                        <w:top w:val="none" w:sz="0" w:space="0" w:color="auto"/>
                        <w:left w:val="none" w:sz="0" w:space="0" w:color="auto"/>
                        <w:bottom w:val="none" w:sz="0" w:space="0" w:color="auto"/>
                        <w:right w:val="none" w:sz="0" w:space="0" w:color="auto"/>
                      </w:divBdr>
                    </w:div>
                  </w:divsChild>
                </w:div>
                <w:div w:id="2016572989">
                  <w:marLeft w:val="0"/>
                  <w:marRight w:val="0"/>
                  <w:marTop w:val="0"/>
                  <w:marBottom w:val="0"/>
                  <w:divBdr>
                    <w:top w:val="none" w:sz="0" w:space="0" w:color="auto"/>
                    <w:left w:val="none" w:sz="0" w:space="0" w:color="auto"/>
                    <w:bottom w:val="none" w:sz="0" w:space="0" w:color="auto"/>
                    <w:right w:val="none" w:sz="0" w:space="0" w:color="auto"/>
                  </w:divBdr>
                  <w:divsChild>
                    <w:div w:id="28650138">
                      <w:marLeft w:val="0"/>
                      <w:marRight w:val="0"/>
                      <w:marTop w:val="0"/>
                      <w:marBottom w:val="0"/>
                      <w:divBdr>
                        <w:top w:val="none" w:sz="0" w:space="0" w:color="auto"/>
                        <w:left w:val="none" w:sz="0" w:space="0" w:color="auto"/>
                        <w:bottom w:val="none" w:sz="0" w:space="0" w:color="auto"/>
                        <w:right w:val="none" w:sz="0" w:space="0" w:color="auto"/>
                      </w:divBdr>
                    </w:div>
                  </w:divsChild>
                </w:div>
                <w:div w:id="2022661331">
                  <w:marLeft w:val="0"/>
                  <w:marRight w:val="0"/>
                  <w:marTop w:val="0"/>
                  <w:marBottom w:val="0"/>
                  <w:divBdr>
                    <w:top w:val="none" w:sz="0" w:space="0" w:color="auto"/>
                    <w:left w:val="none" w:sz="0" w:space="0" w:color="auto"/>
                    <w:bottom w:val="none" w:sz="0" w:space="0" w:color="auto"/>
                    <w:right w:val="none" w:sz="0" w:space="0" w:color="auto"/>
                  </w:divBdr>
                  <w:divsChild>
                    <w:div w:id="921109330">
                      <w:marLeft w:val="0"/>
                      <w:marRight w:val="0"/>
                      <w:marTop w:val="0"/>
                      <w:marBottom w:val="0"/>
                      <w:divBdr>
                        <w:top w:val="none" w:sz="0" w:space="0" w:color="auto"/>
                        <w:left w:val="none" w:sz="0" w:space="0" w:color="auto"/>
                        <w:bottom w:val="none" w:sz="0" w:space="0" w:color="auto"/>
                        <w:right w:val="none" w:sz="0" w:space="0" w:color="auto"/>
                      </w:divBdr>
                    </w:div>
                  </w:divsChild>
                </w:div>
                <w:div w:id="2024820840">
                  <w:marLeft w:val="0"/>
                  <w:marRight w:val="0"/>
                  <w:marTop w:val="0"/>
                  <w:marBottom w:val="0"/>
                  <w:divBdr>
                    <w:top w:val="none" w:sz="0" w:space="0" w:color="auto"/>
                    <w:left w:val="none" w:sz="0" w:space="0" w:color="auto"/>
                    <w:bottom w:val="none" w:sz="0" w:space="0" w:color="auto"/>
                    <w:right w:val="none" w:sz="0" w:space="0" w:color="auto"/>
                  </w:divBdr>
                  <w:divsChild>
                    <w:div w:id="186335069">
                      <w:marLeft w:val="0"/>
                      <w:marRight w:val="0"/>
                      <w:marTop w:val="0"/>
                      <w:marBottom w:val="0"/>
                      <w:divBdr>
                        <w:top w:val="none" w:sz="0" w:space="0" w:color="auto"/>
                        <w:left w:val="none" w:sz="0" w:space="0" w:color="auto"/>
                        <w:bottom w:val="none" w:sz="0" w:space="0" w:color="auto"/>
                        <w:right w:val="none" w:sz="0" w:space="0" w:color="auto"/>
                      </w:divBdr>
                    </w:div>
                  </w:divsChild>
                </w:div>
                <w:div w:id="2037005288">
                  <w:marLeft w:val="0"/>
                  <w:marRight w:val="0"/>
                  <w:marTop w:val="0"/>
                  <w:marBottom w:val="0"/>
                  <w:divBdr>
                    <w:top w:val="none" w:sz="0" w:space="0" w:color="auto"/>
                    <w:left w:val="none" w:sz="0" w:space="0" w:color="auto"/>
                    <w:bottom w:val="none" w:sz="0" w:space="0" w:color="auto"/>
                    <w:right w:val="none" w:sz="0" w:space="0" w:color="auto"/>
                  </w:divBdr>
                  <w:divsChild>
                    <w:div w:id="1567304386">
                      <w:marLeft w:val="0"/>
                      <w:marRight w:val="0"/>
                      <w:marTop w:val="0"/>
                      <w:marBottom w:val="0"/>
                      <w:divBdr>
                        <w:top w:val="none" w:sz="0" w:space="0" w:color="auto"/>
                        <w:left w:val="none" w:sz="0" w:space="0" w:color="auto"/>
                        <w:bottom w:val="none" w:sz="0" w:space="0" w:color="auto"/>
                        <w:right w:val="none" w:sz="0" w:space="0" w:color="auto"/>
                      </w:divBdr>
                    </w:div>
                  </w:divsChild>
                </w:div>
                <w:div w:id="2041929752">
                  <w:marLeft w:val="0"/>
                  <w:marRight w:val="0"/>
                  <w:marTop w:val="0"/>
                  <w:marBottom w:val="0"/>
                  <w:divBdr>
                    <w:top w:val="none" w:sz="0" w:space="0" w:color="auto"/>
                    <w:left w:val="none" w:sz="0" w:space="0" w:color="auto"/>
                    <w:bottom w:val="none" w:sz="0" w:space="0" w:color="auto"/>
                    <w:right w:val="none" w:sz="0" w:space="0" w:color="auto"/>
                  </w:divBdr>
                  <w:divsChild>
                    <w:div w:id="2086687359">
                      <w:marLeft w:val="0"/>
                      <w:marRight w:val="0"/>
                      <w:marTop w:val="0"/>
                      <w:marBottom w:val="0"/>
                      <w:divBdr>
                        <w:top w:val="none" w:sz="0" w:space="0" w:color="auto"/>
                        <w:left w:val="none" w:sz="0" w:space="0" w:color="auto"/>
                        <w:bottom w:val="none" w:sz="0" w:space="0" w:color="auto"/>
                        <w:right w:val="none" w:sz="0" w:space="0" w:color="auto"/>
                      </w:divBdr>
                    </w:div>
                  </w:divsChild>
                </w:div>
                <w:div w:id="2049602116">
                  <w:marLeft w:val="0"/>
                  <w:marRight w:val="0"/>
                  <w:marTop w:val="0"/>
                  <w:marBottom w:val="0"/>
                  <w:divBdr>
                    <w:top w:val="none" w:sz="0" w:space="0" w:color="auto"/>
                    <w:left w:val="none" w:sz="0" w:space="0" w:color="auto"/>
                    <w:bottom w:val="none" w:sz="0" w:space="0" w:color="auto"/>
                    <w:right w:val="none" w:sz="0" w:space="0" w:color="auto"/>
                  </w:divBdr>
                  <w:divsChild>
                    <w:div w:id="1025323732">
                      <w:marLeft w:val="0"/>
                      <w:marRight w:val="0"/>
                      <w:marTop w:val="0"/>
                      <w:marBottom w:val="0"/>
                      <w:divBdr>
                        <w:top w:val="none" w:sz="0" w:space="0" w:color="auto"/>
                        <w:left w:val="none" w:sz="0" w:space="0" w:color="auto"/>
                        <w:bottom w:val="none" w:sz="0" w:space="0" w:color="auto"/>
                        <w:right w:val="none" w:sz="0" w:space="0" w:color="auto"/>
                      </w:divBdr>
                    </w:div>
                  </w:divsChild>
                </w:div>
                <w:div w:id="2052340339">
                  <w:marLeft w:val="0"/>
                  <w:marRight w:val="0"/>
                  <w:marTop w:val="0"/>
                  <w:marBottom w:val="0"/>
                  <w:divBdr>
                    <w:top w:val="none" w:sz="0" w:space="0" w:color="auto"/>
                    <w:left w:val="none" w:sz="0" w:space="0" w:color="auto"/>
                    <w:bottom w:val="none" w:sz="0" w:space="0" w:color="auto"/>
                    <w:right w:val="none" w:sz="0" w:space="0" w:color="auto"/>
                  </w:divBdr>
                  <w:divsChild>
                    <w:div w:id="1522819669">
                      <w:marLeft w:val="0"/>
                      <w:marRight w:val="0"/>
                      <w:marTop w:val="0"/>
                      <w:marBottom w:val="0"/>
                      <w:divBdr>
                        <w:top w:val="none" w:sz="0" w:space="0" w:color="auto"/>
                        <w:left w:val="none" w:sz="0" w:space="0" w:color="auto"/>
                        <w:bottom w:val="none" w:sz="0" w:space="0" w:color="auto"/>
                        <w:right w:val="none" w:sz="0" w:space="0" w:color="auto"/>
                      </w:divBdr>
                    </w:div>
                  </w:divsChild>
                </w:div>
                <w:div w:id="2052993127">
                  <w:marLeft w:val="0"/>
                  <w:marRight w:val="0"/>
                  <w:marTop w:val="0"/>
                  <w:marBottom w:val="0"/>
                  <w:divBdr>
                    <w:top w:val="none" w:sz="0" w:space="0" w:color="auto"/>
                    <w:left w:val="none" w:sz="0" w:space="0" w:color="auto"/>
                    <w:bottom w:val="none" w:sz="0" w:space="0" w:color="auto"/>
                    <w:right w:val="none" w:sz="0" w:space="0" w:color="auto"/>
                  </w:divBdr>
                  <w:divsChild>
                    <w:div w:id="773864784">
                      <w:marLeft w:val="0"/>
                      <w:marRight w:val="0"/>
                      <w:marTop w:val="0"/>
                      <w:marBottom w:val="0"/>
                      <w:divBdr>
                        <w:top w:val="none" w:sz="0" w:space="0" w:color="auto"/>
                        <w:left w:val="none" w:sz="0" w:space="0" w:color="auto"/>
                        <w:bottom w:val="none" w:sz="0" w:space="0" w:color="auto"/>
                        <w:right w:val="none" w:sz="0" w:space="0" w:color="auto"/>
                      </w:divBdr>
                    </w:div>
                    <w:div w:id="799767670">
                      <w:marLeft w:val="0"/>
                      <w:marRight w:val="0"/>
                      <w:marTop w:val="0"/>
                      <w:marBottom w:val="0"/>
                      <w:divBdr>
                        <w:top w:val="none" w:sz="0" w:space="0" w:color="auto"/>
                        <w:left w:val="none" w:sz="0" w:space="0" w:color="auto"/>
                        <w:bottom w:val="none" w:sz="0" w:space="0" w:color="auto"/>
                        <w:right w:val="none" w:sz="0" w:space="0" w:color="auto"/>
                      </w:divBdr>
                    </w:div>
                  </w:divsChild>
                </w:div>
                <w:div w:id="2054034890">
                  <w:marLeft w:val="0"/>
                  <w:marRight w:val="0"/>
                  <w:marTop w:val="0"/>
                  <w:marBottom w:val="0"/>
                  <w:divBdr>
                    <w:top w:val="none" w:sz="0" w:space="0" w:color="auto"/>
                    <w:left w:val="none" w:sz="0" w:space="0" w:color="auto"/>
                    <w:bottom w:val="none" w:sz="0" w:space="0" w:color="auto"/>
                    <w:right w:val="none" w:sz="0" w:space="0" w:color="auto"/>
                  </w:divBdr>
                  <w:divsChild>
                    <w:div w:id="1581792083">
                      <w:marLeft w:val="0"/>
                      <w:marRight w:val="0"/>
                      <w:marTop w:val="0"/>
                      <w:marBottom w:val="0"/>
                      <w:divBdr>
                        <w:top w:val="none" w:sz="0" w:space="0" w:color="auto"/>
                        <w:left w:val="none" w:sz="0" w:space="0" w:color="auto"/>
                        <w:bottom w:val="none" w:sz="0" w:space="0" w:color="auto"/>
                        <w:right w:val="none" w:sz="0" w:space="0" w:color="auto"/>
                      </w:divBdr>
                    </w:div>
                  </w:divsChild>
                </w:div>
                <w:div w:id="2062052374">
                  <w:marLeft w:val="0"/>
                  <w:marRight w:val="0"/>
                  <w:marTop w:val="0"/>
                  <w:marBottom w:val="0"/>
                  <w:divBdr>
                    <w:top w:val="none" w:sz="0" w:space="0" w:color="auto"/>
                    <w:left w:val="none" w:sz="0" w:space="0" w:color="auto"/>
                    <w:bottom w:val="none" w:sz="0" w:space="0" w:color="auto"/>
                    <w:right w:val="none" w:sz="0" w:space="0" w:color="auto"/>
                  </w:divBdr>
                  <w:divsChild>
                    <w:div w:id="1475104400">
                      <w:marLeft w:val="0"/>
                      <w:marRight w:val="0"/>
                      <w:marTop w:val="0"/>
                      <w:marBottom w:val="0"/>
                      <w:divBdr>
                        <w:top w:val="none" w:sz="0" w:space="0" w:color="auto"/>
                        <w:left w:val="none" w:sz="0" w:space="0" w:color="auto"/>
                        <w:bottom w:val="none" w:sz="0" w:space="0" w:color="auto"/>
                        <w:right w:val="none" w:sz="0" w:space="0" w:color="auto"/>
                      </w:divBdr>
                    </w:div>
                  </w:divsChild>
                </w:div>
                <w:div w:id="2064327138">
                  <w:marLeft w:val="0"/>
                  <w:marRight w:val="0"/>
                  <w:marTop w:val="0"/>
                  <w:marBottom w:val="0"/>
                  <w:divBdr>
                    <w:top w:val="none" w:sz="0" w:space="0" w:color="auto"/>
                    <w:left w:val="none" w:sz="0" w:space="0" w:color="auto"/>
                    <w:bottom w:val="none" w:sz="0" w:space="0" w:color="auto"/>
                    <w:right w:val="none" w:sz="0" w:space="0" w:color="auto"/>
                  </w:divBdr>
                  <w:divsChild>
                    <w:div w:id="1492411425">
                      <w:marLeft w:val="0"/>
                      <w:marRight w:val="0"/>
                      <w:marTop w:val="0"/>
                      <w:marBottom w:val="0"/>
                      <w:divBdr>
                        <w:top w:val="none" w:sz="0" w:space="0" w:color="auto"/>
                        <w:left w:val="none" w:sz="0" w:space="0" w:color="auto"/>
                        <w:bottom w:val="none" w:sz="0" w:space="0" w:color="auto"/>
                        <w:right w:val="none" w:sz="0" w:space="0" w:color="auto"/>
                      </w:divBdr>
                    </w:div>
                  </w:divsChild>
                </w:div>
                <w:div w:id="2073961318">
                  <w:marLeft w:val="0"/>
                  <w:marRight w:val="0"/>
                  <w:marTop w:val="0"/>
                  <w:marBottom w:val="0"/>
                  <w:divBdr>
                    <w:top w:val="none" w:sz="0" w:space="0" w:color="auto"/>
                    <w:left w:val="none" w:sz="0" w:space="0" w:color="auto"/>
                    <w:bottom w:val="none" w:sz="0" w:space="0" w:color="auto"/>
                    <w:right w:val="none" w:sz="0" w:space="0" w:color="auto"/>
                  </w:divBdr>
                  <w:divsChild>
                    <w:div w:id="405223424">
                      <w:marLeft w:val="0"/>
                      <w:marRight w:val="0"/>
                      <w:marTop w:val="0"/>
                      <w:marBottom w:val="0"/>
                      <w:divBdr>
                        <w:top w:val="none" w:sz="0" w:space="0" w:color="auto"/>
                        <w:left w:val="none" w:sz="0" w:space="0" w:color="auto"/>
                        <w:bottom w:val="none" w:sz="0" w:space="0" w:color="auto"/>
                        <w:right w:val="none" w:sz="0" w:space="0" w:color="auto"/>
                      </w:divBdr>
                    </w:div>
                  </w:divsChild>
                </w:div>
                <w:div w:id="2087798219">
                  <w:marLeft w:val="0"/>
                  <w:marRight w:val="0"/>
                  <w:marTop w:val="0"/>
                  <w:marBottom w:val="0"/>
                  <w:divBdr>
                    <w:top w:val="none" w:sz="0" w:space="0" w:color="auto"/>
                    <w:left w:val="none" w:sz="0" w:space="0" w:color="auto"/>
                    <w:bottom w:val="none" w:sz="0" w:space="0" w:color="auto"/>
                    <w:right w:val="none" w:sz="0" w:space="0" w:color="auto"/>
                  </w:divBdr>
                  <w:divsChild>
                    <w:div w:id="46802319">
                      <w:marLeft w:val="0"/>
                      <w:marRight w:val="0"/>
                      <w:marTop w:val="0"/>
                      <w:marBottom w:val="0"/>
                      <w:divBdr>
                        <w:top w:val="none" w:sz="0" w:space="0" w:color="auto"/>
                        <w:left w:val="none" w:sz="0" w:space="0" w:color="auto"/>
                        <w:bottom w:val="none" w:sz="0" w:space="0" w:color="auto"/>
                        <w:right w:val="none" w:sz="0" w:space="0" w:color="auto"/>
                      </w:divBdr>
                    </w:div>
                  </w:divsChild>
                </w:div>
                <w:div w:id="2092774968">
                  <w:marLeft w:val="0"/>
                  <w:marRight w:val="0"/>
                  <w:marTop w:val="0"/>
                  <w:marBottom w:val="0"/>
                  <w:divBdr>
                    <w:top w:val="none" w:sz="0" w:space="0" w:color="auto"/>
                    <w:left w:val="none" w:sz="0" w:space="0" w:color="auto"/>
                    <w:bottom w:val="none" w:sz="0" w:space="0" w:color="auto"/>
                    <w:right w:val="none" w:sz="0" w:space="0" w:color="auto"/>
                  </w:divBdr>
                  <w:divsChild>
                    <w:div w:id="1921910971">
                      <w:marLeft w:val="0"/>
                      <w:marRight w:val="0"/>
                      <w:marTop w:val="0"/>
                      <w:marBottom w:val="0"/>
                      <w:divBdr>
                        <w:top w:val="none" w:sz="0" w:space="0" w:color="auto"/>
                        <w:left w:val="none" w:sz="0" w:space="0" w:color="auto"/>
                        <w:bottom w:val="none" w:sz="0" w:space="0" w:color="auto"/>
                        <w:right w:val="none" w:sz="0" w:space="0" w:color="auto"/>
                      </w:divBdr>
                    </w:div>
                  </w:divsChild>
                </w:div>
                <w:div w:id="2095513822">
                  <w:marLeft w:val="0"/>
                  <w:marRight w:val="0"/>
                  <w:marTop w:val="0"/>
                  <w:marBottom w:val="0"/>
                  <w:divBdr>
                    <w:top w:val="none" w:sz="0" w:space="0" w:color="auto"/>
                    <w:left w:val="none" w:sz="0" w:space="0" w:color="auto"/>
                    <w:bottom w:val="none" w:sz="0" w:space="0" w:color="auto"/>
                    <w:right w:val="none" w:sz="0" w:space="0" w:color="auto"/>
                  </w:divBdr>
                  <w:divsChild>
                    <w:div w:id="1332871928">
                      <w:marLeft w:val="0"/>
                      <w:marRight w:val="0"/>
                      <w:marTop w:val="0"/>
                      <w:marBottom w:val="0"/>
                      <w:divBdr>
                        <w:top w:val="none" w:sz="0" w:space="0" w:color="auto"/>
                        <w:left w:val="none" w:sz="0" w:space="0" w:color="auto"/>
                        <w:bottom w:val="none" w:sz="0" w:space="0" w:color="auto"/>
                        <w:right w:val="none" w:sz="0" w:space="0" w:color="auto"/>
                      </w:divBdr>
                    </w:div>
                  </w:divsChild>
                </w:div>
                <w:div w:id="2143111150">
                  <w:marLeft w:val="0"/>
                  <w:marRight w:val="0"/>
                  <w:marTop w:val="0"/>
                  <w:marBottom w:val="0"/>
                  <w:divBdr>
                    <w:top w:val="none" w:sz="0" w:space="0" w:color="auto"/>
                    <w:left w:val="none" w:sz="0" w:space="0" w:color="auto"/>
                    <w:bottom w:val="none" w:sz="0" w:space="0" w:color="auto"/>
                    <w:right w:val="none" w:sz="0" w:space="0" w:color="auto"/>
                  </w:divBdr>
                  <w:divsChild>
                    <w:div w:id="194245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96745">
          <w:marLeft w:val="0"/>
          <w:marRight w:val="0"/>
          <w:marTop w:val="0"/>
          <w:marBottom w:val="0"/>
          <w:divBdr>
            <w:top w:val="none" w:sz="0" w:space="0" w:color="auto"/>
            <w:left w:val="none" w:sz="0" w:space="0" w:color="auto"/>
            <w:bottom w:val="none" w:sz="0" w:space="0" w:color="auto"/>
            <w:right w:val="none" w:sz="0" w:space="0" w:color="auto"/>
          </w:divBdr>
        </w:div>
      </w:divsChild>
    </w:div>
    <w:div w:id="285939515">
      <w:bodyDiv w:val="1"/>
      <w:marLeft w:val="0"/>
      <w:marRight w:val="0"/>
      <w:marTop w:val="0"/>
      <w:marBottom w:val="0"/>
      <w:divBdr>
        <w:top w:val="none" w:sz="0" w:space="0" w:color="auto"/>
        <w:left w:val="none" w:sz="0" w:space="0" w:color="auto"/>
        <w:bottom w:val="none" w:sz="0" w:space="0" w:color="auto"/>
        <w:right w:val="none" w:sz="0" w:space="0" w:color="auto"/>
      </w:divBdr>
    </w:div>
    <w:div w:id="298262614">
      <w:bodyDiv w:val="1"/>
      <w:marLeft w:val="0"/>
      <w:marRight w:val="0"/>
      <w:marTop w:val="0"/>
      <w:marBottom w:val="0"/>
      <w:divBdr>
        <w:top w:val="none" w:sz="0" w:space="0" w:color="auto"/>
        <w:left w:val="none" w:sz="0" w:space="0" w:color="auto"/>
        <w:bottom w:val="none" w:sz="0" w:space="0" w:color="auto"/>
        <w:right w:val="none" w:sz="0" w:space="0" w:color="auto"/>
      </w:divBdr>
    </w:div>
    <w:div w:id="303193825">
      <w:bodyDiv w:val="1"/>
      <w:marLeft w:val="0"/>
      <w:marRight w:val="0"/>
      <w:marTop w:val="0"/>
      <w:marBottom w:val="0"/>
      <w:divBdr>
        <w:top w:val="none" w:sz="0" w:space="0" w:color="auto"/>
        <w:left w:val="none" w:sz="0" w:space="0" w:color="auto"/>
        <w:bottom w:val="none" w:sz="0" w:space="0" w:color="auto"/>
        <w:right w:val="none" w:sz="0" w:space="0" w:color="auto"/>
      </w:divBdr>
      <w:divsChild>
        <w:div w:id="361248793">
          <w:marLeft w:val="0"/>
          <w:marRight w:val="0"/>
          <w:marTop w:val="0"/>
          <w:marBottom w:val="0"/>
          <w:divBdr>
            <w:top w:val="none" w:sz="0" w:space="0" w:color="auto"/>
            <w:left w:val="none" w:sz="0" w:space="0" w:color="auto"/>
            <w:bottom w:val="none" w:sz="0" w:space="0" w:color="auto"/>
            <w:right w:val="none" w:sz="0" w:space="0" w:color="auto"/>
          </w:divBdr>
        </w:div>
        <w:div w:id="728041475">
          <w:marLeft w:val="0"/>
          <w:marRight w:val="0"/>
          <w:marTop w:val="0"/>
          <w:marBottom w:val="0"/>
          <w:divBdr>
            <w:top w:val="none" w:sz="0" w:space="0" w:color="auto"/>
            <w:left w:val="none" w:sz="0" w:space="0" w:color="auto"/>
            <w:bottom w:val="none" w:sz="0" w:space="0" w:color="auto"/>
            <w:right w:val="none" w:sz="0" w:space="0" w:color="auto"/>
          </w:divBdr>
        </w:div>
        <w:div w:id="952248945">
          <w:marLeft w:val="0"/>
          <w:marRight w:val="0"/>
          <w:marTop w:val="0"/>
          <w:marBottom w:val="0"/>
          <w:divBdr>
            <w:top w:val="none" w:sz="0" w:space="0" w:color="auto"/>
            <w:left w:val="none" w:sz="0" w:space="0" w:color="auto"/>
            <w:bottom w:val="none" w:sz="0" w:space="0" w:color="auto"/>
            <w:right w:val="none" w:sz="0" w:space="0" w:color="auto"/>
          </w:divBdr>
        </w:div>
        <w:div w:id="1280182005">
          <w:marLeft w:val="0"/>
          <w:marRight w:val="0"/>
          <w:marTop w:val="0"/>
          <w:marBottom w:val="0"/>
          <w:divBdr>
            <w:top w:val="none" w:sz="0" w:space="0" w:color="auto"/>
            <w:left w:val="none" w:sz="0" w:space="0" w:color="auto"/>
            <w:bottom w:val="none" w:sz="0" w:space="0" w:color="auto"/>
            <w:right w:val="none" w:sz="0" w:space="0" w:color="auto"/>
          </w:divBdr>
        </w:div>
        <w:div w:id="1424111369">
          <w:marLeft w:val="0"/>
          <w:marRight w:val="0"/>
          <w:marTop w:val="0"/>
          <w:marBottom w:val="0"/>
          <w:divBdr>
            <w:top w:val="none" w:sz="0" w:space="0" w:color="auto"/>
            <w:left w:val="none" w:sz="0" w:space="0" w:color="auto"/>
            <w:bottom w:val="none" w:sz="0" w:space="0" w:color="auto"/>
            <w:right w:val="none" w:sz="0" w:space="0" w:color="auto"/>
          </w:divBdr>
        </w:div>
        <w:div w:id="1788431408">
          <w:marLeft w:val="0"/>
          <w:marRight w:val="0"/>
          <w:marTop w:val="0"/>
          <w:marBottom w:val="0"/>
          <w:divBdr>
            <w:top w:val="none" w:sz="0" w:space="0" w:color="auto"/>
            <w:left w:val="none" w:sz="0" w:space="0" w:color="auto"/>
            <w:bottom w:val="none" w:sz="0" w:space="0" w:color="auto"/>
            <w:right w:val="none" w:sz="0" w:space="0" w:color="auto"/>
          </w:divBdr>
        </w:div>
        <w:div w:id="1872575020">
          <w:marLeft w:val="0"/>
          <w:marRight w:val="0"/>
          <w:marTop w:val="0"/>
          <w:marBottom w:val="0"/>
          <w:divBdr>
            <w:top w:val="none" w:sz="0" w:space="0" w:color="auto"/>
            <w:left w:val="none" w:sz="0" w:space="0" w:color="auto"/>
            <w:bottom w:val="none" w:sz="0" w:space="0" w:color="auto"/>
            <w:right w:val="none" w:sz="0" w:space="0" w:color="auto"/>
          </w:divBdr>
        </w:div>
        <w:div w:id="1949703164">
          <w:marLeft w:val="0"/>
          <w:marRight w:val="0"/>
          <w:marTop w:val="0"/>
          <w:marBottom w:val="0"/>
          <w:divBdr>
            <w:top w:val="none" w:sz="0" w:space="0" w:color="auto"/>
            <w:left w:val="none" w:sz="0" w:space="0" w:color="auto"/>
            <w:bottom w:val="none" w:sz="0" w:space="0" w:color="auto"/>
            <w:right w:val="none" w:sz="0" w:space="0" w:color="auto"/>
          </w:divBdr>
        </w:div>
      </w:divsChild>
    </w:div>
    <w:div w:id="308291214">
      <w:bodyDiv w:val="1"/>
      <w:marLeft w:val="0"/>
      <w:marRight w:val="0"/>
      <w:marTop w:val="0"/>
      <w:marBottom w:val="0"/>
      <w:divBdr>
        <w:top w:val="none" w:sz="0" w:space="0" w:color="auto"/>
        <w:left w:val="none" w:sz="0" w:space="0" w:color="auto"/>
        <w:bottom w:val="none" w:sz="0" w:space="0" w:color="auto"/>
        <w:right w:val="none" w:sz="0" w:space="0" w:color="auto"/>
      </w:divBdr>
    </w:div>
    <w:div w:id="361906670">
      <w:bodyDiv w:val="1"/>
      <w:marLeft w:val="0"/>
      <w:marRight w:val="0"/>
      <w:marTop w:val="0"/>
      <w:marBottom w:val="0"/>
      <w:divBdr>
        <w:top w:val="none" w:sz="0" w:space="0" w:color="auto"/>
        <w:left w:val="none" w:sz="0" w:space="0" w:color="auto"/>
        <w:bottom w:val="none" w:sz="0" w:space="0" w:color="auto"/>
        <w:right w:val="none" w:sz="0" w:space="0" w:color="auto"/>
      </w:divBdr>
      <w:divsChild>
        <w:div w:id="80378816">
          <w:marLeft w:val="0"/>
          <w:marRight w:val="0"/>
          <w:marTop w:val="0"/>
          <w:marBottom w:val="0"/>
          <w:divBdr>
            <w:top w:val="none" w:sz="0" w:space="0" w:color="auto"/>
            <w:left w:val="none" w:sz="0" w:space="0" w:color="auto"/>
            <w:bottom w:val="none" w:sz="0" w:space="0" w:color="auto"/>
            <w:right w:val="none" w:sz="0" w:space="0" w:color="auto"/>
          </w:divBdr>
        </w:div>
        <w:div w:id="153033647">
          <w:marLeft w:val="0"/>
          <w:marRight w:val="0"/>
          <w:marTop w:val="0"/>
          <w:marBottom w:val="0"/>
          <w:divBdr>
            <w:top w:val="none" w:sz="0" w:space="0" w:color="auto"/>
            <w:left w:val="none" w:sz="0" w:space="0" w:color="auto"/>
            <w:bottom w:val="none" w:sz="0" w:space="0" w:color="auto"/>
            <w:right w:val="none" w:sz="0" w:space="0" w:color="auto"/>
          </w:divBdr>
        </w:div>
        <w:div w:id="169561996">
          <w:marLeft w:val="0"/>
          <w:marRight w:val="0"/>
          <w:marTop w:val="0"/>
          <w:marBottom w:val="0"/>
          <w:divBdr>
            <w:top w:val="none" w:sz="0" w:space="0" w:color="auto"/>
            <w:left w:val="none" w:sz="0" w:space="0" w:color="auto"/>
            <w:bottom w:val="none" w:sz="0" w:space="0" w:color="auto"/>
            <w:right w:val="none" w:sz="0" w:space="0" w:color="auto"/>
          </w:divBdr>
        </w:div>
        <w:div w:id="265039629">
          <w:marLeft w:val="0"/>
          <w:marRight w:val="0"/>
          <w:marTop w:val="0"/>
          <w:marBottom w:val="0"/>
          <w:divBdr>
            <w:top w:val="none" w:sz="0" w:space="0" w:color="auto"/>
            <w:left w:val="none" w:sz="0" w:space="0" w:color="auto"/>
            <w:bottom w:val="none" w:sz="0" w:space="0" w:color="auto"/>
            <w:right w:val="none" w:sz="0" w:space="0" w:color="auto"/>
          </w:divBdr>
        </w:div>
        <w:div w:id="440875200">
          <w:marLeft w:val="0"/>
          <w:marRight w:val="0"/>
          <w:marTop w:val="0"/>
          <w:marBottom w:val="0"/>
          <w:divBdr>
            <w:top w:val="none" w:sz="0" w:space="0" w:color="auto"/>
            <w:left w:val="none" w:sz="0" w:space="0" w:color="auto"/>
            <w:bottom w:val="none" w:sz="0" w:space="0" w:color="auto"/>
            <w:right w:val="none" w:sz="0" w:space="0" w:color="auto"/>
          </w:divBdr>
        </w:div>
        <w:div w:id="444614558">
          <w:marLeft w:val="0"/>
          <w:marRight w:val="0"/>
          <w:marTop w:val="0"/>
          <w:marBottom w:val="0"/>
          <w:divBdr>
            <w:top w:val="none" w:sz="0" w:space="0" w:color="auto"/>
            <w:left w:val="none" w:sz="0" w:space="0" w:color="auto"/>
            <w:bottom w:val="none" w:sz="0" w:space="0" w:color="auto"/>
            <w:right w:val="none" w:sz="0" w:space="0" w:color="auto"/>
          </w:divBdr>
        </w:div>
        <w:div w:id="451749970">
          <w:marLeft w:val="0"/>
          <w:marRight w:val="0"/>
          <w:marTop w:val="0"/>
          <w:marBottom w:val="0"/>
          <w:divBdr>
            <w:top w:val="none" w:sz="0" w:space="0" w:color="auto"/>
            <w:left w:val="none" w:sz="0" w:space="0" w:color="auto"/>
            <w:bottom w:val="none" w:sz="0" w:space="0" w:color="auto"/>
            <w:right w:val="none" w:sz="0" w:space="0" w:color="auto"/>
          </w:divBdr>
        </w:div>
        <w:div w:id="505095948">
          <w:marLeft w:val="0"/>
          <w:marRight w:val="0"/>
          <w:marTop w:val="0"/>
          <w:marBottom w:val="0"/>
          <w:divBdr>
            <w:top w:val="none" w:sz="0" w:space="0" w:color="auto"/>
            <w:left w:val="none" w:sz="0" w:space="0" w:color="auto"/>
            <w:bottom w:val="none" w:sz="0" w:space="0" w:color="auto"/>
            <w:right w:val="none" w:sz="0" w:space="0" w:color="auto"/>
          </w:divBdr>
        </w:div>
        <w:div w:id="608199663">
          <w:marLeft w:val="0"/>
          <w:marRight w:val="0"/>
          <w:marTop w:val="0"/>
          <w:marBottom w:val="0"/>
          <w:divBdr>
            <w:top w:val="none" w:sz="0" w:space="0" w:color="auto"/>
            <w:left w:val="none" w:sz="0" w:space="0" w:color="auto"/>
            <w:bottom w:val="none" w:sz="0" w:space="0" w:color="auto"/>
            <w:right w:val="none" w:sz="0" w:space="0" w:color="auto"/>
          </w:divBdr>
        </w:div>
        <w:div w:id="676736124">
          <w:marLeft w:val="0"/>
          <w:marRight w:val="0"/>
          <w:marTop w:val="0"/>
          <w:marBottom w:val="0"/>
          <w:divBdr>
            <w:top w:val="none" w:sz="0" w:space="0" w:color="auto"/>
            <w:left w:val="none" w:sz="0" w:space="0" w:color="auto"/>
            <w:bottom w:val="none" w:sz="0" w:space="0" w:color="auto"/>
            <w:right w:val="none" w:sz="0" w:space="0" w:color="auto"/>
          </w:divBdr>
        </w:div>
        <w:div w:id="761954005">
          <w:marLeft w:val="0"/>
          <w:marRight w:val="0"/>
          <w:marTop w:val="0"/>
          <w:marBottom w:val="0"/>
          <w:divBdr>
            <w:top w:val="none" w:sz="0" w:space="0" w:color="auto"/>
            <w:left w:val="none" w:sz="0" w:space="0" w:color="auto"/>
            <w:bottom w:val="none" w:sz="0" w:space="0" w:color="auto"/>
            <w:right w:val="none" w:sz="0" w:space="0" w:color="auto"/>
          </w:divBdr>
        </w:div>
        <w:div w:id="878471050">
          <w:marLeft w:val="0"/>
          <w:marRight w:val="0"/>
          <w:marTop w:val="0"/>
          <w:marBottom w:val="0"/>
          <w:divBdr>
            <w:top w:val="none" w:sz="0" w:space="0" w:color="auto"/>
            <w:left w:val="none" w:sz="0" w:space="0" w:color="auto"/>
            <w:bottom w:val="none" w:sz="0" w:space="0" w:color="auto"/>
            <w:right w:val="none" w:sz="0" w:space="0" w:color="auto"/>
          </w:divBdr>
        </w:div>
        <w:div w:id="878708193">
          <w:marLeft w:val="0"/>
          <w:marRight w:val="0"/>
          <w:marTop w:val="0"/>
          <w:marBottom w:val="0"/>
          <w:divBdr>
            <w:top w:val="none" w:sz="0" w:space="0" w:color="auto"/>
            <w:left w:val="none" w:sz="0" w:space="0" w:color="auto"/>
            <w:bottom w:val="none" w:sz="0" w:space="0" w:color="auto"/>
            <w:right w:val="none" w:sz="0" w:space="0" w:color="auto"/>
          </w:divBdr>
        </w:div>
        <w:div w:id="1049262878">
          <w:marLeft w:val="0"/>
          <w:marRight w:val="0"/>
          <w:marTop w:val="0"/>
          <w:marBottom w:val="0"/>
          <w:divBdr>
            <w:top w:val="none" w:sz="0" w:space="0" w:color="auto"/>
            <w:left w:val="none" w:sz="0" w:space="0" w:color="auto"/>
            <w:bottom w:val="none" w:sz="0" w:space="0" w:color="auto"/>
            <w:right w:val="none" w:sz="0" w:space="0" w:color="auto"/>
          </w:divBdr>
          <w:divsChild>
            <w:div w:id="56368705">
              <w:marLeft w:val="0"/>
              <w:marRight w:val="0"/>
              <w:marTop w:val="0"/>
              <w:marBottom w:val="0"/>
              <w:divBdr>
                <w:top w:val="none" w:sz="0" w:space="0" w:color="auto"/>
                <w:left w:val="none" w:sz="0" w:space="0" w:color="auto"/>
                <w:bottom w:val="none" w:sz="0" w:space="0" w:color="auto"/>
                <w:right w:val="none" w:sz="0" w:space="0" w:color="auto"/>
              </w:divBdr>
            </w:div>
            <w:div w:id="137498602">
              <w:marLeft w:val="0"/>
              <w:marRight w:val="0"/>
              <w:marTop w:val="0"/>
              <w:marBottom w:val="0"/>
              <w:divBdr>
                <w:top w:val="none" w:sz="0" w:space="0" w:color="auto"/>
                <w:left w:val="none" w:sz="0" w:space="0" w:color="auto"/>
                <w:bottom w:val="none" w:sz="0" w:space="0" w:color="auto"/>
                <w:right w:val="none" w:sz="0" w:space="0" w:color="auto"/>
              </w:divBdr>
            </w:div>
            <w:div w:id="401367729">
              <w:marLeft w:val="0"/>
              <w:marRight w:val="0"/>
              <w:marTop w:val="0"/>
              <w:marBottom w:val="0"/>
              <w:divBdr>
                <w:top w:val="none" w:sz="0" w:space="0" w:color="auto"/>
                <w:left w:val="none" w:sz="0" w:space="0" w:color="auto"/>
                <w:bottom w:val="none" w:sz="0" w:space="0" w:color="auto"/>
                <w:right w:val="none" w:sz="0" w:space="0" w:color="auto"/>
              </w:divBdr>
            </w:div>
            <w:div w:id="493759056">
              <w:marLeft w:val="0"/>
              <w:marRight w:val="0"/>
              <w:marTop w:val="0"/>
              <w:marBottom w:val="0"/>
              <w:divBdr>
                <w:top w:val="none" w:sz="0" w:space="0" w:color="auto"/>
                <w:left w:val="none" w:sz="0" w:space="0" w:color="auto"/>
                <w:bottom w:val="none" w:sz="0" w:space="0" w:color="auto"/>
                <w:right w:val="none" w:sz="0" w:space="0" w:color="auto"/>
              </w:divBdr>
            </w:div>
            <w:div w:id="509029928">
              <w:marLeft w:val="0"/>
              <w:marRight w:val="0"/>
              <w:marTop w:val="0"/>
              <w:marBottom w:val="0"/>
              <w:divBdr>
                <w:top w:val="none" w:sz="0" w:space="0" w:color="auto"/>
                <w:left w:val="none" w:sz="0" w:space="0" w:color="auto"/>
                <w:bottom w:val="none" w:sz="0" w:space="0" w:color="auto"/>
                <w:right w:val="none" w:sz="0" w:space="0" w:color="auto"/>
              </w:divBdr>
            </w:div>
            <w:div w:id="612596723">
              <w:marLeft w:val="0"/>
              <w:marRight w:val="0"/>
              <w:marTop w:val="0"/>
              <w:marBottom w:val="0"/>
              <w:divBdr>
                <w:top w:val="none" w:sz="0" w:space="0" w:color="auto"/>
                <w:left w:val="none" w:sz="0" w:space="0" w:color="auto"/>
                <w:bottom w:val="none" w:sz="0" w:space="0" w:color="auto"/>
                <w:right w:val="none" w:sz="0" w:space="0" w:color="auto"/>
              </w:divBdr>
            </w:div>
            <w:div w:id="763575065">
              <w:marLeft w:val="0"/>
              <w:marRight w:val="0"/>
              <w:marTop w:val="0"/>
              <w:marBottom w:val="0"/>
              <w:divBdr>
                <w:top w:val="none" w:sz="0" w:space="0" w:color="auto"/>
                <w:left w:val="none" w:sz="0" w:space="0" w:color="auto"/>
                <w:bottom w:val="none" w:sz="0" w:space="0" w:color="auto"/>
                <w:right w:val="none" w:sz="0" w:space="0" w:color="auto"/>
              </w:divBdr>
            </w:div>
            <w:div w:id="801189292">
              <w:marLeft w:val="0"/>
              <w:marRight w:val="0"/>
              <w:marTop w:val="0"/>
              <w:marBottom w:val="0"/>
              <w:divBdr>
                <w:top w:val="none" w:sz="0" w:space="0" w:color="auto"/>
                <w:left w:val="none" w:sz="0" w:space="0" w:color="auto"/>
                <w:bottom w:val="none" w:sz="0" w:space="0" w:color="auto"/>
                <w:right w:val="none" w:sz="0" w:space="0" w:color="auto"/>
              </w:divBdr>
            </w:div>
            <w:div w:id="802701121">
              <w:marLeft w:val="0"/>
              <w:marRight w:val="0"/>
              <w:marTop w:val="0"/>
              <w:marBottom w:val="0"/>
              <w:divBdr>
                <w:top w:val="none" w:sz="0" w:space="0" w:color="auto"/>
                <w:left w:val="none" w:sz="0" w:space="0" w:color="auto"/>
                <w:bottom w:val="none" w:sz="0" w:space="0" w:color="auto"/>
                <w:right w:val="none" w:sz="0" w:space="0" w:color="auto"/>
              </w:divBdr>
            </w:div>
            <w:div w:id="889995347">
              <w:marLeft w:val="0"/>
              <w:marRight w:val="0"/>
              <w:marTop w:val="0"/>
              <w:marBottom w:val="0"/>
              <w:divBdr>
                <w:top w:val="none" w:sz="0" w:space="0" w:color="auto"/>
                <w:left w:val="none" w:sz="0" w:space="0" w:color="auto"/>
                <w:bottom w:val="none" w:sz="0" w:space="0" w:color="auto"/>
                <w:right w:val="none" w:sz="0" w:space="0" w:color="auto"/>
              </w:divBdr>
            </w:div>
            <w:div w:id="967855127">
              <w:marLeft w:val="0"/>
              <w:marRight w:val="0"/>
              <w:marTop w:val="0"/>
              <w:marBottom w:val="0"/>
              <w:divBdr>
                <w:top w:val="none" w:sz="0" w:space="0" w:color="auto"/>
                <w:left w:val="none" w:sz="0" w:space="0" w:color="auto"/>
                <w:bottom w:val="none" w:sz="0" w:space="0" w:color="auto"/>
                <w:right w:val="none" w:sz="0" w:space="0" w:color="auto"/>
              </w:divBdr>
            </w:div>
            <w:div w:id="1117412345">
              <w:marLeft w:val="0"/>
              <w:marRight w:val="0"/>
              <w:marTop w:val="0"/>
              <w:marBottom w:val="0"/>
              <w:divBdr>
                <w:top w:val="none" w:sz="0" w:space="0" w:color="auto"/>
                <w:left w:val="none" w:sz="0" w:space="0" w:color="auto"/>
                <w:bottom w:val="none" w:sz="0" w:space="0" w:color="auto"/>
                <w:right w:val="none" w:sz="0" w:space="0" w:color="auto"/>
              </w:divBdr>
            </w:div>
            <w:div w:id="1356426116">
              <w:marLeft w:val="0"/>
              <w:marRight w:val="0"/>
              <w:marTop w:val="0"/>
              <w:marBottom w:val="0"/>
              <w:divBdr>
                <w:top w:val="none" w:sz="0" w:space="0" w:color="auto"/>
                <w:left w:val="none" w:sz="0" w:space="0" w:color="auto"/>
                <w:bottom w:val="none" w:sz="0" w:space="0" w:color="auto"/>
                <w:right w:val="none" w:sz="0" w:space="0" w:color="auto"/>
              </w:divBdr>
            </w:div>
            <w:div w:id="1452869254">
              <w:marLeft w:val="0"/>
              <w:marRight w:val="0"/>
              <w:marTop w:val="0"/>
              <w:marBottom w:val="0"/>
              <w:divBdr>
                <w:top w:val="none" w:sz="0" w:space="0" w:color="auto"/>
                <w:left w:val="none" w:sz="0" w:space="0" w:color="auto"/>
                <w:bottom w:val="none" w:sz="0" w:space="0" w:color="auto"/>
                <w:right w:val="none" w:sz="0" w:space="0" w:color="auto"/>
              </w:divBdr>
            </w:div>
            <w:div w:id="1607611618">
              <w:marLeft w:val="0"/>
              <w:marRight w:val="0"/>
              <w:marTop w:val="0"/>
              <w:marBottom w:val="0"/>
              <w:divBdr>
                <w:top w:val="none" w:sz="0" w:space="0" w:color="auto"/>
                <w:left w:val="none" w:sz="0" w:space="0" w:color="auto"/>
                <w:bottom w:val="none" w:sz="0" w:space="0" w:color="auto"/>
                <w:right w:val="none" w:sz="0" w:space="0" w:color="auto"/>
              </w:divBdr>
            </w:div>
            <w:div w:id="1700203491">
              <w:marLeft w:val="0"/>
              <w:marRight w:val="0"/>
              <w:marTop w:val="0"/>
              <w:marBottom w:val="0"/>
              <w:divBdr>
                <w:top w:val="none" w:sz="0" w:space="0" w:color="auto"/>
                <w:left w:val="none" w:sz="0" w:space="0" w:color="auto"/>
                <w:bottom w:val="none" w:sz="0" w:space="0" w:color="auto"/>
                <w:right w:val="none" w:sz="0" w:space="0" w:color="auto"/>
              </w:divBdr>
            </w:div>
            <w:div w:id="1732188528">
              <w:marLeft w:val="0"/>
              <w:marRight w:val="0"/>
              <w:marTop w:val="0"/>
              <w:marBottom w:val="0"/>
              <w:divBdr>
                <w:top w:val="none" w:sz="0" w:space="0" w:color="auto"/>
                <w:left w:val="none" w:sz="0" w:space="0" w:color="auto"/>
                <w:bottom w:val="none" w:sz="0" w:space="0" w:color="auto"/>
                <w:right w:val="none" w:sz="0" w:space="0" w:color="auto"/>
              </w:divBdr>
            </w:div>
            <w:div w:id="1945767682">
              <w:marLeft w:val="0"/>
              <w:marRight w:val="0"/>
              <w:marTop w:val="0"/>
              <w:marBottom w:val="0"/>
              <w:divBdr>
                <w:top w:val="none" w:sz="0" w:space="0" w:color="auto"/>
                <w:left w:val="none" w:sz="0" w:space="0" w:color="auto"/>
                <w:bottom w:val="none" w:sz="0" w:space="0" w:color="auto"/>
                <w:right w:val="none" w:sz="0" w:space="0" w:color="auto"/>
              </w:divBdr>
            </w:div>
            <w:div w:id="2091612146">
              <w:marLeft w:val="0"/>
              <w:marRight w:val="0"/>
              <w:marTop w:val="0"/>
              <w:marBottom w:val="0"/>
              <w:divBdr>
                <w:top w:val="none" w:sz="0" w:space="0" w:color="auto"/>
                <w:left w:val="none" w:sz="0" w:space="0" w:color="auto"/>
                <w:bottom w:val="none" w:sz="0" w:space="0" w:color="auto"/>
                <w:right w:val="none" w:sz="0" w:space="0" w:color="auto"/>
              </w:divBdr>
            </w:div>
            <w:div w:id="2098743571">
              <w:marLeft w:val="0"/>
              <w:marRight w:val="0"/>
              <w:marTop w:val="0"/>
              <w:marBottom w:val="0"/>
              <w:divBdr>
                <w:top w:val="none" w:sz="0" w:space="0" w:color="auto"/>
                <w:left w:val="none" w:sz="0" w:space="0" w:color="auto"/>
                <w:bottom w:val="none" w:sz="0" w:space="0" w:color="auto"/>
                <w:right w:val="none" w:sz="0" w:space="0" w:color="auto"/>
              </w:divBdr>
            </w:div>
          </w:divsChild>
        </w:div>
        <w:div w:id="1173256041">
          <w:marLeft w:val="0"/>
          <w:marRight w:val="0"/>
          <w:marTop w:val="0"/>
          <w:marBottom w:val="0"/>
          <w:divBdr>
            <w:top w:val="none" w:sz="0" w:space="0" w:color="auto"/>
            <w:left w:val="none" w:sz="0" w:space="0" w:color="auto"/>
            <w:bottom w:val="none" w:sz="0" w:space="0" w:color="auto"/>
            <w:right w:val="none" w:sz="0" w:space="0" w:color="auto"/>
          </w:divBdr>
        </w:div>
        <w:div w:id="1187600979">
          <w:marLeft w:val="0"/>
          <w:marRight w:val="0"/>
          <w:marTop w:val="0"/>
          <w:marBottom w:val="0"/>
          <w:divBdr>
            <w:top w:val="none" w:sz="0" w:space="0" w:color="auto"/>
            <w:left w:val="none" w:sz="0" w:space="0" w:color="auto"/>
            <w:bottom w:val="none" w:sz="0" w:space="0" w:color="auto"/>
            <w:right w:val="none" w:sz="0" w:space="0" w:color="auto"/>
          </w:divBdr>
        </w:div>
        <w:div w:id="1244416721">
          <w:marLeft w:val="0"/>
          <w:marRight w:val="0"/>
          <w:marTop w:val="0"/>
          <w:marBottom w:val="0"/>
          <w:divBdr>
            <w:top w:val="none" w:sz="0" w:space="0" w:color="auto"/>
            <w:left w:val="none" w:sz="0" w:space="0" w:color="auto"/>
            <w:bottom w:val="none" w:sz="0" w:space="0" w:color="auto"/>
            <w:right w:val="none" w:sz="0" w:space="0" w:color="auto"/>
          </w:divBdr>
        </w:div>
        <w:div w:id="1371109951">
          <w:marLeft w:val="0"/>
          <w:marRight w:val="0"/>
          <w:marTop w:val="0"/>
          <w:marBottom w:val="0"/>
          <w:divBdr>
            <w:top w:val="none" w:sz="0" w:space="0" w:color="auto"/>
            <w:left w:val="none" w:sz="0" w:space="0" w:color="auto"/>
            <w:bottom w:val="none" w:sz="0" w:space="0" w:color="auto"/>
            <w:right w:val="none" w:sz="0" w:space="0" w:color="auto"/>
          </w:divBdr>
        </w:div>
        <w:div w:id="1407608993">
          <w:marLeft w:val="0"/>
          <w:marRight w:val="0"/>
          <w:marTop w:val="0"/>
          <w:marBottom w:val="0"/>
          <w:divBdr>
            <w:top w:val="none" w:sz="0" w:space="0" w:color="auto"/>
            <w:left w:val="none" w:sz="0" w:space="0" w:color="auto"/>
            <w:bottom w:val="none" w:sz="0" w:space="0" w:color="auto"/>
            <w:right w:val="none" w:sz="0" w:space="0" w:color="auto"/>
          </w:divBdr>
        </w:div>
        <w:div w:id="1671634489">
          <w:marLeft w:val="0"/>
          <w:marRight w:val="0"/>
          <w:marTop w:val="0"/>
          <w:marBottom w:val="0"/>
          <w:divBdr>
            <w:top w:val="none" w:sz="0" w:space="0" w:color="auto"/>
            <w:left w:val="none" w:sz="0" w:space="0" w:color="auto"/>
            <w:bottom w:val="none" w:sz="0" w:space="0" w:color="auto"/>
            <w:right w:val="none" w:sz="0" w:space="0" w:color="auto"/>
          </w:divBdr>
        </w:div>
        <w:div w:id="1737124048">
          <w:marLeft w:val="0"/>
          <w:marRight w:val="0"/>
          <w:marTop w:val="0"/>
          <w:marBottom w:val="0"/>
          <w:divBdr>
            <w:top w:val="none" w:sz="0" w:space="0" w:color="auto"/>
            <w:left w:val="none" w:sz="0" w:space="0" w:color="auto"/>
            <w:bottom w:val="none" w:sz="0" w:space="0" w:color="auto"/>
            <w:right w:val="none" w:sz="0" w:space="0" w:color="auto"/>
          </w:divBdr>
        </w:div>
        <w:div w:id="2086872538">
          <w:marLeft w:val="0"/>
          <w:marRight w:val="0"/>
          <w:marTop w:val="0"/>
          <w:marBottom w:val="0"/>
          <w:divBdr>
            <w:top w:val="none" w:sz="0" w:space="0" w:color="auto"/>
            <w:left w:val="none" w:sz="0" w:space="0" w:color="auto"/>
            <w:bottom w:val="none" w:sz="0" w:space="0" w:color="auto"/>
            <w:right w:val="none" w:sz="0" w:space="0" w:color="auto"/>
          </w:divBdr>
        </w:div>
        <w:div w:id="2090232804">
          <w:marLeft w:val="0"/>
          <w:marRight w:val="0"/>
          <w:marTop w:val="0"/>
          <w:marBottom w:val="0"/>
          <w:divBdr>
            <w:top w:val="none" w:sz="0" w:space="0" w:color="auto"/>
            <w:left w:val="none" w:sz="0" w:space="0" w:color="auto"/>
            <w:bottom w:val="none" w:sz="0" w:space="0" w:color="auto"/>
            <w:right w:val="none" w:sz="0" w:space="0" w:color="auto"/>
          </w:divBdr>
        </w:div>
      </w:divsChild>
    </w:div>
    <w:div w:id="431704703">
      <w:bodyDiv w:val="1"/>
      <w:marLeft w:val="0"/>
      <w:marRight w:val="0"/>
      <w:marTop w:val="0"/>
      <w:marBottom w:val="0"/>
      <w:divBdr>
        <w:top w:val="none" w:sz="0" w:space="0" w:color="auto"/>
        <w:left w:val="none" w:sz="0" w:space="0" w:color="auto"/>
        <w:bottom w:val="none" w:sz="0" w:space="0" w:color="auto"/>
        <w:right w:val="none" w:sz="0" w:space="0" w:color="auto"/>
      </w:divBdr>
    </w:div>
    <w:div w:id="510796654">
      <w:bodyDiv w:val="1"/>
      <w:marLeft w:val="0"/>
      <w:marRight w:val="0"/>
      <w:marTop w:val="0"/>
      <w:marBottom w:val="0"/>
      <w:divBdr>
        <w:top w:val="none" w:sz="0" w:space="0" w:color="auto"/>
        <w:left w:val="none" w:sz="0" w:space="0" w:color="auto"/>
        <w:bottom w:val="none" w:sz="0" w:space="0" w:color="auto"/>
        <w:right w:val="none" w:sz="0" w:space="0" w:color="auto"/>
      </w:divBdr>
    </w:div>
    <w:div w:id="561327240">
      <w:bodyDiv w:val="1"/>
      <w:marLeft w:val="0"/>
      <w:marRight w:val="0"/>
      <w:marTop w:val="0"/>
      <w:marBottom w:val="0"/>
      <w:divBdr>
        <w:top w:val="none" w:sz="0" w:space="0" w:color="auto"/>
        <w:left w:val="none" w:sz="0" w:space="0" w:color="auto"/>
        <w:bottom w:val="none" w:sz="0" w:space="0" w:color="auto"/>
        <w:right w:val="none" w:sz="0" w:space="0" w:color="auto"/>
      </w:divBdr>
      <w:divsChild>
        <w:div w:id="164901467">
          <w:marLeft w:val="0"/>
          <w:marRight w:val="0"/>
          <w:marTop w:val="0"/>
          <w:marBottom w:val="0"/>
          <w:divBdr>
            <w:top w:val="none" w:sz="0" w:space="0" w:color="auto"/>
            <w:left w:val="none" w:sz="0" w:space="0" w:color="auto"/>
            <w:bottom w:val="none" w:sz="0" w:space="0" w:color="auto"/>
            <w:right w:val="none" w:sz="0" w:space="0" w:color="auto"/>
          </w:divBdr>
        </w:div>
        <w:div w:id="233516385">
          <w:marLeft w:val="0"/>
          <w:marRight w:val="0"/>
          <w:marTop w:val="0"/>
          <w:marBottom w:val="0"/>
          <w:divBdr>
            <w:top w:val="none" w:sz="0" w:space="0" w:color="auto"/>
            <w:left w:val="none" w:sz="0" w:space="0" w:color="auto"/>
            <w:bottom w:val="none" w:sz="0" w:space="0" w:color="auto"/>
            <w:right w:val="none" w:sz="0" w:space="0" w:color="auto"/>
          </w:divBdr>
        </w:div>
        <w:div w:id="742261659">
          <w:marLeft w:val="0"/>
          <w:marRight w:val="0"/>
          <w:marTop w:val="0"/>
          <w:marBottom w:val="0"/>
          <w:divBdr>
            <w:top w:val="none" w:sz="0" w:space="0" w:color="auto"/>
            <w:left w:val="none" w:sz="0" w:space="0" w:color="auto"/>
            <w:bottom w:val="none" w:sz="0" w:space="0" w:color="auto"/>
            <w:right w:val="none" w:sz="0" w:space="0" w:color="auto"/>
          </w:divBdr>
        </w:div>
        <w:div w:id="945648650">
          <w:marLeft w:val="0"/>
          <w:marRight w:val="0"/>
          <w:marTop w:val="0"/>
          <w:marBottom w:val="0"/>
          <w:divBdr>
            <w:top w:val="none" w:sz="0" w:space="0" w:color="auto"/>
            <w:left w:val="none" w:sz="0" w:space="0" w:color="auto"/>
            <w:bottom w:val="none" w:sz="0" w:space="0" w:color="auto"/>
            <w:right w:val="none" w:sz="0" w:space="0" w:color="auto"/>
          </w:divBdr>
        </w:div>
        <w:div w:id="1220243595">
          <w:marLeft w:val="0"/>
          <w:marRight w:val="0"/>
          <w:marTop w:val="0"/>
          <w:marBottom w:val="0"/>
          <w:divBdr>
            <w:top w:val="none" w:sz="0" w:space="0" w:color="auto"/>
            <w:left w:val="none" w:sz="0" w:space="0" w:color="auto"/>
            <w:bottom w:val="none" w:sz="0" w:space="0" w:color="auto"/>
            <w:right w:val="none" w:sz="0" w:space="0" w:color="auto"/>
          </w:divBdr>
        </w:div>
        <w:div w:id="1228228327">
          <w:marLeft w:val="0"/>
          <w:marRight w:val="0"/>
          <w:marTop w:val="0"/>
          <w:marBottom w:val="0"/>
          <w:divBdr>
            <w:top w:val="none" w:sz="0" w:space="0" w:color="auto"/>
            <w:left w:val="none" w:sz="0" w:space="0" w:color="auto"/>
            <w:bottom w:val="none" w:sz="0" w:space="0" w:color="auto"/>
            <w:right w:val="none" w:sz="0" w:space="0" w:color="auto"/>
          </w:divBdr>
        </w:div>
        <w:div w:id="1317614991">
          <w:marLeft w:val="0"/>
          <w:marRight w:val="0"/>
          <w:marTop w:val="0"/>
          <w:marBottom w:val="0"/>
          <w:divBdr>
            <w:top w:val="none" w:sz="0" w:space="0" w:color="auto"/>
            <w:left w:val="none" w:sz="0" w:space="0" w:color="auto"/>
            <w:bottom w:val="none" w:sz="0" w:space="0" w:color="auto"/>
            <w:right w:val="none" w:sz="0" w:space="0" w:color="auto"/>
          </w:divBdr>
        </w:div>
        <w:div w:id="1442067533">
          <w:marLeft w:val="0"/>
          <w:marRight w:val="0"/>
          <w:marTop w:val="0"/>
          <w:marBottom w:val="0"/>
          <w:divBdr>
            <w:top w:val="none" w:sz="0" w:space="0" w:color="auto"/>
            <w:left w:val="none" w:sz="0" w:space="0" w:color="auto"/>
            <w:bottom w:val="none" w:sz="0" w:space="0" w:color="auto"/>
            <w:right w:val="none" w:sz="0" w:space="0" w:color="auto"/>
          </w:divBdr>
        </w:div>
        <w:div w:id="1910726159">
          <w:marLeft w:val="0"/>
          <w:marRight w:val="0"/>
          <w:marTop w:val="0"/>
          <w:marBottom w:val="0"/>
          <w:divBdr>
            <w:top w:val="none" w:sz="0" w:space="0" w:color="auto"/>
            <w:left w:val="none" w:sz="0" w:space="0" w:color="auto"/>
            <w:bottom w:val="none" w:sz="0" w:space="0" w:color="auto"/>
            <w:right w:val="none" w:sz="0" w:space="0" w:color="auto"/>
          </w:divBdr>
          <w:divsChild>
            <w:div w:id="63114543">
              <w:marLeft w:val="0"/>
              <w:marRight w:val="0"/>
              <w:marTop w:val="0"/>
              <w:marBottom w:val="0"/>
              <w:divBdr>
                <w:top w:val="none" w:sz="0" w:space="0" w:color="auto"/>
                <w:left w:val="none" w:sz="0" w:space="0" w:color="auto"/>
                <w:bottom w:val="none" w:sz="0" w:space="0" w:color="auto"/>
                <w:right w:val="none" w:sz="0" w:space="0" w:color="auto"/>
              </w:divBdr>
            </w:div>
            <w:div w:id="339237088">
              <w:marLeft w:val="0"/>
              <w:marRight w:val="0"/>
              <w:marTop w:val="0"/>
              <w:marBottom w:val="0"/>
              <w:divBdr>
                <w:top w:val="none" w:sz="0" w:space="0" w:color="auto"/>
                <w:left w:val="none" w:sz="0" w:space="0" w:color="auto"/>
                <w:bottom w:val="none" w:sz="0" w:space="0" w:color="auto"/>
                <w:right w:val="none" w:sz="0" w:space="0" w:color="auto"/>
              </w:divBdr>
            </w:div>
            <w:div w:id="407390563">
              <w:marLeft w:val="0"/>
              <w:marRight w:val="0"/>
              <w:marTop w:val="0"/>
              <w:marBottom w:val="0"/>
              <w:divBdr>
                <w:top w:val="none" w:sz="0" w:space="0" w:color="auto"/>
                <w:left w:val="none" w:sz="0" w:space="0" w:color="auto"/>
                <w:bottom w:val="none" w:sz="0" w:space="0" w:color="auto"/>
                <w:right w:val="none" w:sz="0" w:space="0" w:color="auto"/>
              </w:divBdr>
            </w:div>
            <w:div w:id="517163554">
              <w:marLeft w:val="0"/>
              <w:marRight w:val="0"/>
              <w:marTop w:val="0"/>
              <w:marBottom w:val="0"/>
              <w:divBdr>
                <w:top w:val="none" w:sz="0" w:space="0" w:color="auto"/>
                <w:left w:val="none" w:sz="0" w:space="0" w:color="auto"/>
                <w:bottom w:val="none" w:sz="0" w:space="0" w:color="auto"/>
                <w:right w:val="none" w:sz="0" w:space="0" w:color="auto"/>
              </w:divBdr>
            </w:div>
            <w:div w:id="567150324">
              <w:marLeft w:val="0"/>
              <w:marRight w:val="0"/>
              <w:marTop w:val="0"/>
              <w:marBottom w:val="0"/>
              <w:divBdr>
                <w:top w:val="none" w:sz="0" w:space="0" w:color="auto"/>
                <w:left w:val="none" w:sz="0" w:space="0" w:color="auto"/>
                <w:bottom w:val="none" w:sz="0" w:space="0" w:color="auto"/>
                <w:right w:val="none" w:sz="0" w:space="0" w:color="auto"/>
              </w:divBdr>
            </w:div>
            <w:div w:id="646590103">
              <w:marLeft w:val="0"/>
              <w:marRight w:val="0"/>
              <w:marTop w:val="0"/>
              <w:marBottom w:val="0"/>
              <w:divBdr>
                <w:top w:val="none" w:sz="0" w:space="0" w:color="auto"/>
                <w:left w:val="none" w:sz="0" w:space="0" w:color="auto"/>
                <w:bottom w:val="none" w:sz="0" w:space="0" w:color="auto"/>
                <w:right w:val="none" w:sz="0" w:space="0" w:color="auto"/>
              </w:divBdr>
            </w:div>
            <w:div w:id="821197588">
              <w:marLeft w:val="0"/>
              <w:marRight w:val="0"/>
              <w:marTop w:val="0"/>
              <w:marBottom w:val="0"/>
              <w:divBdr>
                <w:top w:val="none" w:sz="0" w:space="0" w:color="auto"/>
                <w:left w:val="none" w:sz="0" w:space="0" w:color="auto"/>
                <w:bottom w:val="none" w:sz="0" w:space="0" w:color="auto"/>
                <w:right w:val="none" w:sz="0" w:space="0" w:color="auto"/>
              </w:divBdr>
            </w:div>
            <w:div w:id="839779800">
              <w:marLeft w:val="0"/>
              <w:marRight w:val="0"/>
              <w:marTop w:val="0"/>
              <w:marBottom w:val="0"/>
              <w:divBdr>
                <w:top w:val="none" w:sz="0" w:space="0" w:color="auto"/>
                <w:left w:val="none" w:sz="0" w:space="0" w:color="auto"/>
                <w:bottom w:val="none" w:sz="0" w:space="0" w:color="auto"/>
                <w:right w:val="none" w:sz="0" w:space="0" w:color="auto"/>
              </w:divBdr>
            </w:div>
            <w:div w:id="928735232">
              <w:marLeft w:val="0"/>
              <w:marRight w:val="0"/>
              <w:marTop w:val="0"/>
              <w:marBottom w:val="0"/>
              <w:divBdr>
                <w:top w:val="none" w:sz="0" w:space="0" w:color="auto"/>
                <w:left w:val="none" w:sz="0" w:space="0" w:color="auto"/>
                <w:bottom w:val="none" w:sz="0" w:space="0" w:color="auto"/>
                <w:right w:val="none" w:sz="0" w:space="0" w:color="auto"/>
              </w:divBdr>
            </w:div>
            <w:div w:id="1022169321">
              <w:marLeft w:val="0"/>
              <w:marRight w:val="0"/>
              <w:marTop w:val="0"/>
              <w:marBottom w:val="0"/>
              <w:divBdr>
                <w:top w:val="none" w:sz="0" w:space="0" w:color="auto"/>
                <w:left w:val="none" w:sz="0" w:space="0" w:color="auto"/>
                <w:bottom w:val="none" w:sz="0" w:space="0" w:color="auto"/>
                <w:right w:val="none" w:sz="0" w:space="0" w:color="auto"/>
              </w:divBdr>
            </w:div>
            <w:div w:id="1025401369">
              <w:marLeft w:val="0"/>
              <w:marRight w:val="0"/>
              <w:marTop w:val="0"/>
              <w:marBottom w:val="0"/>
              <w:divBdr>
                <w:top w:val="none" w:sz="0" w:space="0" w:color="auto"/>
                <w:left w:val="none" w:sz="0" w:space="0" w:color="auto"/>
                <w:bottom w:val="none" w:sz="0" w:space="0" w:color="auto"/>
                <w:right w:val="none" w:sz="0" w:space="0" w:color="auto"/>
              </w:divBdr>
            </w:div>
            <w:div w:id="1201089917">
              <w:marLeft w:val="0"/>
              <w:marRight w:val="0"/>
              <w:marTop w:val="0"/>
              <w:marBottom w:val="0"/>
              <w:divBdr>
                <w:top w:val="none" w:sz="0" w:space="0" w:color="auto"/>
                <w:left w:val="none" w:sz="0" w:space="0" w:color="auto"/>
                <w:bottom w:val="none" w:sz="0" w:space="0" w:color="auto"/>
                <w:right w:val="none" w:sz="0" w:space="0" w:color="auto"/>
              </w:divBdr>
            </w:div>
            <w:div w:id="1251625952">
              <w:marLeft w:val="0"/>
              <w:marRight w:val="0"/>
              <w:marTop w:val="0"/>
              <w:marBottom w:val="0"/>
              <w:divBdr>
                <w:top w:val="none" w:sz="0" w:space="0" w:color="auto"/>
                <w:left w:val="none" w:sz="0" w:space="0" w:color="auto"/>
                <w:bottom w:val="none" w:sz="0" w:space="0" w:color="auto"/>
                <w:right w:val="none" w:sz="0" w:space="0" w:color="auto"/>
              </w:divBdr>
            </w:div>
            <w:div w:id="1274820414">
              <w:marLeft w:val="0"/>
              <w:marRight w:val="0"/>
              <w:marTop w:val="0"/>
              <w:marBottom w:val="0"/>
              <w:divBdr>
                <w:top w:val="none" w:sz="0" w:space="0" w:color="auto"/>
                <w:left w:val="none" w:sz="0" w:space="0" w:color="auto"/>
                <w:bottom w:val="none" w:sz="0" w:space="0" w:color="auto"/>
                <w:right w:val="none" w:sz="0" w:space="0" w:color="auto"/>
              </w:divBdr>
            </w:div>
            <w:div w:id="1535847711">
              <w:marLeft w:val="0"/>
              <w:marRight w:val="0"/>
              <w:marTop w:val="0"/>
              <w:marBottom w:val="0"/>
              <w:divBdr>
                <w:top w:val="none" w:sz="0" w:space="0" w:color="auto"/>
                <w:left w:val="none" w:sz="0" w:space="0" w:color="auto"/>
                <w:bottom w:val="none" w:sz="0" w:space="0" w:color="auto"/>
                <w:right w:val="none" w:sz="0" w:space="0" w:color="auto"/>
              </w:divBdr>
            </w:div>
            <w:div w:id="1613784385">
              <w:marLeft w:val="0"/>
              <w:marRight w:val="0"/>
              <w:marTop w:val="0"/>
              <w:marBottom w:val="0"/>
              <w:divBdr>
                <w:top w:val="none" w:sz="0" w:space="0" w:color="auto"/>
                <w:left w:val="none" w:sz="0" w:space="0" w:color="auto"/>
                <w:bottom w:val="none" w:sz="0" w:space="0" w:color="auto"/>
                <w:right w:val="none" w:sz="0" w:space="0" w:color="auto"/>
              </w:divBdr>
            </w:div>
            <w:div w:id="1791633090">
              <w:marLeft w:val="0"/>
              <w:marRight w:val="0"/>
              <w:marTop w:val="0"/>
              <w:marBottom w:val="0"/>
              <w:divBdr>
                <w:top w:val="none" w:sz="0" w:space="0" w:color="auto"/>
                <w:left w:val="none" w:sz="0" w:space="0" w:color="auto"/>
                <w:bottom w:val="none" w:sz="0" w:space="0" w:color="auto"/>
                <w:right w:val="none" w:sz="0" w:space="0" w:color="auto"/>
              </w:divBdr>
            </w:div>
            <w:div w:id="1915433258">
              <w:marLeft w:val="0"/>
              <w:marRight w:val="0"/>
              <w:marTop w:val="0"/>
              <w:marBottom w:val="0"/>
              <w:divBdr>
                <w:top w:val="none" w:sz="0" w:space="0" w:color="auto"/>
                <w:left w:val="none" w:sz="0" w:space="0" w:color="auto"/>
                <w:bottom w:val="none" w:sz="0" w:space="0" w:color="auto"/>
                <w:right w:val="none" w:sz="0" w:space="0" w:color="auto"/>
              </w:divBdr>
            </w:div>
          </w:divsChild>
        </w:div>
        <w:div w:id="1945961529">
          <w:marLeft w:val="0"/>
          <w:marRight w:val="0"/>
          <w:marTop w:val="0"/>
          <w:marBottom w:val="0"/>
          <w:divBdr>
            <w:top w:val="none" w:sz="0" w:space="0" w:color="auto"/>
            <w:left w:val="none" w:sz="0" w:space="0" w:color="auto"/>
            <w:bottom w:val="none" w:sz="0" w:space="0" w:color="auto"/>
            <w:right w:val="none" w:sz="0" w:space="0" w:color="auto"/>
          </w:divBdr>
        </w:div>
        <w:div w:id="2082438324">
          <w:marLeft w:val="0"/>
          <w:marRight w:val="0"/>
          <w:marTop w:val="0"/>
          <w:marBottom w:val="0"/>
          <w:divBdr>
            <w:top w:val="none" w:sz="0" w:space="0" w:color="auto"/>
            <w:left w:val="none" w:sz="0" w:space="0" w:color="auto"/>
            <w:bottom w:val="none" w:sz="0" w:space="0" w:color="auto"/>
            <w:right w:val="none" w:sz="0" w:space="0" w:color="auto"/>
          </w:divBdr>
        </w:div>
      </w:divsChild>
    </w:div>
    <w:div w:id="695348348">
      <w:bodyDiv w:val="1"/>
      <w:marLeft w:val="0"/>
      <w:marRight w:val="0"/>
      <w:marTop w:val="0"/>
      <w:marBottom w:val="0"/>
      <w:divBdr>
        <w:top w:val="none" w:sz="0" w:space="0" w:color="auto"/>
        <w:left w:val="none" w:sz="0" w:space="0" w:color="auto"/>
        <w:bottom w:val="none" w:sz="0" w:space="0" w:color="auto"/>
        <w:right w:val="none" w:sz="0" w:space="0" w:color="auto"/>
      </w:divBdr>
    </w:div>
    <w:div w:id="714277947">
      <w:bodyDiv w:val="1"/>
      <w:marLeft w:val="0"/>
      <w:marRight w:val="0"/>
      <w:marTop w:val="0"/>
      <w:marBottom w:val="0"/>
      <w:divBdr>
        <w:top w:val="none" w:sz="0" w:space="0" w:color="auto"/>
        <w:left w:val="none" w:sz="0" w:space="0" w:color="auto"/>
        <w:bottom w:val="none" w:sz="0" w:space="0" w:color="auto"/>
        <w:right w:val="none" w:sz="0" w:space="0" w:color="auto"/>
      </w:divBdr>
      <w:divsChild>
        <w:div w:id="33970269">
          <w:marLeft w:val="0"/>
          <w:marRight w:val="0"/>
          <w:marTop w:val="0"/>
          <w:marBottom w:val="0"/>
          <w:divBdr>
            <w:top w:val="none" w:sz="0" w:space="0" w:color="auto"/>
            <w:left w:val="none" w:sz="0" w:space="0" w:color="auto"/>
            <w:bottom w:val="none" w:sz="0" w:space="0" w:color="auto"/>
            <w:right w:val="none" w:sz="0" w:space="0" w:color="auto"/>
          </w:divBdr>
        </w:div>
        <w:div w:id="951746493">
          <w:marLeft w:val="0"/>
          <w:marRight w:val="0"/>
          <w:marTop w:val="0"/>
          <w:marBottom w:val="0"/>
          <w:divBdr>
            <w:top w:val="none" w:sz="0" w:space="0" w:color="auto"/>
            <w:left w:val="none" w:sz="0" w:space="0" w:color="auto"/>
            <w:bottom w:val="none" w:sz="0" w:space="0" w:color="auto"/>
            <w:right w:val="none" w:sz="0" w:space="0" w:color="auto"/>
          </w:divBdr>
        </w:div>
        <w:div w:id="1894081287">
          <w:marLeft w:val="0"/>
          <w:marRight w:val="0"/>
          <w:marTop w:val="0"/>
          <w:marBottom w:val="0"/>
          <w:divBdr>
            <w:top w:val="none" w:sz="0" w:space="0" w:color="auto"/>
            <w:left w:val="none" w:sz="0" w:space="0" w:color="auto"/>
            <w:bottom w:val="none" w:sz="0" w:space="0" w:color="auto"/>
            <w:right w:val="none" w:sz="0" w:space="0" w:color="auto"/>
          </w:divBdr>
          <w:divsChild>
            <w:div w:id="400255710">
              <w:marLeft w:val="-75"/>
              <w:marRight w:val="0"/>
              <w:marTop w:val="30"/>
              <w:marBottom w:val="30"/>
              <w:divBdr>
                <w:top w:val="none" w:sz="0" w:space="0" w:color="auto"/>
                <w:left w:val="none" w:sz="0" w:space="0" w:color="auto"/>
                <w:bottom w:val="none" w:sz="0" w:space="0" w:color="auto"/>
                <w:right w:val="none" w:sz="0" w:space="0" w:color="auto"/>
              </w:divBdr>
              <w:divsChild>
                <w:div w:id="17778833">
                  <w:marLeft w:val="0"/>
                  <w:marRight w:val="0"/>
                  <w:marTop w:val="0"/>
                  <w:marBottom w:val="0"/>
                  <w:divBdr>
                    <w:top w:val="none" w:sz="0" w:space="0" w:color="auto"/>
                    <w:left w:val="none" w:sz="0" w:space="0" w:color="auto"/>
                    <w:bottom w:val="none" w:sz="0" w:space="0" w:color="auto"/>
                    <w:right w:val="none" w:sz="0" w:space="0" w:color="auto"/>
                  </w:divBdr>
                  <w:divsChild>
                    <w:div w:id="1230964666">
                      <w:marLeft w:val="0"/>
                      <w:marRight w:val="0"/>
                      <w:marTop w:val="0"/>
                      <w:marBottom w:val="0"/>
                      <w:divBdr>
                        <w:top w:val="none" w:sz="0" w:space="0" w:color="auto"/>
                        <w:left w:val="none" w:sz="0" w:space="0" w:color="auto"/>
                        <w:bottom w:val="none" w:sz="0" w:space="0" w:color="auto"/>
                        <w:right w:val="none" w:sz="0" w:space="0" w:color="auto"/>
                      </w:divBdr>
                    </w:div>
                  </w:divsChild>
                </w:div>
                <w:div w:id="26761778">
                  <w:marLeft w:val="0"/>
                  <w:marRight w:val="0"/>
                  <w:marTop w:val="0"/>
                  <w:marBottom w:val="0"/>
                  <w:divBdr>
                    <w:top w:val="none" w:sz="0" w:space="0" w:color="auto"/>
                    <w:left w:val="none" w:sz="0" w:space="0" w:color="auto"/>
                    <w:bottom w:val="none" w:sz="0" w:space="0" w:color="auto"/>
                    <w:right w:val="none" w:sz="0" w:space="0" w:color="auto"/>
                  </w:divBdr>
                  <w:divsChild>
                    <w:div w:id="740373618">
                      <w:marLeft w:val="0"/>
                      <w:marRight w:val="0"/>
                      <w:marTop w:val="0"/>
                      <w:marBottom w:val="0"/>
                      <w:divBdr>
                        <w:top w:val="none" w:sz="0" w:space="0" w:color="auto"/>
                        <w:left w:val="none" w:sz="0" w:space="0" w:color="auto"/>
                        <w:bottom w:val="none" w:sz="0" w:space="0" w:color="auto"/>
                        <w:right w:val="none" w:sz="0" w:space="0" w:color="auto"/>
                      </w:divBdr>
                    </w:div>
                  </w:divsChild>
                </w:div>
                <w:div w:id="40834739">
                  <w:marLeft w:val="0"/>
                  <w:marRight w:val="0"/>
                  <w:marTop w:val="0"/>
                  <w:marBottom w:val="0"/>
                  <w:divBdr>
                    <w:top w:val="none" w:sz="0" w:space="0" w:color="auto"/>
                    <w:left w:val="none" w:sz="0" w:space="0" w:color="auto"/>
                    <w:bottom w:val="none" w:sz="0" w:space="0" w:color="auto"/>
                    <w:right w:val="none" w:sz="0" w:space="0" w:color="auto"/>
                  </w:divBdr>
                  <w:divsChild>
                    <w:div w:id="2097555966">
                      <w:marLeft w:val="0"/>
                      <w:marRight w:val="0"/>
                      <w:marTop w:val="0"/>
                      <w:marBottom w:val="0"/>
                      <w:divBdr>
                        <w:top w:val="none" w:sz="0" w:space="0" w:color="auto"/>
                        <w:left w:val="none" w:sz="0" w:space="0" w:color="auto"/>
                        <w:bottom w:val="none" w:sz="0" w:space="0" w:color="auto"/>
                        <w:right w:val="none" w:sz="0" w:space="0" w:color="auto"/>
                      </w:divBdr>
                    </w:div>
                  </w:divsChild>
                </w:div>
                <w:div w:id="48961982">
                  <w:marLeft w:val="0"/>
                  <w:marRight w:val="0"/>
                  <w:marTop w:val="0"/>
                  <w:marBottom w:val="0"/>
                  <w:divBdr>
                    <w:top w:val="none" w:sz="0" w:space="0" w:color="auto"/>
                    <w:left w:val="none" w:sz="0" w:space="0" w:color="auto"/>
                    <w:bottom w:val="none" w:sz="0" w:space="0" w:color="auto"/>
                    <w:right w:val="none" w:sz="0" w:space="0" w:color="auto"/>
                  </w:divBdr>
                  <w:divsChild>
                    <w:div w:id="1831554527">
                      <w:marLeft w:val="0"/>
                      <w:marRight w:val="0"/>
                      <w:marTop w:val="0"/>
                      <w:marBottom w:val="0"/>
                      <w:divBdr>
                        <w:top w:val="none" w:sz="0" w:space="0" w:color="auto"/>
                        <w:left w:val="none" w:sz="0" w:space="0" w:color="auto"/>
                        <w:bottom w:val="none" w:sz="0" w:space="0" w:color="auto"/>
                        <w:right w:val="none" w:sz="0" w:space="0" w:color="auto"/>
                      </w:divBdr>
                    </w:div>
                  </w:divsChild>
                </w:div>
                <w:div w:id="57293274">
                  <w:marLeft w:val="0"/>
                  <w:marRight w:val="0"/>
                  <w:marTop w:val="0"/>
                  <w:marBottom w:val="0"/>
                  <w:divBdr>
                    <w:top w:val="none" w:sz="0" w:space="0" w:color="auto"/>
                    <w:left w:val="none" w:sz="0" w:space="0" w:color="auto"/>
                    <w:bottom w:val="none" w:sz="0" w:space="0" w:color="auto"/>
                    <w:right w:val="none" w:sz="0" w:space="0" w:color="auto"/>
                  </w:divBdr>
                  <w:divsChild>
                    <w:div w:id="1855729547">
                      <w:marLeft w:val="0"/>
                      <w:marRight w:val="0"/>
                      <w:marTop w:val="0"/>
                      <w:marBottom w:val="0"/>
                      <w:divBdr>
                        <w:top w:val="none" w:sz="0" w:space="0" w:color="auto"/>
                        <w:left w:val="none" w:sz="0" w:space="0" w:color="auto"/>
                        <w:bottom w:val="none" w:sz="0" w:space="0" w:color="auto"/>
                        <w:right w:val="none" w:sz="0" w:space="0" w:color="auto"/>
                      </w:divBdr>
                    </w:div>
                  </w:divsChild>
                </w:div>
                <w:div w:id="133840263">
                  <w:marLeft w:val="0"/>
                  <w:marRight w:val="0"/>
                  <w:marTop w:val="0"/>
                  <w:marBottom w:val="0"/>
                  <w:divBdr>
                    <w:top w:val="none" w:sz="0" w:space="0" w:color="auto"/>
                    <w:left w:val="none" w:sz="0" w:space="0" w:color="auto"/>
                    <w:bottom w:val="none" w:sz="0" w:space="0" w:color="auto"/>
                    <w:right w:val="none" w:sz="0" w:space="0" w:color="auto"/>
                  </w:divBdr>
                  <w:divsChild>
                    <w:div w:id="885070830">
                      <w:marLeft w:val="0"/>
                      <w:marRight w:val="0"/>
                      <w:marTop w:val="0"/>
                      <w:marBottom w:val="0"/>
                      <w:divBdr>
                        <w:top w:val="none" w:sz="0" w:space="0" w:color="auto"/>
                        <w:left w:val="none" w:sz="0" w:space="0" w:color="auto"/>
                        <w:bottom w:val="none" w:sz="0" w:space="0" w:color="auto"/>
                        <w:right w:val="none" w:sz="0" w:space="0" w:color="auto"/>
                      </w:divBdr>
                    </w:div>
                  </w:divsChild>
                </w:div>
                <w:div w:id="144666446">
                  <w:marLeft w:val="0"/>
                  <w:marRight w:val="0"/>
                  <w:marTop w:val="0"/>
                  <w:marBottom w:val="0"/>
                  <w:divBdr>
                    <w:top w:val="none" w:sz="0" w:space="0" w:color="auto"/>
                    <w:left w:val="none" w:sz="0" w:space="0" w:color="auto"/>
                    <w:bottom w:val="none" w:sz="0" w:space="0" w:color="auto"/>
                    <w:right w:val="none" w:sz="0" w:space="0" w:color="auto"/>
                  </w:divBdr>
                  <w:divsChild>
                    <w:div w:id="440993959">
                      <w:marLeft w:val="0"/>
                      <w:marRight w:val="0"/>
                      <w:marTop w:val="0"/>
                      <w:marBottom w:val="0"/>
                      <w:divBdr>
                        <w:top w:val="none" w:sz="0" w:space="0" w:color="auto"/>
                        <w:left w:val="none" w:sz="0" w:space="0" w:color="auto"/>
                        <w:bottom w:val="none" w:sz="0" w:space="0" w:color="auto"/>
                        <w:right w:val="none" w:sz="0" w:space="0" w:color="auto"/>
                      </w:divBdr>
                    </w:div>
                  </w:divsChild>
                </w:div>
                <w:div w:id="147552160">
                  <w:marLeft w:val="0"/>
                  <w:marRight w:val="0"/>
                  <w:marTop w:val="0"/>
                  <w:marBottom w:val="0"/>
                  <w:divBdr>
                    <w:top w:val="none" w:sz="0" w:space="0" w:color="auto"/>
                    <w:left w:val="none" w:sz="0" w:space="0" w:color="auto"/>
                    <w:bottom w:val="none" w:sz="0" w:space="0" w:color="auto"/>
                    <w:right w:val="none" w:sz="0" w:space="0" w:color="auto"/>
                  </w:divBdr>
                  <w:divsChild>
                    <w:div w:id="1022635942">
                      <w:marLeft w:val="0"/>
                      <w:marRight w:val="0"/>
                      <w:marTop w:val="0"/>
                      <w:marBottom w:val="0"/>
                      <w:divBdr>
                        <w:top w:val="none" w:sz="0" w:space="0" w:color="auto"/>
                        <w:left w:val="none" w:sz="0" w:space="0" w:color="auto"/>
                        <w:bottom w:val="none" w:sz="0" w:space="0" w:color="auto"/>
                        <w:right w:val="none" w:sz="0" w:space="0" w:color="auto"/>
                      </w:divBdr>
                    </w:div>
                  </w:divsChild>
                </w:div>
                <w:div w:id="149836172">
                  <w:marLeft w:val="0"/>
                  <w:marRight w:val="0"/>
                  <w:marTop w:val="0"/>
                  <w:marBottom w:val="0"/>
                  <w:divBdr>
                    <w:top w:val="none" w:sz="0" w:space="0" w:color="auto"/>
                    <w:left w:val="none" w:sz="0" w:space="0" w:color="auto"/>
                    <w:bottom w:val="none" w:sz="0" w:space="0" w:color="auto"/>
                    <w:right w:val="none" w:sz="0" w:space="0" w:color="auto"/>
                  </w:divBdr>
                  <w:divsChild>
                    <w:div w:id="1210873831">
                      <w:marLeft w:val="0"/>
                      <w:marRight w:val="0"/>
                      <w:marTop w:val="0"/>
                      <w:marBottom w:val="0"/>
                      <w:divBdr>
                        <w:top w:val="none" w:sz="0" w:space="0" w:color="auto"/>
                        <w:left w:val="none" w:sz="0" w:space="0" w:color="auto"/>
                        <w:bottom w:val="none" w:sz="0" w:space="0" w:color="auto"/>
                        <w:right w:val="none" w:sz="0" w:space="0" w:color="auto"/>
                      </w:divBdr>
                    </w:div>
                  </w:divsChild>
                </w:div>
                <w:div w:id="172259632">
                  <w:marLeft w:val="0"/>
                  <w:marRight w:val="0"/>
                  <w:marTop w:val="0"/>
                  <w:marBottom w:val="0"/>
                  <w:divBdr>
                    <w:top w:val="none" w:sz="0" w:space="0" w:color="auto"/>
                    <w:left w:val="none" w:sz="0" w:space="0" w:color="auto"/>
                    <w:bottom w:val="none" w:sz="0" w:space="0" w:color="auto"/>
                    <w:right w:val="none" w:sz="0" w:space="0" w:color="auto"/>
                  </w:divBdr>
                  <w:divsChild>
                    <w:div w:id="321352275">
                      <w:marLeft w:val="0"/>
                      <w:marRight w:val="0"/>
                      <w:marTop w:val="0"/>
                      <w:marBottom w:val="0"/>
                      <w:divBdr>
                        <w:top w:val="none" w:sz="0" w:space="0" w:color="auto"/>
                        <w:left w:val="none" w:sz="0" w:space="0" w:color="auto"/>
                        <w:bottom w:val="none" w:sz="0" w:space="0" w:color="auto"/>
                        <w:right w:val="none" w:sz="0" w:space="0" w:color="auto"/>
                      </w:divBdr>
                    </w:div>
                  </w:divsChild>
                </w:div>
                <w:div w:id="203980432">
                  <w:marLeft w:val="0"/>
                  <w:marRight w:val="0"/>
                  <w:marTop w:val="0"/>
                  <w:marBottom w:val="0"/>
                  <w:divBdr>
                    <w:top w:val="none" w:sz="0" w:space="0" w:color="auto"/>
                    <w:left w:val="none" w:sz="0" w:space="0" w:color="auto"/>
                    <w:bottom w:val="none" w:sz="0" w:space="0" w:color="auto"/>
                    <w:right w:val="none" w:sz="0" w:space="0" w:color="auto"/>
                  </w:divBdr>
                  <w:divsChild>
                    <w:div w:id="2034500041">
                      <w:marLeft w:val="0"/>
                      <w:marRight w:val="0"/>
                      <w:marTop w:val="0"/>
                      <w:marBottom w:val="0"/>
                      <w:divBdr>
                        <w:top w:val="none" w:sz="0" w:space="0" w:color="auto"/>
                        <w:left w:val="none" w:sz="0" w:space="0" w:color="auto"/>
                        <w:bottom w:val="none" w:sz="0" w:space="0" w:color="auto"/>
                        <w:right w:val="none" w:sz="0" w:space="0" w:color="auto"/>
                      </w:divBdr>
                    </w:div>
                  </w:divsChild>
                </w:div>
                <w:div w:id="211617829">
                  <w:marLeft w:val="0"/>
                  <w:marRight w:val="0"/>
                  <w:marTop w:val="0"/>
                  <w:marBottom w:val="0"/>
                  <w:divBdr>
                    <w:top w:val="none" w:sz="0" w:space="0" w:color="auto"/>
                    <w:left w:val="none" w:sz="0" w:space="0" w:color="auto"/>
                    <w:bottom w:val="none" w:sz="0" w:space="0" w:color="auto"/>
                    <w:right w:val="none" w:sz="0" w:space="0" w:color="auto"/>
                  </w:divBdr>
                  <w:divsChild>
                    <w:div w:id="391274096">
                      <w:marLeft w:val="0"/>
                      <w:marRight w:val="0"/>
                      <w:marTop w:val="0"/>
                      <w:marBottom w:val="0"/>
                      <w:divBdr>
                        <w:top w:val="none" w:sz="0" w:space="0" w:color="auto"/>
                        <w:left w:val="none" w:sz="0" w:space="0" w:color="auto"/>
                        <w:bottom w:val="none" w:sz="0" w:space="0" w:color="auto"/>
                        <w:right w:val="none" w:sz="0" w:space="0" w:color="auto"/>
                      </w:divBdr>
                    </w:div>
                  </w:divsChild>
                </w:div>
                <w:div w:id="233322024">
                  <w:marLeft w:val="0"/>
                  <w:marRight w:val="0"/>
                  <w:marTop w:val="0"/>
                  <w:marBottom w:val="0"/>
                  <w:divBdr>
                    <w:top w:val="none" w:sz="0" w:space="0" w:color="auto"/>
                    <w:left w:val="none" w:sz="0" w:space="0" w:color="auto"/>
                    <w:bottom w:val="none" w:sz="0" w:space="0" w:color="auto"/>
                    <w:right w:val="none" w:sz="0" w:space="0" w:color="auto"/>
                  </w:divBdr>
                  <w:divsChild>
                    <w:div w:id="642546547">
                      <w:marLeft w:val="0"/>
                      <w:marRight w:val="0"/>
                      <w:marTop w:val="0"/>
                      <w:marBottom w:val="0"/>
                      <w:divBdr>
                        <w:top w:val="none" w:sz="0" w:space="0" w:color="auto"/>
                        <w:left w:val="none" w:sz="0" w:space="0" w:color="auto"/>
                        <w:bottom w:val="none" w:sz="0" w:space="0" w:color="auto"/>
                        <w:right w:val="none" w:sz="0" w:space="0" w:color="auto"/>
                      </w:divBdr>
                    </w:div>
                  </w:divsChild>
                </w:div>
                <w:div w:id="234780666">
                  <w:marLeft w:val="0"/>
                  <w:marRight w:val="0"/>
                  <w:marTop w:val="0"/>
                  <w:marBottom w:val="0"/>
                  <w:divBdr>
                    <w:top w:val="none" w:sz="0" w:space="0" w:color="auto"/>
                    <w:left w:val="none" w:sz="0" w:space="0" w:color="auto"/>
                    <w:bottom w:val="none" w:sz="0" w:space="0" w:color="auto"/>
                    <w:right w:val="none" w:sz="0" w:space="0" w:color="auto"/>
                  </w:divBdr>
                  <w:divsChild>
                    <w:div w:id="1845851968">
                      <w:marLeft w:val="0"/>
                      <w:marRight w:val="0"/>
                      <w:marTop w:val="0"/>
                      <w:marBottom w:val="0"/>
                      <w:divBdr>
                        <w:top w:val="none" w:sz="0" w:space="0" w:color="auto"/>
                        <w:left w:val="none" w:sz="0" w:space="0" w:color="auto"/>
                        <w:bottom w:val="none" w:sz="0" w:space="0" w:color="auto"/>
                        <w:right w:val="none" w:sz="0" w:space="0" w:color="auto"/>
                      </w:divBdr>
                    </w:div>
                  </w:divsChild>
                </w:div>
                <w:div w:id="238756531">
                  <w:marLeft w:val="0"/>
                  <w:marRight w:val="0"/>
                  <w:marTop w:val="0"/>
                  <w:marBottom w:val="0"/>
                  <w:divBdr>
                    <w:top w:val="none" w:sz="0" w:space="0" w:color="auto"/>
                    <w:left w:val="none" w:sz="0" w:space="0" w:color="auto"/>
                    <w:bottom w:val="none" w:sz="0" w:space="0" w:color="auto"/>
                    <w:right w:val="none" w:sz="0" w:space="0" w:color="auto"/>
                  </w:divBdr>
                  <w:divsChild>
                    <w:div w:id="545334021">
                      <w:marLeft w:val="0"/>
                      <w:marRight w:val="0"/>
                      <w:marTop w:val="0"/>
                      <w:marBottom w:val="0"/>
                      <w:divBdr>
                        <w:top w:val="none" w:sz="0" w:space="0" w:color="auto"/>
                        <w:left w:val="none" w:sz="0" w:space="0" w:color="auto"/>
                        <w:bottom w:val="none" w:sz="0" w:space="0" w:color="auto"/>
                        <w:right w:val="none" w:sz="0" w:space="0" w:color="auto"/>
                      </w:divBdr>
                    </w:div>
                  </w:divsChild>
                </w:div>
                <w:div w:id="244612885">
                  <w:marLeft w:val="0"/>
                  <w:marRight w:val="0"/>
                  <w:marTop w:val="0"/>
                  <w:marBottom w:val="0"/>
                  <w:divBdr>
                    <w:top w:val="none" w:sz="0" w:space="0" w:color="auto"/>
                    <w:left w:val="none" w:sz="0" w:space="0" w:color="auto"/>
                    <w:bottom w:val="none" w:sz="0" w:space="0" w:color="auto"/>
                    <w:right w:val="none" w:sz="0" w:space="0" w:color="auto"/>
                  </w:divBdr>
                  <w:divsChild>
                    <w:div w:id="1604612718">
                      <w:marLeft w:val="0"/>
                      <w:marRight w:val="0"/>
                      <w:marTop w:val="0"/>
                      <w:marBottom w:val="0"/>
                      <w:divBdr>
                        <w:top w:val="none" w:sz="0" w:space="0" w:color="auto"/>
                        <w:left w:val="none" w:sz="0" w:space="0" w:color="auto"/>
                        <w:bottom w:val="none" w:sz="0" w:space="0" w:color="auto"/>
                        <w:right w:val="none" w:sz="0" w:space="0" w:color="auto"/>
                      </w:divBdr>
                    </w:div>
                  </w:divsChild>
                </w:div>
                <w:div w:id="260845569">
                  <w:marLeft w:val="0"/>
                  <w:marRight w:val="0"/>
                  <w:marTop w:val="0"/>
                  <w:marBottom w:val="0"/>
                  <w:divBdr>
                    <w:top w:val="none" w:sz="0" w:space="0" w:color="auto"/>
                    <w:left w:val="none" w:sz="0" w:space="0" w:color="auto"/>
                    <w:bottom w:val="none" w:sz="0" w:space="0" w:color="auto"/>
                    <w:right w:val="none" w:sz="0" w:space="0" w:color="auto"/>
                  </w:divBdr>
                  <w:divsChild>
                    <w:div w:id="564297634">
                      <w:marLeft w:val="0"/>
                      <w:marRight w:val="0"/>
                      <w:marTop w:val="0"/>
                      <w:marBottom w:val="0"/>
                      <w:divBdr>
                        <w:top w:val="none" w:sz="0" w:space="0" w:color="auto"/>
                        <w:left w:val="none" w:sz="0" w:space="0" w:color="auto"/>
                        <w:bottom w:val="none" w:sz="0" w:space="0" w:color="auto"/>
                        <w:right w:val="none" w:sz="0" w:space="0" w:color="auto"/>
                      </w:divBdr>
                    </w:div>
                  </w:divsChild>
                </w:div>
                <w:div w:id="326595845">
                  <w:marLeft w:val="0"/>
                  <w:marRight w:val="0"/>
                  <w:marTop w:val="0"/>
                  <w:marBottom w:val="0"/>
                  <w:divBdr>
                    <w:top w:val="none" w:sz="0" w:space="0" w:color="auto"/>
                    <w:left w:val="none" w:sz="0" w:space="0" w:color="auto"/>
                    <w:bottom w:val="none" w:sz="0" w:space="0" w:color="auto"/>
                    <w:right w:val="none" w:sz="0" w:space="0" w:color="auto"/>
                  </w:divBdr>
                  <w:divsChild>
                    <w:div w:id="1390377689">
                      <w:marLeft w:val="0"/>
                      <w:marRight w:val="0"/>
                      <w:marTop w:val="0"/>
                      <w:marBottom w:val="0"/>
                      <w:divBdr>
                        <w:top w:val="none" w:sz="0" w:space="0" w:color="auto"/>
                        <w:left w:val="none" w:sz="0" w:space="0" w:color="auto"/>
                        <w:bottom w:val="none" w:sz="0" w:space="0" w:color="auto"/>
                        <w:right w:val="none" w:sz="0" w:space="0" w:color="auto"/>
                      </w:divBdr>
                    </w:div>
                  </w:divsChild>
                </w:div>
                <w:div w:id="338580647">
                  <w:marLeft w:val="0"/>
                  <w:marRight w:val="0"/>
                  <w:marTop w:val="0"/>
                  <w:marBottom w:val="0"/>
                  <w:divBdr>
                    <w:top w:val="none" w:sz="0" w:space="0" w:color="auto"/>
                    <w:left w:val="none" w:sz="0" w:space="0" w:color="auto"/>
                    <w:bottom w:val="none" w:sz="0" w:space="0" w:color="auto"/>
                    <w:right w:val="none" w:sz="0" w:space="0" w:color="auto"/>
                  </w:divBdr>
                  <w:divsChild>
                    <w:div w:id="1139493927">
                      <w:marLeft w:val="0"/>
                      <w:marRight w:val="0"/>
                      <w:marTop w:val="0"/>
                      <w:marBottom w:val="0"/>
                      <w:divBdr>
                        <w:top w:val="none" w:sz="0" w:space="0" w:color="auto"/>
                        <w:left w:val="none" w:sz="0" w:space="0" w:color="auto"/>
                        <w:bottom w:val="none" w:sz="0" w:space="0" w:color="auto"/>
                        <w:right w:val="none" w:sz="0" w:space="0" w:color="auto"/>
                      </w:divBdr>
                    </w:div>
                  </w:divsChild>
                </w:div>
                <w:div w:id="353002990">
                  <w:marLeft w:val="0"/>
                  <w:marRight w:val="0"/>
                  <w:marTop w:val="0"/>
                  <w:marBottom w:val="0"/>
                  <w:divBdr>
                    <w:top w:val="none" w:sz="0" w:space="0" w:color="auto"/>
                    <w:left w:val="none" w:sz="0" w:space="0" w:color="auto"/>
                    <w:bottom w:val="none" w:sz="0" w:space="0" w:color="auto"/>
                    <w:right w:val="none" w:sz="0" w:space="0" w:color="auto"/>
                  </w:divBdr>
                  <w:divsChild>
                    <w:div w:id="1496653066">
                      <w:marLeft w:val="0"/>
                      <w:marRight w:val="0"/>
                      <w:marTop w:val="0"/>
                      <w:marBottom w:val="0"/>
                      <w:divBdr>
                        <w:top w:val="none" w:sz="0" w:space="0" w:color="auto"/>
                        <w:left w:val="none" w:sz="0" w:space="0" w:color="auto"/>
                        <w:bottom w:val="none" w:sz="0" w:space="0" w:color="auto"/>
                        <w:right w:val="none" w:sz="0" w:space="0" w:color="auto"/>
                      </w:divBdr>
                    </w:div>
                  </w:divsChild>
                </w:div>
                <w:div w:id="355230531">
                  <w:marLeft w:val="0"/>
                  <w:marRight w:val="0"/>
                  <w:marTop w:val="0"/>
                  <w:marBottom w:val="0"/>
                  <w:divBdr>
                    <w:top w:val="none" w:sz="0" w:space="0" w:color="auto"/>
                    <w:left w:val="none" w:sz="0" w:space="0" w:color="auto"/>
                    <w:bottom w:val="none" w:sz="0" w:space="0" w:color="auto"/>
                    <w:right w:val="none" w:sz="0" w:space="0" w:color="auto"/>
                  </w:divBdr>
                  <w:divsChild>
                    <w:div w:id="533425761">
                      <w:marLeft w:val="0"/>
                      <w:marRight w:val="0"/>
                      <w:marTop w:val="0"/>
                      <w:marBottom w:val="0"/>
                      <w:divBdr>
                        <w:top w:val="none" w:sz="0" w:space="0" w:color="auto"/>
                        <w:left w:val="none" w:sz="0" w:space="0" w:color="auto"/>
                        <w:bottom w:val="none" w:sz="0" w:space="0" w:color="auto"/>
                        <w:right w:val="none" w:sz="0" w:space="0" w:color="auto"/>
                      </w:divBdr>
                    </w:div>
                  </w:divsChild>
                </w:div>
                <w:div w:id="364454021">
                  <w:marLeft w:val="0"/>
                  <w:marRight w:val="0"/>
                  <w:marTop w:val="0"/>
                  <w:marBottom w:val="0"/>
                  <w:divBdr>
                    <w:top w:val="none" w:sz="0" w:space="0" w:color="auto"/>
                    <w:left w:val="none" w:sz="0" w:space="0" w:color="auto"/>
                    <w:bottom w:val="none" w:sz="0" w:space="0" w:color="auto"/>
                    <w:right w:val="none" w:sz="0" w:space="0" w:color="auto"/>
                  </w:divBdr>
                  <w:divsChild>
                    <w:div w:id="31002642">
                      <w:marLeft w:val="0"/>
                      <w:marRight w:val="0"/>
                      <w:marTop w:val="0"/>
                      <w:marBottom w:val="0"/>
                      <w:divBdr>
                        <w:top w:val="none" w:sz="0" w:space="0" w:color="auto"/>
                        <w:left w:val="none" w:sz="0" w:space="0" w:color="auto"/>
                        <w:bottom w:val="none" w:sz="0" w:space="0" w:color="auto"/>
                        <w:right w:val="none" w:sz="0" w:space="0" w:color="auto"/>
                      </w:divBdr>
                    </w:div>
                  </w:divsChild>
                </w:div>
                <w:div w:id="368728875">
                  <w:marLeft w:val="0"/>
                  <w:marRight w:val="0"/>
                  <w:marTop w:val="0"/>
                  <w:marBottom w:val="0"/>
                  <w:divBdr>
                    <w:top w:val="none" w:sz="0" w:space="0" w:color="auto"/>
                    <w:left w:val="none" w:sz="0" w:space="0" w:color="auto"/>
                    <w:bottom w:val="none" w:sz="0" w:space="0" w:color="auto"/>
                    <w:right w:val="none" w:sz="0" w:space="0" w:color="auto"/>
                  </w:divBdr>
                  <w:divsChild>
                    <w:div w:id="81804913">
                      <w:marLeft w:val="0"/>
                      <w:marRight w:val="0"/>
                      <w:marTop w:val="0"/>
                      <w:marBottom w:val="0"/>
                      <w:divBdr>
                        <w:top w:val="none" w:sz="0" w:space="0" w:color="auto"/>
                        <w:left w:val="none" w:sz="0" w:space="0" w:color="auto"/>
                        <w:bottom w:val="none" w:sz="0" w:space="0" w:color="auto"/>
                        <w:right w:val="none" w:sz="0" w:space="0" w:color="auto"/>
                      </w:divBdr>
                    </w:div>
                  </w:divsChild>
                </w:div>
                <w:div w:id="369300814">
                  <w:marLeft w:val="0"/>
                  <w:marRight w:val="0"/>
                  <w:marTop w:val="0"/>
                  <w:marBottom w:val="0"/>
                  <w:divBdr>
                    <w:top w:val="none" w:sz="0" w:space="0" w:color="auto"/>
                    <w:left w:val="none" w:sz="0" w:space="0" w:color="auto"/>
                    <w:bottom w:val="none" w:sz="0" w:space="0" w:color="auto"/>
                    <w:right w:val="none" w:sz="0" w:space="0" w:color="auto"/>
                  </w:divBdr>
                  <w:divsChild>
                    <w:div w:id="833451374">
                      <w:marLeft w:val="0"/>
                      <w:marRight w:val="0"/>
                      <w:marTop w:val="0"/>
                      <w:marBottom w:val="0"/>
                      <w:divBdr>
                        <w:top w:val="none" w:sz="0" w:space="0" w:color="auto"/>
                        <w:left w:val="none" w:sz="0" w:space="0" w:color="auto"/>
                        <w:bottom w:val="none" w:sz="0" w:space="0" w:color="auto"/>
                        <w:right w:val="none" w:sz="0" w:space="0" w:color="auto"/>
                      </w:divBdr>
                    </w:div>
                  </w:divsChild>
                </w:div>
                <w:div w:id="373040859">
                  <w:marLeft w:val="0"/>
                  <w:marRight w:val="0"/>
                  <w:marTop w:val="0"/>
                  <w:marBottom w:val="0"/>
                  <w:divBdr>
                    <w:top w:val="none" w:sz="0" w:space="0" w:color="auto"/>
                    <w:left w:val="none" w:sz="0" w:space="0" w:color="auto"/>
                    <w:bottom w:val="none" w:sz="0" w:space="0" w:color="auto"/>
                    <w:right w:val="none" w:sz="0" w:space="0" w:color="auto"/>
                  </w:divBdr>
                  <w:divsChild>
                    <w:div w:id="212737457">
                      <w:marLeft w:val="0"/>
                      <w:marRight w:val="0"/>
                      <w:marTop w:val="0"/>
                      <w:marBottom w:val="0"/>
                      <w:divBdr>
                        <w:top w:val="none" w:sz="0" w:space="0" w:color="auto"/>
                        <w:left w:val="none" w:sz="0" w:space="0" w:color="auto"/>
                        <w:bottom w:val="none" w:sz="0" w:space="0" w:color="auto"/>
                        <w:right w:val="none" w:sz="0" w:space="0" w:color="auto"/>
                      </w:divBdr>
                    </w:div>
                  </w:divsChild>
                </w:div>
                <w:div w:id="375930015">
                  <w:marLeft w:val="0"/>
                  <w:marRight w:val="0"/>
                  <w:marTop w:val="0"/>
                  <w:marBottom w:val="0"/>
                  <w:divBdr>
                    <w:top w:val="none" w:sz="0" w:space="0" w:color="auto"/>
                    <w:left w:val="none" w:sz="0" w:space="0" w:color="auto"/>
                    <w:bottom w:val="none" w:sz="0" w:space="0" w:color="auto"/>
                    <w:right w:val="none" w:sz="0" w:space="0" w:color="auto"/>
                  </w:divBdr>
                  <w:divsChild>
                    <w:div w:id="1978102809">
                      <w:marLeft w:val="0"/>
                      <w:marRight w:val="0"/>
                      <w:marTop w:val="0"/>
                      <w:marBottom w:val="0"/>
                      <w:divBdr>
                        <w:top w:val="none" w:sz="0" w:space="0" w:color="auto"/>
                        <w:left w:val="none" w:sz="0" w:space="0" w:color="auto"/>
                        <w:bottom w:val="none" w:sz="0" w:space="0" w:color="auto"/>
                        <w:right w:val="none" w:sz="0" w:space="0" w:color="auto"/>
                      </w:divBdr>
                    </w:div>
                  </w:divsChild>
                </w:div>
                <w:div w:id="377559348">
                  <w:marLeft w:val="0"/>
                  <w:marRight w:val="0"/>
                  <w:marTop w:val="0"/>
                  <w:marBottom w:val="0"/>
                  <w:divBdr>
                    <w:top w:val="none" w:sz="0" w:space="0" w:color="auto"/>
                    <w:left w:val="none" w:sz="0" w:space="0" w:color="auto"/>
                    <w:bottom w:val="none" w:sz="0" w:space="0" w:color="auto"/>
                    <w:right w:val="none" w:sz="0" w:space="0" w:color="auto"/>
                  </w:divBdr>
                  <w:divsChild>
                    <w:div w:id="995914494">
                      <w:marLeft w:val="0"/>
                      <w:marRight w:val="0"/>
                      <w:marTop w:val="0"/>
                      <w:marBottom w:val="0"/>
                      <w:divBdr>
                        <w:top w:val="none" w:sz="0" w:space="0" w:color="auto"/>
                        <w:left w:val="none" w:sz="0" w:space="0" w:color="auto"/>
                        <w:bottom w:val="none" w:sz="0" w:space="0" w:color="auto"/>
                        <w:right w:val="none" w:sz="0" w:space="0" w:color="auto"/>
                      </w:divBdr>
                    </w:div>
                  </w:divsChild>
                </w:div>
                <w:div w:id="378823650">
                  <w:marLeft w:val="0"/>
                  <w:marRight w:val="0"/>
                  <w:marTop w:val="0"/>
                  <w:marBottom w:val="0"/>
                  <w:divBdr>
                    <w:top w:val="none" w:sz="0" w:space="0" w:color="auto"/>
                    <w:left w:val="none" w:sz="0" w:space="0" w:color="auto"/>
                    <w:bottom w:val="none" w:sz="0" w:space="0" w:color="auto"/>
                    <w:right w:val="none" w:sz="0" w:space="0" w:color="auto"/>
                  </w:divBdr>
                  <w:divsChild>
                    <w:div w:id="1715226229">
                      <w:marLeft w:val="0"/>
                      <w:marRight w:val="0"/>
                      <w:marTop w:val="0"/>
                      <w:marBottom w:val="0"/>
                      <w:divBdr>
                        <w:top w:val="none" w:sz="0" w:space="0" w:color="auto"/>
                        <w:left w:val="none" w:sz="0" w:space="0" w:color="auto"/>
                        <w:bottom w:val="none" w:sz="0" w:space="0" w:color="auto"/>
                        <w:right w:val="none" w:sz="0" w:space="0" w:color="auto"/>
                      </w:divBdr>
                    </w:div>
                  </w:divsChild>
                </w:div>
                <w:div w:id="386608250">
                  <w:marLeft w:val="0"/>
                  <w:marRight w:val="0"/>
                  <w:marTop w:val="0"/>
                  <w:marBottom w:val="0"/>
                  <w:divBdr>
                    <w:top w:val="none" w:sz="0" w:space="0" w:color="auto"/>
                    <w:left w:val="none" w:sz="0" w:space="0" w:color="auto"/>
                    <w:bottom w:val="none" w:sz="0" w:space="0" w:color="auto"/>
                    <w:right w:val="none" w:sz="0" w:space="0" w:color="auto"/>
                  </w:divBdr>
                  <w:divsChild>
                    <w:div w:id="1802528325">
                      <w:marLeft w:val="0"/>
                      <w:marRight w:val="0"/>
                      <w:marTop w:val="0"/>
                      <w:marBottom w:val="0"/>
                      <w:divBdr>
                        <w:top w:val="none" w:sz="0" w:space="0" w:color="auto"/>
                        <w:left w:val="none" w:sz="0" w:space="0" w:color="auto"/>
                        <w:bottom w:val="none" w:sz="0" w:space="0" w:color="auto"/>
                        <w:right w:val="none" w:sz="0" w:space="0" w:color="auto"/>
                      </w:divBdr>
                    </w:div>
                  </w:divsChild>
                </w:div>
                <w:div w:id="388186106">
                  <w:marLeft w:val="0"/>
                  <w:marRight w:val="0"/>
                  <w:marTop w:val="0"/>
                  <w:marBottom w:val="0"/>
                  <w:divBdr>
                    <w:top w:val="none" w:sz="0" w:space="0" w:color="auto"/>
                    <w:left w:val="none" w:sz="0" w:space="0" w:color="auto"/>
                    <w:bottom w:val="none" w:sz="0" w:space="0" w:color="auto"/>
                    <w:right w:val="none" w:sz="0" w:space="0" w:color="auto"/>
                  </w:divBdr>
                  <w:divsChild>
                    <w:div w:id="589045195">
                      <w:marLeft w:val="0"/>
                      <w:marRight w:val="0"/>
                      <w:marTop w:val="0"/>
                      <w:marBottom w:val="0"/>
                      <w:divBdr>
                        <w:top w:val="none" w:sz="0" w:space="0" w:color="auto"/>
                        <w:left w:val="none" w:sz="0" w:space="0" w:color="auto"/>
                        <w:bottom w:val="none" w:sz="0" w:space="0" w:color="auto"/>
                        <w:right w:val="none" w:sz="0" w:space="0" w:color="auto"/>
                      </w:divBdr>
                    </w:div>
                  </w:divsChild>
                </w:div>
                <w:div w:id="396363725">
                  <w:marLeft w:val="0"/>
                  <w:marRight w:val="0"/>
                  <w:marTop w:val="0"/>
                  <w:marBottom w:val="0"/>
                  <w:divBdr>
                    <w:top w:val="none" w:sz="0" w:space="0" w:color="auto"/>
                    <w:left w:val="none" w:sz="0" w:space="0" w:color="auto"/>
                    <w:bottom w:val="none" w:sz="0" w:space="0" w:color="auto"/>
                    <w:right w:val="none" w:sz="0" w:space="0" w:color="auto"/>
                  </w:divBdr>
                  <w:divsChild>
                    <w:div w:id="757672560">
                      <w:marLeft w:val="0"/>
                      <w:marRight w:val="0"/>
                      <w:marTop w:val="0"/>
                      <w:marBottom w:val="0"/>
                      <w:divBdr>
                        <w:top w:val="none" w:sz="0" w:space="0" w:color="auto"/>
                        <w:left w:val="none" w:sz="0" w:space="0" w:color="auto"/>
                        <w:bottom w:val="none" w:sz="0" w:space="0" w:color="auto"/>
                        <w:right w:val="none" w:sz="0" w:space="0" w:color="auto"/>
                      </w:divBdr>
                    </w:div>
                  </w:divsChild>
                </w:div>
                <w:div w:id="413477365">
                  <w:marLeft w:val="0"/>
                  <w:marRight w:val="0"/>
                  <w:marTop w:val="0"/>
                  <w:marBottom w:val="0"/>
                  <w:divBdr>
                    <w:top w:val="none" w:sz="0" w:space="0" w:color="auto"/>
                    <w:left w:val="none" w:sz="0" w:space="0" w:color="auto"/>
                    <w:bottom w:val="none" w:sz="0" w:space="0" w:color="auto"/>
                    <w:right w:val="none" w:sz="0" w:space="0" w:color="auto"/>
                  </w:divBdr>
                  <w:divsChild>
                    <w:div w:id="1154419880">
                      <w:marLeft w:val="0"/>
                      <w:marRight w:val="0"/>
                      <w:marTop w:val="0"/>
                      <w:marBottom w:val="0"/>
                      <w:divBdr>
                        <w:top w:val="none" w:sz="0" w:space="0" w:color="auto"/>
                        <w:left w:val="none" w:sz="0" w:space="0" w:color="auto"/>
                        <w:bottom w:val="none" w:sz="0" w:space="0" w:color="auto"/>
                        <w:right w:val="none" w:sz="0" w:space="0" w:color="auto"/>
                      </w:divBdr>
                    </w:div>
                  </w:divsChild>
                </w:div>
                <w:div w:id="417944915">
                  <w:marLeft w:val="0"/>
                  <w:marRight w:val="0"/>
                  <w:marTop w:val="0"/>
                  <w:marBottom w:val="0"/>
                  <w:divBdr>
                    <w:top w:val="none" w:sz="0" w:space="0" w:color="auto"/>
                    <w:left w:val="none" w:sz="0" w:space="0" w:color="auto"/>
                    <w:bottom w:val="none" w:sz="0" w:space="0" w:color="auto"/>
                    <w:right w:val="none" w:sz="0" w:space="0" w:color="auto"/>
                  </w:divBdr>
                  <w:divsChild>
                    <w:div w:id="396206">
                      <w:marLeft w:val="0"/>
                      <w:marRight w:val="0"/>
                      <w:marTop w:val="0"/>
                      <w:marBottom w:val="0"/>
                      <w:divBdr>
                        <w:top w:val="none" w:sz="0" w:space="0" w:color="auto"/>
                        <w:left w:val="none" w:sz="0" w:space="0" w:color="auto"/>
                        <w:bottom w:val="none" w:sz="0" w:space="0" w:color="auto"/>
                        <w:right w:val="none" w:sz="0" w:space="0" w:color="auto"/>
                      </w:divBdr>
                    </w:div>
                  </w:divsChild>
                </w:div>
                <w:div w:id="423646769">
                  <w:marLeft w:val="0"/>
                  <w:marRight w:val="0"/>
                  <w:marTop w:val="0"/>
                  <w:marBottom w:val="0"/>
                  <w:divBdr>
                    <w:top w:val="none" w:sz="0" w:space="0" w:color="auto"/>
                    <w:left w:val="none" w:sz="0" w:space="0" w:color="auto"/>
                    <w:bottom w:val="none" w:sz="0" w:space="0" w:color="auto"/>
                    <w:right w:val="none" w:sz="0" w:space="0" w:color="auto"/>
                  </w:divBdr>
                  <w:divsChild>
                    <w:div w:id="1887595024">
                      <w:marLeft w:val="0"/>
                      <w:marRight w:val="0"/>
                      <w:marTop w:val="0"/>
                      <w:marBottom w:val="0"/>
                      <w:divBdr>
                        <w:top w:val="none" w:sz="0" w:space="0" w:color="auto"/>
                        <w:left w:val="none" w:sz="0" w:space="0" w:color="auto"/>
                        <w:bottom w:val="none" w:sz="0" w:space="0" w:color="auto"/>
                        <w:right w:val="none" w:sz="0" w:space="0" w:color="auto"/>
                      </w:divBdr>
                    </w:div>
                  </w:divsChild>
                </w:div>
                <w:div w:id="434711250">
                  <w:marLeft w:val="0"/>
                  <w:marRight w:val="0"/>
                  <w:marTop w:val="0"/>
                  <w:marBottom w:val="0"/>
                  <w:divBdr>
                    <w:top w:val="none" w:sz="0" w:space="0" w:color="auto"/>
                    <w:left w:val="none" w:sz="0" w:space="0" w:color="auto"/>
                    <w:bottom w:val="none" w:sz="0" w:space="0" w:color="auto"/>
                    <w:right w:val="none" w:sz="0" w:space="0" w:color="auto"/>
                  </w:divBdr>
                  <w:divsChild>
                    <w:div w:id="1599870965">
                      <w:marLeft w:val="0"/>
                      <w:marRight w:val="0"/>
                      <w:marTop w:val="0"/>
                      <w:marBottom w:val="0"/>
                      <w:divBdr>
                        <w:top w:val="none" w:sz="0" w:space="0" w:color="auto"/>
                        <w:left w:val="none" w:sz="0" w:space="0" w:color="auto"/>
                        <w:bottom w:val="none" w:sz="0" w:space="0" w:color="auto"/>
                        <w:right w:val="none" w:sz="0" w:space="0" w:color="auto"/>
                      </w:divBdr>
                    </w:div>
                  </w:divsChild>
                </w:div>
                <w:div w:id="456460095">
                  <w:marLeft w:val="0"/>
                  <w:marRight w:val="0"/>
                  <w:marTop w:val="0"/>
                  <w:marBottom w:val="0"/>
                  <w:divBdr>
                    <w:top w:val="none" w:sz="0" w:space="0" w:color="auto"/>
                    <w:left w:val="none" w:sz="0" w:space="0" w:color="auto"/>
                    <w:bottom w:val="none" w:sz="0" w:space="0" w:color="auto"/>
                    <w:right w:val="none" w:sz="0" w:space="0" w:color="auto"/>
                  </w:divBdr>
                  <w:divsChild>
                    <w:div w:id="1760062042">
                      <w:marLeft w:val="0"/>
                      <w:marRight w:val="0"/>
                      <w:marTop w:val="0"/>
                      <w:marBottom w:val="0"/>
                      <w:divBdr>
                        <w:top w:val="none" w:sz="0" w:space="0" w:color="auto"/>
                        <w:left w:val="none" w:sz="0" w:space="0" w:color="auto"/>
                        <w:bottom w:val="none" w:sz="0" w:space="0" w:color="auto"/>
                        <w:right w:val="none" w:sz="0" w:space="0" w:color="auto"/>
                      </w:divBdr>
                    </w:div>
                  </w:divsChild>
                </w:div>
                <w:div w:id="458181048">
                  <w:marLeft w:val="0"/>
                  <w:marRight w:val="0"/>
                  <w:marTop w:val="0"/>
                  <w:marBottom w:val="0"/>
                  <w:divBdr>
                    <w:top w:val="none" w:sz="0" w:space="0" w:color="auto"/>
                    <w:left w:val="none" w:sz="0" w:space="0" w:color="auto"/>
                    <w:bottom w:val="none" w:sz="0" w:space="0" w:color="auto"/>
                    <w:right w:val="none" w:sz="0" w:space="0" w:color="auto"/>
                  </w:divBdr>
                  <w:divsChild>
                    <w:div w:id="528687921">
                      <w:marLeft w:val="0"/>
                      <w:marRight w:val="0"/>
                      <w:marTop w:val="0"/>
                      <w:marBottom w:val="0"/>
                      <w:divBdr>
                        <w:top w:val="none" w:sz="0" w:space="0" w:color="auto"/>
                        <w:left w:val="none" w:sz="0" w:space="0" w:color="auto"/>
                        <w:bottom w:val="none" w:sz="0" w:space="0" w:color="auto"/>
                        <w:right w:val="none" w:sz="0" w:space="0" w:color="auto"/>
                      </w:divBdr>
                    </w:div>
                  </w:divsChild>
                </w:div>
                <w:div w:id="500051073">
                  <w:marLeft w:val="0"/>
                  <w:marRight w:val="0"/>
                  <w:marTop w:val="0"/>
                  <w:marBottom w:val="0"/>
                  <w:divBdr>
                    <w:top w:val="none" w:sz="0" w:space="0" w:color="auto"/>
                    <w:left w:val="none" w:sz="0" w:space="0" w:color="auto"/>
                    <w:bottom w:val="none" w:sz="0" w:space="0" w:color="auto"/>
                    <w:right w:val="none" w:sz="0" w:space="0" w:color="auto"/>
                  </w:divBdr>
                  <w:divsChild>
                    <w:div w:id="314340764">
                      <w:marLeft w:val="0"/>
                      <w:marRight w:val="0"/>
                      <w:marTop w:val="0"/>
                      <w:marBottom w:val="0"/>
                      <w:divBdr>
                        <w:top w:val="none" w:sz="0" w:space="0" w:color="auto"/>
                        <w:left w:val="none" w:sz="0" w:space="0" w:color="auto"/>
                        <w:bottom w:val="none" w:sz="0" w:space="0" w:color="auto"/>
                        <w:right w:val="none" w:sz="0" w:space="0" w:color="auto"/>
                      </w:divBdr>
                    </w:div>
                    <w:div w:id="671877703">
                      <w:marLeft w:val="0"/>
                      <w:marRight w:val="0"/>
                      <w:marTop w:val="0"/>
                      <w:marBottom w:val="0"/>
                      <w:divBdr>
                        <w:top w:val="none" w:sz="0" w:space="0" w:color="auto"/>
                        <w:left w:val="none" w:sz="0" w:space="0" w:color="auto"/>
                        <w:bottom w:val="none" w:sz="0" w:space="0" w:color="auto"/>
                        <w:right w:val="none" w:sz="0" w:space="0" w:color="auto"/>
                      </w:divBdr>
                    </w:div>
                    <w:div w:id="706104789">
                      <w:marLeft w:val="0"/>
                      <w:marRight w:val="0"/>
                      <w:marTop w:val="0"/>
                      <w:marBottom w:val="0"/>
                      <w:divBdr>
                        <w:top w:val="none" w:sz="0" w:space="0" w:color="auto"/>
                        <w:left w:val="none" w:sz="0" w:space="0" w:color="auto"/>
                        <w:bottom w:val="none" w:sz="0" w:space="0" w:color="auto"/>
                        <w:right w:val="none" w:sz="0" w:space="0" w:color="auto"/>
                      </w:divBdr>
                    </w:div>
                    <w:div w:id="727458406">
                      <w:marLeft w:val="0"/>
                      <w:marRight w:val="0"/>
                      <w:marTop w:val="0"/>
                      <w:marBottom w:val="0"/>
                      <w:divBdr>
                        <w:top w:val="none" w:sz="0" w:space="0" w:color="auto"/>
                        <w:left w:val="none" w:sz="0" w:space="0" w:color="auto"/>
                        <w:bottom w:val="none" w:sz="0" w:space="0" w:color="auto"/>
                        <w:right w:val="none" w:sz="0" w:space="0" w:color="auto"/>
                      </w:divBdr>
                    </w:div>
                    <w:div w:id="756563057">
                      <w:marLeft w:val="0"/>
                      <w:marRight w:val="0"/>
                      <w:marTop w:val="0"/>
                      <w:marBottom w:val="0"/>
                      <w:divBdr>
                        <w:top w:val="none" w:sz="0" w:space="0" w:color="auto"/>
                        <w:left w:val="none" w:sz="0" w:space="0" w:color="auto"/>
                        <w:bottom w:val="none" w:sz="0" w:space="0" w:color="auto"/>
                        <w:right w:val="none" w:sz="0" w:space="0" w:color="auto"/>
                      </w:divBdr>
                    </w:div>
                    <w:div w:id="1223558947">
                      <w:marLeft w:val="0"/>
                      <w:marRight w:val="0"/>
                      <w:marTop w:val="0"/>
                      <w:marBottom w:val="0"/>
                      <w:divBdr>
                        <w:top w:val="none" w:sz="0" w:space="0" w:color="auto"/>
                        <w:left w:val="none" w:sz="0" w:space="0" w:color="auto"/>
                        <w:bottom w:val="none" w:sz="0" w:space="0" w:color="auto"/>
                        <w:right w:val="none" w:sz="0" w:space="0" w:color="auto"/>
                      </w:divBdr>
                    </w:div>
                    <w:div w:id="2118862914">
                      <w:marLeft w:val="0"/>
                      <w:marRight w:val="0"/>
                      <w:marTop w:val="0"/>
                      <w:marBottom w:val="0"/>
                      <w:divBdr>
                        <w:top w:val="none" w:sz="0" w:space="0" w:color="auto"/>
                        <w:left w:val="none" w:sz="0" w:space="0" w:color="auto"/>
                        <w:bottom w:val="none" w:sz="0" w:space="0" w:color="auto"/>
                        <w:right w:val="none" w:sz="0" w:space="0" w:color="auto"/>
                      </w:divBdr>
                    </w:div>
                  </w:divsChild>
                </w:div>
                <w:div w:id="501089499">
                  <w:marLeft w:val="0"/>
                  <w:marRight w:val="0"/>
                  <w:marTop w:val="0"/>
                  <w:marBottom w:val="0"/>
                  <w:divBdr>
                    <w:top w:val="none" w:sz="0" w:space="0" w:color="auto"/>
                    <w:left w:val="none" w:sz="0" w:space="0" w:color="auto"/>
                    <w:bottom w:val="none" w:sz="0" w:space="0" w:color="auto"/>
                    <w:right w:val="none" w:sz="0" w:space="0" w:color="auto"/>
                  </w:divBdr>
                  <w:divsChild>
                    <w:div w:id="130103944">
                      <w:marLeft w:val="0"/>
                      <w:marRight w:val="0"/>
                      <w:marTop w:val="0"/>
                      <w:marBottom w:val="0"/>
                      <w:divBdr>
                        <w:top w:val="none" w:sz="0" w:space="0" w:color="auto"/>
                        <w:left w:val="none" w:sz="0" w:space="0" w:color="auto"/>
                        <w:bottom w:val="none" w:sz="0" w:space="0" w:color="auto"/>
                        <w:right w:val="none" w:sz="0" w:space="0" w:color="auto"/>
                      </w:divBdr>
                    </w:div>
                  </w:divsChild>
                </w:div>
                <w:div w:id="508636865">
                  <w:marLeft w:val="0"/>
                  <w:marRight w:val="0"/>
                  <w:marTop w:val="0"/>
                  <w:marBottom w:val="0"/>
                  <w:divBdr>
                    <w:top w:val="none" w:sz="0" w:space="0" w:color="auto"/>
                    <w:left w:val="none" w:sz="0" w:space="0" w:color="auto"/>
                    <w:bottom w:val="none" w:sz="0" w:space="0" w:color="auto"/>
                    <w:right w:val="none" w:sz="0" w:space="0" w:color="auto"/>
                  </w:divBdr>
                  <w:divsChild>
                    <w:div w:id="988048352">
                      <w:marLeft w:val="0"/>
                      <w:marRight w:val="0"/>
                      <w:marTop w:val="0"/>
                      <w:marBottom w:val="0"/>
                      <w:divBdr>
                        <w:top w:val="none" w:sz="0" w:space="0" w:color="auto"/>
                        <w:left w:val="none" w:sz="0" w:space="0" w:color="auto"/>
                        <w:bottom w:val="none" w:sz="0" w:space="0" w:color="auto"/>
                        <w:right w:val="none" w:sz="0" w:space="0" w:color="auto"/>
                      </w:divBdr>
                    </w:div>
                  </w:divsChild>
                </w:div>
                <w:div w:id="533621861">
                  <w:marLeft w:val="0"/>
                  <w:marRight w:val="0"/>
                  <w:marTop w:val="0"/>
                  <w:marBottom w:val="0"/>
                  <w:divBdr>
                    <w:top w:val="none" w:sz="0" w:space="0" w:color="auto"/>
                    <w:left w:val="none" w:sz="0" w:space="0" w:color="auto"/>
                    <w:bottom w:val="none" w:sz="0" w:space="0" w:color="auto"/>
                    <w:right w:val="none" w:sz="0" w:space="0" w:color="auto"/>
                  </w:divBdr>
                  <w:divsChild>
                    <w:div w:id="1756780437">
                      <w:marLeft w:val="0"/>
                      <w:marRight w:val="0"/>
                      <w:marTop w:val="0"/>
                      <w:marBottom w:val="0"/>
                      <w:divBdr>
                        <w:top w:val="none" w:sz="0" w:space="0" w:color="auto"/>
                        <w:left w:val="none" w:sz="0" w:space="0" w:color="auto"/>
                        <w:bottom w:val="none" w:sz="0" w:space="0" w:color="auto"/>
                        <w:right w:val="none" w:sz="0" w:space="0" w:color="auto"/>
                      </w:divBdr>
                    </w:div>
                  </w:divsChild>
                </w:div>
                <w:div w:id="553853300">
                  <w:marLeft w:val="0"/>
                  <w:marRight w:val="0"/>
                  <w:marTop w:val="0"/>
                  <w:marBottom w:val="0"/>
                  <w:divBdr>
                    <w:top w:val="none" w:sz="0" w:space="0" w:color="auto"/>
                    <w:left w:val="none" w:sz="0" w:space="0" w:color="auto"/>
                    <w:bottom w:val="none" w:sz="0" w:space="0" w:color="auto"/>
                    <w:right w:val="none" w:sz="0" w:space="0" w:color="auto"/>
                  </w:divBdr>
                  <w:divsChild>
                    <w:div w:id="1852333280">
                      <w:marLeft w:val="0"/>
                      <w:marRight w:val="0"/>
                      <w:marTop w:val="0"/>
                      <w:marBottom w:val="0"/>
                      <w:divBdr>
                        <w:top w:val="none" w:sz="0" w:space="0" w:color="auto"/>
                        <w:left w:val="none" w:sz="0" w:space="0" w:color="auto"/>
                        <w:bottom w:val="none" w:sz="0" w:space="0" w:color="auto"/>
                        <w:right w:val="none" w:sz="0" w:space="0" w:color="auto"/>
                      </w:divBdr>
                    </w:div>
                  </w:divsChild>
                </w:div>
                <w:div w:id="572393276">
                  <w:marLeft w:val="0"/>
                  <w:marRight w:val="0"/>
                  <w:marTop w:val="0"/>
                  <w:marBottom w:val="0"/>
                  <w:divBdr>
                    <w:top w:val="none" w:sz="0" w:space="0" w:color="auto"/>
                    <w:left w:val="none" w:sz="0" w:space="0" w:color="auto"/>
                    <w:bottom w:val="none" w:sz="0" w:space="0" w:color="auto"/>
                    <w:right w:val="none" w:sz="0" w:space="0" w:color="auto"/>
                  </w:divBdr>
                  <w:divsChild>
                    <w:div w:id="1553274809">
                      <w:marLeft w:val="0"/>
                      <w:marRight w:val="0"/>
                      <w:marTop w:val="0"/>
                      <w:marBottom w:val="0"/>
                      <w:divBdr>
                        <w:top w:val="none" w:sz="0" w:space="0" w:color="auto"/>
                        <w:left w:val="none" w:sz="0" w:space="0" w:color="auto"/>
                        <w:bottom w:val="none" w:sz="0" w:space="0" w:color="auto"/>
                        <w:right w:val="none" w:sz="0" w:space="0" w:color="auto"/>
                      </w:divBdr>
                    </w:div>
                  </w:divsChild>
                </w:div>
                <w:div w:id="584074365">
                  <w:marLeft w:val="0"/>
                  <w:marRight w:val="0"/>
                  <w:marTop w:val="0"/>
                  <w:marBottom w:val="0"/>
                  <w:divBdr>
                    <w:top w:val="none" w:sz="0" w:space="0" w:color="auto"/>
                    <w:left w:val="none" w:sz="0" w:space="0" w:color="auto"/>
                    <w:bottom w:val="none" w:sz="0" w:space="0" w:color="auto"/>
                    <w:right w:val="none" w:sz="0" w:space="0" w:color="auto"/>
                  </w:divBdr>
                  <w:divsChild>
                    <w:div w:id="402456847">
                      <w:marLeft w:val="0"/>
                      <w:marRight w:val="0"/>
                      <w:marTop w:val="0"/>
                      <w:marBottom w:val="0"/>
                      <w:divBdr>
                        <w:top w:val="none" w:sz="0" w:space="0" w:color="auto"/>
                        <w:left w:val="none" w:sz="0" w:space="0" w:color="auto"/>
                        <w:bottom w:val="none" w:sz="0" w:space="0" w:color="auto"/>
                        <w:right w:val="none" w:sz="0" w:space="0" w:color="auto"/>
                      </w:divBdr>
                    </w:div>
                  </w:divsChild>
                </w:div>
                <w:div w:id="596134694">
                  <w:marLeft w:val="0"/>
                  <w:marRight w:val="0"/>
                  <w:marTop w:val="0"/>
                  <w:marBottom w:val="0"/>
                  <w:divBdr>
                    <w:top w:val="none" w:sz="0" w:space="0" w:color="auto"/>
                    <w:left w:val="none" w:sz="0" w:space="0" w:color="auto"/>
                    <w:bottom w:val="none" w:sz="0" w:space="0" w:color="auto"/>
                    <w:right w:val="none" w:sz="0" w:space="0" w:color="auto"/>
                  </w:divBdr>
                  <w:divsChild>
                    <w:div w:id="1573811499">
                      <w:marLeft w:val="0"/>
                      <w:marRight w:val="0"/>
                      <w:marTop w:val="0"/>
                      <w:marBottom w:val="0"/>
                      <w:divBdr>
                        <w:top w:val="none" w:sz="0" w:space="0" w:color="auto"/>
                        <w:left w:val="none" w:sz="0" w:space="0" w:color="auto"/>
                        <w:bottom w:val="none" w:sz="0" w:space="0" w:color="auto"/>
                        <w:right w:val="none" w:sz="0" w:space="0" w:color="auto"/>
                      </w:divBdr>
                    </w:div>
                  </w:divsChild>
                </w:div>
                <w:div w:id="597560817">
                  <w:marLeft w:val="0"/>
                  <w:marRight w:val="0"/>
                  <w:marTop w:val="0"/>
                  <w:marBottom w:val="0"/>
                  <w:divBdr>
                    <w:top w:val="none" w:sz="0" w:space="0" w:color="auto"/>
                    <w:left w:val="none" w:sz="0" w:space="0" w:color="auto"/>
                    <w:bottom w:val="none" w:sz="0" w:space="0" w:color="auto"/>
                    <w:right w:val="none" w:sz="0" w:space="0" w:color="auto"/>
                  </w:divBdr>
                  <w:divsChild>
                    <w:div w:id="410852835">
                      <w:marLeft w:val="0"/>
                      <w:marRight w:val="0"/>
                      <w:marTop w:val="0"/>
                      <w:marBottom w:val="0"/>
                      <w:divBdr>
                        <w:top w:val="none" w:sz="0" w:space="0" w:color="auto"/>
                        <w:left w:val="none" w:sz="0" w:space="0" w:color="auto"/>
                        <w:bottom w:val="none" w:sz="0" w:space="0" w:color="auto"/>
                        <w:right w:val="none" w:sz="0" w:space="0" w:color="auto"/>
                      </w:divBdr>
                    </w:div>
                  </w:divsChild>
                </w:div>
                <w:div w:id="601760187">
                  <w:marLeft w:val="0"/>
                  <w:marRight w:val="0"/>
                  <w:marTop w:val="0"/>
                  <w:marBottom w:val="0"/>
                  <w:divBdr>
                    <w:top w:val="none" w:sz="0" w:space="0" w:color="auto"/>
                    <w:left w:val="none" w:sz="0" w:space="0" w:color="auto"/>
                    <w:bottom w:val="none" w:sz="0" w:space="0" w:color="auto"/>
                    <w:right w:val="none" w:sz="0" w:space="0" w:color="auto"/>
                  </w:divBdr>
                  <w:divsChild>
                    <w:div w:id="170147365">
                      <w:marLeft w:val="0"/>
                      <w:marRight w:val="0"/>
                      <w:marTop w:val="0"/>
                      <w:marBottom w:val="0"/>
                      <w:divBdr>
                        <w:top w:val="none" w:sz="0" w:space="0" w:color="auto"/>
                        <w:left w:val="none" w:sz="0" w:space="0" w:color="auto"/>
                        <w:bottom w:val="none" w:sz="0" w:space="0" w:color="auto"/>
                        <w:right w:val="none" w:sz="0" w:space="0" w:color="auto"/>
                      </w:divBdr>
                    </w:div>
                  </w:divsChild>
                </w:div>
                <w:div w:id="615646929">
                  <w:marLeft w:val="0"/>
                  <w:marRight w:val="0"/>
                  <w:marTop w:val="0"/>
                  <w:marBottom w:val="0"/>
                  <w:divBdr>
                    <w:top w:val="none" w:sz="0" w:space="0" w:color="auto"/>
                    <w:left w:val="none" w:sz="0" w:space="0" w:color="auto"/>
                    <w:bottom w:val="none" w:sz="0" w:space="0" w:color="auto"/>
                    <w:right w:val="none" w:sz="0" w:space="0" w:color="auto"/>
                  </w:divBdr>
                  <w:divsChild>
                    <w:div w:id="21320417">
                      <w:marLeft w:val="0"/>
                      <w:marRight w:val="0"/>
                      <w:marTop w:val="0"/>
                      <w:marBottom w:val="0"/>
                      <w:divBdr>
                        <w:top w:val="none" w:sz="0" w:space="0" w:color="auto"/>
                        <w:left w:val="none" w:sz="0" w:space="0" w:color="auto"/>
                        <w:bottom w:val="none" w:sz="0" w:space="0" w:color="auto"/>
                        <w:right w:val="none" w:sz="0" w:space="0" w:color="auto"/>
                      </w:divBdr>
                    </w:div>
                  </w:divsChild>
                </w:div>
                <w:div w:id="617446409">
                  <w:marLeft w:val="0"/>
                  <w:marRight w:val="0"/>
                  <w:marTop w:val="0"/>
                  <w:marBottom w:val="0"/>
                  <w:divBdr>
                    <w:top w:val="none" w:sz="0" w:space="0" w:color="auto"/>
                    <w:left w:val="none" w:sz="0" w:space="0" w:color="auto"/>
                    <w:bottom w:val="none" w:sz="0" w:space="0" w:color="auto"/>
                    <w:right w:val="none" w:sz="0" w:space="0" w:color="auto"/>
                  </w:divBdr>
                  <w:divsChild>
                    <w:div w:id="1411389226">
                      <w:marLeft w:val="0"/>
                      <w:marRight w:val="0"/>
                      <w:marTop w:val="0"/>
                      <w:marBottom w:val="0"/>
                      <w:divBdr>
                        <w:top w:val="none" w:sz="0" w:space="0" w:color="auto"/>
                        <w:left w:val="none" w:sz="0" w:space="0" w:color="auto"/>
                        <w:bottom w:val="none" w:sz="0" w:space="0" w:color="auto"/>
                        <w:right w:val="none" w:sz="0" w:space="0" w:color="auto"/>
                      </w:divBdr>
                    </w:div>
                  </w:divsChild>
                </w:div>
                <w:div w:id="621958257">
                  <w:marLeft w:val="0"/>
                  <w:marRight w:val="0"/>
                  <w:marTop w:val="0"/>
                  <w:marBottom w:val="0"/>
                  <w:divBdr>
                    <w:top w:val="none" w:sz="0" w:space="0" w:color="auto"/>
                    <w:left w:val="none" w:sz="0" w:space="0" w:color="auto"/>
                    <w:bottom w:val="none" w:sz="0" w:space="0" w:color="auto"/>
                    <w:right w:val="none" w:sz="0" w:space="0" w:color="auto"/>
                  </w:divBdr>
                  <w:divsChild>
                    <w:div w:id="1444617422">
                      <w:marLeft w:val="0"/>
                      <w:marRight w:val="0"/>
                      <w:marTop w:val="0"/>
                      <w:marBottom w:val="0"/>
                      <w:divBdr>
                        <w:top w:val="none" w:sz="0" w:space="0" w:color="auto"/>
                        <w:left w:val="none" w:sz="0" w:space="0" w:color="auto"/>
                        <w:bottom w:val="none" w:sz="0" w:space="0" w:color="auto"/>
                        <w:right w:val="none" w:sz="0" w:space="0" w:color="auto"/>
                      </w:divBdr>
                    </w:div>
                  </w:divsChild>
                </w:div>
                <w:div w:id="646400231">
                  <w:marLeft w:val="0"/>
                  <w:marRight w:val="0"/>
                  <w:marTop w:val="0"/>
                  <w:marBottom w:val="0"/>
                  <w:divBdr>
                    <w:top w:val="none" w:sz="0" w:space="0" w:color="auto"/>
                    <w:left w:val="none" w:sz="0" w:space="0" w:color="auto"/>
                    <w:bottom w:val="none" w:sz="0" w:space="0" w:color="auto"/>
                    <w:right w:val="none" w:sz="0" w:space="0" w:color="auto"/>
                  </w:divBdr>
                  <w:divsChild>
                    <w:div w:id="728385542">
                      <w:marLeft w:val="0"/>
                      <w:marRight w:val="0"/>
                      <w:marTop w:val="0"/>
                      <w:marBottom w:val="0"/>
                      <w:divBdr>
                        <w:top w:val="none" w:sz="0" w:space="0" w:color="auto"/>
                        <w:left w:val="none" w:sz="0" w:space="0" w:color="auto"/>
                        <w:bottom w:val="none" w:sz="0" w:space="0" w:color="auto"/>
                        <w:right w:val="none" w:sz="0" w:space="0" w:color="auto"/>
                      </w:divBdr>
                    </w:div>
                  </w:divsChild>
                </w:div>
                <w:div w:id="652225320">
                  <w:marLeft w:val="0"/>
                  <w:marRight w:val="0"/>
                  <w:marTop w:val="0"/>
                  <w:marBottom w:val="0"/>
                  <w:divBdr>
                    <w:top w:val="none" w:sz="0" w:space="0" w:color="auto"/>
                    <w:left w:val="none" w:sz="0" w:space="0" w:color="auto"/>
                    <w:bottom w:val="none" w:sz="0" w:space="0" w:color="auto"/>
                    <w:right w:val="none" w:sz="0" w:space="0" w:color="auto"/>
                  </w:divBdr>
                  <w:divsChild>
                    <w:div w:id="594821783">
                      <w:marLeft w:val="0"/>
                      <w:marRight w:val="0"/>
                      <w:marTop w:val="0"/>
                      <w:marBottom w:val="0"/>
                      <w:divBdr>
                        <w:top w:val="none" w:sz="0" w:space="0" w:color="auto"/>
                        <w:left w:val="none" w:sz="0" w:space="0" w:color="auto"/>
                        <w:bottom w:val="none" w:sz="0" w:space="0" w:color="auto"/>
                        <w:right w:val="none" w:sz="0" w:space="0" w:color="auto"/>
                      </w:divBdr>
                    </w:div>
                  </w:divsChild>
                </w:div>
                <w:div w:id="685716701">
                  <w:marLeft w:val="0"/>
                  <w:marRight w:val="0"/>
                  <w:marTop w:val="0"/>
                  <w:marBottom w:val="0"/>
                  <w:divBdr>
                    <w:top w:val="none" w:sz="0" w:space="0" w:color="auto"/>
                    <w:left w:val="none" w:sz="0" w:space="0" w:color="auto"/>
                    <w:bottom w:val="none" w:sz="0" w:space="0" w:color="auto"/>
                    <w:right w:val="none" w:sz="0" w:space="0" w:color="auto"/>
                  </w:divBdr>
                  <w:divsChild>
                    <w:div w:id="2069300659">
                      <w:marLeft w:val="0"/>
                      <w:marRight w:val="0"/>
                      <w:marTop w:val="0"/>
                      <w:marBottom w:val="0"/>
                      <w:divBdr>
                        <w:top w:val="none" w:sz="0" w:space="0" w:color="auto"/>
                        <w:left w:val="none" w:sz="0" w:space="0" w:color="auto"/>
                        <w:bottom w:val="none" w:sz="0" w:space="0" w:color="auto"/>
                        <w:right w:val="none" w:sz="0" w:space="0" w:color="auto"/>
                      </w:divBdr>
                    </w:div>
                  </w:divsChild>
                </w:div>
                <w:div w:id="705103919">
                  <w:marLeft w:val="0"/>
                  <w:marRight w:val="0"/>
                  <w:marTop w:val="0"/>
                  <w:marBottom w:val="0"/>
                  <w:divBdr>
                    <w:top w:val="none" w:sz="0" w:space="0" w:color="auto"/>
                    <w:left w:val="none" w:sz="0" w:space="0" w:color="auto"/>
                    <w:bottom w:val="none" w:sz="0" w:space="0" w:color="auto"/>
                    <w:right w:val="none" w:sz="0" w:space="0" w:color="auto"/>
                  </w:divBdr>
                  <w:divsChild>
                    <w:div w:id="7145780">
                      <w:marLeft w:val="0"/>
                      <w:marRight w:val="0"/>
                      <w:marTop w:val="0"/>
                      <w:marBottom w:val="0"/>
                      <w:divBdr>
                        <w:top w:val="none" w:sz="0" w:space="0" w:color="auto"/>
                        <w:left w:val="none" w:sz="0" w:space="0" w:color="auto"/>
                        <w:bottom w:val="none" w:sz="0" w:space="0" w:color="auto"/>
                        <w:right w:val="none" w:sz="0" w:space="0" w:color="auto"/>
                      </w:divBdr>
                    </w:div>
                  </w:divsChild>
                </w:div>
                <w:div w:id="707995428">
                  <w:marLeft w:val="0"/>
                  <w:marRight w:val="0"/>
                  <w:marTop w:val="0"/>
                  <w:marBottom w:val="0"/>
                  <w:divBdr>
                    <w:top w:val="none" w:sz="0" w:space="0" w:color="auto"/>
                    <w:left w:val="none" w:sz="0" w:space="0" w:color="auto"/>
                    <w:bottom w:val="none" w:sz="0" w:space="0" w:color="auto"/>
                    <w:right w:val="none" w:sz="0" w:space="0" w:color="auto"/>
                  </w:divBdr>
                  <w:divsChild>
                    <w:div w:id="944574289">
                      <w:marLeft w:val="0"/>
                      <w:marRight w:val="0"/>
                      <w:marTop w:val="0"/>
                      <w:marBottom w:val="0"/>
                      <w:divBdr>
                        <w:top w:val="none" w:sz="0" w:space="0" w:color="auto"/>
                        <w:left w:val="none" w:sz="0" w:space="0" w:color="auto"/>
                        <w:bottom w:val="none" w:sz="0" w:space="0" w:color="auto"/>
                        <w:right w:val="none" w:sz="0" w:space="0" w:color="auto"/>
                      </w:divBdr>
                    </w:div>
                  </w:divsChild>
                </w:div>
                <w:div w:id="720832182">
                  <w:marLeft w:val="0"/>
                  <w:marRight w:val="0"/>
                  <w:marTop w:val="0"/>
                  <w:marBottom w:val="0"/>
                  <w:divBdr>
                    <w:top w:val="none" w:sz="0" w:space="0" w:color="auto"/>
                    <w:left w:val="none" w:sz="0" w:space="0" w:color="auto"/>
                    <w:bottom w:val="none" w:sz="0" w:space="0" w:color="auto"/>
                    <w:right w:val="none" w:sz="0" w:space="0" w:color="auto"/>
                  </w:divBdr>
                  <w:divsChild>
                    <w:div w:id="281229684">
                      <w:marLeft w:val="0"/>
                      <w:marRight w:val="0"/>
                      <w:marTop w:val="0"/>
                      <w:marBottom w:val="0"/>
                      <w:divBdr>
                        <w:top w:val="none" w:sz="0" w:space="0" w:color="auto"/>
                        <w:left w:val="none" w:sz="0" w:space="0" w:color="auto"/>
                        <w:bottom w:val="none" w:sz="0" w:space="0" w:color="auto"/>
                        <w:right w:val="none" w:sz="0" w:space="0" w:color="auto"/>
                      </w:divBdr>
                    </w:div>
                    <w:div w:id="831258918">
                      <w:marLeft w:val="0"/>
                      <w:marRight w:val="0"/>
                      <w:marTop w:val="0"/>
                      <w:marBottom w:val="0"/>
                      <w:divBdr>
                        <w:top w:val="none" w:sz="0" w:space="0" w:color="auto"/>
                        <w:left w:val="none" w:sz="0" w:space="0" w:color="auto"/>
                        <w:bottom w:val="none" w:sz="0" w:space="0" w:color="auto"/>
                        <w:right w:val="none" w:sz="0" w:space="0" w:color="auto"/>
                      </w:divBdr>
                    </w:div>
                  </w:divsChild>
                </w:div>
                <w:div w:id="725883081">
                  <w:marLeft w:val="0"/>
                  <w:marRight w:val="0"/>
                  <w:marTop w:val="0"/>
                  <w:marBottom w:val="0"/>
                  <w:divBdr>
                    <w:top w:val="none" w:sz="0" w:space="0" w:color="auto"/>
                    <w:left w:val="none" w:sz="0" w:space="0" w:color="auto"/>
                    <w:bottom w:val="none" w:sz="0" w:space="0" w:color="auto"/>
                    <w:right w:val="none" w:sz="0" w:space="0" w:color="auto"/>
                  </w:divBdr>
                  <w:divsChild>
                    <w:div w:id="1985430460">
                      <w:marLeft w:val="0"/>
                      <w:marRight w:val="0"/>
                      <w:marTop w:val="0"/>
                      <w:marBottom w:val="0"/>
                      <w:divBdr>
                        <w:top w:val="none" w:sz="0" w:space="0" w:color="auto"/>
                        <w:left w:val="none" w:sz="0" w:space="0" w:color="auto"/>
                        <w:bottom w:val="none" w:sz="0" w:space="0" w:color="auto"/>
                        <w:right w:val="none" w:sz="0" w:space="0" w:color="auto"/>
                      </w:divBdr>
                    </w:div>
                  </w:divsChild>
                </w:div>
                <w:div w:id="728068941">
                  <w:marLeft w:val="0"/>
                  <w:marRight w:val="0"/>
                  <w:marTop w:val="0"/>
                  <w:marBottom w:val="0"/>
                  <w:divBdr>
                    <w:top w:val="none" w:sz="0" w:space="0" w:color="auto"/>
                    <w:left w:val="none" w:sz="0" w:space="0" w:color="auto"/>
                    <w:bottom w:val="none" w:sz="0" w:space="0" w:color="auto"/>
                    <w:right w:val="none" w:sz="0" w:space="0" w:color="auto"/>
                  </w:divBdr>
                  <w:divsChild>
                    <w:div w:id="58554371">
                      <w:marLeft w:val="0"/>
                      <w:marRight w:val="0"/>
                      <w:marTop w:val="0"/>
                      <w:marBottom w:val="0"/>
                      <w:divBdr>
                        <w:top w:val="none" w:sz="0" w:space="0" w:color="auto"/>
                        <w:left w:val="none" w:sz="0" w:space="0" w:color="auto"/>
                        <w:bottom w:val="none" w:sz="0" w:space="0" w:color="auto"/>
                        <w:right w:val="none" w:sz="0" w:space="0" w:color="auto"/>
                      </w:divBdr>
                    </w:div>
                  </w:divsChild>
                </w:div>
                <w:div w:id="735906461">
                  <w:marLeft w:val="0"/>
                  <w:marRight w:val="0"/>
                  <w:marTop w:val="0"/>
                  <w:marBottom w:val="0"/>
                  <w:divBdr>
                    <w:top w:val="none" w:sz="0" w:space="0" w:color="auto"/>
                    <w:left w:val="none" w:sz="0" w:space="0" w:color="auto"/>
                    <w:bottom w:val="none" w:sz="0" w:space="0" w:color="auto"/>
                    <w:right w:val="none" w:sz="0" w:space="0" w:color="auto"/>
                  </w:divBdr>
                  <w:divsChild>
                    <w:div w:id="107118525">
                      <w:marLeft w:val="0"/>
                      <w:marRight w:val="0"/>
                      <w:marTop w:val="0"/>
                      <w:marBottom w:val="0"/>
                      <w:divBdr>
                        <w:top w:val="none" w:sz="0" w:space="0" w:color="auto"/>
                        <w:left w:val="none" w:sz="0" w:space="0" w:color="auto"/>
                        <w:bottom w:val="none" w:sz="0" w:space="0" w:color="auto"/>
                        <w:right w:val="none" w:sz="0" w:space="0" w:color="auto"/>
                      </w:divBdr>
                    </w:div>
                  </w:divsChild>
                </w:div>
                <w:div w:id="740295888">
                  <w:marLeft w:val="0"/>
                  <w:marRight w:val="0"/>
                  <w:marTop w:val="0"/>
                  <w:marBottom w:val="0"/>
                  <w:divBdr>
                    <w:top w:val="none" w:sz="0" w:space="0" w:color="auto"/>
                    <w:left w:val="none" w:sz="0" w:space="0" w:color="auto"/>
                    <w:bottom w:val="none" w:sz="0" w:space="0" w:color="auto"/>
                    <w:right w:val="none" w:sz="0" w:space="0" w:color="auto"/>
                  </w:divBdr>
                  <w:divsChild>
                    <w:div w:id="1184247405">
                      <w:marLeft w:val="0"/>
                      <w:marRight w:val="0"/>
                      <w:marTop w:val="0"/>
                      <w:marBottom w:val="0"/>
                      <w:divBdr>
                        <w:top w:val="none" w:sz="0" w:space="0" w:color="auto"/>
                        <w:left w:val="none" w:sz="0" w:space="0" w:color="auto"/>
                        <w:bottom w:val="none" w:sz="0" w:space="0" w:color="auto"/>
                        <w:right w:val="none" w:sz="0" w:space="0" w:color="auto"/>
                      </w:divBdr>
                    </w:div>
                  </w:divsChild>
                </w:div>
                <w:div w:id="774058655">
                  <w:marLeft w:val="0"/>
                  <w:marRight w:val="0"/>
                  <w:marTop w:val="0"/>
                  <w:marBottom w:val="0"/>
                  <w:divBdr>
                    <w:top w:val="none" w:sz="0" w:space="0" w:color="auto"/>
                    <w:left w:val="none" w:sz="0" w:space="0" w:color="auto"/>
                    <w:bottom w:val="none" w:sz="0" w:space="0" w:color="auto"/>
                    <w:right w:val="none" w:sz="0" w:space="0" w:color="auto"/>
                  </w:divBdr>
                  <w:divsChild>
                    <w:div w:id="2118332887">
                      <w:marLeft w:val="0"/>
                      <w:marRight w:val="0"/>
                      <w:marTop w:val="0"/>
                      <w:marBottom w:val="0"/>
                      <w:divBdr>
                        <w:top w:val="none" w:sz="0" w:space="0" w:color="auto"/>
                        <w:left w:val="none" w:sz="0" w:space="0" w:color="auto"/>
                        <w:bottom w:val="none" w:sz="0" w:space="0" w:color="auto"/>
                        <w:right w:val="none" w:sz="0" w:space="0" w:color="auto"/>
                      </w:divBdr>
                    </w:div>
                  </w:divsChild>
                </w:div>
                <w:div w:id="808127754">
                  <w:marLeft w:val="0"/>
                  <w:marRight w:val="0"/>
                  <w:marTop w:val="0"/>
                  <w:marBottom w:val="0"/>
                  <w:divBdr>
                    <w:top w:val="none" w:sz="0" w:space="0" w:color="auto"/>
                    <w:left w:val="none" w:sz="0" w:space="0" w:color="auto"/>
                    <w:bottom w:val="none" w:sz="0" w:space="0" w:color="auto"/>
                    <w:right w:val="none" w:sz="0" w:space="0" w:color="auto"/>
                  </w:divBdr>
                  <w:divsChild>
                    <w:div w:id="1057363784">
                      <w:marLeft w:val="0"/>
                      <w:marRight w:val="0"/>
                      <w:marTop w:val="0"/>
                      <w:marBottom w:val="0"/>
                      <w:divBdr>
                        <w:top w:val="none" w:sz="0" w:space="0" w:color="auto"/>
                        <w:left w:val="none" w:sz="0" w:space="0" w:color="auto"/>
                        <w:bottom w:val="none" w:sz="0" w:space="0" w:color="auto"/>
                        <w:right w:val="none" w:sz="0" w:space="0" w:color="auto"/>
                      </w:divBdr>
                    </w:div>
                  </w:divsChild>
                </w:div>
                <w:div w:id="811824956">
                  <w:marLeft w:val="0"/>
                  <w:marRight w:val="0"/>
                  <w:marTop w:val="0"/>
                  <w:marBottom w:val="0"/>
                  <w:divBdr>
                    <w:top w:val="none" w:sz="0" w:space="0" w:color="auto"/>
                    <w:left w:val="none" w:sz="0" w:space="0" w:color="auto"/>
                    <w:bottom w:val="none" w:sz="0" w:space="0" w:color="auto"/>
                    <w:right w:val="none" w:sz="0" w:space="0" w:color="auto"/>
                  </w:divBdr>
                  <w:divsChild>
                    <w:div w:id="382020329">
                      <w:marLeft w:val="0"/>
                      <w:marRight w:val="0"/>
                      <w:marTop w:val="0"/>
                      <w:marBottom w:val="0"/>
                      <w:divBdr>
                        <w:top w:val="none" w:sz="0" w:space="0" w:color="auto"/>
                        <w:left w:val="none" w:sz="0" w:space="0" w:color="auto"/>
                        <w:bottom w:val="none" w:sz="0" w:space="0" w:color="auto"/>
                        <w:right w:val="none" w:sz="0" w:space="0" w:color="auto"/>
                      </w:divBdr>
                    </w:div>
                  </w:divsChild>
                </w:div>
                <w:div w:id="824589197">
                  <w:marLeft w:val="0"/>
                  <w:marRight w:val="0"/>
                  <w:marTop w:val="0"/>
                  <w:marBottom w:val="0"/>
                  <w:divBdr>
                    <w:top w:val="none" w:sz="0" w:space="0" w:color="auto"/>
                    <w:left w:val="none" w:sz="0" w:space="0" w:color="auto"/>
                    <w:bottom w:val="none" w:sz="0" w:space="0" w:color="auto"/>
                    <w:right w:val="none" w:sz="0" w:space="0" w:color="auto"/>
                  </w:divBdr>
                  <w:divsChild>
                    <w:div w:id="536771327">
                      <w:marLeft w:val="0"/>
                      <w:marRight w:val="0"/>
                      <w:marTop w:val="0"/>
                      <w:marBottom w:val="0"/>
                      <w:divBdr>
                        <w:top w:val="none" w:sz="0" w:space="0" w:color="auto"/>
                        <w:left w:val="none" w:sz="0" w:space="0" w:color="auto"/>
                        <w:bottom w:val="none" w:sz="0" w:space="0" w:color="auto"/>
                        <w:right w:val="none" w:sz="0" w:space="0" w:color="auto"/>
                      </w:divBdr>
                    </w:div>
                  </w:divsChild>
                </w:div>
                <w:div w:id="825709908">
                  <w:marLeft w:val="0"/>
                  <w:marRight w:val="0"/>
                  <w:marTop w:val="0"/>
                  <w:marBottom w:val="0"/>
                  <w:divBdr>
                    <w:top w:val="none" w:sz="0" w:space="0" w:color="auto"/>
                    <w:left w:val="none" w:sz="0" w:space="0" w:color="auto"/>
                    <w:bottom w:val="none" w:sz="0" w:space="0" w:color="auto"/>
                    <w:right w:val="none" w:sz="0" w:space="0" w:color="auto"/>
                  </w:divBdr>
                  <w:divsChild>
                    <w:div w:id="339161459">
                      <w:marLeft w:val="0"/>
                      <w:marRight w:val="0"/>
                      <w:marTop w:val="0"/>
                      <w:marBottom w:val="0"/>
                      <w:divBdr>
                        <w:top w:val="none" w:sz="0" w:space="0" w:color="auto"/>
                        <w:left w:val="none" w:sz="0" w:space="0" w:color="auto"/>
                        <w:bottom w:val="none" w:sz="0" w:space="0" w:color="auto"/>
                        <w:right w:val="none" w:sz="0" w:space="0" w:color="auto"/>
                      </w:divBdr>
                    </w:div>
                  </w:divsChild>
                </w:div>
                <w:div w:id="843396138">
                  <w:marLeft w:val="0"/>
                  <w:marRight w:val="0"/>
                  <w:marTop w:val="0"/>
                  <w:marBottom w:val="0"/>
                  <w:divBdr>
                    <w:top w:val="none" w:sz="0" w:space="0" w:color="auto"/>
                    <w:left w:val="none" w:sz="0" w:space="0" w:color="auto"/>
                    <w:bottom w:val="none" w:sz="0" w:space="0" w:color="auto"/>
                    <w:right w:val="none" w:sz="0" w:space="0" w:color="auto"/>
                  </w:divBdr>
                  <w:divsChild>
                    <w:div w:id="410010887">
                      <w:marLeft w:val="0"/>
                      <w:marRight w:val="0"/>
                      <w:marTop w:val="0"/>
                      <w:marBottom w:val="0"/>
                      <w:divBdr>
                        <w:top w:val="none" w:sz="0" w:space="0" w:color="auto"/>
                        <w:left w:val="none" w:sz="0" w:space="0" w:color="auto"/>
                        <w:bottom w:val="none" w:sz="0" w:space="0" w:color="auto"/>
                        <w:right w:val="none" w:sz="0" w:space="0" w:color="auto"/>
                      </w:divBdr>
                    </w:div>
                  </w:divsChild>
                </w:div>
                <w:div w:id="857737819">
                  <w:marLeft w:val="0"/>
                  <w:marRight w:val="0"/>
                  <w:marTop w:val="0"/>
                  <w:marBottom w:val="0"/>
                  <w:divBdr>
                    <w:top w:val="none" w:sz="0" w:space="0" w:color="auto"/>
                    <w:left w:val="none" w:sz="0" w:space="0" w:color="auto"/>
                    <w:bottom w:val="none" w:sz="0" w:space="0" w:color="auto"/>
                    <w:right w:val="none" w:sz="0" w:space="0" w:color="auto"/>
                  </w:divBdr>
                  <w:divsChild>
                    <w:div w:id="304698652">
                      <w:marLeft w:val="0"/>
                      <w:marRight w:val="0"/>
                      <w:marTop w:val="0"/>
                      <w:marBottom w:val="0"/>
                      <w:divBdr>
                        <w:top w:val="none" w:sz="0" w:space="0" w:color="auto"/>
                        <w:left w:val="none" w:sz="0" w:space="0" w:color="auto"/>
                        <w:bottom w:val="none" w:sz="0" w:space="0" w:color="auto"/>
                        <w:right w:val="none" w:sz="0" w:space="0" w:color="auto"/>
                      </w:divBdr>
                    </w:div>
                  </w:divsChild>
                </w:div>
                <w:div w:id="859129040">
                  <w:marLeft w:val="0"/>
                  <w:marRight w:val="0"/>
                  <w:marTop w:val="0"/>
                  <w:marBottom w:val="0"/>
                  <w:divBdr>
                    <w:top w:val="none" w:sz="0" w:space="0" w:color="auto"/>
                    <w:left w:val="none" w:sz="0" w:space="0" w:color="auto"/>
                    <w:bottom w:val="none" w:sz="0" w:space="0" w:color="auto"/>
                    <w:right w:val="none" w:sz="0" w:space="0" w:color="auto"/>
                  </w:divBdr>
                  <w:divsChild>
                    <w:div w:id="1803426566">
                      <w:marLeft w:val="0"/>
                      <w:marRight w:val="0"/>
                      <w:marTop w:val="0"/>
                      <w:marBottom w:val="0"/>
                      <w:divBdr>
                        <w:top w:val="none" w:sz="0" w:space="0" w:color="auto"/>
                        <w:left w:val="none" w:sz="0" w:space="0" w:color="auto"/>
                        <w:bottom w:val="none" w:sz="0" w:space="0" w:color="auto"/>
                        <w:right w:val="none" w:sz="0" w:space="0" w:color="auto"/>
                      </w:divBdr>
                    </w:div>
                  </w:divsChild>
                </w:div>
                <w:div w:id="867568848">
                  <w:marLeft w:val="0"/>
                  <w:marRight w:val="0"/>
                  <w:marTop w:val="0"/>
                  <w:marBottom w:val="0"/>
                  <w:divBdr>
                    <w:top w:val="none" w:sz="0" w:space="0" w:color="auto"/>
                    <w:left w:val="none" w:sz="0" w:space="0" w:color="auto"/>
                    <w:bottom w:val="none" w:sz="0" w:space="0" w:color="auto"/>
                    <w:right w:val="none" w:sz="0" w:space="0" w:color="auto"/>
                  </w:divBdr>
                  <w:divsChild>
                    <w:div w:id="186912984">
                      <w:marLeft w:val="0"/>
                      <w:marRight w:val="0"/>
                      <w:marTop w:val="0"/>
                      <w:marBottom w:val="0"/>
                      <w:divBdr>
                        <w:top w:val="none" w:sz="0" w:space="0" w:color="auto"/>
                        <w:left w:val="none" w:sz="0" w:space="0" w:color="auto"/>
                        <w:bottom w:val="none" w:sz="0" w:space="0" w:color="auto"/>
                        <w:right w:val="none" w:sz="0" w:space="0" w:color="auto"/>
                      </w:divBdr>
                    </w:div>
                    <w:div w:id="593172274">
                      <w:marLeft w:val="0"/>
                      <w:marRight w:val="0"/>
                      <w:marTop w:val="0"/>
                      <w:marBottom w:val="0"/>
                      <w:divBdr>
                        <w:top w:val="none" w:sz="0" w:space="0" w:color="auto"/>
                        <w:left w:val="none" w:sz="0" w:space="0" w:color="auto"/>
                        <w:bottom w:val="none" w:sz="0" w:space="0" w:color="auto"/>
                        <w:right w:val="none" w:sz="0" w:space="0" w:color="auto"/>
                      </w:divBdr>
                    </w:div>
                    <w:div w:id="664623436">
                      <w:marLeft w:val="0"/>
                      <w:marRight w:val="0"/>
                      <w:marTop w:val="0"/>
                      <w:marBottom w:val="0"/>
                      <w:divBdr>
                        <w:top w:val="none" w:sz="0" w:space="0" w:color="auto"/>
                        <w:left w:val="none" w:sz="0" w:space="0" w:color="auto"/>
                        <w:bottom w:val="none" w:sz="0" w:space="0" w:color="auto"/>
                        <w:right w:val="none" w:sz="0" w:space="0" w:color="auto"/>
                      </w:divBdr>
                    </w:div>
                    <w:div w:id="1330281671">
                      <w:marLeft w:val="0"/>
                      <w:marRight w:val="0"/>
                      <w:marTop w:val="0"/>
                      <w:marBottom w:val="0"/>
                      <w:divBdr>
                        <w:top w:val="none" w:sz="0" w:space="0" w:color="auto"/>
                        <w:left w:val="none" w:sz="0" w:space="0" w:color="auto"/>
                        <w:bottom w:val="none" w:sz="0" w:space="0" w:color="auto"/>
                        <w:right w:val="none" w:sz="0" w:space="0" w:color="auto"/>
                      </w:divBdr>
                    </w:div>
                    <w:div w:id="1387141053">
                      <w:marLeft w:val="0"/>
                      <w:marRight w:val="0"/>
                      <w:marTop w:val="0"/>
                      <w:marBottom w:val="0"/>
                      <w:divBdr>
                        <w:top w:val="none" w:sz="0" w:space="0" w:color="auto"/>
                        <w:left w:val="none" w:sz="0" w:space="0" w:color="auto"/>
                        <w:bottom w:val="none" w:sz="0" w:space="0" w:color="auto"/>
                        <w:right w:val="none" w:sz="0" w:space="0" w:color="auto"/>
                      </w:divBdr>
                    </w:div>
                    <w:div w:id="1486362563">
                      <w:marLeft w:val="0"/>
                      <w:marRight w:val="0"/>
                      <w:marTop w:val="0"/>
                      <w:marBottom w:val="0"/>
                      <w:divBdr>
                        <w:top w:val="none" w:sz="0" w:space="0" w:color="auto"/>
                        <w:left w:val="none" w:sz="0" w:space="0" w:color="auto"/>
                        <w:bottom w:val="none" w:sz="0" w:space="0" w:color="auto"/>
                        <w:right w:val="none" w:sz="0" w:space="0" w:color="auto"/>
                      </w:divBdr>
                    </w:div>
                    <w:div w:id="1591549732">
                      <w:marLeft w:val="0"/>
                      <w:marRight w:val="0"/>
                      <w:marTop w:val="0"/>
                      <w:marBottom w:val="0"/>
                      <w:divBdr>
                        <w:top w:val="none" w:sz="0" w:space="0" w:color="auto"/>
                        <w:left w:val="none" w:sz="0" w:space="0" w:color="auto"/>
                        <w:bottom w:val="none" w:sz="0" w:space="0" w:color="auto"/>
                        <w:right w:val="none" w:sz="0" w:space="0" w:color="auto"/>
                      </w:divBdr>
                    </w:div>
                    <w:div w:id="1595046533">
                      <w:marLeft w:val="0"/>
                      <w:marRight w:val="0"/>
                      <w:marTop w:val="0"/>
                      <w:marBottom w:val="0"/>
                      <w:divBdr>
                        <w:top w:val="none" w:sz="0" w:space="0" w:color="auto"/>
                        <w:left w:val="none" w:sz="0" w:space="0" w:color="auto"/>
                        <w:bottom w:val="none" w:sz="0" w:space="0" w:color="auto"/>
                        <w:right w:val="none" w:sz="0" w:space="0" w:color="auto"/>
                      </w:divBdr>
                    </w:div>
                    <w:div w:id="1617561356">
                      <w:marLeft w:val="0"/>
                      <w:marRight w:val="0"/>
                      <w:marTop w:val="0"/>
                      <w:marBottom w:val="0"/>
                      <w:divBdr>
                        <w:top w:val="none" w:sz="0" w:space="0" w:color="auto"/>
                        <w:left w:val="none" w:sz="0" w:space="0" w:color="auto"/>
                        <w:bottom w:val="none" w:sz="0" w:space="0" w:color="auto"/>
                        <w:right w:val="none" w:sz="0" w:space="0" w:color="auto"/>
                      </w:divBdr>
                    </w:div>
                    <w:div w:id="1952977977">
                      <w:marLeft w:val="0"/>
                      <w:marRight w:val="0"/>
                      <w:marTop w:val="0"/>
                      <w:marBottom w:val="0"/>
                      <w:divBdr>
                        <w:top w:val="none" w:sz="0" w:space="0" w:color="auto"/>
                        <w:left w:val="none" w:sz="0" w:space="0" w:color="auto"/>
                        <w:bottom w:val="none" w:sz="0" w:space="0" w:color="auto"/>
                        <w:right w:val="none" w:sz="0" w:space="0" w:color="auto"/>
                      </w:divBdr>
                    </w:div>
                  </w:divsChild>
                </w:div>
                <w:div w:id="868102196">
                  <w:marLeft w:val="0"/>
                  <w:marRight w:val="0"/>
                  <w:marTop w:val="0"/>
                  <w:marBottom w:val="0"/>
                  <w:divBdr>
                    <w:top w:val="none" w:sz="0" w:space="0" w:color="auto"/>
                    <w:left w:val="none" w:sz="0" w:space="0" w:color="auto"/>
                    <w:bottom w:val="none" w:sz="0" w:space="0" w:color="auto"/>
                    <w:right w:val="none" w:sz="0" w:space="0" w:color="auto"/>
                  </w:divBdr>
                  <w:divsChild>
                    <w:div w:id="315376429">
                      <w:marLeft w:val="0"/>
                      <w:marRight w:val="0"/>
                      <w:marTop w:val="0"/>
                      <w:marBottom w:val="0"/>
                      <w:divBdr>
                        <w:top w:val="none" w:sz="0" w:space="0" w:color="auto"/>
                        <w:left w:val="none" w:sz="0" w:space="0" w:color="auto"/>
                        <w:bottom w:val="none" w:sz="0" w:space="0" w:color="auto"/>
                        <w:right w:val="none" w:sz="0" w:space="0" w:color="auto"/>
                      </w:divBdr>
                    </w:div>
                  </w:divsChild>
                </w:div>
                <w:div w:id="873884098">
                  <w:marLeft w:val="0"/>
                  <w:marRight w:val="0"/>
                  <w:marTop w:val="0"/>
                  <w:marBottom w:val="0"/>
                  <w:divBdr>
                    <w:top w:val="none" w:sz="0" w:space="0" w:color="auto"/>
                    <w:left w:val="none" w:sz="0" w:space="0" w:color="auto"/>
                    <w:bottom w:val="none" w:sz="0" w:space="0" w:color="auto"/>
                    <w:right w:val="none" w:sz="0" w:space="0" w:color="auto"/>
                  </w:divBdr>
                  <w:divsChild>
                    <w:div w:id="1016037066">
                      <w:marLeft w:val="0"/>
                      <w:marRight w:val="0"/>
                      <w:marTop w:val="0"/>
                      <w:marBottom w:val="0"/>
                      <w:divBdr>
                        <w:top w:val="none" w:sz="0" w:space="0" w:color="auto"/>
                        <w:left w:val="none" w:sz="0" w:space="0" w:color="auto"/>
                        <w:bottom w:val="none" w:sz="0" w:space="0" w:color="auto"/>
                        <w:right w:val="none" w:sz="0" w:space="0" w:color="auto"/>
                      </w:divBdr>
                    </w:div>
                  </w:divsChild>
                </w:div>
                <w:div w:id="893279049">
                  <w:marLeft w:val="0"/>
                  <w:marRight w:val="0"/>
                  <w:marTop w:val="0"/>
                  <w:marBottom w:val="0"/>
                  <w:divBdr>
                    <w:top w:val="none" w:sz="0" w:space="0" w:color="auto"/>
                    <w:left w:val="none" w:sz="0" w:space="0" w:color="auto"/>
                    <w:bottom w:val="none" w:sz="0" w:space="0" w:color="auto"/>
                    <w:right w:val="none" w:sz="0" w:space="0" w:color="auto"/>
                  </w:divBdr>
                  <w:divsChild>
                    <w:div w:id="309137594">
                      <w:marLeft w:val="0"/>
                      <w:marRight w:val="0"/>
                      <w:marTop w:val="0"/>
                      <w:marBottom w:val="0"/>
                      <w:divBdr>
                        <w:top w:val="none" w:sz="0" w:space="0" w:color="auto"/>
                        <w:left w:val="none" w:sz="0" w:space="0" w:color="auto"/>
                        <w:bottom w:val="none" w:sz="0" w:space="0" w:color="auto"/>
                        <w:right w:val="none" w:sz="0" w:space="0" w:color="auto"/>
                      </w:divBdr>
                    </w:div>
                  </w:divsChild>
                </w:div>
                <w:div w:id="893924948">
                  <w:marLeft w:val="0"/>
                  <w:marRight w:val="0"/>
                  <w:marTop w:val="0"/>
                  <w:marBottom w:val="0"/>
                  <w:divBdr>
                    <w:top w:val="none" w:sz="0" w:space="0" w:color="auto"/>
                    <w:left w:val="none" w:sz="0" w:space="0" w:color="auto"/>
                    <w:bottom w:val="none" w:sz="0" w:space="0" w:color="auto"/>
                    <w:right w:val="none" w:sz="0" w:space="0" w:color="auto"/>
                  </w:divBdr>
                  <w:divsChild>
                    <w:div w:id="1967157174">
                      <w:marLeft w:val="0"/>
                      <w:marRight w:val="0"/>
                      <w:marTop w:val="0"/>
                      <w:marBottom w:val="0"/>
                      <w:divBdr>
                        <w:top w:val="none" w:sz="0" w:space="0" w:color="auto"/>
                        <w:left w:val="none" w:sz="0" w:space="0" w:color="auto"/>
                        <w:bottom w:val="none" w:sz="0" w:space="0" w:color="auto"/>
                        <w:right w:val="none" w:sz="0" w:space="0" w:color="auto"/>
                      </w:divBdr>
                    </w:div>
                  </w:divsChild>
                </w:div>
                <w:div w:id="903566305">
                  <w:marLeft w:val="0"/>
                  <w:marRight w:val="0"/>
                  <w:marTop w:val="0"/>
                  <w:marBottom w:val="0"/>
                  <w:divBdr>
                    <w:top w:val="none" w:sz="0" w:space="0" w:color="auto"/>
                    <w:left w:val="none" w:sz="0" w:space="0" w:color="auto"/>
                    <w:bottom w:val="none" w:sz="0" w:space="0" w:color="auto"/>
                    <w:right w:val="none" w:sz="0" w:space="0" w:color="auto"/>
                  </w:divBdr>
                  <w:divsChild>
                    <w:div w:id="1469010494">
                      <w:marLeft w:val="0"/>
                      <w:marRight w:val="0"/>
                      <w:marTop w:val="0"/>
                      <w:marBottom w:val="0"/>
                      <w:divBdr>
                        <w:top w:val="none" w:sz="0" w:space="0" w:color="auto"/>
                        <w:left w:val="none" w:sz="0" w:space="0" w:color="auto"/>
                        <w:bottom w:val="none" w:sz="0" w:space="0" w:color="auto"/>
                        <w:right w:val="none" w:sz="0" w:space="0" w:color="auto"/>
                      </w:divBdr>
                    </w:div>
                  </w:divsChild>
                </w:div>
                <w:div w:id="905578071">
                  <w:marLeft w:val="0"/>
                  <w:marRight w:val="0"/>
                  <w:marTop w:val="0"/>
                  <w:marBottom w:val="0"/>
                  <w:divBdr>
                    <w:top w:val="none" w:sz="0" w:space="0" w:color="auto"/>
                    <w:left w:val="none" w:sz="0" w:space="0" w:color="auto"/>
                    <w:bottom w:val="none" w:sz="0" w:space="0" w:color="auto"/>
                    <w:right w:val="none" w:sz="0" w:space="0" w:color="auto"/>
                  </w:divBdr>
                  <w:divsChild>
                    <w:div w:id="512962651">
                      <w:marLeft w:val="0"/>
                      <w:marRight w:val="0"/>
                      <w:marTop w:val="0"/>
                      <w:marBottom w:val="0"/>
                      <w:divBdr>
                        <w:top w:val="none" w:sz="0" w:space="0" w:color="auto"/>
                        <w:left w:val="none" w:sz="0" w:space="0" w:color="auto"/>
                        <w:bottom w:val="none" w:sz="0" w:space="0" w:color="auto"/>
                        <w:right w:val="none" w:sz="0" w:space="0" w:color="auto"/>
                      </w:divBdr>
                    </w:div>
                  </w:divsChild>
                </w:div>
                <w:div w:id="914245385">
                  <w:marLeft w:val="0"/>
                  <w:marRight w:val="0"/>
                  <w:marTop w:val="0"/>
                  <w:marBottom w:val="0"/>
                  <w:divBdr>
                    <w:top w:val="none" w:sz="0" w:space="0" w:color="auto"/>
                    <w:left w:val="none" w:sz="0" w:space="0" w:color="auto"/>
                    <w:bottom w:val="none" w:sz="0" w:space="0" w:color="auto"/>
                    <w:right w:val="none" w:sz="0" w:space="0" w:color="auto"/>
                  </w:divBdr>
                  <w:divsChild>
                    <w:div w:id="1499034263">
                      <w:marLeft w:val="0"/>
                      <w:marRight w:val="0"/>
                      <w:marTop w:val="0"/>
                      <w:marBottom w:val="0"/>
                      <w:divBdr>
                        <w:top w:val="none" w:sz="0" w:space="0" w:color="auto"/>
                        <w:left w:val="none" w:sz="0" w:space="0" w:color="auto"/>
                        <w:bottom w:val="none" w:sz="0" w:space="0" w:color="auto"/>
                        <w:right w:val="none" w:sz="0" w:space="0" w:color="auto"/>
                      </w:divBdr>
                    </w:div>
                  </w:divsChild>
                </w:div>
                <w:div w:id="938026347">
                  <w:marLeft w:val="0"/>
                  <w:marRight w:val="0"/>
                  <w:marTop w:val="0"/>
                  <w:marBottom w:val="0"/>
                  <w:divBdr>
                    <w:top w:val="none" w:sz="0" w:space="0" w:color="auto"/>
                    <w:left w:val="none" w:sz="0" w:space="0" w:color="auto"/>
                    <w:bottom w:val="none" w:sz="0" w:space="0" w:color="auto"/>
                    <w:right w:val="none" w:sz="0" w:space="0" w:color="auto"/>
                  </w:divBdr>
                  <w:divsChild>
                    <w:div w:id="1817533004">
                      <w:marLeft w:val="0"/>
                      <w:marRight w:val="0"/>
                      <w:marTop w:val="0"/>
                      <w:marBottom w:val="0"/>
                      <w:divBdr>
                        <w:top w:val="none" w:sz="0" w:space="0" w:color="auto"/>
                        <w:left w:val="none" w:sz="0" w:space="0" w:color="auto"/>
                        <w:bottom w:val="none" w:sz="0" w:space="0" w:color="auto"/>
                        <w:right w:val="none" w:sz="0" w:space="0" w:color="auto"/>
                      </w:divBdr>
                    </w:div>
                  </w:divsChild>
                </w:div>
                <w:div w:id="950169880">
                  <w:marLeft w:val="0"/>
                  <w:marRight w:val="0"/>
                  <w:marTop w:val="0"/>
                  <w:marBottom w:val="0"/>
                  <w:divBdr>
                    <w:top w:val="none" w:sz="0" w:space="0" w:color="auto"/>
                    <w:left w:val="none" w:sz="0" w:space="0" w:color="auto"/>
                    <w:bottom w:val="none" w:sz="0" w:space="0" w:color="auto"/>
                    <w:right w:val="none" w:sz="0" w:space="0" w:color="auto"/>
                  </w:divBdr>
                  <w:divsChild>
                    <w:div w:id="625738724">
                      <w:marLeft w:val="0"/>
                      <w:marRight w:val="0"/>
                      <w:marTop w:val="0"/>
                      <w:marBottom w:val="0"/>
                      <w:divBdr>
                        <w:top w:val="none" w:sz="0" w:space="0" w:color="auto"/>
                        <w:left w:val="none" w:sz="0" w:space="0" w:color="auto"/>
                        <w:bottom w:val="none" w:sz="0" w:space="0" w:color="auto"/>
                        <w:right w:val="none" w:sz="0" w:space="0" w:color="auto"/>
                      </w:divBdr>
                    </w:div>
                  </w:divsChild>
                </w:div>
                <w:div w:id="964115868">
                  <w:marLeft w:val="0"/>
                  <w:marRight w:val="0"/>
                  <w:marTop w:val="0"/>
                  <w:marBottom w:val="0"/>
                  <w:divBdr>
                    <w:top w:val="none" w:sz="0" w:space="0" w:color="auto"/>
                    <w:left w:val="none" w:sz="0" w:space="0" w:color="auto"/>
                    <w:bottom w:val="none" w:sz="0" w:space="0" w:color="auto"/>
                    <w:right w:val="none" w:sz="0" w:space="0" w:color="auto"/>
                  </w:divBdr>
                  <w:divsChild>
                    <w:div w:id="1262294703">
                      <w:marLeft w:val="0"/>
                      <w:marRight w:val="0"/>
                      <w:marTop w:val="0"/>
                      <w:marBottom w:val="0"/>
                      <w:divBdr>
                        <w:top w:val="none" w:sz="0" w:space="0" w:color="auto"/>
                        <w:left w:val="none" w:sz="0" w:space="0" w:color="auto"/>
                        <w:bottom w:val="none" w:sz="0" w:space="0" w:color="auto"/>
                        <w:right w:val="none" w:sz="0" w:space="0" w:color="auto"/>
                      </w:divBdr>
                    </w:div>
                  </w:divsChild>
                </w:div>
                <w:div w:id="971254444">
                  <w:marLeft w:val="0"/>
                  <w:marRight w:val="0"/>
                  <w:marTop w:val="0"/>
                  <w:marBottom w:val="0"/>
                  <w:divBdr>
                    <w:top w:val="none" w:sz="0" w:space="0" w:color="auto"/>
                    <w:left w:val="none" w:sz="0" w:space="0" w:color="auto"/>
                    <w:bottom w:val="none" w:sz="0" w:space="0" w:color="auto"/>
                    <w:right w:val="none" w:sz="0" w:space="0" w:color="auto"/>
                  </w:divBdr>
                  <w:divsChild>
                    <w:div w:id="1386446008">
                      <w:marLeft w:val="0"/>
                      <w:marRight w:val="0"/>
                      <w:marTop w:val="0"/>
                      <w:marBottom w:val="0"/>
                      <w:divBdr>
                        <w:top w:val="none" w:sz="0" w:space="0" w:color="auto"/>
                        <w:left w:val="none" w:sz="0" w:space="0" w:color="auto"/>
                        <w:bottom w:val="none" w:sz="0" w:space="0" w:color="auto"/>
                        <w:right w:val="none" w:sz="0" w:space="0" w:color="auto"/>
                      </w:divBdr>
                    </w:div>
                  </w:divsChild>
                </w:div>
                <w:div w:id="980884673">
                  <w:marLeft w:val="0"/>
                  <w:marRight w:val="0"/>
                  <w:marTop w:val="0"/>
                  <w:marBottom w:val="0"/>
                  <w:divBdr>
                    <w:top w:val="none" w:sz="0" w:space="0" w:color="auto"/>
                    <w:left w:val="none" w:sz="0" w:space="0" w:color="auto"/>
                    <w:bottom w:val="none" w:sz="0" w:space="0" w:color="auto"/>
                    <w:right w:val="none" w:sz="0" w:space="0" w:color="auto"/>
                  </w:divBdr>
                  <w:divsChild>
                    <w:div w:id="999700358">
                      <w:marLeft w:val="0"/>
                      <w:marRight w:val="0"/>
                      <w:marTop w:val="0"/>
                      <w:marBottom w:val="0"/>
                      <w:divBdr>
                        <w:top w:val="none" w:sz="0" w:space="0" w:color="auto"/>
                        <w:left w:val="none" w:sz="0" w:space="0" w:color="auto"/>
                        <w:bottom w:val="none" w:sz="0" w:space="0" w:color="auto"/>
                        <w:right w:val="none" w:sz="0" w:space="0" w:color="auto"/>
                      </w:divBdr>
                    </w:div>
                  </w:divsChild>
                </w:div>
                <w:div w:id="997655383">
                  <w:marLeft w:val="0"/>
                  <w:marRight w:val="0"/>
                  <w:marTop w:val="0"/>
                  <w:marBottom w:val="0"/>
                  <w:divBdr>
                    <w:top w:val="none" w:sz="0" w:space="0" w:color="auto"/>
                    <w:left w:val="none" w:sz="0" w:space="0" w:color="auto"/>
                    <w:bottom w:val="none" w:sz="0" w:space="0" w:color="auto"/>
                    <w:right w:val="none" w:sz="0" w:space="0" w:color="auto"/>
                  </w:divBdr>
                  <w:divsChild>
                    <w:div w:id="1311207260">
                      <w:marLeft w:val="0"/>
                      <w:marRight w:val="0"/>
                      <w:marTop w:val="0"/>
                      <w:marBottom w:val="0"/>
                      <w:divBdr>
                        <w:top w:val="none" w:sz="0" w:space="0" w:color="auto"/>
                        <w:left w:val="none" w:sz="0" w:space="0" w:color="auto"/>
                        <w:bottom w:val="none" w:sz="0" w:space="0" w:color="auto"/>
                        <w:right w:val="none" w:sz="0" w:space="0" w:color="auto"/>
                      </w:divBdr>
                    </w:div>
                  </w:divsChild>
                </w:div>
                <w:div w:id="1015571117">
                  <w:marLeft w:val="0"/>
                  <w:marRight w:val="0"/>
                  <w:marTop w:val="0"/>
                  <w:marBottom w:val="0"/>
                  <w:divBdr>
                    <w:top w:val="none" w:sz="0" w:space="0" w:color="auto"/>
                    <w:left w:val="none" w:sz="0" w:space="0" w:color="auto"/>
                    <w:bottom w:val="none" w:sz="0" w:space="0" w:color="auto"/>
                    <w:right w:val="none" w:sz="0" w:space="0" w:color="auto"/>
                  </w:divBdr>
                  <w:divsChild>
                    <w:div w:id="1682126139">
                      <w:marLeft w:val="0"/>
                      <w:marRight w:val="0"/>
                      <w:marTop w:val="0"/>
                      <w:marBottom w:val="0"/>
                      <w:divBdr>
                        <w:top w:val="none" w:sz="0" w:space="0" w:color="auto"/>
                        <w:left w:val="none" w:sz="0" w:space="0" w:color="auto"/>
                        <w:bottom w:val="none" w:sz="0" w:space="0" w:color="auto"/>
                        <w:right w:val="none" w:sz="0" w:space="0" w:color="auto"/>
                      </w:divBdr>
                    </w:div>
                  </w:divsChild>
                </w:div>
                <w:div w:id="1024207855">
                  <w:marLeft w:val="0"/>
                  <w:marRight w:val="0"/>
                  <w:marTop w:val="0"/>
                  <w:marBottom w:val="0"/>
                  <w:divBdr>
                    <w:top w:val="none" w:sz="0" w:space="0" w:color="auto"/>
                    <w:left w:val="none" w:sz="0" w:space="0" w:color="auto"/>
                    <w:bottom w:val="none" w:sz="0" w:space="0" w:color="auto"/>
                    <w:right w:val="none" w:sz="0" w:space="0" w:color="auto"/>
                  </w:divBdr>
                  <w:divsChild>
                    <w:div w:id="556211867">
                      <w:marLeft w:val="0"/>
                      <w:marRight w:val="0"/>
                      <w:marTop w:val="0"/>
                      <w:marBottom w:val="0"/>
                      <w:divBdr>
                        <w:top w:val="none" w:sz="0" w:space="0" w:color="auto"/>
                        <w:left w:val="none" w:sz="0" w:space="0" w:color="auto"/>
                        <w:bottom w:val="none" w:sz="0" w:space="0" w:color="auto"/>
                        <w:right w:val="none" w:sz="0" w:space="0" w:color="auto"/>
                      </w:divBdr>
                    </w:div>
                  </w:divsChild>
                </w:div>
                <w:div w:id="1027409659">
                  <w:marLeft w:val="0"/>
                  <w:marRight w:val="0"/>
                  <w:marTop w:val="0"/>
                  <w:marBottom w:val="0"/>
                  <w:divBdr>
                    <w:top w:val="none" w:sz="0" w:space="0" w:color="auto"/>
                    <w:left w:val="none" w:sz="0" w:space="0" w:color="auto"/>
                    <w:bottom w:val="none" w:sz="0" w:space="0" w:color="auto"/>
                    <w:right w:val="none" w:sz="0" w:space="0" w:color="auto"/>
                  </w:divBdr>
                  <w:divsChild>
                    <w:div w:id="1671326292">
                      <w:marLeft w:val="0"/>
                      <w:marRight w:val="0"/>
                      <w:marTop w:val="0"/>
                      <w:marBottom w:val="0"/>
                      <w:divBdr>
                        <w:top w:val="none" w:sz="0" w:space="0" w:color="auto"/>
                        <w:left w:val="none" w:sz="0" w:space="0" w:color="auto"/>
                        <w:bottom w:val="none" w:sz="0" w:space="0" w:color="auto"/>
                        <w:right w:val="none" w:sz="0" w:space="0" w:color="auto"/>
                      </w:divBdr>
                    </w:div>
                  </w:divsChild>
                </w:div>
                <w:div w:id="1035541479">
                  <w:marLeft w:val="0"/>
                  <w:marRight w:val="0"/>
                  <w:marTop w:val="0"/>
                  <w:marBottom w:val="0"/>
                  <w:divBdr>
                    <w:top w:val="none" w:sz="0" w:space="0" w:color="auto"/>
                    <w:left w:val="none" w:sz="0" w:space="0" w:color="auto"/>
                    <w:bottom w:val="none" w:sz="0" w:space="0" w:color="auto"/>
                    <w:right w:val="none" w:sz="0" w:space="0" w:color="auto"/>
                  </w:divBdr>
                  <w:divsChild>
                    <w:div w:id="90275443">
                      <w:marLeft w:val="0"/>
                      <w:marRight w:val="0"/>
                      <w:marTop w:val="0"/>
                      <w:marBottom w:val="0"/>
                      <w:divBdr>
                        <w:top w:val="none" w:sz="0" w:space="0" w:color="auto"/>
                        <w:left w:val="none" w:sz="0" w:space="0" w:color="auto"/>
                        <w:bottom w:val="none" w:sz="0" w:space="0" w:color="auto"/>
                        <w:right w:val="none" w:sz="0" w:space="0" w:color="auto"/>
                      </w:divBdr>
                    </w:div>
                  </w:divsChild>
                </w:div>
                <w:div w:id="1039092786">
                  <w:marLeft w:val="0"/>
                  <w:marRight w:val="0"/>
                  <w:marTop w:val="0"/>
                  <w:marBottom w:val="0"/>
                  <w:divBdr>
                    <w:top w:val="none" w:sz="0" w:space="0" w:color="auto"/>
                    <w:left w:val="none" w:sz="0" w:space="0" w:color="auto"/>
                    <w:bottom w:val="none" w:sz="0" w:space="0" w:color="auto"/>
                    <w:right w:val="none" w:sz="0" w:space="0" w:color="auto"/>
                  </w:divBdr>
                  <w:divsChild>
                    <w:div w:id="1929384906">
                      <w:marLeft w:val="0"/>
                      <w:marRight w:val="0"/>
                      <w:marTop w:val="0"/>
                      <w:marBottom w:val="0"/>
                      <w:divBdr>
                        <w:top w:val="none" w:sz="0" w:space="0" w:color="auto"/>
                        <w:left w:val="none" w:sz="0" w:space="0" w:color="auto"/>
                        <w:bottom w:val="none" w:sz="0" w:space="0" w:color="auto"/>
                        <w:right w:val="none" w:sz="0" w:space="0" w:color="auto"/>
                      </w:divBdr>
                    </w:div>
                  </w:divsChild>
                </w:div>
                <w:div w:id="1078332400">
                  <w:marLeft w:val="0"/>
                  <w:marRight w:val="0"/>
                  <w:marTop w:val="0"/>
                  <w:marBottom w:val="0"/>
                  <w:divBdr>
                    <w:top w:val="none" w:sz="0" w:space="0" w:color="auto"/>
                    <w:left w:val="none" w:sz="0" w:space="0" w:color="auto"/>
                    <w:bottom w:val="none" w:sz="0" w:space="0" w:color="auto"/>
                    <w:right w:val="none" w:sz="0" w:space="0" w:color="auto"/>
                  </w:divBdr>
                  <w:divsChild>
                    <w:div w:id="1649506831">
                      <w:marLeft w:val="0"/>
                      <w:marRight w:val="0"/>
                      <w:marTop w:val="0"/>
                      <w:marBottom w:val="0"/>
                      <w:divBdr>
                        <w:top w:val="none" w:sz="0" w:space="0" w:color="auto"/>
                        <w:left w:val="none" w:sz="0" w:space="0" w:color="auto"/>
                        <w:bottom w:val="none" w:sz="0" w:space="0" w:color="auto"/>
                        <w:right w:val="none" w:sz="0" w:space="0" w:color="auto"/>
                      </w:divBdr>
                    </w:div>
                  </w:divsChild>
                </w:div>
                <w:div w:id="1083257729">
                  <w:marLeft w:val="0"/>
                  <w:marRight w:val="0"/>
                  <w:marTop w:val="0"/>
                  <w:marBottom w:val="0"/>
                  <w:divBdr>
                    <w:top w:val="none" w:sz="0" w:space="0" w:color="auto"/>
                    <w:left w:val="none" w:sz="0" w:space="0" w:color="auto"/>
                    <w:bottom w:val="none" w:sz="0" w:space="0" w:color="auto"/>
                    <w:right w:val="none" w:sz="0" w:space="0" w:color="auto"/>
                  </w:divBdr>
                  <w:divsChild>
                    <w:div w:id="913393747">
                      <w:marLeft w:val="0"/>
                      <w:marRight w:val="0"/>
                      <w:marTop w:val="0"/>
                      <w:marBottom w:val="0"/>
                      <w:divBdr>
                        <w:top w:val="none" w:sz="0" w:space="0" w:color="auto"/>
                        <w:left w:val="none" w:sz="0" w:space="0" w:color="auto"/>
                        <w:bottom w:val="none" w:sz="0" w:space="0" w:color="auto"/>
                        <w:right w:val="none" w:sz="0" w:space="0" w:color="auto"/>
                      </w:divBdr>
                    </w:div>
                  </w:divsChild>
                </w:div>
                <w:div w:id="1088040290">
                  <w:marLeft w:val="0"/>
                  <w:marRight w:val="0"/>
                  <w:marTop w:val="0"/>
                  <w:marBottom w:val="0"/>
                  <w:divBdr>
                    <w:top w:val="none" w:sz="0" w:space="0" w:color="auto"/>
                    <w:left w:val="none" w:sz="0" w:space="0" w:color="auto"/>
                    <w:bottom w:val="none" w:sz="0" w:space="0" w:color="auto"/>
                    <w:right w:val="none" w:sz="0" w:space="0" w:color="auto"/>
                  </w:divBdr>
                  <w:divsChild>
                    <w:div w:id="1543975995">
                      <w:marLeft w:val="0"/>
                      <w:marRight w:val="0"/>
                      <w:marTop w:val="0"/>
                      <w:marBottom w:val="0"/>
                      <w:divBdr>
                        <w:top w:val="none" w:sz="0" w:space="0" w:color="auto"/>
                        <w:left w:val="none" w:sz="0" w:space="0" w:color="auto"/>
                        <w:bottom w:val="none" w:sz="0" w:space="0" w:color="auto"/>
                        <w:right w:val="none" w:sz="0" w:space="0" w:color="auto"/>
                      </w:divBdr>
                    </w:div>
                  </w:divsChild>
                </w:div>
                <w:div w:id="1092623544">
                  <w:marLeft w:val="0"/>
                  <w:marRight w:val="0"/>
                  <w:marTop w:val="0"/>
                  <w:marBottom w:val="0"/>
                  <w:divBdr>
                    <w:top w:val="none" w:sz="0" w:space="0" w:color="auto"/>
                    <w:left w:val="none" w:sz="0" w:space="0" w:color="auto"/>
                    <w:bottom w:val="none" w:sz="0" w:space="0" w:color="auto"/>
                    <w:right w:val="none" w:sz="0" w:space="0" w:color="auto"/>
                  </w:divBdr>
                  <w:divsChild>
                    <w:div w:id="406849084">
                      <w:marLeft w:val="0"/>
                      <w:marRight w:val="0"/>
                      <w:marTop w:val="0"/>
                      <w:marBottom w:val="0"/>
                      <w:divBdr>
                        <w:top w:val="none" w:sz="0" w:space="0" w:color="auto"/>
                        <w:left w:val="none" w:sz="0" w:space="0" w:color="auto"/>
                        <w:bottom w:val="none" w:sz="0" w:space="0" w:color="auto"/>
                        <w:right w:val="none" w:sz="0" w:space="0" w:color="auto"/>
                      </w:divBdr>
                    </w:div>
                  </w:divsChild>
                </w:div>
                <w:div w:id="1097680526">
                  <w:marLeft w:val="0"/>
                  <w:marRight w:val="0"/>
                  <w:marTop w:val="0"/>
                  <w:marBottom w:val="0"/>
                  <w:divBdr>
                    <w:top w:val="none" w:sz="0" w:space="0" w:color="auto"/>
                    <w:left w:val="none" w:sz="0" w:space="0" w:color="auto"/>
                    <w:bottom w:val="none" w:sz="0" w:space="0" w:color="auto"/>
                    <w:right w:val="none" w:sz="0" w:space="0" w:color="auto"/>
                  </w:divBdr>
                  <w:divsChild>
                    <w:div w:id="2059738089">
                      <w:marLeft w:val="0"/>
                      <w:marRight w:val="0"/>
                      <w:marTop w:val="0"/>
                      <w:marBottom w:val="0"/>
                      <w:divBdr>
                        <w:top w:val="none" w:sz="0" w:space="0" w:color="auto"/>
                        <w:left w:val="none" w:sz="0" w:space="0" w:color="auto"/>
                        <w:bottom w:val="none" w:sz="0" w:space="0" w:color="auto"/>
                        <w:right w:val="none" w:sz="0" w:space="0" w:color="auto"/>
                      </w:divBdr>
                    </w:div>
                  </w:divsChild>
                </w:div>
                <w:div w:id="1099179738">
                  <w:marLeft w:val="0"/>
                  <w:marRight w:val="0"/>
                  <w:marTop w:val="0"/>
                  <w:marBottom w:val="0"/>
                  <w:divBdr>
                    <w:top w:val="none" w:sz="0" w:space="0" w:color="auto"/>
                    <w:left w:val="none" w:sz="0" w:space="0" w:color="auto"/>
                    <w:bottom w:val="none" w:sz="0" w:space="0" w:color="auto"/>
                    <w:right w:val="none" w:sz="0" w:space="0" w:color="auto"/>
                  </w:divBdr>
                  <w:divsChild>
                    <w:div w:id="680738592">
                      <w:marLeft w:val="0"/>
                      <w:marRight w:val="0"/>
                      <w:marTop w:val="0"/>
                      <w:marBottom w:val="0"/>
                      <w:divBdr>
                        <w:top w:val="none" w:sz="0" w:space="0" w:color="auto"/>
                        <w:left w:val="none" w:sz="0" w:space="0" w:color="auto"/>
                        <w:bottom w:val="none" w:sz="0" w:space="0" w:color="auto"/>
                        <w:right w:val="none" w:sz="0" w:space="0" w:color="auto"/>
                      </w:divBdr>
                    </w:div>
                  </w:divsChild>
                </w:div>
                <w:div w:id="1119294859">
                  <w:marLeft w:val="0"/>
                  <w:marRight w:val="0"/>
                  <w:marTop w:val="0"/>
                  <w:marBottom w:val="0"/>
                  <w:divBdr>
                    <w:top w:val="none" w:sz="0" w:space="0" w:color="auto"/>
                    <w:left w:val="none" w:sz="0" w:space="0" w:color="auto"/>
                    <w:bottom w:val="none" w:sz="0" w:space="0" w:color="auto"/>
                    <w:right w:val="none" w:sz="0" w:space="0" w:color="auto"/>
                  </w:divBdr>
                  <w:divsChild>
                    <w:div w:id="1302231460">
                      <w:marLeft w:val="0"/>
                      <w:marRight w:val="0"/>
                      <w:marTop w:val="0"/>
                      <w:marBottom w:val="0"/>
                      <w:divBdr>
                        <w:top w:val="none" w:sz="0" w:space="0" w:color="auto"/>
                        <w:left w:val="none" w:sz="0" w:space="0" w:color="auto"/>
                        <w:bottom w:val="none" w:sz="0" w:space="0" w:color="auto"/>
                        <w:right w:val="none" w:sz="0" w:space="0" w:color="auto"/>
                      </w:divBdr>
                    </w:div>
                  </w:divsChild>
                </w:div>
                <w:div w:id="1119959699">
                  <w:marLeft w:val="0"/>
                  <w:marRight w:val="0"/>
                  <w:marTop w:val="0"/>
                  <w:marBottom w:val="0"/>
                  <w:divBdr>
                    <w:top w:val="none" w:sz="0" w:space="0" w:color="auto"/>
                    <w:left w:val="none" w:sz="0" w:space="0" w:color="auto"/>
                    <w:bottom w:val="none" w:sz="0" w:space="0" w:color="auto"/>
                    <w:right w:val="none" w:sz="0" w:space="0" w:color="auto"/>
                  </w:divBdr>
                  <w:divsChild>
                    <w:div w:id="1673024506">
                      <w:marLeft w:val="0"/>
                      <w:marRight w:val="0"/>
                      <w:marTop w:val="0"/>
                      <w:marBottom w:val="0"/>
                      <w:divBdr>
                        <w:top w:val="none" w:sz="0" w:space="0" w:color="auto"/>
                        <w:left w:val="none" w:sz="0" w:space="0" w:color="auto"/>
                        <w:bottom w:val="none" w:sz="0" w:space="0" w:color="auto"/>
                        <w:right w:val="none" w:sz="0" w:space="0" w:color="auto"/>
                      </w:divBdr>
                    </w:div>
                  </w:divsChild>
                </w:div>
                <w:div w:id="1135490032">
                  <w:marLeft w:val="0"/>
                  <w:marRight w:val="0"/>
                  <w:marTop w:val="0"/>
                  <w:marBottom w:val="0"/>
                  <w:divBdr>
                    <w:top w:val="none" w:sz="0" w:space="0" w:color="auto"/>
                    <w:left w:val="none" w:sz="0" w:space="0" w:color="auto"/>
                    <w:bottom w:val="none" w:sz="0" w:space="0" w:color="auto"/>
                    <w:right w:val="none" w:sz="0" w:space="0" w:color="auto"/>
                  </w:divBdr>
                  <w:divsChild>
                    <w:div w:id="300696466">
                      <w:marLeft w:val="0"/>
                      <w:marRight w:val="0"/>
                      <w:marTop w:val="0"/>
                      <w:marBottom w:val="0"/>
                      <w:divBdr>
                        <w:top w:val="none" w:sz="0" w:space="0" w:color="auto"/>
                        <w:left w:val="none" w:sz="0" w:space="0" w:color="auto"/>
                        <w:bottom w:val="none" w:sz="0" w:space="0" w:color="auto"/>
                        <w:right w:val="none" w:sz="0" w:space="0" w:color="auto"/>
                      </w:divBdr>
                    </w:div>
                  </w:divsChild>
                </w:div>
                <w:div w:id="1141656546">
                  <w:marLeft w:val="0"/>
                  <w:marRight w:val="0"/>
                  <w:marTop w:val="0"/>
                  <w:marBottom w:val="0"/>
                  <w:divBdr>
                    <w:top w:val="none" w:sz="0" w:space="0" w:color="auto"/>
                    <w:left w:val="none" w:sz="0" w:space="0" w:color="auto"/>
                    <w:bottom w:val="none" w:sz="0" w:space="0" w:color="auto"/>
                    <w:right w:val="none" w:sz="0" w:space="0" w:color="auto"/>
                  </w:divBdr>
                  <w:divsChild>
                    <w:div w:id="1526864556">
                      <w:marLeft w:val="0"/>
                      <w:marRight w:val="0"/>
                      <w:marTop w:val="0"/>
                      <w:marBottom w:val="0"/>
                      <w:divBdr>
                        <w:top w:val="none" w:sz="0" w:space="0" w:color="auto"/>
                        <w:left w:val="none" w:sz="0" w:space="0" w:color="auto"/>
                        <w:bottom w:val="none" w:sz="0" w:space="0" w:color="auto"/>
                        <w:right w:val="none" w:sz="0" w:space="0" w:color="auto"/>
                      </w:divBdr>
                    </w:div>
                  </w:divsChild>
                </w:div>
                <w:div w:id="1146895741">
                  <w:marLeft w:val="0"/>
                  <w:marRight w:val="0"/>
                  <w:marTop w:val="0"/>
                  <w:marBottom w:val="0"/>
                  <w:divBdr>
                    <w:top w:val="none" w:sz="0" w:space="0" w:color="auto"/>
                    <w:left w:val="none" w:sz="0" w:space="0" w:color="auto"/>
                    <w:bottom w:val="none" w:sz="0" w:space="0" w:color="auto"/>
                    <w:right w:val="none" w:sz="0" w:space="0" w:color="auto"/>
                  </w:divBdr>
                  <w:divsChild>
                    <w:div w:id="1535726549">
                      <w:marLeft w:val="0"/>
                      <w:marRight w:val="0"/>
                      <w:marTop w:val="0"/>
                      <w:marBottom w:val="0"/>
                      <w:divBdr>
                        <w:top w:val="none" w:sz="0" w:space="0" w:color="auto"/>
                        <w:left w:val="none" w:sz="0" w:space="0" w:color="auto"/>
                        <w:bottom w:val="none" w:sz="0" w:space="0" w:color="auto"/>
                        <w:right w:val="none" w:sz="0" w:space="0" w:color="auto"/>
                      </w:divBdr>
                    </w:div>
                  </w:divsChild>
                </w:div>
                <w:div w:id="1147630151">
                  <w:marLeft w:val="0"/>
                  <w:marRight w:val="0"/>
                  <w:marTop w:val="0"/>
                  <w:marBottom w:val="0"/>
                  <w:divBdr>
                    <w:top w:val="none" w:sz="0" w:space="0" w:color="auto"/>
                    <w:left w:val="none" w:sz="0" w:space="0" w:color="auto"/>
                    <w:bottom w:val="none" w:sz="0" w:space="0" w:color="auto"/>
                    <w:right w:val="none" w:sz="0" w:space="0" w:color="auto"/>
                  </w:divBdr>
                  <w:divsChild>
                    <w:div w:id="2117599817">
                      <w:marLeft w:val="0"/>
                      <w:marRight w:val="0"/>
                      <w:marTop w:val="0"/>
                      <w:marBottom w:val="0"/>
                      <w:divBdr>
                        <w:top w:val="none" w:sz="0" w:space="0" w:color="auto"/>
                        <w:left w:val="none" w:sz="0" w:space="0" w:color="auto"/>
                        <w:bottom w:val="none" w:sz="0" w:space="0" w:color="auto"/>
                        <w:right w:val="none" w:sz="0" w:space="0" w:color="auto"/>
                      </w:divBdr>
                    </w:div>
                  </w:divsChild>
                </w:div>
                <w:div w:id="1159809368">
                  <w:marLeft w:val="0"/>
                  <w:marRight w:val="0"/>
                  <w:marTop w:val="0"/>
                  <w:marBottom w:val="0"/>
                  <w:divBdr>
                    <w:top w:val="none" w:sz="0" w:space="0" w:color="auto"/>
                    <w:left w:val="none" w:sz="0" w:space="0" w:color="auto"/>
                    <w:bottom w:val="none" w:sz="0" w:space="0" w:color="auto"/>
                    <w:right w:val="none" w:sz="0" w:space="0" w:color="auto"/>
                  </w:divBdr>
                  <w:divsChild>
                    <w:div w:id="2001078701">
                      <w:marLeft w:val="0"/>
                      <w:marRight w:val="0"/>
                      <w:marTop w:val="0"/>
                      <w:marBottom w:val="0"/>
                      <w:divBdr>
                        <w:top w:val="none" w:sz="0" w:space="0" w:color="auto"/>
                        <w:left w:val="none" w:sz="0" w:space="0" w:color="auto"/>
                        <w:bottom w:val="none" w:sz="0" w:space="0" w:color="auto"/>
                        <w:right w:val="none" w:sz="0" w:space="0" w:color="auto"/>
                      </w:divBdr>
                    </w:div>
                  </w:divsChild>
                </w:div>
                <w:div w:id="1159999605">
                  <w:marLeft w:val="0"/>
                  <w:marRight w:val="0"/>
                  <w:marTop w:val="0"/>
                  <w:marBottom w:val="0"/>
                  <w:divBdr>
                    <w:top w:val="none" w:sz="0" w:space="0" w:color="auto"/>
                    <w:left w:val="none" w:sz="0" w:space="0" w:color="auto"/>
                    <w:bottom w:val="none" w:sz="0" w:space="0" w:color="auto"/>
                    <w:right w:val="none" w:sz="0" w:space="0" w:color="auto"/>
                  </w:divBdr>
                  <w:divsChild>
                    <w:div w:id="612827902">
                      <w:marLeft w:val="0"/>
                      <w:marRight w:val="0"/>
                      <w:marTop w:val="0"/>
                      <w:marBottom w:val="0"/>
                      <w:divBdr>
                        <w:top w:val="none" w:sz="0" w:space="0" w:color="auto"/>
                        <w:left w:val="none" w:sz="0" w:space="0" w:color="auto"/>
                        <w:bottom w:val="none" w:sz="0" w:space="0" w:color="auto"/>
                        <w:right w:val="none" w:sz="0" w:space="0" w:color="auto"/>
                      </w:divBdr>
                    </w:div>
                  </w:divsChild>
                </w:div>
                <w:div w:id="1160081827">
                  <w:marLeft w:val="0"/>
                  <w:marRight w:val="0"/>
                  <w:marTop w:val="0"/>
                  <w:marBottom w:val="0"/>
                  <w:divBdr>
                    <w:top w:val="none" w:sz="0" w:space="0" w:color="auto"/>
                    <w:left w:val="none" w:sz="0" w:space="0" w:color="auto"/>
                    <w:bottom w:val="none" w:sz="0" w:space="0" w:color="auto"/>
                    <w:right w:val="none" w:sz="0" w:space="0" w:color="auto"/>
                  </w:divBdr>
                  <w:divsChild>
                    <w:div w:id="911815999">
                      <w:marLeft w:val="0"/>
                      <w:marRight w:val="0"/>
                      <w:marTop w:val="0"/>
                      <w:marBottom w:val="0"/>
                      <w:divBdr>
                        <w:top w:val="none" w:sz="0" w:space="0" w:color="auto"/>
                        <w:left w:val="none" w:sz="0" w:space="0" w:color="auto"/>
                        <w:bottom w:val="none" w:sz="0" w:space="0" w:color="auto"/>
                        <w:right w:val="none" w:sz="0" w:space="0" w:color="auto"/>
                      </w:divBdr>
                    </w:div>
                  </w:divsChild>
                </w:div>
                <w:div w:id="1165780469">
                  <w:marLeft w:val="0"/>
                  <w:marRight w:val="0"/>
                  <w:marTop w:val="0"/>
                  <w:marBottom w:val="0"/>
                  <w:divBdr>
                    <w:top w:val="none" w:sz="0" w:space="0" w:color="auto"/>
                    <w:left w:val="none" w:sz="0" w:space="0" w:color="auto"/>
                    <w:bottom w:val="none" w:sz="0" w:space="0" w:color="auto"/>
                    <w:right w:val="none" w:sz="0" w:space="0" w:color="auto"/>
                  </w:divBdr>
                  <w:divsChild>
                    <w:div w:id="1088304597">
                      <w:marLeft w:val="0"/>
                      <w:marRight w:val="0"/>
                      <w:marTop w:val="0"/>
                      <w:marBottom w:val="0"/>
                      <w:divBdr>
                        <w:top w:val="none" w:sz="0" w:space="0" w:color="auto"/>
                        <w:left w:val="none" w:sz="0" w:space="0" w:color="auto"/>
                        <w:bottom w:val="none" w:sz="0" w:space="0" w:color="auto"/>
                        <w:right w:val="none" w:sz="0" w:space="0" w:color="auto"/>
                      </w:divBdr>
                    </w:div>
                  </w:divsChild>
                </w:div>
                <w:div w:id="1187985301">
                  <w:marLeft w:val="0"/>
                  <w:marRight w:val="0"/>
                  <w:marTop w:val="0"/>
                  <w:marBottom w:val="0"/>
                  <w:divBdr>
                    <w:top w:val="none" w:sz="0" w:space="0" w:color="auto"/>
                    <w:left w:val="none" w:sz="0" w:space="0" w:color="auto"/>
                    <w:bottom w:val="none" w:sz="0" w:space="0" w:color="auto"/>
                    <w:right w:val="none" w:sz="0" w:space="0" w:color="auto"/>
                  </w:divBdr>
                  <w:divsChild>
                    <w:div w:id="1045183274">
                      <w:marLeft w:val="0"/>
                      <w:marRight w:val="0"/>
                      <w:marTop w:val="0"/>
                      <w:marBottom w:val="0"/>
                      <w:divBdr>
                        <w:top w:val="none" w:sz="0" w:space="0" w:color="auto"/>
                        <w:left w:val="none" w:sz="0" w:space="0" w:color="auto"/>
                        <w:bottom w:val="none" w:sz="0" w:space="0" w:color="auto"/>
                        <w:right w:val="none" w:sz="0" w:space="0" w:color="auto"/>
                      </w:divBdr>
                    </w:div>
                  </w:divsChild>
                </w:div>
                <w:div w:id="1194223562">
                  <w:marLeft w:val="0"/>
                  <w:marRight w:val="0"/>
                  <w:marTop w:val="0"/>
                  <w:marBottom w:val="0"/>
                  <w:divBdr>
                    <w:top w:val="none" w:sz="0" w:space="0" w:color="auto"/>
                    <w:left w:val="none" w:sz="0" w:space="0" w:color="auto"/>
                    <w:bottom w:val="none" w:sz="0" w:space="0" w:color="auto"/>
                    <w:right w:val="none" w:sz="0" w:space="0" w:color="auto"/>
                  </w:divBdr>
                  <w:divsChild>
                    <w:div w:id="1380787181">
                      <w:marLeft w:val="0"/>
                      <w:marRight w:val="0"/>
                      <w:marTop w:val="0"/>
                      <w:marBottom w:val="0"/>
                      <w:divBdr>
                        <w:top w:val="none" w:sz="0" w:space="0" w:color="auto"/>
                        <w:left w:val="none" w:sz="0" w:space="0" w:color="auto"/>
                        <w:bottom w:val="none" w:sz="0" w:space="0" w:color="auto"/>
                        <w:right w:val="none" w:sz="0" w:space="0" w:color="auto"/>
                      </w:divBdr>
                    </w:div>
                  </w:divsChild>
                </w:div>
                <w:div w:id="1211112768">
                  <w:marLeft w:val="0"/>
                  <w:marRight w:val="0"/>
                  <w:marTop w:val="0"/>
                  <w:marBottom w:val="0"/>
                  <w:divBdr>
                    <w:top w:val="none" w:sz="0" w:space="0" w:color="auto"/>
                    <w:left w:val="none" w:sz="0" w:space="0" w:color="auto"/>
                    <w:bottom w:val="none" w:sz="0" w:space="0" w:color="auto"/>
                    <w:right w:val="none" w:sz="0" w:space="0" w:color="auto"/>
                  </w:divBdr>
                  <w:divsChild>
                    <w:div w:id="697777221">
                      <w:marLeft w:val="0"/>
                      <w:marRight w:val="0"/>
                      <w:marTop w:val="0"/>
                      <w:marBottom w:val="0"/>
                      <w:divBdr>
                        <w:top w:val="none" w:sz="0" w:space="0" w:color="auto"/>
                        <w:left w:val="none" w:sz="0" w:space="0" w:color="auto"/>
                        <w:bottom w:val="none" w:sz="0" w:space="0" w:color="auto"/>
                        <w:right w:val="none" w:sz="0" w:space="0" w:color="auto"/>
                      </w:divBdr>
                    </w:div>
                  </w:divsChild>
                </w:div>
                <w:div w:id="1237934408">
                  <w:marLeft w:val="0"/>
                  <w:marRight w:val="0"/>
                  <w:marTop w:val="0"/>
                  <w:marBottom w:val="0"/>
                  <w:divBdr>
                    <w:top w:val="none" w:sz="0" w:space="0" w:color="auto"/>
                    <w:left w:val="none" w:sz="0" w:space="0" w:color="auto"/>
                    <w:bottom w:val="none" w:sz="0" w:space="0" w:color="auto"/>
                    <w:right w:val="none" w:sz="0" w:space="0" w:color="auto"/>
                  </w:divBdr>
                  <w:divsChild>
                    <w:div w:id="1602180834">
                      <w:marLeft w:val="0"/>
                      <w:marRight w:val="0"/>
                      <w:marTop w:val="0"/>
                      <w:marBottom w:val="0"/>
                      <w:divBdr>
                        <w:top w:val="none" w:sz="0" w:space="0" w:color="auto"/>
                        <w:left w:val="none" w:sz="0" w:space="0" w:color="auto"/>
                        <w:bottom w:val="none" w:sz="0" w:space="0" w:color="auto"/>
                        <w:right w:val="none" w:sz="0" w:space="0" w:color="auto"/>
                      </w:divBdr>
                    </w:div>
                  </w:divsChild>
                </w:div>
                <w:div w:id="1240097927">
                  <w:marLeft w:val="0"/>
                  <w:marRight w:val="0"/>
                  <w:marTop w:val="0"/>
                  <w:marBottom w:val="0"/>
                  <w:divBdr>
                    <w:top w:val="none" w:sz="0" w:space="0" w:color="auto"/>
                    <w:left w:val="none" w:sz="0" w:space="0" w:color="auto"/>
                    <w:bottom w:val="none" w:sz="0" w:space="0" w:color="auto"/>
                    <w:right w:val="none" w:sz="0" w:space="0" w:color="auto"/>
                  </w:divBdr>
                  <w:divsChild>
                    <w:div w:id="957175996">
                      <w:marLeft w:val="0"/>
                      <w:marRight w:val="0"/>
                      <w:marTop w:val="0"/>
                      <w:marBottom w:val="0"/>
                      <w:divBdr>
                        <w:top w:val="none" w:sz="0" w:space="0" w:color="auto"/>
                        <w:left w:val="none" w:sz="0" w:space="0" w:color="auto"/>
                        <w:bottom w:val="none" w:sz="0" w:space="0" w:color="auto"/>
                        <w:right w:val="none" w:sz="0" w:space="0" w:color="auto"/>
                      </w:divBdr>
                    </w:div>
                  </w:divsChild>
                </w:div>
                <w:div w:id="1248229028">
                  <w:marLeft w:val="0"/>
                  <w:marRight w:val="0"/>
                  <w:marTop w:val="0"/>
                  <w:marBottom w:val="0"/>
                  <w:divBdr>
                    <w:top w:val="none" w:sz="0" w:space="0" w:color="auto"/>
                    <w:left w:val="none" w:sz="0" w:space="0" w:color="auto"/>
                    <w:bottom w:val="none" w:sz="0" w:space="0" w:color="auto"/>
                    <w:right w:val="none" w:sz="0" w:space="0" w:color="auto"/>
                  </w:divBdr>
                  <w:divsChild>
                    <w:div w:id="646280586">
                      <w:marLeft w:val="0"/>
                      <w:marRight w:val="0"/>
                      <w:marTop w:val="0"/>
                      <w:marBottom w:val="0"/>
                      <w:divBdr>
                        <w:top w:val="none" w:sz="0" w:space="0" w:color="auto"/>
                        <w:left w:val="none" w:sz="0" w:space="0" w:color="auto"/>
                        <w:bottom w:val="none" w:sz="0" w:space="0" w:color="auto"/>
                        <w:right w:val="none" w:sz="0" w:space="0" w:color="auto"/>
                      </w:divBdr>
                    </w:div>
                  </w:divsChild>
                </w:div>
                <w:div w:id="1263951854">
                  <w:marLeft w:val="0"/>
                  <w:marRight w:val="0"/>
                  <w:marTop w:val="0"/>
                  <w:marBottom w:val="0"/>
                  <w:divBdr>
                    <w:top w:val="none" w:sz="0" w:space="0" w:color="auto"/>
                    <w:left w:val="none" w:sz="0" w:space="0" w:color="auto"/>
                    <w:bottom w:val="none" w:sz="0" w:space="0" w:color="auto"/>
                    <w:right w:val="none" w:sz="0" w:space="0" w:color="auto"/>
                  </w:divBdr>
                  <w:divsChild>
                    <w:div w:id="979309004">
                      <w:marLeft w:val="0"/>
                      <w:marRight w:val="0"/>
                      <w:marTop w:val="0"/>
                      <w:marBottom w:val="0"/>
                      <w:divBdr>
                        <w:top w:val="none" w:sz="0" w:space="0" w:color="auto"/>
                        <w:left w:val="none" w:sz="0" w:space="0" w:color="auto"/>
                        <w:bottom w:val="none" w:sz="0" w:space="0" w:color="auto"/>
                        <w:right w:val="none" w:sz="0" w:space="0" w:color="auto"/>
                      </w:divBdr>
                    </w:div>
                  </w:divsChild>
                </w:div>
                <w:div w:id="1269502399">
                  <w:marLeft w:val="0"/>
                  <w:marRight w:val="0"/>
                  <w:marTop w:val="0"/>
                  <w:marBottom w:val="0"/>
                  <w:divBdr>
                    <w:top w:val="none" w:sz="0" w:space="0" w:color="auto"/>
                    <w:left w:val="none" w:sz="0" w:space="0" w:color="auto"/>
                    <w:bottom w:val="none" w:sz="0" w:space="0" w:color="auto"/>
                    <w:right w:val="none" w:sz="0" w:space="0" w:color="auto"/>
                  </w:divBdr>
                  <w:divsChild>
                    <w:div w:id="2087998472">
                      <w:marLeft w:val="0"/>
                      <w:marRight w:val="0"/>
                      <w:marTop w:val="0"/>
                      <w:marBottom w:val="0"/>
                      <w:divBdr>
                        <w:top w:val="none" w:sz="0" w:space="0" w:color="auto"/>
                        <w:left w:val="none" w:sz="0" w:space="0" w:color="auto"/>
                        <w:bottom w:val="none" w:sz="0" w:space="0" w:color="auto"/>
                        <w:right w:val="none" w:sz="0" w:space="0" w:color="auto"/>
                      </w:divBdr>
                    </w:div>
                  </w:divsChild>
                </w:div>
                <w:div w:id="1281759059">
                  <w:marLeft w:val="0"/>
                  <w:marRight w:val="0"/>
                  <w:marTop w:val="0"/>
                  <w:marBottom w:val="0"/>
                  <w:divBdr>
                    <w:top w:val="none" w:sz="0" w:space="0" w:color="auto"/>
                    <w:left w:val="none" w:sz="0" w:space="0" w:color="auto"/>
                    <w:bottom w:val="none" w:sz="0" w:space="0" w:color="auto"/>
                    <w:right w:val="none" w:sz="0" w:space="0" w:color="auto"/>
                  </w:divBdr>
                  <w:divsChild>
                    <w:div w:id="593048358">
                      <w:marLeft w:val="0"/>
                      <w:marRight w:val="0"/>
                      <w:marTop w:val="0"/>
                      <w:marBottom w:val="0"/>
                      <w:divBdr>
                        <w:top w:val="none" w:sz="0" w:space="0" w:color="auto"/>
                        <w:left w:val="none" w:sz="0" w:space="0" w:color="auto"/>
                        <w:bottom w:val="none" w:sz="0" w:space="0" w:color="auto"/>
                        <w:right w:val="none" w:sz="0" w:space="0" w:color="auto"/>
                      </w:divBdr>
                    </w:div>
                  </w:divsChild>
                </w:div>
                <w:div w:id="1336376927">
                  <w:marLeft w:val="0"/>
                  <w:marRight w:val="0"/>
                  <w:marTop w:val="0"/>
                  <w:marBottom w:val="0"/>
                  <w:divBdr>
                    <w:top w:val="none" w:sz="0" w:space="0" w:color="auto"/>
                    <w:left w:val="none" w:sz="0" w:space="0" w:color="auto"/>
                    <w:bottom w:val="none" w:sz="0" w:space="0" w:color="auto"/>
                    <w:right w:val="none" w:sz="0" w:space="0" w:color="auto"/>
                  </w:divBdr>
                  <w:divsChild>
                    <w:div w:id="1527477378">
                      <w:marLeft w:val="0"/>
                      <w:marRight w:val="0"/>
                      <w:marTop w:val="0"/>
                      <w:marBottom w:val="0"/>
                      <w:divBdr>
                        <w:top w:val="none" w:sz="0" w:space="0" w:color="auto"/>
                        <w:left w:val="none" w:sz="0" w:space="0" w:color="auto"/>
                        <w:bottom w:val="none" w:sz="0" w:space="0" w:color="auto"/>
                        <w:right w:val="none" w:sz="0" w:space="0" w:color="auto"/>
                      </w:divBdr>
                    </w:div>
                  </w:divsChild>
                </w:div>
                <w:div w:id="1350065854">
                  <w:marLeft w:val="0"/>
                  <w:marRight w:val="0"/>
                  <w:marTop w:val="0"/>
                  <w:marBottom w:val="0"/>
                  <w:divBdr>
                    <w:top w:val="none" w:sz="0" w:space="0" w:color="auto"/>
                    <w:left w:val="none" w:sz="0" w:space="0" w:color="auto"/>
                    <w:bottom w:val="none" w:sz="0" w:space="0" w:color="auto"/>
                    <w:right w:val="none" w:sz="0" w:space="0" w:color="auto"/>
                  </w:divBdr>
                  <w:divsChild>
                    <w:div w:id="2068186818">
                      <w:marLeft w:val="0"/>
                      <w:marRight w:val="0"/>
                      <w:marTop w:val="0"/>
                      <w:marBottom w:val="0"/>
                      <w:divBdr>
                        <w:top w:val="none" w:sz="0" w:space="0" w:color="auto"/>
                        <w:left w:val="none" w:sz="0" w:space="0" w:color="auto"/>
                        <w:bottom w:val="none" w:sz="0" w:space="0" w:color="auto"/>
                        <w:right w:val="none" w:sz="0" w:space="0" w:color="auto"/>
                      </w:divBdr>
                    </w:div>
                  </w:divsChild>
                </w:div>
                <w:div w:id="1350258022">
                  <w:marLeft w:val="0"/>
                  <w:marRight w:val="0"/>
                  <w:marTop w:val="0"/>
                  <w:marBottom w:val="0"/>
                  <w:divBdr>
                    <w:top w:val="none" w:sz="0" w:space="0" w:color="auto"/>
                    <w:left w:val="none" w:sz="0" w:space="0" w:color="auto"/>
                    <w:bottom w:val="none" w:sz="0" w:space="0" w:color="auto"/>
                    <w:right w:val="none" w:sz="0" w:space="0" w:color="auto"/>
                  </w:divBdr>
                  <w:divsChild>
                    <w:div w:id="1273905268">
                      <w:marLeft w:val="0"/>
                      <w:marRight w:val="0"/>
                      <w:marTop w:val="0"/>
                      <w:marBottom w:val="0"/>
                      <w:divBdr>
                        <w:top w:val="none" w:sz="0" w:space="0" w:color="auto"/>
                        <w:left w:val="none" w:sz="0" w:space="0" w:color="auto"/>
                        <w:bottom w:val="none" w:sz="0" w:space="0" w:color="auto"/>
                        <w:right w:val="none" w:sz="0" w:space="0" w:color="auto"/>
                      </w:divBdr>
                    </w:div>
                  </w:divsChild>
                </w:div>
                <w:div w:id="1377000309">
                  <w:marLeft w:val="0"/>
                  <w:marRight w:val="0"/>
                  <w:marTop w:val="0"/>
                  <w:marBottom w:val="0"/>
                  <w:divBdr>
                    <w:top w:val="none" w:sz="0" w:space="0" w:color="auto"/>
                    <w:left w:val="none" w:sz="0" w:space="0" w:color="auto"/>
                    <w:bottom w:val="none" w:sz="0" w:space="0" w:color="auto"/>
                    <w:right w:val="none" w:sz="0" w:space="0" w:color="auto"/>
                  </w:divBdr>
                  <w:divsChild>
                    <w:div w:id="39020710">
                      <w:marLeft w:val="0"/>
                      <w:marRight w:val="0"/>
                      <w:marTop w:val="0"/>
                      <w:marBottom w:val="0"/>
                      <w:divBdr>
                        <w:top w:val="none" w:sz="0" w:space="0" w:color="auto"/>
                        <w:left w:val="none" w:sz="0" w:space="0" w:color="auto"/>
                        <w:bottom w:val="none" w:sz="0" w:space="0" w:color="auto"/>
                        <w:right w:val="none" w:sz="0" w:space="0" w:color="auto"/>
                      </w:divBdr>
                    </w:div>
                  </w:divsChild>
                </w:div>
                <w:div w:id="1381780790">
                  <w:marLeft w:val="0"/>
                  <w:marRight w:val="0"/>
                  <w:marTop w:val="0"/>
                  <w:marBottom w:val="0"/>
                  <w:divBdr>
                    <w:top w:val="none" w:sz="0" w:space="0" w:color="auto"/>
                    <w:left w:val="none" w:sz="0" w:space="0" w:color="auto"/>
                    <w:bottom w:val="none" w:sz="0" w:space="0" w:color="auto"/>
                    <w:right w:val="none" w:sz="0" w:space="0" w:color="auto"/>
                  </w:divBdr>
                  <w:divsChild>
                    <w:div w:id="400300830">
                      <w:marLeft w:val="0"/>
                      <w:marRight w:val="0"/>
                      <w:marTop w:val="0"/>
                      <w:marBottom w:val="0"/>
                      <w:divBdr>
                        <w:top w:val="none" w:sz="0" w:space="0" w:color="auto"/>
                        <w:left w:val="none" w:sz="0" w:space="0" w:color="auto"/>
                        <w:bottom w:val="none" w:sz="0" w:space="0" w:color="auto"/>
                        <w:right w:val="none" w:sz="0" w:space="0" w:color="auto"/>
                      </w:divBdr>
                    </w:div>
                  </w:divsChild>
                </w:div>
                <w:div w:id="1407339744">
                  <w:marLeft w:val="0"/>
                  <w:marRight w:val="0"/>
                  <w:marTop w:val="0"/>
                  <w:marBottom w:val="0"/>
                  <w:divBdr>
                    <w:top w:val="none" w:sz="0" w:space="0" w:color="auto"/>
                    <w:left w:val="none" w:sz="0" w:space="0" w:color="auto"/>
                    <w:bottom w:val="none" w:sz="0" w:space="0" w:color="auto"/>
                    <w:right w:val="none" w:sz="0" w:space="0" w:color="auto"/>
                  </w:divBdr>
                  <w:divsChild>
                    <w:div w:id="2037388288">
                      <w:marLeft w:val="0"/>
                      <w:marRight w:val="0"/>
                      <w:marTop w:val="0"/>
                      <w:marBottom w:val="0"/>
                      <w:divBdr>
                        <w:top w:val="none" w:sz="0" w:space="0" w:color="auto"/>
                        <w:left w:val="none" w:sz="0" w:space="0" w:color="auto"/>
                        <w:bottom w:val="none" w:sz="0" w:space="0" w:color="auto"/>
                        <w:right w:val="none" w:sz="0" w:space="0" w:color="auto"/>
                      </w:divBdr>
                    </w:div>
                  </w:divsChild>
                </w:div>
                <w:div w:id="1431660492">
                  <w:marLeft w:val="0"/>
                  <w:marRight w:val="0"/>
                  <w:marTop w:val="0"/>
                  <w:marBottom w:val="0"/>
                  <w:divBdr>
                    <w:top w:val="none" w:sz="0" w:space="0" w:color="auto"/>
                    <w:left w:val="none" w:sz="0" w:space="0" w:color="auto"/>
                    <w:bottom w:val="none" w:sz="0" w:space="0" w:color="auto"/>
                    <w:right w:val="none" w:sz="0" w:space="0" w:color="auto"/>
                  </w:divBdr>
                  <w:divsChild>
                    <w:div w:id="1597712265">
                      <w:marLeft w:val="0"/>
                      <w:marRight w:val="0"/>
                      <w:marTop w:val="0"/>
                      <w:marBottom w:val="0"/>
                      <w:divBdr>
                        <w:top w:val="none" w:sz="0" w:space="0" w:color="auto"/>
                        <w:left w:val="none" w:sz="0" w:space="0" w:color="auto"/>
                        <w:bottom w:val="none" w:sz="0" w:space="0" w:color="auto"/>
                        <w:right w:val="none" w:sz="0" w:space="0" w:color="auto"/>
                      </w:divBdr>
                    </w:div>
                  </w:divsChild>
                </w:div>
                <w:div w:id="1433354106">
                  <w:marLeft w:val="0"/>
                  <w:marRight w:val="0"/>
                  <w:marTop w:val="0"/>
                  <w:marBottom w:val="0"/>
                  <w:divBdr>
                    <w:top w:val="none" w:sz="0" w:space="0" w:color="auto"/>
                    <w:left w:val="none" w:sz="0" w:space="0" w:color="auto"/>
                    <w:bottom w:val="none" w:sz="0" w:space="0" w:color="auto"/>
                    <w:right w:val="none" w:sz="0" w:space="0" w:color="auto"/>
                  </w:divBdr>
                  <w:divsChild>
                    <w:div w:id="988947701">
                      <w:marLeft w:val="0"/>
                      <w:marRight w:val="0"/>
                      <w:marTop w:val="0"/>
                      <w:marBottom w:val="0"/>
                      <w:divBdr>
                        <w:top w:val="none" w:sz="0" w:space="0" w:color="auto"/>
                        <w:left w:val="none" w:sz="0" w:space="0" w:color="auto"/>
                        <w:bottom w:val="none" w:sz="0" w:space="0" w:color="auto"/>
                        <w:right w:val="none" w:sz="0" w:space="0" w:color="auto"/>
                      </w:divBdr>
                    </w:div>
                  </w:divsChild>
                </w:div>
                <w:div w:id="1452238656">
                  <w:marLeft w:val="0"/>
                  <w:marRight w:val="0"/>
                  <w:marTop w:val="0"/>
                  <w:marBottom w:val="0"/>
                  <w:divBdr>
                    <w:top w:val="none" w:sz="0" w:space="0" w:color="auto"/>
                    <w:left w:val="none" w:sz="0" w:space="0" w:color="auto"/>
                    <w:bottom w:val="none" w:sz="0" w:space="0" w:color="auto"/>
                    <w:right w:val="none" w:sz="0" w:space="0" w:color="auto"/>
                  </w:divBdr>
                  <w:divsChild>
                    <w:div w:id="67121241">
                      <w:marLeft w:val="0"/>
                      <w:marRight w:val="0"/>
                      <w:marTop w:val="0"/>
                      <w:marBottom w:val="0"/>
                      <w:divBdr>
                        <w:top w:val="none" w:sz="0" w:space="0" w:color="auto"/>
                        <w:left w:val="none" w:sz="0" w:space="0" w:color="auto"/>
                        <w:bottom w:val="none" w:sz="0" w:space="0" w:color="auto"/>
                        <w:right w:val="none" w:sz="0" w:space="0" w:color="auto"/>
                      </w:divBdr>
                    </w:div>
                  </w:divsChild>
                </w:div>
                <w:div w:id="1453091462">
                  <w:marLeft w:val="0"/>
                  <w:marRight w:val="0"/>
                  <w:marTop w:val="0"/>
                  <w:marBottom w:val="0"/>
                  <w:divBdr>
                    <w:top w:val="none" w:sz="0" w:space="0" w:color="auto"/>
                    <w:left w:val="none" w:sz="0" w:space="0" w:color="auto"/>
                    <w:bottom w:val="none" w:sz="0" w:space="0" w:color="auto"/>
                    <w:right w:val="none" w:sz="0" w:space="0" w:color="auto"/>
                  </w:divBdr>
                  <w:divsChild>
                    <w:div w:id="1451392258">
                      <w:marLeft w:val="0"/>
                      <w:marRight w:val="0"/>
                      <w:marTop w:val="0"/>
                      <w:marBottom w:val="0"/>
                      <w:divBdr>
                        <w:top w:val="none" w:sz="0" w:space="0" w:color="auto"/>
                        <w:left w:val="none" w:sz="0" w:space="0" w:color="auto"/>
                        <w:bottom w:val="none" w:sz="0" w:space="0" w:color="auto"/>
                        <w:right w:val="none" w:sz="0" w:space="0" w:color="auto"/>
                      </w:divBdr>
                    </w:div>
                  </w:divsChild>
                </w:div>
                <w:div w:id="1455707764">
                  <w:marLeft w:val="0"/>
                  <w:marRight w:val="0"/>
                  <w:marTop w:val="0"/>
                  <w:marBottom w:val="0"/>
                  <w:divBdr>
                    <w:top w:val="none" w:sz="0" w:space="0" w:color="auto"/>
                    <w:left w:val="none" w:sz="0" w:space="0" w:color="auto"/>
                    <w:bottom w:val="none" w:sz="0" w:space="0" w:color="auto"/>
                    <w:right w:val="none" w:sz="0" w:space="0" w:color="auto"/>
                  </w:divBdr>
                  <w:divsChild>
                    <w:div w:id="172426850">
                      <w:marLeft w:val="0"/>
                      <w:marRight w:val="0"/>
                      <w:marTop w:val="0"/>
                      <w:marBottom w:val="0"/>
                      <w:divBdr>
                        <w:top w:val="none" w:sz="0" w:space="0" w:color="auto"/>
                        <w:left w:val="none" w:sz="0" w:space="0" w:color="auto"/>
                        <w:bottom w:val="none" w:sz="0" w:space="0" w:color="auto"/>
                        <w:right w:val="none" w:sz="0" w:space="0" w:color="auto"/>
                      </w:divBdr>
                    </w:div>
                  </w:divsChild>
                </w:div>
                <w:div w:id="1468235070">
                  <w:marLeft w:val="0"/>
                  <w:marRight w:val="0"/>
                  <w:marTop w:val="0"/>
                  <w:marBottom w:val="0"/>
                  <w:divBdr>
                    <w:top w:val="none" w:sz="0" w:space="0" w:color="auto"/>
                    <w:left w:val="none" w:sz="0" w:space="0" w:color="auto"/>
                    <w:bottom w:val="none" w:sz="0" w:space="0" w:color="auto"/>
                    <w:right w:val="none" w:sz="0" w:space="0" w:color="auto"/>
                  </w:divBdr>
                  <w:divsChild>
                    <w:div w:id="425998916">
                      <w:marLeft w:val="0"/>
                      <w:marRight w:val="0"/>
                      <w:marTop w:val="0"/>
                      <w:marBottom w:val="0"/>
                      <w:divBdr>
                        <w:top w:val="none" w:sz="0" w:space="0" w:color="auto"/>
                        <w:left w:val="none" w:sz="0" w:space="0" w:color="auto"/>
                        <w:bottom w:val="none" w:sz="0" w:space="0" w:color="auto"/>
                        <w:right w:val="none" w:sz="0" w:space="0" w:color="auto"/>
                      </w:divBdr>
                    </w:div>
                  </w:divsChild>
                </w:div>
                <w:div w:id="1473862587">
                  <w:marLeft w:val="0"/>
                  <w:marRight w:val="0"/>
                  <w:marTop w:val="0"/>
                  <w:marBottom w:val="0"/>
                  <w:divBdr>
                    <w:top w:val="none" w:sz="0" w:space="0" w:color="auto"/>
                    <w:left w:val="none" w:sz="0" w:space="0" w:color="auto"/>
                    <w:bottom w:val="none" w:sz="0" w:space="0" w:color="auto"/>
                    <w:right w:val="none" w:sz="0" w:space="0" w:color="auto"/>
                  </w:divBdr>
                  <w:divsChild>
                    <w:div w:id="1178736921">
                      <w:marLeft w:val="0"/>
                      <w:marRight w:val="0"/>
                      <w:marTop w:val="0"/>
                      <w:marBottom w:val="0"/>
                      <w:divBdr>
                        <w:top w:val="none" w:sz="0" w:space="0" w:color="auto"/>
                        <w:left w:val="none" w:sz="0" w:space="0" w:color="auto"/>
                        <w:bottom w:val="none" w:sz="0" w:space="0" w:color="auto"/>
                        <w:right w:val="none" w:sz="0" w:space="0" w:color="auto"/>
                      </w:divBdr>
                    </w:div>
                  </w:divsChild>
                </w:div>
                <w:div w:id="1478567407">
                  <w:marLeft w:val="0"/>
                  <w:marRight w:val="0"/>
                  <w:marTop w:val="0"/>
                  <w:marBottom w:val="0"/>
                  <w:divBdr>
                    <w:top w:val="none" w:sz="0" w:space="0" w:color="auto"/>
                    <w:left w:val="none" w:sz="0" w:space="0" w:color="auto"/>
                    <w:bottom w:val="none" w:sz="0" w:space="0" w:color="auto"/>
                    <w:right w:val="none" w:sz="0" w:space="0" w:color="auto"/>
                  </w:divBdr>
                  <w:divsChild>
                    <w:div w:id="1833373913">
                      <w:marLeft w:val="0"/>
                      <w:marRight w:val="0"/>
                      <w:marTop w:val="0"/>
                      <w:marBottom w:val="0"/>
                      <w:divBdr>
                        <w:top w:val="none" w:sz="0" w:space="0" w:color="auto"/>
                        <w:left w:val="none" w:sz="0" w:space="0" w:color="auto"/>
                        <w:bottom w:val="none" w:sz="0" w:space="0" w:color="auto"/>
                        <w:right w:val="none" w:sz="0" w:space="0" w:color="auto"/>
                      </w:divBdr>
                    </w:div>
                  </w:divsChild>
                </w:div>
                <w:div w:id="1483622911">
                  <w:marLeft w:val="0"/>
                  <w:marRight w:val="0"/>
                  <w:marTop w:val="0"/>
                  <w:marBottom w:val="0"/>
                  <w:divBdr>
                    <w:top w:val="none" w:sz="0" w:space="0" w:color="auto"/>
                    <w:left w:val="none" w:sz="0" w:space="0" w:color="auto"/>
                    <w:bottom w:val="none" w:sz="0" w:space="0" w:color="auto"/>
                    <w:right w:val="none" w:sz="0" w:space="0" w:color="auto"/>
                  </w:divBdr>
                  <w:divsChild>
                    <w:div w:id="1659650538">
                      <w:marLeft w:val="0"/>
                      <w:marRight w:val="0"/>
                      <w:marTop w:val="0"/>
                      <w:marBottom w:val="0"/>
                      <w:divBdr>
                        <w:top w:val="none" w:sz="0" w:space="0" w:color="auto"/>
                        <w:left w:val="none" w:sz="0" w:space="0" w:color="auto"/>
                        <w:bottom w:val="none" w:sz="0" w:space="0" w:color="auto"/>
                        <w:right w:val="none" w:sz="0" w:space="0" w:color="auto"/>
                      </w:divBdr>
                    </w:div>
                  </w:divsChild>
                </w:div>
                <w:div w:id="1500390969">
                  <w:marLeft w:val="0"/>
                  <w:marRight w:val="0"/>
                  <w:marTop w:val="0"/>
                  <w:marBottom w:val="0"/>
                  <w:divBdr>
                    <w:top w:val="none" w:sz="0" w:space="0" w:color="auto"/>
                    <w:left w:val="none" w:sz="0" w:space="0" w:color="auto"/>
                    <w:bottom w:val="none" w:sz="0" w:space="0" w:color="auto"/>
                    <w:right w:val="none" w:sz="0" w:space="0" w:color="auto"/>
                  </w:divBdr>
                  <w:divsChild>
                    <w:div w:id="333185386">
                      <w:marLeft w:val="0"/>
                      <w:marRight w:val="0"/>
                      <w:marTop w:val="0"/>
                      <w:marBottom w:val="0"/>
                      <w:divBdr>
                        <w:top w:val="none" w:sz="0" w:space="0" w:color="auto"/>
                        <w:left w:val="none" w:sz="0" w:space="0" w:color="auto"/>
                        <w:bottom w:val="none" w:sz="0" w:space="0" w:color="auto"/>
                        <w:right w:val="none" w:sz="0" w:space="0" w:color="auto"/>
                      </w:divBdr>
                    </w:div>
                  </w:divsChild>
                </w:div>
                <w:div w:id="1504198657">
                  <w:marLeft w:val="0"/>
                  <w:marRight w:val="0"/>
                  <w:marTop w:val="0"/>
                  <w:marBottom w:val="0"/>
                  <w:divBdr>
                    <w:top w:val="none" w:sz="0" w:space="0" w:color="auto"/>
                    <w:left w:val="none" w:sz="0" w:space="0" w:color="auto"/>
                    <w:bottom w:val="none" w:sz="0" w:space="0" w:color="auto"/>
                    <w:right w:val="none" w:sz="0" w:space="0" w:color="auto"/>
                  </w:divBdr>
                  <w:divsChild>
                    <w:div w:id="452865930">
                      <w:marLeft w:val="0"/>
                      <w:marRight w:val="0"/>
                      <w:marTop w:val="0"/>
                      <w:marBottom w:val="0"/>
                      <w:divBdr>
                        <w:top w:val="none" w:sz="0" w:space="0" w:color="auto"/>
                        <w:left w:val="none" w:sz="0" w:space="0" w:color="auto"/>
                        <w:bottom w:val="none" w:sz="0" w:space="0" w:color="auto"/>
                        <w:right w:val="none" w:sz="0" w:space="0" w:color="auto"/>
                      </w:divBdr>
                    </w:div>
                  </w:divsChild>
                </w:div>
                <w:div w:id="1536575582">
                  <w:marLeft w:val="0"/>
                  <w:marRight w:val="0"/>
                  <w:marTop w:val="0"/>
                  <w:marBottom w:val="0"/>
                  <w:divBdr>
                    <w:top w:val="none" w:sz="0" w:space="0" w:color="auto"/>
                    <w:left w:val="none" w:sz="0" w:space="0" w:color="auto"/>
                    <w:bottom w:val="none" w:sz="0" w:space="0" w:color="auto"/>
                    <w:right w:val="none" w:sz="0" w:space="0" w:color="auto"/>
                  </w:divBdr>
                  <w:divsChild>
                    <w:div w:id="1414931197">
                      <w:marLeft w:val="0"/>
                      <w:marRight w:val="0"/>
                      <w:marTop w:val="0"/>
                      <w:marBottom w:val="0"/>
                      <w:divBdr>
                        <w:top w:val="none" w:sz="0" w:space="0" w:color="auto"/>
                        <w:left w:val="none" w:sz="0" w:space="0" w:color="auto"/>
                        <w:bottom w:val="none" w:sz="0" w:space="0" w:color="auto"/>
                        <w:right w:val="none" w:sz="0" w:space="0" w:color="auto"/>
                      </w:divBdr>
                    </w:div>
                  </w:divsChild>
                </w:div>
                <w:div w:id="1546408641">
                  <w:marLeft w:val="0"/>
                  <w:marRight w:val="0"/>
                  <w:marTop w:val="0"/>
                  <w:marBottom w:val="0"/>
                  <w:divBdr>
                    <w:top w:val="none" w:sz="0" w:space="0" w:color="auto"/>
                    <w:left w:val="none" w:sz="0" w:space="0" w:color="auto"/>
                    <w:bottom w:val="none" w:sz="0" w:space="0" w:color="auto"/>
                    <w:right w:val="none" w:sz="0" w:space="0" w:color="auto"/>
                  </w:divBdr>
                  <w:divsChild>
                    <w:div w:id="1105154079">
                      <w:marLeft w:val="0"/>
                      <w:marRight w:val="0"/>
                      <w:marTop w:val="0"/>
                      <w:marBottom w:val="0"/>
                      <w:divBdr>
                        <w:top w:val="none" w:sz="0" w:space="0" w:color="auto"/>
                        <w:left w:val="none" w:sz="0" w:space="0" w:color="auto"/>
                        <w:bottom w:val="none" w:sz="0" w:space="0" w:color="auto"/>
                        <w:right w:val="none" w:sz="0" w:space="0" w:color="auto"/>
                      </w:divBdr>
                    </w:div>
                  </w:divsChild>
                </w:div>
                <w:div w:id="1567105899">
                  <w:marLeft w:val="0"/>
                  <w:marRight w:val="0"/>
                  <w:marTop w:val="0"/>
                  <w:marBottom w:val="0"/>
                  <w:divBdr>
                    <w:top w:val="none" w:sz="0" w:space="0" w:color="auto"/>
                    <w:left w:val="none" w:sz="0" w:space="0" w:color="auto"/>
                    <w:bottom w:val="none" w:sz="0" w:space="0" w:color="auto"/>
                    <w:right w:val="none" w:sz="0" w:space="0" w:color="auto"/>
                  </w:divBdr>
                  <w:divsChild>
                    <w:div w:id="474880134">
                      <w:marLeft w:val="0"/>
                      <w:marRight w:val="0"/>
                      <w:marTop w:val="0"/>
                      <w:marBottom w:val="0"/>
                      <w:divBdr>
                        <w:top w:val="none" w:sz="0" w:space="0" w:color="auto"/>
                        <w:left w:val="none" w:sz="0" w:space="0" w:color="auto"/>
                        <w:bottom w:val="none" w:sz="0" w:space="0" w:color="auto"/>
                        <w:right w:val="none" w:sz="0" w:space="0" w:color="auto"/>
                      </w:divBdr>
                    </w:div>
                  </w:divsChild>
                </w:div>
                <w:div w:id="1581064486">
                  <w:marLeft w:val="0"/>
                  <w:marRight w:val="0"/>
                  <w:marTop w:val="0"/>
                  <w:marBottom w:val="0"/>
                  <w:divBdr>
                    <w:top w:val="none" w:sz="0" w:space="0" w:color="auto"/>
                    <w:left w:val="none" w:sz="0" w:space="0" w:color="auto"/>
                    <w:bottom w:val="none" w:sz="0" w:space="0" w:color="auto"/>
                    <w:right w:val="none" w:sz="0" w:space="0" w:color="auto"/>
                  </w:divBdr>
                  <w:divsChild>
                    <w:div w:id="34157541">
                      <w:marLeft w:val="0"/>
                      <w:marRight w:val="0"/>
                      <w:marTop w:val="0"/>
                      <w:marBottom w:val="0"/>
                      <w:divBdr>
                        <w:top w:val="none" w:sz="0" w:space="0" w:color="auto"/>
                        <w:left w:val="none" w:sz="0" w:space="0" w:color="auto"/>
                        <w:bottom w:val="none" w:sz="0" w:space="0" w:color="auto"/>
                        <w:right w:val="none" w:sz="0" w:space="0" w:color="auto"/>
                      </w:divBdr>
                    </w:div>
                  </w:divsChild>
                </w:div>
                <w:div w:id="1586842256">
                  <w:marLeft w:val="0"/>
                  <w:marRight w:val="0"/>
                  <w:marTop w:val="0"/>
                  <w:marBottom w:val="0"/>
                  <w:divBdr>
                    <w:top w:val="none" w:sz="0" w:space="0" w:color="auto"/>
                    <w:left w:val="none" w:sz="0" w:space="0" w:color="auto"/>
                    <w:bottom w:val="none" w:sz="0" w:space="0" w:color="auto"/>
                    <w:right w:val="none" w:sz="0" w:space="0" w:color="auto"/>
                  </w:divBdr>
                  <w:divsChild>
                    <w:div w:id="1088574219">
                      <w:marLeft w:val="0"/>
                      <w:marRight w:val="0"/>
                      <w:marTop w:val="0"/>
                      <w:marBottom w:val="0"/>
                      <w:divBdr>
                        <w:top w:val="none" w:sz="0" w:space="0" w:color="auto"/>
                        <w:left w:val="none" w:sz="0" w:space="0" w:color="auto"/>
                        <w:bottom w:val="none" w:sz="0" w:space="0" w:color="auto"/>
                        <w:right w:val="none" w:sz="0" w:space="0" w:color="auto"/>
                      </w:divBdr>
                    </w:div>
                  </w:divsChild>
                </w:div>
                <w:div w:id="1592159057">
                  <w:marLeft w:val="0"/>
                  <w:marRight w:val="0"/>
                  <w:marTop w:val="0"/>
                  <w:marBottom w:val="0"/>
                  <w:divBdr>
                    <w:top w:val="none" w:sz="0" w:space="0" w:color="auto"/>
                    <w:left w:val="none" w:sz="0" w:space="0" w:color="auto"/>
                    <w:bottom w:val="none" w:sz="0" w:space="0" w:color="auto"/>
                    <w:right w:val="none" w:sz="0" w:space="0" w:color="auto"/>
                  </w:divBdr>
                  <w:divsChild>
                    <w:div w:id="55126004">
                      <w:marLeft w:val="0"/>
                      <w:marRight w:val="0"/>
                      <w:marTop w:val="0"/>
                      <w:marBottom w:val="0"/>
                      <w:divBdr>
                        <w:top w:val="none" w:sz="0" w:space="0" w:color="auto"/>
                        <w:left w:val="none" w:sz="0" w:space="0" w:color="auto"/>
                        <w:bottom w:val="none" w:sz="0" w:space="0" w:color="auto"/>
                        <w:right w:val="none" w:sz="0" w:space="0" w:color="auto"/>
                      </w:divBdr>
                    </w:div>
                  </w:divsChild>
                </w:div>
                <w:div w:id="1593124476">
                  <w:marLeft w:val="0"/>
                  <w:marRight w:val="0"/>
                  <w:marTop w:val="0"/>
                  <w:marBottom w:val="0"/>
                  <w:divBdr>
                    <w:top w:val="none" w:sz="0" w:space="0" w:color="auto"/>
                    <w:left w:val="none" w:sz="0" w:space="0" w:color="auto"/>
                    <w:bottom w:val="none" w:sz="0" w:space="0" w:color="auto"/>
                    <w:right w:val="none" w:sz="0" w:space="0" w:color="auto"/>
                  </w:divBdr>
                  <w:divsChild>
                    <w:div w:id="529143849">
                      <w:marLeft w:val="0"/>
                      <w:marRight w:val="0"/>
                      <w:marTop w:val="0"/>
                      <w:marBottom w:val="0"/>
                      <w:divBdr>
                        <w:top w:val="none" w:sz="0" w:space="0" w:color="auto"/>
                        <w:left w:val="none" w:sz="0" w:space="0" w:color="auto"/>
                        <w:bottom w:val="none" w:sz="0" w:space="0" w:color="auto"/>
                        <w:right w:val="none" w:sz="0" w:space="0" w:color="auto"/>
                      </w:divBdr>
                    </w:div>
                  </w:divsChild>
                </w:div>
                <w:div w:id="1609972071">
                  <w:marLeft w:val="0"/>
                  <w:marRight w:val="0"/>
                  <w:marTop w:val="0"/>
                  <w:marBottom w:val="0"/>
                  <w:divBdr>
                    <w:top w:val="none" w:sz="0" w:space="0" w:color="auto"/>
                    <w:left w:val="none" w:sz="0" w:space="0" w:color="auto"/>
                    <w:bottom w:val="none" w:sz="0" w:space="0" w:color="auto"/>
                    <w:right w:val="none" w:sz="0" w:space="0" w:color="auto"/>
                  </w:divBdr>
                  <w:divsChild>
                    <w:div w:id="2060784604">
                      <w:marLeft w:val="0"/>
                      <w:marRight w:val="0"/>
                      <w:marTop w:val="0"/>
                      <w:marBottom w:val="0"/>
                      <w:divBdr>
                        <w:top w:val="none" w:sz="0" w:space="0" w:color="auto"/>
                        <w:left w:val="none" w:sz="0" w:space="0" w:color="auto"/>
                        <w:bottom w:val="none" w:sz="0" w:space="0" w:color="auto"/>
                        <w:right w:val="none" w:sz="0" w:space="0" w:color="auto"/>
                      </w:divBdr>
                    </w:div>
                  </w:divsChild>
                </w:div>
                <w:div w:id="1612513827">
                  <w:marLeft w:val="0"/>
                  <w:marRight w:val="0"/>
                  <w:marTop w:val="0"/>
                  <w:marBottom w:val="0"/>
                  <w:divBdr>
                    <w:top w:val="none" w:sz="0" w:space="0" w:color="auto"/>
                    <w:left w:val="none" w:sz="0" w:space="0" w:color="auto"/>
                    <w:bottom w:val="none" w:sz="0" w:space="0" w:color="auto"/>
                    <w:right w:val="none" w:sz="0" w:space="0" w:color="auto"/>
                  </w:divBdr>
                  <w:divsChild>
                    <w:div w:id="667559020">
                      <w:marLeft w:val="0"/>
                      <w:marRight w:val="0"/>
                      <w:marTop w:val="0"/>
                      <w:marBottom w:val="0"/>
                      <w:divBdr>
                        <w:top w:val="none" w:sz="0" w:space="0" w:color="auto"/>
                        <w:left w:val="none" w:sz="0" w:space="0" w:color="auto"/>
                        <w:bottom w:val="none" w:sz="0" w:space="0" w:color="auto"/>
                        <w:right w:val="none" w:sz="0" w:space="0" w:color="auto"/>
                      </w:divBdr>
                    </w:div>
                  </w:divsChild>
                </w:div>
                <w:div w:id="1622344278">
                  <w:marLeft w:val="0"/>
                  <w:marRight w:val="0"/>
                  <w:marTop w:val="0"/>
                  <w:marBottom w:val="0"/>
                  <w:divBdr>
                    <w:top w:val="none" w:sz="0" w:space="0" w:color="auto"/>
                    <w:left w:val="none" w:sz="0" w:space="0" w:color="auto"/>
                    <w:bottom w:val="none" w:sz="0" w:space="0" w:color="auto"/>
                    <w:right w:val="none" w:sz="0" w:space="0" w:color="auto"/>
                  </w:divBdr>
                  <w:divsChild>
                    <w:div w:id="588540303">
                      <w:marLeft w:val="0"/>
                      <w:marRight w:val="0"/>
                      <w:marTop w:val="0"/>
                      <w:marBottom w:val="0"/>
                      <w:divBdr>
                        <w:top w:val="none" w:sz="0" w:space="0" w:color="auto"/>
                        <w:left w:val="none" w:sz="0" w:space="0" w:color="auto"/>
                        <w:bottom w:val="none" w:sz="0" w:space="0" w:color="auto"/>
                        <w:right w:val="none" w:sz="0" w:space="0" w:color="auto"/>
                      </w:divBdr>
                    </w:div>
                    <w:div w:id="615647314">
                      <w:marLeft w:val="0"/>
                      <w:marRight w:val="0"/>
                      <w:marTop w:val="0"/>
                      <w:marBottom w:val="0"/>
                      <w:divBdr>
                        <w:top w:val="none" w:sz="0" w:space="0" w:color="auto"/>
                        <w:left w:val="none" w:sz="0" w:space="0" w:color="auto"/>
                        <w:bottom w:val="none" w:sz="0" w:space="0" w:color="auto"/>
                        <w:right w:val="none" w:sz="0" w:space="0" w:color="auto"/>
                      </w:divBdr>
                    </w:div>
                    <w:div w:id="663243762">
                      <w:marLeft w:val="0"/>
                      <w:marRight w:val="0"/>
                      <w:marTop w:val="0"/>
                      <w:marBottom w:val="0"/>
                      <w:divBdr>
                        <w:top w:val="none" w:sz="0" w:space="0" w:color="auto"/>
                        <w:left w:val="none" w:sz="0" w:space="0" w:color="auto"/>
                        <w:bottom w:val="none" w:sz="0" w:space="0" w:color="auto"/>
                        <w:right w:val="none" w:sz="0" w:space="0" w:color="auto"/>
                      </w:divBdr>
                    </w:div>
                    <w:div w:id="784694032">
                      <w:marLeft w:val="0"/>
                      <w:marRight w:val="0"/>
                      <w:marTop w:val="0"/>
                      <w:marBottom w:val="0"/>
                      <w:divBdr>
                        <w:top w:val="none" w:sz="0" w:space="0" w:color="auto"/>
                        <w:left w:val="none" w:sz="0" w:space="0" w:color="auto"/>
                        <w:bottom w:val="none" w:sz="0" w:space="0" w:color="auto"/>
                        <w:right w:val="none" w:sz="0" w:space="0" w:color="auto"/>
                      </w:divBdr>
                    </w:div>
                    <w:div w:id="1122458141">
                      <w:marLeft w:val="0"/>
                      <w:marRight w:val="0"/>
                      <w:marTop w:val="0"/>
                      <w:marBottom w:val="0"/>
                      <w:divBdr>
                        <w:top w:val="none" w:sz="0" w:space="0" w:color="auto"/>
                        <w:left w:val="none" w:sz="0" w:space="0" w:color="auto"/>
                        <w:bottom w:val="none" w:sz="0" w:space="0" w:color="auto"/>
                        <w:right w:val="none" w:sz="0" w:space="0" w:color="auto"/>
                      </w:divBdr>
                    </w:div>
                    <w:div w:id="1404720370">
                      <w:marLeft w:val="0"/>
                      <w:marRight w:val="0"/>
                      <w:marTop w:val="0"/>
                      <w:marBottom w:val="0"/>
                      <w:divBdr>
                        <w:top w:val="none" w:sz="0" w:space="0" w:color="auto"/>
                        <w:left w:val="none" w:sz="0" w:space="0" w:color="auto"/>
                        <w:bottom w:val="none" w:sz="0" w:space="0" w:color="auto"/>
                        <w:right w:val="none" w:sz="0" w:space="0" w:color="auto"/>
                      </w:divBdr>
                    </w:div>
                  </w:divsChild>
                </w:div>
                <w:div w:id="1638561398">
                  <w:marLeft w:val="0"/>
                  <w:marRight w:val="0"/>
                  <w:marTop w:val="0"/>
                  <w:marBottom w:val="0"/>
                  <w:divBdr>
                    <w:top w:val="none" w:sz="0" w:space="0" w:color="auto"/>
                    <w:left w:val="none" w:sz="0" w:space="0" w:color="auto"/>
                    <w:bottom w:val="none" w:sz="0" w:space="0" w:color="auto"/>
                    <w:right w:val="none" w:sz="0" w:space="0" w:color="auto"/>
                  </w:divBdr>
                  <w:divsChild>
                    <w:div w:id="584875289">
                      <w:marLeft w:val="0"/>
                      <w:marRight w:val="0"/>
                      <w:marTop w:val="0"/>
                      <w:marBottom w:val="0"/>
                      <w:divBdr>
                        <w:top w:val="none" w:sz="0" w:space="0" w:color="auto"/>
                        <w:left w:val="none" w:sz="0" w:space="0" w:color="auto"/>
                        <w:bottom w:val="none" w:sz="0" w:space="0" w:color="auto"/>
                        <w:right w:val="none" w:sz="0" w:space="0" w:color="auto"/>
                      </w:divBdr>
                    </w:div>
                  </w:divsChild>
                </w:div>
                <w:div w:id="1646930732">
                  <w:marLeft w:val="0"/>
                  <w:marRight w:val="0"/>
                  <w:marTop w:val="0"/>
                  <w:marBottom w:val="0"/>
                  <w:divBdr>
                    <w:top w:val="none" w:sz="0" w:space="0" w:color="auto"/>
                    <w:left w:val="none" w:sz="0" w:space="0" w:color="auto"/>
                    <w:bottom w:val="none" w:sz="0" w:space="0" w:color="auto"/>
                    <w:right w:val="none" w:sz="0" w:space="0" w:color="auto"/>
                  </w:divBdr>
                  <w:divsChild>
                    <w:div w:id="689066079">
                      <w:marLeft w:val="0"/>
                      <w:marRight w:val="0"/>
                      <w:marTop w:val="0"/>
                      <w:marBottom w:val="0"/>
                      <w:divBdr>
                        <w:top w:val="none" w:sz="0" w:space="0" w:color="auto"/>
                        <w:left w:val="none" w:sz="0" w:space="0" w:color="auto"/>
                        <w:bottom w:val="none" w:sz="0" w:space="0" w:color="auto"/>
                        <w:right w:val="none" w:sz="0" w:space="0" w:color="auto"/>
                      </w:divBdr>
                    </w:div>
                  </w:divsChild>
                </w:div>
                <w:div w:id="1666782352">
                  <w:marLeft w:val="0"/>
                  <w:marRight w:val="0"/>
                  <w:marTop w:val="0"/>
                  <w:marBottom w:val="0"/>
                  <w:divBdr>
                    <w:top w:val="none" w:sz="0" w:space="0" w:color="auto"/>
                    <w:left w:val="none" w:sz="0" w:space="0" w:color="auto"/>
                    <w:bottom w:val="none" w:sz="0" w:space="0" w:color="auto"/>
                    <w:right w:val="none" w:sz="0" w:space="0" w:color="auto"/>
                  </w:divBdr>
                  <w:divsChild>
                    <w:div w:id="1668172621">
                      <w:marLeft w:val="0"/>
                      <w:marRight w:val="0"/>
                      <w:marTop w:val="0"/>
                      <w:marBottom w:val="0"/>
                      <w:divBdr>
                        <w:top w:val="none" w:sz="0" w:space="0" w:color="auto"/>
                        <w:left w:val="none" w:sz="0" w:space="0" w:color="auto"/>
                        <w:bottom w:val="none" w:sz="0" w:space="0" w:color="auto"/>
                        <w:right w:val="none" w:sz="0" w:space="0" w:color="auto"/>
                      </w:divBdr>
                    </w:div>
                  </w:divsChild>
                </w:div>
                <w:div w:id="1668707809">
                  <w:marLeft w:val="0"/>
                  <w:marRight w:val="0"/>
                  <w:marTop w:val="0"/>
                  <w:marBottom w:val="0"/>
                  <w:divBdr>
                    <w:top w:val="none" w:sz="0" w:space="0" w:color="auto"/>
                    <w:left w:val="none" w:sz="0" w:space="0" w:color="auto"/>
                    <w:bottom w:val="none" w:sz="0" w:space="0" w:color="auto"/>
                    <w:right w:val="none" w:sz="0" w:space="0" w:color="auto"/>
                  </w:divBdr>
                  <w:divsChild>
                    <w:div w:id="40911802">
                      <w:marLeft w:val="0"/>
                      <w:marRight w:val="0"/>
                      <w:marTop w:val="0"/>
                      <w:marBottom w:val="0"/>
                      <w:divBdr>
                        <w:top w:val="none" w:sz="0" w:space="0" w:color="auto"/>
                        <w:left w:val="none" w:sz="0" w:space="0" w:color="auto"/>
                        <w:bottom w:val="none" w:sz="0" w:space="0" w:color="auto"/>
                        <w:right w:val="none" w:sz="0" w:space="0" w:color="auto"/>
                      </w:divBdr>
                    </w:div>
                  </w:divsChild>
                </w:div>
                <w:div w:id="1684670424">
                  <w:marLeft w:val="0"/>
                  <w:marRight w:val="0"/>
                  <w:marTop w:val="0"/>
                  <w:marBottom w:val="0"/>
                  <w:divBdr>
                    <w:top w:val="none" w:sz="0" w:space="0" w:color="auto"/>
                    <w:left w:val="none" w:sz="0" w:space="0" w:color="auto"/>
                    <w:bottom w:val="none" w:sz="0" w:space="0" w:color="auto"/>
                    <w:right w:val="none" w:sz="0" w:space="0" w:color="auto"/>
                  </w:divBdr>
                  <w:divsChild>
                    <w:div w:id="247425754">
                      <w:marLeft w:val="0"/>
                      <w:marRight w:val="0"/>
                      <w:marTop w:val="0"/>
                      <w:marBottom w:val="0"/>
                      <w:divBdr>
                        <w:top w:val="none" w:sz="0" w:space="0" w:color="auto"/>
                        <w:left w:val="none" w:sz="0" w:space="0" w:color="auto"/>
                        <w:bottom w:val="none" w:sz="0" w:space="0" w:color="auto"/>
                        <w:right w:val="none" w:sz="0" w:space="0" w:color="auto"/>
                      </w:divBdr>
                    </w:div>
                  </w:divsChild>
                </w:div>
                <w:div w:id="1710689629">
                  <w:marLeft w:val="0"/>
                  <w:marRight w:val="0"/>
                  <w:marTop w:val="0"/>
                  <w:marBottom w:val="0"/>
                  <w:divBdr>
                    <w:top w:val="none" w:sz="0" w:space="0" w:color="auto"/>
                    <w:left w:val="none" w:sz="0" w:space="0" w:color="auto"/>
                    <w:bottom w:val="none" w:sz="0" w:space="0" w:color="auto"/>
                    <w:right w:val="none" w:sz="0" w:space="0" w:color="auto"/>
                  </w:divBdr>
                  <w:divsChild>
                    <w:div w:id="1905335230">
                      <w:marLeft w:val="0"/>
                      <w:marRight w:val="0"/>
                      <w:marTop w:val="0"/>
                      <w:marBottom w:val="0"/>
                      <w:divBdr>
                        <w:top w:val="none" w:sz="0" w:space="0" w:color="auto"/>
                        <w:left w:val="none" w:sz="0" w:space="0" w:color="auto"/>
                        <w:bottom w:val="none" w:sz="0" w:space="0" w:color="auto"/>
                        <w:right w:val="none" w:sz="0" w:space="0" w:color="auto"/>
                      </w:divBdr>
                    </w:div>
                  </w:divsChild>
                </w:div>
                <w:div w:id="1716083202">
                  <w:marLeft w:val="0"/>
                  <w:marRight w:val="0"/>
                  <w:marTop w:val="0"/>
                  <w:marBottom w:val="0"/>
                  <w:divBdr>
                    <w:top w:val="none" w:sz="0" w:space="0" w:color="auto"/>
                    <w:left w:val="none" w:sz="0" w:space="0" w:color="auto"/>
                    <w:bottom w:val="none" w:sz="0" w:space="0" w:color="auto"/>
                    <w:right w:val="none" w:sz="0" w:space="0" w:color="auto"/>
                  </w:divBdr>
                  <w:divsChild>
                    <w:div w:id="555701967">
                      <w:marLeft w:val="0"/>
                      <w:marRight w:val="0"/>
                      <w:marTop w:val="0"/>
                      <w:marBottom w:val="0"/>
                      <w:divBdr>
                        <w:top w:val="none" w:sz="0" w:space="0" w:color="auto"/>
                        <w:left w:val="none" w:sz="0" w:space="0" w:color="auto"/>
                        <w:bottom w:val="none" w:sz="0" w:space="0" w:color="auto"/>
                        <w:right w:val="none" w:sz="0" w:space="0" w:color="auto"/>
                      </w:divBdr>
                    </w:div>
                  </w:divsChild>
                </w:div>
                <w:div w:id="1717851094">
                  <w:marLeft w:val="0"/>
                  <w:marRight w:val="0"/>
                  <w:marTop w:val="0"/>
                  <w:marBottom w:val="0"/>
                  <w:divBdr>
                    <w:top w:val="none" w:sz="0" w:space="0" w:color="auto"/>
                    <w:left w:val="none" w:sz="0" w:space="0" w:color="auto"/>
                    <w:bottom w:val="none" w:sz="0" w:space="0" w:color="auto"/>
                    <w:right w:val="none" w:sz="0" w:space="0" w:color="auto"/>
                  </w:divBdr>
                  <w:divsChild>
                    <w:div w:id="1530414938">
                      <w:marLeft w:val="0"/>
                      <w:marRight w:val="0"/>
                      <w:marTop w:val="0"/>
                      <w:marBottom w:val="0"/>
                      <w:divBdr>
                        <w:top w:val="none" w:sz="0" w:space="0" w:color="auto"/>
                        <w:left w:val="none" w:sz="0" w:space="0" w:color="auto"/>
                        <w:bottom w:val="none" w:sz="0" w:space="0" w:color="auto"/>
                        <w:right w:val="none" w:sz="0" w:space="0" w:color="auto"/>
                      </w:divBdr>
                    </w:div>
                  </w:divsChild>
                </w:div>
                <w:div w:id="1723750888">
                  <w:marLeft w:val="0"/>
                  <w:marRight w:val="0"/>
                  <w:marTop w:val="0"/>
                  <w:marBottom w:val="0"/>
                  <w:divBdr>
                    <w:top w:val="none" w:sz="0" w:space="0" w:color="auto"/>
                    <w:left w:val="none" w:sz="0" w:space="0" w:color="auto"/>
                    <w:bottom w:val="none" w:sz="0" w:space="0" w:color="auto"/>
                    <w:right w:val="none" w:sz="0" w:space="0" w:color="auto"/>
                  </w:divBdr>
                  <w:divsChild>
                    <w:div w:id="358052217">
                      <w:marLeft w:val="0"/>
                      <w:marRight w:val="0"/>
                      <w:marTop w:val="0"/>
                      <w:marBottom w:val="0"/>
                      <w:divBdr>
                        <w:top w:val="none" w:sz="0" w:space="0" w:color="auto"/>
                        <w:left w:val="none" w:sz="0" w:space="0" w:color="auto"/>
                        <w:bottom w:val="none" w:sz="0" w:space="0" w:color="auto"/>
                        <w:right w:val="none" w:sz="0" w:space="0" w:color="auto"/>
                      </w:divBdr>
                    </w:div>
                  </w:divsChild>
                </w:div>
                <w:div w:id="1746295582">
                  <w:marLeft w:val="0"/>
                  <w:marRight w:val="0"/>
                  <w:marTop w:val="0"/>
                  <w:marBottom w:val="0"/>
                  <w:divBdr>
                    <w:top w:val="none" w:sz="0" w:space="0" w:color="auto"/>
                    <w:left w:val="none" w:sz="0" w:space="0" w:color="auto"/>
                    <w:bottom w:val="none" w:sz="0" w:space="0" w:color="auto"/>
                    <w:right w:val="none" w:sz="0" w:space="0" w:color="auto"/>
                  </w:divBdr>
                  <w:divsChild>
                    <w:div w:id="667832712">
                      <w:marLeft w:val="0"/>
                      <w:marRight w:val="0"/>
                      <w:marTop w:val="0"/>
                      <w:marBottom w:val="0"/>
                      <w:divBdr>
                        <w:top w:val="none" w:sz="0" w:space="0" w:color="auto"/>
                        <w:left w:val="none" w:sz="0" w:space="0" w:color="auto"/>
                        <w:bottom w:val="none" w:sz="0" w:space="0" w:color="auto"/>
                        <w:right w:val="none" w:sz="0" w:space="0" w:color="auto"/>
                      </w:divBdr>
                    </w:div>
                  </w:divsChild>
                </w:div>
                <w:div w:id="1746798593">
                  <w:marLeft w:val="0"/>
                  <w:marRight w:val="0"/>
                  <w:marTop w:val="0"/>
                  <w:marBottom w:val="0"/>
                  <w:divBdr>
                    <w:top w:val="none" w:sz="0" w:space="0" w:color="auto"/>
                    <w:left w:val="none" w:sz="0" w:space="0" w:color="auto"/>
                    <w:bottom w:val="none" w:sz="0" w:space="0" w:color="auto"/>
                    <w:right w:val="none" w:sz="0" w:space="0" w:color="auto"/>
                  </w:divBdr>
                  <w:divsChild>
                    <w:div w:id="1357537266">
                      <w:marLeft w:val="0"/>
                      <w:marRight w:val="0"/>
                      <w:marTop w:val="0"/>
                      <w:marBottom w:val="0"/>
                      <w:divBdr>
                        <w:top w:val="none" w:sz="0" w:space="0" w:color="auto"/>
                        <w:left w:val="none" w:sz="0" w:space="0" w:color="auto"/>
                        <w:bottom w:val="none" w:sz="0" w:space="0" w:color="auto"/>
                        <w:right w:val="none" w:sz="0" w:space="0" w:color="auto"/>
                      </w:divBdr>
                    </w:div>
                  </w:divsChild>
                </w:div>
                <w:div w:id="1768577902">
                  <w:marLeft w:val="0"/>
                  <w:marRight w:val="0"/>
                  <w:marTop w:val="0"/>
                  <w:marBottom w:val="0"/>
                  <w:divBdr>
                    <w:top w:val="none" w:sz="0" w:space="0" w:color="auto"/>
                    <w:left w:val="none" w:sz="0" w:space="0" w:color="auto"/>
                    <w:bottom w:val="none" w:sz="0" w:space="0" w:color="auto"/>
                    <w:right w:val="none" w:sz="0" w:space="0" w:color="auto"/>
                  </w:divBdr>
                  <w:divsChild>
                    <w:div w:id="1306469328">
                      <w:marLeft w:val="0"/>
                      <w:marRight w:val="0"/>
                      <w:marTop w:val="0"/>
                      <w:marBottom w:val="0"/>
                      <w:divBdr>
                        <w:top w:val="none" w:sz="0" w:space="0" w:color="auto"/>
                        <w:left w:val="none" w:sz="0" w:space="0" w:color="auto"/>
                        <w:bottom w:val="none" w:sz="0" w:space="0" w:color="auto"/>
                        <w:right w:val="none" w:sz="0" w:space="0" w:color="auto"/>
                      </w:divBdr>
                    </w:div>
                  </w:divsChild>
                </w:div>
                <w:div w:id="1777480389">
                  <w:marLeft w:val="0"/>
                  <w:marRight w:val="0"/>
                  <w:marTop w:val="0"/>
                  <w:marBottom w:val="0"/>
                  <w:divBdr>
                    <w:top w:val="none" w:sz="0" w:space="0" w:color="auto"/>
                    <w:left w:val="none" w:sz="0" w:space="0" w:color="auto"/>
                    <w:bottom w:val="none" w:sz="0" w:space="0" w:color="auto"/>
                    <w:right w:val="none" w:sz="0" w:space="0" w:color="auto"/>
                  </w:divBdr>
                  <w:divsChild>
                    <w:div w:id="128281840">
                      <w:marLeft w:val="0"/>
                      <w:marRight w:val="0"/>
                      <w:marTop w:val="0"/>
                      <w:marBottom w:val="0"/>
                      <w:divBdr>
                        <w:top w:val="none" w:sz="0" w:space="0" w:color="auto"/>
                        <w:left w:val="none" w:sz="0" w:space="0" w:color="auto"/>
                        <w:bottom w:val="none" w:sz="0" w:space="0" w:color="auto"/>
                        <w:right w:val="none" w:sz="0" w:space="0" w:color="auto"/>
                      </w:divBdr>
                    </w:div>
                    <w:div w:id="383724037">
                      <w:marLeft w:val="0"/>
                      <w:marRight w:val="0"/>
                      <w:marTop w:val="0"/>
                      <w:marBottom w:val="0"/>
                      <w:divBdr>
                        <w:top w:val="none" w:sz="0" w:space="0" w:color="auto"/>
                        <w:left w:val="none" w:sz="0" w:space="0" w:color="auto"/>
                        <w:bottom w:val="none" w:sz="0" w:space="0" w:color="auto"/>
                        <w:right w:val="none" w:sz="0" w:space="0" w:color="auto"/>
                      </w:divBdr>
                    </w:div>
                    <w:div w:id="448740289">
                      <w:marLeft w:val="0"/>
                      <w:marRight w:val="0"/>
                      <w:marTop w:val="0"/>
                      <w:marBottom w:val="0"/>
                      <w:divBdr>
                        <w:top w:val="none" w:sz="0" w:space="0" w:color="auto"/>
                        <w:left w:val="none" w:sz="0" w:space="0" w:color="auto"/>
                        <w:bottom w:val="none" w:sz="0" w:space="0" w:color="auto"/>
                        <w:right w:val="none" w:sz="0" w:space="0" w:color="auto"/>
                      </w:divBdr>
                    </w:div>
                    <w:div w:id="569342991">
                      <w:marLeft w:val="0"/>
                      <w:marRight w:val="0"/>
                      <w:marTop w:val="0"/>
                      <w:marBottom w:val="0"/>
                      <w:divBdr>
                        <w:top w:val="none" w:sz="0" w:space="0" w:color="auto"/>
                        <w:left w:val="none" w:sz="0" w:space="0" w:color="auto"/>
                        <w:bottom w:val="none" w:sz="0" w:space="0" w:color="auto"/>
                        <w:right w:val="none" w:sz="0" w:space="0" w:color="auto"/>
                      </w:divBdr>
                    </w:div>
                    <w:div w:id="858086820">
                      <w:marLeft w:val="0"/>
                      <w:marRight w:val="0"/>
                      <w:marTop w:val="0"/>
                      <w:marBottom w:val="0"/>
                      <w:divBdr>
                        <w:top w:val="none" w:sz="0" w:space="0" w:color="auto"/>
                        <w:left w:val="none" w:sz="0" w:space="0" w:color="auto"/>
                        <w:bottom w:val="none" w:sz="0" w:space="0" w:color="auto"/>
                        <w:right w:val="none" w:sz="0" w:space="0" w:color="auto"/>
                      </w:divBdr>
                    </w:div>
                    <w:div w:id="1248659857">
                      <w:marLeft w:val="0"/>
                      <w:marRight w:val="0"/>
                      <w:marTop w:val="0"/>
                      <w:marBottom w:val="0"/>
                      <w:divBdr>
                        <w:top w:val="none" w:sz="0" w:space="0" w:color="auto"/>
                        <w:left w:val="none" w:sz="0" w:space="0" w:color="auto"/>
                        <w:bottom w:val="none" w:sz="0" w:space="0" w:color="auto"/>
                        <w:right w:val="none" w:sz="0" w:space="0" w:color="auto"/>
                      </w:divBdr>
                    </w:div>
                    <w:div w:id="1382245746">
                      <w:marLeft w:val="0"/>
                      <w:marRight w:val="0"/>
                      <w:marTop w:val="0"/>
                      <w:marBottom w:val="0"/>
                      <w:divBdr>
                        <w:top w:val="none" w:sz="0" w:space="0" w:color="auto"/>
                        <w:left w:val="none" w:sz="0" w:space="0" w:color="auto"/>
                        <w:bottom w:val="none" w:sz="0" w:space="0" w:color="auto"/>
                        <w:right w:val="none" w:sz="0" w:space="0" w:color="auto"/>
                      </w:divBdr>
                    </w:div>
                    <w:div w:id="2016304098">
                      <w:marLeft w:val="0"/>
                      <w:marRight w:val="0"/>
                      <w:marTop w:val="0"/>
                      <w:marBottom w:val="0"/>
                      <w:divBdr>
                        <w:top w:val="none" w:sz="0" w:space="0" w:color="auto"/>
                        <w:left w:val="none" w:sz="0" w:space="0" w:color="auto"/>
                        <w:bottom w:val="none" w:sz="0" w:space="0" w:color="auto"/>
                        <w:right w:val="none" w:sz="0" w:space="0" w:color="auto"/>
                      </w:divBdr>
                    </w:div>
                  </w:divsChild>
                </w:div>
                <w:div w:id="1782338359">
                  <w:marLeft w:val="0"/>
                  <w:marRight w:val="0"/>
                  <w:marTop w:val="0"/>
                  <w:marBottom w:val="0"/>
                  <w:divBdr>
                    <w:top w:val="none" w:sz="0" w:space="0" w:color="auto"/>
                    <w:left w:val="none" w:sz="0" w:space="0" w:color="auto"/>
                    <w:bottom w:val="none" w:sz="0" w:space="0" w:color="auto"/>
                    <w:right w:val="none" w:sz="0" w:space="0" w:color="auto"/>
                  </w:divBdr>
                  <w:divsChild>
                    <w:div w:id="1086419015">
                      <w:marLeft w:val="0"/>
                      <w:marRight w:val="0"/>
                      <w:marTop w:val="0"/>
                      <w:marBottom w:val="0"/>
                      <w:divBdr>
                        <w:top w:val="none" w:sz="0" w:space="0" w:color="auto"/>
                        <w:left w:val="none" w:sz="0" w:space="0" w:color="auto"/>
                        <w:bottom w:val="none" w:sz="0" w:space="0" w:color="auto"/>
                        <w:right w:val="none" w:sz="0" w:space="0" w:color="auto"/>
                      </w:divBdr>
                    </w:div>
                  </w:divsChild>
                </w:div>
                <w:div w:id="1784299971">
                  <w:marLeft w:val="0"/>
                  <w:marRight w:val="0"/>
                  <w:marTop w:val="0"/>
                  <w:marBottom w:val="0"/>
                  <w:divBdr>
                    <w:top w:val="none" w:sz="0" w:space="0" w:color="auto"/>
                    <w:left w:val="none" w:sz="0" w:space="0" w:color="auto"/>
                    <w:bottom w:val="none" w:sz="0" w:space="0" w:color="auto"/>
                    <w:right w:val="none" w:sz="0" w:space="0" w:color="auto"/>
                  </w:divBdr>
                  <w:divsChild>
                    <w:div w:id="920604287">
                      <w:marLeft w:val="0"/>
                      <w:marRight w:val="0"/>
                      <w:marTop w:val="0"/>
                      <w:marBottom w:val="0"/>
                      <w:divBdr>
                        <w:top w:val="none" w:sz="0" w:space="0" w:color="auto"/>
                        <w:left w:val="none" w:sz="0" w:space="0" w:color="auto"/>
                        <w:bottom w:val="none" w:sz="0" w:space="0" w:color="auto"/>
                        <w:right w:val="none" w:sz="0" w:space="0" w:color="auto"/>
                      </w:divBdr>
                    </w:div>
                  </w:divsChild>
                </w:div>
                <w:div w:id="1812863713">
                  <w:marLeft w:val="0"/>
                  <w:marRight w:val="0"/>
                  <w:marTop w:val="0"/>
                  <w:marBottom w:val="0"/>
                  <w:divBdr>
                    <w:top w:val="none" w:sz="0" w:space="0" w:color="auto"/>
                    <w:left w:val="none" w:sz="0" w:space="0" w:color="auto"/>
                    <w:bottom w:val="none" w:sz="0" w:space="0" w:color="auto"/>
                    <w:right w:val="none" w:sz="0" w:space="0" w:color="auto"/>
                  </w:divBdr>
                  <w:divsChild>
                    <w:div w:id="599527054">
                      <w:marLeft w:val="0"/>
                      <w:marRight w:val="0"/>
                      <w:marTop w:val="0"/>
                      <w:marBottom w:val="0"/>
                      <w:divBdr>
                        <w:top w:val="none" w:sz="0" w:space="0" w:color="auto"/>
                        <w:left w:val="none" w:sz="0" w:space="0" w:color="auto"/>
                        <w:bottom w:val="none" w:sz="0" w:space="0" w:color="auto"/>
                        <w:right w:val="none" w:sz="0" w:space="0" w:color="auto"/>
                      </w:divBdr>
                    </w:div>
                  </w:divsChild>
                </w:div>
                <w:div w:id="1816290152">
                  <w:marLeft w:val="0"/>
                  <w:marRight w:val="0"/>
                  <w:marTop w:val="0"/>
                  <w:marBottom w:val="0"/>
                  <w:divBdr>
                    <w:top w:val="none" w:sz="0" w:space="0" w:color="auto"/>
                    <w:left w:val="none" w:sz="0" w:space="0" w:color="auto"/>
                    <w:bottom w:val="none" w:sz="0" w:space="0" w:color="auto"/>
                    <w:right w:val="none" w:sz="0" w:space="0" w:color="auto"/>
                  </w:divBdr>
                  <w:divsChild>
                    <w:div w:id="749156822">
                      <w:marLeft w:val="0"/>
                      <w:marRight w:val="0"/>
                      <w:marTop w:val="0"/>
                      <w:marBottom w:val="0"/>
                      <w:divBdr>
                        <w:top w:val="none" w:sz="0" w:space="0" w:color="auto"/>
                        <w:left w:val="none" w:sz="0" w:space="0" w:color="auto"/>
                        <w:bottom w:val="none" w:sz="0" w:space="0" w:color="auto"/>
                        <w:right w:val="none" w:sz="0" w:space="0" w:color="auto"/>
                      </w:divBdr>
                    </w:div>
                  </w:divsChild>
                </w:div>
                <w:div w:id="1819153683">
                  <w:marLeft w:val="0"/>
                  <w:marRight w:val="0"/>
                  <w:marTop w:val="0"/>
                  <w:marBottom w:val="0"/>
                  <w:divBdr>
                    <w:top w:val="none" w:sz="0" w:space="0" w:color="auto"/>
                    <w:left w:val="none" w:sz="0" w:space="0" w:color="auto"/>
                    <w:bottom w:val="none" w:sz="0" w:space="0" w:color="auto"/>
                    <w:right w:val="none" w:sz="0" w:space="0" w:color="auto"/>
                  </w:divBdr>
                  <w:divsChild>
                    <w:div w:id="1115055731">
                      <w:marLeft w:val="0"/>
                      <w:marRight w:val="0"/>
                      <w:marTop w:val="0"/>
                      <w:marBottom w:val="0"/>
                      <w:divBdr>
                        <w:top w:val="none" w:sz="0" w:space="0" w:color="auto"/>
                        <w:left w:val="none" w:sz="0" w:space="0" w:color="auto"/>
                        <w:bottom w:val="none" w:sz="0" w:space="0" w:color="auto"/>
                        <w:right w:val="none" w:sz="0" w:space="0" w:color="auto"/>
                      </w:divBdr>
                    </w:div>
                  </w:divsChild>
                </w:div>
                <w:div w:id="1821116566">
                  <w:marLeft w:val="0"/>
                  <w:marRight w:val="0"/>
                  <w:marTop w:val="0"/>
                  <w:marBottom w:val="0"/>
                  <w:divBdr>
                    <w:top w:val="none" w:sz="0" w:space="0" w:color="auto"/>
                    <w:left w:val="none" w:sz="0" w:space="0" w:color="auto"/>
                    <w:bottom w:val="none" w:sz="0" w:space="0" w:color="auto"/>
                    <w:right w:val="none" w:sz="0" w:space="0" w:color="auto"/>
                  </w:divBdr>
                  <w:divsChild>
                    <w:div w:id="313072638">
                      <w:marLeft w:val="0"/>
                      <w:marRight w:val="0"/>
                      <w:marTop w:val="0"/>
                      <w:marBottom w:val="0"/>
                      <w:divBdr>
                        <w:top w:val="none" w:sz="0" w:space="0" w:color="auto"/>
                        <w:left w:val="none" w:sz="0" w:space="0" w:color="auto"/>
                        <w:bottom w:val="none" w:sz="0" w:space="0" w:color="auto"/>
                        <w:right w:val="none" w:sz="0" w:space="0" w:color="auto"/>
                      </w:divBdr>
                    </w:div>
                  </w:divsChild>
                </w:div>
                <w:div w:id="1831748403">
                  <w:marLeft w:val="0"/>
                  <w:marRight w:val="0"/>
                  <w:marTop w:val="0"/>
                  <w:marBottom w:val="0"/>
                  <w:divBdr>
                    <w:top w:val="none" w:sz="0" w:space="0" w:color="auto"/>
                    <w:left w:val="none" w:sz="0" w:space="0" w:color="auto"/>
                    <w:bottom w:val="none" w:sz="0" w:space="0" w:color="auto"/>
                    <w:right w:val="none" w:sz="0" w:space="0" w:color="auto"/>
                  </w:divBdr>
                  <w:divsChild>
                    <w:div w:id="1178957695">
                      <w:marLeft w:val="0"/>
                      <w:marRight w:val="0"/>
                      <w:marTop w:val="0"/>
                      <w:marBottom w:val="0"/>
                      <w:divBdr>
                        <w:top w:val="none" w:sz="0" w:space="0" w:color="auto"/>
                        <w:left w:val="none" w:sz="0" w:space="0" w:color="auto"/>
                        <w:bottom w:val="none" w:sz="0" w:space="0" w:color="auto"/>
                        <w:right w:val="none" w:sz="0" w:space="0" w:color="auto"/>
                      </w:divBdr>
                    </w:div>
                  </w:divsChild>
                </w:div>
                <w:div w:id="1844971180">
                  <w:marLeft w:val="0"/>
                  <w:marRight w:val="0"/>
                  <w:marTop w:val="0"/>
                  <w:marBottom w:val="0"/>
                  <w:divBdr>
                    <w:top w:val="none" w:sz="0" w:space="0" w:color="auto"/>
                    <w:left w:val="none" w:sz="0" w:space="0" w:color="auto"/>
                    <w:bottom w:val="none" w:sz="0" w:space="0" w:color="auto"/>
                    <w:right w:val="none" w:sz="0" w:space="0" w:color="auto"/>
                  </w:divBdr>
                  <w:divsChild>
                    <w:div w:id="371005548">
                      <w:marLeft w:val="0"/>
                      <w:marRight w:val="0"/>
                      <w:marTop w:val="0"/>
                      <w:marBottom w:val="0"/>
                      <w:divBdr>
                        <w:top w:val="none" w:sz="0" w:space="0" w:color="auto"/>
                        <w:left w:val="none" w:sz="0" w:space="0" w:color="auto"/>
                        <w:bottom w:val="none" w:sz="0" w:space="0" w:color="auto"/>
                        <w:right w:val="none" w:sz="0" w:space="0" w:color="auto"/>
                      </w:divBdr>
                    </w:div>
                  </w:divsChild>
                </w:div>
                <w:div w:id="1847599076">
                  <w:marLeft w:val="0"/>
                  <w:marRight w:val="0"/>
                  <w:marTop w:val="0"/>
                  <w:marBottom w:val="0"/>
                  <w:divBdr>
                    <w:top w:val="none" w:sz="0" w:space="0" w:color="auto"/>
                    <w:left w:val="none" w:sz="0" w:space="0" w:color="auto"/>
                    <w:bottom w:val="none" w:sz="0" w:space="0" w:color="auto"/>
                    <w:right w:val="none" w:sz="0" w:space="0" w:color="auto"/>
                  </w:divBdr>
                  <w:divsChild>
                    <w:div w:id="1528910640">
                      <w:marLeft w:val="0"/>
                      <w:marRight w:val="0"/>
                      <w:marTop w:val="0"/>
                      <w:marBottom w:val="0"/>
                      <w:divBdr>
                        <w:top w:val="none" w:sz="0" w:space="0" w:color="auto"/>
                        <w:left w:val="none" w:sz="0" w:space="0" w:color="auto"/>
                        <w:bottom w:val="none" w:sz="0" w:space="0" w:color="auto"/>
                        <w:right w:val="none" w:sz="0" w:space="0" w:color="auto"/>
                      </w:divBdr>
                    </w:div>
                  </w:divsChild>
                </w:div>
                <w:div w:id="1867137056">
                  <w:marLeft w:val="0"/>
                  <w:marRight w:val="0"/>
                  <w:marTop w:val="0"/>
                  <w:marBottom w:val="0"/>
                  <w:divBdr>
                    <w:top w:val="none" w:sz="0" w:space="0" w:color="auto"/>
                    <w:left w:val="none" w:sz="0" w:space="0" w:color="auto"/>
                    <w:bottom w:val="none" w:sz="0" w:space="0" w:color="auto"/>
                    <w:right w:val="none" w:sz="0" w:space="0" w:color="auto"/>
                  </w:divBdr>
                  <w:divsChild>
                    <w:div w:id="2042318289">
                      <w:marLeft w:val="0"/>
                      <w:marRight w:val="0"/>
                      <w:marTop w:val="0"/>
                      <w:marBottom w:val="0"/>
                      <w:divBdr>
                        <w:top w:val="none" w:sz="0" w:space="0" w:color="auto"/>
                        <w:left w:val="none" w:sz="0" w:space="0" w:color="auto"/>
                        <w:bottom w:val="none" w:sz="0" w:space="0" w:color="auto"/>
                        <w:right w:val="none" w:sz="0" w:space="0" w:color="auto"/>
                      </w:divBdr>
                    </w:div>
                  </w:divsChild>
                </w:div>
                <w:div w:id="1899591624">
                  <w:marLeft w:val="0"/>
                  <w:marRight w:val="0"/>
                  <w:marTop w:val="0"/>
                  <w:marBottom w:val="0"/>
                  <w:divBdr>
                    <w:top w:val="none" w:sz="0" w:space="0" w:color="auto"/>
                    <w:left w:val="none" w:sz="0" w:space="0" w:color="auto"/>
                    <w:bottom w:val="none" w:sz="0" w:space="0" w:color="auto"/>
                    <w:right w:val="none" w:sz="0" w:space="0" w:color="auto"/>
                  </w:divBdr>
                  <w:divsChild>
                    <w:div w:id="233273375">
                      <w:marLeft w:val="0"/>
                      <w:marRight w:val="0"/>
                      <w:marTop w:val="0"/>
                      <w:marBottom w:val="0"/>
                      <w:divBdr>
                        <w:top w:val="none" w:sz="0" w:space="0" w:color="auto"/>
                        <w:left w:val="none" w:sz="0" w:space="0" w:color="auto"/>
                        <w:bottom w:val="none" w:sz="0" w:space="0" w:color="auto"/>
                        <w:right w:val="none" w:sz="0" w:space="0" w:color="auto"/>
                      </w:divBdr>
                    </w:div>
                  </w:divsChild>
                </w:div>
                <w:div w:id="1917591658">
                  <w:marLeft w:val="0"/>
                  <w:marRight w:val="0"/>
                  <w:marTop w:val="0"/>
                  <w:marBottom w:val="0"/>
                  <w:divBdr>
                    <w:top w:val="none" w:sz="0" w:space="0" w:color="auto"/>
                    <w:left w:val="none" w:sz="0" w:space="0" w:color="auto"/>
                    <w:bottom w:val="none" w:sz="0" w:space="0" w:color="auto"/>
                    <w:right w:val="none" w:sz="0" w:space="0" w:color="auto"/>
                  </w:divBdr>
                  <w:divsChild>
                    <w:div w:id="198711234">
                      <w:marLeft w:val="0"/>
                      <w:marRight w:val="0"/>
                      <w:marTop w:val="0"/>
                      <w:marBottom w:val="0"/>
                      <w:divBdr>
                        <w:top w:val="none" w:sz="0" w:space="0" w:color="auto"/>
                        <w:left w:val="none" w:sz="0" w:space="0" w:color="auto"/>
                        <w:bottom w:val="none" w:sz="0" w:space="0" w:color="auto"/>
                        <w:right w:val="none" w:sz="0" w:space="0" w:color="auto"/>
                      </w:divBdr>
                    </w:div>
                  </w:divsChild>
                </w:div>
                <w:div w:id="1928726326">
                  <w:marLeft w:val="0"/>
                  <w:marRight w:val="0"/>
                  <w:marTop w:val="0"/>
                  <w:marBottom w:val="0"/>
                  <w:divBdr>
                    <w:top w:val="none" w:sz="0" w:space="0" w:color="auto"/>
                    <w:left w:val="none" w:sz="0" w:space="0" w:color="auto"/>
                    <w:bottom w:val="none" w:sz="0" w:space="0" w:color="auto"/>
                    <w:right w:val="none" w:sz="0" w:space="0" w:color="auto"/>
                  </w:divBdr>
                  <w:divsChild>
                    <w:div w:id="1455756499">
                      <w:marLeft w:val="0"/>
                      <w:marRight w:val="0"/>
                      <w:marTop w:val="0"/>
                      <w:marBottom w:val="0"/>
                      <w:divBdr>
                        <w:top w:val="none" w:sz="0" w:space="0" w:color="auto"/>
                        <w:left w:val="none" w:sz="0" w:space="0" w:color="auto"/>
                        <w:bottom w:val="none" w:sz="0" w:space="0" w:color="auto"/>
                        <w:right w:val="none" w:sz="0" w:space="0" w:color="auto"/>
                      </w:divBdr>
                    </w:div>
                  </w:divsChild>
                </w:div>
                <w:div w:id="1962414838">
                  <w:marLeft w:val="0"/>
                  <w:marRight w:val="0"/>
                  <w:marTop w:val="0"/>
                  <w:marBottom w:val="0"/>
                  <w:divBdr>
                    <w:top w:val="none" w:sz="0" w:space="0" w:color="auto"/>
                    <w:left w:val="none" w:sz="0" w:space="0" w:color="auto"/>
                    <w:bottom w:val="none" w:sz="0" w:space="0" w:color="auto"/>
                    <w:right w:val="none" w:sz="0" w:space="0" w:color="auto"/>
                  </w:divBdr>
                  <w:divsChild>
                    <w:div w:id="1887570217">
                      <w:marLeft w:val="0"/>
                      <w:marRight w:val="0"/>
                      <w:marTop w:val="0"/>
                      <w:marBottom w:val="0"/>
                      <w:divBdr>
                        <w:top w:val="none" w:sz="0" w:space="0" w:color="auto"/>
                        <w:left w:val="none" w:sz="0" w:space="0" w:color="auto"/>
                        <w:bottom w:val="none" w:sz="0" w:space="0" w:color="auto"/>
                        <w:right w:val="none" w:sz="0" w:space="0" w:color="auto"/>
                      </w:divBdr>
                    </w:div>
                  </w:divsChild>
                </w:div>
                <w:div w:id="2045054876">
                  <w:marLeft w:val="0"/>
                  <w:marRight w:val="0"/>
                  <w:marTop w:val="0"/>
                  <w:marBottom w:val="0"/>
                  <w:divBdr>
                    <w:top w:val="none" w:sz="0" w:space="0" w:color="auto"/>
                    <w:left w:val="none" w:sz="0" w:space="0" w:color="auto"/>
                    <w:bottom w:val="none" w:sz="0" w:space="0" w:color="auto"/>
                    <w:right w:val="none" w:sz="0" w:space="0" w:color="auto"/>
                  </w:divBdr>
                  <w:divsChild>
                    <w:div w:id="522405462">
                      <w:marLeft w:val="0"/>
                      <w:marRight w:val="0"/>
                      <w:marTop w:val="0"/>
                      <w:marBottom w:val="0"/>
                      <w:divBdr>
                        <w:top w:val="none" w:sz="0" w:space="0" w:color="auto"/>
                        <w:left w:val="none" w:sz="0" w:space="0" w:color="auto"/>
                        <w:bottom w:val="none" w:sz="0" w:space="0" w:color="auto"/>
                        <w:right w:val="none" w:sz="0" w:space="0" w:color="auto"/>
                      </w:divBdr>
                    </w:div>
                  </w:divsChild>
                </w:div>
                <w:div w:id="2046902356">
                  <w:marLeft w:val="0"/>
                  <w:marRight w:val="0"/>
                  <w:marTop w:val="0"/>
                  <w:marBottom w:val="0"/>
                  <w:divBdr>
                    <w:top w:val="none" w:sz="0" w:space="0" w:color="auto"/>
                    <w:left w:val="none" w:sz="0" w:space="0" w:color="auto"/>
                    <w:bottom w:val="none" w:sz="0" w:space="0" w:color="auto"/>
                    <w:right w:val="none" w:sz="0" w:space="0" w:color="auto"/>
                  </w:divBdr>
                  <w:divsChild>
                    <w:div w:id="339820855">
                      <w:marLeft w:val="0"/>
                      <w:marRight w:val="0"/>
                      <w:marTop w:val="0"/>
                      <w:marBottom w:val="0"/>
                      <w:divBdr>
                        <w:top w:val="none" w:sz="0" w:space="0" w:color="auto"/>
                        <w:left w:val="none" w:sz="0" w:space="0" w:color="auto"/>
                        <w:bottom w:val="none" w:sz="0" w:space="0" w:color="auto"/>
                        <w:right w:val="none" w:sz="0" w:space="0" w:color="auto"/>
                      </w:divBdr>
                    </w:div>
                  </w:divsChild>
                </w:div>
                <w:div w:id="2049908942">
                  <w:marLeft w:val="0"/>
                  <w:marRight w:val="0"/>
                  <w:marTop w:val="0"/>
                  <w:marBottom w:val="0"/>
                  <w:divBdr>
                    <w:top w:val="none" w:sz="0" w:space="0" w:color="auto"/>
                    <w:left w:val="none" w:sz="0" w:space="0" w:color="auto"/>
                    <w:bottom w:val="none" w:sz="0" w:space="0" w:color="auto"/>
                    <w:right w:val="none" w:sz="0" w:space="0" w:color="auto"/>
                  </w:divBdr>
                  <w:divsChild>
                    <w:div w:id="793712721">
                      <w:marLeft w:val="0"/>
                      <w:marRight w:val="0"/>
                      <w:marTop w:val="0"/>
                      <w:marBottom w:val="0"/>
                      <w:divBdr>
                        <w:top w:val="none" w:sz="0" w:space="0" w:color="auto"/>
                        <w:left w:val="none" w:sz="0" w:space="0" w:color="auto"/>
                        <w:bottom w:val="none" w:sz="0" w:space="0" w:color="auto"/>
                        <w:right w:val="none" w:sz="0" w:space="0" w:color="auto"/>
                      </w:divBdr>
                    </w:div>
                  </w:divsChild>
                </w:div>
                <w:div w:id="2057731678">
                  <w:marLeft w:val="0"/>
                  <w:marRight w:val="0"/>
                  <w:marTop w:val="0"/>
                  <w:marBottom w:val="0"/>
                  <w:divBdr>
                    <w:top w:val="none" w:sz="0" w:space="0" w:color="auto"/>
                    <w:left w:val="none" w:sz="0" w:space="0" w:color="auto"/>
                    <w:bottom w:val="none" w:sz="0" w:space="0" w:color="auto"/>
                    <w:right w:val="none" w:sz="0" w:space="0" w:color="auto"/>
                  </w:divBdr>
                  <w:divsChild>
                    <w:div w:id="176971809">
                      <w:marLeft w:val="0"/>
                      <w:marRight w:val="0"/>
                      <w:marTop w:val="0"/>
                      <w:marBottom w:val="0"/>
                      <w:divBdr>
                        <w:top w:val="none" w:sz="0" w:space="0" w:color="auto"/>
                        <w:left w:val="none" w:sz="0" w:space="0" w:color="auto"/>
                        <w:bottom w:val="none" w:sz="0" w:space="0" w:color="auto"/>
                        <w:right w:val="none" w:sz="0" w:space="0" w:color="auto"/>
                      </w:divBdr>
                    </w:div>
                  </w:divsChild>
                </w:div>
                <w:div w:id="2069260104">
                  <w:marLeft w:val="0"/>
                  <w:marRight w:val="0"/>
                  <w:marTop w:val="0"/>
                  <w:marBottom w:val="0"/>
                  <w:divBdr>
                    <w:top w:val="none" w:sz="0" w:space="0" w:color="auto"/>
                    <w:left w:val="none" w:sz="0" w:space="0" w:color="auto"/>
                    <w:bottom w:val="none" w:sz="0" w:space="0" w:color="auto"/>
                    <w:right w:val="none" w:sz="0" w:space="0" w:color="auto"/>
                  </w:divBdr>
                  <w:divsChild>
                    <w:div w:id="815955279">
                      <w:marLeft w:val="0"/>
                      <w:marRight w:val="0"/>
                      <w:marTop w:val="0"/>
                      <w:marBottom w:val="0"/>
                      <w:divBdr>
                        <w:top w:val="none" w:sz="0" w:space="0" w:color="auto"/>
                        <w:left w:val="none" w:sz="0" w:space="0" w:color="auto"/>
                        <w:bottom w:val="none" w:sz="0" w:space="0" w:color="auto"/>
                        <w:right w:val="none" w:sz="0" w:space="0" w:color="auto"/>
                      </w:divBdr>
                    </w:div>
                  </w:divsChild>
                </w:div>
                <w:div w:id="2074041630">
                  <w:marLeft w:val="0"/>
                  <w:marRight w:val="0"/>
                  <w:marTop w:val="0"/>
                  <w:marBottom w:val="0"/>
                  <w:divBdr>
                    <w:top w:val="none" w:sz="0" w:space="0" w:color="auto"/>
                    <w:left w:val="none" w:sz="0" w:space="0" w:color="auto"/>
                    <w:bottom w:val="none" w:sz="0" w:space="0" w:color="auto"/>
                    <w:right w:val="none" w:sz="0" w:space="0" w:color="auto"/>
                  </w:divBdr>
                  <w:divsChild>
                    <w:div w:id="1011833192">
                      <w:marLeft w:val="0"/>
                      <w:marRight w:val="0"/>
                      <w:marTop w:val="0"/>
                      <w:marBottom w:val="0"/>
                      <w:divBdr>
                        <w:top w:val="none" w:sz="0" w:space="0" w:color="auto"/>
                        <w:left w:val="none" w:sz="0" w:space="0" w:color="auto"/>
                        <w:bottom w:val="none" w:sz="0" w:space="0" w:color="auto"/>
                        <w:right w:val="none" w:sz="0" w:space="0" w:color="auto"/>
                      </w:divBdr>
                    </w:div>
                  </w:divsChild>
                </w:div>
                <w:div w:id="2107266313">
                  <w:marLeft w:val="0"/>
                  <w:marRight w:val="0"/>
                  <w:marTop w:val="0"/>
                  <w:marBottom w:val="0"/>
                  <w:divBdr>
                    <w:top w:val="none" w:sz="0" w:space="0" w:color="auto"/>
                    <w:left w:val="none" w:sz="0" w:space="0" w:color="auto"/>
                    <w:bottom w:val="none" w:sz="0" w:space="0" w:color="auto"/>
                    <w:right w:val="none" w:sz="0" w:space="0" w:color="auto"/>
                  </w:divBdr>
                  <w:divsChild>
                    <w:div w:id="93939709">
                      <w:marLeft w:val="0"/>
                      <w:marRight w:val="0"/>
                      <w:marTop w:val="0"/>
                      <w:marBottom w:val="0"/>
                      <w:divBdr>
                        <w:top w:val="none" w:sz="0" w:space="0" w:color="auto"/>
                        <w:left w:val="none" w:sz="0" w:space="0" w:color="auto"/>
                        <w:bottom w:val="none" w:sz="0" w:space="0" w:color="auto"/>
                        <w:right w:val="none" w:sz="0" w:space="0" w:color="auto"/>
                      </w:divBdr>
                    </w:div>
                  </w:divsChild>
                </w:div>
                <w:div w:id="2126070773">
                  <w:marLeft w:val="0"/>
                  <w:marRight w:val="0"/>
                  <w:marTop w:val="0"/>
                  <w:marBottom w:val="0"/>
                  <w:divBdr>
                    <w:top w:val="none" w:sz="0" w:space="0" w:color="auto"/>
                    <w:left w:val="none" w:sz="0" w:space="0" w:color="auto"/>
                    <w:bottom w:val="none" w:sz="0" w:space="0" w:color="auto"/>
                    <w:right w:val="none" w:sz="0" w:space="0" w:color="auto"/>
                  </w:divBdr>
                  <w:divsChild>
                    <w:div w:id="1073315485">
                      <w:marLeft w:val="0"/>
                      <w:marRight w:val="0"/>
                      <w:marTop w:val="0"/>
                      <w:marBottom w:val="0"/>
                      <w:divBdr>
                        <w:top w:val="none" w:sz="0" w:space="0" w:color="auto"/>
                        <w:left w:val="none" w:sz="0" w:space="0" w:color="auto"/>
                        <w:bottom w:val="none" w:sz="0" w:space="0" w:color="auto"/>
                        <w:right w:val="none" w:sz="0" w:space="0" w:color="auto"/>
                      </w:divBdr>
                    </w:div>
                  </w:divsChild>
                </w:div>
                <w:div w:id="2133356012">
                  <w:marLeft w:val="0"/>
                  <w:marRight w:val="0"/>
                  <w:marTop w:val="0"/>
                  <w:marBottom w:val="0"/>
                  <w:divBdr>
                    <w:top w:val="none" w:sz="0" w:space="0" w:color="auto"/>
                    <w:left w:val="none" w:sz="0" w:space="0" w:color="auto"/>
                    <w:bottom w:val="none" w:sz="0" w:space="0" w:color="auto"/>
                    <w:right w:val="none" w:sz="0" w:space="0" w:color="auto"/>
                  </w:divBdr>
                  <w:divsChild>
                    <w:div w:id="1160273790">
                      <w:marLeft w:val="0"/>
                      <w:marRight w:val="0"/>
                      <w:marTop w:val="0"/>
                      <w:marBottom w:val="0"/>
                      <w:divBdr>
                        <w:top w:val="none" w:sz="0" w:space="0" w:color="auto"/>
                        <w:left w:val="none" w:sz="0" w:space="0" w:color="auto"/>
                        <w:bottom w:val="none" w:sz="0" w:space="0" w:color="auto"/>
                        <w:right w:val="none" w:sz="0" w:space="0" w:color="auto"/>
                      </w:divBdr>
                    </w:div>
                  </w:divsChild>
                </w:div>
                <w:div w:id="2133939882">
                  <w:marLeft w:val="0"/>
                  <w:marRight w:val="0"/>
                  <w:marTop w:val="0"/>
                  <w:marBottom w:val="0"/>
                  <w:divBdr>
                    <w:top w:val="none" w:sz="0" w:space="0" w:color="auto"/>
                    <w:left w:val="none" w:sz="0" w:space="0" w:color="auto"/>
                    <w:bottom w:val="none" w:sz="0" w:space="0" w:color="auto"/>
                    <w:right w:val="none" w:sz="0" w:space="0" w:color="auto"/>
                  </w:divBdr>
                  <w:divsChild>
                    <w:div w:id="1191379454">
                      <w:marLeft w:val="0"/>
                      <w:marRight w:val="0"/>
                      <w:marTop w:val="0"/>
                      <w:marBottom w:val="0"/>
                      <w:divBdr>
                        <w:top w:val="none" w:sz="0" w:space="0" w:color="auto"/>
                        <w:left w:val="none" w:sz="0" w:space="0" w:color="auto"/>
                        <w:bottom w:val="none" w:sz="0" w:space="0" w:color="auto"/>
                        <w:right w:val="none" w:sz="0" w:space="0" w:color="auto"/>
                      </w:divBdr>
                    </w:div>
                  </w:divsChild>
                </w:div>
                <w:div w:id="2137336445">
                  <w:marLeft w:val="0"/>
                  <w:marRight w:val="0"/>
                  <w:marTop w:val="0"/>
                  <w:marBottom w:val="0"/>
                  <w:divBdr>
                    <w:top w:val="none" w:sz="0" w:space="0" w:color="auto"/>
                    <w:left w:val="none" w:sz="0" w:space="0" w:color="auto"/>
                    <w:bottom w:val="none" w:sz="0" w:space="0" w:color="auto"/>
                    <w:right w:val="none" w:sz="0" w:space="0" w:color="auto"/>
                  </w:divBdr>
                  <w:divsChild>
                    <w:div w:id="111438171">
                      <w:marLeft w:val="0"/>
                      <w:marRight w:val="0"/>
                      <w:marTop w:val="0"/>
                      <w:marBottom w:val="0"/>
                      <w:divBdr>
                        <w:top w:val="none" w:sz="0" w:space="0" w:color="auto"/>
                        <w:left w:val="none" w:sz="0" w:space="0" w:color="auto"/>
                        <w:bottom w:val="none" w:sz="0" w:space="0" w:color="auto"/>
                        <w:right w:val="none" w:sz="0" w:space="0" w:color="auto"/>
                      </w:divBdr>
                    </w:div>
                  </w:divsChild>
                </w:div>
                <w:div w:id="2143689437">
                  <w:marLeft w:val="0"/>
                  <w:marRight w:val="0"/>
                  <w:marTop w:val="0"/>
                  <w:marBottom w:val="0"/>
                  <w:divBdr>
                    <w:top w:val="none" w:sz="0" w:space="0" w:color="auto"/>
                    <w:left w:val="none" w:sz="0" w:space="0" w:color="auto"/>
                    <w:bottom w:val="none" w:sz="0" w:space="0" w:color="auto"/>
                    <w:right w:val="none" w:sz="0" w:space="0" w:color="auto"/>
                  </w:divBdr>
                  <w:divsChild>
                    <w:div w:id="90199753">
                      <w:marLeft w:val="0"/>
                      <w:marRight w:val="0"/>
                      <w:marTop w:val="0"/>
                      <w:marBottom w:val="0"/>
                      <w:divBdr>
                        <w:top w:val="none" w:sz="0" w:space="0" w:color="auto"/>
                        <w:left w:val="none" w:sz="0" w:space="0" w:color="auto"/>
                        <w:bottom w:val="none" w:sz="0" w:space="0" w:color="auto"/>
                        <w:right w:val="none" w:sz="0" w:space="0" w:color="auto"/>
                      </w:divBdr>
                    </w:div>
                    <w:div w:id="171529448">
                      <w:marLeft w:val="0"/>
                      <w:marRight w:val="0"/>
                      <w:marTop w:val="0"/>
                      <w:marBottom w:val="0"/>
                      <w:divBdr>
                        <w:top w:val="none" w:sz="0" w:space="0" w:color="auto"/>
                        <w:left w:val="none" w:sz="0" w:space="0" w:color="auto"/>
                        <w:bottom w:val="none" w:sz="0" w:space="0" w:color="auto"/>
                        <w:right w:val="none" w:sz="0" w:space="0" w:color="auto"/>
                      </w:divBdr>
                    </w:div>
                    <w:div w:id="270599385">
                      <w:marLeft w:val="0"/>
                      <w:marRight w:val="0"/>
                      <w:marTop w:val="0"/>
                      <w:marBottom w:val="0"/>
                      <w:divBdr>
                        <w:top w:val="none" w:sz="0" w:space="0" w:color="auto"/>
                        <w:left w:val="none" w:sz="0" w:space="0" w:color="auto"/>
                        <w:bottom w:val="none" w:sz="0" w:space="0" w:color="auto"/>
                        <w:right w:val="none" w:sz="0" w:space="0" w:color="auto"/>
                      </w:divBdr>
                    </w:div>
                    <w:div w:id="1547179490">
                      <w:marLeft w:val="0"/>
                      <w:marRight w:val="0"/>
                      <w:marTop w:val="0"/>
                      <w:marBottom w:val="0"/>
                      <w:divBdr>
                        <w:top w:val="none" w:sz="0" w:space="0" w:color="auto"/>
                        <w:left w:val="none" w:sz="0" w:space="0" w:color="auto"/>
                        <w:bottom w:val="none" w:sz="0" w:space="0" w:color="auto"/>
                        <w:right w:val="none" w:sz="0" w:space="0" w:color="auto"/>
                      </w:divBdr>
                    </w:div>
                    <w:div w:id="1600986905">
                      <w:marLeft w:val="0"/>
                      <w:marRight w:val="0"/>
                      <w:marTop w:val="0"/>
                      <w:marBottom w:val="0"/>
                      <w:divBdr>
                        <w:top w:val="none" w:sz="0" w:space="0" w:color="auto"/>
                        <w:left w:val="none" w:sz="0" w:space="0" w:color="auto"/>
                        <w:bottom w:val="none" w:sz="0" w:space="0" w:color="auto"/>
                        <w:right w:val="none" w:sz="0" w:space="0" w:color="auto"/>
                      </w:divBdr>
                    </w:div>
                    <w:div w:id="1883319438">
                      <w:marLeft w:val="0"/>
                      <w:marRight w:val="0"/>
                      <w:marTop w:val="0"/>
                      <w:marBottom w:val="0"/>
                      <w:divBdr>
                        <w:top w:val="none" w:sz="0" w:space="0" w:color="auto"/>
                        <w:left w:val="none" w:sz="0" w:space="0" w:color="auto"/>
                        <w:bottom w:val="none" w:sz="0" w:space="0" w:color="auto"/>
                        <w:right w:val="none" w:sz="0" w:space="0" w:color="auto"/>
                      </w:divBdr>
                    </w:div>
                    <w:div w:id="20165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480255">
      <w:bodyDiv w:val="1"/>
      <w:marLeft w:val="0"/>
      <w:marRight w:val="0"/>
      <w:marTop w:val="0"/>
      <w:marBottom w:val="0"/>
      <w:divBdr>
        <w:top w:val="none" w:sz="0" w:space="0" w:color="auto"/>
        <w:left w:val="none" w:sz="0" w:space="0" w:color="auto"/>
        <w:bottom w:val="none" w:sz="0" w:space="0" w:color="auto"/>
        <w:right w:val="none" w:sz="0" w:space="0" w:color="auto"/>
      </w:divBdr>
    </w:div>
    <w:div w:id="768162639">
      <w:bodyDiv w:val="1"/>
      <w:marLeft w:val="0"/>
      <w:marRight w:val="0"/>
      <w:marTop w:val="0"/>
      <w:marBottom w:val="0"/>
      <w:divBdr>
        <w:top w:val="none" w:sz="0" w:space="0" w:color="auto"/>
        <w:left w:val="none" w:sz="0" w:space="0" w:color="auto"/>
        <w:bottom w:val="none" w:sz="0" w:space="0" w:color="auto"/>
        <w:right w:val="none" w:sz="0" w:space="0" w:color="auto"/>
      </w:divBdr>
    </w:div>
    <w:div w:id="784035518">
      <w:bodyDiv w:val="1"/>
      <w:marLeft w:val="0"/>
      <w:marRight w:val="0"/>
      <w:marTop w:val="0"/>
      <w:marBottom w:val="0"/>
      <w:divBdr>
        <w:top w:val="none" w:sz="0" w:space="0" w:color="auto"/>
        <w:left w:val="none" w:sz="0" w:space="0" w:color="auto"/>
        <w:bottom w:val="none" w:sz="0" w:space="0" w:color="auto"/>
        <w:right w:val="none" w:sz="0" w:space="0" w:color="auto"/>
      </w:divBdr>
      <w:divsChild>
        <w:div w:id="1426657657">
          <w:marLeft w:val="0"/>
          <w:marRight w:val="0"/>
          <w:marTop w:val="0"/>
          <w:marBottom w:val="0"/>
          <w:divBdr>
            <w:top w:val="none" w:sz="0" w:space="0" w:color="auto"/>
            <w:left w:val="none" w:sz="0" w:space="0" w:color="auto"/>
            <w:bottom w:val="none" w:sz="0" w:space="0" w:color="auto"/>
            <w:right w:val="none" w:sz="0" w:space="0" w:color="auto"/>
          </w:divBdr>
          <w:divsChild>
            <w:div w:id="40370207">
              <w:marLeft w:val="0"/>
              <w:marRight w:val="0"/>
              <w:marTop w:val="0"/>
              <w:marBottom w:val="0"/>
              <w:divBdr>
                <w:top w:val="none" w:sz="0" w:space="0" w:color="auto"/>
                <w:left w:val="none" w:sz="0" w:space="0" w:color="auto"/>
                <w:bottom w:val="none" w:sz="0" w:space="0" w:color="auto"/>
                <w:right w:val="none" w:sz="0" w:space="0" w:color="auto"/>
              </w:divBdr>
            </w:div>
            <w:div w:id="264923212">
              <w:marLeft w:val="0"/>
              <w:marRight w:val="0"/>
              <w:marTop w:val="0"/>
              <w:marBottom w:val="0"/>
              <w:divBdr>
                <w:top w:val="none" w:sz="0" w:space="0" w:color="auto"/>
                <w:left w:val="none" w:sz="0" w:space="0" w:color="auto"/>
                <w:bottom w:val="none" w:sz="0" w:space="0" w:color="auto"/>
                <w:right w:val="none" w:sz="0" w:space="0" w:color="auto"/>
              </w:divBdr>
            </w:div>
            <w:div w:id="334957638">
              <w:marLeft w:val="0"/>
              <w:marRight w:val="0"/>
              <w:marTop w:val="0"/>
              <w:marBottom w:val="0"/>
              <w:divBdr>
                <w:top w:val="none" w:sz="0" w:space="0" w:color="auto"/>
                <w:left w:val="none" w:sz="0" w:space="0" w:color="auto"/>
                <w:bottom w:val="none" w:sz="0" w:space="0" w:color="auto"/>
                <w:right w:val="none" w:sz="0" w:space="0" w:color="auto"/>
              </w:divBdr>
            </w:div>
            <w:div w:id="399716084">
              <w:marLeft w:val="0"/>
              <w:marRight w:val="0"/>
              <w:marTop w:val="0"/>
              <w:marBottom w:val="0"/>
              <w:divBdr>
                <w:top w:val="none" w:sz="0" w:space="0" w:color="auto"/>
                <w:left w:val="none" w:sz="0" w:space="0" w:color="auto"/>
                <w:bottom w:val="none" w:sz="0" w:space="0" w:color="auto"/>
                <w:right w:val="none" w:sz="0" w:space="0" w:color="auto"/>
              </w:divBdr>
            </w:div>
            <w:div w:id="467015915">
              <w:marLeft w:val="0"/>
              <w:marRight w:val="0"/>
              <w:marTop w:val="0"/>
              <w:marBottom w:val="0"/>
              <w:divBdr>
                <w:top w:val="none" w:sz="0" w:space="0" w:color="auto"/>
                <w:left w:val="none" w:sz="0" w:space="0" w:color="auto"/>
                <w:bottom w:val="none" w:sz="0" w:space="0" w:color="auto"/>
                <w:right w:val="none" w:sz="0" w:space="0" w:color="auto"/>
              </w:divBdr>
            </w:div>
            <w:div w:id="714164797">
              <w:marLeft w:val="0"/>
              <w:marRight w:val="0"/>
              <w:marTop w:val="0"/>
              <w:marBottom w:val="0"/>
              <w:divBdr>
                <w:top w:val="none" w:sz="0" w:space="0" w:color="auto"/>
                <w:left w:val="none" w:sz="0" w:space="0" w:color="auto"/>
                <w:bottom w:val="none" w:sz="0" w:space="0" w:color="auto"/>
                <w:right w:val="none" w:sz="0" w:space="0" w:color="auto"/>
              </w:divBdr>
            </w:div>
            <w:div w:id="750397104">
              <w:marLeft w:val="0"/>
              <w:marRight w:val="0"/>
              <w:marTop w:val="0"/>
              <w:marBottom w:val="0"/>
              <w:divBdr>
                <w:top w:val="none" w:sz="0" w:space="0" w:color="auto"/>
                <w:left w:val="none" w:sz="0" w:space="0" w:color="auto"/>
                <w:bottom w:val="none" w:sz="0" w:space="0" w:color="auto"/>
                <w:right w:val="none" w:sz="0" w:space="0" w:color="auto"/>
              </w:divBdr>
            </w:div>
            <w:div w:id="873812017">
              <w:marLeft w:val="0"/>
              <w:marRight w:val="0"/>
              <w:marTop w:val="0"/>
              <w:marBottom w:val="0"/>
              <w:divBdr>
                <w:top w:val="none" w:sz="0" w:space="0" w:color="auto"/>
                <w:left w:val="none" w:sz="0" w:space="0" w:color="auto"/>
                <w:bottom w:val="none" w:sz="0" w:space="0" w:color="auto"/>
                <w:right w:val="none" w:sz="0" w:space="0" w:color="auto"/>
              </w:divBdr>
            </w:div>
            <w:div w:id="902721251">
              <w:marLeft w:val="0"/>
              <w:marRight w:val="0"/>
              <w:marTop w:val="0"/>
              <w:marBottom w:val="0"/>
              <w:divBdr>
                <w:top w:val="none" w:sz="0" w:space="0" w:color="auto"/>
                <w:left w:val="none" w:sz="0" w:space="0" w:color="auto"/>
                <w:bottom w:val="none" w:sz="0" w:space="0" w:color="auto"/>
                <w:right w:val="none" w:sz="0" w:space="0" w:color="auto"/>
              </w:divBdr>
            </w:div>
            <w:div w:id="917055206">
              <w:marLeft w:val="0"/>
              <w:marRight w:val="0"/>
              <w:marTop w:val="0"/>
              <w:marBottom w:val="0"/>
              <w:divBdr>
                <w:top w:val="none" w:sz="0" w:space="0" w:color="auto"/>
                <w:left w:val="none" w:sz="0" w:space="0" w:color="auto"/>
                <w:bottom w:val="none" w:sz="0" w:space="0" w:color="auto"/>
                <w:right w:val="none" w:sz="0" w:space="0" w:color="auto"/>
              </w:divBdr>
            </w:div>
            <w:div w:id="928779243">
              <w:marLeft w:val="0"/>
              <w:marRight w:val="0"/>
              <w:marTop w:val="0"/>
              <w:marBottom w:val="0"/>
              <w:divBdr>
                <w:top w:val="none" w:sz="0" w:space="0" w:color="auto"/>
                <w:left w:val="none" w:sz="0" w:space="0" w:color="auto"/>
                <w:bottom w:val="none" w:sz="0" w:space="0" w:color="auto"/>
                <w:right w:val="none" w:sz="0" w:space="0" w:color="auto"/>
              </w:divBdr>
            </w:div>
            <w:div w:id="978269927">
              <w:marLeft w:val="0"/>
              <w:marRight w:val="0"/>
              <w:marTop w:val="0"/>
              <w:marBottom w:val="0"/>
              <w:divBdr>
                <w:top w:val="none" w:sz="0" w:space="0" w:color="auto"/>
                <w:left w:val="none" w:sz="0" w:space="0" w:color="auto"/>
                <w:bottom w:val="none" w:sz="0" w:space="0" w:color="auto"/>
                <w:right w:val="none" w:sz="0" w:space="0" w:color="auto"/>
              </w:divBdr>
            </w:div>
            <w:div w:id="1094546179">
              <w:marLeft w:val="0"/>
              <w:marRight w:val="0"/>
              <w:marTop w:val="0"/>
              <w:marBottom w:val="0"/>
              <w:divBdr>
                <w:top w:val="none" w:sz="0" w:space="0" w:color="auto"/>
                <w:left w:val="none" w:sz="0" w:space="0" w:color="auto"/>
                <w:bottom w:val="none" w:sz="0" w:space="0" w:color="auto"/>
                <w:right w:val="none" w:sz="0" w:space="0" w:color="auto"/>
              </w:divBdr>
            </w:div>
            <w:div w:id="1141265810">
              <w:marLeft w:val="0"/>
              <w:marRight w:val="0"/>
              <w:marTop w:val="0"/>
              <w:marBottom w:val="0"/>
              <w:divBdr>
                <w:top w:val="none" w:sz="0" w:space="0" w:color="auto"/>
                <w:left w:val="none" w:sz="0" w:space="0" w:color="auto"/>
                <w:bottom w:val="none" w:sz="0" w:space="0" w:color="auto"/>
                <w:right w:val="none" w:sz="0" w:space="0" w:color="auto"/>
              </w:divBdr>
            </w:div>
            <w:div w:id="1616062425">
              <w:marLeft w:val="0"/>
              <w:marRight w:val="0"/>
              <w:marTop w:val="0"/>
              <w:marBottom w:val="0"/>
              <w:divBdr>
                <w:top w:val="none" w:sz="0" w:space="0" w:color="auto"/>
                <w:left w:val="none" w:sz="0" w:space="0" w:color="auto"/>
                <w:bottom w:val="none" w:sz="0" w:space="0" w:color="auto"/>
                <w:right w:val="none" w:sz="0" w:space="0" w:color="auto"/>
              </w:divBdr>
            </w:div>
            <w:div w:id="1715496314">
              <w:marLeft w:val="0"/>
              <w:marRight w:val="0"/>
              <w:marTop w:val="0"/>
              <w:marBottom w:val="0"/>
              <w:divBdr>
                <w:top w:val="none" w:sz="0" w:space="0" w:color="auto"/>
                <w:left w:val="none" w:sz="0" w:space="0" w:color="auto"/>
                <w:bottom w:val="none" w:sz="0" w:space="0" w:color="auto"/>
                <w:right w:val="none" w:sz="0" w:space="0" w:color="auto"/>
              </w:divBdr>
            </w:div>
            <w:div w:id="1873954374">
              <w:marLeft w:val="0"/>
              <w:marRight w:val="0"/>
              <w:marTop w:val="0"/>
              <w:marBottom w:val="0"/>
              <w:divBdr>
                <w:top w:val="none" w:sz="0" w:space="0" w:color="auto"/>
                <w:left w:val="none" w:sz="0" w:space="0" w:color="auto"/>
                <w:bottom w:val="none" w:sz="0" w:space="0" w:color="auto"/>
                <w:right w:val="none" w:sz="0" w:space="0" w:color="auto"/>
              </w:divBdr>
            </w:div>
            <w:div w:id="1955742749">
              <w:marLeft w:val="0"/>
              <w:marRight w:val="0"/>
              <w:marTop w:val="0"/>
              <w:marBottom w:val="0"/>
              <w:divBdr>
                <w:top w:val="none" w:sz="0" w:space="0" w:color="auto"/>
                <w:left w:val="none" w:sz="0" w:space="0" w:color="auto"/>
                <w:bottom w:val="none" w:sz="0" w:space="0" w:color="auto"/>
                <w:right w:val="none" w:sz="0" w:space="0" w:color="auto"/>
              </w:divBdr>
            </w:div>
            <w:div w:id="2087217078">
              <w:marLeft w:val="0"/>
              <w:marRight w:val="0"/>
              <w:marTop w:val="0"/>
              <w:marBottom w:val="0"/>
              <w:divBdr>
                <w:top w:val="none" w:sz="0" w:space="0" w:color="auto"/>
                <w:left w:val="none" w:sz="0" w:space="0" w:color="auto"/>
                <w:bottom w:val="none" w:sz="0" w:space="0" w:color="auto"/>
                <w:right w:val="none" w:sz="0" w:space="0" w:color="auto"/>
              </w:divBdr>
            </w:div>
            <w:div w:id="2095128586">
              <w:marLeft w:val="0"/>
              <w:marRight w:val="0"/>
              <w:marTop w:val="0"/>
              <w:marBottom w:val="0"/>
              <w:divBdr>
                <w:top w:val="none" w:sz="0" w:space="0" w:color="auto"/>
                <w:left w:val="none" w:sz="0" w:space="0" w:color="auto"/>
                <w:bottom w:val="none" w:sz="0" w:space="0" w:color="auto"/>
                <w:right w:val="none" w:sz="0" w:space="0" w:color="auto"/>
              </w:divBdr>
            </w:div>
          </w:divsChild>
        </w:div>
        <w:div w:id="2111274591">
          <w:marLeft w:val="0"/>
          <w:marRight w:val="0"/>
          <w:marTop w:val="0"/>
          <w:marBottom w:val="0"/>
          <w:divBdr>
            <w:top w:val="none" w:sz="0" w:space="0" w:color="auto"/>
            <w:left w:val="none" w:sz="0" w:space="0" w:color="auto"/>
            <w:bottom w:val="none" w:sz="0" w:space="0" w:color="auto"/>
            <w:right w:val="none" w:sz="0" w:space="0" w:color="auto"/>
          </w:divBdr>
          <w:divsChild>
            <w:div w:id="218713229">
              <w:marLeft w:val="0"/>
              <w:marRight w:val="0"/>
              <w:marTop w:val="0"/>
              <w:marBottom w:val="0"/>
              <w:divBdr>
                <w:top w:val="none" w:sz="0" w:space="0" w:color="auto"/>
                <w:left w:val="none" w:sz="0" w:space="0" w:color="auto"/>
                <w:bottom w:val="none" w:sz="0" w:space="0" w:color="auto"/>
                <w:right w:val="none" w:sz="0" w:space="0" w:color="auto"/>
              </w:divBdr>
            </w:div>
            <w:div w:id="233708519">
              <w:marLeft w:val="0"/>
              <w:marRight w:val="0"/>
              <w:marTop w:val="0"/>
              <w:marBottom w:val="0"/>
              <w:divBdr>
                <w:top w:val="none" w:sz="0" w:space="0" w:color="auto"/>
                <w:left w:val="none" w:sz="0" w:space="0" w:color="auto"/>
                <w:bottom w:val="none" w:sz="0" w:space="0" w:color="auto"/>
                <w:right w:val="none" w:sz="0" w:space="0" w:color="auto"/>
              </w:divBdr>
            </w:div>
            <w:div w:id="258174764">
              <w:marLeft w:val="0"/>
              <w:marRight w:val="0"/>
              <w:marTop w:val="0"/>
              <w:marBottom w:val="0"/>
              <w:divBdr>
                <w:top w:val="none" w:sz="0" w:space="0" w:color="auto"/>
                <w:left w:val="none" w:sz="0" w:space="0" w:color="auto"/>
                <w:bottom w:val="none" w:sz="0" w:space="0" w:color="auto"/>
                <w:right w:val="none" w:sz="0" w:space="0" w:color="auto"/>
              </w:divBdr>
            </w:div>
            <w:div w:id="364446890">
              <w:marLeft w:val="0"/>
              <w:marRight w:val="0"/>
              <w:marTop w:val="0"/>
              <w:marBottom w:val="0"/>
              <w:divBdr>
                <w:top w:val="none" w:sz="0" w:space="0" w:color="auto"/>
                <w:left w:val="none" w:sz="0" w:space="0" w:color="auto"/>
                <w:bottom w:val="none" w:sz="0" w:space="0" w:color="auto"/>
                <w:right w:val="none" w:sz="0" w:space="0" w:color="auto"/>
              </w:divBdr>
            </w:div>
            <w:div w:id="446001856">
              <w:marLeft w:val="0"/>
              <w:marRight w:val="0"/>
              <w:marTop w:val="0"/>
              <w:marBottom w:val="0"/>
              <w:divBdr>
                <w:top w:val="none" w:sz="0" w:space="0" w:color="auto"/>
                <w:left w:val="none" w:sz="0" w:space="0" w:color="auto"/>
                <w:bottom w:val="none" w:sz="0" w:space="0" w:color="auto"/>
                <w:right w:val="none" w:sz="0" w:space="0" w:color="auto"/>
              </w:divBdr>
            </w:div>
            <w:div w:id="504053154">
              <w:marLeft w:val="0"/>
              <w:marRight w:val="0"/>
              <w:marTop w:val="0"/>
              <w:marBottom w:val="0"/>
              <w:divBdr>
                <w:top w:val="none" w:sz="0" w:space="0" w:color="auto"/>
                <w:left w:val="none" w:sz="0" w:space="0" w:color="auto"/>
                <w:bottom w:val="none" w:sz="0" w:space="0" w:color="auto"/>
                <w:right w:val="none" w:sz="0" w:space="0" w:color="auto"/>
              </w:divBdr>
            </w:div>
            <w:div w:id="849442676">
              <w:marLeft w:val="0"/>
              <w:marRight w:val="0"/>
              <w:marTop w:val="0"/>
              <w:marBottom w:val="0"/>
              <w:divBdr>
                <w:top w:val="none" w:sz="0" w:space="0" w:color="auto"/>
                <w:left w:val="none" w:sz="0" w:space="0" w:color="auto"/>
                <w:bottom w:val="none" w:sz="0" w:space="0" w:color="auto"/>
                <w:right w:val="none" w:sz="0" w:space="0" w:color="auto"/>
              </w:divBdr>
            </w:div>
            <w:div w:id="893539642">
              <w:marLeft w:val="0"/>
              <w:marRight w:val="0"/>
              <w:marTop w:val="0"/>
              <w:marBottom w:val="0"/>
              <w:divBdr>
                <w:top w:val="none" w:sz="0" w:space="0" w:color="auto"/>
                <w:left w:val="none" w:sz="0" w:space="0" w:color="auto"/>
                <w:bottom w:val="none" w:sz="0" w:space="0" w:color="auto"/>
                <w:right w:val="none" w:sz="0" w:space="0" w:color="auto"/>
              </w:divBdr>
            </w:div>
            <w:div w:id="1155486769">
              <w:marLeft w:val="0"/>
              <w:marRight w:val="0"/>
              <w:marTop w:val="0"/>
              <w:marBottom w:val="0"/>
              <w:divBdr>
                <w:top w:val="none" w:sz="0" w:space="0" w:color="auto"/>
                <w:left w:val="none" w:sz="0" w:space="0" w:color="auto"/>
                <w:bottom w:val="none" w:sz="0" w:space="0" w:color="auto"/>
                <w:right w:val="none" w:sz="0" w:space="0" w:color="auto"/>
              </w:divBdr>
            </w:div>
            <w:div w:id="1440300349">
              <w:marLeft w:val="0"/>
              <w:marRight w:val="0"/>
              <w:marTop w:val="0"/>
              <w:marBottom w:val="0"/>
              <w:divBdr>
                <w:top w:val="none" w:sz="0" w:space="0" w:color="auto"/>
                <w:left w:val="none" w:sz="0" w:space="0" w:color="auto"/>
                <w:bottom w:val="none" w:sz="0" w:space="0" w:color="auto"/>
                <w:right w:val="none" w:sz="0" w:space="0" w:color="auto"/>
              </w:divBdr>
            </w:div>
            <w:div w:id="1646158491">
              <w:marLeft w:val="0"/>
              <w:marRight w:val="0"/>
              <w:marTop w:val="0"/>
              <w:marBottom w:val="0"/>
              <w:divBdr>
                <w:top w:val="none" w:sz="0" w:space="0" w:color="auto"/>
                <w:left w:val="none" w:sz="0" w:space="0" w:color="auto"/>
                <w:bottom w:val="none" w:sz="0" w:space="0" w:color="auto"/>
                <w:right w:val="none" w:sz="0" w:space="0" w:color="auto"/>
              </w:divBdr>
            </w:div>
            <w:div w:id="1686058958">
              <w:marLeft w:val="0"/>
              <w:marRight w:val="0"/>
              <w:marTop w:val="0"/>
              <w:marBottom w:val="0"/>
              <w:divBdr>
                <w:top w:val="none" w:sz="0" w:space="0" w:color="auto"/>
                <w:left w:val="none" w:sz="0" w:space="0" w:color="auto"/>
                <w:bottom w:val="none" w:sz="0" w:space="0" w:color="auto"/>
                <w:right w:val="none" w:sz="0" w:space="0" w:color="auto"/>
              </w:divBdr>
            </w:div>
            <w:div w:id="1710254150">
              <w:marLeft w:val="0"/>
              <w:marRight w:val="0"/>
              <w:marTop w:val="0"/>
              <w:marBottom w:val="0"/>
              <w:divBdr>
                <w:top w:val="none" w:sz="0" w:space="0" w:color="auto"/>
                <w:left w:val="none" w:sz="0" w:space="0" w:color="auto"/>
                <w:bottom w:val="none" w:sz="0" w:space="0" w:color="auto"/>
                <w:right w:val="none" w:sz="0" w:space="0" w:color="auto"/>
              </w:divBdr>
            </w:div>
            <w:div w:id="1872721054">
              <w:marLeft w:val="0"/>
              <w:marRight w:val="0"/>
              <w:marTop w:val="0"/>
              <w:marBottom w:val="0"/>
              <w:divBdr>
                <w:top w:val="none" w:sz="0" w:space="0" w:color="auto"/>
                <w:left w:val="none" w:sz="0" w:space="0" w:color="auto"/>
                <w:bottom w:val="none" w:sz="0" w:space="0" w:color="auto"/>
                <w:right w:val="none" w:sz="0" w:space="0" w:color="auto"/>
              </w:divBdr>
            </w:div>
            <w:div w:id="1888637910">
              <w:marLeft w:val="0"/>
              <w:marRight w:val="0"/>
              <w:marTop w:val="0"/>
              <w:marBottom w:val="0"/>
              <w:divBdr>
                <w:top w:val="none" w:sz="0" w:space="0" w:color="auto"/>
                <w:left w:val="none" w:sz="0" w:space="0" w:color="auto"/>
                <w:bottom w:val="none" w:sz="0" w:space="0" w:color="auto"/>
                <w:right w:val="none" w:sz="0" w:space="0" w:color="auto"/>
              </w:divBdr>
            </w:div>
            <w:div w:id="1893273220">
              <w:marLeft w:val="0"/>
              <w:marRight w:val="0"/>
              <w:marTop w:val="0"/>
              <w:marBottom w:val="0"/>
              <w:divBdr>
                <w:top w:val="none" w:sz="0" w:space="0" w:color="auto"/>
                <w:left w:val="none" w:sz="0" w:space="0" w:color="auto"/>
                <w:bottom w:val="none" w:sz="0" w:space="0" w:color="auto"/>
                <w:right w:val="none" w:sz="0" w:space="0" w:color="auto"/>
              </w:divBdr>
            </w:div>
            <w:div w:id="1908224644">
              <w:marLeft w:val="0"/>
              <w:marRight w:val="0"/>
              <w:marTop w:val="0"/>
              <w:marBottom w:val="0"/>
              <w:divBdr>
                <w:top w:val="none" w:sz="0" w:space="0" w:color="auto"/>
                <w:left w:val="none" w:sz="0" w:space="0" w:color="auto"/>
                <w:bottom w:val="none" w:sz="0" w:space="0" w:color="auto"/>
                <w:right w:val="none" w:sz="0" w:space="0" w:color="auto"/>
              </w:divBdr>
            </w:div>
            <w:div w:id="1937211251">
              <w:marLeft w:val="0"/>
              <w:marRight w:val="0"/>
              <w:marTop w:val="0"/>
              <w:marBottom w:val="0"/>
              <w:divBdr>
                <w:top w:val="none" w:sz="0" w:space="0" w:color="auto"/>
                <w:left w:val="none" w:sz="0" w:space="0" w:color="auto"/>
                <w:bottom w:val="none" w:sz="0" w:space="0" w:color="auto"/>
                <w:right w:val="none" w:sz="0" w:space="0" w:color="auto"/>
              </w:divBdr>
            </w:div>
            <w:div w:id="1963875862">
              <w:marLeft w:val="0"/>
              <w:marRight w:val="0"/>
              <w:marTop w:val="0"/>
              <w:marBottom w:val="0"/>
              <w:divBdr>
                <w:top w:val="none" w:sz="0" w:space="0" w:color="auto"/>
                <w:left w:val="none" w:sz="0" w:space="0" w:color="auto"/>
                <w:bottom w:val="none" w:sz="0" w:space="0" w:color="auto"/>
                <w:right w:val="none" w:sz="0" w:space="0" w:color="auto"/>
              </w:divBdr>
            </w:div>
            <w:div w:id="20729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42048">
      <w:bodyDiv w:val="1"/>
      <w:marLeft w:val="0"/>
      <w:marRight w:val="0"/>
      <w:marTop w:val="0"/>
      <w:marBottom w:val="0"/>
      <w:divBdr>
        <w:top w:val="none" w:sz="0" w:space="0" w:color="auto"/>
        <w:left w:val="none" w:sz="0" w:space="0" w:color="auto"/>
        <w:bottom w:val="none" w:sz="0" w:space="0" w:color="auto"/>
        <w:right w:val="none" w:sz="0" w:space="0" w:color="auto"/>
      </w:divBdr>
      <w:divsChild>
        <w:div w:id="50927825">
          <w:marLeft w:val="0"/>
          <w:marRight w:val="0"/>
          <w:marTop w:val="0"/>
          <w:marBottom w:val="0"/>
          <w:divBdr>
            <w:top w:val="none" w:sz="0" w:space="0" w:color="auto"/>
            <w:left w:val="none" w:sz="0" w:space="0" w:color="auto"/>
            <w:bottom w:val="none" w:sz="0" w:space="0" w:color="auto"/>
            <w:right w:val="none" w:sz="0" w:space="0" w:color="auto"/>
          </w:divBdr>
        </w:div>
        <w:div w:id="475729509">
          <w:marLeft w:val="0"/>
          <w:marRight w:val="0"/>
          <w:marTop w:val="0"/>
          <w:marBottom w:val="0"/>
          <w:divBdr>
            <w:top w:val="none" w:sz="0" w:space="0" w:color="auto"/>
            <w:left w:val="none" w:sz="0" w:space="0" w:color="auto"/>
            <w:bottom w:val="none" w:sz="0" w:space="0" w:color="auto"/>
            <w:right w:val="none" w:sz="0" w:space="0" w:color="auto"/>
          </w:divBdr>
        </w:div>
        <w:div w:id="512302417">
          <w:marLeft w:val="0"/>
          <w:marRight w:val="0"/>
          <w:marTop w:val="0"/>
          <w:marBottom w:val="0"/>
          <w:divBdr>
            <w:top w:val="none" w:sz="0" w:space="0" w:color="auto"/>
            <w:left w:val="none" w:sz="0" w:space="0" w:color="auto"/>
            <w:bottom w:val="none" w:sz="0" w:space="0" w:color="auto"/>
            <w:right w:val="none" w:sz="0" w:space="0" w:color="auto"/>
          </w:divBdr>
          <w:divsChild>
            <w:div w:id="47803017">
              <w:marLeft w:val="0"/>
              <w:marRight w:val="0"/>
              <w:marTop w:val="0"/>
              <w:marBottom w:val="0"/>
              <w:divBdr>
                <w:top w:val="none" w:sz="0" w:space="0" w:color="auto"/>
                <w:left w:val="none" w:sz="0" w:space="0" w:color="auto"/>
                <w:bottom w:val="none" w:sz="0" w:space="0" w:color="auto"/>
                <w:right w:val="none" w:sz="0" w:space="0" w:color="auto"/>
              </w:divBdr>
            </w:div>
            <w:div w:id="56633089">
              <w:marLeft w:val="0"/>
              <w:marRight w:val="0"/>
              <w:marTop w:val="0"/>
              <w:marBottom w:val="0"/>
              <w:divBdr>
                <w:top w:val="none" w:sz="0" w:space="0" w:color="auto"/>
                <w:left w:val="none" w:sz="0" w:space="0" w:color="auto"/>
                <w:bottom w:val="none" w:sz="0" w:space="0" w:color="auto"/>
                <w:right w:val="none" w:sz="0" w:space="0" w:color="auto"/>
              </w:divBdr>
            </w:div>
            <w:div w:id="132724669">
              <w:marLeft w:val="0"/>
              <w:marRight w:val="0"/>
              <w:marTop w:val="0"/>
              <w:marBottom w:val="0"/>
              <w:divBdr>
                <w:top w:val="none" w:sz="0" w:space="0" w:color="auto"/>
                <w:left w:val="none" w:sz="0" w:space="0" w:color="auto"/>
                <w:bottom w:val="none" w:sz="0" w:space="0" w:color="auto"/>
                <w:right w:val="none" w:sz="0" w:space="0" w:color="auto"/>
              </w:divBdr>
            </w:div>
            <w:div w:id="219248486">
              <w:marLeft w:val="0"/>
              <w:marRight w:val="0"/>
              <w:marTop w:val="0"/>
              <w:marBottom w:val="0"/>
              <w:divBdr>
                <w:top w:val="none" w:sz="0" w:space="0" w:color="auto"/>
                <w:left w:val="none" w:sz="0" w:space="0" w:color="auto"/>
                <w:bottom w:val="none" w:sz="0" w:space="0" w:color="auto"/>
                <w:right w:val="none" w:sz="0" w:space="0" w:color="auto"/>
              </w:divBdr>
            </w:div>
            <w:div w:id="361905256">
              <w:marLeft w:val="0"/>
              <w:marRight w:val="0"/>
              <w:marTop w:val="0"/>
              <w:marBottom w:val="0"/>
              <w:divBdr>
                <w:top w:val="none" w:sz="0" w:space="0" w:color="auto"/>
                <w:left w:val="none" w:sz="0" w:space="0" w:color="auto"/>
                <w:bottom w:val="none" w:sz="0" w:space="0" w:color="auto"/>
                <w:right w:val="none" w:sz="0" w:space="0" w:color="auto"/>
              </w:divBdr>
            </w:div>
            <w:div w:id="450831841">
              <w:marLeft w:val="0"/>
              <w:marRight w:val="0"/>
              <w:marTop w:val="0"/>
              <w:marBottom w:val="0"/>
              <w:divBdr>
                <w:top w:val="none" w:sz="0" w:space="0" w:color="auto"/>
                <w:left w:val="none" w:sz="0" w:space="0" w:color="auto"/>
                <w:bottom w:val="none" w:sz="0" w:space="0" w:color="auto"/>
                <w:right w:val="none" w:sz="0" w:space="0" w:color="auto"/>
              </w:divBdr>
            </w:div>
            <w:div w:id="691221570">
              <w:marLeft w:val="0"/>
              <w:marRight w:val="0"/>
              <w:marTop w:val="0"/>
              <w:marBottom w:val="0"/>
              <w:divBdr>
                <w:top w:val="none" w:sz="0" w:space="0" w:color="auto"/>
                <w:left w:val="none" w:sz="0" w:space="0" w:color="auto"/>
                <w:bottom w:val="none" w:sz="0" w:space="0" w:color="auto"/>
                <w:right w:val="none" w:sz="0" w:space="0" w:color="auto"/>
              </w:divBdr>
            </w:div>
            <w:div w:id="768702495">
              <w:marLeft w:val="0"/>
              <w:marRight w:val="0"/>
              <w:marTop w:val="0"/>
              <w:marBottom w:val="0"/>
              <w:divBdr>
                <w:top w:val="none" w:sz="0" w:space="0" w:color="auto"/>
                <w:left w:val="none" w:sz="0" w:space="0" w:color="auto"/>
                <w:bottom w:val="none" w:sz="0" w:space="0" w:color="auto"/>
                <w:right w:val="none" w:sz="0" w:space="0" w:color="auto"/>
              </w:divBdr>
            </w:div>
            <w:div w:id="906496110">
              <w:marLeft w:val="0"/>
              <w:marRight w:val="0"/>
              <w:marTop w:val="0"/>
              <w:marBottom w:val="0"/>
              <w:divBdr>
                <w:top w:val="none" w:sz="0" w:space="0" w:color="auto"/>
                <w:left w:val="none" w:sz="0" w:space="0" w:color="auto"/>
                <w:bottom w:val="none" w:sz="0" w:space="0" w:color="auto"/>
                <w:right w:val="none" w:sz="0" w:space="0" w:color="auto"/>
              </w:divBdr>
            </w:div>
            <w:div w:id="1021974415">
              <w:marLeft w:val="0"/>
              <w:marRight w:val="0"/>
              <w:marTop w:val="0"/>
              <w:marBottom w:val="0"/>
              <w:divBdr>
                <w:top w:val="none" w:sz="0" w:space="0" w:color="auto"/>
                <w:left w:val="none" w:sz="0" w:space="0" w:color="auto"/>
                <w:bottom w:val="none" w:sz="0" w:space="0" w:color="auto"/>
                <w:right w:val="none" w:sz="0" w:space="0" w:color="auto"/>
              </w:divBdr>
            </w:div>
            <w:div w:id="1270159636">
              <w:marLeft w:val="0"/>
              <w:marRight w:val="0"/>
              <w:marTop w:val="0"/>
              <w:marBottom w:val="0"/>
              <w:divBdr>
                <w:top w:val="none" w:sz="0" w:space="0" w:color="auto"/>
                <w:left w:val="none" w:sz="0" w:space="0" w:color="auto"/>
                <w:bottom w:val="none" w:sz="0" w:space="0" w:color="auto"/>
                <w:right w:val="none" w:sz="0" w:space="0" w:color="auto"/>
              </w:divBdr>
            </w:div>
            <w:div w:id="1379088781">
              <w:marLeft w:val="0"/>
              <w:marRight w:val="0"/>
              <w:marTop w:val="0"/>
              <w:marBottom w:val="0"/>
              <w:divBdr>
                <w:top w:val="none" w:sz="0" w:space="0" w:color="auto"/>
                <w:left w:val="none" w:sz="0" w:space="0" w:color="auto"/>
                <w:bottom w:val="none" w:sz="0" w:space="0" w:color="auto"/>
                <w:right w:val="none" w:sz="0" w:space="0" w:color="auto"/>
              </w:divBdr>
            </w:div>
            <w:div w:id="1401714674">
              <w:marLeft w:val="0"/>
              <w:marRight w:val="0"/>
              <w:marTop w:val="0"/>
              <w:marBottom w:val="0"/>
              <w:divBdr>
                <w:top w:val="none" w:sz="0" w:space="0" w:color="auto"/>
                <w:left w:val="none" w:sz="0" w:space="0" w:color="auto"/>
                <w:bottom w:val="none" w:sz="0" w:space="0" w:color="auto"/>
                <w:right w:val="none" w:sz="0" w:space="0" w:color="auto"/>
              </w:divBdr>
            </w:div>
            <w:div w:id="1403916928">
              <w:marLeft w:val="0"/>
              <w:marRight w:val="0"/>
              <w:marTop w:val="0"/>
              <w:marBottom w:val="0"/>
              <w:divBdr>
                <w:top w:val="none" w:sz="0" w:space="0" w:color="auto"/>
                <w:left w:val="none" w:sz="0" w:space="0" w:color="auto"/>
                <w:bottom w:val="none" w:sz="0" w:space="0" w:color="auto"/>
                <w:right w:val="none" w:sz="0" w:space="0" w:color="auto"/>
              </w:divBdr>
            </w:div>
            <w:div w:id="1576285484">
              <w:marLeft w:val="0"/>
              <w:marRight w:val="0"/>
              <w:marTop w:val="0"/>
              <w:marBottom w:val="0"/>
              <w:divBdr>
                <w:top w:val="none" w:sz="0" w:space="0" w:color="auto"/>
                <w:left w:val="none" w:sz="0" w:space="0" w:color="auto"/>
                <w:bottom w:val="none" w:sz="0" w:space="0" w:color="auto"/>
                <w:right w:val="none" w:sz="0" w:space="0" w:color="auto"/>
              </w:divBdr>
            </w:div>
            <w:div w:id="1668243882">
              <w:marLeft w:val="0"/>
              <w:marRight w:val="0"/>
              <w:marTop w:val="0"/>
              <w:marBottom w:val="0"/>
              <w:divBdr>
                <w:top w:val="none" w:sz="0" w:space="0" w:color="auto"/>
                <w:left w:val="none" w:sz="0" w:space="0" w:color="auto"/>
                <w:bottom w:val="none" w:sz="0" w:space="0" w:color="auto"/>
                <w:right w:val="none" w:sz="0" w:space="0" w:color="auto"/>
              </w:divBdr>
            </w:div>
            <w:div w:id="1777602577">
              <w:marLeft w:val="0"/>
              <w:marRight w:val="0"/>
              <w:marTop w:val="0"/>
              <w:marBottom w:val="0"/>
              <w:divBdr>
                <w:top w:val="none" w:sz="0" w:space="0" w:color="auto"/>
                <w:left w:val="none" w:sz="0" w:space="0" w:color="auto"/>
                <w:bottom w:val="none" w:sz="0" w:space="0" w:color="auto"/>
                <w:right w:val="none" w:sz="0" w:space="0" w:color="auto"/>
              </w:divBdr>
            </w:div>
            <w:div w:id="1951207076">
              <w:marLeft w:val="0"/>
              <w:marRight w:val="0"/>
              <w:marTop w:val="0"/>
              <w:marBottom w:val="0"/>
              <w:divBdr>
                <w:top w:val="none" w:sz="0" w:space="0" w:color="auto"/>
                <w:left w:val="none" w:sz="0" w:space="0" w:color="auto"/>
                <w:bottom w:val="none" w:sz="0" w:space="0" w:color="auto"/>
                <w:right w:val="none" w:sz="0" w:space="0" w:color="auto"/>
              </w:divBdr>
            </w:div>
          </w:divsChild>
        </w:div>
        <w:div w:id="729501176">
          <w:marLeft w:val="0"/>
          <w:marRight w:val="0"/>
          <w:marTop w:val="0"/>
          <w:marBottom w:val="0"/>
          <w:divBdr>
            <w:top w:val="none" w:sz="0" w:space="0" w:color="auto"/>
            <w:left w:val="none" w:sz="0" w:space="0" w:color="auto"/>
            <w:bottom w:val="none" w:sz="0" w:space="0" w:color="auto"/>
            <w:right w:val="none" w:sz="0" w:space="0" w:color="auto"/>
          </w:divBdr>
        </w:div>
        <w:div w:id="731001640">
          <w:marLeft w:val="0"/>
          <w:marRight w:val="0"/>
          <w:marTop w:val="0"/>
          <w:marBottom w:val="0"/>
          <w:divBdr>
            <w:top w:val="none" w:sz="0" w:space="0" w:color="auto"/>
            <w:left w:val="none" w:sz="0" w:space="0" w:color="auto"/>
            <w:bottom w:val="none" w:sz="0" w:space="0" w:color="auto"/>
            <w:right w:val="none" w:sz="0" w:space="0" w:color="auto"/>
          </w:divBdr>
        </w:div>
        <w:div w:id="758261229">
          <w:marLeft w:val="0"/>
          <w:marRight w:val="0"/>
          <w:marTop w:val="0"/>
          <w:marBottom w:val="0"/>
          <w:divBdr>
            <w:top w:val="none" w:sz="0" w:space="0" w:color="auto"/>
            <w:left w:val="none" w:sz="0" w:space="0" w:color="auto"/>
            <w:bottom w:val="none" w:sz="0" w:space="0" w:color="auto"/>
            <w:right w:val="none" w:sz="0" w:space="0" w:color="auto"/>
          </w:divBdr>
        </w:div>
        <w:div w:id="846559068">
          <w:marLeft w:val="0"/>
          <w:marRight w:val="0"/>
          <w:marTop w:val="0"/>
          <w:marBottom w:val="0"/>
          <w:divBdr>
            <w:top w:val="none" w:sz="0" w:space="0" w:color="auto"/>
            <w:left w:val="none" w:sz="0" w:space="0" w:color="auto"/>
            <w:bottom w:val="none" w:sz="0" w:space="0" w:color="auto"/>
            <w:right w:val="none" w:sz="0" w:space="0" w:color="auto"/>
          </w:divBdr>
        </w:div>
        <w:div w:id="1077822987">
          <w:marLeft w:val="0"/>
          <w:marRight w:val="0"/>
          <w:marTop w:val="0"/>
          <w:marBottom w:val="0"/>
          <w:divBdr>
            <w:top w:val="none" w:sz="0" w:space="0" w:color="auto"/>
            <w:left w:val="none" w:sz="0" w:space="0" w:color="auto"/>
            <w:bottom w:val="none" w:sz="0" w:space="0" w:color="auto"/>
            <w:right w:val="none" w:sz="0" w:space="0" w:color="auto"/>
          </w:divBdr>
        </w:div>
        <w:div w:id="1077938912">
          <w:marLeft w:val="0"/>
          <w:marRight w:val="0"/>
          <w:marTop w:val="0"/>
          <w:marBottom w:val="0"/>
          <w:divBdr>
            <w:top w:val="none" w:sz="0" w:space="0" w:color="auto"/>
            <w:left w:val="none" w:sz="0" w:space="0" w:color="auto"/>
            <w:bottom w:val="none" w:sz="0" w:space="0" w:color="auto"/>
            <w:right w:val="none" w:sz="0" w:space="0" w:color="auto"/>
          </w:divBdr>
        </w:div>
        <w:div w:id="1824850987">
          <w:marLeft w:val="0"/>
          <w:marRight w:val="0"/>
          <w:marTop w:val="0"/>
          <w:marBottom w:val="0"/>
          <w:divBdr>
            <w:top w:val="none" w:sz="0" w:space="0" w:color="auto"/>
            <w:left w:val="none" w:sz="0" w:space="0" w:color="auto"/>
            <w:bottom w:val="none" w:sz="0" w:space="0" w:color="auto"/>
            <w:right w:val="none" w:sz="0" w:space="0" w:color="auto"/>
          </w:divBdr>
        </w:div>
        <w:div w:id="2023626698">
          <w:marLeft w:val="0"/>
          <w:marRight w:val="0"/>
          <w:marTop w:val="0"/>
          <w:marBottom w:val="0"/>
          <w:divBdr>
            <w:top w:val="none" w:sz="0" w:space="0" w:color="auto"/>
            <w:left w:val="none" w:sz="0" w:space="0" w:color="auto"/>
            <w:bottom w:val="none" w:sz="0" w:space="0" w:color="auto"/>
            <w:right w:val="none" w:sz="0" w:space="0" w:color="auto"/>
          </w:divBdr>
        </w:div>
      </w:divsChild>
    </w:div>
    <w:div w:id="927082888">
      <w:bodyDiv w:val="1"/>
      <w:marLeft w:val="0"/>
      <w:marRight w:val="0"/>
      <w:marTop w:val="0"/>
      <w:marBottom w:val="0"/>
      <w:divBdr>
        <w:top w:val="none" w:sz="0" w:space="0" w:color="auto"/>
        <w:left w:val="none" w:sz="0" w:space="0" w:color="auto"/>
        <w:bottom w:val="none" w:sz="0" w:space="0" w:color="auto"/>
        <w:right w:val="none" w:sz="0" w:space="0" w:color="auto"/>
      </w:divBdr>
      <w:divsChild>
        <w:div w:id="83109164">
          <w:marLeft w:val="0"/>
          <w:marRight w:val="0"/>
          <w:marTop w:val="0"/>
          <w:marBottom w:val="0"/>
          <w:divBdr>
            <w:top w:val="none" w:sz="0" w:space="0" w:color="auto"/>
            <w:left w:val="none" w:sz="0" w:space="0" w:color="auto"/>
            <w:bottom w:val="none" w:sz="0" w:space="0" w:color="auto"/>
            <w:right w:val="none" w:sz="0" w:space="0" w:color="auto"/>
          </w:divBdr>
        </w:div>
        <w:div w:id="213079326">
          <w:marLeft w:val="0"/>
          <w:marRight w:val="0"/>
          <w:marTop w:val="0"/>
          <w:marBottom w:val="0"/>
          <w:divBdr>
            <w:top w:val="none" w:sz="0" w:space="0" w:color="auto"/>
            <w:left w:val="none" w:sz="0" w:space="0" w:color="auto"/>
            <w:bottom w:val="none" w:sz="0" w:space="0" w:color="auto"/>
            <w:right w:val="none" w:sz="0" w:space="0" w:color="auto"/>
          </w:divBdr>
        </w:div>
        <w:div w:id="233510506">
          <w:marLeft w:val="0"/>
          <w:marRight w:val="0"/>
          <w:marTop w:val="0"/>
          <w:marBottom w:val="0"/>
          <w:divBdr>
            <w:top w:val="none" w:sz="0" w:space="0" w:color="auto"/>
            <w:left w:val="none" w:sz="0" w:space="0" w:color="auto"/>
            <w:bottom w:val="none" w:sz="0" w:space="0" w:color="auto"/>
            <w:right w:val="none" w:sz="0" w:space="0" w:color="auto"/>
          </w:divBdr>
        </w:div>
        <w:div w:id="333605782">
          <w:marLeft w:val="0"/>
          <w:marRight w:val="0"/>
          <w:marTop w:val="0"/>
          <w:marBottom w:val="0"/>
          <w:divBdr>
            <w:top w:val="none" w:sz="0" w:space="0" w:color="auto"/>
            <w:left w:val="none" w:sz="0" w:space="0" w:color="auto"/>
            <w:bottom w:val="none" w:sz="0" w:space="0" w:color="auto"/>
            <w:right w:val="none" w:sz="0" w:space="0" w:color="auto"/>
          </w:divBdr>
        </w:div>
        <w:div w:id="512720569">
          <w:marLeft w:val="0"/>
          <w:marRight w:val="0"/>
          <w:marTop w:val="0"/>
          <w:marBottom w:val="0"/>
          <w:divBdr>
            <w:top w:val="none" w:sz="0" w:space="0" w:color="auto"/>
            <w:left w:val="none" w:sz="0" w:space="0" w:color="auto"/>
            <w:bottom w:val="none" w:sz="0" w:space="0" w:color="auto"/>
            <w:right w:val="none" w:sz="0" w:space="0" w:color="auto"/>
          </w:divBdr>
        </w:div>
        <w:div w:id="533273306">
          <w:marLeft w:val="0"/>
          <w:marRight w:val="0"/>
          <w:marTop w:val="0"/>
          <w:marBottom w:val="0"/>
          <w:divBdr>
            <w:top w:val="none" w:sz="0" w:space="0" w:color="auto"/>
            <w:left w:val="none" w:sz="0" w:space="0" w:color="auto"/>
            <w:bottom w:val="none" w:sz="0" w:space="0" w:color="auto"/>
            <w:right w:val="none" w:sz="0" w:space="0" w:color="auto"/>
          </w:divBdr>
        </w:div>
        <w:div w:id="649401979">
          <w:marLeft w:val="0"/>
          <w:marRight w:val="0"/>
          <w:marTop w:val="0"/>
          <w:marBottom w:val="0"/>
          <w:divBdr>
            <w:top w:val="none" w:sz="0" w:space="0" w:color="auto"/>
            <w:left w:val="none" w:sz="0" w:space="0" w:color="auto"/>
            <w:bottom w:val="none" w:sz="0" w:space="0" w:color="auto"/>
            <w:right w:val="none" w:sz="0" w:space="0" w:color="auto"/>
          </w:divBdr>
        </w:div>
        <w:div w:id="794637763">
          <w:marLeft w:val="0"/>
          <w:marRight w:val="0"/>
          <w:marTop w:val="0"/>
          <w:marBottom w:val="0"/>
          <w:divBdr>
            <w:top w:val="none" w:sz="0" w:space="0" w:color="auto"/>
            <w:left w:val="none" w:sz="0" w:space="0" w:color="auto"/>
            <w:bottom w:val="none" w:sz="0" w:space="0" w:color="auto"/>
            <w:right w:val="none" w:sz="0" w:space="0" w:color="auto"/>
          </w:divBdr>
        </w:div>
        <w:div w:id="858005818">
          <w:marLeft w:val="0"/>
          <w:marRight w:val="0"/>
          <w:marTop w:val="0"/>
          <w:marBottom w:val="0"/>
          <w:divBdr>
            <w:top w:val="none" w:sz="0" w:space="0" w:color="auto"/>
            <w:left w:val="none" w:sz="0" w:space="0" w:color="auto"/>
            <w:bottom w:val="none" w:sz="0" w:space="0" w:color="auto"/>
            <w:right w:val="none" w:sz="0" w:space="0" w:color="auto"/>
          </w:divBdr>
        </w:div>
        <w:div w:id="886769331">
          <w:marLeft w:val="0"/>
          <w:marRight w:val="0"/>
          <w:marTop w:val="0"/>
          <w:marBottom w:val="0"/>
          <w:divBdr>
            <w:top w:val="none" w:sz="0" w:space="0" w:color="auto"/>
            <w:left w:val="none" w:sz="0" w:space="0" w:color="auto"/>
            <w:bottom w:val="none" w:sz="0" w:space="0" w:color="auto"/>
            <w:right w:val="none" w:sz="0" w:space="0" w:color="auto"/>
          </w:divBdr>
        </w:div>
        <w:div w:id="925650084">
          <w:marLeft w:val="0"/>
          <w:marRight w:val="0"/>
          <w:marTop w:val="0"/>
          <w:marBottom w:val="0"/>
          <w:divBdr>
            <w:top w:val="none" w:sz="0" w:space="0" w:color="auto"/>
            <w:left w:val="none" w:sz="0" w:space="0" w:color="auto"/>
            <w:bottom w:val="none" w:sz="0" w:space="0" w:color="auto"/>
            <w:right w:val="none" w:sz="0" w:space="0" w:color="auto"/>
          </w:divBdr>
        </w:div>
        <w:div w:id="1092899022">
          <w:marLeft w:val="0"/>
          <w:marRight w:val="0"/>
          <w:marTop w:val="0"/>
          <w:marBottom w:val="0"/>
          <w:divBdr>
            <w:top w:val="none" w:sz="0" w:space="0" w:color="auto"/>
            <w:left w:val="none" w:sz="0" w:space="0" w:color="auto"/>
            <w:bottom w:val="none" w:sz="0" w:space="0" w:color="auto"/>
            <w:right w:val="none" w:sz="0" w:space="0" w:color="auto"/>
          </w:divBdr>
        </w:div>
        <w:div w:id="1338653940">
          <w:marLeft w:val="0"/>
          <w:marRight w:val="0"/>
          <w:marTop w:val="0"/>
          <w:marBottom w:val="0"/>
          <w:divBdr>
            <w:top w:val="none" w:sz="0" w:space="0" w:color="auto"/>
            <w:left w:val="none" w:sz="0" w:space="0" w:color="auto"/>
            <w:bottom w:val="none" w:sz="0" w:space="0" w:color="auto"/>
            <w:right w:val="none" w:sz="0" w:space="0" w:color="auto"/>
          </w:divBdr>
        </w:div>
        <w:div w:id="1480611043">
          <w:marLeft w:val="0"/>
          <w:marRight w:val="0"/>
          <w:marTop w:val="0"/>
          <w:marBottom w:val="0"/>
          <w:divBdr>
            <w:top w:val="none" w:sz="0" w:space="0" w:color="auto"/>
            <w:left w:val="none" w:sz="0" w:space="0" w:color="auto"/>
            <w:bottom w:val="none" w:sz="0" w:space="0" w:color="auto"/>
            <w:right w:val="none" w:sz="0" w:space="0" w:color="auto"/>
          </w:divBdr>
        </w:div>
        <w:div w:id="1767268918">
          <w:marLeft w:val="0"/>
          <w:marRight w:val="0"/>
          <w:marTop w:val="0"/>
          <w:marBottom w:val="0"/>
          <w:divBdr>
            <w:top w:val="none" w:sz="0" w:space="0" w:color="auto"/>
            <w:left w:val="none" w:sz="0" w:space="0" w:color="auto"/>
            <w:bottom w:val="none" w:sz="0" w:space="0" w:color="auto"/>
            <w:right w:val="none" w:sz="0" w:space="0" w:color="auto"/>
          </w:divBdr>
        </w:div>
        <w:div w:id="1801877603">
          <w:marLeft w:val="0"/>
          <w:marRight w:val="0"/>
          <w:marTop w:val="0"/>
          <w:marBottom w:val="0"/>
          <w:divBdr>
            <w:top w:val="none" w:sz="0" w:space="0" w:color="auto"/>
            <w:left w:val="none" w:sz="0" w:space="0" w:color="auto"/>
            <w:bottom w:val="none" w:sz="0" w:space="0" w:color="auto"/>
            <w:right w:val="none" w:sz="0" w:space="0" w:color="auto"/>
          </w:divBdr>
        </w:div>
        <w:div w:id="1818256834">
          <w:marLeft w:val="0"/>
          <w:marRight w:val="0"/>
          <w:marTop w:val="0"/>
          <w:marBottom w:val="0"/>
          <w:divBdr>
            <w:top w:val="none" w:sz="0" w:space="0" w:color="auto"/>
            <w:left w:val="none" w:sz="0" w:space="0" w:color="auto"/>
            <w:bottom w:val="none" w:sz="0" w:space="0" w:color="auto"/>
            <w:right w:val="none" w:sz="0" w:space="0" w:color="auto"/>
          </w:divBdr>
        </w:div>
        <w:div w:id="1899513415">
          <w:marLeft w:val="0"/>
          <w:marRight w:val="0"/>
          <w:marTop w:val="0"/>
          <w:marBottom w:val="0"/>
          <w:divBdr>
            <w:top w:val="none" w:sz="0" w:space="0" w:color="auto"/>
            <w:left w:val="none" w:sz="0" w:space="0" w:color="auto"/>
            <w:bottom w:val="none" w:sz="0" w:space="0" w:color="auto"/>
            <w:right w:val="none" w:sz="0" w:space="0" w:color="auto"/>
          </w:divBdr>
          <w:divsChild>
            <w:div w:id="30737444">
              <w:marLeft w:val="0"/>
              <w:marRight w:val="0"/>
              <w:marTop w:val="0"/>
              <w:marBottom w:val="0"/>
              <w:divBdr>
                <w:top w:val="none" w:sz="0" w:space="0" w:color="auto"/>
                <w:left w:val="none" w:sz="0" w:space="0" w:color="auto"/>
                <w:bottom w:val="none" w:sz="0" w:space="0" w:color="auto"/>
                <w:right w:val="none" w:sz="0" w:space="0" w:color="auto"/>
              </w:divBdr>
            </w:div>
            <w:div w:id="60447362">
              <w:marLeft w:val="0"/>
              <w:marRight w:val="0"/>
              <w:marTop w:val="0"/>
              <w:marBottom w:val="0"/>
              <w:divBdr>
                <w:top w:val="none" w:sz="0" w:space="0" w:color="auto"/>
                <w:left w:val="none" w:sz="0" w:space="0" w:color="auto"/>
                <w:bottom w:val="none" w:sz="0" w:space="0" w:color="auto"/>
                <w:right w:val="none" w:sz="0" w:space="0" w:color="auto"/>
              </w:divBdr>
            </w:div>
            <w:div w:id="224536691">
              <w:marLeft w:val="0"/>
              <w:marRight w:val="0"/>
              <w:marTop w:val="0"/>
              <w:marBottom w:val="0"/>
              <w:divBdr>
                <w:top w:val="none" w:sz="0" w:space="0" w:color="auto"/>
                <w:left w:val="none" w:sz="0" w:space="0" w:color="auto"/>
                <w:bottom w:val="none" w:sz="0" w:space="0" w:color="auto"/>
                <w:right w:val="none" w:sz="0" w:space="0" w:color="auto"/>
              </w:divBdr>
            </w:div>
            <w:div w:id="263193124">
              <w:marLeft w:val="0"/>
              <w:marRight w:val="0"/>
              <w:marTop w:val="0"/>
              <w:marBottom w:val="0"/>
              <w:divBdr>
                <w:top w:val="none" w:sz="0" w:space="0" w:color="auto"/>
                <w:left w:val="none" w:sz="0" w:space="0" w:color="auto"/>
                <w:bottom w:val="none" w:sz="0" w:space="0" w:color="auto"/>
                <w:right w:val="none" w:sz="0" w:space="0" w:color="auto"/>
              </w:divBdr>
            </w:div>
            <w:div w:id="272591543">
              <w:marLeft w:val="0"/>
              <w:marRight w:val="0"/>
              <w:marTop w:val="0"/>
              <w:marBottom w:val="0"/>
              <w:divBdr>
                <w:top w:val="none" w:sz="0" w:space="0" w:color="auto"/>
                <w:left w:val="none" w:sz="0" w:space="0" w:color="auto"/>
                <w:bottom w:val="none" w:sz="0" w:space="0" w:color="auto"/>
                <w:right w:val="none" w:sz="0" w:space="0" w:color="auto"/>
              </w:divBdr>
            </w:div>
            <w:div w:id="452479189">
              <w:marLeft w:val="0"/>
              <w:marRight w:val="0"/>
              <w:marTop w:val="0"/>
              <w:marBottom w:val="0"/>
              <w:divBdr>
                <w:top w:val="none" w:sz="0" w:space="0" w:color="auto"/>
                <w:left w:val="none" w:sz="0" w:space="0" w:color="auto"/>
                <w:bottom w:val="none" w:sz="0" w:space="0" w:color="auto"/>
                <w:right w:val="none" w:sz="0" w:space="0" w:color="auto"/>
              </w:divBdr>
            </w:div>
            <w:div w:id="516770281">
              <w:marLeft w:val="0"/>
              <w:marRight w:val="0"/>
              <w:marTop w:val="0"/>
              <w:marBottom w:val="0"/>
              <w:divBdr>
                <w:top w:val="none" w:sz="0" w:space="0" w:color="auto"/>
                <w:left w:val="none" w:sz="0" w:space="0" w:color="auto"/>
                <w:bottom w:val="none" w:sz="0" w:space="0" w:color="auto"/>
                <w:right w:val="none" w:sz="0" w:space="0" w:color="auto"/>
              </w:divBdr>
            </w:div>
            <w:div w:id="538664179">
              <w:marLeft w:val="0"/>
              <w:marRight w:val="0"/>
              <w:marTop w:val="0"/>
              <w:marBottom w:val="0"/>
              <w:divBdr>
                <w:top w:val="none" w:sz="0" w:space="0" w:color="auto"/>
                <w:left w:val="none" w:sz="0" w:space="0" w:color="auto"/>
                <w:bottom w:val="none" w:sz="0" w:space="0" w:color="auto"/>
                <w:right w:val="none" w:sz="0" w:space="0" w:color="auto"/>
              </w:divBdr>
            </w:div>
            <w:div w:id="816145900">
              <w:marLeft w:val="0"/>
              <w:marRight w:val="0"/>
              <w:marTop w:val="0"/>
              <w:marBottom w:val="0"/>
              <w:divBdr>
                <w:top w:val="none" w:sz="0" w:space="0" w:color="auto"/>
                <w:left w:val="none" w:sz="0" w:space="0" w:color="auto"/>
                <w:bottom w:val="none" w:sz="0" w:space="0" w:color="auto"/>
                <w:right w:val="none" w:sz="0" w:space="0" w:color="auto"/>
              </w:divBdr>
            </w:div>
            <w:div w:id="877812306">
              <w:marLeft w:val="0"/>
              <w:marRight w:val="0"/>
              <w:marTop w:val="0"/>
              <w:marBottom w:val="0"/>
              <w:divBdr>
                <w:top w:val="none" w:sz="0" w:space="0" w:color="auto"/>
                <w:left w:val="none" w:sz="0" w:space="0" w:color="auto"/>
                <w:bottom w:val="none" w:sz="0" w:space="0" w:color="auto"/>
                <w:right w:val="none" w:sz="0" w:space="0" w:color="auto"/>
              </w:divBdr>
            </w:div>
            <w:div w:id="965235657">
              <w:marLeft w:val="0"/>
              <w:marRight w:val="0"/>
              <w:marTop w:val="0"/>
              <w:marBottom w:val="0"/>
              <w:divBdr>
                <w:top w:val="none" w:sz="0" w:space="0" w:color="auto"/>
                <w:left w:val="none" w:sz="0" w:space="0" w:color="auto"/>
                <w:bottom w:val="none" w:sz="0" w:space="0" w:color="auto"/>
                <w:right w:val="none" w:sz="0" w:space="0" w:color="auto"/>
              </w:divBdr>
            </w:div>
            <w:div w:id="969432700">
              <w:marLeft w:val="0"/>
              <w:marRight w:val="0"/>
              <w:marTop w:val="0"/>
              <w:marBottom w:val="0"/>
              <w:divBdr>
                <w:top w:val="none" w:sz="0" w:space="0" w:color="auto"/>
                <w:left w:val="none" w:sz="0" w:space="0" w:color="auto"/>
                <w:bottom w:val="none" w:sz="0" w:space="0" w:color="auto"/>
                <w:right w:val="none" w:sz="0" w:space="0" w:color="auto"/>
              </w:divBdr>
            </w:div>
            <w:div w:id="1066881442">
              <w:marLeft w:val="0"/>
              <w:marRight w:val="0"/>
              <w:marTop w:val="0"/>
              <w:marBottom w:val="0"/>
              <w:divBdr>
                <w:top w:val="none" w:sz="0" w:space="0" w:color="auto"/>
                <w:left w:val="none" w:sz="0" w:space="0" w:color="auto"/>
                <w:bottom w:val="none" w:sz="0" w:space="0" w:color="auto"/>
                <w:right w:val="none" w:sz="0" w:space="0" w:color="auto"/>
              </w:divBdr>
            </w:div>
            <w:div w:id="1128082193">
              <w:marLeft w:val="0"/>
              <w:marRight w:val="0"/>
              <w:marTop w:val="0"/>
              <w:marBottom w:val="0"/>
              <w:divBdr>
                <w:top w:val="none" w:sz="0" w:space="0" w:color="auto"/>
                <w:left w:val="none" w:sz="0" w:space="0" w:color="auto"/>
                <w:bottom w:val="none" w:sz="0" w:space="0" w:color="auto"/>
                <w:right w:val="none" w:sz="0" w:space="0" w:color="auto"/>
              </w:divBdr>
            </w:div>
            <w:div w:id="1273322023">
              <w:marLeft w:val="0"/>
              <w:marRight w:val="0"/>
              <w:marTop w:val="0"/>
              <w:marBottom w:val="0"/>
              <w:divBdr>
                <w:top w:val="none" w:sz="0" w:space="0" w:color="auto"/>
                <w:left w:val="none" w:sz="0" w:space="0" w:color="auto"/>
                <w:bottom w:val="none" w:sz="0" w:space="0" w:color="auto"/>
                <w:right w:val="none" w:sz="0" w:space="0" w:color="auto"/>
              </w:divBdr>
            </w:div>
            <w:div w:id="1485127498">
              <w:marLeft w:val="0"/>
              <w:marRight w:val="0"/>
              <w:marTop w:val="0"/>
              <w:marBottom w:val="0"/>
              <w:divBdr>
                <w:top w:val="none" w:sz="0" w:space="0" w:color="auto"/>
                <w:left w:val="none" w:sz="0" w:space="0" w:color="auto"/>
                <w:bottom w:val="none" w:sz="0" w:space="0" w:color="auto"/>
                <w:right w:val="none" w:sz="0" w:space="0" w:color="auto"/>
              </w:divBdr>
            </w:div>
            <w:div w:id="1494297301">
              <w:marLeft w:val="0"/>
              <w:marRight w:val="0"/>
              <w:marTop w:val="0"/>
              <w:marBottom w:val="0"/>
              <w:divBdr>
                <w:top w:val="none" w:sz="0" w:space="0" w:color="auto"/>
                <w:left w:val="none" w:sz="0" w:space="0" w:color="auto"/>
                <w:bottom w:val="none" w:sz="0" w:space="0" w:color="auto"/>
                <w:right w:val="none" w:sz="0" w:space="0" w:color="auto"/>
              </w:divBdr>
            </w:div>
            <w:div w:id="1569653668">
              <w:marLeft w:val="0"/>
              <w:marRight w:val="0"/>
              <w:marTop w:val="0"/>
              <w:marBottom w:val="0"/>
              <w:divBdr>
                <w:top w:val="none" w:sz="0" w:space="0" w:color="auto"/>
                <w:left w:val="none" w:sz="0" w:space="0" w:color="auto"/>
                <w:bottom w:val="none" w:sz="0" w:space="0" w:color="auto"/>
                <w:right w:val="none" w:sz="0" w:space="0" w:color="auto"/>
              </w:divBdr>
            </w:div>
            <w:div w:id="1667855842">
              <w:marLeft w:val="0"/>
              <w:marRight w:val="0"/>
              <w:marTop w:val="0"/>
              <w:marBottom w:val="0"/>
              <w:divBdr>
                <w:top w:val="none" w:sz="0" w:space="0" w:color="auto"/>
                <w:left w:val="none" w:sz="0" w:space="0" w:color="auto"/>
                <w:bottom w:val="none" w:sz="0" w:space="0" w:color="auto"/>
                <w:right w:val="none" w:sz="0" w:space="0" w:color="auto"/>
              </w:divBdr>
            </w:div>
            <w:div w:id="2007971649">
              <w:marLeft w:val="0"/>
              <w:marRight w:val="0"/>
              <w:marTop w:val="0"/>
              <w:marBottom w:val="0"/>
              <w:divBdr>
                <w:top w:val="none" w:sz="0" w:space="0" w:color="auto"/>
                <w:left w:val="none" w:sz="0" w:space="0" w:color="auto"/>
                <w:bottom w:val="none" w:sz="0" w:space="0" w:color="auto"/>
                <w:right w:val="none" w:sz="0" w:space="0" w:color="auto"/>
              </w:divBdr>
            </w:div>
          </w:divsChild>
        </w:div>
        <w:div w:id="1971475234">
          <w:marLeft w:val="0"/>
          <w:marRight w:val="0"/>
          <w:marTop w:val="0"/>
          <w:marBottom w:val="0"/>
          <w:divBdr>
            <w:top w:val="none" w:sz="0" w:space="0" w:color="auto"/>
            <w:left w:val="none" w:sz="0" w:space="0" w:color="auto"/>
            <w:bottom w:val="none" w:sz="0" w:space="0" w:color="auto"/>
            <w:right w:val="none" w:sz="0" w:space="0" w:color="auto"/>
          </w:divBdr>
        </w:div>
        <w:div w:id="1978756242">
          <w:marLeft w:val="0"/>
          <w:marRight w:val="0"/>
          <w:marTop w:val="0"/>
          <w:marBottom w:val="0"/>
          <w:divBdr>
            <w:top w:val="none" w:sz="0" w:space="0" w:color="auto"/>
            <w:left w:val="none" w:sz="0" w:space="0" w:color="auto"/>
            <w:bottom w:val="none" w:sz="0" w:space="0" w:color="auto"/>
            <w:right w:val="none" w:sz="0" w:space="0" w:color="auto"/>
          </w:divBdr>
        </w:div>
        <w:div w:id="2021619467">
          <w:marLeft w:val="0"/>
          <w:marRight w:val="0"/>
          <w:marTop w:val="0"/>
          <w:marBottom w:val="0"/>
          <w:divBdr>
            <w:top w:val="none" w:sz="0" w:space="0" w:color="auto"/>
            <w:left w:val="none" w:sz="0" w:space="0" w:color="auto"/>
            <w:bottom w:val="none" w:sz="0" w:space="0" w:color="auto"/>
            <w:right w:val="none" w:sz="0" w:space="0" w:color="auto"/>
          </w:divBdr>
        </w:div>
        <w:div w:id="2057073797">
          <w:marLeft w:val="0"/>
          <w:marRight w:val="0"/>
          <w:marTop w:val="0"/>
          <w:marBottom w:val="0"/>
          <w:divBdr>
            <w:top w:val="none" w:sz="0" w:space="0" w:color="auto"/>
            <w:left w:val="none" w:sz="0" w:space="0" w:color="auto"/>
            <w:bottom w:val="none" w:sz="0" w:space="0" w:color="auto"/>
            <w:right w:val="none" w:sz="0" w:space="0" w:color="auto"/>
          </w:divBdr>
        </w:div>
        <w:div w:id="2061783294">
          <w:marLeft w:val="0"/>
          <w:marRight w:val="0"/>
          <w:marTop w:val="0"/>
          <w:marBottom w:val="0"/>
          <w:divBdr>
            <w:top w:val="none" w:sz="0" w:space="0" w:color="auto"/>
            <w:left w:val="none" w:sz="0" w:space="0" w:color="auto"/>
            <w:bottom w:val="none" w:sz="0" w:space="0" w:color="auto"/>
            <w:right w:val="none" w:sz="0" w:space="0" w:color="auto"/>
          </w:divBdr>
        </w:div>
      </w:divsChild>
    </w:div>
    <w:div w:id="1188788612">
      <w:bodyDiv w:val="1"/>
      <w:marLeft w:val="0"/>
      <w:marRight w:val="0"/>
      <w:marTop w:val="0"/>
      <w:marBottom w:val="0"/>
      <w:divBdr>
        <w:top w:val="none" w:sz="0" w:space="0" w:color="auto"/>
        <w:left w:val="none" w:sz="0" w:space="0" w:color="auto"/>
        <w:bottom w:val="none" w:sz="0" w:space="0" w:color="auto"/>
        <w:right w:val="none" w:sz="0" w:space="0" w:color="auto"/>
      </w:divBdr>
      <w:divsChild>
        <w:div w:id="247543451">
          <w:marLeft w:val="0"/>
          <w:marRight w:val="0"/>
          <w:marTop w:val="0"/>
          <w:marBottom w:val="0"/>
          <w:divBdr>
            <w:top w:val="none" w:sz="0" w:space="0" w:color="auto"/>
            <w:left w:val="none" w:sz="0" w:space="0" w:color="auto"/>
            <w:bottom w:val="none" w:sz="0" w:space="0" w:color="auto"/>
            <w:right w:val="none" w:sz="0" w:space="0" w:color="auto"/>
          </w:divBdr>
        </w:div>
        <w:div w:id="254678781">
          <w:marLeft w:val="0"/>
          <w:marRight w:val="0"/>
          <w:marTop w:val="0"/>
          <w:marBottom w:val="0"/>
          <w:divBdr>
            <w:top w:val="none" w:sz="0" w:space="0" w:color="auto"/>
            <w:left w:val="none" w:sz="0" w:space="0" w:color="auto"/>
            <w:bottom w:val="none" w:sz="0" w:space="0" w:color="auto"/>
            <w:right w:val="none" w:sz="0" w:space="0" w:color="auto"/>
          </w:divBdr>
        </w:div>
        <w:div w:id="604846827">
          <w:marLeft w:val="0"/>
          <w:marRight w:val="0"/>
          <w:marTop w:val="0"/>
          <w:marBottom w:val="0"/>
          <w:divBdr>
            <w:top w:val="none" w:sz="0" w:space="0" w:color="auto"/>
            <w:left w:val="none" w:sz="0" w:space="0" w:color="auto"/>
            <w:bottom w:val="none" w:sz="0" w:space="0" w:color="auto"/>
            <w:right w:val="none" w:sz="0" w:space="0" w:color="auto"/>
          </w:divBdr>
        </w:div>
        <w:div w:id="1114902453">
          <w:marLeft w:val="0"/>
          <w:marRight w:val="0"/>
          <w:marTop w:val="0"/>
          <w:marBottom w:val="0"/>
          <w:divBdr>
            <w:top w:val="none" w:sz="0" w:space="0" w:color="auto"/>
            <w:left w:val="none" w:sz="0" w:space="0" w:color="auto"/>
            <w:bottom w:val="none" w:sz="0" w:space="0" w:color="auto"/>
            <w:right w:val="none" w:sz="0" w:space="0" w:color="auto"/>
          </w:divBdr>
        </w:div>
        <w:div w:id="1312439257">
          <w:marLeft w:val="0"/>
          <w:marRight w:val="0"/>
          <w:marTop w:val="0"/>
          <w:marBottom w:val="0"/>
          <w:divBdr>
            <w:top w:val="none" w:sz="0" w:space="0" w:color="auto"/>
            <w:left w:val="none" w:sz="0" w:space="0" w:color="auto"/>
            <w:bottom w:val="none" w:sz="0" w:space="0" w:color="auto"/>
            <w:right w:val="none" w:sz="0" w:space="0" w:color="auto"/>
          </w:divBdr>
        </w:div>
        <w:div w:id="1586261155">
          <w:marLeft w:val="0"/>
          <w:marRight w:val="0"/>
          <w:marTop w:val="0"/>
          <w:marBottom w:val="0"/>
          <w:divBdr>
            <w:top w:val="none" w:sz="0" w:space="0" w:color="auto"/>
            <w:left w:val="none" w:sz="0" w:space="0" w:color="auto"/>
            <w:bottom w:val="none" w:sz="0" w:space="0" w:color="auto"/>
            <w:right w:val="none" w:sz="0" w:space="0" w:color="auto"/>
          </w:divBdr>
        </w:div>
        <w:div w:id="1670912080">
          <w:marLeft w:val="0"/>
          <w:marRight w:val="0"/>
          <w:marTop w:val="0"/>
          <w:marBottom w:val="0"/>
          <w:divBdr>
            <w:top w:val="none" w:sz="0" w:space="0" w:color="auto"/>
            <w:left w:val="none" w:sz="0" w:space="0" w:color="auto"/>
            <w:bottom w:val="none" w:sz="0" w:space="0" w:color="auto"/>
            <w:right w:val="none" w:sz="0" w:space="0" w:color="auto"/>
          </w:divBdr>
        </w:div>
        <w:div w:id="1954634993">
          <w:marLeft w:val="0"/>
          <w:marRight w:val="0"/>
          <w:marTop w:val="0"/>
          <w:marBottom w:val="0"/>
          <w:divBdr>
            <w:top w:val="none" w:sz="0" w:space="0" w:color="auto"/>
            <w:left w:val="none" w:sz="0" w:space="0" w:color="auto"/>
            <w:bottom w:val="none" w:sz="0" w:space="0" w:color="auto"/>
            <w:right w:val="none" w:sz="0" w:space="0" w:color="auto"/>
          </w:divBdr>
        </w:div>
      </w:divsChild>
    </w:div>
    <w:div w:id="1368333797">
      <w:bodyDiv w:val="1"/>
      <w:marLeft w:val="0"/>
      <w:marRight w:val="0"/>
      <w:marTop w:val="0"/>
      <w:marBottom w:val="0"/>
      <w:divBdr>
        <w:top w:val="none" w:sz="0" w:space="0" w:color="auto"/>
        <w:left w:val="none" w:sz="0" w:space="0" w:color="auto"/>
        <w:bottom w:val="none" w:sz="0" w:space="0" w:color="auto"/>
        <w:right w:val="none" w:sz="0" w:space="0" w:color="auto"/>
      </w:divBdr>
      <w:divsChild>
        <w:div w:id="183906600">
          <w:marLeft w:val="0"/>
          <w:marRight w:val="0"/>
          <w:marTop w:val="0"/>
          <w:marBottom w:val="0"/>
          <w:divBdr>
            <w:top w:val="none" w:sz="0" w:space="0" w:color="auto"/>
            <w:left w:val="none" w:sz="0" w:space="0" w:color="auto"/>
            <w:bottom w:val="none" w:sz="0" w:space="0" w:color="auto"/>
            <w:right w:val="none" w:sz="0" w:space="0" w:color="auto"/>
          </w:divBdr>
        </w:div>
        <w:div w:id="1240823440">
          <w:marLeft w:val="0"/>
          <w:marRight w:val="0"/>
          <w:marTop w:val="0"/>
          <w:marBottom w:val="0"/>
          <w:divBdr>
            <w:top w:val="none" w:sz="0" w:space="0" w:color="auto"/>
            <w:left w:val="none" w:sz="0" w:space="0" w:color="auto"/>
            <w:bottom w:val="none" w:sz="0" w:space="0" w:color="auto"/>
            <w:right w:val="none" w:sz="0" w:space="0" w:color="auto"/>
          </w:divBdr>
          <w:divsChild>
            <w:div w:id="1111512375">
              <w:marLeft w:val="-75"/>
              <w:marRight w:val="0"/>
              <w:marTop w:val="30"/>
              <w:marBottom w:val="30"/>
              <w:divBdr>
                <w:top w:val="none" w:sz="0" w:space="0" w:color="auto"/>
                <w:left w:val="none" w:sz="0" w:space="0" w:color="auto"/>
                <w:bottom w:val="none" w:sz="0" w:space="0" w:color="auto"/>
                <w:right w:val="none" w:sz="0" w:space="0" w:color="auto"/>
              </w:divBdr>
              <w:divsChild>
                <w:div w:id="3671392">
                  <w:marLeft w:val="0"/>
                  <w:marRight w:val="0"/>
                  <w:marTop w:val="0"/>
                  <w:marBottom w:val="0"/>
                  <w:divBdr>
                    <w:top w:val="none" w:sz="0" w:space="0" w:color="auto"/>
                    <w:left w:val="none" w:sz="0" w:space="0" w:color="auto"/>
                    <w:bottom w:val="none" w:sz="0" w:space="0" w:color="auto"/>
                    <w:right w:val="none" w:sz="0" w:space="0" w:color="auto"/>
                  </w:divBdr>
                  <w:divsChild>
                    <w:div w:id="1228418565">
                      <w:marLeft w:val="0"/>
                      <w:marRight w:val="0"/>
                      <w:marTop w:val="0"/>
                      <w:marBottom w:val="0"/>
                      <w:divBdr>
                        <w:top w:val="none" w:sz="0" w:space="0" w:color="auto"/>
                        <w:left w:val="none" w:sz="0" w:space="0" w:color="auto"/>
                        <w:bottom w:val="none" w:sz="0" w:space="0" w:color="auto"/>
                        <w:right w:val="none" w:sz="0" w:space="0" w:color="auto"/>
                      </w:divBdr>
                    </w:div>
                  </w:divsChild>
                </w:div>
                <w:div w:id="7488334">
                  <w:marLeft w:val="0"/>
                  <w:marRight w:val="0"/>
                  <w:marTop w:val="0"/>
                  <w:marBottom w:val="0"/>
                  <w:divBdr>
                    <w:top w:val="none" w:sz="0" w:space="0" w:color="auto"/>
                    <w:left w:val="none" w:sz="0" w:space="0" w:color="auto"/>
                    <w:bottom w:val="none" w:sz="0" w:space="0" w:color="auto"/>
                    <w:right w:val="none" w:sz="0" w:space="0" w:color="auto"/>
                  </w:divBdr>
                  <w:divsChild>
                    <w:div w:id="1619949690">
                      <w:marLeft w:val="0"/>
                      <w:marRight w:val="0"/>
                      <w:marTop w:val="0"/>
                      <w:marBottom w:val="0"/>
                      <w:divBdr>
                        <w:top w:val="none" w:sz="0" w:space="0" w:color="auto"/>
                        <w:left w:val="none" w:sz="0" w:space="0" w:color="auto"/>
                        <w:bottom w:val="none" w:sz="0" w:space="0" w:color="auto"/>
                        <w:right w:val="none" w:sz="0" w:space="0" w:color="auto"/>
                      </w:divBdr>
                    </w:div>
                  </w:divsChild>
                </w:div>
                <w:div w:id="31200735">
                  <w:marLeft w:val="0"/>
                  <w:marRight w:val="0"/>
                  <w:marTop w:val="0"/>
                  <w:marBottom w:val="0"/>
                  <w:divBdr>
                    <w:top w:val="none" w:sz="0" w:space="0" w:color="auto"/>
                    <w:left w:val="none" w:sz="0" w:space="0" w:color="auto"/>
                    <w:bottom w:val="none" w:sz="0" w:space="0" w:color="auto"/>
                    <w:right w:val="none" w:sz="0" w:space="0" w:color="auto"/>
                  </w:divBdr>
                  <w:divsChild>
                    <w:div w:id="205874083">
                      <w:marLeft w:val="0"/>
                      <w:marRight w:val="0"/>
                      <w:marTop w:val="0"/>
                      <w:marBottom w:val="0"/>
                      <w:divBdr>
                        <w:top w:val="none" w:sz="0" w:space="0" w:color="auto"/>
                        <w:left w:val="none" w:sz="0" w:space="0" w:color="auto"/>
                        <w:bottom w:val="none" w:sz="0" w:space="0" w:color="auto"/>
                        <w:right w:val="none" w:sz="0" w:space="0" w:color="auto"/>
                      </w:divBdr>
                    </w:div>
                  </w:divsChild>
                </w:div>
                <w:div w:id="33429957">
                  <w:marLeft w:val="0"/>
                  <w:marRight w:val="0"/>
                  <w:marTop w:val="0"/>
                  <w:marBottom w:val="0"/>
                  <w:divBdr>
                    <w:top w:val="none" w:sz="0" w:space="0" w:color="auto"/>
                    <w:left w:val="none" w:sz="0" w:space="0" w:color="auto"/>
                    <w:bottom w:val="none" w:sz="0" w:space="0" w:color="auto"/>
                    <w:right w:val="none" w:sz="0" w:space="0" w:color="auto"/>
                  </w:divBdr>
                  <w:divsChild>
                    <w:div w:id="1631785728">
                      <w:marLeft w:val="0"/>
                      <w:marRight w:val="0"/>
                      <w:marTop w:val="0"/>
                      <w:marBottom w:val="0"/>
                      <w:divBdr>
                        <w:top w:val="none" w:sz="0" w:space="0" w:color="auto"/>
                        <w:left w:val="none" w:sz="0" w:space="0" w:color="auto"/>
                        <w:bottom w:val="none" w:sz="0" w:space="0" w:color="auto"/>
                        <w:right w:val="none" w:sz="0" w:space="0" w:color="auto"/>
                      </w:divBdr>
                    </w:div>
                  </w:divsChild>
                </w:div>
                <w:div w:id="34475778">
                  <w:marLeft w:val="0"/>
                  <w:marRight w:val="0"/>
                  <w:marTop w:val="0"/>
                  <w:marBottom w:val="0"/>
                  <w:divBdr>
                    <w:top w:val="none" w:sz="0" w:space="0" w:color="auto"/>
                    <w:left w:val="none" w:sz="0" w:space="0" w:color="auto"/>
                    <w:bottom w:val="none" w:sz="0" w:space="0" w:color="auto"/>
                    <w:right w:val="none" w:sz="0" w:space="0" w:color="auto"/>
                  </w:divBdr>
                  <w:divsChild>
                    <w:div w:id="2014408281">
                      <w:marLeft w:val="0"/>
                      <w:marRight w:val="0"/>
                      <w:marTop w:val="0"/>
                      <w:marBottom w:val="0"/>
                      <w:divBdr>
                        <w:top w:val="none" w:sz="0" w:space="0" w:color="auto"/>
                        <w:left w:val="none" w:sz="0" w:space="0" w:color="auto"/>
                        <w:bottom w:val="none" w:sz="0" w:space="0" w:color="auto"/>
                        <w:right w:val="none" w:sz="0" w:space="0" w:color="auto"/>
                      </w:divBdr>
                    </w:div>
                  </w:divsChild>
                </w:div>
                <w:div w:id="45877298">
                  <w:marLeft w:val="0"/>
                  <w:marRight w:val="0"/>
                  <w:marTop w:val="0"/>
                  <w:marBottom w:val="0"/>
                  <w:divBdr>
                    <w:top w:val="none" w:sz="0" w:space="0" w:color="auto"/>
                    <w:left w:val="none" w:sz="0" w:space="0" w:color="auto"/>
                    <w:bottom w:val="none" w:sz="0" w:space="0" w:color="auto"/>
                    <w:right w:val="none" w:sz="0" w:space="0" w:color="auto"/>
                  </w:divBdr>
                  <w:divsChild>
                    <w:div w:id="784084912">
                      <w:marLeft w:val="0"/>
                      <w:marRight w:val="0"/>
                      <w:marTop w:val="0"/>
                      <w:marBottom w:val="0"/>
                      <w:divBdr>
                        <w:top w:val="none" w:sz="0" w:space="0" w:color="auto"/>
                        <w:left w:val="none" w:sz="0" w:space="0" w:color="auto"/>
                        <w:bottom w:val="none" w:sz="0" w:space="0" w:color="auto"/>
                        <w:right w:val="none" w:sz="0" w:space="0" w:color="auto"/>
                      </w:divBdr>
                    </w:div>
                  </w:divsChild>
                </w:div>
                <w:div w:id="46074072">
                  <w:marLeft w:val="0"/>
                  <w:marRight w:val="0"/>
                  <w:marTop w:val="0"/>
                  <w:marBottom w:val="0"/>
                  <w:divBdr>
                    <w:top w:val="none" w:sz="0" w:space="0" w:color="auto"/>
                    <w:left w:val="none" w:sz="0" w:space="0" w:color="auto"/>
                    <w:bottom w:val="none" w:sz="0" w:space="0" w:color="auto"/>
                    <w:right w:val="none" w:sz="0" w:space="0" w:color="auto"/>
                  </w:divBdr>
                  <w:divsChild>
                    <w:div w:id="587154163">
                      <w:marLeft w:val="0"/>
                      <w:marRight w:val="0"/>
                      <w:marTop w:val="0"/>
                      <w:marBottom w:val="0"/>
                      <w:divBdr>
                        <w:top w:val="none" w:sz="0" w:space="0" w:color="auto"/>
                        <w:left w:val="none" w:sz="0" w:space="0" w:color="auto"/>
                        <w:bottom w:val="none" w:sz="0" w:space="0" w:color="auto"/>
                        <w:right w:val="none" w:sz="0" w:space="0" w:color="auto"/>
                      </w:divBdr>
                    </w:div>
                  </w:divsChild>
                </w:div>
                <w:div w:id="46493494">
                  <w:marLeft w:val="0"/>
                  <w:marRight w:val="0"/>
                  <w:marTop w:val="0"/>
                  <w:marBottom w:val="0"/>
                  <w:divBdr>
                    <w:top w:val="none" w:sz="0" w:space="0" w:color="auto"/>
                    <w:left w:val="none" w:sz="0" w:space="0" w:color="auto"/>
                    <w:bottom w:val="none" w:sz="0" w:space="0" w:color="auto"/>
                    <w:right w:val="none" w:sz="0" w:space="0" w:color="auto"/>
                  </w:divBdr>
                  <w:divsChild>
                    <w:div w:id="1827476088">
                      <w:marLeft w:val="0"/>
                      <w:marRight w:val="0"/>
                      <w:marTop w:val="0"/>
                      <w:marBottom w:val="0"/>
                      <w:divBdr>
                        <w:top w:val="none" w:sz="0" w:space="0" w:color="auto"/>
                        <w:left w:val="none" w:sz="0" w:space="0" w:color="auto"/>
                        <w:bottom w:val="none" w:sz="0" w:space="0" w:color="auto"/>
                        <w:right w:val="none" w:sz="0" w:space="0" w:color="auto"/>
                      </w:divBdr>
                    </w:div>
                  </w:divsChild>
                </w:div>
                <w:div w:id="56628893">
                  <w:marLeft w:val="0"/>
                  <w:marRight w:val="0"/>
                  <w:marTop w:val="0"/>
                  <w:marBottom w:val="0"/>
                  <w:divBdr>
                    <w:top w:val="none" w:sz="0" w:space="0" w:color="auto"/>
                    <w:left w:val="none" w:sz="0" w:space="0" w:color="auto"/>
                    <w:bottom w:val="none" w:sz="0" w:space="0" w:color="auto"/>
                    <w:right w:val="none" w:sz="0" w:space="0" w:color="auto"/>
                  </w:divBdr>
                  <w:divsChild>
                    <w:div w:id="691958715">
                      <w:marLeft w:val="0"/>
                      <w:marRight w:val="0"/>
                      <w:marTop w:val="0"/>
                      <w:marBottom w:val="0"/>
                      <w:divBdr>
                        <w:top w:val="none" w:sz="0" w:space="0" w:color="auto"/>
                        <w:left w:val="none" w:sz="0" w:space="0" w:color="auto"/>
                        <w:bottom w:val="none" w:sz="0" w:space="0" w:color="auto"/>
                        <w:right w:val="none" w:sz="0" w:space="0" w:color="auto"/>
                      </w:divBdr>
                    </w:div>
                  </w:divsChild>
                </w:div>
                <w:div w:id="63451919">
                  <w:marLeft w:val="0"/>
                  <w:marRight w:val="0"/>
                  <w:marTop w:val="0"/>
                  <w:marBottom w:val="0"/>
                  <w:divBdr>
                    <w:top w:val="none" w:sz="0" w:space="0" w:color="auto"/>
                    <w:left w:val="none" w:sz="0" w:space="0" w:color="auto"/>
                    <w:bottom w:val="none" w:sz="0" w:space="0" w:color="auto"/>
                    <w:right w:val="none" w:sz="0" w:space="0" w:color="auto"/>
                  </w:divBdr>
                  <w:divsChild>
                    <w:div w:id="277950834">
                      <w:marLeft w:val="0"/>
                      <w:marRight w:val="0"/>
                      <w:marTop w:val="0"/>
                      <w:marBottom w:val="0"/>
                      <w:divBdr>
                        <w:top w:val="none" w:sz="0" w:space="0" w:color="auto"/>
                        <w:left w:val="none" w:sz="0" w:space="0" w:color="auto"/>
                        <w:bottom w:val="none" w:sz="0" w:space="0" w:color="auto"/>
                        <w:right w:val="none" w:sz="0" w:space="0" w:color="auto"/>
                      </w:divBdr>
                    </w:div>
                  </w:divsChild>
                </w:div>
                <w:div w:id="64650076">
                  <w:marLeft w:val="0"/>
                  <w:marRight w:val="0"/>
                  <w:marTop w:val="0"/>
                  <w:marBottom w:val="0"/>
                  <w:divBdr>
                    <w:top w:val="none" w:sz="0" w:space="0" w:color="auto"/>
                    <w:left w:val="none" w:sz="0" w:space="0" w:color="auto"/>
                    <w:bottom w:val="none" w:sz="0" w:space="0" w:color="auto"/>
                    <w:right w:val="none" w:sz="0" w:space="0" w:color="auto"/>
                  </w:divBdr>
                  <w:divsChild>
                    <w:div w:id="2049837093">
                      <w:marLeft w:val="0"/>
                      <w:marRight w:val="0"/>
                      <w:marTop w:val="0"/>
                      <w:marBottom w:val="0"/>
                      <w:divBdr>
                        <w:top w:val="none" w:sz="0" w:space="0" w:color="auto"/>
                        <w:left w:val="none" w:sz="0" w:space="0" w:color="auto"/>
                        <w:bottom w:val="none" w:sz="0" w:space="0" w:color="auto"/>
                        <w:right w:val="none" w:sz="0" w:space="0" w:color="auto"/>
                      </w:divBdr>
                    </w:div>
                  </w:divsChild>
                </w:div>
                <w:div w:id="73481302">
                  <w:marLeft w:val="0"/>
                  <w:marRight w:val="0"/>
                  <w:marTop w:val="0"/>
                  <w:marBottom w:val="0"/>
                  <w:divBdr>
                    <w:top w:val="none" w:sz="0" w:space="0" w:color="auto"/>
                    <w:left w:val="none" w:sz="0" w:space="0" w:color="auto"/>
                    <w:bottom w:val="none" w:sz="0" w:space="0" w:color="auto"/>
                    <w:right w:val="none" w:sz="0" w:space="0" w:color="auto"/>
                  </w:divBdr>
                  <w:divsChild>
                    <w:div w:id="1146971266">
                      <w:marLeft w:val="0"/>
                      <w:marRight w:val="0"/>
                      <w:marTop w:val="0"/>
                      <w:marBottom w:val="0"/>
                      <w:divBdr>
                        <w:top w:val="none" w:sz="0" w:space="0" w:color="auto"/>
                        <w:left w:val="none" w:sz="0" w:space="0" w:color="auto"/>
                        <w:bottom w:val="none" w:sz="0" w:space="0" w:color="auto"/>
                        <w:right w:val="none" w:sz="0" w:space="0" w:color="auto"/>
                      </w:divBdr>
                    </w:div>
                  </w:divsChild>
                </w:div>
                <w:div w:id="83649902">
                  <w:marLeft w:val="0"/>
                  <w:marRight w:val="0"/>
                  <w:marTop w:val="0"/>
                  <w:marBottom w:val="0"/>
                  <w:divBdr>
                    <w:top w:val="none" w:sz="0" w:space="0" w:color="auto"/>
                    <w:left w:val="none" w:sz="0" w:space="0" w:color="auto"/>
                    <w:bottom w:val="none" w:sz="0" w:space="0" w:color="auto"/>
                    <w:right w:val="none" w:sz="0" w:space="0" w:color="auto"/>
                  </w:divBdr>
                  <w:divsChild>
                    <w:div w:id="11422812">
                      <w:marLeft w:val="0"/>
                      <w:marRight w:val="0"/>
                      <w:marTop w:val="0"/>
                      <w:marBottom w:val="0"/>
                      <w:divBdr>
                        <w:top w:val="none" w:sz="0" w:space="0" w:color="auto"/>
                        <w:left w:val="none" w:sz="0" w:space="0" w:color="auto"/>
                        <w:bottom w:val="none" w:sz="0" w:space="0" w:color="auto"/>
                        <w:right w:val="none" w:sz="0" w:space="0" w:color="auto"/>
                      </w:divBdr>
                    </w:div>
                  </w:divsChild>
                </w:div>
                <w:div w:id="93718114">
                  <w:marLeft w:val="0"/>
                  <w:marRight w:val="0"/>
                  <w:marTop w:val="0"/>
                  <w:marBottom w:val="0"/>
                  <w:divBdr>
                    <w:top w:val="none" w:sz="0" w:space="0" w:color="auto"/>
                    <w:left w:val="none" w:sz="0" w:space="0" w:color="auto"/>
                    <w:bottom w:val="none" w:sz="0" w:space="0" w:color="auto"/>
                    <w:right w:val="none" w:sz="0" w:space="0" w:color="auto"/>
                  </w:divBdr>
                  <w:divsChild>
                    <w:div w:id="1013263346">
                      <w:marLeft w:val="0"/>
                      <w:marRight w:val="0"/>
                      <w:marTop w:val="0"/>
                      <w:marBottom w:val="0"/>
                      <w:divBdr>
                        <w:top w:val="none" w:sz="0" w:space="0" w:color="auto"/>
                        <w:left w:val="none" w:sz="0" w:space="0" w:color="auto"/>
                        <w:bottom w:val="none" w:sz="0" w:space="0" w:color="auto"/>
                        <w:right w:val="none" w:sz="0" w:space="0" w:color="auto"/>
                      </w:divBdr>
                    </w:div>
                  </w:divsChild>
                </w:div>
                <w:div w:id="95945374">
                  <w:marLeft w:val="0"/>
                  <w:marRight w:val="0"/>
                  <w:marTop w:val="0"/>
                  <w:marBottom w:val="0"/>
                  <w:divBdr>
                    <w:top w:val="none" w:sz="0" w:space="0" w:color="auto"/>
                    <w:left w:val="none" w:sz="0" w:space="0" w:color="auto"/>
                    <w:bottom w:val="none" w:sz="0" w:space="0" w:color="auto"/>
                    <w:right w:val="none" w:sz="0" w:space="0" w:color="auto"/>
                  </w:divBdr>
                  <w:divsChild>
                    <w:div w:id="1537083676">
                      <w:marLeft w:val="0"/>
                      <w:marRight w:val="0"/>
                      <w:marTop w:val="0"/>
                      <w:marBottom w:val="0"/>
                      <w:divBdr>
                        <w:top w:val="none" w:sz="0" w:space="0" w:color="auto"/>
                        <w:left w:val="none" w:sz="0" w:space="0" w:color="auto"/>
                        <w:bottom w:val="none" w:sz="0" w:space="0" w:color="auto"/>
                        <w:right w:val="none" w:sz="0" w:space="0" w:color="auto"/>
                      </w:divBdr>
                    </w:div>
                    <w:div w:id="1598321728">
                      <w:marLeft w:val="0"/>
                      <w:marRight w:val="0"/>
                      <w:marTop w:val="0"/>
                      <w:marBottom w:val="0"/>
                      <w:divBdr>
                        <w:top w:val="none" w:sz="0" w:space="0" w:color="auto"/>
                        <w:left w:val="none" w:sz="0" w:space="0" w:color="auto"/>
                        <w:bottom w:val="none" w:sz="0" w:space="0" w:color="auto"/>
                        <w:right w:val="none" w:sz="0" w:space="0" w:color="auto"/>
                      </w:divBdr>
                    </w:div>
                  </w:divsChild>
                </w:div>
                <w:div w:id="116334768">
                  <w:marLeft w:val="0"/>
                  <w:marRight w:val="0"/>
                  <w:marTop w:val="0"/>
                  <w:marBottom w:val="0"/>
                  <w:divBdr>
                    <w:top w:val="none" w:sz="0" w:space="0" w:color="auto"/>
                    <w:left w:val="none" w:sz="0" w:space="0" w:color="auto"/>
                    <w:bottom w:val="none" w:sz="0" w:space="0" w:color="auto"/>
                    <w:right w:val="none" w:sz="0" w:space="0" w:color="auto"/>
                  </w:divBdr>
                  <w:divsChild>
                    <w:div w:id="999311455">
                      <w:marLeft w:val="0"/>
                      <w:marRight w:val="0"/>
                      <w:marTop w:val="0"/>
                      <w:marBottom w:val="0"/>
                      <w:divBdr>
                        <w:top w:val="none" w:sz="0" w:space="0" w:color="auto"/>
                        <w:left w:val="none" w:sz="0" w:space="0" w:color="auto"/>
                        <w:bottom w:val="none" w:sz="0" w:space="0" w:color="auto"/>
                        <w:right w:val="none" w:sz="0" w:space="0" w:color="auto"/>
                      </w:divBdr>
                    </w:div>
                  </w:divsChild>
                </w:div>
                <w:div w:id="123354705">
                  <w:marLeft w:val="0"/>
                  <w:marRight w:val="0"/>
                  <w:marTop w:val="0"/>
                  <w:marBottom w:val="0"/>
                  <w:divBdr>
                    <w:top w:val="none" w:sz="0" w:space="0" w:color="auto"/>
                    <w:left w:val="none" w:sz="0" w:space="0" w:color="auto"/>
                    <w:bottom w:val="none" w:sz="0" w:space="0" w:color="auto"/>
                    <w:right w:val="none" w:sz="0" w:space="0" w:color="auto"/>
                  </w:divBdr>
                  <w:divsChild>
                    <w:div w:id="524900869">
                      <w:marLeft w:val="0"/>
                      <w:marRight w:val="0"/>
                      <w:marTop w:val="0"/>
                      <w:marBottom w:val="0"/>
                      <w:divBdr>
                        <w:top w:val="none" w:sz="0" w:space="0" w:color="auto"/>
                        <w:left w:val="none" w:sz="0" w:space="0" w:color="auto"/>
                        <w:bottom w:val="none" w:sz="0" w:space="0" w:color="auto"/>
                        <w:right w:val="none" w:sz="0" w:space="0" w:color="auto"/>
                      </w:divBdr>
                    </w:div>
                  </w:divsChild>
                </w:div>
                <w:div w:id="123735412">
                  <w:marLeft w:val="0"/>
                  <w:marRight w:val="0"/>
                  <w:marTop w:val="0"/>
                  <w:marBottom w:val="0"/>
                  <w:divBdr>
                    <w:top w:val="none" w:sz="0" w:space="0" w:color="auto"/>
                    <w:left w:val="none" w:sz="0" w:space="0" w:color="auto"/>
                    <w:bottom w:val="none" w:sz="0" w:space="0" w:color="auto"/>
                    <w:right w:val="none" w:sz="0" w:space="0" w:color="auto"/>
                  </w:divBdr>
                  <w:divsChild>
                    <w:div w:id="1037777244">
                      <w:marLeft w:val="0"/>
                      <w:marRight w:val="0"/>
                      <w:marTop w:val="0"/>
                      <w:marBottom w:val="0"/>
                      <w:divBdr>
                        <w:top w:val="none" w:sz="0" w:space="0" w:color="auto"/>
                        <w:left w:val="none" w:sz="0" w:space="0" w:color="auto"/>
                        <w:bottom w:val="none" w:sz="0" w:space="0" w:color="auto"/>
                        <w:right w:val="none" w:sz="0" w:space="0" w:color="auto"/>
                      </w:divBdr>
                    </w:div>
                  </w:divsChild>
                </w:div>
                <w:div w:id="130483078">
                  <w:marLeft w:val="0"/>
                  <w:marRight w:val="0"/>
                  <w:marTop w:val="0"/>
                  <w:marBottom w:val="0"/>
                  <w:divBdr>
                    <w:top w:val="none" w:sz="0" w:space="0" w:color="auto"/>
                    <w:left w:val="none" w:sz="0" w:space="0" w:color="auto"/>
                    <w:bottom w:val="none" w:sz="0" w:space="0" w:color="auto"/>
                    <w:right w:val="none" w:sz="0" w:space="0" w:color="auto"/>
                  </w:divBdr>
                  <w:divsChild>
                    <w:div w:id="1660691712">
                      <w:marLeft w:val="0"/>
                      <w:marRight w:val="0"/>
                      <w:marTop w:val="0"/>
                      <w:marBottom w:val="0"/>
                      <w:divBdr>
                        <w:top w:val="none" w:sz="0" w:space="0" w:color="auto"/>
                        <w:left w:val="none" w:sz="0" w:space="0" w:color="auto"/>
                        <w:bottom w:val="none" w:sz="0" w:space="0" w:color="auto"/>
                        <w:right w:val="none" w:sz="0" w:space="0" w:color="auto"/>
                      </w:divBdr>
                    </w:div>
                  </w:divsChild>
                </w:div>
                <w:div w:id="157157563">
                  <w:marLeft w:val="0"/>
                  <w:marRight w:val="0"/>
                  <w:marTop w:val="0"/>
                  <w:marBottom w:val="0"/>
                  <w:divBdr>
                    <w:top w:val="none" w:sz="0" w:space="0" w:color="auto"/>
                    <w:left w:val="none" w:sz="0" w:space="0" w:color="auto"/>
                    <w:bottom w:val="none" w:sz="0" w:space="0" w:color="auto"/>
                    <w:right w:val="none" w:sz="0" w:space="0" w:color="auto"/>
                  </w:divBdr>
                  <w:divsChild>
                    <w:div w:id="1697004441">
                      <w:marLeft w:val="0"/>
                      <w:marRight w:val="0"/>
                      <w:marTop w:val="0"/>
                      <w:marBottom w:val="0"/>
                      <w:divBdr>
                        <w:top w:val="none" w:sz="0" w:space="0" w:color="auto"/>
                        <w:left w:val="none" w:sz="0" w:space="0" w:color="auto"/>
                        <w:bottom w:val="none" w:sz="0" w:space="0" w:color="auto"/>
                        <w:right w:val="none" w:sz="0" w:space="0" w:color="auto"/>
                      </w:divBdr>
                    </w:div>
                  </w:divsChild>
                </w:div>
                <w:div w:id="163129453">
                  <w:marLeft w:val="0"/>
                  <w:marRight w:val="0"/>
                  <w:marTop w:val="0"/>
                  <w:marBottom w:val="0"/>
                  <w:divBdr>
                    <w:top w:val="none" w:sz="0" w:space="0" w:color="auto"/>
                    <w:left w:val="none" w:sz="0" w:space="0" w:color="auto"/>
                    <w:bottom w:val="none" w:sz="0" w:space="0" w:color="auto"/>
                    <w:right w:val="none" w:sz="0" w:space="0" w:color="auto"/>
                  </w:divBdr>
                  <w:divsChild>
                    <w:div w:id="1279218007">
                      <w:marLeft w:val="0"/>
                      <w:marRight w:val="0"/>
                      <w:marTop w:val="0"/>
                      <w:marBottom w:val="0"/>
                      <w:divBdr>
                        <w:top w:val="none" w:sz="0" w:space="0" w:color="auto"/>
                        <w:left w:val="none" w:sz="0" w:space="0" w:color="auto"/>
                        <w:bottom w:val="none" w:sz="0" w:space="0" w:color="auto"/>
                        <w:right w:val="none" w:sz="0" w:space="0" w:color="auto"/>
                      </w:divBdr>
                    </w:div>
                  </w:divsChild>
                </w:div>
                <w:div w:id="178203638">
                  <w:marLeft w:val="0"/>
                  <w:marRight w:val="0"/>
                  <w:marTop w:val="0"/>
                  <w:marBottom w:val="0"/>
                  <w:divBdr>
                    <w:top w:val="none" w:sz="0" w:space="0" w:color="auto"/>
                    <w:left w:val="none" w:sz="0" w:space="0" w:color="auto"/>
                    <w:bottom w:val="none" w:sz="0" w:space="0" w:color="auto"/>
                    <w:right w:val="none" w:sz="0" w:space="0" w:color="auto"/>
                  </w:divBdr>
                  <w:divsChild>
                    <w:div w:id="747002169">
                      <w:marLeft w:val="0"/>
                      <w:marRight w:val="0"/>
                      <w:marTop w:val="0"/>
                      <w:marBottom w:val="0"/>
                      <w:divBdr>
                        <w:top w:val="none" w:sz="0" w:space="0" w:color="auto"/>
                        <w:left w:val="none" w:sz="0" w:space="0" w:color="auto"/>
                        <w:bottom w:val="none" w:sz="0" w:space="0" w:color="auto"/>
                        <w:right w:val="none" w:sz="0" w:space="0" w:color="auto"/>
                      </w:divBdr>
                    </w:div>
                  </w:divsChild>
                </w:div>
                <w:div w:id="181089376">
                  <w:marLeft w:val="0"/>
                  <w:marRight w:val="0"/>
                  <w:marTop w:val="0"/>
                  <w:marBottom w:val="0"/>
                  <w:divBdr>
                    <w:top w:val="none" w:sz="0" w:space="0" w:color="auto"/>
                    <w:left w:val="none" w:sz="0" w:space="0" w:color="auto"/>
                    <w:bottom w:val="none" w:sz="0" w:space="0" w:color="auto"/>
                    <w:right w:val="none" w:sz="0" w:space="0" w:color="auto"/>
                  </w:divBdr>
                  <w:divsChild>
                    <w:div w:id="758675868">
                      <w:marLeft w:val="0"/>
                      <w:marRight w:val="0"/>
                      <w:marTop w:val="0"/>
                      <w:marBottom w:val="0"/>
                      <w:divBdr>
                        <w:top w:val="none" w:sz="0" w:space="0" w:color="auto"/>
                        <w:left w:val="none" w:sz="0" w:space="0" w:color="auto"/>
                        <w:bottom w:val="none" w:sz="0" w:space="0" w:color="auto"/>
                        <w:right w:val="none" w:sz="0" w:space="0" w:color="auto"/>
                      </w:divBdr>
                    </w:div>
                  </w:divsChild>
                </w:div>
                <w:div w:id="183710431">
                  <w:marLeft w:val="0"/>
                  <w:marRight w:val="0"/>
                  <w:marTop w:val="0"/>
                  <w:marBottom w:val="0"/>
                  <w:divBdr>
                    <w:top w:val="none" w:sz="0" w:space="0" w:color="auto"/>
                    <w:left w:val="none" w:sz="0" w:space="0" w:color="auto"/>
                    <w:bottom w:val="none" w:sz="0" w:space="0" w:color="auto"/>
                    <w:right w:val="none" w:sz="0" w:space="0" w:color="auto"/>
                  </w:divBdr>
                  <w:divsChild>
                    <w:div w:id="1550190239">
                      <w:marLeft w:val="0"/>
                      <w:marRight w:val="0"/>
                      <w:marTop w:val="0"/>
                      <w:marBottom w:val="0"/>
                      <w:divBdr>
                        <w:top w:val="none" w:sz="0" w:space="0" w:color="auto"/>
                        <w:left w:val="none" w:sz="0" w:space="0" w:color="auto"/>
                        <w:bottom w:val="none" w:sz="0" w:space="0" w:color="auto"/>
                        <w:right w:val="none" w:sz="0" w:space="0" w:color="auto"/>
                      </w:divBdr>
                    </w:div>
                  </w:divsChild>
                </w:div>
                <w:div w:id="190338698">
                  <w:marLeft w:val="0"/>
                  <w:marRight w:val="0"/>
                  <w:marTop w:val="0"/>
                  <w:marBottom w:val="0"/>
                  <w:divBdr>
                    <w:top w:val="none" w:sz="0" w:space="0" w:color="auto"/>
                    <w:left w:val="none" w:sz="0" w:space="0" w:color="auto"/>
                    <w:bottom w:val="none" w:sz="0" w:space="0" w:color="auto"/>
                    <w:right w:val="none" w:sz="0" w:space="0" w:color="auto"/>
                  </w:divBdr>
                  <w:divsChild>
                    <w:div w:id="120197665">
                      <w:marLeft w:val="0"/>
                      <w:marRight w:val="0"/>
                      <w:marTop w:val="0"/>
                      <w:marBottom w:val="0"/>
                      <w:divBdr>
                        <w:top w:val="none" w:sz="0" w:space="0" w:color="auto"/>
                        <w:left w:val="none" w:sz="0" w:space="0" w:color="auto"/>
                        <w:bottom w:val="none" w:sz="0" w:space="0" w:color="auto"/>
                        <w:right w:val="none" w:sz="0" w:space="0" w:color="auto"/>
                      </w:divBdr>
                    </w:div>
                  </w:divsChild>
                </w:div>
                <w:div w:id="216745766">
                  <w:marLeft w:val="0"/>
                  <w:marRight w:val="0"/>
                  <w:marTop w:val="0"/>
                  <w:marBottom w:val="0"/>
                  <w:divBdr>
                    <w:top w:val="none" w:sz="0" w:space="0" w:color="auto"/>
                    <w:left w:val="none" w:sz="0" w:space="0" w:color="auto"/>
                    <w:bottom w:val="none" w:sz="0" w:space="0" w:color="auto"/>
                    <w:right w:val="none" w:sz="0" w:space="0" w:color="auto"/>
                  </w:divBdr>
                  <w:divsChild>
                    <w:div w:id="1695494828">
                      <w:marLeft w:val="0"/>
                      <w:marRight w:val="0"/>
                      <w:marTop w:val="0"/>
                      <w:marBottom w:val="0"/>
                      <w:divBdr>
                        <w:top w:val="none" w:sz="0" w:space="0" w:color="auto"/>
                        <w:left w:val="none" w:sz="0" w:space="0" w:color="auto"/>
                        <w:bottom w:val="none" w:sz="0" w:space="0" w:color="auto"/>
                        <w:right w:val="none" w:sz="0" w:space="0" w:color="auto"/>
                      </w:divBdr>
                    </w:div>
                  </w:divsChild>
                </w:div>
                <w:div w:id="218978054">
                  <w:marLeft w:val="0"/>
                  <w:marRight w:val="0"/>
                  <w:marTop w:val="0"/>
                  <w:marBottom w:val="0"/>
                  <w:divBdr>
                    <w:top w:val="none" w:sz="0" w:space="0" w:color="auto"/>
                    <w:left w:val="none" w:sz="0" w:space="0" w:color="auto"/>
                    <w:bottom w:val="none" w:sz="0" w:space="0" w:color="auto"/>
                    <w:right w:val="none" w:sz="0" w:space="0" w:color="auto"/>
                  </w:divBdr>
                  <w:divsChild>
                    <w:div w:id="1452748570">
                      <w:marLeft w:val="0"/>
                      <w:marRight w:val="0"/>
                      <w:marTop w:val="0"/>
                      <w:marBottom w:val="0"/>
                      <w:divBdr>
                        <w:top w:val="none" w:sz="0" w:space="0" w:color="auto"/>
                        <w:left w:val="none" w:sz="0" w:space="0" w:color="auto"/>
                        <w:bottom w:val="none" w:sz="0" w:space="0" w:color="auto"/>
                        <w:right w:val="none" w:sz="0" w:space="0" w:color="auto"/>
                      </w:divBdr>
                    </w:div>
                  </w:divsChild>
                </w:div>
                <w:div w:id="230509134">
                  <w:marLeft w:val="0"/>
                  <w:marRight w:val="0"/>
                  <w:marTop w:val="0"/>
                  <w:marBottom w:val="0"/>
                  <w:divBdr>
                    <w:top w:val="none" w:sz="0" w:space="0" w:color="auto"/>
                    <w:left w:val="none" w:sz="0" w:space="0" w:color="auto"/>
                    <w:bottom w:val="none" w:sz="0" w:space="0" w:color="auto"/>
                    <w:right w:val="none" w:sz="0" w:space="0" w:color="auto"/>
                  </w:divBdr>
                  <w:divsChild>
                    <w:div w:id="70811457">
                      <w:marLeft w:val="0"/>
                      <w:marRight w:val="0"/>
                      <w:marTop w:val="0"/>
                      <w:marBottom w:val="0"/>
                      <w:divBdr>
                        <w:top w:val="none" w:sz="0" w:space="0" w:color="auto"/>
                        <w:left w:val="none" w:sz="0" w:space="0" w:color="auto"/>
                        <w:bottom w:val="none" w:sz="0" w:space="0" w:color="auto"/>
                        <w:right w:val="none" w:sz="0" w:space="0" w:color="auto"/>
                      </w:divBdr>
                    </w:div>
                  </w:divsChild>
                </w:div>
                <w:div w:id="236290014">
                  <w:marLeft w:val="0"/>
                  <w:marRight w:val="0"/>
                  <w:marTop w:val="0"/>
                  <w:marBottom w:val="0"/>
                  <w:divBdr>
                    <w:top w:val="none" w:sz="0" w:space="0" w:color="auto"/>
                    <w:left w:val="none" w:sz="0" w:space="0" w:color="auto"/>
                    <w:bottom w:val="none" w:sz="0" w:space="0" w:color="auto"/>
                    <w:right w:val="none" w:sz="0" w:space="0" w:color="auto"/>
                  </w:divBdr>
                  <w:divsChild>
                    <w:div w:id="113444818">
                      <w:marLeft w:val="0"/>
                      <w:marRight w:val="0"/>
                      <w:marTop w:val="0"/>
                      <w:marBottom w:val="0"/>
                      <w:divBdr>
                        <w:top w:val="none" w:sz="0" w:space="0" w:color="auto"/>
                        <w:left w:val="none" w:sz="0" w:space="0" w:color="auto"/>
                        <w:bottom w:val="none" w:sz="0" w:space="0" w:color="auto"/>
                        <w:right w:val="none" w:sz="0" w:space="0" w:color="auto"/>
                      </w:divBdr>
                    </w:div>
                    <w:div w:id="339551238">
                      <w:marLeft w:val="0"/>
                      <w:marRight w:val="0"/>
                      <w:marTop w:val="0"/>
                      <w:marBottom w:val="0"/>
                      <w:divBdr>
                        <w:top w:val="none" w:sz="0" w:space="0" w:color="auto"/>
                        <w:left w:val="none" w:sz="0" w:space="0" w:color="auto"/>
                        <w:bottom w:val="none" w:sz="0" w:space="0" w:color="auto"/>
                        <w:right w:val="none" w:sz="0" w:space="0" w:color="auto"/>
                      </w:divBdr>
                    </w:div>
                    <w:div w:id="657922393">
                      <w:marLeft w:val="0"/>
                      <w:marRight w:val="0"/>
                      <w:marTop w:val="0"/>
                      <w:marBottom w:val="0"/>
                      <w:divBdr>
                        <w:top w:val="none" w:sz="0" w:space="0" w:color="auto"/>
                        <w:left w:val="none" w:sz="0" w:space="0" w:color="auto"/>
                        <w:bottom w:val="none" w:sz="0" w:space="0" w:color="auto"/>
                        <w:right w:val="none" w:sz="0" w:space="0" w:color="auto"/>
                      </w:divBdr>
                    </w:div>
                    <w:div w:id="767506280">
                      <w:marLeft w:val="0"/>
                      <w:marRight w:val="0"/>
                      <w:marTop w:val="0"/>
                      <w:marBottom w:val="0"/>
                      <w:divBdr>
                        <w:top w:val="none" w:sz="0" w:space="0" w:color="auto"/>
                        <w:left w:val="none" w:sz="0" w:space="0" w:color="auto"/>
                        <w:bottom w:val="none" w:sz="0" w:space="0" w:color="auto"/>
                        <w:right w:val="none" w:sz="0" w:space="0" w:color="auto"/>
                      </w:divBdr>
                    </w:div>
                    <w:div w:id="807892665">
                      <w:marLeft w:val="0"/>
                      <w:marRight w:val="0"/>
                      <w:marTop w:val="0"/>
                      <w:marBottom w:val="0"/>
                      <w:divBdr>
                        <w:top w:val="none" w:sz="0" w:space="0" w:color="auto"/>
                        <w:left w:val="none" w:sz="0" w:space="0" w:color="auto"/>
                        <w:bottom w:val="none" w:sz="0" w:space="0" w:color="auto"/>
                        <w:right w:val="none" w:sz="0" w:space="0" w:color="auto"/>
                      </w:divBdr>
                    </w:div>
                    <w:div w:id="876550282">
                      <w:marLeft w:val="0"/>
                      <w:marRight w:val="0"/>
                      <w:marTop w:val="0"/>
                      <w:marBottom w:val="0"/>
                      <w:divBdr>
                        <w:top w:val="none" w:sz="0" w:space="0" w:color="auto"/>
                        <w:left w:val="none" w:sz="0" w:space="0" w:color="auto"/>
                        <w:bottom w:val="none" w:sz="0" w:space="0" w:color="auto"/>
                        <w:right w:val="none" w:sz="0" w:space="0" w:color="auto"/>
                      </w:divBdr>
                    </w:div>
                    <w:div w:id="1073505837">
                      <w:marLeft w:val="0"/>
                      <w:marRight w:val="0"/>
                      <w:marTop w:val="0"/>
                      <w:marBottom w:val="0"/>
                      <w:divBdr>
                        <w:top w:val="none" w:sz="0" w:space="0" w:color="auto"/>
                        <w:left w:val="none" w:sz="0" w:space="0" w:color="auto"/>
                        <w:bottom w:val="none" w:sz="0" w:space="0" w:color="auto"/>
                        <w:right w:val="none" w:sz="0" w:space="0" w:color="auto"/>
                      </w:divBdr>
                    </w:div>
                    <w:div w:id="1260988805">
                      <w:marLeft w:val="0"/>
                      <w:marRight w:val="0"/>
                      <w:marTop w:val="0"/>
                      <w:marBottom w:val="0"/>
                      <w:divBdr>
                        <w:top w:val="none" w:sz="0" w:space="0" w:color="auto"/>
                        <w:left w:val="none" w:sz="0" w:space="0" w:color="auto"/>
                        <w:bottom w:val="none" w:sz="0" w:space="0" w:color="auto"/>
                        <w:right w:val="none" w:sz="0" w:space="0" w:color="auto"/>
                      </w:divBdr>
                    </w:div>
                    <w:div w:id="1421490228">
                      <w:marLeft w:val="0"/>
                      <w:marRight w:val="0"/>
                      <w:marTop w:val="0"/>
                      <w:marBottom w:val="0"/>
                      <w:divBdr>
                        <w:top w:val="none" w:sz="0" w:space="0" w:color="auto"/>
                        <w:left w:val="none" w:sz="0" w:space="0" w:color="auto"/>
                        <w:bottom w:val="none" w:sz="0" w:space="0" w:color="auto"/>
                        <w:right w:val="none" w:sz="0" w:space="0" w:color="auto"/>
                      </w:divBdr>
                    </w:div>
                    <w:div w:id="1536431498">
                      <w:marLeft w:val="0"/>
                      <w:marRight w:val="0"/>
                      <w:marTop w:val="0"/>
                      <w:marBottom w:val="0"/>
                      <w:divBdr>
                        <w:top w:val="none" w:sz="0" w:space="0" w:color="auto"/>
                        <w:left w:val="none" w:sz="0" w:space="0" w:color="auto"/>
                        <w:bottom w:val="none" w:sz="0" w:space="0" w:color="auto"/>
                        <w:right w:val="none" w:sz="0" w:space="0" w:color="auto"/>
                      </w:divBdr>
                    </w:div>
                    <w:div w:id="1939677679">
                      <w:marLeft w:val="0"/>
                      <w:marRight w:val="0"/>
                      <w:marTop w:val="0"/>
                      <w:marBottom w:val="0"/>
                      <w:divBdr>
                        <w:top w:val="none" w:sz="0" w:space="0" w:color="auto"/>
                        <w:left w:val="none" w:sz="0" w:space="0" w:color="auto"/>
                        <w:bottom w:val="none" w:sz="0" w:space="0" w:color="auto"/>
                        <w:right w:val="none" w:sz="0" w:space="0" w:color="auto"/>
                      </w:divBdr>
                    </w:div>
                  </w:divsChild>
                </w:div>
                <w:div w:id="239406843">
                  <w:marLeft w:val="0"/>
                  <w:marRight w:val="0"/>
                  <w:marTop w:val="0"/>
                  <w:marBottom w:val="0"/>
                  <w:divBdr>
                    <w:top w:val="none" w:sz="0" w:space="0" w:color="auto"/>
                    <w:left w:val="none" w:sz="0" w:space="0" w:color="auto"/>
                    <w:bottom w:val="none" w:sz="0" w:space="0" w:color="auto"/>
                    <w:right w:val="none" w:sz="0" w:space="0" w:color="auto"/>
                  </w:divBdr>
                  <w:divsChild>
                    <w:div w:id="1219046934">
                      <w:marLeft w:val="0"/>
                      <w:marRight w:val="0"/>
                      <w:marTop w:val="0"/>
                      <w:marBottom w:val="0"/>
                      <w:divBdr>
                        <w:top w:val="none" w:sz="0" w:space="0" w:color="auto"/>
                        <w:left w:val="none" w:sz="0" w:space="0" w:color="auto"/>
                        <w:bottom w:val="none" w:sz="0" w:space="0" w:color="auto"/>
                        <w:right w:val="none" w:sz="0" w:space="0" w:color="auto"/>
                      </w:divBdr>
                    </w:div>
                  </w:divsChild>
                </w:div>
                <w:div w:id="244069972">
                  <w:marLeft w:val="0"/>
                  <w:marRight w:val="0"/>
                  <w:marTop w:val="0"/>
                  <w:marBottom w:val="0"/>
                  <w:divBdr>
                    <w:top w:val="none" w:sz="0" w:space="0" w:color="auto"/>
                    <w:left w:val="none" w:sz="0" w:space="0" w:color="auto"/>
                    <w:bottom w:val="none" w:sz="0" w:space="0" w:color="auto"/>
                    <w:right w:val="none" w:sz="0" w:space="0" w:color="auto"/>
                  </w:divBdr>
                  <w:divsChild>
                    <w:div w:id="1889144269">
                      <w:marLeft w:val="0"/>
                      <w:marRight w:val="0"/>
                      <w:marTop w:val="0"/>
                      <w:marBottom w:val="0"/>
                      <w:divBdr>
                        <w:top w:val="none" w:sz="0" w:space="0" w:color="auto"/>
                        <w:left w:val="none" w:sz="0" w:space="0" w:color="auto"/>
                        <w:bottom w:val="none" w:sz="0" w:space="0" w:color="auto"/>
                        <w:right w:val="none" w:sz="0" w:space="0" w:color="auto"/>
                      </w:divBdr>
                    </w:div>
                  </w:divsChild>
                </w:div>
                <w:div w:id="244262582">
                  <w:marLeft w:val="0"/>
                  <w:marRight w:val="0"/>
                  <w:marTop w:val="0"/>
                  <w:marBottom w:val="0"/>
                  <w:divBdr>
                    <w:top w:val="none" w:sz="0" w:space="0" w:color="auto"/>
                    <w:left w:val="none" w:sz="0" w:space="0" w:color="auto"/>
                    <w:bottom w:val="none" w:sz="0" w:space="0" w:color="auto"/>
                    <w:right w:val="none" w:sz="0" w:space="0" w:color="auto"/>
                  </w:divBdr>
                  <w:divsChild>
                    <w:div w:id="304554498">
                      <w:marLeft w:val="0"/>
                      <w:marRight w:val="0"/>
                      <w:marTop w:val="0"/>
                      <w:marBottom w:val="0"/>
                      <w:divBdr>
                        <w:top w:val="none" w:sz="0" w:space="0" w:color="auto"/>
                        <w:left w:val="none" w:sz="0" w:space="0" w:color="auto"/>
                        <w:bottom w:val="none" w:sz="0" w:space="0" w:color="auto"/>
                        <w:right w:val="none" w:sz="0" w:space="0" w:color="auto"/>
                      </w:divBdr>
                    </w:div>
                    <w:div w:id="1232081591">
                      <w:marLeft w:val="0"/>
                      <w:marRight w:val="0"/>
                      <w:marTop w:val="0"/>
                      <w:marBottom w:val="0"/>
                      <w:divBdr>
                        <w:top w:val="none" w:sz="0" w:space="0" w:color="auto"/>
                        <w:left w:val="none" w:sz="0" w:space="0" w:color="auto"/>
                        <w:bottom w:val="none" w:sz="0" w:space="0" w:color="auto"/>
                        <w:right w:val="none" w:sz="0" w:space="0" w:color="auto"/>
                      </w:divBdr>
                    </w:div>
                  </w:divsChild>
                </w:div>
                <w:div w:id="247354501">
                  <w:marLeft w:val="0"/>
                  <w:marRight w:val="0"/>
                  <w:marTop w:val="0"/>
                  <w:marBottom w:val="0"/>
                  <w:divBdr>
                    <w:top w:val="none" w:sz="0" w:space="0" w:color="auto"/>
                    <w:left w:val="none" w:sz="0" w:space="0" w:color="auto"/>
                    <w:bottom w:val="none" w:sz="0" w:space="0" w:color="auto"/>
                    <w:right w:val="none" w:sz="0" w:space="0" w:color="auto"/>
                  </w:divBdr>
                  <w:divsChild>
                    <w:div w:id="1548952716">
                      <w:marLeft w:val="0"/>
                      <w:marRight w:val="0"/>
                      <w:marTop w:val="0"/>
                      <w:marBottom w:val="0"/>
                      <w:divBdr>
                        <w:top w:val="none" w:sz="0" w:space="0" w:color="auto"/>
                        <w:left w:val="none" w:sz="0" w:space="0" w:color="auto"/>
                        <w:bottom w:val="none" w:sz="0" w:space="0" w:color="auto"/>
                        <w:right w:val="none" w:sz="0" w:space="0" w:color="auto"/>
                      </w:divBdr>
                    </w:div>
                  </w:divsChild>
                </w:div>
                <w:div w:id="257375324">
                  <w:marLeft w:val="0"/>
                  <w:marRight w:val="0"/>
                  <w:marTop w:val="0"/>
                  <w:marBottom w:val="0"/>
                  <w:divBdr>
                    <w:top w:val="none" w:sz="0" w:space="0" w:color="auto"/>
                    <w:left w:val="none" w:sz="0" w:space="0" w:color="auto"/>
                    <w:bottom w:val="none" w:sz="0" w:space="0" w:color="auto"/>
                    <w:right w:val="none" w:sz="0" w:space="0" w:color="auto"/>
                  </w:divBdr>
                  <w:divsChild>
                    <w:div w:id="344065183">
                      <w:marLeft w:val="0"/>
                      <w:marRight w:val="0"/>
                      <w:marTop w:val="0"/>
                      <w:marBottom w:val="0"/>
                      <w:divBdr>
                        <w:top w:val="none" w:sz="0" w:space="0" w:color="auto"/>
                        <w:left w:val="none" w:sz="0" w:space="0" w:color="auto"/>
                        <w:bottom w:val="none" w:sz="0" w:space="0" w:color="auto"/>
                        <w:right w:val="none" w:sz="0" w:space="0" w:color="auto"/>
                      </w:divBdr>
                    </w:div>
                    <w:div w:id="423578293">
                      <w:marLeft w:val="0"/>
                      <w:marRight w:val="0"/>
                      <w:marTop w:val="0"/>
                      <w:marBottom w:val="0"/>
                      <w:divBdr>
                        <w:top w:val="none" w:sz="0" w:space="0" w:color="auto"/>
                        <w:left w:val="none" w:sz="0" w:space="0" w:color="auto"/>
                        <w:bottom w:val="none" w:sz="0" w:space="0" w:color="auto"/>
                        <w:right w:val="none" w:sz="0" w:space="0" w:color="auto"/>
                      </w:divBdr>
                    </w:div>
                    <w:div w:id="493837614">
                      <w:marLeft w:val="0"/>
                      <w:marRight w:val="0"/>
                      <w:marTop w:val="0"/>
                      <w:marBottom w:val="0"/>
                      <w:divBdr>
                        <w:top w:val="none" w:sz="0" w:space="0" w:color="auto"/>
                        <w:left w:val="none" w:sz="0" w:space="0" w:color="auto"/>
                        <w:bottom w:val="none" w:sz="0" w:space="0" w:color="auto"/>
                        <w:right w:val="none" w:sz="0" w:space="0" w:color="auto"/>
                      </w:divBdr>
                    </w:div>
                    <w:div w:id="558126539">
                      <w:marLeft w:val="0"/>
                      <w:marRight w:val="0"/>
                      <w:marTop w:val="0"/>
                      <w:marBottom w:val="0"/>
                      <w:divBdr>
                        <w:top w:val="none" w:sz="0" w:space="0" w:color="auto"/>
                        <w:left w:val="none" w:sz="0" w:space="0" w:color="auto"/>
                        <w:bottom w:val="none" w:sz="0" w:space="0" w:color="auto"/>
                        <w:right w:val="none" w:sz="0" w:space="0" w:color="auto"/>
                      </w:divBdr>
                    </w:div>
                    <w:div w:id="756753677">
                      <w:marLeft w:val="0"/>
                      <w:marRight w:val="0"/>
                      <w:marTop w:val="0"/>
                      <w:marBottom w:val="0"/>
                      <w:divBdr>
                        <w:top w:val="none" w:sz="0" w:space="0" w:color="auto"/>
                        <w:left w:val="none" w:sz="0" w:space="0" w:color="auto"/>
                        <w:bottom w:val="none" w:sz="0" w:space="0" w:color="auto"/>
                        <w:right w:val="none" w:sz="0" w:space="0" w:color="auto"/>
                      </w:divBdr>
                    </w:div>
                    <w:div w:id="958150243">
                      <w:marLeft w:val="0"/>
                      <w:marRight w:val="0"/>
                      <w:marTop w:val="0"/>
                      <w:marBottom w:val="0"/>
                      <w:divBdr>
                        <w:top w:val="none" w:sz="0" w:space="0" w:color="auto"/>
                        <w:left w:val="none" w:sz="0" w:space="0" w:color="auto"/>
                        <w:bottom w:val="none" w:sz="0" w:space="0" w:color="auto"/>
                        <w:right w:val="none" w:sz="0" w:space="0" w:color="auto"/>
                      </w:divBdr>
                    </w:div>
                    <w:div w:id="1307709929">
                      <w:marLeft w:val="0"/>
                      <w:marRight w:val="0"/>
                      <w:marTop w:val="0"/>
                      <w:marBottom w:val="0"/>
                      <w:divBdr>
                        <w:top w:val="none" w:sz="0" w:space="0" w:color="auto"/>
                        <w:left w:val="none" w:sz="0" w:space="0" w:color="auto"/>
                        <w:bottom w:val="none" w:sz="0" w:space="0" w:color="auto"/>
                        <w:right w:val="none" w:sz="0" w:space="0" w:color="auto"/>
                      </w:divBdr>
                    </w:div>
                    <w:div w:id="1315990916">
                      <w:marLeft w:val="0"/>
                      <w:marRight w:val="0"/>
                      <w:marTop w:val="0"/>
                      <w:marBottom w:val="0"/>
                      <w:divBdr>
                        <w:top w:val="none" w:sz="0" w:space="0" w:color="auto"/>
                        <w:left w:val="none" w:sz="0" w:space="0" w:color="auto"/>
                        <w:bottom w:val="none" w:sz="0" w:space="0" w:color="auto"/>
                        <w:right w:val="none" w:sz="0" w:space="0" w:color="auto"/>
                      </w:divBdr>
                    </w:div>
                    <w:div w:id="1483236409">
                      <w:marLeft w:val="0"/>
                      <w:marRight w:val="0"/>
                      <w:marTop w:val="0"/>
                      <w:marBottom w:val="0"/>
                      <w:divBdr>
                        <w:top w:val="none" w:sz="0" w:space="0" w:color="auto"/>
                        <w:left w:val="none" w:sz="0" w:space="0" w:color="auto"/>
                        <w:bottom w:val="none" w:sz="0" w:space="0" w:color="auto"/>
                        <w:right w:val="none" w:sz="0" w:space="0" w:color="auto"/>
                      </w:divBdr>
                    </w:div>
                    <w:div w:id="2020764987">
                      <w:marLeft w:val="0"/>
                      <w:marRight w:val="0"/>
                      <w:marTop w:val="0"/>
                      <w:marBottom w:val="0"/>
                      <w:divBdr>
                        <w:top w:val="none" w:sz="0" w:space="0" w:color="auto"/>
                        <w:left w:val="none" w:sz="0" w:space="0" w:color="auto"/>
                        <w:bottom w:val="none" w:sz="0" w:space="0" w:color="auto"/>
                        <w:right w:val="none" w:sz="0" w:space="0" w:color="auto"/>
                      </w:divBdr>
                    </w:div>
                  </w:divsChild>
                </w:div>
                <w:div w:id="264964307">
                  <w:marLeft w:val="0"/>
                  <w:marRight w:val="0"/>
                  <w:marTop w:val="0"/>
                  <w:marBottom w:val="0"/>
                  <w:divBdr>
                    <w:top w:val="none" w:sz="0" w:space="0" w:color="auto"/>
                    <w:left w:val="none" w:sz="0" w:space="0" w:color="auto"/>
                    <w:bottom w:val="none" w:sz="0" w:space="0" w:color="auto"/>
                    <w:right w:val="none" w:sz="0" w:space="0" w:color="auto"/>
                  </w:divBdr>
                  <w:divsChild>
                    <w:div w:id="1533836607">
                      <w:marLeft w:val="0"/>
                      <w:marRight w:val="0"/>
                      <w:marTop w:val="0"/>
                      <w:marBottom w:val="0"/>
                      <w:divBdr>
                        <w:top w:val="none" w:sz="0" w:space="0" w:color="auto"/>
                        <w:left w:val="none" w:sz="0" w:space="0" w:color="auto"/>
                        <w:bottom w:val="none" w:sz="0" w:space="0" w:color="auto"/>
                        <w:right w:val="none" w:sz="0" w:space="0" w:color="auto"/>
                      </w:divBdr>
                    </w:div>
                  </w:divsChild>
                </w:div>
                <w:div w:id="287787743">
                  <w:marLeft w:val="0"/>
                  <w:marRight w:val="0"/>
                  <w:marTop w:val="0"/>
                  <w:marBottom w:val="0"/>
                  <w:divBdr>
                    <w:top w:val="none" w:sz="0" w:space="0" w:color="auto"/>
                    <w:left w:val="none" w:sz="0" w:space="0" w:color="auto"/>
                    <w:bottom w:val="none" w:sz="0" w:space="0" w:color="auto"/>
                    <w:right w:val="none" w:sz="0" w:space="0" w:color="auto"/>
                  </w:divBdr>
                  <w:divsChild>
                    <w:div w:id="1046904214">
                      <w:marLeft w:val="0"/>
                      <w:marRight w:val="0"/>
                      <w:marTop w:val="0"/>
                      <w:marBottom w:val="0"/>
                      <w:divBdr>
                        <w:top w:val="none" w:sz="0" w:space="0" w:color="auto"/>
                        <w:left w:val="none" w:sz="0" w:space="0" w:color="auto"/>
                        <w:bottom w:val="none" w:sz="0" w:space="0" w:color="auto"/>
                        <w:right w:val="none" w:sz="0" w:space="0" w:color="auto"/>
                      </w:divBdr>
                    </w:div>
                  </w:divsChild>
                </w:div>
                <w:div w:id="293487671">
                  <w:marLeft w:val="0"/>
                  <w:marRight w:val="0"/>
                  <w:marTop w:val="0"/>
                  <w:marBottom w:val="0"/>
                  <w:divBdr>
                    <w:top w:val="none" w:sz="0" w:space="0" w:color="auto"/>
                    <w:left w:val="none" w:sz="0" w:space="0" w:color="auto"/>
                    <w:bottom w:val="none" w:sz="0" w:space="0" w:color="auto"/>
                    <w:right w:val="none" w:sz="0" w:space="0" w:color="auto"/>
                  </w:divBdr>
                  <w:divsChild>
                    <w:div w:id="158469446">
                      <w:marLeft w:val="0"/>
                      <w:marRight w:val="0"/>
                      <w:marTop w:val="0"/>
                      <w:marBottom w:val="0"/>
                      <w:divBdr>
                        <w:top w:val="none" w:sz="0" w:space="0" w:color="auto"/>
                        <w:left w:val="none" w:sz="0" w:space="0" w:color="auto"/>
                        <w:bottom w:val="none" w:sz="0" w:space="0" w:color="auto"/>
                        <w:right w:val="none" w:sz="0" w:space="0" w:color="auto"/>
                      </w:divBdr>
                    </w:div>
                    <w:div w:id="944921512">
                      <w:marLeft w:val="0"/>
                      <w:marRight w:val="0"/>
                      <w:marTop w:val="0"/>
                      <w:marBottom w:val="0"/>
                      <w:divBdr>
                        <w:top w:val="none" w:sz="0" w:space="0" w:color="auto"/>
                        <w:left w:val="none" w:sz="0" w:space="0" w:color="auto"/>
                        <w:bottom w:val="none" w:sz="0" w:space="0" w:color="auto"/>
                        <w:right w:val="none" w:sz="0" w:space="0" w:color="auto"/>
                      </w:divBdr>
                    </w:div>
                    <w:div w:id="1452744850">
                      <w:marLeft w:val="0"/>
                      <w:marRight w:val="0"/>
                      <w:marTop w:val="0"/>
                      <w:marBottom w:val="0"/>
                      <w:divBdr>
                        <w:top w:val="none" w:sz="0" w:space="0" w:color="auto"/>
                        <w:left w:val="none" w:sz="0" w:space="0" w:color="auto"/>
                        <w:bottom w:val="none" w:sz="0" w:space="0" w:color="auto"/>
                        <w:right w:val="none" w:sz="0" w:space="0" w:color="auto"/>
                      </w:divBdr>
                    </w:div>
                  </w:divsChild>
                </w:div>
                <w:div w:id="300160024">
                  <w:marLeft w:val="0"/>
                  <w:marRight w:val="0"/>
                  <w:marTop w:val="0"/>
                  <w:marBottom w:val="0"/>
                  <w:divBdr>
                    <w:top w:val="none" w:sz="0" w:space="0" w:color="auto"/>
                    <w:left w:val="none" w:sz="0" w:space="0" w:color="auto"/>
                    <w:bottom w:val="none" w:sz="0" w:space="0" w:color="auto"/>
                    <w:right w:val="none" w:sz="0" w:space="0" w:color="auto"/>
                  </w:divBdr>
                  <w:divsChild>
                    <w:div w:id="78257651">
                      <w:marLeft w:val="0"/>
                      <w:marRight w:val="0"/>
                      <w:marTop w:val="0"/>
                      <w:marBottom w:val="0"/>
                      <w:divBdr>
                        <w:top w:val="none" w:sz="0" w:space="0" w:color="auto"/>
                        <w:left w:val="none" w:sz="0" w:space="0" w:color="auto"/>
                        <w:bottom w:val="none" w:sz="0" w:space="0" w:color="auto"/>
                        <w:right w:val="none" w:sz="0" w:space="0" w:color="auto"/>
                      </w:divBdr>
                    </w:div>
                  </w:divsChild>
                </w:div>
                <w:div w:id="304549083">
                  <w:marLeft w:val="0"/>
                  <w:marRight w:val="0"/>
                  <w:marTop w:val="0"/>
                  <w:marBottom w:val="0"/>
                  <w:divBdr>
                    <w:top w:val="none" w:sz="0" w:space="0" w:color="auto"/>
                    <w:left w:val="none" w:sz="0" w:space="0" w:color="auto"/>
                    <w:bottom w:val="none" w:sz="0" w:space="0" w:color="auto"/>
                    <w:right w:val="none" w:sz="0" w:space="0" w:color="auto"/>
                  </w:divBdr>
                  <w:divsChild>
                    <w:div w:id="399013383">
                      <w:marLeft w:val="0"/>
                      <w:marRight w:val="0"/>
                      <w:marTop w:val="0"/>
                      <w:marBottom w:val="0"/>
                      <w:divBdr>
                        <w:top w:val="none" w:sz="0" w:space="0" w:color="auto"/>
                        <w:left w:val="none" w:sz="0" w:space="0" w:color="auto"/>
                        <w:bottom w:val="none" w:sz="0" w:space="0" w:color="auto"/>
                        <w:right w:val="none" w:sz="0" w:space="0" w:color="auto"/>
                      </w:divBdr>
                    </w:div>
                  </w:divsChild>
                </w:div>
                <w:div w:id="305935138">
                  <w:marLeft w:val="0"/>
                  <w:marRight w:val="0"/>
                  <w:marTop w:val="0"/>
                  <w:marBottom w:val="0"/>
                  <w:divBdr>
                    <w:top w:val="none" w:sz="0" w:space="0" w:color="auto"/>
                    <w:left w:val="none" w:sz="0" w:space="0" w:color="auto"/>
                    <w:bottom w:val="none" w:sz="0" w:space="0" w:color="auto"/>
                    <w:right w:val="none" w:sz="0" w:space="0" w:color="auto"/>
                  </w:divBdr>
                  <w:divsChild>
                    <w:div w:id="769397048">
                      <w:marLeft w:val="0"/>
                      <w:marRight w:val="0"/>
                      <w:marTop w:val="0"/>
                      <w:marBottom w:val="0"/>
                      <w:divBdr>
                        <w:top w:val="none" w:sz="0" w:space="0" w:color="auto"/>
                        <w:left w:val="none" w:sz="0" w:space="0" w:color="auto"/>
                        <w:bottom w:val="none" w:sz="0" w:space="0" w:color="auto"/>
                        <w:right w:val="none" w:sz="0" w:space="0" w:color="auto"/>
                      </w:divBdr>
                    </w:div>
                  </w:divsChild>
                </w:div>
                <w:div w:id="310184193">
                  <w:marLeft w:val="0"/>
                  <w:marRight w:val="0"/>
                  <w:marTop w:val="0"/>
                  <w:marBottom w:val="0"/>
                  <w:divBdr>
                    <w:top w:val="none" w:sz="0" w:space="0" w:color="auto"/>
                    <w:left w:val="none" w:sz="0" w:space="0" w:color="auto"/>
                    <w:bottom w:val="none" w:sz="0" w:space="0" w:color="auto"/>
                    <w:right w:val="none" w:sz="0" w:space="0" w:color="auto"/>
                  </w:divBdr>
                  <w:divsChild>
                    <w:div w:id="207645821">
                      <w:marLeft w:val="0"/>
                      <w:marRight w:val="0"/>
                      <w:marTop w:val="0"/>
                      <w:marBottom w:val="0"/>
                      <w:divBdr>
                        <w:top w:val="none" w:sz="0" w:space="0" w:color="auto"/>
                        <w:left w:val="none" w:sz="0" w:space="0" w:color="auto"/>
                        <w:bottom w:val="none" w:sz="0" w:space="0" w:color="auto"/>
                        <w:right w:val="none" w:sz="0" w:space="0" w:color="auto"/>
                      </w:divBdr>
                    </w:div>
                  </w:divsChild>
                </w:div>
                <w:div w:id="336351779">
                  <w:marLeft w:val="0"/>
                  <w:marRight w:val="0"/>
                  <w:marTop w:val="0"/>
                  <w:marBottom w:val="0"/>
                  <w:divBdr>
                    <w:top w:val="none" w:sz="0" w:space="0" w:color="auto"/>
                    <w:left w:val="none" w:sz="0" w:space="0" w:color="auto"/>
                    <w:bottom w:val="none" w:sz="0" w:space="0" w:color="auto"/>
                    <w:right w:val="none" w:sz="0" w:space="0" w:color="auto"/>
                  </w:divBdr>
                  <w:divsChild>
                    <w:div w:id="174880573">
                      <w:marLeft w:val="0"/>
                      <w:marRight w:val="0"/>
                      <w:marTop w:val="0"/>
                      <w:marBottom w:val="0"/>
                      <w:divBdr>
                        <w:top w:val="none" w:sz="0" w:space="0" w:color="auto"/>
                        <w:left w:val="none" w:sz="0" w:space="0" w:color="auto"/>
                        <w:bottom w:val="none" w:sz="0" w:space="0" w:color="auto"/>
                        <w:right w:val="none" w:sz="0" w:space="0" w:color="auto"/>
                      </w:divBdr>
                    </w:div>
                  </w:divsChild>
                </w:div>
                <w:div w:id="344748633">
                  <w:marLeft w:val="0"/>
                  <w:marRight w:val="0"/>
                  <w:marTop w:val="0"/>
                  <w:marBottom w:val="0"/>
                  <w:divBdr>
                    <w:top w:val="none" w:sz="0" w:space="0" w:color="auto"/>
                    <w:left w:val="none" w:sz="0" w:space="0" w:color="auto"/>
                    <w:bottom w:val="none" w:sz="0" w:space="0" w:color="auto"/>
                    <w:right w:val="none" w:sz="0" w:space="0" w:color="auto"/>
                  </w:divBdr>
                  <w:divsChild>
                    <w:div w:id="407651500">
                      <w:marLeft w:val="0"/>
                      <w:marRight w:val="0"/>
                      <w:marTop w:val="0"/>
                      <w:marBottom w:val="0"/>
                      <w:divBdr>
                        <w:top w:val="none" w:sz="0" w:space="0" w:color="auto"/>
                        <w:left w:val="none" w:sz="0" w:space="0" w:color="auto"/>
                        <w:bottom w:val="none" w:sz="0" w:space="0" w:color="auto"/>
                        <w:right w:val="none" w:sz="0" w:space="0" w:color="auto"/>
                      </w:divBdr>
                    </w:div>
                  </w:divsChild>
                </w:div>
                <w:div w:id="381294910">
                  <w:marLeft w:val="0"/>
                  <w:marRight w:val="0"/>
                  <w:marTop w:val="0"/>
                  <w:marBottom w:val="0"/>
                  <w:divBdr>
                    <w:top w:val="none" w:sz="0" w:space="0" w:color="auto"/>
                    <w:left w:val="none" w:sz="0" w:space="0" w:color="auto"/>
                    <w:bottom w:val="none" w:sz="0" w:space="0" w:color="auto"/>
                    <w:right w:val="none" w:sz="0" w:space="0" w:color="auto"/>
                  </w:divBdr>
                  <w:divsChild>
                    <w:div w:id="1072387325">
                      <w:marLeft w:val="0"/>
                      <w:marRight w:val="0"/>
                      <w:marTop w:val="0"/>
                      <w:marBottom w:val="0"/>
                      <w:divBdr>
                        <w:top w:val="none" w:sz="0" w:space="0" w:color="auto"/>
                        <w:left w:val="none" w:sz="0" w:space="0" w:color="auto"/>
                        <w:bottom w:val="none" w:sz="0" w:space="0" w:color="auto"/>
                        <w:right w:val="none" w:sz="0" w:space="0" w:color="auto"/>
                      </w:divBdr>
                    </w:div>
                    <w:div w:id="1830052562">
                      <w:marLeft w:val="0"/>
                      <w:marRight w:val="0"/>
                      <w:marTop w:val="0"/>
                      <w:marBottom w:val="0"/>
                      <w:divBdr>
                        <w:top w:val="none" w:sz="0" w:space="0" w:color="auto"/>
                        <w:left w:val="none" w:sz="0" w:space="0" w:color="auto"/>
                        <w:bottom w:val="none" w:sz="0" w:space="0" w:color="auto"/>
                        <w:right w:val="none" w:sz="0" w:space="0" w:color="auto"/>
                      </w:divBdr>
                    </w:div>
                  </w:divsChild>
                </w:div>
                <w:div w:id="385031363">
                  <w:marLeft w:val="0"/>
                  <w:marRight w:val="0"/>
                  <w:marTop w:val="0"/>
                  <w:marBottom w:val="0"/>
                  <w:divBdr>
                    <w:top w:val="none" w:sz="0" w:space="0" w:color="auto"/>
                    <w:left w:val="none" w:sz="0" w:space="0" w:color="auto"/>
                    <w:bottom w:val="none" w:sz="0" w:space="0" w:color="auto"/>
                    <w:right w:val="none" w:sz="0" w:space="0" w:color="auto"/>
                  </w:divBdr>
                  <w:divsChild>
                    <w:div w:id="1200777020">
                      <w:marLeft w:val="0"/>
                      <w:marRight w:val="0"/>
                      <w:marTop w:val="0"/>
                      <w:marBottom w:val="0"/>
                      <w:divBdr>
                        <w:top w:val="none" w:sz="0" w:space="0" w:color="auto"/>
                        <w:left w:val="none" w:sz="0" w:space="0" w:color="auto"/>
                        <w:bottom w:val="none" w:sz="0" w:space="0" w:color="auto"/>
                        <w:right w:val="none" w:sz="0" w:space="0" w:color="auto"/>
                      </w:divBdr>
                    </w:div>
                  </w:divsChild>
                </w:div>
                <w:div w:id="398017874">
                  <w:marLeft w:val="0"/>
                  <w:marRight w:val="0"/>
                  <w:marTop w:val="0"/>
                  <w:marBottom w:val="0"/>
                  <w:divBdr>
                    <w:top w:val="none" w:sz="0" w:space="0" w:color="auto"/>
                    <w:left w:val="none" w:sz="0" w:space="0" w:color="auto"/>
                    <w:bottom w:val="none" w:sz="0" w:space="0" w:color="auto"/>
                    <w:right w:val="none" w:sz="0" w:space="0" w:color="auto"/>
                  </w:divBdr>
                  <w:divsChild>
                    <w:div w:id="261574712">
                      <w:marLeft w:val="0"/>
                      <w:marRight w:val="0"/>
                      <w:marTop w:val="0"/>
                      <w:marBottom w:val="0"/>
                      <w:divBdr>
                        <w:top w:val="none" w:sz="0" w:space="0" w:color="auto"/>
                        <w:left w:val="none" w:sz="0" w:space="0" w:color="auto"/>
                        <w:bottom w:val="none" w:sz="0" w:space="0" w:color="auto"/>
                        <w:right w:val="none" w:sz="0" w:space="0" w:color="auto"/>
                      </w:divBdr>
                    </w:div>
                  </w:divsChild>
                </w:div>
                <w:div w:id="406804212">
                  <w:marLeft w:val="0"/>
                  <w:marRight w:val="0"/>
                  <w:marTop w:val="0"/>
                  <w:marBottom w:val="0"/>
                  <w:divBdr>
                    <w:top w:val="none" w:sz="0" w:space="0" w:color="auto"/>
                    <w:left w:val="none" w:sz="0" w:space="0" w:color="auto"/>
                    <w:bottom w:val="none" w:sz="0" w:space="0" w:color="auto"/>
                    <w:right w:val="none" w:sz="0" w:space="0" w:color="auto"/>
                  </w:divBdr>
                  <w:divsChild>
                    <w:div w:id="805126679">
                      <w:marLeft w:val="0"/>
                      <w:marRight w:val="0"/>
                      <w:marTop w:val="0"/>
                      <w:marBottom w:val="0"/>
                      <w:divBdr>
                        <w:top w:val="none" w:sz="0" w:space="0" w:color="auto"/>
                        <w:left w:val="none" w:sz="0" w:space="0" w:color="auto"/>
                        <w:bottom w:val="none" w:sz="0" w:space="0" w:color="auto"/>
                        <w:right w:val="none" w:sz="0" w:space="0" w:color="auto"/>
                      </w:divBdr>
                    </w:div>
                  </w:divsChild>
                </w:div>
                <w:div w:id="411706880">
                  <w:marLeft w:val="0"/>
                  <w:marRight w:val="0"/>
                  <w:marTop w:val="0"/>
                  <w:marBottom w:val="0"/>
                  <w:divBdr>
                    <w:top w:val="none" w:sz="0" w:space="0" w:color="auto"/>
                    <w:left w:val="none" w:sz="0" w:space="0" w:color="auto"/>
                    <w:bottom w:val="none" w:sz="0" w:space="0" w:color="auto"/>
                    <w:right w:val="none" w:sz="0" w:space="0" w:color="auto"/>
                  </w:divBdr>
                  <w:divsChild>
                    <w:div w:id="1215238399">
                      <w:marLeft w:val="0"/>
                      <w:marRight w:val="0"/>
                      <w:marTop w:val="0"/>
                      <w:marBottom w:val="0"/>
                      <w:divBdr>
                        <w:top w:val="none" w:sz="0" w:space="0" w:color="auto"/>
                        <w:left w:val="none" w:sz="0" w:space="0" w:color="auto"/>
                        <w:bottom w:val="none" w:sz="0" w:space="0" w:color="auto"/>
                        <w:right w:val="none" w:sz="0" w:space="0" w:color="auto"/>
                      </w:divBdr>
                    </w:div>
                  </w:divsChild>
                </w:div>
                <w:div w:id="413169293">
                  <w:marLeft w:val="0"/>
                  <w:marRight w:val="0"/>
                  <w:marTop w:val="0"/>
                  <w:marBottom w:val="0"/>
                  <w:divBdr>
                    <w:top w:val="none" w:sz="0" w:space="0" w:color="auto"/>
                    <w:left w:val="none" w:sz="0" w:space="0" w:color="auto"/>
                    <w:bottom w:val="none" w:sz="0" w:space="0" w:color="auto"/>
                    <w:right w:val="none" w:sz="0" w:space="0" w:color="auto"/>
                  </w:divBdr>
                  <w:divsChild>
                    <w:div w:id="1476994031">
                      <w:marLeft w:val="0"/>
                      <w:marRight w:val="0"/>
                      <w:marTop w:val="0"/>
                      <w:marBottom w:val="0"/>
                      <w:divBdr>
                        <w:top w:val="none" w:sz="0" w:space="0" w:color="auto"/>
                        <w:left w:val="none" w:sz="0" w:space="0" w:color="auto"/>
                        <w:bottom w:val="none" w:sz="0" w:space="0" w:color="auto"/>
                        <w:right w:val="none" w:sz="0" w:space="0" w:color="auto"/>
                      </w:divBdr>
                    </w:div>
                  </w:divsChild>
                </w:div>
                <w:div w:id="419371320">
                  <w:marLeft w:val="0"/>
                  <w:marRight w:val="0"/>
                  <w:marTop w:val="0"/>
                  <w:marBottom w:val="0"/>
                  <w:divBdr>
                    <w:top w:val="none" w:sz="0" w:space="0" w:color="auto"/>
                    <w:left w:val="none" w:sz="0" w:space="0" w:color="auto"/>
                    <w:bottom w:val="none" w:sz="0" w:space="0" w:color="auto"/>
                    <w:right w:val="none" w:sz="0" w:space="0" w:color="auto"/>
                  </w:divBdr>
                  <w:divsChild>
                    <w:div w:id="1266427133">
                      <w:marLeft w:val="0"/>
                      <w:marRight w:val="0"/>
                      <w:marTop w:val="0"/>
                      <w:marBottom w:val="0"/>
                      <w:divBdr>
                        <w:top w:val="none" w:sz="0" w:space="0" w:color="auto"/>
                        <w:left w:val="none" w:sz="0" w:space="0" w:color="auto"/>
                        <w:bottom w:val="none" w:sz="0" w:space="0" w:color="auto"/>
                        <w:right w:val="none" w:sz="0" w:space="0" w:color="auto"/>
                      </w:divBdr>
                    </w:div>
                  </w:divsChild>
                </w:div>
                <w:div w:id="421419716">
                  <w:marLeft w:val="0"/>
                  <w:marRight w:val="0"/>
                  <w:marTop w:val="0"/>
                  <w:marBottom w:val="0"/>
                  <w:divBdr>
                    <w:top w:val="none" w:sz="0" w:space="0" w:color="auto"/>
                    <w:left w:val="none" w:sz="0" w:space="0" w:color="auto"/>
                    <w:bottom w:val="none" w:sz="0" w:space="0" w:color="auto"/>
                    <w:right w:val="none" w:sz="0" w:space="0" w:color="auto"/>
                  </w:divBdr>
                  <w:divsChild>
                    <w:div w:id="472407010">
                      <w:marLeft w:val="0"/>
                      <w:marRight w:val="0"/>
                      <w:marTop w:val="0"/>
                      <w:marBottom w:val="0"/>
                      <w:divBdr>
                        <w:top w:val="none" w:sz="0" w:space="0" w:color="auto"/>
                        <w:left w:val="none" w:sz="0" w:space="0" w:color="auto"/>
                        <w:bottom w:val="none" w:sz="0" w:space="0" w:color="auto"/>
                        <w:right w:val="none" w:sz="0" w:space="0" w:color="auto"/>
                      </w:divBdr>
                    </w:div>
                  </w:divsChild>
                </w:div>
                <w:div w:id="427847016">
                  <w:marLeft w:val="0"/>
                  <w:marRight w:val="0"/>
                  <w:marTop w:val="0"/>
                  <w:marBottom w:val="0"/>
                  <w:divBdr>
                    <w:top w:val="none" w:sz="0" w:space="0" w:color="auto"/>
                    <w:left w:val="none" w:sz="0" w:space="0" w:color="auto"/>
                    <w:bottom w:val="none" w:sz="0" w:space="0" w:color="auto"/>
                    <w:right w:val="none" w:sz="0" w:space="0" w:color="auto"/>
                  </w:divBdr>
                  <w:divsChild>
                    <w:div w:id="650866449">
                      <w:marLeft w:val="0"/>
                      <w:marRight w:val="0"/>
                      <w:marTop w:val="0"/>
                      <w:marBottom w:val="0"/>
                      <w:divBdr>
                        <w:top w:val="none" w:sz="0" w:space="0" w:color="auto"/>
                        <w:left w:val="none" w:sz="0" w:space="0" w:color="auto"/>
                        <w:bottom w:val="none" w:sz="0" w:space="0" w:color="auto"/>
                        <w:right w:val="none" w:sz="0" w:space="0" w:color="auto"/>
                      </w:divBdr>
                    </w:div>
                  </w:divsChild>
                </w:div>
                <w:div w:id="433942719">
                  <w:marLeft w:val="0"/>
                  <w:marRight w:val="0"/>
                  <w:marTop w:val="0"/>
                  <w:marBottom w:val="0"/>
                  <w:divBdr>
                    <w:top w:val="none" w:sz="0" w:space="0" w:color="auto"/>
                    <w:left w:val="none" w:sz="0" w:space="0" w:color="auto"/>
                    <w:bottom w:val="none" w:sz="0" w:space="0" w:color="auto"/>
                    <w:right w:val="none" w:sz="0" w:space="0" w:color="auto"/>
                  </w:divBdr>
                  <w:divsChild>
                    <w:div w:id="387728876">
                      <w:marLeft w:val="0"/>
                      <w:marRight w:val="0"/>
                      <w:marTop w:val="0"/>
                      <w:marBottom w:val="0"/>
                      <w:divBdr>
                        <w:top w:val="none" w:sz="0" w:space="0" w:color="auto"/>
                        <w:left w:val="none" w:sz="0" w:space="0" w:color="auto"/>
                        <w:bottom w:val="none" w:sz="0" w:space="0" w:color="auto"/>
                        <w:right w:val="none" w:sz="0" w:space="0" w:color="auto"/>
                      </w:divBdr>
                    </w:div>
                  </w:divsChild>
                </w:div>
                <w:div w:id="444349620">
                  <w:marLeft w:val="0"/>
                  <w:marRight w:val="0"/>
                  <w:marTop w:val="0"/>
                  <w:marBottom w:val="0"/>
                  <w:divBdr>
                    <w:top w:val="none" w:sz="0" w:space="0" w:color="auto"/>
                    <w:left w:val="none" w:sz="0" w:space="0" w:color="auto"/>
                    <w:bottom w:val="none" w:sz="0" w:space="0" w:color="auto"/>
                    <w:right w:val="none" w:sz="0" w:space="0" w:color="auto"/>
                  </w:divBdr>
                  <w:divsChild>
                    <w:div w:id="1039820471">
                      <w:marLeft w:val="0"/>
                      <w:marRight w:val="0"/>
                      <w:marTop w:val="0"/>
                      <w:marBottom w:val="0"/>
                      <w:divBdr>
                        <w:top w:val="none" w:sz="0" w:space="0" w:color="auto"/>
                        <w:left w:val="none" w:sz="0" w:space="0" w:color="auto"/>
                        <w:bottom w:val="none" w:sz="0" w:space="0" w:color="auto"/>
                        <w:right w:val="none" w:sz="0" w:space="0" w:color="auto"/>
                      </w:divBdr>
                    </w:div>
                  </w:divsChild>
                </w:div>
                <w:div w:id="447623485">
                  <w:marLeft w:val="0"/>
                  <w:marRight w:val="0"/>
                  <w:marTop w:val="0"/>
                  <w:marBottom w:val="0"/>
                  <w:divBdr>
                    <w:top w:val="none" w:sz="0" w:space="0" w:color="auto"/>
                    <w:left w:val="none" w:sz="0" w:space="0" w:color="auto"/>
                    <w:bottom w:val="none" w:sz="0" w:space="0" w:color="auto"/>
                    <w:right w:val="none" w:sz="0" w:space="0" w:color="auto"/>
                  </w:divBdr>
                  <w:divsChild>
                    <w:div w:id="1366296701">
                      <w:marLeft w:val="0"/>
                      <w:marRight w:val="0"/>
                      <w:marTop w:val="0"/>
                      <w:marBottom w:val="0"/>
                      <w:divBdr>
                        <w:top w:val="none" w:sz="0" w:space="0" w:color="auto"/>
                        <w:left w:val="none" w:sz="0" w:space="0" w:color="auto"/>
                        <w:bottom w:val="none" w:sz="0" w:space="0" w:color="auto"/>
                        <w:right w:val="none" w:sz="0" w:space="0" w:color="auto"/>
                      </w:divBdr>
                    </w:div>
                  </w:divsChild>
                </w:div>
                <w:div w:id="484981233">
                  <w:marLeft w:val="0"/>
                  <w:marRight w:val="0"/>
                  <w:marTop w:val="0"/>
                  <w:marBottom w:val="0"/>
                  <w:divBdr>
                    <w:top w:val="none" w:sz="0" w:space="0" w:color="auto"/>
                    <w:left w:val="none" w:sz="0" w:space="0" w:color="auto"/>
                    <w:bottom w:val="none" w:sz="0" w:space="0" w:color="auto"/>
                    <w:right w:val="none" w:sz="0" w:space="0" w:color="auto"/>
                  </w:divBdr>
                  <w:divsChild>
                    <w:div w:id="53623109">
                      <w:marLeft w:val="0"/>
                      <w:marRight w:val="0"/>
                      <w:marTop w:val="0"/>
                      <w:marBottom w:val="0"/>
                      <w:divBdr>
                        <w:top w:val="none" w:sz="0" w:space="0" w:color="auto"/>
                        <w:left w:val="none" w:sz="0" w:space="0" w:color="auto"/>
                        <w:bottom w:val="none" w:sz="0" w:space="0" w:color="auto"/>
                        <w:right w:val="none" w:sz="0" w:space="0" w:color="auto"/>
                      </w:divBdr>
                    </w:div>
                  </w:divsChild>
                </w:div>
                <w:div w:id="491457776">
                  <w:marLeft w:val="0"/>
                  <w:marRight w:val="0"/>
                  <w:marTop w:val="0"/>
                  <w:marBottom w:val="0"/>
                  <w:divBdr>
                    <w:top w:val="none" w:sz="0" w:space="0" w:color="auto"/>
                    <w:left w:val="none" w:sz="0" w:space="0" w:color="auto"/>
                    <w:bottom w:val="none" w:sz="0" w:space="0" w:color="auto"/>
                    <w:right w:val="none" w:sz="0" w:space="0" w:color="auto"/>
                  </w:divBdr>
                  <w:divsChild>
                    <w:div w:id="1086027591">
                      <w:marLeft w:val="0"/>
                      <w:marRight w:val="0"/>
                      <w:marTop w:val="0"/>
                      <w:marBottom w:val="0"/>
                      <w:divBdr>
                        <w:top w:val="none" w:sz="0" w:space="0" w:color="auto"/>
                        <w:left w:val="none" w:sz="0" w:space="0" w:color="auto"/>
                        <w:bottom w:val="none" w:sz="0" w:space="0" w:color="auto"/>
                        <w:right w:val="none" w:sz="0" w:space="0" w:color="auto"/>
                      </w:divBdr>
                    </w:div>
                  </w:divsChild>
                </w:div>
                <w:div w:id="501941465">
                  <w:marLeft w:val="0"/>
                  <w:marRight w:val="0"/>
                  <w:marTop w:val="0"/>
                  <w:marBottom w:val="0"/>
                  <w:divBdr>
                    <w:top w:val="none" w:sz="0" w:space="0" w:color="auto"/>
                    <w:left w:val="none" w:sz="0" w:space="0" w:color="auto"/>
                    <w:bottom w:val="none" w:sz="0" w:space="0" w:color="auto"/>
                    <w:right w:val="none" w:sz="0" w:space="0" w:color="auto"/>
                  </w:divBdr>
                  <w:divsChild>
                    <w:div w:id="677075695">
                      <w:marLeft w:val="0"/>
                      <w:marRight w:val="0"/>
                      <w:marTop w:val="0"/>
                      <w:marBottom w:val="0"/>
                      <w:divBdr>
                        <w:top w:val="none" w:sz="0" w:space="0" w:color="auto"/>
                        <w:left w:val="none" w:sz="0" w:space="0" w:color="auto"/>
                        <w:bottom w:val="none" w:sz="0" w:space="0" w:color="auto"/>
                        <w:right w:val="none" w:sz="0" w:space="0" w:color="auto"/>
                      </w:divBdr>
                    </w:div>
                  </w:divsChild>
                </w:div>
                <w:div w:id="507332455">
                  <w:marLeft w:val="0"/>
                  <w:marRight w:val="0"/>
                  <w:marTop w:val="0"/>
                  <w:marBottom w:val="0"/>
                  <w:divBdr>
                    <w:top w:val="none" w:sz="0" w:space="0" w:color="auto"/>
                    <w:left w:val="none" w:sz="0" w:space="0" w:color="auto"/>
                    <w:bottom w:val="none" w:sz="0" w:space="0" w:color="auto"/>
                    <w:right w:val="none" w:sz="0" w:space="0" w:color="auto"/>
                  </w:divBdr>
                  <w:divsChild>
                    <w:div w:id="1399085780">
                      <w:marLeft w:val="0"/>
                      <w:marRight w:val="0"/>
                      <w:marTop w:val="0"/>
                      <w:marBottom w:val="0"/>
                      <w:divBdr>
                        <w:top w:val="none" w:sz="0" w:space="0" w:color="auto"/>
                        <w:left w:val="none" w:sz="0" w:space="0" w:color="auto"/>
                        <w:bottom w:val="none" w:sz="0" w:space="0" w:color="auto"/>
                        <w:right w:val="none" w:sz="0" w:space="0" w:color="auto"/>
                      </w:divBdr>
                    </w:div>
                  </w:divsChild>
                </w:div>
                <w:div w:id="514223139">
                  <w:marLeft w:val="0"/>
                  <w:marRight w:val="0"/>
                  <w:marTop w:val="0"/>
                  <w:marBottom w:val="0"/>
                  <w:divBdr>
                    <w:top w:val="none" w:sz="0" w:space="0" w:color="auto"/>
                    <w:left w:val="none" w:sz="0" w:space="0" w:color="auto"/>
                    <w:bottom w:val="none" w:sz="0" w:space="0" w:color="auto"/>
                    <w:right w:val="none" w:sz="0" w:space="0" w:color="auto"/>
                  </w:divBdr>
                  <w:divsChild>
                    <w:div w:id="211620776">
                      <w:marLeft w:val="0"/>
                      <w:marRight w:val="0"/>
                      <w:marTop w:val="0"/>
                      <w:marBottom w:val="0"/>
                      <w:divBdr>
                        <w:top w:val="none" w:sz="0" w:space="0" w:color="auto"/>
                        <w:left w:val="none" w:sz="0" w:space="0" w:color="auto"/>
                        <w:bottom w:val="none" w:sz="0" w:space="0" w:color="auto"/>
                        <w:right w:val="none" w:sz="0" w:space="0" w:color="auto"/>
                      </w:divBdr>
                    </w:div>
                  </w:divsChild>
                </w:div>
                <w:div w:id="539785204">
                  <w:marLeft w:val="0"/>
                  <w:marRight w:val="0"/>
                  <w:marTop w:val="0"/>
                  <w:marBottom w:val="0"/>
                  <w:divBdr>
                    <w:top w:val="none" w:sz="0" w:space="0" w:color="auto"/>
                    <w:left w:val="none" w:sz="0" w:space="0" w:color="auto"/>
                    <w:bottom w:val="none" w:sz="0" w:space="0" w:color="auto"/>
                    <w:right w:val="none" w:sz="0" w:space="0" w:color="auto"/>
                  </w:divBdr>
                  <w:divsChild>
                    <w:div w:id="28070158">
                      <w:marLeft w:val="0"/>
                      <w:marRight w:val="0"/>
                      <w:marTop w:val="0"/>
                      <w:marBottom w:val="0"/>
                      <w:divBdr>
                        <w:top w:val="none" w:sz="0" w:space="0" w:color="auto"/>
                        <w:left w:val="none" w:sz="0" w:space="0" w:color="auto"/>
                        <w:bottom w:val="none" w:sz="0" w:space="0" w:color="auto"/>
                        <w:right w:val="none" w:sz="0" w:space="0" w:color="auto"/>
                      </w:divBdr>
                    </w:div>
                  </w:divsChild>
                </w:div>
                <w:div w:id="540560073">
                  <w:marLeft w:val="0"/>
                  <w:marRight w:val="0"/>
                  <w:marTop w:val="0"/>
                  <w:marBottom w:val="0"/>
                  <w:divBdr>
                    <w:top w:val="none" w:sz="0" w:space="0" w:color="auto"/>
                    <w:left w:val="none" w:sz="0" w:space="0" w:color="auto"/>
                    <w:bottom w:val="none" w:sz="0" w:space="0" w:color="auto"/>
                    <w:right w:val="none" w:sz="0" w:space="0" w:color="auto"/>
                  </w:divBdr>
                  <w:divsChild>
                    <w:div w:id="1947035683">
                      <w:marLeft w:val="0"/>
                      <w:marRight w:val="0"/>
                      <w:marTop w:val="0"/>
                      <w:marBottom w:val="0"/>
                      <w:divBdr>
                        <w:top w:val="none" w:sz="0" w:space="0" w:color="auto"/>
                        <w:left w:val="none" w:sz="0" w:space="0" w:color="auto"/>
                        <w:bottom w:val="none" w:sz="0" w:space="0" w:color="auto"/>
                        <w:right w:val="none" w:sz="0" w:space="0" w:color="auto"/>
                      </w:divBdr>
                    </w:div>
                  </w:divsChild>
                </w:div>
                <w:div w:id="545145730">
                  <w:marLeft w:val="0"/>
                  <w:marRight w:val="0"/>
                  <w:marTop w:val="0"/>
                  <w:marBottom w:val="0"/>
                  <w:divBdr>
                    <w:top w:val="none" w:sz="0" w:space="0" w:color="auto"/>
                    <w:left w:val="none" w:sz="0" w:space="0" w:color="auto"/>
                    <w:bottom w:val="none" w:sz="0" w:space="0" w:color="auto"/>
                    <w:right w:val="none" w:sz="0" w:space="0" w:color="auto"/>
                  </w:divBdr>
                  <w:divsChild>
                    <w:div w:id="338889349">
                      <w:marLeft w:val="0"/>
                      <w:marRight w:val="0"/>
                      <w:marTop w:val="0"/>
                      <w:marBottom w:val="0"/>
                      <w:divBdr>
                        <w:top w:val="none" w:sz="0" w:space="0" w:color="auto"/>
                        <w:left w:val="none" w:sz="0" w:space="0" w:color="auto"/>
                        <w:bottom w:val="none" w:sz="0" w:space="0" w:color="auto"/>
                        <w:right w:val="none" w:sz="0" w:space="0" w:color="auto"/>
                      </w:divBdr>
                    </w:div>
                  </w:divsChild>
                </w:div>
                <w:div w:id="547299706">
                  <w:marLeft w:val="0"/>
                  <w:marRight w:val="0"/>
                  <w:marTop w:val="0"/>
                  <w:marBottom w:val="0"/>
                  <w:divBdr>
                    <w:top w:val="none" w:sz="0" w:space="0" w:color="auto"/>
                    <w:left w:val="none" w:sz="0" w:space="0" w:color="auto"/>
                    <w:bottom w:val="none" w:sz="0" w:space="0" w:color="auto"/>
                    <w:right w:val="none" w:sz="0" w:space="0" w:color="auto"/>
                  </w:divBdr>
                  <w:divsChild>
                    <w:div w:id="478813567">
                      <w:marLeft w:val="0"/>
                      <w:marRight w:val="0"/>
                      <w:marTop w:val="0"/>
                      <w:marBottom w:val="0"/>
                      <w:divBdr>
                        <w:top w:val="none" w:sz="0" w:space="0" w:color="auto"/>
                        <w:left w:val="none" w:sz="0" w:space="0" w:color="auto"/>
                        <w:bottom w:val="none" w:sz="0" w:space="0" w:color="auto"/>
                        <w:right w:val="none" w:sz="0" w:space="0" w:color="auto"/>
                      </w:divBdr>
                    </w:div>
                  </w:divsChild>
                </w:div>
                <w:div w:id="549270387">
                  <w:marLeft w:val="0"/>
                  <w:marRight w:val="0"/>
                  <w:marTop w:val="0"/>
                  <w:marBottom w:val="0"/>
                  <w:divBdr>
                    <w:top w:val="none" w:sz="0" w:space="0" w:color="auto"/>
                    <w:left w:val="none" w:sz="0" w:space="0" w:color="auto"/>
                    <w:bottom w:val="none" w:sz="0" w:space="0" w:color="auto"/>
                    <w:right w:val="none" w:sz="0" w:space="0" w:color="auto"/>
                  </w:divBdr>
                  <w:divsChild>
                    <w:div w:id="177276285">
                      <w:marLeft w:val="0"/>
                      <w:marRight w:val="0"/>
                      <w:marTop w:val="0"/>
                      <w:marBottom w:val="0"/>
                      <w:divBdr>
                        <w:top w:val="none" w:sz="0" w:space="0" w:color="auto"/>
                        <w:left w:val="none" w:sz="0" w:space="0" w:color="auto"/>
                        <w:bottom w:val="none" w:sz="0" w:space="0" w:color="auto"/>
                        <w:right w:val="none" w:sz="0" w:space="0" w:color="auto"/>
                      </w:divBdr>
                    </w:div>
                  </w:divsChild>
                </w:div>
                <w:div w:id="565187590">
                  <w:marLeft w:val="0"/>
                  <w:marRight w:val="0"/>
                  <w:marTop w:val="0"/>
                  <w:marBottom w:val="0"/>
                  <w:divBdr>
                    <w:top w:val="none" w:sz="0" w:space="0" w:color="auto"/>
                    <w:left w:val="none" w:sz="0" w:space="0" w:color="auto"/>
                    <w:bottom w:val="none" w:sz="0" w:space="0" w:color="auto"/>
                    <w:right w:val="none" w:sz="0" w:space="0" w:color="auto"/>
                  </w:divBdr>
                  <w:divsChild>
                    <w:div w:id="1284262314">
                      <w:marLeft w:val="0"/>
                      <w:marRight w:val="0"/>
                      <w:marTop w:val="0"/>
                      <w:marBottom w:val="0"/>
                      <w:divBdr>
                        <w:top w:val="none" w:sz="0" w:space="0" w:color="auto"/>
                        <w:left w:val="none" w:sz="0" w:space="0" w:color="auto"/>
                        <w:bottom w:val="none" w:sz="0" w:space="0" w:color="auto"/>
                        <w:right w:val="none" w:sz="0" w:space="0" w:color="auto"/>
                      </w:divBdr>
                    </w:div>
                  </w:divsChild>
                </w:div>
                <w:div w:id="566182888">
                  <w:marLeft w:val="0"/>
                  <w:marRight w:val="0"/>
                  <w:marTop w:val="0"/>
                  <w:marBottom w:val="0"/>
                  <w:divBdr>
                    <w:top w:val="none" w:sz="0" w:space="0" w:color="auto"/>
                    <w:left w:val="none" w:sz="0" w:space="0" w:color="auto"/>
                    <w:bottom w:val="none" w:sz="0" w:space="0" w:color="auto"/>
                    <w:right w:val="none" w:sz="0" w:space="0" w:color="auto"/>
                  </w:divBdr>
                  <w:divsChild>
                    <w:div w:id="718670793">
                      <w:marLeft w:val="0"/>
                      <w:marRight w:val="0"/>
                      <w:marTop w:val="0"/>
                      <w:marBottom w:val="0"/>
                      <w:divBdr>
                        <w:top w:val="none" w:sz="0" w:space="0" w:color="auto"/>
                        <w:left w:val="none" w:sz="0" w:space="0" w:color="auto"/>
                        <w:bottom w:val="none" w:sz="0" w:space="0" w:color="auto"/>
                        <w:right w:val="none" w:sz="0" w:space="0" w:color="auto"/>
                      </w:divBdr>
                    </w:div>
                  </w:divsChild>
                </w:div>
                <w:div w:id="569467611">
                  <w:marLeft w:val="0"/>
                  <w:marRight w:val="0"/>
                  <w:marTop w:val="0"/>
                  <w:marBottom w:val="0"/>
                  <w:divBdr>
                    <w:top w:val="none" w:sz="0" w:space="0" w:color="auto"/>
                    <w:left w:val="none" w:sz="0" w:space="0" w:color="auto"/>
                    <w:bottom w:val="none" w:sz="0" w:space="0" w:color="auto"/>
                    <w:right w:val="none" w:sz="0" w:space="0" w:color="auto"/>
                  </w:divBdr>
                  <w:divsChild>
                    <w:div w:id="22904261">
                      <w:marLeft w:val="0"/>
                      <w:marRight w:val="0"/>
                      <w:marTop w:val="0"/>
                      <w:marBottom w:val="0"/>
                      <w:divBdr>
                        <w:top w:val="none" w:sz="0" w:space="0" w:color="auto"/>
                        <w:left w:val="none" w:sz="0" w:space="0" w:color="auto"/>
                        <w:bottom w:val="none" w:sz="0" w:space="0" w:color="auto"/>
                        <w:right w:val="none" w:sz="0" w:space="0" w:color="auto"/>
                      </w:divBdr>
                    </w:div>
                  </w:divsChild>
                </w:div>
                <w:div w:id="570312746">
                  <w:marLeft w:val="0"/>
                  <w:marRight w:val="0"/>
                  <w:marTop w:val="0"/>
                  <w:marBottom w:val="0"/>
                  <w:divBdr>
                    <w:top w:val="none" w:sz="0" w:space="0" w:color="auto"/>
                    <w:left w:val="none" w:sz="0" w:space="0" w:color="auto"/>
                    <w:bottom w:val="none" w:sz="0" w:space="0" w:color="auto"/>
                    <w:right w:val="none" w:sz="0" w:space="0" w:color="auto"/>
                  </w:divBdr>
                  <w:divsChild>
                    <w:div w:id="264847709">
                      <w:marLeft w:val="0"/>
                      <w:marRight w:val="0"/>
                      <w:marTop w:val="0"/>
                      <w:marBottom w:val="0"/>
                      <w:divBdr>
                        <w:top w:val="none" w:sz="0" w:space="0" w:color="auto"/>
                        <w:left w:val="none" w:sz="0" w:space="0" w:color="auto"/>
                        <w:bottom w:val="none" w:sz="0" w:space="0" w:color="auto"/>
                        <w:right w:val="none" w:sz="0" w:space="0" w:color="auto"/>
                      </w:divBdr>
                    </w:div>
                  </w:divsChild>
                </w:div>
                <w:div w:id="570889971">
                  <w:marLeft w:val="0"/>
                  <w:marRight w:val="0"/>
                  <w:marTop w:val="0"/>
                  <w:marBottom w:val="0"/>
                  <w:divBdr>
                    <w:top w:val="none" w:sz="0" w:space="0" w:color="auto"/>
                    <w:left w:val="none" w:sz="0" w:space="0" w:color="auto"/>
                    <w:bottom w:val="none" w:sz="0" w:space="0" w:color="auto"/>
                    <w:right w:val="none" w:sz="0" w:space="0" w:color="auto"/>
                  </w:divBdr>
                  <w:divsChild>
                    <w:div w:id="8797252">
                      <w:marLeft w:val="0"/>
                      <w:marRight w:val="0"/>
                      <w:marTop w:val="0"/>
                      <w:marBottom w:val="0"/>
                      <w:divBdr>
                        <w:top w:val="none" w:sz="0" w:space="0" w:color="auto"/>
                        <w:left w:val="none" w:sz="0" w:space="0" w:color="auto"/>
                        <w:bottom w:val="none" w:sz="0" w:space="0" w:color="auto"/>
                        <w:right w:val="none" w:sz="0" w:space="0" w:color="auto"/>
                      </w:divBdr>
                    </w:div>
                  </w:divsChild>
                </w:div>
                <w:div w:id="582374917">
                  <w:marLeft w:val="0"/>
                  <w:marRight w:val="0"/>
                  <w:marTop w:val="0"/>
                  <w:marBottom w:val="0"/>
                  <w:divBdr>
                    <w:top w:val="none" w:sz="0" w:space="0" w:color="auto"/>
                    <w:left w:val="none" w:sz="0" w:space="0" w:color="auto"/>
                    <w:bottom w:val="none" w:sz="0" w:space="0" w:color="auto"/>
                    <w:right w:val="none" w:sz="0" w:space="0" w:color="auto"/>
                  </w:divBdr>
                  <w:divsChild>
                    <w:div w:id="2129473093">
                      <w:marLeft w:val="0"/>
                      <w:marRight w:val="0"/>
                      <w:marTop w:val="0"/>
                      <w:marBottom w:val="0"/>
                      <w:divBdr>
                        <w:top w:val="none" w:sz="0" w:space="0" w:color="auto"/>
                        <w:left w:val="none" w:sz="0" w:space="0" w:color="auto"/>
                        <w:bottom w:val="none" w:sz="0" w:space="0" w:color="auto"/>
                        <w:right w:val="none" w:sz="0" w:space="0" w:color="auto"/>
                      </w:divBdr>
                    </w:div>
                  </w:divsChild>
                </w:div>
                <w:div w:id="582684499">
                  <w:marLeft w:val="0"/>
                  <w:marRight w:val="0"/>
                  <w:marTop w:val="0"/>
                  <w:marBottom w:val="0"/>
                  <w:divBdr>
                    <w:top w:val="none" w:sz="0" w:space="0" w:color="auto"/>
                    <w:left w:val="none" w:sz="0" w:space="0" w:color="auto"/>
                    <w:bottom w:val="none" w:sz="0" w:space="0" w:color="auto"/>
                    <w:right w:val="none" w:sz="0" w:space="0" w:color="auto"/>
                  </w:divBdr>
                  <w:divsChild>
                    <w:div w:id="96562394">
                      <w:marLeft w:val="0"/>
                      <w:marRight w:val="0"/>
                      <w:marTop w:val="0"/>
                      <w:marBottom w:val="0"/>
                      <w:divBdr>
                        <w:top w:val="none" w:sz="0" w:space="0" w:color="auto"/>
                        <w:left w:val="none" w:sz="0" w:space="0" w:color="auto"/>
                        <w:bottom w:val="none" w:sz="0" w:space="0" w:color="auto"/>
                        <w:right w:val="none" w:sz="0" w:space="0" w:color="auto"/>
                      </w:divBdr>
                    </w:div>
                  </w:divsChild>
                </w:div>
                <w:div w:id="612327708">
                  <w:marLeft w:val="0"/>
                  <w:marRight w:val="0"/>
                  <w:marTop w:val="0"/>
                  <w:marBottom w:val="0"/>
                  <w:divBdr>
                    <w:top w:val="none" w:sz="0" w:space="0" w:color="auto"/>
                    <w:left w:val="none" w:sz="0" w:space="0" w:color="auto"/>
                    <w:bottom w:val="none" w:sz="0" w:space="0" w:color="auto"/>
                    <w:right w:val="none" w:sz="0" w:space="0" w:color="auto"/>
                  </w:divBdr>
                  <w:divsChild>
                    <w:div w:id="542333409">
                      <w:marLeft w:val="0"/>
                      <w:marRight w:val="0"/>
                      <w:marTop w:val="0"/>
                      <w:marBottom w:val="0"/>
                      <w:divBdr>
                        <w:top w:val="none" w:sz="0" w:space="0" w:color="auto"/>
                        <w:left w:val="none" w:sz="0" w:space="0" w:color="auto"/>
                        <w:bottom w:val="none" w:sz="0" w:space="0" w:color="auto"/>
                        <w:right w:val="none" w:sz="0" w:space="0" w:color="auto"/>
                      </w:divBdr>
                    </w:div>
                  </w:divsChild>
                </w:div>
                <w:div w:id="614026067">
                  <w:marLeft w:val="0"/>
                  <w:marRight w:val="0"/>
                  <w:marTop w:val="0"/>
                  <w:marBottom w:val="0"/>
                  <w:divBdr>
                    <w:top w:val="none" w:sz="0" w:space="0" w:color="auto"/>
                    <w:left w:val="none" w:sz="0" w:space="0" w:color="auto"/>
                    <w:bottom w:val="none" w:sz="0" w:space="0" w:color="auto"/>
                    <w:right w:val="none" w:sz="0" w:space="0" w:color="auto"/>
                  </w:divBdr>
                  <w:divsChild>
                    <w:div w:id="1541934899">
                      <w:marLeft w:val="0"/>
                      <w:marRight w:val="0"/>
                      <w:marTop w:val="0"/>
                      <w:marBottom w:val="0"/>
                      <w:divBdr>
                        <w:top w:val="none" w:sz="0" w:space="0" w:color="auto"/>
                        <w:left w:val="none" w:sz="0" w:space="0" w:color="auto"/>
                        <w:bottom w:val="none" w:sz="0" w:space="0" w:color="auto"/>
                        <w:right w:val="none" w:sz="0" w:space="0" w:color="auto"/>
                      </w:divBdr>
                    </w:div>
                  </w:divsChild>
                </w:div>
                <w:div w:id="620303834">
                  <w:marLeft w:val="0"/>
                  <w:marRight w:val="0"/>
                  <w:marTop w:val="0"/>
                  <w:marBottom w:val="0"/>
                  <w:divBdr>
                    <w:top w:val="none" w:sz="0" w:space="0" w:color="auto"/>
                    <w:left w:val="none" w:sz="0" w:space="0" w:color="auto"/>
                    <w:bottom w:val="none" w:sz="0" w:space="0" w:color="auto"/>
                    <w:right w:val="none" w:sz="0" w:space="0" w:color="auto"/>
                  </w:divBdr>
                  <w:divsChild>
                    <w:div w:id="1780640122">
                      <w:marLeft w:val="0"/>
                      <w:marRight w:val="0"/>
                      <w:marTop w:val="0"/>
                      <w:marBottom w:val="0"/>
                      <w:divBdr>
                        <w:top w:val="none" w:sz="0" w:space="0" w:color="auto"/>
                        <w:left w:val="none" w:sz="0" w:space="0" w:color="auto"/>
                        <w:bottom w:val="none" w:sz="0" w:space="0" w:color="auto"/>
                        <w:right w:val="none" w:sz="0" w:space="0" w:color="auto"/>
                      </w:divBdr>
                    </w:div>
                  </w:divsChild>
                </w:div>
                <w:div w:id="621039849">
                  <w:marLeft w:val="0"/>
                  <w:marRight w:val="0"/>
                  <w:marTop w:val="0"/>
                  <w:marBottom w:val="0"/>
                  <w:divBdr>
                    <w:top w:val="none" w:sz="0" w:space="0" w:color="auto"/>
                    <w:left w:val="none" w:sz="0" w:space="0" w:color="auto"/>
                    <w:bottom w:val="none" w:sz="0" w:space="0" w:color="auto"/>
                    <w:right w:val="none" w:sz="0" w:space="0" w:color="auto"/>
                  </w:divBdr>
                  <w:divsChild>
                    <w:div w:id="252977969">
                      <w:marLeft w:val="0"/>
                      <w:marRight w:val="0"/>
                      <w:marTop w:val="0"/>
                      <w:marBottom w:val="0"/>
                      <w:divBdr>
                        <w:top w:val="none" w:sz="0" w:space="0" w:color="auto"/>
                        <w:left w:val="none" w:sz="0" w:space="0" w:color="auto"/>
                        <w:bottom w:val="none" w:sz="0" w:space="0" w:color="auto"/>
                        <w:right w:val="none" w:sz="0" w:space="0" w:color="auto"/>
                      </w:divBdr>
                    </w:div>
                  </w:divsChild>
                </w:div>
                <w:div w:id="623343839">
                  <w:marLeft w:val="0"/>
                  <w:marRight w:val="0"/>
                  <w:marTop w:val="0"/>
                  <w:marBottom w:val="0"/>
                  <w:divBdr>
                    <w:top w:val="none" w:sz="0" w:space="0" w:color="auto"/>
                    <w:left w:val="none" w:sz="0" w:space="0" w:color="auto"/>
                    <w:bottom w:val="none" w:sz="0" w:space="0" w:color="auto"/>
                    <w:right w:val="none" w:sz="0" w:space="0" w:color="auto"/>
                  </w:divBdr>
                  <w:divsChild>
                    <w:div w:id="22246346">
                      <w:marLeft w:val="0"/>
                      <w:marRight w:val="0"/>
                      <w:marTop w:val="0"/>
                      <w:marBottom w:val="0"/>
                      <w:divBdr>
                        <w:top w:val="none" w:sz="0" w:space="0" w:color="auto"/>
                        <w:left w:val="none" w:sz="0" w:space="0" w:color="auto"/>
                        <w:bottom w:val="none" w:sz="0" w:space="0" w:color="auto"/>
                        <w:right w:val="none" w:sz="0" w:space="0" w:color="auto"/>
                      </w:divBdr>
                    </w:div>
                  </w:divsChild>
                </w:div>
                <w:div w:id="627399735">
                  <w:marLeft w:val="0"/>
                  <w:marRight w:val="0"/>
                  <w:marTop w:val="0"/>
                  <w:marBottom w:val="0"/>
                  <w:divBdr>
                    <w:top w:val="none" w:sz="0" w:space="0" w:color="auto"/>
                    <w:left w:val="none" w:sz="0" w:space="0" w:color="auto"/>
                    <w:bottom w:val="none" w:sz="0" w:space="0" w:color="auto"/>
                    <w:right w:val="none" w:sz="0" w:space="0" w:color="auto"/>
                  </w:divBdr>
                  <w:divsChild>
                    <w:div w:id="1081834739">
                      <w:marLeft w:val="0"/>
                      <w:marRight w:val="0"/>
                      <w:marTop w:val="0"/>
                      <w:marBottom w:val="0"/>
                      <w:divBdr>
                        <w:top w:val="none" w:sz="0" w:space="0" w:color="auto"/>
                        <w:left w:val="none" w:sz="0" w:space="0" w:color="auto"/>
                        <w:bottom w:val="none" w:sz="0" w:space="0" w:color="auto"/>
                        <w:right w:val="none" w:sz="0" w:space="0" w:color="auto"/>
                      </w:divBdr>
                    </w:div>
                  </w:divsChild>
                </w:div>
                <w:div w:id="643315730">
                  <w:marLeft w:val="0"/>
                  <w:marRight w:val="0"/>
                  <w:marTop w:val="0"/>
                  <w:marBottom w:val="0"/>
                  <w:divBdr>
                    <w:top w:val="none" w:sz="0" w:space="0" w:color="auto"/>
                    <w:left w:val="none" w:sz="0" w:space="0" w:color="auto"/>
                    <w:bottom w:val="none" w:sz="0" w:space="0" w:color="auto"/>
                    <w:right w:val="none" w:sz="0" w:space="0" w:color="auto"/>
                  </w:divBdr>
                  <w:divsChild>
                    <w:div w:id="1515998488">
                      <w:marLeft w:val="0"/>
                      <w:marRight w:val="0"/>
                      <w:marTop w:val="0"/>
                      <w:marBottom w:val="0"/>
                      <w:divBdr>
                        <w:top w:val="none" w:sz="0" w:space="0" w:color="auto"/>
                        <w:left w:val="none" w:sz="0" w:space="0" w:color="auto"/>
                        <w:bottom w:val="none" w:sz="0" w:space="0" w:color="auto"/>
                        <w:right w:val="none" w:sz="0" w:space="0" w:color="auto"/>
                      </w:divBdr>
                    </w:div>
                  </w:divsChild>
                </w:div>
                <w:div w:id="650643861">
                  <w:marLeft w:val="0"/>
                  <w:marRight w:val="0"/>
                  <w:marTop w:val="0"/>
                  <w:marBottom w:val="0"/>
                  <w:divBdr>
                    <w:top w:val="none" w:sz="0" w:space="0" w:color="auto"/>
                    <w:left w:val="none" w:sz="0" w:space="0" w:color="auto"/>
                    <w:bottom w:val="none" w:sz="0" w:space="0" w:color="auto"/>
                    <w:right w:val="none" w:sz="0" w:space="0" w:color="auto"/>
                  </w:divBdr>
                  <w:divsChild>
                    <w:div w:id="1574730241">
                      <w:marLeft w:val="0"/>
                      <w:marRight w:val="0"/>
                      <w:marTop w:val="0"/>
                      <w:marBottom w:val="0"/>
                      <w:divBdr>
                        <w:top w:val="none" w:sz="0" w:space="0" w:color="auto"/>
                        <w:left w:val="none" w:sz="0" w:space="0" w:color="auto"/>
                        <w:bottom w:val="none" w:sz="0" w:space="0" w:color="auto"/>
                        <w:right w:val="none" w:sz="0" w:space="0" w:color="auto"/>
                      </w:divBdr>
                    </w:div>
                  </w:divsChild>
                </w:div>
                <w:div w:id="651954865">
                  <w:marLeft w:val="0"/>
                  <w:marRight w:val="0"/>
                  <w:marTop w:val="0"/>
                  <w:marBottom w:val="0"/>
                  <w:divBdr>
                    <w:top w:val="none" w:sz="0" w:space="0" w:color="auto"/>
                    <w:left w:val="none" w:sz="0" w:space="0" w:color="auto"/>
                    <w:bottom w:val="none" w:sz="0" w:space="0" w:color="auto"/>
                    <w:right w:val="none" w:sz="0" w:space="0" w:color="auto"/>
                  </w:divBdr>
                  <w:divsChild>
                    <w:div w:id="676463297">
                      <w:marLeft w:val="0"/>
                      <w:marRight w:val="0"/>
                      <w:marTop w:val="0"/>
                      <w:marBottom w:val="0"/>
                      <w:divBdr>
                        <w:top w:val="none" w:sz="0" w:space="0" w:color="auto"/>
                        <w:left w:val="none" w:sz="0" w:space="0" w:color="auto"/>
                        <w:bottom w:val="none" w:sz="0" w:space="0" w:color="auto"/>
                        <w:right w:val="none" w:sz="0" w:space="0" w:color="auto"/>
                      </w:divBdr>
                    </w:div>
                  </w:divsChild>
                </w:div>
                <w:div w:id="653217945">
                  <w:marLeft w:val="0"/>
                  <w:marRight w:val="0"/>
                  <w:marTop w:val="0"/>
                  <w:marBottom w:val="0"/>
                  <w:divBdr>
                    <w:top w:val="none" w:sz="0" w:space="0" w:color="auto"/>
                    <w:left w:val="none" w:sz="0" w:space="0" w:color="auto"/>
                    <w:bottom w:val="none" w:sz="0" w:space="0" w:color="auto"/>
                    <w:right w:val="none" w:sz="0" w:space="0" w:color="auto"/>
                  </w:divBdr>
                  <w:divsChild>
                    <w:div w:id="1722288663">
                      <w:marLeft w:val="0"/>
                      <w:marRight w:val="0"/>
                      <w:marTop w:val="0"/>
                      <w:marBottom w:val="0"/>
                      <w:divBdr>
                        <w:top w:val="none" w:sz="0" w:space="0" w:color="auto"/>
                        <w:left w:val="none" w:sz="0" w:space="0" w:color="auto"/>
                        <w:bottom w:val="none" w:sz="0" w:space="0" w:color="auto"/>
                        <w:right w:val="none" w:sz="0" w:space="0" w:color="auto"/>
                      </w:divBdr>
                    </w:div>
                  </w:divsChild>
                </w:div>
                <w:div w:id="655574207">
                  <w:marLeft w:val="0"/>
                  <w:marRight w:val="0"/>
                  <w:marTop w:val="0"/>
                  <w:marBottom w:val="0"/>
                  <w:divBdr>
                    <w:top w:val="none" w:sz="0" w:space="0" w:color="auto"/>
                    <w:left w:val="none" w:sz="0" w:space="0" w:color="auto"/>
                    <w:bottom w:val="none" w:sz="0" w:space="0" w:color="auto"/>
                    <w:right w:val="none" w:sz="0" w:space="0" w:color="auto"/>
                  </w:divBdr>
                  <w:divsChild>
                    <w:div w:id="599608900">
                      <w:marLeft w:val="0"/>
                      <w:marRight w:val="0"/>
                      <w:marTop w:val="0"/>
                      <w:marBottom w:val="0"/>
                      <w:divBdr>
                        <w:top w:val="none" w:sz="0" w:space="0" w:color="auto"/>
                        <w:left w:val="none" w:sz="0" w:space="0" w:color="auto"/>
                        <w:bottom w:val="none" w:sz="0" w:space="0" w:color="auto"/>
                        <w:right w:val="none" w:sz="0" w:space="0" w:color="auto"/>
                      </w:divBdr>
                    </w:div>
                  </w:divsChild>
                </w:div>
                <w:div w:id="662860608">
                  <w:marLeft w:val="0"/>
                  <w:marRight w:val="0"/>
                  <w:marTop w:val="0"/>
                  <w:marBottom w:val="0"/>
                  <w:divBdr>
                    <w:top w:val="none" w:sz="0" w:space="0" w:color="auto"/>
                    <w:left w:val="none" w:sz="0" w:space="0" w:color="auto"/>
                    <w:bottom w:val="none" w:sz="0" w:space="0" w:color="auto"/>
                    <w:right w:val="none" w:sz="0" w:space="0" w:color="auto"/>
                  </w:divBdr>
                  <w:divsChild>
                    <w:div w:id="1341157919">
                      <w:marLeft w:val="0"/>
                      <w:marRight w:val="0"/>
                      <w:marTop w:val="0"/>
                      <w:marBottom w:val="0"/>
                      <w:divBdr>
                        <w:top w:val="none" w:sz="0" w:space="0" w:color="auto"/>
                        <w:left w:val="none" w:sz="0" w:space="0" w:color="auto"/>
                        <w:bottom w:val="none" w:sz="0" w:space="0" w:color="auto"/>
                        <w:right w:val="none" w:sz="0" w:space="0" w:color="auto"/>
                      </w:divBdr>
                    </w:div>
                    <w:div w:id="1434324331">
                      <w:marLeft w:val="0"/>
                      <w:marRight w:val="0"/>
                      <w:marTop w:val="0"/>
                      <w:marBottom w:val="0"/>
                      <w:divBdr>
                        <w:top w:val="none" w:sz="0" w:space="0" w:color="auto"/>
                        <w:left w:val="none" w:sz="0" w:space="0" w:color="auto"/>
                        <w:bottom w:val="none" w:sz="0" w:space="0" w:color="auto"/>
                        <w:right w:val="none" w:sz="0" w:space="0" w:color="auto"/>
                      </w:divBdr>
                    </w:div>
                    <w:div w:id="1744831654">
                      <w:marLeft w:val="0"/>
                      <w:marRight w:val="0"/>
                      <w:marTop w:val="0"/>
                      <w:marBottom w:val="0"/>
                      <w:divBdr>
                        <w:top w:val="none" w:sz="0" w:space="0" w:color="auto"/>
                        <w:left w:val="none" w:sz="0" w:space="0" w:color="auto"/>
                        <w:bottom w:val="none" w:sz="0" w:space="0" w:color="auto"/>
                        <w:right w:val="none" w:sz="0" w:space="0" w:color="auto"/>
                      </w:divBdr>
                    </w:div>
                  </w:divsChild>
                </w:div>
                <w:div w:id="671875156">
                  <w:marLeft w:val="0"/>
                  <w:marRight w:val="0"/>
                  <w:marTop w:val="0"/>
                  <w:marBottom w:val="0"/>
                  <w:divBdr>
                    <w:top w:val="none" w:sz="0" w:space="0" w:color="auto"/>
                    <w:left w:val="none" w:sz="0" w:space="0" w:color="auto"/>
                    <w:bottom w:val="none" w:sz="0" w:space="0" w:color="auto"/>
                    <w:right w:val="none" w:sz="0" w:space="0" w:color="auto"/>
                  </w:divBdr>
                  <w:divsChild>
                    <w:div w:id="469980747">
                      <w:marLeft w:val="0"/>
                      <w:marRight w:val="0"/>
                      <w:marTop w:val="0"/>
                      <w:marBottom w:val="0"/>
                      <w:divBdr>
                        <w:top w:val="none" w:sz="0" w:space="0" w:color="auto"/>
                        <w:left w:val="none" w:sz="0" w:space="0" w:color="auto"/>
                        <w:bottom w:val="none" w:sz="0" w:space="0" w:color="auto"/>
                        <w:right w:val="none" w:sz="0" w:space="0" w:color="auto"/>
                      </w:divBdr>
                    </w:div>
                  </w:divsChild>
                </w:div>
                <w:div w:id="681129702">
                  <w:marLeft w:val="0"/>
                  <w:marRight w:val="0"/>
                  <w:marTop w:val="0"/>
                  <w:marBottom w:val="0"/>
                  <w:divBdr>
                    <w:top w:val="none" w:sz="0" w:space="0" w:color="auto"/>
                    <w:left w:val="none" w:sz="0" w:space="0" w:color="auto"/>
                    <w:bottom w:val="none" w:sz="0" w:space="0" w:color="auto"/>
                    <w:right w:val="none" w:sz="0" w:space="0" w:color="auto"/>
                  </w:divBdr>
                  <w:divsChild>
                    <w:div w:id="1154299425">
                      <w:marLeft w:val="0"/>
                      <w:marRight w:val="0"/>
                      <w:marTop w:val="0"/>
                      <w:marBottom w:val="0"/>
                      <w:divBdr>
                        <w:top w:val="none" w:sz="0" w:space="0" w:color="auto"/>
                        <w:left w:val="none" w:sz="0" w:space="0" w:color="auto"/>
                        <w:bottom w:val="none" w:sz="0" w:space="0" w:color="auto"/>
                        <w:right w:val="none" w:sz="0" w:space="0" w:color="auto"/>
                      </w:divBdr>
                    </w:div>
                  </w:divsChild>
                </w:div>
                <w:div w:id="683283542">
                  <w:marLeft w:val="0"/>
                  <w:marRight w:val="0"/>
                  <w:marTop w:val="0"/>
                  <w:marBottom w:val="0"/>
                  <w:divBdr>
                    <w:top w:val="none" w:sz="0" w:space="0" w:color="auto"/>
                    <w:left w:val="none" w:sz="0" w:space="0" w:color="auto"/>
                    <w:bottom w:val="none" w:sz="0" w:space="0" w:color="auto"/>
                    <w:right w:val="none" w:sz="0" w:space="0" w:color="auto"/>
                  </w:divBdr>
                  <w:divsChild>
                    <w:div w:id="678695404">
                      <w:marLeft w:val="0"/>
                      <w:marRight w:val="0"/>
                      <w:marTop w:val="0"/>
                      <w:marBottom w:val="0"/>
                      <w:divBdr>
                        <w:top w:val="none" w:sz="0" w:space="0" w:color="auto"/>
                        <w:left w:val="none" w:sz="0" w:space="0" w:color="auto"/>
                        <w:bottom w:val="none" w:sz="0" w:space="0" w:color="auto"/>
                        <w:right w:val="none" w:sz="0" w:space="0" w:color="auto"/>
                      </w:divBdr>
                    </w:div>
                  </w:divsChild>
                </w:div>
                <w:div w:id="683896991">
                  <w:marLeft w:val="0"/>
                  <w:marRight w:val="0"/>
                  <w:marTop w:val="0"/>
                  <w:marBottom w:val="0"/>
                  <w:divBdr>
                    <w:top w:val="none" w:sz="0" w:space="0" w:color="auto"/>
                    <w:left w:val="none" w:sz="0" w:space="0" w:color="auto"/>
                    <w:bottom w:val="none" w:sz="0" w:space="0" w:color="auto"/>
                    <w:right w:val="none" w:sz="0" w:space="0" w:color="auto"/>
                  </w:divBdr>
                  <w:divsChild>
                    <w:div w:id="1738359430">
                      <w:marLeft w:val="0"/>
                      <w:marRight w:val="0"/>
                      <w:marTop w:val="0"/>
                      <w:marBottom w:val="0"/>
                      <w:divBdr>
                        <w:top w:val="none" w:sz="0" w:space="0" w:color="auto"/>
                        <w:left w:val="none" w:sz="0" w:space="0" w:color="auto"/>
                        <w:bottom w:val="none" w:sz="0" w:space="0" w:color="auto"/>
                        <w:right w:val="none" w:sz="0" w:space="0" w:color="auto"/>
                      </w:divBdr>
                    </w:div>
                  </w:divsChild>
                </w:div>
                <w:div w:id="690569288">
                  <w:marLeft w:val="0"/>
                  <w:marRight w:val="0"/>
                  <w:marTop w:val="0"/>
                  <w:marBottom w:val="0"/>
                  <w:divBdr>
                    <w:top w:val="none" w:sz="0" w:space="0" w:color="auto"/>
                    <w:left w:val="none" w:sz="0" w:space="0" w:color="auto"/>
                    <w:bottom w:val="none" w:sz="0" w:space="0" w:color="auto"/>
                    <w:right w:val="none" w:sz="0" w:space="0" w:color="auto"/>
                  </w:divBdr>
                  <w:divsChild>
                    <w:div w:id="1857426488">
                      <w:marLeft w:val="0"/>
                      <w:marRight w:val="0"/>
                      <w:marTop w:val="0"/>
                      <w:marBottom w:val="0"/>
                      <w:divBdr>
                        <w:top w:val="none" w:sz="0" w:space="0" w:color="auto"/>
                        <w:left w:val="none" w:sz="0" w:space="0" w:color="auto"/>
                        <w:bottom w:val="none" w:sz="0" w:space="0" w:color="auto"/>
                        <w:right w:val="none" w:sz="0" w:space="0" w:color="auto"/>
                      </w:divBdr>
                    </w:div>
                  </w:divsChild>
                </w:div>
                <w:div w:id="694766080">
                  <w:marLeft w:val="0"/>
                  <w:marRight w:val="0"/>
                  <w:marTop w:val="0"/>
                  <w:marBottom w:val="0"/>
                  <w:divBdr>
                    <w:top w:val="none" w:sz="0" w:space="0" w:color="auto"/>
                    <w:left w:val="none" w:sz="0" w:space="0" w:color="auto"/>
                    <w:bottom w:val="none" w:sz="0" w:space="0" w:color="auto"/>
                    <w:right w:val="none" w:sz="0" w:space="0" w:color="auto"/>
                  </w:divBdr>
                  <w:divsChild>
                    <w:div w:id="1870949138">
                      <w:marLeft w:val="0"/>
                      <w:marRight w:val="0"/>
                      <w:marTop w:val="0"/>
                      <w:marBottom w:val="0"/>
                      <w:divBdr>
                        <w:top w:val="none" w:sz="0" w:space="0" w:color="auto"/>
                        <w:left w:val="none" w:sz="0" w:space="0" w:color="auto"/>
                        <w:bottom w:val="none" w:sz="0" w:space="0" w:color="auto"/>
                        <w:right w:val="none" w:sz="0" w:space="0" w:color="auto"/>
                      </w:divBdr>
                    </w:div>
                  </w:divsChild>
                </w:div>
                <w:div w:id="707026988">
                  <w:marLeft w:val="0"/>
                  <w:marRight w:val="0"/>
                  <w:marTop w:val="0"/>
                  <w:marBottom w:val="0"/>
                  <w:divBdr>
                    <w:top w:val="none" w:sz="0" w:space="0" w:color="auto"/>
                    <w:left w:val="none" w:sz="0" w:space="0" w:color="auto"/>
                    <w:bottom w:val="none" w:sz="0" w:space="0" w:color="auto"/>
                    <w:right w:val="none" w:sz="0" w:space="0" w:color="auto"/>
                  </w:divBdr>
                  <w:divsChild>
                    <w:div w:id="1281373846">
                      <w:marLeft w:val="0"/>
                      <w:marRight w:val="0"/>
                      <w:marTop w:val="0"/>
                      <w:marBottom w:val="0"/>
                      <w:divBdr>
                        <w:top w:val="none" w:sz="0" w:space="0" w:color="auto"/>
                        <w:left w:val="none" w:sz="0" w:space="0" w:color="auto"/>
                        <w:bottom w:val="none" w:sz="0" w:space="0" w:color="auto"/>
                        <w:right w:val="none" w:sz="0" w:space="0" w:color="auto"/>
                      </w:divBdr>
                    </w:div>
                  </w:divsChild>
                </w:div>
                <w:div w:id="711541862">
                  <w:marLeft w:val="0"/>
                  <w:marRight w:val="0"/>
                  <w:marTop w:val="0"/>
                  <w:marBottom w:val="0"/>
                  <w:divBdr>
                    <w:top w:val="none" w:sz="0" w:space="0" w:color="auto"/>
                    <w:left w:val="none" w:sz="0" w:space="0" w:color="auto"/>
                    <w:bottom w:val="none" w:sz="0" w:space="0" w:color="auto"/>
                    <w:right w:val="none" w:sz="0" w:space="0" w:color="auto"/>
                  </w:divBdr>
                  <w:divsChild>
                    <w:div w:id="364213758">
                      <w:marLeft w:val="0"/>
                      <w:marRight w:val="0"/>
                      <w:marTop w:val="0"/>
                      <w:marBottom w:val="0"/>
                      <w:divBdr>
                        <w:top w:val="none" w:sz="0" w:space="0" w:color="auto"/>
                        <w:left w:val="none" w:sz="0" w:space="0" w:color="auto"/>
                        <w:bottom w:val="none" w:sz="0" w:space="0" w:color="auto"/>
                        <w:right w:val="none" w:sz="0" w:space="0" w:color="auto"/>
                      </w:divBdr>
                    </w:div>
                  </w:divsChild>
                </w:div>
                <w:div w:id="713039788">
                  <w:marLeft w:val="0"/>
                  <w:marRight w:val="0"/>
                  <w:marTop w:val="0"/>
                  <w:marBottom w:val="0"/>
                  <w:divBdr>
                    <w:top w:val="none" w:sz="0" w:space="0" w:color="auto"/>
                    <w:left w:val="none" w:sz="0" w:space="0" w:color="auto"/>
                    <w:bottom w:val="none" w:sz="0" w:space="0" w:color="auto"/>
                    <w:right w:val="none" w:sz="0" w:space="0" w:color="auto"/>
                  </w:divBdr>
                  <w:divsChild>
                    <w:div w:id="1065251932">
                      <w:marLeft w:val="0"/>
                      <w:marRight w:val="0"/>
                      <w:marTop w:val="0"/>
                      <w:marBottom w:val="0"/>
                      <w:divBdr>
                        <w:top w:val="none" w:sz="0" w:space="0" w:color="auto"/>
                        <w:left w:val="none" w:sz="0" w:space="0" w:color="auto"/>
                        <w:bottom w:val="none" w:sz="0" w:space="0" w:color="auto"/>
                        <w:right w:val="none" w:sz="0" w:space="0" w:color="auto"/>
                      </w:divBdr>
                    </w:div>
                  </w:divsChild>
                </w:div>
                <w:div w:id="718821426">
                  <w:marLeft w:val="0"/>
                  <w:marRight w:val="0"/>
                  <w:marTop w:val="0"/>
                  <w:marBottom w:val="0"/>
                  <w:divBdr>
                    <w:top w:val="none" w:sz="0" w:space="0" w:color="auto"/>
                    <w:left w:val="none" w:sz="0" w:space="0" w:color="auto"/>
                    <w:bottom w:val="none" w:sz="0" w:space="0" w:color="auto"/>
                    <w:right w:val="none" w:sz="0" w:space="0" w:color="auto"/>
                  </w:divBdr>
                  <w:divsChild>
                    <w:div w:id="1759718004">
                      <w:marLeft w:val="0"/>
                      <w:marRight w:val="0"/>
                      <w:marTop w:val="0"/>
                      <w:marBottom w:val="0"/>
                      <w:divBdr>
                        <w:top w:val="none" w:sz="0" w:space="0" w:color="auto"/>
                        <w:left w:val="none" w:sz="0" w:space="0" w:color="auto"/>
                        <w:bottom w:val="none" w:sz="0" w:space="0" w:color="auto"/>
                        <w:right w:val="none" w:sz="0" w:space="0" w:color="auto"/>
                      </w:divBdr>
                    </w:div>
                  </w:divsChild>
                </w:div>
                <w:div w:id="730344061">
                  <w:marLeft w:val="0"/>
                  <w:marRight w:val="0"/>
                  <w:marTop w:val="0"/>
                  <w:marBottom w:val="0"/>
                  <w:divBdr>
                    <w:top w:val="none" w:sz="0" w:space="0" w:color="auto"/>
                    <w:left w:val="none" w:sz="0" w:space="0" w:color="auto"/>
                    <w:bottom w:val="none" w:sz="0" w:space="0" w:color="auto"/>
                    <w:right w:val="none" w:sz="0" w:space="0" w:color="auto"/>
                  </w:divBdr>
                  <w:divsChild>
                    <w:div w:id="1926378447">
                      <w:marLeft w:val="0"/>
                      <w:marRight w:val="0"/>
                      <w:marTop w:val="0"/>
                      <w:marBottom w:val="0"/>
                      <w:divBdr>
                        <w:top w:val="none" w:sz="0" w:space="0" w:color="auto"/>
                        <w:left w:val="none" w:sz="0" w:space="0" w:color="auto"/>
                        <w:bottom w:val="none" w:sz="0" w:space="0" w:color="auto"/>
                        <w:right w:val="none" w:sz="0" w:space="0" w:color="auto"/>
                      </w:divBdr>
                    </w:div>
                  </w:divsChild>
                </w:div>
                <w:div w:id="731927581">
                  <w:marLeft w:val="0"/>
                  <w:marRight w:val="0"/>
                  <w:marTop w:val="0"/>
                  <w:marBottom w:val="0"/>
                  <w:divBdr>
                    <w:top w:val="none" w:sz="0" w:space="0" w:color="auto"/>
                    <w:left w:val="none" w:sz="0" w:space="0" w:color="auto"/>
                    <w:bottom w:val="none" w:sz="0" w:space="0" w:color="auto"/>
                    <w:right w:val="none" w:sz="0" w:space="0" w:color="auto"/>
                  </w:divBdr>
                  <w:divsChild>
                    <w:div w:id="573977735">
                      <w:marLeft w:val="0"/>
                      <w:marRight w:val="0"/>
                      <w:marTop w:val="0"/>
                      <w:marBottom w:val="0"/>
                      <w:divBdr>
                        <w:top w:val="none" w:sz="0" w:space="0" w:color="auto"/>
                        <w:left w:val="none" w:sz="0" w:space="0" w:color="auto"/>
                        <w:bottom w:val="none" w:sz="0" w:space="0" w:color="auto"/>
                        <w:right w:val="none" w:sz="0" w:space="0" w:color="auto"/>
                      </w:divBdr>
                    </w:div>
                  </w:divsChild>
                </w:div>
                <w:div w:id="733897258">
                  <w:marLeft w:val="0"/>
                  <w:marRight w:val="0"/>
                  <w:marTop w:val="0"/>
                  <w:marBottom w:val="0"/>
                  <w:divBdr>
                    <w:top w:val="none" w:sz="0" w:space="0" w:color="auto"/>
                    <w:left w:val="none" w:sz="0" w:space="0" w:color="auto"/>
                    <w:bottom w:val="none" w:sz="0" w:space="0" w:color="auto"/>
                    <w:right w:val="none" w:sz="0" w:space="0" w:color="auto"/>
                  </w:divBdr>
                  <w:divsChild>
                    <w:div w:id="1023482342">
                      <w:marLeft w:val="0"/>
                      <w:marRight w:val="0"/>
                      <w:marTop w:val="0"/>
                      <w:marBottom w:val="0"/>
                      <w:divBdr>
                        <w:top w:val="none" w:sz="0" w:space="0" w:color="auto"/>
                        <w:left w:val="none" w:sz="0" w:space="0" w:color="auto"/>
                        <w:bottom w:val="none" w:sz="0" w:space="0" w:color="auto"/>
                        <w:right w:val="none" w:sz="0" w:space="0" w:color="auto"/>
                      </w:divBdr>
                    </w:div>
                  </w:divsChild>
                </w:div>
                <w:div w:id="739714172">
                  <w:marLeft w:val="0"/>
                  <w:marRight w:val="0"/>
                  <w:marTop w:val="0"/>
                  <w:marBottom w:val="0"/>
                  <w:divBdr>
                    <w:top w:val="none" w:sz="0" w:space="0" w:color="auto"/>
                    <w:left w:val="none" w:sz="0" w:space="0" w:color="auto"/>
                    <w:bottom w:val="none" w:sz="0" w:space="0" w:color="auto"/>
                    <w:right w:val="none" w:sz="0" w:space="0" w:color="auto"/>
                  </w:divBdr>
                  <w:divsChild>
                    <w:div w:id="8795654">
                      <w:marLeft w:val="0"/>
                      <w:marRight w:val="0"/>
                      <w:marTop w:val="0"/>
                      <w:marBottom w:val="0"/>
                      <w:divBdr>
                        <w:top w:val="none" w:sz="0" w:space="0" w:color="auto"/>
                        <w:left w:val="none" w:sz="0" w:space="0" w:color="auto"/>
                        <w:bottom w:val="none" w:sz="0" w:space="0" w:color="auto"/>
                        <w:right w:val="none" w:sz="0" w:space="0" w:color="auto"/>
                      </w:divBdr>
                    </w:div>
                  </w:divsChild>
                </w:div>
                <w:div w:id="750271796">
                  <w:marLeft w:val="0"/>
                  <w:marRight w:val="0"/>
                  <w:marTop w:val="0"/>
                  <w:marBottom w:val="0"/>
                  <w:divBdr>
                    <w:top w:val="none" w:sz="0" w:space="0" w:color="auto"/>
                    <w:left w:val="none" w:sz="0" w:space="0" w:color="auto"/>
                    <w:bottom w:val="none" w:sz="0" w:space="0" w:color="auto"/>
                    <w:right w:val="none" w:sz="0" w:space="0" w:color="auto"/>
                  </w:divBdr>
                  <w:divsChild>
                    <w:div w:id="1913662952">
                      <w:marLeft w:val="0"/>
                      <w:marRight w:val="0"/>
                      <w:marTop w:val="0"/>
                      <w:marBottom w:val="0"/>
                      <w:divBdr>
                        <w:top w:val="none" w:sz="0" w:space="0" w:color="auto"/>
                        <w:left w:val="none" w:sz="0" w:space="0" w:color="auto"/>
                        <w:bottom w:val="none" w:sz="0" w:space="0" w:color="auto"/>
                        <w:right w:val="none" w:sz="0" w:space="0" w:color="auto"/>
                      </w:divBdr>
                    </w:div>
                  </w:divsChild>
                </w:div>
                <w:div w:id="750735854">
                  <w:marLeft w:val="0"/>
                  <w:marRight w:val="0"/>
                  <w:marTop w:val="0"/>
                  <w:marBottom w:val="0"/>
                  <w:divBdr>
                    <w:top w:val="none" w:sz="0" w:space="0" w:color="auto"/>
                    <w:left w:val="none" w:sz="0" w:space="0" w:color="auto"/>
                    <w:bottom w:val="none" w:sz="0" w:space="0" w:color="auto"/>
                    <w:right w:val="none" w:sz="0" w:space="0" w:color="auto"/>
                  </w:divBdr>
                  <w:divsChild>
                    <w:div w:id="479347788">
                      <w:marLeft w:val="0"/>
                      <w:marRight w:val="0"/>
                      <w:marTop w:val="0"/>
                      <w:marBottom w:val="0"/>
                      <w:divBdr>
                        <w:top w:val="none" w:sz="0" w:space="0" w:color="auto"/>
                        <w:left w:val="none" w:sz="0" w:space="0" w:color="auto"/>
                        <w:bottom w:val="none" w:sz="0" w:space="0" w:color="auto"/>
                        <w:right w:val="none" w:sz="0" w:space="0" w:color="auto"/>
                      </w:divBdr>
                    </w:div>
                  </w:divsChild>
                </w:div>
                <w:div w:id="756709220">
                  <w:marLeft w:val="0"/>
                  <w:marRight w:val="0"/>
                  <w:marTop w:val="0"/>
                  <w:marBottom w:val="0"/>
                  <w:divBdr>
                    <w:top w:val="none" w:sz="0" w:space="0" w:color="auto"/>
                    <w:left w:val="none" w:sz="0" w:space="0" w:color="auto"/>
                    <w:bottom w:val="none" w:sz="0" w:space="0" w:color="auto"/>
                    <w:right w:val="none" w:sz="0" w:space="0" w:color="auto"/>
                  </w:divBdr>
                  <w:divsChild>
                    <w:div w:id="489097204">
                      <w:marLeft w:val="0"/>
                      <w:marRight w:val="0"/>
                      <w:marTop w:val="0"/>
                      <w:marBottom w:val="0"/>
                      <w:divBdr>
                        <w:top w:val="none" w:sz="0" w:space="0" w:color="auto"/>
                        <w:left w:val="none" w:sz="0" w:space="0" w:color="auto"/>
                        <w:bottom w:val="none" w:sz="0" w:space="0" w:color="auto"/>
                        <w:right w:val="none" w:sz="0" w:space="0" w:color="auto"/>
                      </w:divBdr>
                    </w:div>
                  </w:divsChild>
                </w:div>
                <w:div w:id="770316481">
                  <w:marLeft w:val="0"/>
                  <w:marRight w:val="0"/>
                  <w:marTop w:val="0"/>
                  <w:marBottom w:val="0"/>
                  <w:divBdr>
                    <w:top w:val="none" w:sz="0" w:space="0" w:color="auto"/>
                    <w:left w:val="none" w:sz="0" w:space="0" w:color="auto"/>
                    <w:bottom w:val="none" w:sz="0" w:space="0" w:color="auto"/>
                    <w:right w:val="none" w:sz="0" w:space="0" w:color="auto"/>
                  </w:divBdr>
                  <w:divsChild>
                    <w:div w:id="869221475">
                      <w:marLeft w:val="0"/>
                      <w:marRight w:val="0"/>
                      <w:marTop w:val="0"/>
                      <w:marBottom w:val="0"/>
                      <w:divBdr>
                        <w:top w:val="none" w:sz="0" w:space="0" w:color="auto"/>
                        <w:left w:val="none" w:sz="0" w:space="0" w:color="auto"/>
                        <w:bottom w:val="none" w:sz="0" w:space="0" w:color="auto"/>
                        <w:right w:val="none" w:sz="0" w:space="0" w:color="auto"/>
                      </w:divBdr>
                    </w:div>
                  </w:divsChild>
                </w:div>
                <w:div w:id="780343781">
                  <w:marLeft w:val="0"/>
                  <w:marRight w:val="0"/>
                  <w:marTop w:val="0"/>
                  <w:marBottom w:val="0"/>
                  <w:divBdr>
                    <w:top w:val="none" w:sz="0" w:space="0" w:color="auto"/>
                    <w:left w:val="none" w:sz="0" w:space="0" w:color="auto"/>
                    <w:bottom w:val="none" w:sz="0" w:space="0" w:color="auto"/>
                    <w:right w:val="none" w:sz="0" w:space="0" w:color="auto"/>
                  </w:divBdr>
                  <w:divsChild>
                    <w:div w:id="1349605086">
                      <w:marLeft w:val="0"/>
                      <w:marRight w:val="0"/>
                      <w:marTop w:val="0"/>
                      <w:marBottom w:val="0"/>
                      <w:divBdr>
                        <w:top w:val="none" w:sz="0" w:space="0" w:color="auto"/>
                        <w:left w:val="none" w:sz="0" w:space="0" w:color="auto"/>
                        <w:bottom w:val="none" w:sz="0" w:space="0" w:color="auto"/>
                        <w:right w:val="none" w:sz="0" w:space="0" w:color="auto"/>
                      </w:divBdr>
                    </w:div>
                  </w:divsChild>
                </w:div>
                <w:div w:id="794714742">
                  <w:marLeft w:val="0"/>
                  <w:marRight w:val="0"/>
                  <w:marTop w:val="0"/>
                  <w:marBottom w:val="0"/>
                  <w:divBdr>
                    <w:top w:val="none" w:sz="0" w:space="0" w:color="auto"/>
                    <w:left w:val="none" w:sz="0" w:space="0" w:color="auto"/>
                    <w:bottom w:val="none" w:sz="0" w:space="0" w:color="auto"/>
                    <w:right w:val="none" w:sz="0" w:space="0" w:color="auto"/>
                  </w:divBdr>
                  <w:divsChild>
                    <w:div w:id="711350239">
                      <w:marLeft w:val="0"/>
                      <w:marRight w:val="0"/>
                      <w:marTop w:val="0"/>
                      <w:marBottom w:val="0"/>
                      <w:divBdr>
                        <w:top w:val="none" w:sz="0" w:space="0" w:color="auto"/>
                        <w:left w:val="none" w:sz="0" w:space="0" w:color="auto"/>
                        <w:bottom w:val="none" w:sz="0" w:space="0" w:color="auto"/>
                        <w:right w:val="none" w:sz="0" w:space="0" w:color="auto"/>
                      </w:divBdr>
                    </w:div>
                  </w:divsChild>
                </w:div>
                <w:div w:id="811606095">
                  <w:marLeft w:val="0"/>
                  <w:marRight w:val="0"/>
                  <w:marTop w:val="0"/>
                  <w:marBottom w:val="0"/>
                  <w:divBdr>
                    <w:top w:val="none" w:sz="0" w:space="0" w:color="auto"/>
                    <w:left w:val="none" w:sz="0" w:space="0" w:color="auto"/>
                    <w:bottom w:val="none" w:sz="0" w:space="0" w:color="auto"/>
                    <w:right w:val="none" w:sz="0" w:space="0" w:color="auto"/>
                  </w:divBdr>
                  <w:divsChild>
                    <w:div w:id="1932465735">
                      <w:marLeft w:val="0"/>
                      <w:marRight w:val="0"/>
                      <w:marTop w:val="0"/>
                      <w:marBottom w:val="0"/>
                      <w:divBdr>
                        <w:top w:val="none" w:sz="0" w:space="0" w:color="auto"/>
                        <w:left w:val="none" w:sz="0" w:space="0" w:color="auto"/>
                        <w:bottom w:val="none" w:sz="0" w:space="0" w:color="auto"/>
                        <w:right w:val="none" w:sz="0" w:space="0" w:color="auto"/>
                      </w:divBdr>
                    </w:div>
                  </w:divsChild>
                </w:div>
                <w:div w:id="811680618">
                  <w:marLeft w:val="0"/>
                  <w:marRight w:val="0"/>
                  <w:marTop w:val="0"/>
                  <w:marBottom w:val="0"/>
                  <w:divBdr>
                    <w:top w:val="none" w:sz="0" w:space="0" w:color="auto"/>
                    <w:left w:val="none" w:sz="0" w:space="0" w:color="auto"/>
                    <w:bottom w:val="none" w:sz="0" w:space="0" w:color="auto"/>
                    <w:right w:val="none" w:sz="0" w:space="0" w:color="auto"/>
                  </w:divBdr>
                  <w:divsChild>
                    <w:div w:id="2062515667">
                      <w:marLeft w:val="0"/>
                      <w:marRight w:val="0"/>
                      <w:marTop w:val="0"/>
                      <w:marBottom w:val="0"/>
                      <w:divBdr>
                        <w:top w:val="none" w:sz="0" w:space="0" w:color="auto"/>
                        <w:left w:val="none" w:sz="0" w:space="0" w:color="auto"/>
                        <w:bottom w:val="none" w:sz="0" w:space="0" w:color="auto"/>
                        <w:right w:val="none" w:sz="0" w:space="0" w:color="auto"/>
                      </w:divBdr>
                    </w:div>
                  </w:divsChild>
                </w:div>
                <w:div w:id="812600971">
                  <w:marLeft w:val="0"/>
                  <w:marRight w:val="0"/>
                  <w:marTop w:val="0"/>
                  <w:marBottom w:val="0"/>
                  <w:divBdr>
                    <w:top w:val="none" w:sz="0" w:space="0" w:color="auto"/>
                    <w:left w:val="none" w:sz="0" w:space="0" w:color="auto"/>
                    <w:bottom w:val="none" w:sz="0" w:space="0" w:color="auto"/>
                    <w:right w:val="none" w:sz="0" w:space="0" w:color="auto"/>
                  </w:divBdr>
                  <w:divsChild>
                    <w:div w:id="463232685">
                      <w:marLeft w:val="0"/>
                      <w:marRight w:val="0"/>
                      <w:marTop w:val="0"/>
                      <w:marBottom w:val="0"/>
                      <w:divBdr>
                        <w:top w:val="none" w:sz="0" w:space="0" w:color="auto"/>
                        <w:left w:val="none" w:sz="0" w:space="0" w:color="auto"/>
                        <w:bottom w:val="none" w:sz="0" w:space="0" w:color="auto"/>
                        <w:right w:val="none" w:sz="0" w:space="0" w:color="auto"/>
                      </w:divBdr>
                    </w:div>
                  </w:divsChild>
                </w:div>
                <w:div w:id="812871382">
                  <w:marLeft w:val="0"/>
                  <w:marRight w:val="0"/>
                  <w:marTop w:val="0"/>
                  <w:marBottom w:val="0"/>
                  <w:divBdr>
                    <w:top w:val="none" w:sz="0" w:space="0" w:color="auto"/>
                    <w:left w:val="none" w:sz="0" w:space="0" w:color="auto"/>
                    <w:bottom w:val="none" w:sz="0" w:space="0" w:color="auto"/>
                    <w:right w:val="none" w:sz="0" w:space="0" w:color="auto"/>
                  </w:divBdr>
                  <w:divsChild>
                    <w:div w:id="187987327">
                      <w:marLeft w:val="0"/>
                      <w:marRight w:val="0"/>
                      <w:marTop w:val="0"/>
                      <w:marBottom w:val="0"/>
                      <w:divBdr>
                        <w:top w:val="none" w:sz="0" w:space="0" w:color="auto"/>
                        <w:left w:val="none" w:sz="0" w:space="0" w:color="auto"/>
                        <w:bottom w:val="none" w:sz="0" w:space="0" w:color="auto"/>
                        <w:right w:val="none" w:sz="0" w:space="0" w:color="auto"/>
                      </w:divBdr>
                    </w:div>
                  </w:divsChild>
                </w:div>
                <w:div w:id="816410260">
                  <w:marLeft w:val="0"/>
                  <w:marRight w:val="0"/>
                  <w:marTop w:val="0"/>
                  <w:marBottom w:val="0"/>
                  <w:divBdr>
                    <w:top w:val="none" w:sz="0" w:space="0" w:color="auto"/>
                    <w:left w:val="none" w:sz="0" w:space="0" w:color="auto"/>
                    <w:bottom w:val="none" w:sz="0" w:space="0" w:color="auto"/>
                    <w:right w:val="none" w:sz="0" w:space="0" w:color="auto"/>
                  </w:divBdr>
                  <w:divsChild>
                    <w:div w:id="1523930282">
                      <w:marLeft w:val="0"/>
                      <w:marRight w:val="0"/>
                      <w:marTop w:val="0"/>
                      <w:marBottom w:val="0"/>
                      <w:divBdr>
                        <w:top w:val="none" w:sz="0" w:space="0" w:color="auto"/>
                        <w:left w:val="none" w:sz="0" w:space="0" w:color="auto"/>
                        <w:bottom w:val="none" w:sz="0" w:space="0" w:color="auto"/>
                        <w:right w:val="none" w:sz="0" w:space="0" w:color="auto"/>
                      </w:divBdr>
                    </w:div>
                  </w:divsChild>
                </w:div>
                <w:div w:id="819660625">
                  <w:marLeft w:val="0"/>
                  <w:marRight w:val="0"/>
                  <w:marTop w:val="0"/>
                  <w:marBottom w:val="0"/>
                  <w:divBdr>
                    <w:top w:val="none" w:sz="0" w:space="0" w:color="auto"/>
                    <w:left w:val="none" w:sz="0" w:space="0" w:color="auto"/>
                    <w:bottom w:val="none" w:sz="0" w:space="0" w:color="auto"/>
                    <w:right w:val="none" w:sz="0" w:space="0" w:color="auto"/>
                  </w:divBdr>
                  <w:divsChild>
                    <w:div w:id="583609682">
                      <w:marLeft w:val="0"/>
                      <w:marRight w:val="0"/>
                      <w:marTop w:val="0"/>
                      <w:marBottom w:val="0"/>
                      <w:divBdr>
                        <w:top w:val="none" w:sz="0" w:space="0" w:color="auto"/>
                        <w:left w:val="none" w:sz="0" w:space="0" w:color="auto"/>
                        <w:bottom w:val="none" w:sz="0" w:space="0" w:color="auto"/>
                        <w:right w:val="none" w:sz="0" w:space="0" w:color="auto"/>
                      </w:divBdr>
                    </w:div>
                  </w:divsChild>
                </w:div>
                <w:div w:id="825244127">
                  <w:marLeft w:val="0"/>
                  <w:marRight w:val="0"/>
                  <w:marTop w:val="0"/>
                  <w:marBottom w:val="0"/>
                  <w:divBdr>
                    <w:top w:val="none" w:sz="0" w:space="0" w:color="auto"/>
                    <w:left w:val="none" w:sz="0" w:space="0" w:color="auto"/>
                    <w:bottom w:val="none" w:sz="0" w:space="0" w:color="auto"/>
                    <w:right w:val="none" w:sz="0" w:space="0" w:color="auto"/>
                  </w:divBdr>
                  <w:divsChild>
                    <w:div w:id="669064675">
                      <w:marLeft w:val="0"/>
                      <w:marRight w:val="0"/>
                      <w:marTop w:val="0"/>
                      <w:marBottom w:val="0"/>
                      <w:divBdr>
                        <w:top w:val="none" w:sz="0" w:space="0" w:color="auto"/>
                        <w:left w:val="none" w:sz="0" w:space="0" w:color="auto"/>
                        <w:bottom w:val="none" w:sz="0" w:space="0" w:color="auto"/>
                        <w:right w:val="none" w:sz="0" w:space="0" w:color="auto"/>
                      </w:divBdr>
                    </w:div>
                  </w:divsChild>
                </w:div>
                <w:div w:id="828441900">
                  <w:marLeft w:val="0"/>
                  <w:marRight w:val="0"/>
                  <w:marTop w:val="0"/>
                  <w:marBottom w:val="0"/>
                  <w:divBdr>
                    <w:top w:val="none" w:sz="0" w:space="0" w:color="auto"/>
                    <w:left w:val="none" w:sz="0" w:space="0" w:color="auto"/>
                    <w:bottom w:val="none" w:sz="0" w:space="0" w:color="auto"/>
                    <w:right w:val="none" w:sz="0" w:space="0" w:color="auto"/>
                  </w:divBdr>
                  <w:divsChild>
                    <w:div w:id="570579292">
                      <w:marLeft w:val="0"/>
                      <w:marRight w:val="0"/>
                      <w:marTop w:val="0"/>
                      <w:marBottom w:val="0"/>
                      <w:divBdr>
                        <w:top w:val="none" w:sz="0" w:space="0" w:color="auto"/>
                        <w:left w:val="none" w:sz="0" w:space="0" w:color="auto"/>
                        <w:bottom w:val="none" w:sz="0" w:space="0" w:color="auto"/>
                        <w:right w:val="none" w:sz="0" w:space="0" w:color="auto"/>
                      </w:divBdr>
                    </w:div>
                  </w:divsChild>
                </w:div>
                <w:div w:id="843058705">
                  <w:marLeft w:val="0"/>
                  <w:marRight w:val="0"/>
                  <w:marTop w:val="0"/>
                  <w:marBottom w:val="0"/>
                  <w:divBdr>
                    <w:top w:val="none" w:sz="0" w:space="0" w:color="auto"/>
                    <w:left w:val="none" w:sz="0" w:space="0" w:color="auto"/>
                    <w:bottom w:val="none" w:sz="0" w:space="0" w:color="auto"/>
                    <w:right w:val="none" w:sz="0" w:space="0" w:color="auto"/>
                  </w:divBdr>
                  <w:divsChild>
                    <w:div w:id="218979873">
                      <w:marLeft w:val="0"/>
                      <w:marRight w:val="0"/>
                      <w:marTop w:val="0"/>
                      <w:marBottom w:val="0"/>
                      <w:divBdr>
                        <w:top w:val="none" w:sz="0" w:space="0" w:color="auto"/>
                        <w:left w:val="none" w:sz="0" w:space="0" w:color="auto"/>
                        <w:bottom w:val="none" w:sz="0" w:space="0" w:color="auto"/>
                        <w:right w:val="none" w:sz="0" w:space="0" w:color="auto"/>
                      </w:divBdr>
                    </w:div>
                  </w:divsChild>
                </w:div>
                <w:div w:id="844053186">
                  <w:marLeft w:val="0"/>
                  <w:marRight w:val="0"/>
                  <w:marTop w:val="0"/>
                  <w:marBottom w:val="0"/>
                  <w:divBdr>
                    <w:top w:val="none" w:sz="0" w:space="0" w:color="auto"/>
                    <w:left w:val="none" w:sz="0" w:space="0" w:color="auto"/>
                    <w:bottom w:val="none" w:sz="0" w:space="0" w:color="auto"/>
                    <w:right w:val="none" w:sz="0" w:space="0" w:color="auto"/>
                  </w:divBdr>
                  <w:divsChild>
                    <w:div w:id="1539121929">
                      <w:marLeft w:val="0"/>
                      <w:marRight w:val="0"/>
                      <w:marTop w:val="0"/>
                      <w:marBottom w:val="0"/>
                      <w:divBdr>
                        <w:top w:val="none" w:sz="0" w:space="0" w:color="auto"/>
                        <w:left w:val="none" w:sz="0" w:space="0" w:color="auto"/>
                        <w:bottom w:val="none" w:sz="0" w:space="0" w:color="auto"/>
                        <w:right w:val="none" w:sz="0" w:space="0" w:color="auto"/>
                      </w:divBdr>
                    </w:div>
                  </w:divsChild>
                </w:div>
                <w:div w:id="847015263">
                  <w:marLeft w:val="0"/>
                  <w:marRight w:val="0"/>
                  <w:marTop w:val="0"/>
                  <w:marBottom w:val="0"/>
                  <w:divBdr>
                    <w:top w:val="none" w:sz="0" w:space="0" w:color="auto"/>
                    <w:left w:val="none" w:sz="0" w:space="0" w:color="auto"/>
                    <w:bottom w:val="none" w:sz="0" w:space="0" w:color="auto"/>
                    <w:right w:val="none" w:sz="0" w:space="0" w:color="auto"/>
                  </w:divBdr>
                  <w:divsChild>
                    <w:div w:id="1203202840">
                      <w:marLeft w:val="0"/>
                      <w:marRight w:val="0"/>
                      <w:marTop w:val="0"/>
                      <w:marBottom w:val="0"/>
                      <w:divBdr>
                        <w:top w:val="none" w:sz="0" w:space="0" w:color="auto"/>
                        <w:left w:val="none" w:sz="0" w:space="0" w:color="auto"/>
                        <w:bottom w:val="none" w:sz="0" w:space="0" w:color="auto"/>
                        <w:right w:val="none" w:sz="0" w:space="0" w:color="auto"/>
                      </w:divBdr>
                    </w:div>
                    <w:div w:id="2122407994">
                      <w:marLeft w:val="0"/>
                      <w:marRight w:val="0"/>
                      <w:marTop w:val="0"/>
                      <w:marBottom w:val="0"/>
                      <w:divBdr>
                        <w:top w:val="none" w:sz="0" w:space="0" w:color="auto"/>
                        <w:left w:val="none" w:sz="0" w:space="0" w:color="auto"/>
                        <w:bottom w:val="none" w:sz="0" w:space="0" w:color="auto"/>
                        <w:right w:val="none" w:sz="0" w:space="0" w:color="auto"/>
                      </w:divBdr>
                    </w:div>
                  </w:divsChild>
                </w:div>
                <w:div w:id="862784327">
                  <w:marLeft w:val="0"/>
                  <w:marRight w:val="0"/>
                  <w:marTop w:val="0"/>
                  <w:marBottom w:val="0"/>
                  <w:divBdr>
                    <w:top w:val="none" w:sz="0" w:space="0" w:color="auto"/>
                    <w:left w:val="none" w:sz="0" w:space="0" w:color="auto"/>
                    <w:bottom w:val="none" w:sz="0" w:space="0" w:color="auto"/>
                    <w:right w:val="none" w:sz="0" w:space="0" w:color="auto"/>
                  </w:divBdr>
                  <w:divsChild>
                    <w:div w:id="1105080241">
                      <w:marLeft w:val="0"/>
                      <w:marRight w:val="0"/>
                      <w:marTop w:val="0"/>
                      <w:marBottom w:val="0"/>
                      <w:divBdr>
                        <w:top w:val="none" w:sz="0" w:space="0" w:color="auto"/>
                        <w:left w:val="none" w:sz="0" w:space="0" w:color="auto"/>
                        <w:bottom w:val="none" w:sz="0" w:space="0" w:color="auto"/>
                        <w:right w:val="none" w:sz="0" w:space="0" w:color="auto"/>
                      </w:divBdr>
                    </w:div>
                  </w:divsChild>
                </w:div>
                <w:div w:id="865828337">
                  <w:marLeft w:val="0"/>
                  <w:marRight w:val="0"/>
                  <w:marTop w:val="0"/>
                  <w:marBottom w:val="0"/>
                  <w:divBdr>
                    <w:top w:val="none" w:sz="0" w:space="0" w:color="auto"/>
                    <w:left w:val="none" w:sz="0" w:space="0" w:color="auto"/>
                    <w:bottom w:val="none" w:sz="0" w:space="0" w:color="auto"/>
                    <w:right w:val="none" w:sz="0" w:space="0" w:color="auto"/>
                  </w:divBdr>
                  <w:divsChild>
                    <w:div w:id="766078978">
                      <w:marLeft w:val="0"/>
                      <w:marRight w:val="0"/>
                      <w:marTop w:val="0"/>
                      <w:marBottom w:val="0"/>
                      <w:divBdr>
                        <w:top w:val="none" w:sz="0" w:space="0" w:color="auto"/>
                        <w:left w:val="none" w:sz="0" w:space="0" w:color="auto"/>
                        <w:bottom w:val="none" w:sz="0" w:space="0" w:color="auto"/>
                        <w:right w:val="none" w:sz="0" w:space="0" w:color="auto"/>
                      </w:divBdr>
                    </w:div>
                  </w:divsChild>
                </w:div>
                <w:div w:id="869414179">
                  <w:marLeft w:val="0"/>
                  <w:marRight w:val="0"/>
                  <w:marTop w:val="0"/>
                  <w:marBottom w:val="0"/>
                  <w:divBdr>
                    <w:top w:val="none" w:sz="0" w:space="0" w:color="auto"/>
                    <w:left w:val="none" w:sz="0" w:space="0" w:color="auto"/>
                    <w:bottom w:val="none" w:sz="0" w:space="0" w:color="auto"/>
                    <w:right w:val="none" w:sz="0" w:space="0" w:color="auto"/>
                  </w:divBdr>
                  <w:divsChild>
                    <w:div w:id="1021009514">
                      <w:marLeft w:val="0"/>
                      <w:marRight w:val="0"/>
                      <w:marTop w:val="0"/>
                      <w:marBottom w:val="0"/>
                      <w:divBdr>
                        <w:top w:val="none" w:sz="0" w:space="0" w:color="auto"/>
                        <w:left w:val="none" w:sz="0" w:space="0" w:color="auto"/>
                        <w:bottom w:val="none" w:sz="0" w:space="0" w:color="auto"/>
                        <w:right w:val="none" w:sz="0" w:space="0" w:color="auto"/>
                      </w:divBdr>
                    </w:div>
                  </w:divsChild>
                </w:div>
                <w:div w:id="877086321">
                  <w:marLeft w:val="0"/>
                  <w:marRight w:val="0"/>
                  <w:marTop w:val="0"/>
                  <w:marBottom w:val="0"/>
                  <w:divBdr>
                    <w:top w:val="none" w:sz="0" w:space="0" w:color="auto"/>
                    <w:left w:val="none" w:sz="0" w:space="0" w:color="auto"/>
                    <w:bottom w:val="none" w:sz="0" w:space="0" w:color="auto"/>
                    <w:right w:val="none" w:sz="0" w:space="0" w:color="auto"/>
                  </w:divBdr>
                  <w:divsChild>
                    <w:div w:id="1906336703">
                      <w:marLeft w:val="0"/>
                      <w:marRight w:val="0"/>
                      <w:marTop w:val="0"/>
                      <w:marBottom w:val="0"/>
                      <w:divBdr>
                        <w:top w:val="none" w:sz="0" w:space="0" w:color="auto"/>
                        <w:left w:val="none" w:sz="0" w:space="0" w:color="auto"/>
                        <w:bottom w:val="none" w:sz="0" w:space="0" w:color="auto"/>
                        <w:right w:val="none" w:sz="0" w:space="0" w:color="auto"/>
                      </w:divBdr>
                    </w:div>
                  </w:divsChild>
                </w:div>
                <w:div w:id="878904216">
                  <w:marLeft w:val="0"/>
                  <w:marRight w:val="0"/>
                  <w:marTop w:val="0"/>
                  <w:marBottom w:val="0"/>
                  <w:divBdr>
                    <w:top w:val="none" w:sz="0" w:space="0" w:color="auto"/>
                    <w:left w:val="none" w:sz="0" w:space="0" w:color="auto"/>
                    <w:bottom w:val="none" w:sz="0" w:space="0" w:color="auto"/>
                    <w:right w:val="none" w:sz="0" w:space="0" w:color="auto"/>
                  </w:divBdr>
                  <w:divsChild>
                    <w:div w:id="1077560219">
                      <w:marLeft w:val="0"/>
                      <w:marRight w:val="0"/>
                      <w:marTop w:val="0"/>
                      <w:marBottom w:val="0"/>
                      <w:divBdr>
                        <w:top w:val="none" w:sz="0" w:space="0" w:color="auto"/>
                        <w:left w:val="none" w:sz="0" w:space="0" w:color="auto"/>
                        <w:bottom w:val="none" w:sz="0" w:space="0" w:color="auto"/>
                        <w:right w:val="none" w:sz="0" w:space="0" w:color="auto"/>
                      </w:divBdr>
                    </w:div>
                  </w:divsChild>
                </w:div>
                <w:div w:id="898633623">
                  <w:marLeft w:val="0"/>
                  <w:marRight w:val="0"/>
                  <w:marTop w:val="0"/>
                  <w:marBottom w:val="0"/>
                  <w:divBdr>
                    <w:top w:val="none" w:sz="0" w:space="0" w:color="auto"/>
                    <w:left w:val="none" w:sz="0" w:space="0" w:color="auto"/>
                    <w:bottom w:val="none" w:sz="0" w:space="0" w:color="auto"/>
                    <w:right w:val="none" w:sz="0" w:space="0" w:color="auto"/>
                  </w:divBdr>
                  <w:divsChild>
                    <w:div w:id="2028872958">
                      <w:marLeft w:val="0"/>
                      <w:marRight w:val="0"/>
                      <w:marTop w:val="0"/>
                      <w:marBottom w:val="0"/>
                      <w:divBdr>
                        <w:top w:val="none" w:sz="0" w:space="0" w:color="auto"/>
                        <w:left w:val="none" w:sz="0" w:space="0" w:color="auto"/>
                        <w:bottom w:val="none" w:sz="0" w:space="0" w:color="auto"/>
                        <w:right w:val="none" w:sz="0" w:space="0" w:color="auto"/>
                      </w:divBdr>
                    </w:div>
                  </w:divsChild>
                </w:div>
                <w:div w:id="910038965">
                  <w:marLeft w:val="0"/>
                  <w:marRight w:val="0"/>
                  <w:marTop w:val="0"/>
                  <w:marBottom w:val="0"/>
                  <w:divBdr>
                    <w:top w:val="none" w:sz="0" w:space="0" w:color="auto"/>
                    <w:left w:val="none" w:sz="0" w:space="0" w:color="auto"/>
                    <w:bottom w:val="none" w:sz="0" w:space="0" w:color="auto"/>
                    <w:right w:val="none" w:sz="0" w:space="0" w:color="auto"/>
                  </w:divBdr>
                  <w:divsChild>
                    <w:div w:id="176433827">
                      <w:marLeft w:val="0"/>
                      <w:marRight w:val="0"/>
                      <w:marTop w:val="0"/>
                      <w:marBottom w:val="0"/>
                      <w:divBdr>
                        <w:top w:val="none" w:sz="0" w:space="0" w:color="auto"/>
                        <w:left w:val="none" w:sz="0" w:space="0" w:color="auto"/>
                        <w:bottom w:val="none" w:sz="0" w:space="0" w:color="auto"/>
                        <w:right w:val="none" w:sz="0" w:space="0" w:color="auto"/>
                      </w:divBdr>
                    </w:div>
                  </w:divsChild>
                </w:div>
                <w:div w:id="910165394">
                  <w:marLeft w:val="0"/>
                  <w:marRight w:val="0"/>
                  <w:marTop w:val="0"/>
                  <w:marBottom w:val="0"/>
                  <w:divBdr>
                    <w:top w:val="none" w:sz="0" w:space="0" w:color="auto"/>
                    <w:left w:val="none" w:sz="0" w:space="0" w:color="auto"/>
                    <w:bottom w:val="none" w:sz="0" w:space="0" w:color="auto"/>
                    <w:right w:val="none" w:sz="0" w:space="0" w:color="auto"/>
                  </w:divBdr>
                  <w:divsChild>
                    <w:div w:id="1704400315">
                      <w:marLeft w:val="0"/>
                      <w:marRight w:val="0"/>
                      <w:marTop w:val="0"/>
                      <w:marBottom w:val="0"/>
                      <w:divBdr>
                        <w:top w:val="none" w:sz="0" w:space="0" w:color="auto"/>
                        <w:left w:val="none" w:sz="0" w:space="0" w:color="auto"/>
                        <w:bottom w:val="none" w:sz="0" w:space="0" w:color="auto"/>
                        <w:right w:val="none" w:sz="0" w:space="0" w:color="auto"/>
                      </w:divBdr>
                    </w:div>
                  </w:divsChild>
                </w:div>
                <w:div w:id="922298592">
                  <w:marLeft w:val="0"/>
                  <w:marRight w:val="0"/>
                  <w:marTop w:val="0"/>
                  <w:marBottom w:val="0"/>
                  <w:divBdr>
                    <w:top w:val="none" w:sz="0" w:space="0" w:color="auto"/>
                    <w:left w:val="none" w:sz="0" w:space="0" w:color="auto"/>
                    <w:bottom w:val="none" w:sz="0" w:space="0" w:color="auto"/>
                    <w:right w:val="none" w:sz="0" w:space="0" w:color="auto"/>
                  </w:divBdr>
                  <w:divsChild>
                    <w:div w:id="732041609">
                      <w:marLeft w:val="0"/>
                      <w:marRight w:val="0"/>
                      <w:marTop w:val="0"/>
                      <w:marBottom w:val="0"/>
                      <w:divBdr>
                        <w:top w:val="none" w:sz="0" w:space="0" w:color="auto"/>
                        <w:left w:val="none" w:sz="0" w:space="0" w:color="auto"/>
                        <w:bottom w:val="none" w:sz="0" w:space="0" w:color="auto"/>
                        <w:right w:val="none" w:sz="0" w:space="0" w:color="auto"/>
                      </w:divBdr>
                    </w:div>
                  </w:divsChild>
                </w:div>
                <w:div w:id="933127387">
                  <w:marLeft w:val="0"/>
                  <w:marRight w:val="0"/>
                  <w:marTop w:val="0"/>
                  <w:marBottom w:val="0"/>
                  <w:divBdr>
                    <w:top w:val="none" w:sz="0" w:space="0" w:color="auto"/>
                    <w:left w:val="none" w:sz="0" w:space="0" w:color="auto"/>
                    <w:bottom w:val="none" w:sz="0" w:space="0" w:color="auto"/>
                    <w:right w:val="none" w:sz="0" w:space="0" w:color="auto"/>
                  </w:divBdr>
                  <w:divsChild>
                    <w:div w:id="1306860944">
                      <w:marLeft w:val="0"/>
                      <w:marRight w:val="0"/>
                      <w:marTop w:val="0"/>
                      <w:marBottom w:val="0"/>
                      <w:divBdr>
                        <w:top w:val="none" w:sz="0" w:space="0" w:color="auto"/>
                        <w:left w:val="none" w:sz="0" w:space="0" w:color="auto"/>
                        <w:bottom w:val="none" w:sz="0" w:space="0" w:color="auto"/>
                        <w:right w:val="none" w:sz="0" w:space="0" w:color="auto"/>
                      </w:divBdr>
                    </w:div>
                  </w:divsChild>
                </w:div>
                <w:div w:id="933512900">
                  <w:marLeft w:val="0"/>
                  <w:marRight w:val="0"/>
                  <w:marTop w:val="0"/>
                  <w:marBottom w:val="0"/>
                  <w:divBdr>
                    <w:top w:val="none" w:sz="0" w:space="0" w:color="auto"/>
                    <w:left w:val="none" w:sz="0" w:space="0" w:color="auto"/>
                    <w:bottom w:val="none" w:sz="0" w:space="0" w:color="auto"/>
                    <w:right w:val="none" w:sz="0" w:space="0" w:color="auto"/>
                  </w:divBdr>
                  <w:divsChild>
                    <w:div w:id="1807039817">
                      <w:marLeft w:val="0"/>
                      <w:marRight w:val="0"/>
                      <w:marTop w:val="0"/>
                      <w:marBottom w:val="0"/>
                      <w:divBdr>
                        <w:top w:val="none" w:sz="0" w:space="0" w:color="auto"/>
                        <w:left w:val="none" w:sz="0" w:space="0" w:color="auto"/>
                        <w:bottom w:val="none" w:sz="0" w:space="0" w:color="auto"/>
                        <w:right w:val="none" w:sz="0" w:space="0" w:color="auto"/>
                      </w:divBdr>
                    </w:div>
                  </w:divsChild>
                </w:div>
                <w:div w:id="953361236">
                  <w:marLeft w:val="0"/>
                  <w:marRight w:val="0"/>
                  <w:marTop w:val="0"/>
                  <w:marBottom w:val="0"/>
                  <w:divBdr>
                    <w:top w:val="none" w:sz="0" w:space="0" w:color="auto"/>
                    <w:left w:val="none" w:sz="0" w:space="0" w:color="auto"/>
                    <w:bottom w:val="none" w:sz="0" w:space="0" w:color="auto"/>
                    <w:right w:val="none" w:sz="0" w:space="0" w:color="auto"/>
                  </w:divBdr>
                  <w:divsChild>
                    <w:div w:id="465396274">
                      <w:marLeft w:val="0"/>
                      <w:marRight w:val="0"/>
                      <w:marTop w:val="0"/>
                      <w:marBottom w:val="0"/>
                      <w:divBdr>
                        <w:top w:val="none" w:sz="0" w:space="0" w:color="auto"/>
                        <w:left w:val="none" w:sz="0" w:space="0" w:color="auto"/>
                        <w:bottom w:val="none" w:sz="0" w:space="0" w:color="auto"/>
                        <w:right w:val="none" w:sz="0" w:space="0" w:color="auto"/>
                      </w:divBdr>
                    </w:div>
                  </w:divsChild>
                </w:div>
                <w:div w:id="955332518">
                  <w:marLeft w:val="0"/>
                  <w:marRight w:val="0"/>
                  <w:marTop w:val="0"/>
                  <w:marBottom w:val="0"/>
                  <w:divBdr>
                    <w:top w:val="none" w:sz="0" w:space="0" w:color="auto"/>
                    <w:left w:val="none" w:sz="0" w:space="0" w:color="auto"/>
                    <w:bottom w:val="none" w:sz="0" w:space="0" w:color="auto"/>
                    <w:right w:val="none" w:sz="0" w:space="0" w:color="auto"/>
                  </w:divBdr>
                  <w:divsChild>
                    <w:div w:id="655376713">
                      <w:marLeft w:val="0"/>
                      <w:marRight w:val="0"/>
                      <w:marTop w:val="0"/>
                      <w:marBottom w:val="0"/>
                      <w:divBdr>
                        <w:top w:val="none" w:sz="0" w:space="0" w:color="auto"/>
                        <w:left w:val="none" w:sz="0" w:space="0" w:color="auto"/>
                        <w:bottom w:val="none" w:sz="0" w:space="0" w:color="auto"/>
                        <w:right w:val="none" w:sz="0" w:space="0" w:color="auto"/>
                      </w:divBdr>
                    </w:div>
                  </w:divsChild>
                </w:div>
                <w:div w:id="961809483">
                  <w:marLeft w:val="0"/>
                  <w:marRight w:val="0"/>
                  <w:marTop w:val="0"/>
                  <w:marBottom w:val="0"/>
                  <w:divBdr>
                    <w:top w:val="none" w:sz="0" w:space="0" w:color="auto"/>
                    <w:left w:val="none" w:sz="0" w:space="0" w:color="auto"/>
                    <w:bottom w:val="none" w:sz="0" w:space="0" w:color="auto"/>
                    <w:right w:val="none" w:sz="0" w:space="0" w:color="auto"/>
                  </w:divBdr>
                  <w:divsChild>
                    <w:div w:id="1163469211">
                      <w:marLeft w:val="0"/>
                      <w:marRight w:val="0"/>
                      <w:marTop w:val="0"/>
                      <w:marBottom w:val="0"/>
                      <w:divBdr>
                        <w:top w:val="none" w:sz="0" w:space="0" w:color="auto"/>
                        <w:left w:val="none" w:sz="0" w:space="0" w:color="auto"/>
                        <w:bottom w:val="none" w:sz="0" w:space="0" w:color="auto"/>
                        <w:right w:val="none" w:sz="0" w:space="0" w:color="auto"/>
                      </w:divBdr>
                    </w:div>
                  </w:divsChild>
                </w:div>
                <w:div w:id="973370439">
                  <w:marLeft w:val="0"/>
                  <w:marRight w:val="0"/>
                  <w:marTop w:val="0"/>
                  <w:marBottom w:val="0"/>
                  <w:divBdr>
                    <w:top w:val="none" w:sz="0" w:space="0" w:color="auto"/>
                    <w:left w:val="none" w:sz="0" w:space="0" w:color="auto"/>
                    <w:bottom w:val="none" w:sz="0" w:space="0" w:color="auto"/>
                    <w:right w:val="none" w:sz="0" w:space="0" w:color="auto"/>
                  </w:divBdr>
                  <w:divsChild>
                    <w:div w:id="548690415">
                      <w:marLeft w:val="0"/>
                      <w:marRight w:val="0"/>
                      <w:marTop w:val="0"/>
                      <w:marBottom w:val="0"/>
                      <w:divBdr>
                        <w:top w:val="none" w:sz="0" w:space="0" w:color="auto"/>
                        <w:left w:val="none" w:sz="0" w:space="0" w:color="auto"/>
                        <w:bottom w:val="none" w:sz="0" w:space="0" w:color="auto"/>
                        <w:right w:val="none" w:sz="0" w:space="0" w:color="auto"/>
                      </w:divBdr>
                    </w:div>
                  </w:divsChild>
                </w:div>
                <w:div w:id="976298518">
                  <w:marLeft w:val="0"/>
                  <w:marRight w:val="0"/>
                  <w:marTop w:val="0"/>
                  <w:marBottom w:val="0"/>
                  <w:divBdr>
                    <w:top w:val="none" w:sz="0" w:space="0" w:color="auto"/>
                    <w:left w:val="none" w:sz="0" w:space="0" w:color="auto"/>
                    <w:bottom w:val="none" w:sz="0" w:space="0" w:color="auto"/>
                    <w:right w:val="none" w:sz="0" w:space="0" w:color="auto"/>
                  </w:divBdr>
                  <w:divsChild>
                    <w:div w:id="985403211">
                      <w:marLeft w:val="0"/>
                      <w:marRight w:val="0"/>
                      <w:marTop w:val="0"/>
                      <w:marBottom w:val="0"/>
                      <w:divBdr>
                        <w:top w:val="none" w:sz="0" w:space="0" w:color="auto"/>
                        <w:left w:val="none" w:sz="0" w:space="0" w:color="auto"/>
                        <w:bottom w:val="none" w:sz="0" w:space="0" w:color="auto"/>
                        <w:right w:val="none" w:sz="0" w:space="0" w:color="auto"/>
                      </w:divBdr>
                    </w:div>
                  </w:divsChild>
                </w:div>
                <w:div w:id="991522532">
                  <w:marLeft w:val="0"/>
                  <w:marRight w:val="0"/>
                  <w:marTop w:val="0"/>
                  <w:marBottom w:val="0"/>
                  <w:divBdr>
                    <w:top w:val="none" w:sz="0" w:space="0" w:color="auto"/>
                    <w:left w:val="none" w:sz="0" w:space="0" w:color="auto"/>
                    <w:bottom w:val="none" w:sz="0" w:space="0" w:color="auto"/>
                    <w:right w:val="none" w:sz="0" w:space="0" w:color="auto"/>
                  </w:divBdr>
                  <w:divsChild>
                    <w:div w:id="721514212">
                      <w:marLeft w:val="0"/>
                      <w:marRight w:val="0"/>
                      <w:marTop w:val="0"/>
                      <w:marBottom w:val="0"/>
                      <w:divBdr>
                        <w:top w:val="none" w:sz="0" w:space="0" w:color="auto"/>
                        <w:left w:val="none" w:sz="0" w:space="0" w:color="auto"/>
                        <w:bottom w:val="none" w:sz="0" w:space="0" w:color="auto"/>
                        <w:right w:val="none" w:sz="0" w:space="0" w:color="auto"/>
                      </w:divBdr>
                    </w:div>
                  </w:divsChild>
                </w:div>
                <w:div w:id="992366769">
                  <w:marLeft w:val="0"/>
                  <w:marRight w:val="0"/>
                  <w:marTop w:val="0"/>
                  <w:marBottom w:val="0"/>
                  <w:divBdr>
                    <w:top w:val="none" w:sz="0" w:space="0" w:color="auto"/>
                    <w:left w:val="none" w:sz="0" w:space="0" w:color="auto"/>
                    <w:bottom w:val="none" w:sz="0" w:space="0" w:color="auto"/>
                    <w:right w:val="none" w:sz="0" w:space="0" w:color="auto"/>
                  </w:divBdr>
                  <w:divsChild>
                    <w:div w:id="1875729920">
                      <w:marLeft w:val="0"/>
                      <w:marRight w:val="0"/>
                      <w:marTop w:val="0"/>
                      <w:marBottom w:val="0"/>
                      <w:divBdr>
                        <w:top w:val="none" w:sz="0" w:space="0" w:color="auto"/>
                        <w:left w:val="none" w:sz="0" w:space="0" w:color="auto"/>
                        <w:bottom w:val="none" w:sz="0" w:space="0" w:color="auto"/>
                        <w:right w:val="none" w:sz="0" w:space="0" w:color="auto"/>
                      </w:divBdr>
                    </w:div>
                  </w:divsChild>
                </w:div>
                <w:div w:id="1006131248">
                  <w:marLeft w:val="0"/>
                  <w:marRight w:val="0"/>
                  <w:marTop w:val="0"/>
                  <w:marBottom w:val="0"/>
                  <w:divBdr>
                    <w:top w:val="none" w:sz="0" w:space="0" w:color="auto"/>
                    <w:left w:val="none" w:sz="0" w:space="0" w:color="auto"/>
                    <w:bottom w:val="none" w:sz="0" w:space="0" w:color="auto"/>
                    <w:right w:val="none" w:sz="0" w:space="0" w:color="auto"/>
                  </w:divBdr>
                  <w:divsChild>
                    <w:div w:id="617637913">
                      <w:marLeft w:val="0"/>
                      <w:marRight w:val="0"/>
                      <w:marTop w:val="0"/>
                      <w:marBottom w:val="0"/>
                      <w:divBdr>
                        <w:top w:val="none" w:sz="0" w:space="0" w:color="auto"/>
                        <w:left w:val="none" w:sz="0" w:space="0" w:color="auto"/>
                        <w:bottom w:val="none" w:sz="0" w:space="0" w:color="auto"/>
                        <w:right w:val="none" w:sz="0" w:space="0" w:color="auto"/>
                      </w:divBdr>
                    </w:div>
                  </w:divsChild>
                </w:div>
                <w:div w:id="1011226668">
                  <w:marLeft w:val="0"/>
                  <w:marRight w:val="0"/>
                  <w:marTop w:val="0"/>
                  <w:marBottom w:val="0"/>
                  <w:divBdr>
                    <w:top w:val="none" w:sz="0" w:space="0" w:color="auto"/>
                    <w:left w:val="none" w:sz="0" w:space="0" w:color="auto"/>
                    <w:bottom w:val="none" w:sz="0" w:space="0" w:color="auto"/>
                    <w:right w:val="none" w:sz="0" w:space="0" w:color="auto"/>
                  </w:divBdr>
                  <w:divsChild>
                    <w:div w:id="1147555547">
                      <w:marLeft w:val="0"/>
                      <w:marRight w:val="0"/>
                      <w:marTop w:val="0"/>
                      <w:marBottom w:val="0"/>
                      <w:divBdr>
                        <w:top w:val="none" w:sz="0" w:space="0" w:color="auto"/>
                        <w:left w:val="none" w:sz="0" w:space="0" w:color="auto"/>
                        <w:bottom w:val="none" w:sz="0" w:space="0" w:color="auto"/>
                        <w:right w:val="none" w:sz="0" w:space="0" w:color="auto"/>
                      </w:divBdr>
                    </w:div>
                  </w:divsChild>
                </w:div>
                <w:div w:id="1011882373">
                  <w:marLeft w:val="0"/>
                  <w:marRight w:val="0"/>
                  <w:marTop w:val="0"/>
                  <w:marBottom w:val="0"/>
                  <w:divBdr>
                    <w:top w:val="none" w:sz="0" w:space="0" w:color="auto"/>
                    <w:left w:val="none" w:sz="0" w:space="0" w:color="auto"/>
                    <w:bottom w:val="none" w:sz="0" w:space="0" w:color="auto"/>
                    <w:right w:val="none" w:sz="0" w:space="0" w:color="auto"/>
                  </w:divBdr>
                  <w:divsChild>
                    <w:div w:id="1417358444">
                      <w:marLeft w:val="0"/>
                      <w:marRight w:val="0"/>
                      <w:marTop w:val="0"/>
                      <w:marBottom w:val="0"/>
                      <w:divBdr>
                        <w:top w:val="none" w:sz="0" w:space="0" w:color="auto"/>
                        <w:left w:val="none" w:sz="0" w:space="0" w:color="auto"/>
                        <w:bottom w:val="none" w:sz="0" w:space="0" w:color="auto"/>
                        <w:right w:val="none" w:sz="0" w:space="0" w:color="auto"/>
                      </w:divBdr>
                    </w:div>
                  </w:divsChild>
                </w:div>
                <w:div w:id="1015885579">
                  <w:marLeft w:val="0"/>
                  <w:marRight w:val="0"/>
                  <w:marTop w:val="0"/>
                  <w:marBottom w:val="0"/>
                  <w:divBdr>
                    <w:top w:val="none" w:sz="0" w:space="0" w:color="auto"/>
                    <w:left w:val="none" w:sz="0" w:space="0" w:color="auto"/>
                    <w:bottom w:val="none" w:sz="0" w:space="0" w:color="auto"/>
                    <w:right w:val="none" w:sz="0" w:space="0" w:color="auto"/>
                  </w:divBdr>
                  <w:divsChild>
                    <w:div w:id="1726754921">
                      <w:marLeft w:val="0"/>
                      <w:marRight w:val="0"/>
                      <w:marTop w:val="0"/>
                      <w:marBottom w:val="0"/>
                      <w:divBdr>
                        <w:top w:val="none" w:sz="0" w:space="0" w:color="auto"/>
                        <w:left w:val="none" w:sz="0" w:space="0" w:color="auto"/>
                        <w:bottom w:val="none" w:sz="0" w:space="0" w:color="auto"/>
                        <w:right w:val="none" w:sz="0" w:space="0" w:color="auto"/>
                      </w:divBdr>
                    </w:div>
                  </w:divsChild>
                </w:div>
                <w:div w:id="1021976322">
                  <w:marLeft w:val="0"/>
                  <w:marRight w:val="0"/>
                  <w:marTop w:val="0"/>
                  <w:marBottom w:val="0"/>
                  <w:divBdr>
                    <w:top w:val="none" w:sz="0" w:space="0" w:color="auto"/>
                    <w:left w:val="none" w:sz="0" w:space="0" w:color="auto"/>
                    <w:bottom w:val="none" w:sz="0" w:space="0" w:color="auto"/>
                    <w:right w:val="none" w:sz="0" w:space="0" w:color="auto"/>
                  </w:divBdr>
                  <w:divsChild>
                    <w:div w:id="414399991">
                      <w:marLeft w:val="0"/>
                      <w:marRight w:val="0"/>
                      <w:marTop w:val="0"/>
                      <w:marBottom w:val="0"/>
                      <w:divBdr>
                        <w:top w:val="none" w:sz="0" w:space="0" w:color="auto"/>
                        <w:left w:val="none" w:sz="0" w:space="0" w:color="auto"/>
                        <w:bottom w:val="none" w:sz="0" w:space="0" w:color="auto"/>
                        <w:right w:val="none" w:sz="0" w:space="0" w:color="auto"/>
                      </w:divBdr>
                    </w:div>
                  </w:divsChild>
                </w:div>
                <w:div w:id="1023441272">
                  <w:marLeft w:val="0"/>
                  <w:marRight w:val="0"/>
                  <w:marTop w:val="0"/>
                  <w:marBottom w:val="0"/>
                  <w:divBdr>
                    <w:top w:val="none" w:sz="0" w:space="0" w:color="auto"/>
                    <w:left w:val="none" w:sz="0" w:space="0" w:color="auto"/>
                    <w:bottom w:val="none" w:sz="0" w:space="0" w:color="auto"/>
                    <w:right w:val="none" w:sz="0" w:space="0" w:color="auto"/>
                  </w:divBdr>
                  <w:divsChild>
                    <w:div w:id="2133283711">
                      <w:marLeft w:val="0"/>
                      <w:marRight w:val="0"/>
                      <w:marTop w:val="0"/>
                      <w:marBottom w:val="0"/>
                      <w:divBdr>
                        <w:top w:val="none" w:sz="0" w:space="0" w:color="auto"/>
                        <w:left w:val="none" w:sz="0" w:space="0" w:color="auto"/>
                        <w:bottom w:val="none" w:sz="0" w:space="0" w:color="auto"/>
                        <w:right w:val="none" w:sz="0" w:space="0" w:color="auto"/>
                      </w:divBdr>
                    </w:div>
                  </w:divsChild>
                </w:div>
                <w:div w:id="1026055916">
                  <w:marLeft w:val="0"/>
                  <w:marRight w:val="0"/>
                  <w:marTop w:val="0"/>
                  <w:marBottom w:val="0"/>
                  <w:divBdr>
                    <w:top w:val="none" w:sz="0" w:space="0" w:color="auto"/>
                    <w:left w:val="none" w:sz="0" w:space="0" w:color="auto"/>
                    <w:bottom w:val="none" w:sz="0" w:space="0" w:color="auto"/>
                    <w:right w:val="none" w:sz="0" w:space="0" w:color="auto"/>
                  </w:divBdr>
                  <w:divsChild>
                    <w:div w:id="632754802">
                      <w:marLeft w:val="0"/>
                      <w:marRight w:val="0"/>
                      <w:marTop w:val="0"/>
                      <w:marBottom w:val="0"/>
                      <w:divBdr>
                        <w:top w:val="none" w:sz="0" w:space="0" w:color="auto"/>
                        <w:left w:val="none" w:sz="0" w:space="0" w:color="auto"/>
                        <w:bottom w:val="none" w:sz="0" w:space="0" w:color="auto"/>
                        <w:right w:val="none" w:sz="0" w:space="0" w:color="auto"/>
                      </w:divBdr>
                    </w:div>
                  </w:divsChild>
                </w:div>
                <w:div w:id="1032608942">
                  <w:marLeft w:val="0"/>
                  <w:marRight w:val="0"/>
                  <w:marTop w:val="0"/>
                  <w:marBottom w:val="0"/>
                  <w:divBdr>
                    <w:top w:val="none" w:sz="0" w:space="0" w:color="auto"/>
                    <w:left w:val="none" w:sz="0" w:space="0" w:color="auto"/>
                    <w:bottom w:val="none" w:sz="0" w:space="0" w:color="auto"/>
                    <w:right w:val="none" w:sz="0" w:space="0" w:color="auto"/>
                  </w:divBdr>
                  <w:divsChild>
                    <w:div w:id="1109860649">
                      <w:marLeft w:val="0"/>
                      <w:marRight w:val="0"/>
                      <w:marTop w:val="0"/>
                      <w:marBottom w:val="0"/>
                      <w:divBdr>
                        <w:top w:val="none" w:sz="0" w:space="0" w:color="auto"/>
                        <w:left w:val="none" w:sz="0" w:space="0" w:color="auto"/>
                        <w:bottom w:val="none" w:sz="0" w:space="0" w:color="auto"/>
                        <w:right w:val="none" w:sz="0" w:space="0" w:color="auto"/>
                      </w:divBdr>
                    </w:div>
                  </w:divsChild>
                </w:div>
                <w:div w:id="1033842232">
                  <w:marLeft w:val="0"/>
                  <w:marRight w:val="0"/>
                  <w:marTop w:val="0"/>
                  <w:marBottom w:val="0"/>
                  <w:divBdr>
                    <w:top w:val="none" w:sz="0" w:space="0" w:color="auto"/>
                    <w:left w:val="none" w:sz="0" w:space="0" w:color="auto"/>
                    <w:bottom w:val="none" w:sz="0" w:space="0" w:color="auto"/>
                    <w:right w:val="none" w:sz="0" w:space="0" w:color="auto"/>
                  </w:divBdr>
                  <w:divsChild>
                    <w:div w:id="467667103">
                      <w:marLeft w:val="0"/>
                      <w:marRight w:val="0"/>
                      <w:marTop w:val="0"/>
                      <w:marBottom w:val="0"/>
                      <w:divBdr>
                        <w:top w:val="none" w:sz="0" w:space="0" w:color="auto"/>
                        <w:left w:val="none" w:sz="0" w:space="0" w:color="auto"/>
                        <w:bottom w:val="none" w:sz="0" w:space="0" w:color="auto"/>
                        <w:right w:val="none" w:sz="0" w:space="0" w:color="auto"/>
                      </w:divBdr>
                    </w:div>
                  </w:divsChild>
                </w:div>
                <w:div w:id="1046563483">
                  <w:marLeft w:val="0"/>
                  <w:marRight w:val="0"/>
                  <w:marTop w:val="0"/>
                  <w:marBottom w:val="0"/>
                  <w:divBdr>
                    <w:top w:val="none" w:sz="0" w:space="0" w:color="auto"/>
                    <w:left w:val="none" w:sz="0" w:space="0" w:color="auto"/>
                    <w:bottom w:val="none" w:sz="0" w:space="0" w:color="auto"/>
                    <w:right w:val="none" w:sz="0" w:space="0" w:color="auto"/>
                  </w:divBdr>
                  <w:divsChild>
                    <w:div w:id="716321093">
                      <w:marLeft w:val="0"/>
                      <w:marRight w:val="0"/>
                      <w:marTop w:val="0"/>
                      <w:marBottom w:val="0"/>
                      <w:divBdr>
                        <w:top w:val="none" w:sz="0" w:space="0" w:color="auto"/>
                        <w:left w:val="none" w:sz="0" w:space="0" w:color="auto"/>
                        <w:bottom w:val="none" w:sz="0" w:space="0" w:color="auto"/>
                        <w:right w:val="none" w:sz="0" w:space="0" w:color="auto"/>
                      </w:divBdr>
                    </w:div>
                  </w:divsChild>
                </w:div>
                <w:div w:id="1050494853">
                  <w:marLeft w:val="0"/>
                  <w:marRight w:val="0"/>
                  <w:marTop w:val="0"/>
                  <w:marBottom w:val="0"/>
                  <w:divBdr>
                    <w:top w:val="none" w:sz="0" w:space="0" w:color="auto"/>
                    <w:left w:val="none" w:sz="0" w:space="0" w:color="auto"/>
                    <w:bottom w:val="none" w:sz="0" w:space="0" w:color="auto"/>
                    <w:right w:val="none" w:sz="0" w:space="0" w:color="auto"/>
                  </w:divBdr>
                  <w:divsChild>
                    <w:div w:id="567770362">
                      <w:marLeft w:val="0"/>
                      <w:marRight w:val="0"/>
                      <w:marTop w:val="0"/>
                      <w:marBottom w:val="0"/>
                      <w:divBdr>
                        <w:top w:val="none" w:sz="0" w:space="0" w:color="auto"/>
                        <w:left w:val="none" w:sz="0" w:space="0" w:color="auto"/>
                        <w:bottom w:val="none" w:sz="0" w:space="0" w:color="auto"/>
                        <w:right w:val="none" w:sz="0" w:space="0" w:color="auto"/>
                      </w:divBdr>
                    </w:div>
                  </w:divsChild>
                </w:div>
                <w:div w:id="1050569103">
                  <w:marLeft w:val="0"/>
                  <w:marRight w:val="0"/>
                  <w:marTop w:val="0"/>
                  <w:marBottom w:val="0"/>
                  <w:divBdr>
                    <w:top w:val="none" w:sz="0" w:space="0" w:color="auto"/>
                    <w:left w:val="none" w:sz="0" w:space="0" w:color="auto"/>
                    <w:bottom w:val="none" w:sz="0" w:space="0" w:color="auto"/>
                    <w:right w:val="none" w:sz="0" w:space="0" w:color="auto"/>
                  </w:divBdr>
                  <w:divsChild>
                    <w:div w:id="1550454740">
                      <w:marLeft w:val="0"/>
                      <w:marRight w:val="0"/>
                      <w:marTop w:val="0"/>
                      <w:marBottom w:val="0"/>
                      <w:divBdr>
                        <w:top w:val="none" w:sz="0" w:space="0" w:color="auto"/>
                        <w:left w:val="none" w:sz="0" w:space="0" w:color="auto"/>
                        <w:bottom w:val="none" w:sz="0" w:space="0" w:color="auto"/>
                        <w:right w:val="none" w:sz="0" w:space="0" w:color="auto"/>
                      </w:divBdr>
                    </w:div>
                  </w:divsChild>
                </w:div>
                <w:div w:id="1053046692">
                  <w:marLeft w:val="0"/>
                  <w:marRight w:val="0"/>
                  <w:marTop w:val="0"/>
                  <w:marBottom w:val="0"/>
                  <w:divBdr>
                    <w:top w:val="none" w:sz="0" w:space="0" w:color="auto"/>
                    <w:left w:val="none" w:sz="0" w:space="0" w:color="auto"/>
                    <w:bottom w:val="none" w:sz="0" w:space="0" w:color="auto"/>
                    <w:right w:val="none" w:sz="0" w:space="0" w:color="auto"/>
                  </w:divBdr>
                  <w:divsChild>
                    <w:div w:id="443770825">
                      <w:marLeft w:val="0"/>
                      <w:marRight w:val="0"/>
                      <w:marTop w:val="0"/>
                      <w:marBottom w:val="0"/>
                      <w:divBdr>
                        <w:top w:val="none" w:sz="0" w:space="0" w:color="auto"/>
                        <w:left w:val="none" w:sz="0" w:space="0" w:color="auto"/>
                        <w:bottom w:val="none" w:sz="0" w:space="0" w:color="auto"/>
                        <w:right w:val="none" w:sz="0" w:space="0" w:color="auto"/>
                      </w:divBdr>
                    </w:div>
                  </w:divsChild>
                </w:div>
                <w:div w:id="1059866688">
                  <w:marLeft w:val="0"/>
                  <w:marRight w:val="0"/>
                  <w:marTop w:val="0"/>
                  <w:marBottom w:val="0"/>
                  <w:divBdr>
                    <w:top w:val="none" w:sz="0" w:space="0" w:color="auto"/>
                    <w:left w:val="none" w:sz="0" w:space="0" w:color="auto"/>
                    <w:bottom w:val="none" w:sz="0" w:space="0" w:color="auto"/>
                    <w:right w:val="none" w:sz="0" w:space="0" w:color="auto"/>
                  </w:divBdr>
                  <w:divsChild>
                    <w:div w:id="476605472">
                      <w:marLeft w:val="0"/>
                      <w:marRight w:val="0"/>
                      <w:marTop w:val="0"/>
                      <w:marBottom w:val="0"/>
                      <w:divBdr>
                        <w:top w:val="none" w:sz="0" w:space="0" w:color="auto"/>
                        <w:left w:val="none" w:sz="0" w:space="0" w:color="auto"/>
                        <w:bottom w:val="none" w:sz="0" w:space="0" w:color="auto"/>
                        <w:right w:val="none" w:sz="0" w:space="0" w:color="auto"/>
                      </w:divBdr>
                    </w:div>
                  </w:divsChild>
                </w:div>
                <w:div w:id="1062406160">
                  <w:marLeft w:val="0"/>
                  <w:marRight w:val="0"/>
                  <w:marTop w:val="0"/>
                  <w:marBottom w:val="0"/>
                  <w:divBdr>
                    <w:top w:val="none" w:sz="0" w:space="0" w:color="auto"/>
                    <w:left w:val="none" w:sz="0" w:space="0" w:color="auto"/>
                    <w:bottom w:val="none" w:sz="0" w:space="0" w:color="auto"/>
                    <w:right w:val="none" w:sz="0" w:space="0" w:color="auto"/>
                  </w:divBdr>
                  <w:divsChild>
                    <w:div w:id="2142140866">
                      <w:marLeft w:val="0"/>
                      <w:marRight w:val="0"/>
                      <w:marTop w:val="0"/>
                      <w:marBottom w:val="0"/>
                      <w:divBdr>
                        <w:top w:val="none" w:sz="0" w:space="0" w:color="auto"/>
                        <w:left w:val="none" w:sz="0" w:space="0" w:color="auto"/>
                        <w:bottom w:val="none" w:sz="0" w:space="0" w:color="auto"/>
                        <w:right w:val="none" w:sz="0" w:space="0" w:color="auto"/>
                      </w:divBdr>
                    </w:div>
                  </w:divsChild>
                </w:div>
                <w:div w:id="1065448012">
                  <w:marLeft w:val="0"/>
                  <w:marRight w:val="0"/>
                  <w:marTop w:val="0"/>
                  <w:marBottom w:val="0"/>
                  <w:divBdr>
                    <w:top w:val="none" w:sz="0" w:space="0" w:color="auto"/>
                    <w:left w:val="none" w:sz="0" w:space="0" w:color="auto"/>
                    <w:bottom w:val="none" w:sz="0" w:space="0" w:color="auto"/>
                    <w:right w:val="none" w:sz="0" w:space="0" w:color="auto"/>
                  </w:divBdr>
                  <w:divsChild>
                    <w:div w:id="1865095715">
                      <w:marLeft w:val="0"/>
                      <w:marRight w:val="0"/>
                      <w:marTop w:val="0"/>
                      <w:marBottom w:val="0"/>
                      <w:divBdr>
                        <w:top w:val="none" w:sz="0" w:space="0" w:color="auto"/>
                        <w:left w:val="none" w:sz="0" w:space="0" w:color="auto"/>
                        <w:bottom w:val="none" w:sz="0" w:space="0" w:color="auto"/>
                        <w:right w:val="none" w:sz="0" w:space="0" w:color="auto"/>
                      </w:divBdr>
                    </w:div>
                  </w:divsChild>
                </w:div>
                <w:div w:id="1070233443">
                  <w:marLeft w:val="0"/>
                  <w:marRight w:val="0"/>
                  <w:marTop w:val="0"/>
                  <w:marBottom w:val="0"/>
                  <w:divBdr>
                    <w:top w:val="none" w:sz="0" w:space="0" w:color="auto"/>
                    <w:left w:val="none" w:sz="0" w:space="0" w:color="auto"/>
                    <w:bottom w:val="none" w:sz="0" w:space="0" w:color="auto"/>
                    <w:right w:val="none" w:sz="0" w:space="0" w:color="auto"/>
                  </w:divBdr>
                  <w:divsChild>
                    <w:div w:id="17436958">
                      <w:marLeft w:val="0"/>
                      <w:marRight w:val="0"/>
                      <w:marTop w:val="0"/>
                      <w:marBottom w:val="0"/>
                      <w:divBdr>
                        <w:top w:val="none" w:sz="0" w:space="0" w:color="auto"/>
                        <w:left w:val="none" w:sz="0" w:space="0" w:color="auto"/>
                        <w:bottom w:val="none" w:sz="0" w:space="0" w:color="auto"/>
                        <w:right w:val="none" w:sz="0" w:space="0" w:color="auto"/>
                      </w:divBdr>
                    </w:div>
                  </w:divsChild>
                </w:div>
                <w:div w:id="1075474990">
                  <w:marLeft w:val="0"/>
                  <w:marRight w:val="0"/>
                  <w:marTop w:val="0"/>
                  <w:marBottom w:val="0"/>
                  <w:divBdr>
                    <w:top w:val="none" w:sz="0" w:space="0" w:color="auto"/>
                    <w:left w:val="none" w:sz="0" w:space="0" w:color="auto"/>
                    <w:bottom w:val="none" w:sz="0" w:space="0" w:color="auto"/>
                    <w:right w:val="none" w:sz="0" w:space="0" w:color="auto"/>
                  </w:divBdr>
                  <w:divsChild>
                    <w:div w:id="1025909994">
                      <w:marLeft w:val="0"/>
                      <w:marRight w:val="0"/>
                      <w:marTop w:val="0"/>
                      <w:marBottom w:val="0"/>
                      <w:divBdr>
                        <w:top w:val="none" w:sz="0" w:space="0" w:color="auto"/>
                        <w:left w:val="none" w:sz="0" w:space="0" w:color="auto"/>
                        <w:bottom w:val="none" w:sz="0" w:space="0" w:color="auto"/>
                        <w:right w:val="none" w:sz="0" w:space="0" w:color="auto"/>
                      </w:divBdr>
                    </w:div>
                  </w:divsChild>
                </w:div>
                <w:div w:id="1079979211">
                  <w:marLeft w:val="0"/>
                  <w:marRight w:val="0"/>
                  <w:marTop w:val="0"/>
                  <w:marBottom w:val="0"/>
                  <w:divBdr>
                    <w:top w:val="none" w:sz="0" w:space="0" w:color="auto"/>
                    <w:left w:val="none" w:sz="0" w:space="0" w:color="auto"/>
                    <w:bottom w:val="none" w:sz="0" w:space="0" w:color="auto"/>
                    <w:right w:val="none" w:sz="0" w:space="0" w:color="auto"/>
                  </w:divBdr>
                  <w:divsChild>
                    <w:div w:id="564335799">
                      <w:marLeft w:val="0"/>
                      <w:marRight w:val="0"/>
                      <w:marTop w:val="0"/>
                      <w:marBottom w:val="0"/>
                      <w:divBdr>
                        <w:top w:val="none" w:sz="0" w:space="0" w:color="auto"/>
                        <w:left w:val="none" w:sz="0" w:space="0" w:color="auto"/>
                        <w:bottom w:val="none" w:sz="0" w:space="0" w:color="auto"/>
                        <w:right w:val="none" w:sz="0" w:space="0" w:color="auto"/>
                      </w:divBdr>
                    </w:div>
                  </w:divsChild>
                </w:div>
                <w:div w:id="1080298873">
                  <w:marLeft w:val="0"/>
                  <w:marRight w:val="0"/>
                  <w:marTop w:val="0"/>
                  <w:marBottom w:val="0"/>
                  <w:divBdr>
                    <w:top w:val="none" w:sz="0" w:space="0" w:color="auto"/>
                    <w:left w:val="none" w:sz="0" w:space="0" w:color="auto"/>
                    <w:bottom w:val="none" w:sz="0" w:space="0" w:color="auto"/>
                    <w:right w:val="none" w:sz="0" w:space="0" w:color="auto"/>
                  </w:divBdr>
                  <w:divsChild>
                    <w:div w:id="2096705711">
                      <w:marLeft w:val="0"/>
                      <w:marRight w:val="0"/>
                      <w:marTop w:val="0"/>
                      <w:marBottom w:val="0"/>
                      <w:divBdr>
                        <w:top w:val="none" w:sz="0" w:space="0" w:color="auto"/>
                        <w:left w:val="none" w:sz="0" w:space="0" w:color="auto"/>
                        <w:bottom w:val="none" w:sz="0" w:space="0" w:color="auto"/>
                        <w:right w:val="none" w:sz="0" w:space="0" w:color="auto"/>
                      </w:divBdr>
                    </w:div>
                  </w:divsChild>
                </w:div>
                <w:div w:id="1090584795">
                  <w:marLeft w:val="0"/>
                  <w:marRight w:val="0"/>
                  <w:marTop w:val="0"/>
                  <w:marBottom w:val="0"/>
                  <w:divBdr>
                    <w:top w:val="none" w:sz="0" w:space="0" w:color="auto"/>
                    <w:left w:val="none" w:sz="0" w:space="0" w:color="auto"/>
                    <w:bottom w:val="none" w:sz="0" w:space="0" w:color="auto"/>
                    <w:right w:val="none" w:sz="0" w:space="0" w:color="auto"/>
                  </w:divBdr>
                  <w:divsChild>
                    <w:div w:id="1550067323">
                      <w:marLeft w:val="0"/>
                      <w:marRight w:val="0"/>
                      <w:marTop w:val="0"/>
                      <w:marBottom w:val="0"/>
                      <w:divBdr>
                        <w:top w:val="none" w:sz="0" w:space="0" w:color="auto"/>
                        <w:left w:val="none" w:sz="0" w:space="0" w:color="auto"/>
                        <w:bottom w:val="none" w:sz="0" w:space="0" w:color="auto"/>
                        <w:right w:val="none" w:sz="0" w:space="0" w:color="auto"/>
                      </w:divBdr>
                    </w:div>
                  </w:divsChild>
                </w:div>
                <w:div w:id="1095786496">
                  <w:marLeft w:val="0"/>
                  <w:marRight w:val="0"/>
                  <w:marTop w:val="0"/>
                  <w:marBottom w:val="0"/>
                  <w:divBdr>
                    <w:top w:val="none" w:sz="0" w:space="0" w:color="auto"/>
                    <w:left w:val="none" w:sz="0" w:space="0" w:color="auto"/>
                    <w:bottom w:val="none" w:sz="0" w:space="0" w:color="auto"/>
                    <w:right w:val="none" w:sz="0" w:space="0" w:color="auto"/>
                  </w:divBdr>
                  <w:divsChild>
                    <w:div w:id="71002234">
                      <w:marLeft w:val="0"/>
                      <w:marRight w:val="0"/>
                      <w:marTop w:val="0"/>
                      <w:marBottom w:val="0"/>
                      <w:divBdr>
                        <w:top w:val="none" w:sz="0" w:space="0" w:color="auto"/>
                        <w:left w:val="none" w:sz="0" w:space="0" w:color="auto"/>
                        <w:bottom w:val="none" w:sz="0" w:space="0" w:color="auto"/>
                        <w:right w:val="none" w:sz="0" w:space="0" w:color="auto"/>
                      </w:divBdr>
                    </w:div>
                  </w:divsChild>
                </w:div>
                <w:div w:id="1101030880">
                  <w:marLeft w:val="0"/>
                  <w:marRight w:val="0"/>
                  <w:marTop w:val="0"/>
                  <w:marBottom w:val="0"/>
                  <w:divBdr>
                    <w:top w:val="none" w:sz="0" w:space="0" w:color="auto"/>
                    <w:left w:val="none" w:sz="0" w:space="0" w:color="auto"/>
                    <w:bottom w:val="none" w:sz="0" w:space="0" w:color="auto"/>
                    <w:right w:val="none" w:sz="0" w:space="0" w:color="auto"/>
                  </w:divBdr>
                  <w:divsChild>
                    <w:div w:id="695354731">
                      <w:marLeft w:val="0"/>
                      <w:marRight w:val="0"/>
                      <w:marTop w:val="0"/>
                      <w:marBottom w:val="0"/>
                      <w:divBdr>
                        <w:top w:val="none" w:sz="0" w:space="0" w:color="auto"/>
                        <w:left w:val="none" w:sz="0" w:space="0" w:color="auto"/>
                        <w:bottom w:val="none" w:sz="0" w:space="0" w:color="auto"/>
                        <w:right w:val="none" w:sz="0" w:space="0" w:color="auto"/>
                      </w:divBdr>
                    </w:div>
                  </w:divsChild>
                </w:div>
                <w:div w:id="1104806642">
                  <w:marLeft w:val="0"/>
                  <w:marRight w:val="0"/>
                  <w:marTop w:val="0"/>
                  <w:marBottom w:val="0"/>
                  <w:divBdr>
                    <w:top w:val="none" w:sz="0" w:space="0" w:color="auto"/>
                    <w:left w:val="none" w:sz="0" w:space="0" w:color="auto"/>
                    <w:bottom w:val="none" w:sz="0" w:space="0" w:color="auto"/>
                    <w:right w:val="none" w:sz="0" w:space="0" w:color="auto"/>
                  </w:divBdr>
                  <w:divsChild>
                    <w:div w:id="2131512127">
                      <w:marLeft w:val="0"/>
                      <w:marRight w:val="0"/>
                      <w:marTop w:val="0"/>
                      <w:marBottom w:val="0"/>
                      <w:divBdr>
                        <w:top w:val="none" w:sz="0" w:space="0" w:color="auto"/>
                        <w:left w:val="none" w:sz="0" w:space="0" w:color="auto"/>
                        <w:bottom w:val="none" w:sz="0" w:space="0" w:color="auto"/>
                        <w:right w:val="none" w:sz="0" w:space="0" w:color="auto"/>
                      </w:divBdr>
                    </w:div>
                  </w:divsChild>
                </w:div>
                <w:div w:id="1107119598">
                  <w:marLeft w:val="0"/>
                  <w:marRight w:val="0"/>
                  <w:marTop w:val="0"/>
                  <w:marBottom w:val="0"/>
                  <w:divBdr>
                    <w:top w:val="none" w:sz="0" w:space="0" w:color="auto"/>
                    <w:left w:val="none" w:sz="0" w:space="0" w:color="auto"/>
                    <w:bottom w:val="none" w:sz="0" w:space="0" w:color="auto"/>
                    <w:right w:val="none" w:sz="0" w:space="0" w:color="auto"/>
                  </w:divBdr>
                  <w:divsChild>
                    <w:div w:id="417680401">
                      <w:marLeft w:val="0"/>
                      <w:marRight w:val="0"/>
                      <w:marTop w:val="0"/>
                      <w:marBottom w:val="0"/>
                      <w:divBdr>
                        <w:top w:val="none" w:sz="0" w:space="0" w:color="auto"/>
                        <w:left w:val="none" w:sz="0" w:space="0" w:color="auto"/>
                        <w:bottom w:val="none" w:sz="0" w:space="0" w:color="auto"/>
                        <w:right w:val="none" w:sz="0" w:space="0" w:color="auto"/>
                      </w:divBdr>
                    </w:div>
                  </w:divsChild>
                </w:div>
                <w:div w:id="1115561339">
                  <w:marLeft w:val="0"/>
                  <w:marRight w:val="0"/>
                  <w:marTop w:val="0"/>
                  <w:marBottom w:val="0"/>
                  <w:divBdr>
                    <w:top w:val="none" w:sz="0" w:space="0" w:color="auto"/>
                    <w:left w:val="none" w:sz="0" w:space="0" w:color="auto"/>
                    <w:bottom w:val="none" w:sz="0" w:space="0" w:color="auto"/>
                    <w:right w:val="none" w:sz="0" w:space="0" w:color="auto"/>
                  </w:divBdr>
                  <w:divsChild>
                    <w:div w:id="767577959">
                      <w:marLeft w:val="0"/>
                      <w:marRight w:val="0"/>
                      <w:marTop w:val="0"/>
                      <w:marBottom w:val="0"/>
                      <w:divBdr>
                        <w:top w:val="none" w:sz="0" w:space="0" w:color="auto"/>
                        <w:left w:val="none" w:sz="0" w:space="0" w:color="auto"/>
                        <w:bottom w:val="none" w:sz="0" w:space="0" w:color="auto"/>
                        <w:right w:val="none" w:sz="0" w:space="0" w:color="auto"/>
                      </w:divBdr>
                    </w:div>
                  </w:divsChild>
                </w:div>
                <w:div w:id="1116485844">
                  <w:marLeft w:val="0"/>
                  <w:marRight w:val="0"/>
                  <w:marTop w:val="0"/>
                  <w:marBottom w:val="0"/>
                  <w:divBdr>
                    <w:top w:val="none" w:sz="0" w:space="0" w:color="auto"/>
                    <w:left w:val="none" w:sz="0" w:space="0" w:color="auto"/>
                    <w:bottom w:val="none" w:sz="0" w:space="0" w:color="auto"/>
                    <w:right w:val="none" w:sz="0" w:space="0" w:color="auto"/>
                  </w:divBdr>
                  <w:divsChild>
                    <w:div w:id="1088189146">
                      <w:marLeft w:val="0"/>
                      <w:marRight w:val="0"/>
                      <w:marTop w:val="0"/>
                      <w:marBottom w:val="0"/>
                      <w:divBdr>
                        <w:top w:val="none" w:sz="0" w:space="0" w:color="auto"/>
                        <w:left w:val="none" w:sz="0" w:space="0" w:color="auto"/>
                        <w:bottom w:val="none" w:sz="0" w:space="0" w:color="auto"/>
                        <w:right w:val="none" w:sz="0" w:space="0" w:color="auto"/>
                      </w:divBdr>
                    </w:div>
                  </w:divsChild>
                </w:div>
                <w:div w:id="1117262736">
                  <w:marLeft w:val="0"/>
                  <w:marRight w:val="0"/>
                  <w:marTop w:val="0"/>
                  <w:marBottom w:val="0"/>
                  <w:divBdr>
                    <w:top w:val="none" w:sz="0" w:space="0" w:color="auto"/>
                    <w:left w:val="none" w:sz="0" w:space="0" w:color="auto"/>
                    <w:bottom w:val="none" w:sz="0" w:space="0" w:color="auto"/>
                    <w:right w:val="none" w:sz="0" w:space="0" w:color="auto"/>
                  </w:divBdr>
                  <w:divsChild>
                    <w:div w:id="1909924564">
                      <w:marLeft w:val="0"/>
                      <w:marRight w:val="0"/>
                      <w:marTop w:val="0"/>
                      <w:marBottom w:val="0"/>
                      <w:divBdr>
                        <w:top w:val="none" w:sz="0" w:space="0" w:color="auto"/>
                        <w:left w:val="none" w:sz="0" w:space="0" w:color="auto"/>
                        <w:bottom w:val="none" w:sz="0" w:space="0" w:color="auto"/>
                        <w:right w:val="none" w:sz="0" w:space="0" w:color="auto"/>
                      </w:divBdr>
                    </w:div>
                  </w:divsChild>
                </w:div>
                <w:div w:id="1123498275">
                  <w:marLeft w:val="0"/>
                  <w:marRight w:val="0"/>
                  <w:marTop w:val="0"/>
                  <w:marBottom w:val="0"/>
                  <w:divBdr>
                    <w:top w:val="none" w:sz="0" w:space="0" w:color="auto"/>
                    <w:left w:val="none" w:sz="0" w:space="0" w:color="auto"/>
                    <w:bottom w:val="none" w:sz="0" w:space="0" w:color="auto"/>
                    <w:right w:val="none" w:sz="0" w:space="0" w:color="auto"/>
                  </w:divBdr>
                  <w:divsChild>
                    <w:div w:id="1830517463">
                      <w:marLeft w:val="0"/>
                      <w:marRight w:val="0"/>
                      <w:marTop w:val="0"/>
                      <w:marBottom w:val="0"/>
                      <w:divBdr>
                        <w:top w:val="none" w:sz="0" w:space="0" w:color="auto"/>
                        <w:left w:val="none" w:sz="0" w:space="0" w:color="auto"/>
                        <w:bottom w:val="none" w:sz="0" w:space="0" w:color="auto"/>
                        <w:right w:val="none" w:sz="0" w:space="0" w:color="auto"/>
                      </w:divBdr>
                    </w:div>
                  </w:divsChild>
                </w:div>
                <w:div w:id="1137527767">
                  <w:marLeft w:val="0"/>
                  <w:marRight w:val="0"/>
                  <w:marTop w:val="0"/>
                  <w:marBottom w:val="0"/>
                  <w:divBdr>
                    <w:top w:val="none" w:sz="0" w:space="0" w:color="auto"/>
                    <w:left w:val="none" w:sz="0" w:space="0" w:color="auto"/>
                    <w:bottom w:val="none" w:sz="0" w:space="0" w:color="auto"/>
                    <w:right w:val="none" w:sz="0" w:space="0" w:color="auto"/>
                  </w:divBdr>
                  <w:divsChild>
                    <w:div w:id="168062809">
                      <w:marLeft w:val="0"/>
                      <w:marRight w:val="0"/>
                      <w:marTop w:val="0"/>
                      <w:marBottom w:val="0"/>
                      <w:divBdr>
                        <w:top w:val="none" w:sz="0" w:space="0" w:color="auto"/>
                        <w:left w:val="none" w:sz="0" w:space="0" w:color="auto"/>
                        <w:bottom w:val="none" w:sz="0" w:space="0" w:color="auto"/>
                        <w:right w:val="none" w:sz="0" w:space="0" w:color="auto"/>
                      </w:divBdr>
                    </w:div>
                    <w:div w:id="669257528">
                      <w:marLeft w:val="0"/>
                      <w:marRight w:val="0"/>
                      <w:marTop w:val="0"/>
                      <w:marBottom w:val="0"/>
                      <w:divBdr>
                        <w:top w:val="none" w:sz="0" w:space="0" w:color="auto"/>
                        <w:left w:val="none" w:sz="0" w:space="0" w:color="auto"/>
                        <w:bottom w:val="none" w:sz="0" w:space="0" w:color="auto"/>
                        <w:right w:val="none" w:sz="0" w:space="0" w:color="auto"/>
                      </w:divBdr>
                    </w:div>
                    <w:div w:id="1222903207">
                      <w:marLeft w:val="0"/>
                      <w:marRight w:val="0"/>
                      <w:marTop w:val="0"/>
                      <w:marBottom w:val="0"/>
                      <w:divBdr>
                        <w:top w:val="none" w:sz="0" w:space="0" w:color="auto"/>
                        <w:left w:val="none" w:sz="0" w:space="0" w:color="auto"/>
                        <w:bottom w:val="none" w:sz="0" w:space="0" w:color="auto"/>
                        <w:right w:val="none" w:sz="0" w:space="0" w:color="auto"/>
                      </w:divBdr>
                    </w:div>
                    <w:div w:id="1735156913">
                      <w:marLeft w:val="0"/>
                      <w:marRight w:val="0"/>
                      <w:marTop w:val="0"/>
                      <w:marBottom w:val="0"/>
                      <w:divBdr>
                        <w:top w:val="none" w:sz="0" w:space="0" w:color="auto"/>
                        <w:left w:val="none" w:sz="0" w:space="0" w:color="auto"/>
                        <w:bottom w:val="none" w:sz="0" w:space="0" w:color="auto"/>
                        <w:right w:val="none" w:sz="0" w:space="0" w:color="auto"/>
                      </w:divBdr>
                    </w:div>
                    <w:div w:id="1741754592">
                      <w:marLeft w:val="0"/>
                      <w:marRight w:val="0"/>
                      <w:marTop w:val="0"/>
                      <w:marBottom w:val="0"/>
                      <w:divBdr>
                        <w:top w:val="none" w:sz="0" w:space="0" w:color="auto"/>
                        <w:left w:val="none" w:sz="0" w:space="0" w:color="auto"/>
                        <w:bottom w:val="none" w:sz="0" w:space="0" w:color="auto"/>
                        <w:right w:val="none" w:sz="0" w:space="0" w:color="auto"/>
                      </w:divBdr>
                    </w:div>
                    <w:div w:id="1832720732">
                      <w:marLeft w:val="0"/>
                      <w:marRight w:val="0"/>
                      <w:marTop w:val="0"/>
                      <w:marBottom w:val="0"/>
                      <w:divBdr>
                        <w:top w:val="none" w:sz="0" w:space="0" w:color="auto"/>
                        <w:left w:val="none" w:sz="0" w:space="0" w:color="auto"/>
                        <w:bottom w:val="none" w:sz="0" w:space="0" w:color="auto"/>
                        <w:right w:val="none" w:sz="0" w:space="0" w:color="auto"/>
                      </w:divBdr>
                    </w:div>
                    <w:div w:id="1890215711">
                      <w:marLeft w:val="0"/>
                      <w:marRight w:val="0"/>
                      <w:marTop w:val="0"/>
                      <w:marBottom w:val="0"/>
                      <w:divBdr>
                        <w:top w:val="none" w:sz="0" w:space="0" w:color="auto"/>
                        <w:left w:val="none" w:sz="0" w:space="0" w:color="auto"/>
                        <w:bottom w:val="none" w:sz="0" w:space="0" w:color="auto"/>
                        <w:right w:val="none" w:sz="0" w:space="0" w:color="auto"/>
                      </w:divBdr>
                    </w:div>
                    <w:div w:id="1968076859">
                      <w:marLeft w:val="0"/>
                      <w:marRight w:val="0"/>
                      <w:marTop w:val="0"/>
                      <w:marBottom w:val="0"/>
                      <w:divBdr>
                        <w:top w:val="none" w:sz="0" w:space="0" w:color="auto"/>
                        <w:left w:val="none" w:sz="0" w:space="0" w:color="auto"/>
                        <w:bottom w:val="none" w:sz="0" w:space="0" w:color="auto"/>
                        <w:right w:val="none" w:sz="0" w:space="0" w:color="auto"/>
                      </w:divBdr>
                    </w:div>
                    <w:div w:id="2146464123">
                      <w:marLeft w:val="0"/>
                      <w:marRight w:val="0"/>
                      <w:marTop w:val="0"/>
                      <w:marBottom w:val="0"/>
                      <w:divBdr>
                        <w:top w:val="none" w:sz="0" w:space="0" w:color="auto"/>
                        <w:left w:val="none" w:sz="0" w:space="0" w:color="auto"/>
                        <w:bottom w:val="none" w:sz="0" w:space="0" w:color="auto"/>
                        <w:right w:val="none" w:sz="0" w:space="0" w:color="auto"/>
                      </w:divBdr>
                    </w:div>
                  </w:divsChild>
                </w:div>
                <w:div w:id="1137919501">
                  <w:marLeft w:val="0"/>
                  <w:marRight w:val="0"/>
                  <w:marTop w:val="0"/>
                  <w:marBottom w:val="0"/>
                  <w:divBdr>
                    <w:top w:val="none" w:sz="0" w:space="0" w:color="auto"/>
                    <w:left w:val="none" w:sz="0" w:space="0" w:color="auto"/>
                    <w:bottom w:val="none" w:sz="0" w:space="0" w:color="auto"/>
                    <w:right w:val="none" w:sz="0" w:space="0" w:color="auto"/>
                  </w:divBdr>
                  <w:divsChild>
                    <w:div w:id="345836880">
                      <w:marLeft w:val="0"/>
                      <w:marRight w:val="0"/>
                      <w:marTop w:val="0"/>
                      <w:marBottom w:val="0"/>
                      <w:divBdr>
                        <w:top w:val="none" w:sz="0" w:space="0" w:color="auto"/>
                        <w:left w:val="none" w:sz="0" w:space="0" w:color="auto"/>
                        <w:bottom w:val="none" w:sz="0" w:space="0" w:color="auto"/>
                        <w:right w:val="none" w:sz="0" w:space="0" w:color="auto"/>
                      </w:divBdr>
                    </w:div>
                  </w:divsChild>
                </w:div>
                <w:div w:id="1159273707">
                  <w:marLeft w:val="0"/>
                  <w:marRight w:val="0"/>
                  <w:marTop w:val="0"/>
                  <w:marBottom w:val="0"/>
                  <w:divBdr>
                    <w:top w:val="none" w:sz="0" w:space="0" w:color="auto"/>
                    <w:left w:val="none" w:sz="0" w:space="0" w:color="auto"/>
                    <w:bottom w:val="none" w:sz="0" w:space="0" w:color="auto"/>
                    <w:right w:val="none" w:sz="0" w:space="0" w:color="auto"/>
                  </w:divBdr>
                  <w:divsChild>
                    <w:div w:id="606960477">
                      <w:marLeft w:val="0"/>
                      <w:marRight w:val="0"/>
                      <w:marTop w:val="0"/>
                      <w:marBottom w:val="0"/>
                      <w:divBdr>
                        <w:top w:val="none" w:sz="0" w:space="0" w:color="auto"/>
                        <w:left w:val="none" w:sz="0" w:space="0" w:color="auto"/>
                        <w:bottom w:val="none" w:sz="0" w:space="0" w:color="auto"/>
                        <w:right w:val="none" w:sz="0" w:space="0" w:color="auto"/>
                      </w:divBdr>
                    </w:div>
                  </w:divsChild>
                </w:div>
                <w:div w:id="1160999668">
                  <w:marLeft w:val="0"/>
                  <w:marRight w:val="0"/>
                  <w:marTop w:val="0"/>
                  <w:marBottom w:val="0"/>
                  <w:divBdr>
                    <w:top w:val="none" w:sz="0" w:space="0" w:color="auto"/>
                    <w:left w:val="none" w:sz="0" w:space="0" w:color="auto"/>
                    <w:bottom w:val="none" w:sz="0" w:space="0" w:color="auto"/>
                    <w:right w:val="none" w:sz="0" w:space="0" w:color="auto"/>
                  </w:divBdr>
                  <w:divsChild>
                    <w:div w:id="125706411">
                      <w:marLeft w:val="0"/>
                      <w:marRight w:val="0"/>
                      <w:marTop w:val="0"/>
                      <w:marBottom w:val="0"/>
                      <w:divBdr>
                        <w:top w:val="none" w:sz="0" w:space="0" w:color="auto"/>
                        <w:left w:val="none" w:sz="0" w:space="0" w:color="auto"/>
                        <w:bottom w:val="none" w:sz="0" w:space="0" w:color="auto"/>
                        <w:right w:val="none" w:sz="0" w:space="0" w:color="auto"/>
                      </w:divBdr>
                    </w:div>
                  </w:divsChild>
                </w:div>
                <w:div w:id="1178500598">
                  <w:marLeft w:val="0"/>
                  <w:marRight w:val="0"/>
                  <w:marTop w:val="0"/>
                  <w:marBottom w:val="0"/>
                  <w:divBdr>
                    <w:top w:val="none" w:sz="0" w:space="0" w:color="auto"/>
                    <w:left w:val="none" w:sz="0" w:space="0" w:color="auto"/>
                    <w:bottom w:val="none" w:sz="0" w:space="0" w:color="auto"/>
                    <w:right w:val="none" w:sz="0" w:space="0" w:color="auto"/>
                  </w:divBdr>
                  <w:divsChild>
                    <w:div w:id="478377570">
                      <w:marLeft w:val="0"/>
                      <w:marRight w:val="0"/>
                      <w:marTop w:val="0"/>
                      <w:marBottom w:val="0"/>
                      <w:divBdr>
                        <w:top w:val="none" w:sz="0" w:space="0" w:color="auto"/>
                        <w:left w:val="none" w:sz="0" w:space="0" w:color="auto"/>
                        <w:bottom w:val="none" w:sz="0" w:space="0" w:color="auto"/>
                        <w:right w:val="none" w:sz="0" w:space="0" w:color="auto"/>
                      </w:divBdr>
                    </w:div>
                  </w:divsChild>
                </w:div>
                <w:div w:id="1180974196">
                  <w:marLeft w:val="0"/>
                  <w:marRight w:val="0"/>
                  <w:marTop w:val="0"/>
                  <w:marBottom w:val="0"/>
                  <w:divBdr>
                    <w:top w:val="none" w:sz="0" w:space="0" w:color="auto"/>
                    <w:left w:val="none" w:sz="0" w:space="0" w:color="auto"/>
                    <w:bottom w:val="none" w:sz="0" w:space="0" w:color="auto"/>
                    <w:right w:val="none" w:sz="0" w:space="0" w:color="auto"/>
                  </w:divBdr>
                  <w:divsChild>
                    <w:div w:id="1067268639">
                      <w:marLeft w:val="0"/>
                      <w:marRight w:val="0"/>
                      <w:marTop w:val="0"/>
                      <w:marBottom w:val="0"/>
                      <w:divBdr>
                        <w:top w:val="none" w:sz="0" w:space="0" w:color="auto"/>
                        <w:left w:val="none" w:sz="0" w:space="0" w:color="auto"/>
                        <w:bottom w:val="none" w:sz="0" w:space="0" w:color="auto"/>
                        <w:right w:val="none" w:sz="0" w:space="0" w:color="auto"/>
                      </w:divBdr>
                    </w:div>
                  </w:divsChild>
                </w:div>
                <w:div w:id="1181165701">
                  <w:marLeft w:val="0"/>
                  <w:marRight w:val="0"/>
                  <w:marTop w:val="0"/>
                  <w:marBottom w:val="0"/>
                  <w:divBdr>
                    <w:top w:val="none" w:sz="0" w:space="0" w:color="auto"/>
                    <w:left w:val="none" w:sz="0" w:space="0" w:color="auto"/>
                    <w:bottom w:val="none" w:sz="0" w:space="0" w:color="auto"/>
                    <w:right w:val="none" w:sz="0" w:space="0" w:color="auto"/>
                  </w:divBdr>
                  <w:divsChild>
                    <w:div w:id="2057653802">
                      <w:marLeft w:val="0"/>
                      <w:marRight w:val="0"/>
                      <w:marTop w:val="0"/>
                      <w:marBottom w:val="0"/>
                      <w:divBdr>
                        <w:top w:val="none" w:sz="0" w:space="0" w:color="auto"/>
                        <w:left w:val="none" w:sz="0" w:space="0" w:color="auto"/>
                        <w:bottom w:val="none" w:sz="0" w:space="0" w:color="auto"/>
                        <w:right w:val="none" w:sz="0" w:space="0" w:color="auto"/>
                      </w:divBdr>
                    </w:div>
                  </w:divsChild>
                </w:div>
                <w:div w:id="1183743398">
                  <w:marLeft w:val="0"/>
                  <w:marRight w:val="0"/>
                  <w:marTop w:val="0"/>
                  <w:marBottom w:val="0"/>
                  <w:divBdr>
                    <w:top w:val="none" w:sz="0" w:space="0" w:color="auto"/>
                    <w:left w:val="none" w:sz="0" w:space="0" w:color="auto"/>
                    <w:bottom w:val="none" w:sz="0" w:space="0" w:color="auto"/>
                    <w:right w:val="none" w:sz="0" w:space="0" w:color="auto"/>
                  </w:divBdr>
                  <w:divsChild>
                    <w:div w:id="616181245">
                      <w:marLeft w:val="0"/>
                      <w:marRight w:val="0"/>
                      <w:marTop w:val="0"/>
                      <w:marBottom w:val="0"/>
                      <w:divBdr>
                        <w:top w:val="none" w:sz="0" w:space="0" w:color="auto"/>
                        <w:left w:val="none" w:sz="0" w:space="0" w:color="auto"/>
                        <w:bottom w:val="none" w:sz="0" w:space="0" w:color="auto"/>
                        <w:right w:val="none" w:sz="0" w:space="0" w:color="auto"/>
                      </w:divBdr>
                    </w:div>
                  </w:divsChild>
                </w:div>
                <w:div w:id="1185560621">
                  <w:marLeft w:val="0"/>
                  <w:marRight w:val="0"/>
                  <w:marTop w:val="0"/>
                  <w:marBottom w:val="0"/>
                  <w:divBdr>
                    <w:top w:val="none" w:sz="0" w:space="0" w:color="auto"/>
                    <w:left w:val="none" w:sz="0" w:space="0" w:color="auto"/>
                    <w:bottom w:val="none" w:sz="0" w:space="0" w:color="auto"/>
                    <w:right w:val="none" w:sz="0" w:space="0" w:color="auto"/>
                  </w:divBdr>
                  <w:divsChild>
                    <w:div w:id="462963268">
                      <w:marLeft w:val="0"/>
                      <w:marRight w:val="0"/>
                      <w:marTop w:val="0"/>
                      <w:marBottom w:val="0"/>
                      <w:divBdr>
                        <w:top w:val="none" w:sz="0" w:space="0" w:color="auto"/>
                        <w:left w:val="none" w:sz="0" w:space="0" w:color="auto"/>
                        <w:bottom w:val="none" w:sz="0" w:space="0" w:color="auto"/>
                        <w:right w:val="none" w:sz="0" w:space="0" w:color="auto"/>
                      </w:divBdr>
                    </w:div>
                  </w:divsChild>
                </w:div>
                <w:div w:id="1192381901">
                  <w:marLeft w:val="0"/>
                  <w:marRight w:val="0"/>
                  <w:marTop w:val="0"/>
                  <w:marBottom w:val="0"/>
                  <w:divBdr>
                    <w:top w:val="none" w:sz="0" w:space="0" w:color="auto"/>
                    <w:left w:val="none" w:sz="0" w:space="0" w:color="auto"/>
                    <w:bottom w:val="none" w:sz="0" w:space="0" w:color="auto"/>
                    <w:right w:val="none" w:sz="0" w:space="0" w:color="auto"/>
                  </w:divBdr>
                  <w:divsChild>
                    <w:div w:id="1742478950">
                      <w:marLeft w:val="0"/>
                      <w:marRight w:val="0"/>
                      <w:marTop w:val="0"/>
                      <w:marBottom w:val="0"/>
                      <w:divBdr>
                        <w:top w:val="none" w:sz="0" w:space="0" w:color="auto"/>
                        <w:left w:val="none" w:sz="0" w:space="0" w:color="auto"/>
                        <w:bottom w:val="none" w:sz="0" w:space="0" w:color="auto"/>
                        <w:right w:val="none" w:sz="0" w:space="0" w:color="auto"/>
                      </w:divBdr>
                    </w:div>
                  </w:divsChild>
                </w:div>
                <w:div w:id="1192576152">
                  <w:marLeft w:val="0"/>
                  <w:marRight w:val="0"/>
                  <w:marTop w:val="0"/>
                  <w:marBottom w:val="0"/>
                  <w:divBdr>
                    <w:top w:val="none" w:sz="0" w:space="0" w:color="auto"/>
                    <w:left w:val="none" w:sz="0" w:space="0" w:color="auto"/>
                    <w:bottom w:val="none" w:sz="0" w:space="0" w:color="auto"/>
                    <w:right w:val="none" w:sz="0" w:space="0" w:color="auto"/>
                  </w:divBdr>
                  <w:divsChild>
                    <w:div w:id="915407727">
                      <w:marLeft w:val="0"/>
                      <w:marRight w:val="0"/>
                      <w:marTop w:val="0"/>
                      <w:marBottom w:val="0"/>
                      <w:divBdr>
                        <w:top w:val="none" w:sz="0" w:space="0" w:color="auto"/>
                        <w:left w:val="none" w:sz="0" w:space="0" w:color="auto"/>
                        <w:bottom w:val="none" w:sz="0" w:space="0" w:color="auto"/>
                        <w:right w:val="none" w:sz="0" w:space="0" w:color="auto"/>
                      </w:divBdr>
                    </w:div>
                  </w:divsChild>
                </w:div>
                <w:div w:id="1195078269">
                  <w:marLeft w:val="0"/>
                  <w:marRight w:val="0"/>
                  <w:marTop w:val="0"/>
                  <w:marBottom w:val="0"/>
                  <w:divBdr>
                    <w:top w:val="none" w:sz="0" w:space="0" w:color="auto"/>
                    <w:left w:val="none" w:sz="0" w:space="0" w:color="auto"/>
                    <w:bottom w:val="none" w:sz="0" w:space="0" w:color="auto"/>
                    <w:right w:val="none" w:sz="0" w:space="0" w:color="auto"/>
                  </w:divBdr>
                  <w:divsChild>
                    <w:div w:id="13655285">
                      <w:marLeft w:val="0"/>
                      <w:marRight w:val="0"/>
                      <w:marTop w:val="0"/>
                      <w:marBottom w:val="0"/>
                      <w:divBdr>
                        <w:top w:val="none" w:sz="0" w:space="0" w:color="auto"/>
                        <w:left w:val="none" w:sz="0" w:space="0" w:color="auto"/>
                        <w:bottom w:val="none" w:sz="0" w:space="0" w:color="auto"/>
                        <w:right w:val="none" w:sz="0" w:space="0" w:color="auto"/>
                      </w:divBdr>
                    </w:div>
                  </w:divsChild>
                </w:div>
                <w:div w:id="1197885708">
                  <w:marLeft w:val="0"/>
                  <w:marRight w:val="0"/>
                  <w:marTop w:val="0"/>
                  <w:marBottom w:val="0"/>
                  <w:divBdr>
                    <w:top w:val="none" w:sz="0" w:space="0" w:color="auto"/>
                    <w:left w:val="none" w:sz="0" w:space="0" w:color="auto"/>
                    <w:bottom w:val="none" w:sz="0" w:space="0" w:color="auto"/>
                    <w:right w:val="none" w:sz="0" w:space="0" w:color="auto"/>
                  </w:divBdr>
                  <w:divsChild>
                    <w:div w:id="878861961">
                      <w:marLeft w:val="0"/>
                      <w:marRight w:val="0"/>
                      <w:marTop w:val="0"/>
                      <w:marBottom w:val="0"/>
                      <w:divBdr>
                        <w:top w:val="none" w:sz="0" w:space="0" w:color="auto"/>
                        <w:left w:val="none" w:sz="0" w:space="0" w:color="auto"/>
                        <w:bottom w:val="none" w:sz="0" w:space="0" w:color="auto"/>
                        <w:right w:val="none" w:sz="0" w:space="0" w:color="auto"/>
                      </w:divBdr>
                    </w:div>
                  </w:divsChild>
                </w:div>
                <w:div w:id="1208252275">
                  <w:marLeft w:val="0"/>
                  <w:marRight w:val="0"/>
                  <w:marTop w:val="0"/>
                  <w:marBottom w:val="0"/>
                  <w:divBdr>
                    <w:top w:val="none" w:sz="0" w:space="0" w:color="auto"/>
                    <w:left w:val="none" w:sz="0" w:space="0" w:color="auto"/>
                    <w:bottom w:val="none" w:sz="0" w:space="0" w:color="auto"/>
                    <w:right w:val="none" w:sz="0" w:space="0" w:color="auto"/>
                  </w:divBdr>
                  <w:divsChild>
                    <w:div w:id="158663542">
                      <w:marLeft w:val="0"/>
                      <w:marRight w:val="0"/>
                      <w:marTop w:val="0"/>
                      <w:marBottom w:val="0"/>
                      <w:divBdr>
                        <w:top w:val="none" w:sz="0" w:space="0" w:color="auto"/>
                        <w:left w:val="none" w:sz="0" w:space="0" w:color="auto"/>
                        <w:bottom w:val="none" w:sz="0" w:space="0" w:color="auto"/>
                        <w:right w:val="none" w:sz="0" w:space="0" w:color="auto"/>
                      </w:divBdr>
                    </w:div>
                  </w:divsChild>
                </w:div>
                <w:div w:id="1209024886">
                  <w:marLeft w:val="0"/>
                  <w:marRight w:val="0"/>
                  <w:marTop w:val="0"/>
                  <w:marBottom w:val="0"/>
                  <w:divBdr>
                    <w:top w:val="none" w:sz="0" w:space="0" w:color="auto"/>
                    <w:left w:val="none" w:sz="0" w:space="0" w:color="auto"/>
                    <w:bottom w:val="none" w:sz="0" w:space="0" w:color="auto"/>
                    <w:right w:val="none" w:sz="0" w:space="0" w:color="auto"/>
                  </w:divBdr>
                  <w:divsChild>
                    <w:div w:id="1089813977">
                      <w:marLeft w:val="0"/>
                      <w:marRight w:val="0"/>
                      <w:marTop w:val="0"/>
                      <w:marBottom w:val="0"/>
                      <w:divBdr>
                        <w:top w:val="none" w:sz="0" w:space="0" w:color="auto"/>
                        <w:left w:val="none" w:sz="0" w:space="0" w:color="auto"/>
                        <w:bottom w:val="none" w:sz="0" w:space="0" w:color="auto"/>
                        <w:right w:val="none" w:sz="0" w:space="0" w:color="auto"/>
                      </w:divBdr>
                    </w:div>
                  </w:divsChild>
                </w:div>
                <w:div w:id="1222255547">
                  <w:marLeft w:val="0"/>
                  <w:marRight w:val="0"/>
                  <w:marTop w:val="0"/>
                  <w:marBottom w:val="0"/>
                  <w:divBdr>
                    <w:top w:val="none" w:sz="0" w:space="0" w:color="auto"/>
                    <w:left w:val="none" w:sz="0" w:space="0" w:color="auto"/>
                    <w:bottom w:val="none" w:sz="0" w:space="0" w:color="auto"/>
                    <w:right w:val="none" w:sz="0" w:space="0" w:color="auto"/>
                  </w:divBdr>
                  <w:divsChild>
                    <w:div w:id="1880895433">
                      <w:marLeft w:val="0"/>
                      <w:marRight w:val="0"/>
                      <w:marTop w:val="0"/>
                      <w:marBottom w:val="0"/>
                      <w:divBdr>
                        <w:top w:val="none" w:sz="0" w:space="0" w:color="auto"/>
                        <w:left w:val="none" w:sz="0" w:space="0" w:color="auto"/>
                        <w:bottom w:val="none" w:sz="0" w:space="0" w:color="auto"/>
                        <w:right w:val="none" w:sz="0" w:space="0" w:color="auto"/>
                      </w:divBdr>
                    </w:div>
                  </w:divsChild>
                </w:div>
                <w:div w:id="1224095949">
                  <w:marLeft w:val="0"/>
                  <w:marRight w:val="0"/>
                  <w:marTop w:val="0"/>
                  <w:marBottom w:val="0"/>
                  <w:divBdr>
                    <w:top w:val="none" w:sz="0" w:space="0" w:color="auto"/>
                    <w:left w:val="none" w:sz="0" w:space="0" w:color="auto"/>
                    <w:bottom w:val="none" w:sz="0" w:space="0" w:color="auto"/>
                    <w:right w:val="none" w:sz="0" w:space="0" w:color="auto"/>
                  </w:divBdr>
                  <w:divsChild>
                    <w:div w:id="1469666425">
                      <w:marLeft w:val="0"/>
                      <w:marRight w:val="0"/>
                      <w:marTop w:val="0"/>
                      <w:marBottom w:val="0"/>
                      <w:divBdr>
                        <w:top w:val="none" w:sz="0" w:space="0" w:color="auto"/>
                        <w:left w:val="none" w:sz="0" w:space="0" w:color="auto"/>
                        <w:bottom w:val="none" w:sz="0" w:space="0" w:color="auto"/>
                        <w:right w:val="none" w:sz="0" w:space="0" w:color="auto"/>
                      </w:divBdr>
                    </w:div>
                  </w:divsChild>
                </w:div>
                <w:div w:id="1226993209">
                  <w:marLeft w:val="0"/>
                  <w:marRight w:val="0"/>
                  <w:marTop w:val="0"/>
                  <w:marBottom w:val="0"/>
                  <w:divBdr>
                    <w:top w:val="none" w:sz="0" w:space="0" w:color="auto"/>
                    <w:left w:val="none" w:sz="0" w:space="0" w:color="auto"/>
                    <w:bottom w:val="none" w:sz="0" w:space="0" w:color="auto"/>
                    <w:right w:val="none" w:sz="0" w:space="0" w:color="auto"/>
                  </w:divBdr>
                  <w:divsChild>
                    <w:div w:id="1942029287">
                      <w:marLeft w:val="0"/>
                      <w:marRight w:val="0"/>
                      <w:marTop w:val="0"/>
                      <w:marBottom w:val="0"/>
                      <w:divBdr>
                        <w:top w:val="none" w:sz="0" w:space="0" w:color="auto"/>
                        <w:left w:val="none" w:sz="0" w:space="0" w:color="auto"/>
                        <w:bottom w:val="none" w:sz="0" w:space="0" w:color="auto"/>
                        <w:right w:val="none" w:sz="0" w:space="0" w:color="auto"/>
                      </w:divBdr>
                    </w:div>
                  </w:divsChild>
                </w:div>
                <w:div w:id="1228490659">
                  <w:marLeft w:val="0"/>
                  <w:marRight w:val="0"/>
                  <w:marTop w:val="0"/>
                  <w:marBottom w:val="0"/>
                  <w:divBdr>
                    <w:top w:val="none" w:sz="0" w:space="0" w:color="auto"/>
                    <w:left w:val="none" w:sz="0" w:space="0" w:color="auto"/>
                    <w:bottom w:val="none" w:sz="0" w:space="0" w:color="auto"/>
                    <w:right w:val="none" w:sz="0" w:space="0" w:color="auto"/>
                  </w:divBdr>
                  <w:divsChild>
                    <w:div w:id="537663488">
                      <w:marLeft w:val="0"/>
                      <w:marRight w:val="0"/>
                      <w:marTop w:val="0"/>
                      <w:marBottom w:val="0"/>
                      <w:divBdr>
                        <w:top w:val="none" w:sz="0" w:space="0" w:color="auto"/>
                        <w:left w:val="none" w:sz="0" w:space="0" w:color="auto"/>
                        <w:bottom w:val="none" w:sz="0" w:space="0" w:color="auto"/>
                        <w:right w:val="none" w:sz="0" w:space="0" w:color="auto"/>
                      </w:divBdr>
                    </w:div>
                  </w:divsChild>
                </w:div>
                <w:div w:id="1229850476">
                  <w:marLeft w:val="0"/>
                  <w:marRight w:val="0"/>
                  <w:marTop w:val="0"/>
                  <w:marBottom w:val="0"/>
                  <w:divBdr>
                    <w:top w:val="none" w:sz="0" w:space="0" w:color="auto"/>
                    <w:left w:val="none" w:sz="0" w:space="0" w:color="auto"/>
                    <w:bottom w:val="none" w:sz="0" w:space="0" w:color="auto"/>
                    <w:right w:val="none" w:sz="0" w:space="0" w:color="auto"/>
                  </w:divBdr>
                  <w:divsChild>
                    <w:div w:id="2032609151">
                      <w:marLeft w:val="0"/>
                      <w:marRight w:val="0"/>
                      <w:marTop w:val="0"/>
                      <w:marBottom w:val="0"/>
                      <w:divBdr>
                        <w:top w:val="none" w:sz="0" w:space="0" w:color="auto"/>
                        <w:left w:val="none" w:sz="0" w:space="0" w:color="auto"/>
                        <w:bottom w:val="none" w:sz="0" w:space="0" w:color="auto"/>
                        <w:right w:val="none" w:sz="0" w:space="0" w:color="auto"/>
                      </w:divBdr>
                    </w:div>
                  </w:divsChild>
                </w:div>
                <w:div w:id="1230917973">
                  <w:marLeft w:val="0"/>
                  <w:marRight w:val="0"/>
                  <w:marTop w:val="0"/>
                  <w:marBottom w:val="0"/>
                  <w:divBdr>
                    <w:top w:val="none" w:sz="0" w:space="0" w:color="auto"/>
                    <w:left w:val="none" w:sz="0" w:space="0" w:color="auto"/>
                    <w:bottom w:val="none" w:sz="0" w:space="0" w:color="auto"/>
                    <w:right w:val="none" w:sz="0" w:space="0" w:color="auto"/>
                  </w:divBdr>
                  <w:divsChild>
                    <w:div w:id="1695226166">
                      <w:marLeft w:val="0"/>
                      <w:marRight w:val="0"/>
                      <w:marTop w:val="0"/>
                      <w:marBottom w:val="0"/>
                      <w:divBdr>
                        <w:top w:val="none" w:sz="0" w:space="0" w:color="auto"/>
                        <w:left w:val="none" w:sz="0" w:space="0" w:color="auto"/>
                        <w:bottom w:val="none" w:sz="0" w:space="0" w:color="auto"/>
                        <w:right w:val="none" w:sz="0" w:space="0" w:color="auto"/>
                      </w:divBdr>
                    </w:div>
                  </w:divsChild>
                </w:div>
                <w:div w:id="1246766727">
                  <w:marLeft w:val="0"/>
                  <w:marRight w:val="0"/>
                  <w:marTop w:val="0"/>
                  <w:marBottom w:val="0"/>
                  <w:divBdr>
                    <w:top w:val="none" w:sz="0" w:space="0" w:color="auto"/>
                    <w:left w:val="none" w:sz="0" w:space="0" w:color="auto"/>
                    <w:bottom w:val="none" w:sz="0" w:space="0" w:color="auto"/>
                    <w:right w:val="none" w:sz="0" w:space="0" w:color="auto"/>
                  </w:divBdr>
                  <w:divsChild>
                    <w:div w:id="309600293">
                      <w:marLeft w:val="0"/>
                      <w:marRight w:val="0"/>
                      <w:marTop w:val="0"/>
                      <w:marBottom w:val="0"/>
                      <w:divBdr>
                        <w:top w:val="none" w:sz="0" w:space="0" w:color="auto"/>
                        <w:left w:val="none" w:sz="0" w:space="0" w:color="auto"/>
                        <w:bottom w:val="none" w:sz="0" w:space="0" w:color="auto"/>
                        <w:right w:val="none" w:sz="0" w:space="0" w:color="auto"/>
                      </w:divBdr>
                    </w:div>
                  </w:divsChild>
                </w:div>
                <w:div w:id="1247884301">
                  <w:marLeft w:val="0"/>
                  <w:marRight w:val="0"/>
                  <w:marTop w:val="0"/>
                  <w:marBottom w:val="0"/>
                  <w:divBdr>
                    <w:top w:val="none" w:sz="0" w:space="0" w:color="auto"/>
                    <w:left w:val="none" w:sz="0" w:space="0" w:color="auto"/>
                    <w:bottom w:val="none" w:sz="0" w:space="0" w:color="auto"/>
                    <w:right w:val="none" w:sz="0" w:space="0" w:color="auto"/>
                  </w:divBdr>
                  <w:divsChild>
                    <w:div w:id="694354836">
                      <w:marLeft w:val="0"/>
                      <w:marRight w:val="0"/>
                      <w:marTop w:val="0"/>
                      <w:marBottom w:val="0"/>
                      <w:divBdr>
                        <w:top w:val="none" w:sz="0" w:space="0" w:color="auto"/>
                        <w:left w:val="none" w:sz="0" w:space="0" w:color="auto"/>
                        <w:bottom w:val="none" w:sz="0" w:space="0" w:color="auto"/>
                        <w:right w:val="none" w:sz="0" w:space="0" w:color="auto"/>
                      </w:divBdr>
                    </w:div>
                  </w:divsChild>
                </w:div>
                <w:div w:id="1258100906">
                  <w:marLeft w:val="0"/>
                  <w:marRight w:val="0"/>
                  <w:marTop w:val="0"/>
                  <w:marBottom w:val="0"/>
                  <w:divBdr>
                    <w:top w:val="none" w:sz="0" w:space="0" w:color="auto"/>
                    <w:left w:val="none" w:sz="0" w:space="0" w:color="auto"/>
                    <w:bottom w:val="none" w:sz="0" w:space="0" w:color="auto"/>
                    <w:right w:val="none" w:sz="0" w:space="0" w:color="auto"/>
                  </w:divBdr>
                  <w:divsChild>
                    <w:div w:id="1598518839">
                      <w:marLeft w:val="0"/>
                      <w:marRight w:val="0"/>
                      <w:marTop w:val="0"/>
                      <w:marBottom w:val="0"/>
                      <w:divBdr>
                        <w:top w:val="none" w:sz="0" w:space="0" w:color="auto"/>
                        <w:left w:val="none" w:sz="0" w:space="0" w:color="auto"/>
                        <w:bottom w:val="none" w:sz="0" w:space="0" w:color="auto"/>
                        <w:right w:val="none" w:sz="0" w:space="0" w:color="auto"/>
                      </w:divBdr>
                    </w:div>
                  </w:divsChild>
                </w:div>
                <w:div w:id="1258832997">
                  <w:marLeft w:val="0"/>
                  <w:marRight w:val="0"/>
                  <w:marTop w:val="0"/>
                  <w:marBottom w:val="0"/>
                  <w:divBdr>
                    <w:top w:val="none" w:sz="0" w:space="0" w:color="auto"/>
                    <w:left w:val="none" w:sz="0" w:space="0" w:color="auto"/>
                    <w:bottom w:val="none" w:sz="0" w:space="0" w:color="auto"/>
                    <w:right w:val="none" w:sz="0" w:space="0" w:color="auto"/>
                  </w:divBdr>
                  <w:divsChild>
                    <w:div w:id="733896856">
                      <w:marLeft w:val="0"/>
                      <w:marRight w:val="0"/>
                      <w:marTop w:val="0"/>
                      <w:marBottom w:val="0"/>
                      <w:divBdr>
                        <w:top w:val="none" w:sz="0" w:space="0" w:color="auto"/>
                        <w:left w:val="none" w:sz="0" w:space="0" w:color="auto"/>
                        <w:bottom w:val="none" w:sz="0" w:space="0" w:color="auto"/>
                        <w:right w:val="none" w:sz="0" w:space="0" w:color="auto"/>
                      </w:divBdr>
                    </w:div>
                  </w:divsChild>
                </w:div>
                <w:div w:id="1265766895">
                  <w:marLeft w:val="0"/>
                  <w:marRight w:val="0"/>
                  <w:marTop w:val="0"/>
                  <w:marBottom w:val="0"/>
                  <w:divBdr>
                    <w:top w:val="none" w:sz="0" w:space="0" w:color="auto"/>
                    <w:left w:val="none" w:sz="0" w:space="0" w:color="auto"/>
                    <w:bottom w:val="none" w:sz="0" w:space="0" w:color="auto"/>
                    <w:right w:val="none" w:sz="0" w:space="0" w:color="auto"/>
                  </w:divBdr>
                  <w:divsChild>
                    <w:div w:id="1291014358">
                      <w:marLeft w:val="0"/>
                      <w:marRight w:val="0"/>
                      <w:marTop w:val="0"/>
                      <w:marBottom w:val="0"/>
                      <w:divBdr>
                        <w:top w:val="none" w:sz="0" w:space="0" w:color="auto"/>
                        <w:left w:val="none" w:sz="0" w:space="0" w:color="auto"/>
                        <w:bottom w:val="none" w:sz="0" w:space="0" w:color="auto"/>
                        <w:right w:val="none" w:sz="0" w:space="0" w:color="auto"/>
                      </w:divBdr>
                    </w:div>
                  </w:divsChild>
                </w:div>
                <w:div w:id="1269312742">
                  <w:marLeft w:val="0"/>
                  <w:marRight w:val="0"/>
                  <w:marTop w:val="0"/>
                  <w:marBottom w:val="0"/>
                  <w:divBdr>
                    <w:top w:val="none" w:sz="0" w:space="0" w:color="auto"/>
                    <w:left w:val="none" w:sz="0" w:space="0" w:color="auto"/>
                    <w:bottom w:val="none" w:sz="0" w:space="0" w:color="auto"/>
                    <w:right w:val="none" w:sz="0" w:space="0" w:color="auto"/>
                  </w:divBdr>
                  <w:divsChild>
                    <w:div w:id="869532751">
                      <w:marLeft w:val="0"/>
                      <w:marRight w:val="0"/>
                      <w:marTop w:val="0"/>
                      <w:marBottom w:val="0"/>
                      <w:divBdr>
                        <w:top w:val="none" w:sz="0" w:space="0" w:color="auto"/>
                        <w:left w:val="none" w:sz="0" w:space="0" w:color="auto"/>
                        <w:bottom w:val="none" w:sz="0" w:space="0" w:color="auto"/>
                        <w:right w:val="none" w:sz="0" w:space="0" w:color="auto"/>
                      </w:divBdr>
                    </w:div>
                  </w:divsChild>
                </w:div>
                <w:div w:id="1271739708">
                  <w:marLeft w:val="0"/>
                  <w:marRight w:val="0"/>
                  <w:marTop w:val="0"/>
                  <w:marBottom w:val="0"/>
                  <w:divBdr>
                    <w:top w:val="none" w:sz="0" w:space="0" w:color="auto"/>
                    <w:left w:val="none" w:sz="0" w:space="0" w:color="auto"/>
                    <w:bottom w:val="none" w:sz="0" w:space="0" w:color="auto"/>
                    <w:right w:val="none" w:sz="0" w:space="0" w:color="auto"/>
                  </w:divBdr>
                  <w:divsChild>
                    <w:div w:id="499656855">
                      <w:marLeft w:val="0"/>
                      <w:marRight w:val="0"/>
                      <w:marTop w:val="0"/>
                      <w:marBottom w:val="0"/>
                      <w:divBdr>
                        <w:top w:val="none" w:sz="0" w:space="0" w:color="auto"/>
                        <w:left w:val="none" w:sz="0" w:space="0" w:color="auto"/>
                        <w:bottom w:val="none" w:sz="0" w:space="0" w:color="auto"/>
                        <w:right w:val="none" w:sz="0" w:space="0" w:color="auto"/>
                      </w:divBdr>
                    </w:div>
                  </w:divsChild>
                </w:div>
                <w:div w:id="1275213707">
                  <w:marLeft w:val="0"/>
                  <w:marRight w:val="0"/>
                  <w:marTop w:val="0"/>
                  <w:marBottom w:val="0"/>
                  <w:divBdr>
                    <w:top w:val="none" w:sz="0" w:space="0" w:color="auto"/>
                    <w:left w:val="none" w:sz="0" w:space="0" w:color="auto"/>
                    <w:bottom w:val="none" w:sz="0" w:space="0" w:color="auto"/>
                    <w:right w:val="none" w:sz="0" w:space="0" w:color="auto"/>
                  </w:divBdr>
                  <w:divsChild>
                    <w:div w:id="1816406614">
                      <w:marLeft w:val="0"/>
                      <w:marRight w:val="0"/>
                      <w:marTop w:val="0"/>
                      <w:marBottom w:val="0"/>
                      <w:divBdr>
                        <w:top w:val="none" w:sz="0" w:space="0" w:color="auto"/>
                        <w:left w:val="none" w:sz="0" w:space="0" w:color="auto"/>
                        <w:bottom w:val="none" w:sz="0" w:space="0" w:color="auto"/>
                        <w:right w:val="none" w:sz="0" w:space="0" w:color="auto"/>
                      </w:divBdr>
                    </w:div>
                  </w:divsChild>
                </w:div>
                <w:div w:id="1279752700">
                  <w:marLeft w:val="0"/>
                  <w:marRight w:val="0"/>
                  <w:marTop w:val="0"/>
                  <w:marBottom w:val="0"/>
                  <w:divBdr>
                    <w:top w:val="none" w:sz="0" w:space="0" w:color="auto"/>
                    <w:left w:val="none" w:sz="0" w:space="0" w:color="auto"/>
                    <w:bottom w:val="none" w:sz="0" w:space="0" w:color="auto"/>
                    <w:right w:val="none" w:sz="0" w:space="0" w:color="auto"/>
                  </w:divBdr>
                  <w:divsChild>
                    <w:div w:id="16926934">
                      <w:marLeft w:val="0"/>
                      <w:marRight w:val="0"/>
                      <w:marTop w:val="0"/>
                      <w:marBottom w:val="0"/>
                      <w:divBdr>
                        <w:top w:val="none" w:sz="0" w:space="0" w:color="auto"/>
                        <w:left w:val="none" w:sz="0" w:space="0" w:color="auto"/>
                        <w:bottom w:val="none" w:sz="0" w:space="0" w:color="auto"/>
                        <w:right w:val="none" w:sz="0" w:space="0" w:color="auto"/>
                      </w:divBdr>
                    </w:div>
                  </w:divsChild>
                </w:div>
                <w:div w:id="1283223121">
                  <w:marLeft w:val="0"/>
                  <w:marRight w:val="0"/>
                  <w:marTop w:val="0"/>
                  <w:marBottom w:val="0"/>
                  <w:divBdr>
                    <w:top w:val="none" w:sz="0" w:space="0" w:color="auto"/>
                    <w:left w:val="none" w:sz="0" w:space="0" w:color="auto"/>
                    <w:bottom w:val="none" w:sz="0" w:space="0" w:color="auto"/>
                    <w:right w:val="none" w:sz="0" w:space="0" w:color="auto"/>
                  </w:divBdr>
                  <w:divsChild>
                    <w:div w:id="852381480">
                      <w:marLeft w:val="0"/>
                      <w:marRight w:val="0"/>
                      <w:marTop w:val="0"/>
                      <w:marBottom w:val="0"/>
                      <w:divBdr>
                        <w:top w:val="none" w:sz="0" w:space="0" w:color="auto"/>
                        <w:left w:val="none" w:sz="0" w:space="0" w:color="auto"/>
                        <w:bottom w:val="none" w:sz="0" w:space="0" w:color="auto"/>
                        <w:right w:val="none" w:sz="0" w:space="0" w:color="auto"/>
                      </w:divBdr>
                    </w:div>
                  </w:divsChild>
                </w:div>
                <w:div w:id="1287814759">
                  <w:marLeft w:val="0"/>
                  <w:marRight w:val="0"/>
                  <w:marTop w:val="0"/>
                  <w:marBottom w:val="0"/>
                  <w:divBdr>
                    <w:top w:val="none" w:sz="0" w:space="0" w:color="auto"/>
                    <w:left w:val="none" w:sz="0" w:space="0" w:color="auto"/>
                    <w:bottom w:val="none" w:sz="0" w:space="0" w:color="auto"/>
                    <w:right w:val="none" w:sz="0" w:space="0" w:color="auto"/>
                  </w:divBdr>
                  <w:divsChild>
                    <w:div w:id="1306275151">
                      <w:marLeft w:val="0"/>
                      <w:marRight w:val="0"/>
                      <w:marTop w:val="0"/>
                      <w:marBottom w:val="0"/>
                      <w:divBdr>
                        <w:top w:val="none" w:sz="0" w:space="0" w:color="auto"/>
                        <w:left w:val="none" w:sz="0" w:space="0" w:color="auto"/>
                        <w:bottom w:val="none" w:sz="0" w:space="0" w:color="auto"/>
                        <w:right w:val="none" w:sz="0" w:space="0" w:color="auto"/>
                      </w:divBdr>
                    </w:div>
                  </w:divsChild>
                </w:div>
                <w:div w:id="1293289699">
                  <w:marLeft w:val="0"/>
                  <w:marRight w:val="0"/>
                  <w:marTop w:val="0"/>
                  <w:marBottom w:val="0"/>
                  <w:divBdr>
                    <w:top w:val="none" w:sz="0" w:space="0" w:color="auto"/>
                    <w:left w:val="none" w:sz="0" w:space="0" w:color="auto"/>
                    <w:bottom w:val="none" w:sz="0" w:space="0" w:color="auto"/>
                    <w:right w:val="none" w:sz="0" w:space="0" w:color="auto"/>
                  </w:divBdr>
                  <w:divsChild>
                    <w:div w:id="608051908">
                      <w:marLeft w:val="0"/>
                      <w:marRight w:val="0"/>
                      <w:marTop w:val="0"/>
                      <w:marBottom w:val="0"/>
                      <w:divBdr>
                        <w:top w:val="none" w:sz="0" w:space="0" w:color="auto"/>
                        <w:left w:val="none" w:sz="0" w:space="0" w:color="auto"/>
                        <w:bottom w:val="none" w:sz="0" w:space="0" w:color="auto"/>
                        <w:right w:val="none" w:sz="0" w:space="0" w:color="auto"/>
                      </w:divBdr>
                    </w:div>
                  </w:divsChild>
                </w:div>
                <w:div w:id="1293973216">
                  <w:marLeft w:val="0"/>
                  <w:marRight w:val="0"/>
                  <w:marTop w:val="0"/>
                  <w:marBottom w:val="0"/>
                  <w:divBdr>
                    <w:top w:val="none" w:sz="0" w:space="0" w:color="auto"/>
                    <w:left w:val="none" w:sz="0" w:space="0" w:color="auto"/>
                    <w:bottom w:val="none" w:sz="0" w:space="0" w:color="auto"/>
                    <w:right w:val="none" w:sz="0" w:space="0" w:color="auto"/>
                  </w:divBdr>
                  <w:divsChild>
                    <w:div w:id="664210892">
                      <w:marLeft w:val="0"/>
                      <w:marRight w:val="0"/>
                      <w:marTop w:val="0"/>
                      <w:marBottom w:val="0"/>
                      <w:divBdr>
                        <w:top w:val="none" w:sz="0" w:space="0" w:color="auto"/>
                        <w:left w:val="none" w:sz="0" w:space="0" w:color="auto"/>
                        <w:bottom w:val="none" w:sz="0" w:space="0" w:color="auto"/>
                        <w:right w:val="none" w:sz="0" w:space="0" w:color="auto"/>
                      </w:divBdr>
                    </w:div>
                  </w:divsChild>
                </w:div>
                <w:div w:id="1299065348">
                  <w:marLeft w:val="0"/>
                  <w:marRight w:val="0"/>
                  <w:marTop w:val="0"/>
                  <w:marBottom w:val="0"/>
                  <w:divBdr>
                    <w:top w:val="none" w:sz="0" w:space="0" w:color="auto"/>
                    <w:left w:val="none" w:sz="0" w:space="0" w:color="auto"/>
                    <w:bottom w:val="none" w:sz="0" w:space="0" w:color="auto"/>
                    <w:right w:val="none" w:sz="0" w:space="0" w:color="auto"/>
                  </w:divBdr>
                  <w:divsChild>
                    <w:div w:id="703213273">
                      <w:marLeft w:val="0"/>
                      <w:marRight w:val="0"/>
                      <w:marTop w:val="0"/>
                      <w:marBottom w:val="0"/>
                      <w:divBdr>
                        <w:top w:val="none" w:sz="0" w:space="0" w:color="auto"/>
                        <w:left w:val="none" w:sz="0" w:space="0" w:color="auto"/>
                        <w:bottom w:val="none" w:sz="0" w:space="0" w:color="auto"/>
                        <w:right w:val="none" w:sz="0" w:space="0" w:color="auto"/>
                      </w:divBdr>
                    </w:div>
                  </w:divsChild>
                </w:div>
                <w:div w:id="1305963519">
                  <w:marLeft w:val="0"/>
                  <w:marRight w:val="0"/>
                  <w:marTop w:val="0"/>
                  <w:marBottom w:val="0"/>
                  <w:divBdr>
                    <w:top w:val="none" w:sz="0" w:space="0" w:color="auto"/>
                    <w:left w:val="none" w:sz="0" w:space="0" w:color="auto"/>
                    <w:bottom w:val="none" w:sz="0" w:space="0" w:color="auto"/>
                    <w:right w:val="none" w:sz="0" w:space="0" w:color="auto"/>
                  </w:divBdr>
                  <w:divsChild>
                    <w:div w:id="1981036263">
                      <w:marLeft w:val="0"/>
                      <w:marRight w:val="0"/>
                      <w:marTop w:val="0"/>
                      <w:marBottom w:val="0"/>
                      <w:divBdr>
                        <w:top w:val="none" w:sz="0" w:space="0" w:color="auto"/>
                        <w:left w:val="none" w:sz="0" w:space="0" w:color="auto"/>
                        <w:bottom w:val="none" w:sz="0" w:space="0" w:color="auto"/>
                        <w:right w:val="none" w:sz="0" w:space="0" w:color="auto"/>
                      </w:divBdr>
                    </w:div>
                  </w:divsChild>
                </w:div>
                <w:div w:id="1308973829">
                  <w:marLeft w:val="0"/>
                  <w:marRight w:val="0"/>
                  <w:marTop w:val="0"/>
                  <w:marBottom w:val="0"/>
                  <w:divBdr>
                    <w:top w:val="none" w:sz="0" w:space="0" w:color="auto"/>
                    <w:left w:val="none" w:sz="0" w:space="0" w:color="auto"/>
                    <w:bottom w:val="none" w:sz="0" w:space="0" w:color="auto"/>
                    <w:right w:val="none" w:sz="0" w:space="0" w:color="auto"/>
                  </w:divBdr>
                  <w:divsChild>
                    <w:div w:id="688216316">
                      <w:marLeft w:val="0"/>
                      <w:marRight w:val="0"/>
                      <w:marTop w:val="0"/>
                      <w:marBottom w:val="0"/>
                      <w:divBdr>
                        <w:top w:val="none" w:sz="0" w:space="0" w:color="auto"/>
                        <w:left w:val="none" w:sz="0" w:space="0" w:color="auto"/>
                        <w:bottom w:val="none" w:sz="0" w:space="0" w:color="auto"/>
                        <w:right w:val="none" w:sz="0" w:space="0" w:color="auto"/>
                      </w:divBdr>
                    </w:div>
                  </w:divsChild>
                </w:div>
                <w:div w:id="1311203926">
                  <w:marLeft w:val="0"/>
                  <w:marRight w:val="0"/>
                  <w:marTop w:val="0"/>
                  <w:marBottom w:val="0"/>
                  <w:divBdr>
                    <w:top w:val="none" w:sz="0" w:space="0" w:color="auto"/>
                    <w:left w:val="none" w:sz="0" w:space="0" w:color="auto"/>
                    <w:bottom w:val="none" w:sz="0" w:space="0" w:color="auto"/>
                    <w:right w:val="none" w:sz="0" w:space="0" w:color="auto"/>
                  </w:divBdr>
                  <w:divsChild>
                    <w:div w:id="2086880620">
                      <w:marLeft w:val="0"/>
                      <w:marRight w:val="0"/>
                      <w:marTop w:val="0"/>
                      <w:marBottom w:val="0"/>
                      <w:divBdr>
                        <w:top w:val="none" w:sz="0" w:space="0" w:color="auto"/>
                        <w:left w:val="none" w:sz="0" w:space="0" w:color="auto"/>
                        <w:bottom w:val="none" w:sz="0" w:space="0" w:color="auto"/>
                        <w:right w:val="none" w:sz="0" w:space="0" w:color="auto"/>
                      </w:divBdr>
                    </w:div>
                  </w:divsChild>
                </w:div>
                <w:div w:id="1322923100">
                  <w:marLeft w:val="0"/>
                  <w:marRight w:val="0"/>
                  <w:marTop w:val="0"/>
                  <w:marBottom w:val="0"/>
                  <w:divBdr>
                    <w:top w:val="none" w:sz="0" w:space="0" w:color="auto"/>
                    <w:left w:val="none" w:sz="0" w:space="0" w:color="auto"/>
                    <w:bottom w:val="none" w:sz="0" w:space="0" w:color="auto"/>
                    <w:right w:val="none" w:sz="0" w:space="0" w:color="auto"/>
                  </w:divBdr>
                  <w:divsChild>
                    <w:div w:id="1379627768">
                      <w:marLeft w:val="0"/>
                      <w:marRight w:val="0"/>
                      <w:marTop w:val="0"/>
                      <w:marBottom w:val="0"/>
                      <w:divBdr>
                        <w:top w:val="none" w:sz="0" w:space="0" w:color="auto"/>
                        <w:left w:val="none" w:sz="0" w:space="0" w:color="auto"/>
                        <w:bottom w:val="none" w:sz="0" w:space="0" w:color="auto"/>
                        <w:right w:val="none" w:sz="0" w:space="0" w:color="auto"/>
                      </w:divBdr>
                    </w:div>
                  </w:divsChild>
                </w:div>
                <w:div w:id="1325626284">
                  <w:marLeft w:val="0"/>
                  <w:marRight w:val="0"/>
                  <w:marTop w:val="0"/>
                  <w:marBottom w:val="0"/>
                  <w:divBdr>
                    <w:top w:val="none" w:sz="0" w:space="0" w:color="auto"/>
                    <w:left w:val="none" w:sz="0" w:space="0" w:color="auto"/>
                    <w:bottom w:val="none" w:sz="0" w:space="0" w:color="auto"/>
                    <w:right w:val="none" w:sz="0" w:space="0" w:color="auto"/>
                  </w:divBdr>
                  <w:divsChild>
                    <w:div w:id="15467365">
                      <w:marLeft w:val="0"/>
                      <w:marRight w:val="0"/>
                      <w:marTop w:val="0"/>
                      <w:marBottom w:val="0"/>
                      <w:divBdr>
                        <w:top w:val="none" w:sz="0" w:space="0" w:color="auto"/>
                        <w:left w:val="none" w:sz="0" w:space="0" w:color="auto"/>
                        <w:bottom w:val="none" w:sz="0" w:space="0" w:color="auto"/>
                        <w:right w:val="none" w:sz="0" w:space="0" w:color="auto"/>
                      </w:divBdr>
                    </w:div>
                  </w:divsChild>
                </w:div>
                <w:div w:id="1353023420">
                  <w:marLeft w:val="0"/>
                  <w:marRight w:val="0"/>
                  <w:marTop w:val="0"/>
                  <w:marBottom w:val="0"/>
                  <w:divBdr>
                    <w:top w:val="none" w:sz="0" w:space="0" w:color="auto"/>
                    <w:left w:val="none" w:sz="0" w:space="0" w:color="auto"/>
                    <w:bottom w:val="none" w:sz="0" w:space="0" w:color="auto"/>
                    <w:right w:val="none" w:sz="0" w:space="0" w:color="auto"/>
                  </w:divBdr>
                  <w:divsChild>
                    <w:div w:id="961813351">
                      <w:marLeft w:val="0"/>
                      <w:marRight w:val="0"/>
                      <w:marTop w:val="0"/>
                      <w:marBottom w:val="0"/>
                      <w:divBdr>
                        <w:top w:val="none" w:sz="0" w:space="0" w:color="auto"/>
                        <w:left w:val="none" w:sz="0" w:space="0" w:color="auto"/>
                        <w:bottom w:val="none" w:sz="0" w:space="0" w:color="auto"/>
                        <w:right w:val="none" w:sz="0" w:space="0" w:color="auto"/>
                      </w:divBdr>
                    </w:div>
                  </w:divsChild>
                </w:div>
                <w:div w:id="1354578930">
                  <w:marLeft w:val="0"/>
                  <w:marRight w:val="0"/>
                  <w:marTop w:val="0"/>
                  <w:marBottom w:val="0"/>
                  <w:divBdr>
                    <w:top w:val="none" w:sz="0" w:space="0" w:color="auto"/>
                    <w:left w:val="none" w:sz="0" w:space="0" w:color="auto"/>
                    <w:bottom w:val="none" w:sz="0" w:space="0" w:color="auto"/>
                    <w:right w:val="none" w:sz="0" w:space="0" w:color="auto"/>
                  </w:divBdr>
                  <w:divsChild>
                    <w:div w:id="1703357608">
                      <w:marLeft w:val="0"/>
                      <w:marRight w:val="0"/>
                      <w:marTop w:val="0"/>
                      <w:marBottom w:val="0"/>
                      <w:divBdr>
                        <w:top w:val="none" w:sz="0" w:space="0" w:color="auto"/>
                        <w:left w:val="none" w:sz="0" w:space="0" w:color="auto"/>
                        <w:bottom w:val="none" w:sz="0" w:space="0" w:color="auto"/>
                        <w:right w:val="none" w:sz="0" w:space="0" w:color="auto"/>
                      </w:divBdr>
                    </w:div>
                  </w:divsChild>
                </w:div>
                <w:div w:id="1356081760">
                  <w:marLeft w:val="0"/>
                  <w:marRight w:val="0"/>
                  <w:marTop w:val="0"/>
                  <w:marBottom w:val="0"/>
                  <w:divBdr>
                    <w:top w:val="none" w:sz="0" w:space="0" w:color="auto"/>
                    <w:left w:val="none" w:sz="0" w:space="0" w:color="auto"/>
                    <w:bottom w:val="none" w:sz="0" w:space="0" w:color="auto"/>
                    <w:right w:val="none" w:sz="0" w:space="0" w:color="auto"/>
                  </w:divBdr>
                  <w:divsChild>
                    <w:div w:id="495152685">
                      <w:marLeft w:val="0"/>
                      <w:marRight w:val="0"/>
                      <w:marTop w:val="0"/>
                      <w:marBottom w:val="0"/>
                      <w:divBdr>
                        <w:top w:val="none" w:sz="0" w:space="0" w:color="auto"/>
                        <w:left w:val="none" w:sz="0" w:space="0" w:color="auto"/>
                        <w:bottom w:val="none" w:sz="0" w:space="0" w:color="auto"/>
                        <w:right w:val="none" w:sz="0" w:space="0" w:color="auto"/>
                      </w:divBdr>
                    </w:div>
                  </w:divsChild>
                </w:div>
                <w:div w:id="1364939003">
                  <w:marLeft w:val="0"/>
                  <w:marRight w:val="0"/>
                  <w:marTop w:val="0"/>
                  <w:marBottom w:val="0"/>
                  <w:divBdr>
                    <w:top w:val="none" w:sz="0" w:space="0" w:color="auto"/>
                    <w:left w:val="none" w:sz="0" w:space="0" w:color="auto"/>
                    <w:bottom w:val="none" w:sz="0" w:space="0" w:color="auto"/>
                    <w:right w:val="none" w:sz="0" w:space="0" w:color="auto"/>
                  </w:divBdr>
                  <w:divsChild>
                    <w:div w:id="316500621">
                      <w:marLeft w:val="0"/>
                      <w:marRight w:val="0"/>
                      <w:marTop w:val="0"/>
                      <w:marBottom w:val="0"/>
                      <w:divBdr>
                        <w:top w:val="none" w:sz="0" w:space="0" w:color="auto"/>
                        <w:left w:val="none" w:sz="0" w:space="0" w:color="auto"/>
                        <w:bottom w:val="none" w:sz="0" w:space="0" w:color="auto"/>
                        <w:right w:val="none" w:sz="0" w:space="0" w:color="auto"/>
                      </w:divBdr>
                    </w:div>
                  </w:divsChild>
                </w:div>
                <w:div w:id="1399477738">
                  <w:marLeft w:val="0"/>
                  <w:marRight w:val="0"/>
                  <w:marTop w:val="0"/>
                  <w:marBottom w:val="0"/>
                  <w:divBdr>
                    <w:top w:val="none" w:sz="0" w:space="0" w:color="auto"/>
                    <w:left w:val="none" w:sz="0" w:space="0" w:color="auto"/>
                    <w:bottom w:val="none" w:sz="0" w:space="0" w:color="auto"/>
                    <w:right w:val="none" w:sz="0" w:space="0" w:color="auto"/>
                  </w:divBdr>
                  <w:divsChild>
                    <w:div w:id="191891625">
                      <w:marLeft w:val="0"/>
                      <w:marRight w:val="0"/>
                      <w:marTop w:val="0"/>
                      <w:marBottom w:val="0"/>
                      <w:divBdr>
                        <w:top w:val="none" w:sz="0" w:space="0" w:color="auto"/>
                        <w:left w:val="none" w:sz="0" w:space="0" w:color="auto"/>
                        <w:bottom w:val="none" w:sz="0" w:space="0" w:color="auto"/>
                        <w:right w:val="none" w:sz="0" w:space="0" w:color="auto"/>
                      </w:divBdr>
                    </w:div>
                  </w:divsChild>
                </w:div>
                <w:div w:id="1423339597">
                  <w:marLeft w:val="0"/>
                  <w:marRight w:val="0"/>
                  <w:marTop w:val="0"/>
                  <w:marBottom w:val="0"/>
                  <w:divBdr>
                    <w:top w:val="none" w:sz="0" w:space="0" w:color="auto"/>
                    <w:left w:val="none" w:sz="0" w:space="0" w:color="auto"/>
                    <w:bottom w:val="none" w:sz="0" w:space="0" w:color="auto"/>
                    <w:right w:val="none" w:sz="0" w:space="0" w:color="auto"/>
                  </w:divBdr>
                  <w:divsChild>
                    <w:div w:id="403572645">
                      <w:marLeft w:val="0"/>
                      <w:marRight w:val="0"/>
                      <w:marTop w:val="0"/>
                      <w:marBottom w:val="0"/>
                      <w:divBdr>
                        <w:top w:val="none" w:sz="0" w:space="0" w:color="auto"/>
                        <w:left w:val="none" w:sz="0" w:space="0" w:color="auto"/>
                        <w:bottom w:val="none" w:sz="0" w:space="0" w:color="auto"/>
                        <w:right w:val="none" w:sz="0" w:space="0" w:color="auto"/>
                      </w:divBdr>
                    </w:div>
                  </w:divsChild>
                </w:div>
                <w:div w:id="1440027243">
                  <w:marLeft w:val="0"/>
                  <w:marRight w:val="0"/>
                  <w:marTop w:val="0"/>
                  <w:marBottom w:val="0"/>
                  <w:divBdr>
                    <w:top w:val="none" w:sz="0" w:space="0" w:color="auto"/>
                    <w:left w:val="none" w:sz="0" w:space="0" w:color="auto"/>
                    <w:bottom w:val="none" w:sz="0" w:space="0" w:color="auto"/>
                    <w:right w:val="none" w:sz="0" w:space="0" w:color="auto"/>
                  </w:divBdr>
                  <w:divsChild>
                    <w:div w:id="1000236655">
                      <w:marLeft w:val="0"/>
                      <w:marRight w:val="0"/>
                      <w:marTop w:val="0"/>
                      <w:marBottom w:val="0"/>
                      <w:divBdr>
                        <w:top w:val="none" w:sz="0" w:space="0" w:color="auto"/>
                        <w:left w:val="none" w:sz="0" w:space="0" w:color="auto"/>
                        <w:bottom w:val="none" w:sz="0" w:space="0" w:color="auto"/>
                        <w:right w:val="none" w:sz="0" w:space="0" w:color="auto"/>
                      </w:divBdr>
                    </w:div>
                  </w:divsChild>
                </w:div>
                <w:div w:id="1442649644">
                  <w:marLeft w:val="0"/>
                  <w:marRight w:val="0"/>
                  <w:marTop w:val="0"/>
                  <w:marBottom w:val="0"/>
                  <w:divBdr>
                    <w:top w:val="none" w:sz="0" w:space="0" w:color="auto"/>
                    <w:left w:val="none" w:sz="0" w:space="0" w:color="auto"/>
                    <w:bottom w:val="none" w:sz="0" w:space="0" w:color="auto"/>
                    <w:right w:val="none" w:sz="0" w:space="0" w:color="auto"/>
                  </w:divBdr>
                  <w:divsChild>
                    <w:div w:id="661474151">
                      <w:marLeft w:val="0"/>
                      <w:marRight w:val="0"/>
                      <w:marTop w:val="0"/>
                      <w:marBottom w:val="0"/>
                      <w:divBdr>
                        <w:top w:val="none" w:sz="0" w:space="0" w:color="auto"/>
                        <w:left w:val="none" w:sz="0" w:space="0" w:color="auto"/>
                        <w:bottom w:val="none" w:sz="0" w:space="0" w:color="auto"/>
                        <w:right w:val="none" w:sz="0" w:space="0" w:color="auto"/>
                      </w:divBdr>
                    </w:div>
                  </w:divsChild>
                </w:div>
                <w:div w:id="1442799639">
                  <w:marLeft w:val="0"/>
                  <w:marRight w:val="0"/>
                  <w:marTop w:val="0"/>
                  <w:marBottom w:val="0"/>
                  <w:divBdr>
                    <w:top w:val="none" w:sz="0" w:space="0" w:color="auto"/>
                    <w:left w:val="none" w:sz="0" w:space="0" w:color="auto"/>
                    <w:bottom w:val="none" w:sz="0" w:space="0" w:color="auto"/>
                    <w:right w:val="none" w:sz="0" w:space="0" w:color="auto"/>
                  </w:divBdr>
                  <w:divsChild>
                    <w:div w:id="1392004193">
                      <w:marLeft w:val="0"/>
                      <w:marRight w:val="0"/>
                      <w:marTop w:val="0"/>
                      <w:marBottom w:val="0"/>
                      <w:divBdr>
                        <w:top w:val="none" w:sz="0" w:space="0" w:color="auto"/>
                        <w:left w:val="none" w:sz="0" w:space="0" w:color="auto"/>
                        <w:bottom w:val="none" w:sz="0" w:space="0" w:color="auto"/>
                        <w:right w:val="none" w:sz="0" w:space="0" w:color="auto"/>
                      </w:divBdr>
                    </w:div>
                  </w:divsChild>
                </w:div>
                <w:div w:id="1444224723">
                  <w:marLeft w:val="0"/>
                  <w:marRight w:val="0"/>
                  <w:marTop w:val="0"/>
                  <w:marBottom w:val="0"/>
                  <w:divBdr>
                    <w:top w:val="none" w:sz="0" w:space="0" w:color="auto"/>
                    <w:left w:val="none" w:sz="0" w:space="0" w:color="auto"/>
                    <w:bottom w:val="none" w:sz="0" w:space="0" w:color="auto"/>
                    <w:right w:val="none" w:sz="0" w:space="0" w:color="auto"/>
                  </w:divBdr>
                  <w:divsChild>
                    <w:div w:id="1129124824">
                      <w:marLeft w:val="0"/>
                      <w:marRight w:val="0"/>
                      <w:marTop w:val="0"/>
                      <w:marBottom w:val="0"/>
                      <w:divBdr>
                        <w:top w:val="none" w:sz="0" w:space="0" w:color="auto"/>
                        <w:left w:val="none" w:sz="0" w:space="0" w:color="auto"/>
                        <w:bottom w:val="none" w:sz="0" w:space="0" w:color="auto"/>
                        <w:right w:val="none" w:sz="0" w:space="0" w:color="auto"/>
                      </w:divBdr>
                    </w:div>
                  </w:divsChild>
                </w:div>
                <w:div w:id="1448353681">
                  <w:marLeft w:val="0"/>
                  <w:marRight w:val="0"/>
                  <w:marTop w:val="0"/>
                  <w:marBottom w:val="0"/>
                  <w:divBdr>
                    <w:top w:val="none" w:sz="0" w:space="0" w:color="auto"/>
                    <w:left w:val="none" w:sz="0" w:space="0" w:color="auto"/>
                    <w:bottom w:val="none" w:sz="0" w:space="0" w:color="auto"/>
                    <w:right w:val="none" w:sz="0" w:space="0" w:color="auto"/>
                  </w:divBdr>
                  <w:divsChild>
                    <w:div w:id="1421757601">
                      <w:marLeft w:val="0"/>
                      <w:marRight w:val="0"/>
                      <w:marTop w:val="0"/>
                      <w:marBottom w:val="0"/>
                      <w:divBdr>
                        <w:top w:val="none" w:sz="0" w:space="0" w:color="auto"/>
                        <w:left w:val="none" w:sz="0" w:space="0" w:color="auto"/>
                        <w:bottom w:val="none" w:sz="0" w:space="0" w:color="auto"/>
                        <w:right w:val="none" w:sz="0" w:space="0" w:color="auto"/>
                      </w:divBdr>
                    </w:div>
                  </w:divsChild>
                </w:div>
                <w:div w:id="1451628229">
                  <w:marLeft w:val="0"/>
                  <w:marRight w:val="0"/>
                  <w:marTop w:val="0"/>
                  <w:marBottom w:val="0"/>
                  <w:divBdr>
                    <w:top w:val="none" w:sz="0" w:space="0" w:color="auto"/>
                    <w:left w:val="none" w:sz="0" w:space="0" w:color="auto"/>
                    <w:bottom w:val="none" w:sz="0" w:space="0" w:color="auto"/>
                    <w:right w:val="none" w:sz="0" w:space="0" w:color="auto"/>
                  </w:divBdr>
                  <w:divsChild>
                    <w:div w:id="341202388">
                      <w:marLeft w:val="0"/>
                      <w:marRight w:val="0"/>
                      <w:marTop w:val="0"/>
                      <w:marBottom w:val="0"/>
                      <w:divBdr>
                        <w:top w:val="none" w:sz="0" w:space="0" w:color="auto"/>
                        <w:left w:val="none" w:sz="0" w:space="0" w:color="auto"/>
                        <w:bottom w:val="none" w:sz="0" w:space="0" w:color="auto"/>
                        <w:right w:val="none" w:sz="0" w:space="0" w:color="auto"/>
                      </w:divBdr>
                    </w:div>
                  </w:divsChild>
                </w:div>
                <w:div w:id="1467550576">
                  <w:marLeft w:val="0"/>
                  <w:marRight w:val="0"/>
                  <w:marTop w:val="0"/>
                  <w:marBottom w:val="0"/>
                  <w:divBdr>
                    <w:top w:val="none" w:sz="0" w:space="0" w:color="auto"/>
                    <w:left w:val="none" w:sz="0" w:space="0" w:color="auto"/>
                    <w:bottom w:val="none" w:sz="0" w:space="0" w:color="auto"/>
                    <w:right w:val="none" w:sz="0" w:space="0" w:color="auto"/>
                  </w:divBdr>
                  <w:divsChild>
                    <w:div w:id="1111782727">
                      <w:marLeft w:val="0"/>
                      <w:marRight w:val="0"/>
                      <w:marTop w:val="0"/>
                      <w:marBottom w:val="0"/>
                      <w:divBdr>
                        <w:top w:val="none" w:sz="0" w:space="0" w:color="auto"/>
                        <w:left w:val="none" w:sz="0" w:space="0" w:color="auto"/>
                        <w:bottom w:val="none" w:sz="0" w:space="0" w:color="auto"/>
                        <w:right w:val="none" w:sz="0" w:space="0" w:color="auto"/>
                      </w:divBdr>
                    </w:div>
                  </w:divsChild>
                </w:div>
                <w:div w:id="1467772000">
                  <w:marLeft w:val="0"/>
                  <w:marRight w:val="0"/>
                  <w:marTop w:val="0"/>
                  <w:marBottom w:val="0"/>
                  <w:divBdr>
                    <w:top w:val="none" w:sz="0" w:space="0" w:color="auto"/>
                    <w:left w:val="none" w:sz="0" w:space="0" w:color="auto"/>
                    <w:bottom w:val="none" w:sz="0" w:space="0" w:color="auto"/>
                    <w:right w:val="none" w:sz="0" w:space="0" w:color="auto"/>
                  </w:divBdr>
                  <w:divsChild>
                    <w:div w:id="663364049">
                      <w:marLeft w:val="0"/>
                      <w:marRight w:val="0"/>
                      <w:marTop w:val="0"/>
                      <w:marBottom w:val="0"/>
                      <w:divBdr>
                        <w:top w:val="none" w:sz="0" w:space="0" w:color="auto"/>
                        <w:left w:val="none" w:sz="0" w:space="0" w:color="auto"/>
                        <w:bottom w:val="none" w:sz="0" w:space="0" w:color="auto"/>
                        <w:right w:val="none" w:sz="0" w:space="0" w:color="auto"/>
                      </w:divBdr>
                    </w:div>
                  </w:divsChild>
                </w:div>
                <w:div w:id="1487555396">
                  <w:marLeft w:val="0"/>
                  <w:marRight w:val="0"/>
                  <w:marTop w:val="0"/>
                  <w:marBottom w:val="0"/>
                  <w:divBdr>
                    <w:top w:val="none" w:sz="0" w:space="0" w:color="auto"/>
                    <w:left w:val="none" w:sz="0" w:space="0" w:color="auto"/>
                    <w:bottom w:val="none" w:sz="0" w:space="0" w:color="auto"/>
                    <w:right w:val="none" w:sz="0" w:space="0" w:color="auto"/>
                  </w:divBdr>
                  <w:divsChild>
                    <w:div w:id="1802918667">
                      <w:marLeft w:val="0"/>
                      <w:marRight w:val="0"/>
                      <w:marTop w:val="0"/>
                      <w:marBottom w:val="0"/>
                      <w:divBdr>
                        <w:top w:val="none" w:sz="0" w:space="0" w:color="auto"/>
                        <w:left w:val="none" w:sz="0" w:space="0" w:color="auto"/>
                        <w:bottom w:val="none" w:sz="0" w:space="0" w:color="auto"/>
                        <w:right w:val="none" w:sz="0" w:space="0" w:color="auto"/>
                      </w:divBdr>
                    </w:div>
                  </w:divsChild>
                </w:div>
                <w:div w:id="1488593962">
                  <w:marLeft w:val="0"/>
                  <w:marRight w:val="0"/>
                  <w:marTop w:val="0"/>
                  <w:marBottom w:val="0"/>
                  <w:divBdr>
                    <w:top w:val="none" w:sz="0" w:space="0" w:color="auto"/>
                    <w:left w:val="none" w:sz="0" w:space="0" w:color="auto"/>
                    <w:bottom w:val="none" w:sz="0" w:space="0" w:color="auto"/>
                    <w:right w:val="none" w:sz="0" w:space="0" w:color="auto"/>
                  </w:divBdr>
                  <w:divsChild>
                    <w:div w:id="520632766">
                      <w:marLeft w:val="0"/>
                      <w:marRight w:val="0"/>
                      <w:marTop w:val="0"/>
                      <w:marBottom w:val="0"/>
                      <w:divBdr>
                        <w:top w:val="none" w:sz="0" w:space="0" w:color="auto"/>
                        <w:left w:val="none" w:sz="0" w:space="0" w:color="auto"/>
                        <w:bottom w:val="none" w:sz="0" w:space="0" w:color="auto"/>
                        <w:right w:val="none" w:sz="0" w:space="0" w:color="auto"/>
                      </w:divBdr>
                    </w:div>
                  </w:divsChild>
                </w:div>
                <w:div w:id="1491942125">
                  <w:marLeft w:val="0"/>
                  <w:marRight w:val="0"/>
                  <w:marTop w:val="0"/>
                  <w:marBottom w:val="0"/>
                  <w:divBdr>
                    <w:top w:val="none" w:sz="0" w:space="0" w:color="auto"/>
                    <w:left w:val="none" w:sz="0" w:space="0" w:color="auto"/>
                    <w:bottom w:val="none" w:sz="0" w:space="0" w:color="auto"/>
                    <w:right w:val="none" w:sz="0" w:space="0" w:color="auto"/>
                  </w:divBdr>
                  <w:divsChild>
                    <w:div w:id="934554329">
                      <w:marLeft w:val="0"/>
                      <w:marRight w:val="0"/>
                      <w:marTop w:val="0"/>
                      <w:marBottom w:val="0"/>
                      <w:divBdr>
                        <w:top w:val="none" w:sz="0" w:space="0" w:color="auto"/>
                        <w:left w:val="none" w:sz="0" w:space="0" w:color="auto"/>
                        <w:bottom w:val="none" w:sz="0" w:space="0" w:color="auto"/>
                        <w:right w:val="none" w:sz="0" w:space="0" w:color="auto"/>
                      </w:divBdr>
                    </w:div>
                  </w:divsChild>
                </w:div>
                <w:div w:id="1491949023">
                  <w:marLeft w:val="0"/>
                  <w:marRight w:val="0"/>
                  <w:marTop w:val="0"/>
                  <w:marBottom w:val="0"/>
                  <w:divBdr>
                    <w:top w:val="none" w:sz="0" w:space="0" w:color="auto"/>
                    <w:left w:val="none" w:sz="0" w:space="0" w:color="auto"/>
                    <w:bottom w:val="none" w:sz="0" w:space="0" w:color="auto"/>
                    <w:right w:val="none" w:sz="0" w:space="0" w:color="auto"/>
                  </w:divBdr>
                  <w:divsChild>
                    <w:div w:id="1956136930">
                      <w:marLeft w:val="0"/>
                      <w:marRight w:val="0"/>
                      <w:marTop w:val="0"/>
                      <w:marBottom w:val="0"/>
                      <w:divBdr>
                        <w:top w:val="none" w:sz="0" w:space="0" w:color="auto"/>
                        <w:left w:val="none" w:sz="0" w:space="0" w:color="auto"/>
                        <w:bottom w:val="none" w:sz="0" w:space="0" w:color="auto"/>
                        <w:right w:val="none" w:sz="0" w:space="0" w:color="auto"/>
                      </w:divBdr>
                    </w:div>
                  </w:divsChild>
                </w:div>
                <w:div w:id="1501770850">
                  <w:marLeft w:val="0"/>
                  <w:marRight w:val="0"/>
                  <w:marTop w:val="0"/>
                  <w:marBottom w:val="0"/>
                  <w:divBdr>
                    <w:top w:val="none" w:sz="0" w:space="0" w:color="auto"/>
                    <w:left w:val="none" w:sz="0" w:space="0" w:color="auto"/>
                    <w:bottom w:val="none" w:sz="0" w:space="0" w:color="auto"/>
                    <w:right w:val="none" w:sz="0" w:space="0" w:color="auto"/>
                  </w:divBdr>
                  <w:divsChild>
                    <w:div w:id="72364727">
                      <w:marLeft w:val="0"/>
                      <w:marRight w:val="0"/>
                      <w:marTop w:val="0"/>
                      <w:marBottom w:val="0"/>
                      <w:divBdr>
                        <w:top w:val="none" w:sz="0" w:space="0" w:color="auto"/>
                        <w:left w:val="none" w:sz="0" w:space="0" w:color="auto"/>
                        <w:bottom w:val="none" w:sz="0" w:space="0" w:color="auto"/>
                        <w:right w:val="none" w:sz="0" w:space="0" w:color="auto"/>
                      </w:divBdr>
                    </w:div>
                    <w:div w:id="362635492">
                      <w:marLeft w:val="0"/>
                      <w:marRight w:val="0"/>
                      <w:marTop w:val="0"/>
                      <w:marBottom w:val="0"/>
                      <w:divBdr>
                        <w:top w:val="none" w:sz="0" w:space="0" w:color="auto"/>
                        <w:left w:val="none" w:sz="0" w:space="0" w:color="auto"/>
                        <w:bottom w:val="none" w:sz="0" w:space="0" w:color="auto"/>
                        <w:right w:val="none" w:sz="0" w:space="0" w:color="auto"/>
                      </w:divBdr>
                    </w:div>
                    <w:div w:id="479884573">
                      <w:marLeft w:val="0"/>
                      <w:marRight w:val="0"/>
                      <w:marTop w:val="0"/>
                      <w:marBottom w:val="0"/>
                      <w:divBdr>
                        <w:top w:val="none" w:sz="0" w:space="0" w:color="auto"/>
                        <w:left w:val="none" w:sz="0" w:space="0" w:color="auto"/>
                        <w:bottom w:val="none" w:sz="0" w:space="0" w:color="auto"/>
                        <w:right w:val="none" w:sz="0" w:space="0" w:color="auto"/>
                      </w:divBdr>
                    </w:div>
                    <w:div w:id="593904947">
                      <w:marLeft w:val="0"/>
                      <w:marRight w:val="0"/>
                      <w:marTop w:val="0"/>
                      <w:marBottom w:val="0"/>
                      <w:divBdr>
                        <w:top w:val="none" w:sz="0" w:space="0" w:color="auto"/>
                        <w:left w:val="none" w:sz="0" w:space="0" w:color="auto"/>
                        <w:bottom w:val="none" w:sz="0" w:space="0" w:color="auto"/>
                        <w:right w:val="none" w:sz="0" w:space="0" w:color="auto"/>
                      </w:divBdr>
                    </w:div>
                    <w:div w:id="978460001">
                      <w:marLeft w:val="0"/>
                      <w:marRight w:val="0"/>
                      <w:marTop w:val="0"/>
                      <w:marBottom w:val="0"/>
                      <w:divBdr>
                        <w:top w:val="none" w:sz="0" w:space="0" w:color="auto"/>
                        <w:left w:val="none" w:sz="0" w:space="0" w:color="auto"/>
                        <w:bottom w:val="none" w:sz="0" w:space="0" w:color="auto"/>
                        <w:right w:val="none" w:sz="0" w:space="0" w:color="auto"/>
                      </w:divBdr>
                    </w:div>
                    <w:div w:id="1260218037">
                      <w:marLeft w:val="0"/>
                      <w:marRight w:val="0"/>
                      <w:marTop w:val="0"/>
                      <w:marBottom w:val="0"/>
                      <w:divBdr>
                        <w:top w:val="none" w:sz="0" w:space="0" w:color="auto"/>
                        <w:left w:val="none" w:sz="0" w:space="0" w:color="auto"/>
                        <w:bottom w:val="none" w:sz="0" w:space="0" w:color="auto"/>
                        <w:right w:val="none" w:sz="0" w:space="0" w:color="auto"/>
                      </w:divBdr>
                    </w:div>
                    <w:div w:id="1271820031">
                      <w:marLeft w:val="0"/>
                      <w:marRight w:val="0"/>
                      <w:marTop w:val="0"/>
                      <w:marBottom w:val="0"/>
                      <w:divBdr>
                        <w:top w:val="none" w:sz="0" w:space="0" w:color="auto"/>
                        <w:left w:val="none" w:sz="0" w:space="0" w:color="auto"/>
                        <w:bottom w:val="none" w:sz="0" w:space="0" w:color="auto"/>
                        <w:right w:val="none" w:sz="0" w:space="0" w:color="auto"/>
                      </w:divBdr>
                    </w:div>
                    <w:div w:id="1384451233">
                      <w:marLeft w:val="0"/>
                      <w:marRight w:val="0"/>
                      <w:marTop w:val="0"/>
                      <w:marBottom w:val="0"/>
                      <w:divBdr>
                        <w:top w:val="none" w:sz="0" w:space="0" w:color="auto"/>
                        <w:left w:val="none" w:sz="0" w:space="0" w:color="auto"/>
                        <w:bottom w:val="none" w:sz="0" w:space="0" w:color="auto"/>
                        <w:right w:val="none" w:sz="0" w:space="0" w:color="auto"/>
                      </w:divBdr>
                    </w:div>
                    <w:div w:id="1615676661">
                      <w:marLeft w:val="0"/>
                      <w:marRight w:val="0"/>
                      <w:marTop w:val="0"/>
                      <w:marBottom w:val="0"/>
                      <w:divBdr>
                        <w:top w:val="none" w:sz="0" w:space="0" w:color="auto"/>
                        <w:left w:val="none" w:sz="0" w:space="0" w:color="auto"/>
                        <w:bottom w:val="none" w:sz="0" w:space="0" w:color="auto"/>
                        <w:right w:val="none" w:sz="0" w:space="0" w:color="auto"/>
                      </w:divBdr>
                    </w:div>
                    <w:div w:id="1832789581">
                      <w:marLeft w:val="0"/>
                      <w:marRight w:val="0"/>
                      <w:marTop w:val="0"/>
                      <w:marBottom w:val="0"/>
                      <w:divBdr>
                        <w:top w:val="none" w:sz="0" w:space="0" w:color="auto"/>
                        <w:left w:val="none" w:sz="0" w:space="0" w:color="auto"/>
                        <w:bottom w:val="none" w:sz="0" w:space="0" w:color="auto"/>
                        <w:right w:val="none" w:sz="0" w:space="0" w:color="auto"/>
                      </w:divBdr>
                    </w:div>
                    <w:div w:id="1889563064">
                      <w:marLeft w:val="0"/>
                      <w:marRight w:val="0"/>
                      <w:marTop w:val="0"/>
                      <w:marBottom w:val="0"/>
                      <w:divBdr>
                        <w:top w:val="none" w:sz="0" w:space="0" w:color="auto"/>
                        <w:left w:val="none" w:sz="0" w:space="0" w:color="auto"/>
                        <w:bottom w:val="none" w:sz="0" w:space="0" w:color="auto"/>
                        <w:right w:val="none" w:sz="0" w:space="0" w:color="auto"/>
                      </w:divBdr>
                    </w:div>
                    <w:div w:id="1949893058">
                      <w:marLeft w:val="0"/>
                      <w:marRight w:val="0"/>
                      <w:marTop w:val="0"/>
                      <w:marBottom w:val="0"/>
                      <w:divBdr>
                        <w:top w:val="none" w:sz="0" w:space="0" w:color="auto"/>
                        <w:left w:val="none" w:sz="0" w:space="0" w:color="auto"/>
                        <w:bottom w:val="none" w:sz="0" w:space="0" w:color="auto"/>
                        <w:right w:val="none" w:sz="0" w:space="0" w:color="auto"/>
                      </w:divBdr>
                    </w:div>
                    <w:div w:id="1984892123">
                      <w:marLeft w:val="0"/>
                      <w:marRight w:val="0"/>
                      <w:marTop w:val="0"/>
                      <w:marBottom w:val="0"/>
                      <w:divBdr>
                        <w:top w:val="none" w:sz="0" w:space="0" w:color="auto"/>
                        <w:left w:val="none" w:sz="0" w:space="0" w:color="auto"/>
                        <w:bottom w:val="none" w:sz="0" w:space="0" w:color="auto"/>
                        <w:right w:val="none" w:sz="0" w:space="0" w:color="auto"/>
                      </w:divBdr>
                    </w:div>
                  </w:divsChild>
                </w:div>
                <w:div w:id="1512641277">
                  <w:marLeft w:val="0"/>
                  <w:marRight w:val="0"/>
                  <w:marTop w:val="0"/>
                  <w:marBottom w:val="0"/>
                  <w:divBdr>
                    <w:top w:val="none" w:sz="0" w:space="0" w:color="auto"/>
                    <w:left w:val="none" w:sz="0" w:space="0" w:color="auto"/>
                    <w:bottom w:val="none" w:sz="0" w:space="0" w:color="auto"/>
                    <w:right w:val="none" w:sz="0" w:space="0" w:color="auto"/>
                  </w:divBdr>
                  <w:divsChild>
                    <w:div w:id="24211316">
                      <w:marLeft w:val="0"/>
                      <w:marRight w:val="0"/>
                      <w:marTop w:val="0"/>
                      <w:marBottom w:val="0"/>
                      <w:divBdr>
                        <w:top w:val="none" w:sz="0" w:space="0" w:color="auto"/>
                        <w:left w:val="none" w:sz="0" w:space="0" w:color="auto"/>
                        <w:bottom w:val="none" w:sz="0" w:space="0" w:color="auto"/>
                        <w:right w:val="none" w:sz="0" w:space="0" w:color="auto"/>
                      </w:divBdr>
                    </w:div>
                  </w:divsChild>
                </w:div>
                <w:div w:id="1527257985">
                  <w:marLeft w:val="0"/>
                  <w:marRight w:val="0"/>
                  <w:marTop w:val="0"/>
                  <w:marBottom w:val="0"/>
                  <w:divBdr>
                    <w:top w:val="none" w:sz="0" w:space="0" w:color="auto"/>
                    <w:left w:val="none" w:sz="0" w:space="0" w:color="auto"/>
                    <w:bottom w:val="none" w:sz="0" w:space="0" w:color="auto"/>
                    <w:right w:val="none" w:sz="0" w:space="0" w:color="auto"/>
                  </w:divBdr>
                  <w:divsChild>
                    <w:div w:id="851454341">
                      <w:marLeft w:val="0"/>
                      <w:marRight w:val="0"/>
                      <w:marTop w:val="0"/>
                      <w:marBottom w:val="0"/>
                      <w:divBdr>
                        <w:top w:val="none" w:sz="0" w:space="0" w:color="auto"/>
                        <w:left w:val="none" w:sz="0" w:space="0" w:color="auto"/>
                        <w:bottom w:val="none" w:sz="0" w:space="0" w:color="auto"/>
                        <w:right w:val="none" w:sz="0" w:space="0" w:color="auto"/>
                      </w:divBdr>
                    </w:div>
                  </w:divsChild>
                </w:div>
                <w:div w:id="1528374320">
                  <w:marLeft w:val="0"/>
                  <w:marRight w:val="0"/>
                  <w:marTop w:val="0"/>
                  <w:marBottom w:val="0"/>
                  <w:divBdr>
                    <w:top w:val="none" w:sz="0" w:space="0" w:color="auto"/>
                    <w:left w:val="none" w:sz="0" w:space="0" w:color="auto"/>
                    <w:bottom w:val="none" w:sz="0" w:space="0" w:color="auto"/>
                    <w:right w:val="none" w:sz="0" w:space="0" w:color="auto"/>
                  </w:divBdr>
                  <w:divsChild>
                    <w:div w:id="1848134083">
                      <w:marLeft w:val="0"/>
                      <w:marRight w:val="0"/>
                      <w:marTop w:val="0"/>
                      <w:marBottom w:val="0"/>
                      <w:divBdr>
                        <w:top w:val="none" w:sz="0" w:space="0" w:color="auto"/>
                        <w:left w:val="none" w:sz="0" w:space="0" w:color="auto"/>
                        <w:bottom w:val="none" w:sz="0" w:space="0" w:color="auto"/>
                        <w:right w:val="none" w:sz="0" w:space="0" w:color="auto"/>
                      </w:divBdr>
                    </w:div>
                  </w:divsChild>
                </w:div>
                <w:div w:id="1530289725">
                  <w:marLeft w:val="0"/>
                  <w:marRight w:val="0"/>
                  <w:marTop w:val="0"/>
                  <w:marBottom w:val="0"/>
                  <w:divBdr>
                    <w:top w:val="none" w:sz="0" w:space="0" w:color="auto"/>
                    <w:left w:val="none" w:sz="0" w:space="0" w:color="auto"/>
                    <w:bottom w:val="none" w:sz="0" w:space="0" w:color="auto"/>
                    <w:right w:val="none" w:sz="0" w:space="0" w:color="auto"/>
                  </w:divBdr>
                  <w:divsChild>
                    <w:div w:id="1648852796">
                      <w:marLeft w:val="0"/>
                      <w:marRight w:val="0"/>
                      <w:marTop w:val="0"/>
                      <w:marBottom w:val="0"/>
                      <w:divBdr>
                        <w:top w:val="none" w:sz="0" w:space="0" w:color="auto"/>
                        <w:left w:val="none" w:sz="0" w:space="0" w:color="auto"/>
                        <w:bottom w:val="none" w:sz="0" w:space="0" w:color="auto"/>
                        <w:right w:val="none" w:sz="0" w:space="0" w:color="auto"/>
                      </w:divBdr>
                    </w:div>
                  </w:divsChild>
                </w:div>
                <w:div w:id="1537501607">
                  <w:marLeft w:val="0"/>
                  <w:marRight w:val="0"/>
                  <w:marTop w:val="0"/>
                  <w:marBottom w:val="0"/>
                  <w:divBdr>
                    <w:top w:val="none" w:sz="0" w:space="0" w:color="auto"/>
                    <w:left w:val="none" w:sz="0" w:space="0" w:color="auto"/>
                    <w:bottom w:val="none" w:sz="0" w:space="0" w:color="auto"/>
                    <w:right w:val="none" w:sz="0" w:space="0" w:color="auto"/>
                  </w:divBdr>
                  <w:divsChild>
                    <w:div w:id="892816578">
                      <w:marLeft w:val="0"/>
                      <w:marRight w:val="0"/>
                      <w:marTop w:val="0"/>
                      <w:marBottom w:val="0"/>
                      <w:divBdr>
                        <w:top w:val="none" w:sz="0" w:space="0" w:color="auto"/>
                        <w:left w:val="none" w:sz="0" w:space="0" w:color="auto"/>
                        <w:bottom w:val="none" w:sz="0" w:space="0" w:color="auto"/>
                        <w:right w:val="none" w:sz="0" w:space="0" w:color="auto"/>
                      </w:divBdr>
                    </w:div>
                  </w:divsChild>
                </w:div>
                <w:div w:id="1551383728">
                  <w:marLeft w:val="0"/>
                  <w:marRight w:val="0"/>
                  <w:marTop w:val="0"/>
                  <w:marBottom w:val="0"/>
                  <w:divBdr>
                    <w:top w:val="none" w:sz="0" w:space="0" w:color="auto"/>
                    <w:left w:val="none" w:sz="0" w:space="0" w:color="auto"/>
                    <w:bottom w:val="none" w:sz="0" w:space="0" w:color="auto"/>
                    <w:right w:val="none" w:sz="0" w:space="0" w:color="auto"/>
                  </w:divBdr>
                  <w:divsChild>
                    <w:div w:id="187256193">
                      <w:marLeft w:val="0"/>
                      <w:marRight w:val="0"/>
                      <w:marTop w:val="0"/>
                      <w:marBottom w:val="0"/>
                      <w:divBdr>
                        <w:top w:val="none" w:sz="0" w:space="0" w:color="auto"/>
                        <w:left w:val="none" w:sz="0" w:space="0" w:color="auto"/>
                        <w:bottom w:val="none" w:sz="0" w:space="0" w:color="auto"/>
                        <w:right w:val="none" w:sz="0" w:space="0" w:color="auto"/>
                      </w:divBdr>
                    </w:div>
                  </w:divsChild>
                </w:div>
                <w:div w:id="1554464281">
                  <w:marLeft w:val="0"/>
                  <w:marRight w:val="0"/>
                  <w:marTop w:val="0"/>
                  <w:marBottom w:val="0"/>
                  <w:divBdr>
                    <w:top w:val="none" w:sz="0" w:space="0" w:color="auto"/>
                    <w:left w:val="none" w:sz="0" w:space="0" w:color="auto"/>
                    <w:bottom w:val="none" w:sz="0" w:space="0" w:color="auto"/>
                    <w:right w:val="none" w:sz="0" w:space="0" w:color="auto"/>
                  </w:divBdr>
                  <w:divsChild>
                    <w:div w:id="1825194444">
                      <w:marLeft w:val="0"/>
                      <w:marRight w:val="0"/>
                      <w:marTop w:val="0"/>
                      <w:marBottom w:val="0"/>
                      <w:divBdr>
                        <w:top w:val="none" w:sz="0" w:space="0" w:color="auto"/>
                        <w:left w:val="none" w:sz="0" w:space="0" w:color="auto"/>
                        <w:bottom w:val="none" w:sz="0" w:space="0" w:color="auto"/>
                        <w:right w:val="none" w:sz="0" w:space="0" w:color="auto"/>
                      </w:divBdr>
                    </w:div>
                  </w:divsChild>
                </w:div>
                <w:div w:id="1554926109">
                  <w:marLeft w:val="0"/>
                  <w:marRight w:val="0"/>
                  <w:marTop w:val="0"/>
                  <w:marBottom w:val="0"/>
                  <w:divBdr>
                    <w:top w:val="none" w:sz="0" w:space="0" w:color="auto"/>
                    <w:left w:val="none" w:sz="0" w:space="0" w:color="auto"/>
                    <w:bottom w:val="none" w:sz="0" w:space="0" w:color="auto"/>
                    <w:right w:val="none" w:sz="0" w:space="0" w:color="auto"/>
                  </w:divBdr>
                  <w:divsChild>
                    <w:div w:id="664211283">
                      <w:marLeft w:val="0"/>
                      <w:marRight w:val="0"/>
                      <w:marTop w:val="0"/>
                      <w:marBottom w:val="0"/>
                      <w:divBdr>
                        <w:top w:val="none" w:sz="0" w:space="0" w:color="auto"/>
                        <w:left w:val="none" w:sz="0" w:space="0" w:color="auto"/>
                        <w:bottom w:val="none" w:sz="0" w:space="0" w:color="auto"/>
                        <w:right w:val="none" w:sz="0" w:space="0" w:color="auto"/>
                      </w:divBdr>
                    </w:div>
                  </w:divsChild>
                </w:div>
                <w:div w:id="1556042454">
                  <w:marLeft w:val="0"/>
                  <w:marRight w:val="0"/>
                  <w:marTop w:val="0"/>
                  <w:marBottom w:val="0"/>
                  <w:divBdr>
                    <w:top w:val="none" w:sz="0" w:space="0" w:color="auto"/>
                    <w:left w:val="none" w:sz="0" w:space="0" w:color="auto"/>
                    <w:bottom w:val="none" w:sz="0" w:space="0" w:color="auto"/>
                    <w:right w:val="none" w:sz="0" w:space="0" w:color="auto"/>
                  </w:divBdr>
                  <w:divsChild>
                    <w:div w:id="1683584224">
                      <w:marLeft w:val="0"/>
                      <w:marRight w:val="0"/>
                      <w:marTop w:val="0"/>
                      <w:marBottom w:val="0"/>
                      <w:divBdr>
                        <w:top w:val="none" w:sz="0" w:space="0" w:color="auto"/>
                        <w:left w:val="none" w:sz="0" w:space="0" w:color="auto"/>
                        <w:bottom w:val="none" w:sz="0" w:space="0" w:color="auto"/>
                        <w:right w:val="none" w:sz="0" w:space="0" w:color="auto"/>
                      </w:divBdr>
                    </w:div>
                  </w:divsChild>
                </w:div>
                <w:div w:id="1566598046">
                  <w:marLeft w:val="0"/>
                  <w:marRight w:val="0"/>
                  <w:marTop w:val="0"/>
                  <w:marBottom w:val="0"/>
                  <w:divBdr>
                    <w:top w:val="none" w:sz="0" w:space="0" w:color="auto"/>
                    <w:left w:val="none" w:sz="0" w:space="0" w:color="auto"/>
                    <w:bottom w:val="none" w:sz="0" w:space="0" w:color="auto"/>
                    <w:right w:val="none" w:sz="0" w:space="0" w:color="auto"/>
                  </w:divBdr>
                  <w:divsChild>
                    <w:div w:id="23333387">
                      <w:marLeft w:val="0"/>
                      <w:marRight w:val="0"/>
                      <w:marTop w:val="0"/>
                      <w:marBottom w:val="0"/>
                      <w:divBdr>
                        <w:top w:val="none" w:sz="0" w:space="0" w:color="auto"/>
                        <w:left w:val="none" w:sz="0" w:space="0" w:color="auto"/>
                        <w:bottom w:val="none" w:sz="0" w:space="0" w:color="auto"/>
                        <w:right w:val="none" w:sz="0" w:space="0" w:color="auto"/>
                      </w:divBdr>
                    </w:div>
                    <w:div w:id="1470853952">
                      <w:marLeft w:val="0"/>
                      <w:marRight w:val="0"/>
                      <w:marTop w:val="0"/>
                      <w:marBottom w:val="0"/>
                      <w:divBdr>
                        <w:top w:val="none" w:sz="0" w:space="0" w:color="auto"/>
                        <w:left w:val="none" w:sz="0" w:space="0" w:color="auto"/>
                        <w:bottom w:val="none" w:sz="0" w:space="0" w:color="auto"/>
                        <w:right w:val="none" w:sz="0" w:space="0" w:color="auto"/>
                      </w:divBdr>
                    </w:div>
                  </w:divsChild>
                </w:div>
                <w:div w:id="1571109495">
                  <w:marLeft w:val="0"/>
                  <w:marRight w:val="0"/>
                  <w:marTop w:val="0"/>
                  <w:marBottom w:val="0"/>
                  <w:divBdr>
                    <w:top w:val="none" w:sz="0" w:space="0" w:color="auto"/>
                    <w:left w:val="none" w:sz="0" w:space="0" w:color="auto"/>
                    <w:bottom w:val="none" w:sz="0" w:space="0" w:color="auto"/>
                    <w:right w:val="none" w:sz="0" w:space="0" w:color="auto"/>
                  </w:divBdr>
                  <w:divsChild>
                    <w:div w:id="1219241399">
                      <w:marLeft w:val="0"/>
                      <w:marRight w:val="0"/>
                      <w:marTop w:val="0"/>
                      <w:marBottom w:val="0"/>
                      <w:divBdr>
                        <w:top w:val="none" w:sz="0" w:space="0" w:color="auto"/>
                        <w:left w:val="none" w:sz="0" w:space="0" w:color="auto"/>
                        <w:bottom w:val="none" w:sz="0" w:space="0" w:color="auto"/>
                        <w:right w:val="none" w:sz="0" w:space="0" w:color="auto"/>
                      </w:divBdr>
                    </w:div>
                  </w:divsChild>
                </w:div>
                <w:div w:id="1578593250">
                  <w:marLeft w:val="0"/>
                  <w:marRight w:val="0"/>
                  <w:marTop w:val="0"/>
                  <w:marBottom w:val="0"/>
                  <w:divBdr>
                    <w:top w:val="none" w:sz="0" w:space="0" w:color="auto"/>
                    <w:left w:val="none" w:sz="0" w:space="0" w:color="auto"/>
                    <w:bottom w:val="none" w:sz="0" w:space="0" w:color="auto"/>
                    <w:right w:val="none" w:sz="0" w:space="0" w:color="auto"/>
                  </w:divBdr>
                  <w:divsChild>
                    <w:div w:id="1821969154">
                      <w:marLeft w:val="0"/>
                      <w:marRight w:val="0"/>
                      <w:marTop w:val="0"/>
                      <w:marBottom w:val="0"/>
                      <w:divBdr>
                        <w:top w:val="none" w:sz="0" w:space="0" w:color="auto"/>
                        <w:left w:val="none" w:sz="0" w:space="0" w:color="auto"/>
                        <w:bottom w:val="none" w:sz="0" w:space="0" w:color="auto"/>
                        <w:right w:val="none" w:sz="0" w:space="0" w:color="auto"/>
                      </w:divBdr>
                    </w:div>
                  </w:divsChild>
                </w:div>
                <w:div w:id="1579515689">
                  <w:marLeft w:val="0"/>
                  <w:marRight w:val="0"/>
                  <w:marTop w:val="0"/>
                  <w:marBottom w:val="0"/>
                  <w:divBdr>
                    <w:top w:val="none" w:sz="0" w:space="0" w:color="auto"/>
                    <w:left w:val="none" w:sz="0" w:space="0" w:color="auto"/>
                    <w:bottom w:val="none" w:sz="0" w:space="0" w:color="auto"/>
                    <w:right w:val="none" w:sz="0" w:space="0" w:color="auto"/>
                  </w:divBdr>
                  <w:divsChild>
                    <w:div w:id="1013727846">
                      <w:marLeft w:val="0"/>
                      <w:marRight w:val="0"/>
                      <w:marTop w:val="0"/>
                      <w:marBottom w:val="0"/>
                      <w:divBdr>
                        <w:top w:val="none" w:sz="0" w:space="0" w:color="auto"/>
                        <w:left w:val="none" w:sz="0" w:space="0" w:color="auto"/>
                        <w:bottom w:val="none" w:sz="0" w:space="0" w:color="auto"/>
                        <w:right w:val="none" w:sz="0" w:space="0" w:color="auto"/>
                      </w:divBdr>
                    </w:div>
                  </w:divsChild>
                </w:div>
                <w:div w:id="1584492692">
                  <w:marLeft w:val="0"/>
                  <w:marRight w:val="0"/>
                  <w:marTop w:val="0"/>
                  <w:marBottom w:val="0"/>
                  <w:divBdr>
                    <w:top w:val="none" w:sz="0" w:space="0" w:color="auto"/>
                    <w:left w:val="none" w:sz="0" w:space="0" w:color="auto"/>
                    <w:bottom w:val="none" w:sz="0" w:space="0" w:color="auto"/>
                    <w:right w:val="none" w:sz="0" w:space="0" w:color="auto"/>
                  </w:divBdr>
                  <w:divsChild>
                    <w:div w:id="962925128">
                      <w:marLeft w:val="0"/>
                      <w:marRight w:val="0"/>
                      <w:marTop w:val="0"/>
                      <w:marBottom w:val="0"/>
                      <w:divBdr>
                        <w:top w:val="none" w:sz="0" w:space="0" w:color="auto"/>
                        <w:left w:val="none" w:sz="0" w:space="0" w:color="auto"/>
                        <w:bottom w:val="none" w:sz="0" w:space="0" w:color="auto"/>
                        <w:right w:val="none" w:sz="0" w:space="0" w:color="auto"/>
                      </w:divBdr>
                    </w:div>
                    <w:div w:id="1375693286">
                      <w:marLeft w:val="0"/>
                      <w:marRight w:val="0"/>
                      <w:marTop w:val="0"/>
                      <w:marBottom w:val="0"/>
                      <w:divBdr>
                        <w:top w:val="none" w:sz="0" w:space="0" w:color="auto"/>
                        <w:left w:val="none" w:sz="0" w:space="0" w:color="auto"/>
                        <w:bottom w:val="none" w:sz="0" w:space="0" w:color="auto"/>
                        <w:right w:val="none" w:sz="0" w:space="0" w:color="auto"/>
                      </w:divBdr>
                    </w:div>
                  </w:divsChild>
                </w:div>
                <w:div w:id="1586963395">
                  <w:marLeft w:val="0"/>
                  <w:marRight w:val="0"/>
                  <w:marTop w:val="0"/>
                  <w:marBottom w:val="0"/>
                  <w:divBdr>
                    <w:top w:val="none" w:sz="0" w:space="0" w:color="auto"/>
                    <w:left w:val="none" w:sz="0" w:space="0" w:color="auto"/>
                    <w:bottom w:val="none" w:sz="0" w:space="0" w:color="auto"/>
                    <w:right w:val="none" w:sz="0" w:space="0" w:color="auto"/>
                  </w:divBdr>
                  <w:divsChild>
                    <w:div w:id="743571635">
                      <w:marLeft w:val="0"/>
                      <w:marRight w:val="0"/>
                      <w:marTop w:val="0"/>
                      <w:marBottom w:val="0"/>
                      <w:divBdr>
                        <w:top w:val="none" w:sz="0" w:space="0" w:color="auto"/>
                        <w:left w:val="none" w:sz="0" w:space="0" w:color="auto"/>
                        <w:bottom w:val="none" w:sz="0" w:space="0" w:color="auto"/>
                        <w:right w:val="none" w:sz="0" w:space="0" w:color="auto"/>
                      </w:divBdr>
                    </w:div>
                  </w:divsChild>
                </w:div>
                <w:div w:id="1587307030">
                  <w:marLeft w:val="0"/>
                  <w:marRight w:val="0"/>
                  <w:marTop w:val="0"/>
                  <w:marBottom w:val="0"/>
                  <w:divBdr>
                    <w:top w:val="none" w:sz="0" w:space="0" w:color="auto"/>
                    <w:left w:val="none" w:sz="0" w:space="0" w:color="auto"/>
                    <w:bottom w:val="none" w:sz="0" w:space="0" w:color="auto"/>
                    <w:right w:val="none" w:sz="0" w:space="0" w:color="auto"/>
                  </w:divBdr>
                  <w:divsChild>
                    <w:div w:id="1629630890">
                      <w:marLeft w:val="0"/>
                      <w:marRight w:val="0"/>
                      <w:marTop w:val="0"/>
                      <w:marBottom w:val="0"/>
                      <w:divBdr>
                        <w:top w:val="none" w:sz="0" w:space="0" w:color="auto"/>
                        <w:left w:val="none" w:sz="0" w:space="0" w:color="auto"/>
                        <w:bottom w:val="none" w:sz="0" w:space="0" w:color="auto"/>
                        <w:right w:val="none" w:sz="0" w:space="0" w:color="auto"/>
                      </w:divBdr>
                    </w:div>
                  </w:divsChild>
                </w:div>
                <w:div w:id="1590653625">
                  <w:marLeft w:val="0"/>
                  <w:marRight w:val="0"/>
                  <w:marTop w:val="0"/>
                  <w:marBottom w:val="0"/>
                  <w:divBdr>
                    <w:top w:val="none" w:sz="0" w:space="0" w:color="auto"/>
                    <w:left w:val="none" w:sz="0" w:space="0" w:color="auto"/>
                    <w:bottom w:val="none" w:sz="0" w:space="0" w:color="auto"/>
                    <w:right w:val="none" w:sz="0" w:space="0" w:color="auto"/>
                  </w:divBdr>
                  <w:divsChild>
                    <w:div w:id="977297574">
                      <w:marLeft w:val="0"/>
                      <w:marRight w:val="0"/>
                      <w:marTop w:val="0"/>
                      <w:marBottom w:val="0"/>
                      <w:divBdr>
                        <w:top w:val="none" w:sz="0" w:space="0" w:color="auto"/>
                        <w:left w:val="none" w:sz="0" w:space="0" w:color="auto"/>
                        <w:bottom w:val="none" w:sz="0" w:space="0" w:color="auto"/>
                        <w:right w:val="none" w:sz="0" w:space="0" w:color="auto"/>
                      </w:divBdr>
                    </w:div>
                  </w:divsChild>
                </w:div>
                <w:div w:id="1595821403">
                  <w:marLeft w:val="0"/>
                  <w:marRight w:val="0"/>
                  <w:marTop w:val="0"/>
                  <w:marBottom w:val="0"/>
                  <w:divBdr>
                    <w:top w:val="none" w:sz="0" w:space="0" w:color="auto"/>
                    <w:left w:val="none" w:sz="0" w:space="0" w:color="auto"/>
                    <w:bottom w:val="none" w:sz="0" w:space="0" w:color="auto"/>
                    <w:right w:val="none" w:sz="0" w:space="0" w:color="auto"/>
                  </w:divBdr>
                  <w:divsChild>
                    <w:div w:id="2100178840">
                      <w:marLeft w:val="0"/>
                      <w:marRight w:val="0"/>
                      <w:marTop w:val="0"/>
                      <w:marBottom w:val="0"/>
                      <w:divBdr>
                        <w:top w:val="none" w:sz="0" w:space="0" w:color="auto"/>
                        <w:left w:val="none" w:sz="0" w:space="0" w:color="auto"/>
                        <w:bottom w:val="none" w:sz="0" w:space="0" w:color="auto"/>
                        <w:right w:val="none" w:sz="0" w:space="0" w:color="auto"/>
                      </w:divBdr>
                    </w:div>
                  </w:divsChild>
                </w:div>
                <w:div w:id="1601142741">
                  <w:marLeft w:val="0"/>
                  <w:marRight w:val="0"/>
                  <w:marTop w:val="0"/>
                  <w:marBottom w:val="0"/>
                  <w:divBdr>
                    <w:top w:val="none" w:sz="0" w:space="0" w:color="auto"/>
                    <w:left w:val="none" w:sz="0" w:space="0" w:color="auto"/>
                    <w:bottom w:val="none" w:sz="0" w:space="0" w:color="auto"/>
                    <w:right w:val="none" w:sz="0" w:space="0" w:color="auto"/>
                  </w:divBdr>
                  <w:divsChild>
                    <w:div w:id="1432623518">
                      <w:marLeft w:val="0"/>
                      <w:marRight w:val="0"/>
                      <w:marTop w:val="0"/>
                      <w:marBottom w:val="0"/>
                      <w:divBdr>
                        <w:top w:val="none" w:sz="0" w:space="0" w:color="auto"/>
                        <w:left w:val="none" w:sz="0" w:space="0" w:color="auto"/>
                        <w:bottom w:val="none" w:sz="0" w:space="0" w:color="auto"/>
                        <w:right w:val="none" w:sz="0" w:space="0" w:color="auto"/>
                      </w:divBdr>
                    </w:div>
                  </w:divsChild>
                </w:div>
                <w:div w:id="1618443003">
                  <w:marLeft w:val="0"/>
                  <w:marRight w:val="0"/>
                  <w:marTop w:val="0"/>
                  <w:marBottom w:val="0"/>
                  <w:divBdr>
                    <w:top w:val="none" w:sz="0" w:space="0" w:color="auto"/>
                    <w:left w:val="none" w:sz="0" w:space="0" w:color="auto"/>
                    <w:bottom w:val="none" w:sz="0" w:space="0" w:color="auto"/>
                    <w:right w:val="none" w:sz="0" w:space="0" w:color="auto"/>
                  </w:divBdr>
                  <w:divsChild>
                    <w:div w:id="478811537">
                      <w:marLeft w:val="0"/>
                      <w:marRight w:val="0"/>
                      <w:marTop w:val="0"/>
                      <w:marBottom w:val="0"/>
                      <w:divBdr>
                        <w:top w:val="none" w:sz="0" w:space="0" w:color="auto"/>
                        <w:left w:val="none" w:sz="0" w:space="0" w:color="auto"/>
                        <w:bottom w:val="none" w:sz="0" w:space="0" w:color="auto"/>
                        <w:right w:val="none" w:sz="0" w:space="0" w:color="auto"/>
                      </w:divBdr>
                    </w:div>
                  </w:divsChild>
                </w:div>
                <w:div w:id="1623999974">
                  <w:marLeft w:val="0"/>
                  <w:marRight w:val="0"/>
                  <w:marTop w:val="0"/>
                  <w:marBottom w:val="0"/>
                  <w:divBdr>
                    <w:top w:val="none" w:sz="0" w:space="0" w:color="auto"/>
                    <w:left w:val="none" w:sz="0" w:space="0" w:color="auto"/>
                    <w:bottom w:val="none" w:sz="0" w:space="0" w:color="auto"/>
                    <w:right w:val="none" w:sz="0" w:space="0" w:color="auto"/>
                  </w:divBdr>
                  <w:divsChild>
                    <w:div w:id="1366372942">
                      <w:marLeft w:val="0"/>
                      <w:marRight w:val="0"/>
                      <w:marTop w:val="0"/>
                      <w:marBottom w:val="0"/>
                      <w:divBdr>
                        <w:top w:val="none" w:sz="0" w:space="0" w:color="auto"/>
                        <w:left w:val="none" w:sz="0" w:space="0" w:color="auto"/>
                        <w:bottom w:val="none" w:sz="0" w:space="0" w:color="auto"/>
                        <w:right w:val="none" w:sz="0" w:space="0" w:color="auto"/>
                      </w:divBdr>
                    </w:div>
                  </w:divsChild>
                </w:div>
                <w:div w:id="1633292337">
                  <w:marLeft w:val="0"/>
                  <w:marRight w:val="0"/>
                  <w:marTop w:val="0"/>
                  <w:marBottom w:val="0"/>
                  <w:divBdr>
                    <w:top w:val="none" w:sz="0" w:space="0" w:color="auto"/>
                    <w:left w:val="none" w:sz="0" w:space="0" w:color="auto"/>
                    <w:bottom w:val="none" w:sz="0" w:space="0" w:color="auto"/>
                    <w:right w:val="none" w:sz="0" w:space="0" w:color="auto"/>
                  </w:divBdr>
                  <w:divsChild>
                    <w:div w:id="1342708053">
                      <w:marLeft w:val="0"/>
                      <w:marRight w:val="0"/>
                      <w:marTop w:val="0"/>
                      <w:marBottom w:val="0"/>
                      <w:divBdr>
                        <w:top w:val="none" w:sz="0" w:space="0" w:color="auto"/>
                        <w:left w:val="none" w:sz="0" w:space="0" w:color="auto"/>
                        <w:bottom w:val="none" w:sz="0" w:space="0" w:color="auto"/>
                        <w:right w:val="none" w:sz="0" w:space="0" w:color="auto"/>
                      </w:divBdr>
                    </w:div>
                  </w:divsChild>
                </w:div>
                <w:div w:id="1640843327">
                  <w:marLeft w:val="0"/>
                  <w:marRight w:val="0"/>
                  <w:marTop w:val="0"/>
                  <w:marBottom w:val="0"/>
                  <w:divBdr>
                    <w:top w:val="none" w:sz="0" w:space="0" w:color="auto"/>
                    <w:left w:val="none" w:sz="0" w:space="0" w:color="auto"/>
                    <w:bottom w:val="none" w:sz="0" w:space="0" w:color="auto"/>
                    <w:right w:val="none" w:sz="0" w:space="0" w:color="auto"/>
                  </w:divBdr>
                  <w:divsChild>
                    <w:div w:id="292906504">
                      <w:marLeft w:val="0"/>
                      <w:marRight w:val="0"/>
                      <w:marTop w:val="0"/>
                      <w:marBottom w:val="0"/>
                      <w:divBdr>
                        <w:top w:val="none" w:sz="0" w:space="0" w:color="auto"/>
                        <w:left w:val="none" w:sz="0" w:space="0" w:color="auto"/>
                        <w:bottom w:val="none" w:sz="0" w:space="0" w:color="auto"/>
                        <w:right w:val="none" w:sz="0" w:space="0" w:color="auto"/>
                      </w:divBdr>
                    </w:div>
                  </w:divsChild>
                </w:div>
                <w:div w:id="1642495933">
                  <w:marLeft w:val="0"/>
                  <w:marRight w:val="0"/>
                  <w:marTop w:val="0"/>
                  <w:marBottom w:val="0"/>
                  <w:divBdr>
                    <w:top w:val="none" w:sz="0" w:space="0" w:color="auto"/>
                    <w:left w:val="none" w:sz="0" w:space="0" w:color="auto"/>
                    <w:bottom w:val="none" w:sz="0" w:space="0" w:color="auto"/>
                    <w:right w:val="none" w:sz="0" w:space="0" w:color="auto"/>
                  </w:divBdr>
                  <w:divsChild>
                    <w:div w:id="1856338425">
                      <w:marLeft w:val="0"/>
                      <w:marRight w:val="0"/>
                      <w:marTop w:val="0"/>
                      <w:marBottom w:val="0"/>
                      <w:divBdr>
                        <w:top w:val="none" w:sz="0" w:space="0" w:color="auto"/>
                        <w:left w:val="none" w:sz="0" w:space="0" w:color="auto"/>
                        <w:bottom w:val="none" w:sz="0" w:space="0" w:color="auto"/>
                        <w:right w:val="none" w:sz="0" w:space="0" w:color="auto"/>
                      </w:divBdr>
                    </w:div>
                  </w:divsChild>
                </w:div>
                <w:div w:id="1647314754">
                  <w:marLeft w:val="0"/>
                  <w:marRight w:val="0"/>
                  <w:marTop w:val="0"/>
                  <w:marBottom w:val="0"/>
                  <w:divBdr>
                    <w:top w:val="none" w:sz="0" w:space="0" w:color="auto"/>
                    <w:left w:val="none" w:sz="0" w:space="0" w:color="auto"/>
                    <w:bottom w:val="none" w:sz="0" w:space="0" w:color="auto"/>
                    <w:right w:val="none" w:sz="0" w:space="0" w:color="auto"/>
                  </w:divBdr>
                  <w:divsChild>
                    <w:div w:id="1088887549">
                      <w:marLeft w:val="0"/>
                      <w:marRight w:val="0"/>
                      <w:marTop w:val="0"/>
                      <w:marBottom w:val="0"/>
                      <w:divBdr>
                        <w:top w:val="none" w:sz="0" w:space="0" w:color="auto"/>
                        <w:left w:val="none" w:sz="0" w:space="0" w:color="auto"/>
                        <w:bottom w:val="none" w:sz="0" w:space="0" w:color="auto"/>
                        <w:right w:val="none" w:sz="0" w:space="0" w:color="auto"/>
                      </w:divBdr>
                    </w:div>
                  </w:divsChild>
                </w:div>
                <w:div w:id="1653943090">
                  <w:marLeft w:val="0"/>
                  <w:marRight w:val="0"/>
                  <w:marTop w:val="0"/>
                  <w:marBottom w:val="0"/>
                  <w:divBdr>
                    <w:top w:val="none" w:sz="0" w:space="0" w:color="auto"/>
                    <w:left w:val="none" w:sz="0" w:space="0" w:color="auto"/>
                    <w:bottom w:val="none" w:sz="0" w:space="0" w:color="auto"/>
                    <w:right w:val="none" w:sz="0" w:space="0" w:color="auto"/>
                  </w:divBdr>
                  <w:divsChild>
                    <w:div w:id="425922026">
                      <w:marLeft w:val="0"/>
                      <w:marRight w:val="0"/>
                      <w:marTop w:val="0"/>
                      <w:marBottom w:val="0"/>
                      <w:divBdr>
                        <w:top w:val="none" w:sz="0" w:space="0" w:color="auto"/>
                        <w:left w:val="none" w:sz="0" w:space="0" w:color="auto"/>
                        <w:bottom w:val="none" w:sz="0" w:space="0" w:color="auto"/>
                        <w:right w:val="none" w:sz="0" w:space="0" w:color="auto"/>
                      </w:divBdr>
                    </w:div>
                  </w:divsChild>
                </w:div>
                <w:div w:id="1654336232">
                  <w:marLeft w:val="0"/>
                  <w:marRight w:val="0"/>
                  <w:marTop w:val="0"/>
                  <w:marBottom w:val="0"/>
                  <w:divBdr>
                    <w:top w:val="none" w:sz="0" w:space="0" w:color="auto"/>
                    <w:left w:val="none" w:sz="0" w:space="0" w:color="auto"/>
                    <w:bottom w:val="none" w:sz="0" w:space="0" w:color="auto"/>
                    <w:right w:val="none" w:sz="0" w:space="0" w:color="auto"/>
                  </w:divBdr>
                  <w:divsChild>
                    <w:div w:id="1272709666">
                      <w:marLeft w:val="0"/>
                      <w:marRight w:val="0"/>
                      <w:marTop w:val="0"/>
                      <w:marBottom w:val="0"/>
                      <w:divBdr>
                        <w:top w:val="none" w:sz="0" w:space="0" w:color="auto"/>
                        <w:left w:val="none" w:sz="0" w:space="0" w:color="auto"/>
                        <w:bottom w:val="none" w:sz="0" w:space="0" w:color="auto"/>
                        <w:right w:val="none" w:sz="0" w:space="0" w:color="auto"/>
                      </w:divBdr>
                    </w:div>
                  </w:divsChild>
                </w:div>
                <w:div w:id="1654527847">
                  <w:marLeft w:val="0"/>
                  <w:marRight w:val="0"/>
                  <w:marTop w:val="0"/>
                  <w:marBottom w:val="0"/>
                  <w:divBdr>
                    <w:top w:val="none" w:sz="0" w:space="0" w:color="auto"/>
                    <w:left w:val="none" w:sz="0" w:space="0" w:color="auto"/>
                    <w:bottom w:val="none" w:sz="0" w:space="0" w:color="auto"/>
                    <w:right w:val="none" w:sz="0" w:space="0" w:color="auto"/>
                  </w:divBdr>
                  <w:divsChild>
                    <w:div w:id="1553733616">
                      <w:marLeft w:val="0"/>
                      <w:marRight w:val="0"/>
                      <w:marTop w:val="0"/>
                      <w:marBottom w:val="0"/>
                      <w:divBdr>
                        <w:top w:val="none" w:sz="0" w:space="0" w:color="auto"/>
                        <w:left w:val="none" w:sz="0" w:space="0" w:color="auto"/>
                        <w:bottom w:val="none" w:sz="0" w:space="0" w:color="auto"/>
                        <w:right w:val="none" w:sz="0" w:space="0" w:color="auto"/>
                      </w:divBdr>
                    </w:div>
                  </w:divsChild>
                </w:div>
                <w:div w:id="1655572869">
                  <w:marLeft w:val="0"/>
                  <w:marRight w:val="0"/>
                  <w:marTop w:val="0"/>
                  <w:marBottom w:val="0"/>
                  <w:divBdr>
                    <w:top w:val="none" w:sz="0" w:space="0" w:color="auto"/>
                    <w:left w:val="none" w:sz="0" w:space="0" w:color="auto"/>
                    <w:bottom w:val="none" w:sz="0" w:space="0" w:color="auto"/>
                    <w:right w:val="none" w:sz="0" w:space="0" w:color="auto"/>
                  </w:divBdr>
                  <w:divsChild>
                    <w:div w:id="24185412">
                      <w:marLeft w:val="0"/>
                      <w:marRight w:val="0"/>
                      <w:marTop w:val="0"/>
                      <w:marBottom w:val="0"/>
                      <w:divBdr>
                        <w:top w:val="none" w:sz="0" w:space="0" w:color="auto"/>
                        <w:left w:val="none" w:sz="0" w:space="0" w:color="auto"/>
                        <w:bottom w:val="none" w:sz="0" w:space="0" w:color="auto"/>
                        <w:right w:val="none" w:sz="0" w:space="0" w:color="auto"/>
                      </w:divBdr>
                    </w:div>
                  </w:divsChild>
                </w:div>
                <w:div w:id="1656571095">
                  <w:marLeft w:val="0"/>
                  <w:marRight w:val="0"/>
                  <w:marTop w:val="0"/>
                  <w:marBottom w:val="0"/>
                  <w:divBdr>
                    <w:top w:val="none" w:sz="0" w:space="0" w:color="auto"/>
                    <w:left w:val="none" w:sz="0" w:space="0" w:color="auto"/>
                    <w:bottom w:val="none" w:sz="0" w:space="0" w:color="auto"/>
                    <w:right w:val="none" w:sz="0" w:space="0" w:color="auto"/>
                  </w:divBdr>
                  <w:divsChild>
                    <w:div w:id="1779636145">
                      <w:marLeft w:val="0"/>
                      <w:marRight w:val="0"/>
                      <w:marTop w:val="0"/>
                      <w:marBottom w:val="0"/>
                      <w:divBdr>
                        <w:top w:val="none" w:sz="0" w:space="0" w:color="auto"/>
                        <w:left w:val="none" w:sz="0" w:space="0" w:color="auto"/>
                        <w:bottom w:val="none" w:sz="0" w:space="0" w:color="auto"/>
                        <w:right w:val="none" w:sz="0" w:space="0" w:color="auto"/>
                      </w:divBdr>
                    </w:div>
                  </w:divsChild>
                </w:div>
                <w:div w:id="1663313030">
                  <w:marLeft w:val="0"/>
                  <w:marRight w:val="0"/>
                  <w:marTop w:val="0"/>
                  <w:marBottom w:val="0"/>
                  <w:divBdr>
                    <w:top w:val="none" w:sz="0" w:space="0" w:color="auto"/>
                    <w:left w:val="none" w:sz="0" w:space="0" w:color="auto"/>
                    <w:bottom w:val="none" w:sz="0" w:space="0" w:color="auto"/>
                    <w:right w:val="none" w:sz="0" w:space="0" w:color="auto"/>
                  </w:divBdr>
                  <w:divsChild>
                    <w:div w:id="768814493">
                      <w:marLeft w:val="0"/>
                      <w:marRight w:val="0"/>
                      <w:marTop w:val="0"/>
                      <w:marBottom w:val="0"/>
                      <w:divBdr>
                        <w:top w:val="none" w:sz="0" w:space="0" w:color="auto"/>
                        <w:left w:val="none" w:sz="0" w:space="0" w:color="auto"/>
                        <w:bottom w:val="none" w:sz="0" w:space="0" w:color="auto"/>
                        <w:right w:val="none" w:sz="0" w:space="0" w:color="auto"/>
                      </w:divBdr>
                    </w:div>
                  </w:divsChild>
                </w:div>
                <w:div w:id="1666398422">
                  <w:marLeft w:val="0"/>
                  <w:marRight w:val="0"/>
                  <w:marTop w:val="0"/>
                  <w:marBottom w:val="0"/>
                  <w:divBdr>
                    <w:top w:val="none" w:sz="0" w:space="0" w:color="auto"/>
                    <w:left w:val="none" w:sz="0" w:space="0" w:color="auto"/>
                    <w:bottom w:val="none" w:sz="0" w:space="0" w:color="auto"/>
                    <w:right w:val="none" w:sz="0" w:space="0" w:color="auto"/>
                  </w:divBdr>
                  <w:divsChild>
                    <w:div w:id="32927110">
                      <w:marLeft w:val="0"/>
                      <w:marRight w:val="0"/>
                      <w:marTop w:val="0"/>
                      <w:marBottom w:val="0"/>
                      <w:divBdr>
                        <w:top w:val="none" w:sz="0" w:space="0" w:color="auto"/>
                        <w:left w:val="none" w:sz="0" w:space="0" w:color="auto"/>
                        <w:bottom w:val="none" w:sz="0" w:space="0" w:color="auto"/>
                        <w:right w:val="none" w:sz="0" w:space="0" w:color="auto"/>
                      </w:divBdr>
                    </w:div>
                  </w:divsChild>
                </w:div>
                <w:div w:id="1666668210">
                  <w:marLeft w:val="0"/>
                  <w:marRight w:val="0"/>
                  <w:marTop w:val="0"/>
                  <w:marBottom w:val="0"/>
                  <w:divBdr>
                    <w:top w:val="none" w:sz="0" w:space="0" w:color="auto"/>
                    <w:left w:val="none" w:sz="0" w:space="0" w:color="auto"/>
                    <w:bottom w:val="none" w:sz="0" w:space="0" w:color="auto"/>
                    <w:right w:val="none" w:sz="0" w:space="0" w:color="auto"/>
                  </w:divBdr>
                  <w:divsChild>
                    <w:div w:id="1093210079">
                      <w:marLeft w:val="0"/>
                      <w:marRight w:val="0"/>
                      <w:marTop w:val="0"/>
                      <w:marBottom w:val="0"/>
                      <w:divBdr>
                        <w:top w:val="none" w:sz="0" w:space="0" w:color="auto"/>
                        <w:left w:val="none" w:sz="0" w:space="0" w:color="auto"/>
                        <w:bottom w:val="none" w:sz="0" w:space="0" w:color="auto"/>
                        <w:right w:val="none" w:sz="0" w:space="0" w:color="auto"/>
                      </w:divBdr>
                    </w:div>
                  </w:divsChild>
                </w:div>
                <w:div w:id="1679186476">
                  <w:marLeft w:val="0"/>
                  <w:marRight w:val="0"/>
                  <w:marTop w:val="0"/>
                  <w:marBottom w:val="0"/>
                  <w:divBdr>
                    <w:top w:val="none" w:sz="0" w:space="0" w:color="auto"/>
                    <w:left w:val="none" w:sz="0" w:space="0" w:color="auto"/>
                    <w:bottom w:val="none" w:sz="0" w:space="0" w:color="auto"/>
                    <w:right w:val="none" w:sz="0" w:space="0" w:color="auto"/>
                  </w:divBdr>
                  <w:divsChild>
                    <w:div w:id="323440078">
                      <w:marLeft w:val="0"/>
                      <w:marRight w:val="0"/>
                      <w:marTop w:val="0"/>
                      <w:marBottom w:val="0"/>
                      <w:divBdr>
                        <w:top w:val="none" w:sz="0" w:space="0" w:color="auto"/>
                        <w:left w:val="none" w:sz="0" w:space="0" w:color="auto"/>
                        <w:bottom w:val="none" w:sz="0" w:space="0" w:color="auto"/>
                        <w:right w:val="none" w:sz="0" w:space="0" w:color="auto"/>
                      </w:divBdr>
                    </w:div>
                  </w:divsChild>
                </w:div>
                <w:div w:id="1686786863">
                  <w:marLeft w:val="0"/>
                  <w:marRight w:val="0"/>
                  <w:marTop w:val="0"/>
                  <w:marBottom w:val="0"/>
                  <w:divBdr>
                    <w:top w:val="none" w:sz="0" w:space="0" w:color="auto"/>
                    <w:left w:val="none" w:sz="0" w:space="0" w:color="auto"/>
                    <w:bottom w:val="none" w:sz="0" w:space="0" w:color="auto"/>
                    <w:right w:val="none" w:sz="0" w:space="0" w:color="auto"/>
                  </w:divBdr>
                  <w:divsChild>
                    <w:div w:id="90787171">
                      <w:marLeft w:val="0"/>
                      <w:marRight w:val="0"/>
                      <w:marTop w:val="0"/>
                      <w:marBottom w:val="0"/>
                      <w:divBdr>
                        <w:top w:val="none" w:sz="0" w:space="0" w:color="auto"/>
                        <w:left w:val="none" w:sz="0" w:space="0" w:color="auto"/>
                        <w:bottom w:val="none" w:sz="0" w:space="0" w:color="auto"/>
                        <w:right w:val="none" w:sz="0" w:space="0" w:color="auto"/>
                      </w:divBdr>
                    </w:div>
                  </w:divsChild>
                </w:div>
                <w:div w:id="1703047207">
                  <w:marLeft w:val="0"/>
                  <w:marRight w:val="0"/>
                  <w:marTop w:val="0"/>
                  <w:marBottom w:val="0"/>
                  <w:divBdr>
                    <w:top w:val="none" w:sz="0" w:space="0" w:color="auto"/>
                    <w:left w:val="none" w:sz="0" w:space="0" w:color="auto"/>
                    <w:bottom w:val="none" w:sz="0" w:space="0" w:color="auto"/>
                    <w:right w:val="none" w:sz="0" w:space="0" w:color="auto"/>
                  </w:divBdr>
                  <w:divsChild>
                    <w:div w:id="1892882516">
                      <w:marLeft w:val="0"/>
                      <w:marRight w:val="0"/>
                      <w:marTop w:val="0"/>
                      <w:marBottom w:val="0"/>
                      <w:divBdr>
                        <w:top w:val="none" w:sz="0" w:space="0" w:color="auto"/>
                        <w:left w:val="none" w:sz="0" w:space="0" w:color="auto"/>
                        <w:bottom w:val="none" w:sz="0" w:space="0" w:color="auto"/>
                        <w:right w:val="none" w:sz="0" w:space="0" w:color="auto"/>
                      </w:divBdr>
                    </w:div>
                  </w:divsChild>
                </w:div>
                <w:div w:id="1704943022">
                  <w:marLeft w:val="0"/>
                  <w:marRight w:val="0"/>
                  <w:marTop w:val="0"/>
                  <w:marBottom w:val="0"/>
                  <w:divBdr>
                    <w:top w:val="none" w:sz="0" w:space="0" w:color="auto"/>
                    <w:left w:val="none" w:sz="0" w:space="0" w:color="auto"/>
                    <w:bottom w:val="none" w:sz="0" w:space="0" w:color="auto"/>
                    <w:right w:val="none" w:sz="0" w:space="0" w:color="auto"/>
                  </w:divBdr>
                  <w:divsChild>
                    <w:div w:id="1184901045">
                      <w:marLeft w:val="0"/>
                      <w:marRight w:val="0"/>
                      <w:marTop w:val="0"/>
                      <w:marBottom w:val="0"/>
                      <w:divBdr>
                        <w:top w:val="none" w:sz="0" w:space="0" w:color="auto"/>
                        <w:left w:val="none" w:sz="0" w:space="0" w:color="auto"/>
                        <w:bottom w:val="none" w:sz="0" w:space="0" w:color="auto"/>
                        <w:right w:val="none" w:sz="0" w:space="0" w:color="auto"/>
                      </w:divBdr>
                    </w:div>
                  </w:divsChild>
                </w:div>
                <w:div w:id="1707637298">
                  <w:marLeft w:val="0"/>
                  <w:marRight w:val="0"/>
                  <w:marTop w:val="0"/>
                  <w:marBottom w:val="0"/>
                  <w:divBdr>
                    <w:top w:val="none" w:sz="0" w:space="0" w:color="auto"/>
                    <w:left w:val="none" w:sz="0" w:space="0" w:color="auto"/>
                    <w:bottom w:val="none" w:sz="0" w:space="0" w:color="auto"/>
                    <w:right w:val="none" w:sz="0" w:space="0" w:color="auto"/>
                  </w:divBdr>
                  <w:divsChild>
                    <w:div w:id="1603146929">
                      <w:marLeft w:val="0"/>
                      <w:marRight w:val="0"/>
                      <w:marTop w:val="0"/>
                      <w:marBottom w:val="0"/>
                      <w:divBdr>
                        <w:top w:val="none" w:sz="0" w:space="0" w:color="auto"/>
                        <w:left w:val="none" w:sz="0" w:space="0" w:color="auto"/>
                        <w:bottom w:val="none" w:sz="0" w:space="0" w:color="auto"/>
                        <w:right w:val="none" w:sz="0" w:space="0" w:color="auto"/>
                      </w:divBdr>
                    </w:div>
                  </w:divsChild>
                </w:div>
                <w:div w:id="1709332353">
                  <w:marLeft w:val="0"/>
                  <w:marRight w:val="0"/>
                  <w:marTop w:val="0"/>
                  <w:marBottom w:val="0"/>
                  <w:divBdr>
                    <w:top w:val="none" w:sz="0" w:space="0" w:color="auto"/>
                    <w:left w:val="none" w:sz="0" w:space="0" w:color="auto"/>
                    <w:bottom w:val="none" w:sz="0" w:space="0" w:color="auto"/>
                    <w:right w:val="none" w:sz="0" w:space="0" w:color="auto"/>
                  </w:divBdr>
                  <w:divsChild>
                    <w:div w:id="1063679617">
                      <w:marLeft w:val="0"/>
                      <w:marRight w:val="0"/>
                      <w:marTop w:val="0"/>
                      <w:marBottom w:val="0"/>
                      <w:divBdr>
                        <w:top w:val="none" w:sz="0" w:space="0" w:color="auto"/>
                        <w:left w:val="none" w:sz="0" w:space="0" w:color="auto"/>
                        <w:bottom w:val="none" w:sz="0" w:space="0" w:color="auto"/>
                        <w:right w:val="none" w:sz="0" w:space="0" w:color="auto"/>
                      </w:divBdr>
                    </w:div>
                  </w:divsChild>
                </w:div>
                <w:div w:id="1719208235">
                  <w:marLeft w:val="0"/>
                  <w:marRight w:val="0"/>
                  <w:marTop w:val="0"/>
                  <w:marBottom w:val="0"/>
                  <w:divBdr>
                    <w:top w:val="none" w:sz="0" w:space="0" w:color="auto"/>
                    <w:left w:val="none" w:sz="0" w:space="0" w:color="auto"/>
                    <w:bottom w:val="none" w:sz="0" w:space="0" w:color="auto"/>
                    <w:right w:val="none" w:sz="0" w:space="0" w:color="auto"/>
                  </w:divBdr>
                  <w:divsChild>
                    <w:div w:id="648486483">
                      <w:marLeft w:val="0"/>
                      <w:marRight w:val="0"/>
                      <w:marTop w:val="0"/>
                      <w:marBottom w:val="0"/>
                      <w:divBdr>
                        <w:top w:val="none" w:sz="0" w:space="0" w:color="auto"/>
                        <w:left w:val="none" w:sz="0" w:space="0" w:color="auto"/>
                        <w:bottom w:val="none" w:sz="0" w:space="0" w:color="auto"/>
                        <w:right w:val="none" w:sz="0" w:space="0" w:color="auto"/>
                      </w:divBdr>
                    </w:div>
                  </w:divsChild>
                </w:div>
                <w:div w:id="1731343468">
                  <w:marLeft w:val="0"/>
                  <w:marRight w:val="0"/>
                  <w:marTop w:val="0"/>
                  <w:marBottom w:val="0"/>
                  <w:divBdr>
                    <w:top w:val="none" w:sz="0" w:space="0" w:color="auto"/>
                    <w:left w:val="none" w:sz="0" w:space="0" w:color="auto"/>
                    <w:bottom w:val="none" w:sz="0" w:space="0" w:color="auto"/>
                    <w:right w:val="none" w:sz="0" w:space="0" w:color="auto"/>
                  </w:divBdr>
                  <w:divsChild>
                    <w:div w:id="554901782">
                      <w:marLeft w:val="0"/>
                      <w:marRight w:val="0"/>
                      <w:marTop w:val="0"/>
                      <w:marBottom w:val="0"/>
                      <w:divBdr>
                        <w:top w:val="none" w:sz="0" w:space="0" w:color="auto"/>
                        <w:left w:val="none" w:sz="0" w:space="0" w:color="auto"/>
                        <w:bottom w:val="none" w:sz="0" w:space="0" w:color="auto"/>
                        <w:right w:val="none" w:sz="0" w:space="0" w:color="auto"/>
                      </w:divBdr>
                    </w:div>
                  </w:divsChild>
                </w:div>
                <w:div w:id="1737435492">
                  <w:marLeft w:val="0"/>
                  <w:marRight w:val="0"/>
                  <w:marTop w:val="0"/>
                  <w:marBottom w:val="0"/>
                  <w:divBdr>
                    <w:top w:val="none" w:sz="0" w:space="0" w:color="auto"/>
                    <w:left w:val="none" w:sz="0" w:space="0" w:color="auto"/>
                    <w:bottom w:val="none" w:sz="0" w:space="0" w:color="auto"/>
                    <w:right w:val="none" w:sz="0" w:space="0" w:color="auto"/>
                  </w:divBdr>
                  <w:divsChild>
                    <w:div w:id="331762222">
                      <w:marLeft w:val="0"/>
                      <w:marRight w:val="0"/>
                      <w:marTop w:val="0"/>
                      <w:marBottom w:val="0"/>
                      <w:divBdr>
                        <w:top w:val="none" w:sz="0" w:space="0" w:color="auto"/>
                        <w:left w:val="none" w:sz="0" w:space="0" w:color="auto"/>
                        <w:bottom w:val="none" w:sz="0" w:space="0" w:color="auto"/>
                        <w:right w:val="none" w:sz="0" w:space="0" w:color="auto"/>
                      </w:divBdr>
                    </w:div>
                  </w:divsChild>
                </w:div>
                <w:div w:id="1743716441">
                  <w:marLeft w:val="0"/>
                  <w:marRight w:val="0"/>
                  <w:marTop w:val="0"/>
                  <w:marBottom w:val="0"/>
                  <w:divBdr>
                    <w:top w:val="none" w:sz="0" w:space="0" w:color="auto"/>
                    <w:left w:val="none" w:sz="0" w:space="0" w:color="auto"/>
                    <w:bottom w:val="none" w:sz="0" w:space="0" w:color="auto"/>
                    <w:right w:val="none" w:sz="0" w:space="0" w:color="auto"/>
                  </w:divBdr>
                  <w:divsChild>
                    <w:div w:id="769548251">
                      <w:marLeft w:val="0"/>
                      <w:marRight w:val="0"/>
                      <w:marTop w:val="0"/>
                      <w:marBottom w:val="0"/>
                      <w:divBdr>
                        <w:top w:val="none" w:sz="0" w:space="0" w:color="auto"/>
                        <w:left w:val="none" w:sz="0" w:space="0" w:color="auto"/>
                        <w:bottom w:val="none" w:sz="0" w:space="0" w:color="auto"/>
                        <w:right w:val="none" w:sz="0" w:space="0" w:color="auto"/>
                      </w:divBdr>
                    </w:div>
                  </w:divsChild>
                </w:div>
                <w:div w:id="1750614945">
                  <w:marLeft w:val="0"/>
                  <w:marRight w:val="0"/>
                  <w:marTop w:val="0"/>
                  <w:marBottom w:val="0"/>
                  <w:divBdr>
                    <w:top w:val="none" w:sz="0" w:space="0" w:color="auto"/>
                    <w:left w:val="none" w:sz="0" w:space="0" w:color="auto"/>
                    <w:bottom w:val="none" w:sz="0" w:space="0" w:color="auto"/>
                    <w:right w:val="none" w:sz="0" w:space="0" w:color="auto"/>
                  </w:divBdr>
                  <w:divsChild>
                    <w:div w:id="375277219">
                      <w:marLeft w:val="0"/>
                      <w:marRight w:val="0"/>
                      <w:marTop w:val="0"/>
                      <w:marBottom w:val="0"/>
                      <w:divBdr>
                        <w:top w:val="none" w:sz="0" w:space="0" w:color="auto"/>
                        <w:left w:val="none" w:sz="0" w:space="0" w:color="auto"/>
                        <w:bottom w:val="none" w:sz="0" w:space="0" w:color="auto"/>
                        <w:right w:val="none" w:sz="0" w:space="0" w:color="auto"/>
                      </w:divBdr>
                    </w:div>
                  </w:divsChild>
                </w:div>
                <w:div w:id="1762139902">
                  <w:marLeft w:val="0"/>
                  <w:marRight w:val="0"/>
                  <w:marTop w:val="0"/>
                  <w:marBottom w:val="0"/>
                  <w:divBdr>
                    <w:top w:val="none" w:sz="0" w:space="0" w:color="auto"/>
                    <w:left w:val="none" w:sz="0" w:space="0" w:color="auto"/>
                    <w:bottom w:val="none" w:sz="0" w:space="0" w:color="auto"/>
                    <w:right w:val="none" w:sz="0" w:space="0" w:color="auto"/>
                  </w:divBdr>
                  <w:divsChild>
                    <w:div w:id="1007320676">
                      <w:marLeft w:val="0"/>
                      <w:marRight w:val="0"/>
                      <w:marTop w:val="0"/>
                      <w:marBottom w:val="0"/>
                      <w:divBdr>
                        <w:top w:val="none" w:sz="0" w:space="0" w:color="auto"/>
                        <w:left w:val="none" w:sz="0" w:space="0" w:color="auto"/>
                        <w:bottom w:val="none" w:sz="0" w:space="0" w:color="auto"/>
                        <w:right w:val="none" w:sz="0" w:space="0" w:color="auto"/>
                      </w:divBdr>
                    </w:div>
                  </w:divsChild>
                </w:div>
                <w:div w:id="1765690122">
                  <w:marLeft w:val="0"/>
                  <w:marRight w:val="0"/>
                  <w:marTop w:val="0"/>
                  <w:marBottom w:val="0"/>
                  <w:divBdr>
                    <w:top w:val="none" w:sz="0" w:space="0" w:color="auto"/>
                    <w:left w:val="none" w:sz="0" w:space="0" w:color="auto"/>
                    <w:bottom w:val="none" w:sz="0" w:space="0" w:color="auto"/>
                    <w:right w:val="none" w:sz="0" w:space="0" w:color="auto"/>
                  </w:divBdr>
                  <w:divsChild>
                    <w:div w:id="1313633327">
                      <w:marLeft w:val="0"/>
                      <w:marRight w:val="0"/>
                      <w:marTop w:val="0"/>
                      <w:marBottom w:val="0"/>
                      <w:divBdr>
                        <w:top w:val="none" w:sz="0" w:space="0" w:color="auto"/>
                        <w:left w:val="none" w:sz="0" w:space="0" w:color="auto"/>
                        <w:bottom w:val="none" w:sz="0" w:space="0" w:color="auto"/>
                        <w:right w:val="none" w:sz="0" w:space="0" w:color="auto"/>
                      </w:divBdr>
                    </w:div>
                  </w:divsChild>
                </w:div>
                <w:div w:id="1802571732">
                  <w:marLeft w:val="0"/>
                  <w:marRight w:val="0"/>
                  <w:marTop w:val="0"/>
                  <w:marBottom w:val="0"/>
                  <w:divBdr>
                    <w:top w:val="none" w:sz="0" w:space="0" w:color="auto"/>
                    <w:left w:val="none" w:sz="0" w:space="0" w:color="auto"/>
                    <w:bottom w:val="none" w:sz="0" w:space="0" w:color="auto"/>
                    <w:right w:val="none" w:sz="0" w:space="0" w:color="auto"/>
                  </w:divBdr>
                  <w:divsChild>
                    <w:div w:id="611327044">
                      <w:marLeft w:val="0"/>
                      <w:marRight w:val="0"/>
                      <w:marTop w:val="0"/>
                      <w:marBottom w:val="0"/>
                      <w:divBdr>
                        <w:top w:val="none" w:sz="0" w:space="0" w:color="auto"/>
                        <w:left w:val="none" w:sz="0" w:space="0" w:color="auto"/>
                        <w:bottom w:val="none" w:sz="0" w:space="0" w:color="auto"/>
                        <w:right w:val="none" w:sz="0" w:space="0" w:color="auto"/>
                      </w:divBdr>
                    </w:div>
                  </w:divsChild>
                </w:div>
                <w:div w:id="1815950794">
                  <w:marLeft w:val="0"/>
                  <w:marRight w:val="0"/>
                  <w:marTop w:val="0"/>
                  <w:marBottom w:val="0"/>
                  <w:divBdr>
                    <w:top w:val="none" w:sz="0" w:space="0" w:color="auto"/>
                    <w:left w:val="none" w:sz="0" w:space="0" w:color="auto"/>
                    <w:bottom w:val="none" w:sz="0" w:space="0" w:color="auto"/>
                    <w:right w:val="none" w:sz="0" w:space="0" w:color="auto"/>
                  </w:divBdr>
                  <w:divsChild>
                    <w:div w:id="1758162995">
                      <w:marLeft w:val="0"/>
                      <w:marRight w:val="0"/>
                      <w:marTop w:val="0"/>
                      <w:marBottom w:val="0"/>
                      <w:divBdr>
                        <w:top w:val="none" w:sz="0" w:space="0" w:color="auto"/>
                        <w:left w:val="none" w:sz="0" w:space="0" w:color="auto"/>
                        <w:bottom w:val="none" w:sz="0" w:space="0" w:color="auto"/>
                        <w:right w:val="none" w:sz="0" w:space="0" w:color="auto"/>
                      </w:divBdr>
                    </w:div>
                  </w:divsChild>
                </w:div>
                <w:div w:id="1820031589">
                  <w:marLeft w:val="0"/>
                  <w:marRight w:val="0"/>
                  <w:marTop w:val="0"/>
                  <w:marBottom w:val="0"/>
                  <w:divBdr>
                    <w:top w:val="none" w:sz="0" w:space="0" w:color="auto"/>
                    <w:left w:val="none" w:sz="0" w:space="0" w:color="auto"/>
                    <w:bottom w:val="none" w:sz="0" w:space="0" w:color="auto"/>
                    <w:right w:val="none" w:sz="0" w:space="0" w:color="auto"/>
                  </w:divBdr>
                  <w:divsChild>
                    <w:div w:id="1854831247">
                      <w:marLeft w:val="0"/>
                      <w:marRight w:val="0"/>
                      <w:marTop w:val="0"/>
                      <w:marBottom w:val="0"/>
                      <w:divBdr>
                        <w:top w:val="none" w:sz="0" w:space="0" w:color="auto"/>
                        <w:left w:val="none" w:sz="0" w:space="0" w:color="auto"/>
                        <w:bottom w:val="none" w:sz="0" w:space="0" w:color="auto"/>
                        <w:right w:val="none" w:sz="0" w:space="0" w:color="auto"/>
                      </w:divBdr>
                    </w:div>
                  </w:divsChild>
                </w:div>
                <w:div w:id="1820222248">
                  <w:marLeft w:val="0"/>
                  <w:marRight w:val="0"/>
                  <w:marTop w:val="0"/>
                  <w:marBottom w:val="0"/>
                  <w:divBdr>
                    <w:top w:val="none" w:sz="0" w:space="0" w:color="auto"/>
                    <w:left w:val="none" w:sz="0" w:space="0" w:color="auto"/>
                    <w:bottom w:val="none" w:sz="0" w:space="0" w:color="auto"/>
                    <w:right w:val="none" w:sz="0" w:space="0" w:color="auto"/>
                  </w:divBdr>
                  <w:divsChild>
                    <w:div w:id="811795569">
                      <w:marLeft w:val="0"/>
                      <w:marRight w:val="0"/>
                      <w:marTop w:val="0"/>
                      <w:marBottom w:val="0"/>
                      <w:divBdr>
                        <w:top w:val="none" w:sz="0" w:space="0" w:color="auto"/>
                        <w:left w:val="none" w:sz="0" w:space="0" w:color="auto"/>
                        <w:bottom w:val="none" w:sz="0" w:space="0" w:color="auto"/>
                        <w:right w:val="none" w:sz="0" w:space="0" w:color="auto"/>
                      </w:divBdr>
                    </w:div>
                  </w:divsChild>
                </w:div>
                <w:div w:id="1820883328">
                  <w:marLeft w:val="0"/>
                  <w:marRight w:val="0"/>
                  <w:marTop w:val="0"/>
                  <w:marBottom w:val="0"/>
                  <w:divBdr>
                    <w:top w:val="none" w:sz="0" w:space="0" w:color="auto"/>
                    <w:left w:val="none" w:sz="0" w:space="0" w:color="auto"/>
                    <w:bottom w:val="none" w:sz="0" w:space="0" w:color="auto"/>
                    <w:right w:val="none" w:sz="0" w:space="0" w:color="auto"/>
                  </w:divBdr>
                  <w:divsChild>
                    <w:div w:id="723716256">
                      <w:marLeft w:val="0"/>
                      <w:marRight w:val="0"/>
                      <w:marTop w:val="0"/>
                      <w:marBottom w:val="0"/>
                      <w:divBdr>
                        <w:top w:val="none" w:sz="0" w:space="0" w:color="auto"/>
                        <w:left w:val="none" w:sz="0" w:space="0" w:color="auto"/>
                        <w:bottom w:val="none" w:sz="0" w:space="0" w:color="auto"/>
                        <w:right w:val="none" w:sz="0" w:space="0" w:color="auto"/>
                      </w:divBdr>
                    </w:div>
                  </w:divsChild>
                </w:div>
                <w:div w:id="1821118362">
                  <w:marLeft w:val="0"/>
                  <w:marRight w:val="0"/>
                  <w:marTop w:val="0"/>
                  <w:marBottom w:val="0"/>
                  <w:divBdr>
                    <w:top w:val="none" w:sz="0" w:space="0" w:color="auto"/>
                    <w:left w:val="none" w:sz="0" w:space="0" w:color="auto"/>
                    <w:bottom w:val="none" w:sz="0" w:space="0" w:color="auto"/>
                    <w:right w:val="none" w:sz="0" w:space="0" w:color="auto"/>
                  </w:divBdr>
                  <w:divsChild>
                    <w:div w:id="1737505305">
                      <w:marLeft w:val="0"/>
                      <w:marRight w:val="0"/>
                      <w:marTop w:val="0"/>
                      <w:marBottom w:val="0"/>
                      <w:divBdr>
                        <w:top w:val="none" w:sz="0" w:space="0" w:color="auto"/>
                        <w:left w:val="none" w:sz="0" w:space="0" w:color="auto"/>
                        <w:bottom w:val="none" w:sz="0" w:space="0" w:color="auto"/>
                        <w:right w:val="none" w:sz="0" w:space="0" w:color="auto"/>
                      </w:divBdr>
                    </w:div>
                  </w:divsChild>
                </w:div>
                <w:div w:id="1821533699">
                  <w:marLeft w:val="0"/>
                  <w:marRight w:val="0"/>
                  <w:marTop w:val="0"/>
                  <w:marBottom w:val="0"/>
                  <w:divBdr>
                    <w:top w:val="none" w:sz="0" w:space="0" w:color="auto"/>
                    <w:left w:val="none" w:sz="0" w:space="0" w:color="auto"/>
                    <w:bottom w:val="none" w:sz="0" w:space="0" w:color="auto"/>
                    <w:right w:val="none" w:sz="0" w:space="0" w:color="auto"/>
                  </w:divBdr>
                  <w:divsChild>
                    <w:div w:id="1791589481">
                      <w:marLeft w:val="0"/>
                      <w:marRight w:val="0"/>
                      <w:marTop w:val="0"/>
                      <w:marBottom w:val="0"/>
                      <w:divBdr>
                        <w:top w:val="none" w:sz="0" w:space="0" w:color="auto"/>
                        <w:left w:val="none" w:sz="0" w:space="0" w:color="auto"/>
                        <w:bottom w:val="none" w:sz="0" w:space="0" w:color="auto"/>
                        <w:right w:val="none" w:sz="0" w:space="0" w:color="auto"/>
                      </w:divBdr>
                    </w:div>
                  </w:divsChild>
                </w:div>
                <w:div w:id="1822699395">
                  <w:marLeft w:val="0"/>
                  <w:marRight w:val="0"/>
                  <w:marTop w:val="0"/>
                  <w:marBottom w:val="0"/>
                  <w:divBdr>
                    <w:top w:val="none" w:sz="0" w:space="0" w:color="auto"/>
                    <w:left w:val="none" w:sz="0" w:space="0" w:color="auto"/>
                    <w:bottom w:val="none" w:sz="0" w:space="0" w:color="auto"/>
                    <w:right w:val="none" w:sz="0" w:space="0" w:color="auto"/>
                  </w:divBdr>
                  <w:divsChild>
                    <w:div w:id="176164401">
                      <w:marLeft w:val="0"/>
                      <w:marRight w:val="0"/>
                      <w:marTop w:val="0"/>
                      <w:marBottom w:val="0"/>
                      <w:divBdr>
                        <w:top w:val="none" w:sz="0" w:space="0" w:color="auto"/>
                        <w:left w:val="none" w:sz="0" w:space="0" w:color="auto"/>
                        <w:bottom w:val="none" w:sz="0" w:space="0" w:color="auto"/>
                        <w:right w:val="none" w:sz="0" w:space="0" w:color="auto"/>
                      </w:divBdr>
                    </w:div>
                    <w:div w:id="1189489217">
                      <w:marLeft w:val="0"/>
                      <w:marRight w:val="0"/>
                      <w:marTop w:val="0"/>
                      <w:marBottom w:val="0"/>
                      <w:divBdr>
                        <w:top w:val="none" w:sz="0" w:space="0" w:color="auto"/>
                        <w:left w:val="none" w:sz="0" w:space="0" w:color="auto"/>
                        <w:bottom w:val="none" w:sz="0" w:space="0" w:color="auto"/>
                        <w:right w:val="none" w:sz="0" w:space="0" w:color="auto"/>
                      </w:divBdr>
                    </w:div>
                    <w:div w:id="1956787880">
                      <w:marLeft w:val="0"/>
                      <w:marRight w:val="0"/>
                      <w:marTop w:val="0"/>
                      <w:marBottom w:val="0"/>
                      <w:divBdr>
                        <w:top w:val="none" w:sz="0" w:space="0" w:color="auto"/>
                        <w:left w:val="none" w:sz="0" w:space="0" w:color="auto"/>
                        <w:bottom w:val="none" w:sz="0" w:space="0" w:color="auto"/>
                        <w:right w:val="none" w:sz="0" w:space="0" w:color="auto"/>
                      </w:divBdr>
                    </w:div>
                  </w:divsChild>
                </w:div>
                <w:div w:id="1835142006">
                  <w:marLeft w:val="0"/>
                  <w:marRight w:val="0"/>
                  <w:marTop w:val="0"/>
                  <w:marBottom w:val="0"/>
                  <w:divBdr>
                    <w:top w:val="none" w:sz="0" w:space="0" w:color="auto"/>
                    <w:left w:val="none" w:sz="0" w:space="0" w:color="auto"/>
                    <w:bottom w:val="none" w:sz="0" w:space="0" w:color="auto"/>
                    <w:right w:val="none" w:sz="0" w:space="0" w:color="auto"/>
                  </w:divBdr>
                  <w:divsChild>
                    <w:div w:id="631600306">
                      <w:marLeft w:val="0"/>
                      <w:marRight w:val="0"/>
                      <w:marTop w:val="0"/>
                      <w:marBottom w:val="0"/>
                      <w:divBdr>
                        <w:top w:val="none" w:sz="0" w:space="0" w:color="auto"/>
                        <w:left w:val="none" w:sz="0" w:space="0" w:color="auto"/>
                        <w:bottom w:val="none" w:sz="0" w:space="0" w:color="auto"/>
                        <w:right w:val="none" w:sz="0" w:space="0" w:color="auto"/>
                      </w:divBdr>
                    </w:div>
                  </w:divsChild>
                </w:div>
                <w:div w:id="1843009748">
                  <w:marLeft w:val="0"/>
                  <w:marRight w:val="0"/>
                  <w:marTop w:val="0"/>
                  <w:marBottom w:val="0"/>
                  <w:divBdr>
                    <w:top w:val="none" w:sz="0" w:space="0" w:color="auto"/>
                    <w:left w:val="none" w:sz="0" w:space="0" w:color="auto"/>
                    <w:bottom w:val="none" w:sz="0" w:space="0" w:color="auto"/>
                    <w:right w:val="none" w:sz="0" w:space="0" w:color="auto"/>
                  </w:divBdr>
                  <w:divsChild>
                    <w:div w:id="871573193">
                      <w:marLeft w:val="0"/>
                      <w:marRight w:val="0"/>
                      <w:marTop w:val="0"/>
                      <w:marBottom w:val="0"/>
                      <w:divBdr>
                        <w:top w:val="none" w:sz="0" w:space="0" w:color="auto"/>
                        <w:left w:val="none" w:sz="0" w:space="0" w:color="auto"/>
                        <w:bottom w:val="none" w:sz="0" w:space="0" w:color="auto"/>
                        <w:right w:val="none" w:sz="0" w:space="0" w:color="auto"/>
                      </w:divBdr>
                    </w:div>
                  </w:divsChild>
                </w:div>
                <w:div w:id="1865555259">
                  <w:marLeft w:val="0"/>
                  <w:marRight w:val="0"/>
                  <w:marTop w:val="0"/>
                  <w:marBottom w:val="0"/>
                  <w:divBdr>
                    <w:top w:val="none" w:sz="0" w:space="0" w:color="auto"/>
                    <w:left w:val="none" w:sz="0" w:space="0" w:color="auto"/>
                    <w:bottom w:val="none" w:sz="0" w:space="0" w:color="auto"/>
                    <w:right w:val="none" w:sz="0" w:space="0" w:color="auto"/>
                  </w:divBdr>
                  <w:divsChild>
                    <w:div w:id="1641956126">
                      <w:marLeft w:val="0"/>
                      <w:marRight w:val="0"/>
                      <w:marTop w:val="0"/>
                      <w:marBottom w:val="0"/>
                      <w:divBdr>
                        <w:top w:val="none" w:sz="0" w:space="0" w:color="auto"/>
                        <w:left w:val="none" w:sz="0" w:space="0" w:color="auto"/>
                        <w:bottom w:val="none" w:sz="0" w:space="0" w:color="auto"/>
                        <w:right w:val="none" w:sz="0" w:space="0" w:color="auto"/>
                      </w:divBdr>
                    </w:div>
                  </w:divsChild>
                </w:div>
                <w:div w:id="1868981375">
                  <w:marLeft w:val="0"/>
                  <w:marRight w:val="0"/>
                  <w:marTop w:val="0"/>
                  <w:marBottom w:val="0"/>
                  <w:divBdr>
                    <w:top w:val="none" w:sz="0" w:space="0" w:color="auto"/>
                    <w:left w:val="none" w:sz="0" w:space="0" w:color="auto"/>
                    <w:bottom w:val="none" w:sz="0" w:space="0" w:color="auto"/>
                    <w:right w:val="none" w:sz="0" w:space="0" w:color="auto"/>
                  </w:divBdr>
                  <w:divsChild>
                    <w:div w:id="341009678">
                      <w:marLeft w:val="0"/>
                      <w:marRight w:val="0"/>
                      <w:marTop w:val="0"/>
                      <w:marBottom w:val="0"/>
                      <w:divBdr>
                        <w:top w:val="none" w:sz="0" w:space="0" w:color="auto"/>
                        <w:left w:val="none" w:sz="0" w:space="0" w:color="auto"/>
                        <w:bottom w:val="none" w:sz="0" w:space="0" w:color="auto"/>
                        <w:right w:val="none" w:sz="0" w:space="0" w:color="auto"/>
                      </w:divBdr>
                    </w:div>
                  </w:divsChild>
                </w:div>
                <w:div w:id="1882133346">
                  <w:marLeft w:val="0"/>
                  <w:marRight w:val="0"/>
                  <w:marTop w:val="0"/>
                  <w:marBottom w:val="0"/>
                  <w:divBdr>
                    <w:top w:val="none" w:sz="0" w:space="0" w:color="auto"/>
                    <w:left w:val="none" w:sz="0" w:space="0" w:color="auto"/>
                    <w:bottom w:val="none" w:sz="0" w:space="0" w:color="auto"/>
                    <w:right w:val="none" w:sz="0" w:space="0" w:color="auto"/>
                  </w:divBdr>
                  <w:divsChild>
                    <w:div w:id="468594601">
                      <w:marLeft w:val="0"/>
                      <w:marRight w:val="0"/>
                      <w:marTop w:val="0"/>
                      <w:marBottom w:val="0"/>
                      <w:divBdr>
                        <w:top w:val="none" w:sz="0" w:space="0" w:color="auto"/>
                        <w:left w:val="none" w:sz="0" w:space="0" w:color="auto"/>
                        <w:bottom w:val="none" w:sz="0" w:space="0" w:color="auto"/>
                        <w:right w:val="none" w:sz="0" w:space="0" w:color="auto"/>
                      </w:divBdr>
                    </w:div>
                  </w:divsChild>
                </w:div>
                <w:div w:id="1884101387">
                  <w:marLeft w:val="0"/>
                  <w:marRight w:val="0"/>
                  <w:marTop w:val="0"/>
                  <w:marBottom w:val="0"/>
                  <w:divBdr>
                    <w:top w:val="none" w:sz="0" w:space="0" w:color="auto"/>
                    <w:left w:val="none" w:sz="0" w:space="0" w:color="auto"/>
                    <w:bottom w:val="none" w:sz="0" w:space="0" w:color="auto"/>
                    <w:right w:val="none" w:sz="0" w:space="0" w:color="auto"/>
                  </w:divBdr>
                  <w:divsChild>
                    <w:div w:id="1781024943">
                      <w:marLeft w:val="0"/>
                      <w:marRight w:val="0"/>
                      <w:marTop w:val="0"/>
                      <w:marBottom w:val="0"/>
                      <w:divBdr>
                        <w:top w:val="none" w:sz="0" w:space="0" w:color="auto"/>
                        <w:left w:val="none" w:sz="0" w:space="0" w:color="auto"/>
                        <w:bottom w:val="none" w:sz="0" w:space="0" w:color="auto"/>
                        <w:right w:val="none" w:sz="0" w:space="0" w:color="auto"/>
                      </w:divBdr>
                    </w:div>
                  </w:divsChild>
                </w:div>
                <w:div w:id="1897274809">
                  <w:marLeft w:val="0"/>
                  <w:marRight w:val="0"/>
                  <w:marTop w:val="0"/>
                  <w:marBottom w:val="0"/>
                  <w:divBdr>
                    <w:top w:val="none" w:sz="0" w:space="0" w:color="auto"/>
                    <w:left w:val="none" w:sz="0" w:space="0" w:color="auto"/>
                    <w:bottom w:val="none" w:sz="0" w:space="0" w:color="auto"/>
                    <w:right w:val="none" w:sz="0" w:space="0" w:color="auto"/>
                  </w:divBdr>
                  <w:divsChild>
                    <w:div w:id="44572937">
                      <w:marLeft w:val="0"/>
                      <w:marRight w:val="0"/>
                      <w:marTop w:val="0"/>
                      <w:marBottom w:val="0"/>
                      <w:divBdr>
                        <w:top w:val="none" w:sz="0" w:space="0" w:color="auto"/>
                        <w:left w:val="none" w:sz="0" w:space="0" w:color="auto"/>
                        <w:bottom w:val="none" w:sz="0" w:space="0" w:color="auto"/>
                        <w:right w:val="none" w:sz="0" w:space="0" w:color="auto"/>
                      </w:divBdr>
                    </w:div>
                  </w:divsChild>
                </w:div>
                <w:div w:id="1900091967">
                  <w:marLeft w:val="0"/>
                  <w:marRight w:val="0"/>
                  <w:marTop w:val="0"/>
                  <w:marBottom w:val="0"/>
                  <w:divBdr>
                    <w:top w:val="none" w:sz="0" w:space="0" w:color="auto"/>
                    <w:left w:val="none" w:sz="0" w:space="0" w:color="auto"/>
                    <w:bottom w:val="none" w:sz="0" w:space="0" w:color="auto"/>
                    <w:right w:val="none" w:sz="0" w:space="0" w:color="auto"/>
                  </w:divBdr>
                  <w:divsChild>
                    <w:div w:id="577521245">
                      <w:marLeft w:val="0"/>
                      <w:marRight w:val="0"/>
                      <w:marTop w:val="0"/>
                      <w:marBottom w:val="0"/>
                      <w:divBdr>
                        <w:top w:val="none" w:sz="0" w:space="0" w:color="auto"/>
                        <w:left w:val="none" w:sz="0" w:space="0" w:color="auto"/>
                        <w:bottom w:val="none" w:sz="0" w:space="0" w:color="auto"/>
                        <w:right w:val="none" w:sz="0" w:space="0" w:color="auto"/>
                      </w:divBdr>
                    </w:div>
                  </w:divsChild>
                </w:div>
                <w:div w:id="1901280360">
                  <w:marLeft w:val="0"/>
                  <w:marRight w:val="0"/>
                  <w:marTop w:val="0"/>
                  <w:marBottom w:val="0"/>
                  <w:divBdr>
                    <w:top w:val="none" w:sz="0" w:space="0" w:color="auto"/>
                    <w:left w:val="none" w:sz="0" w:space="0" w:color="auto"/>
                    <w:bottom w:val="none" w:sz="0" w:space="0" w:color="auto"/>
                    <w:right w:val="none" w:sz="0" w:space="0" w:color="auto"/>
                  </w:divBdr>
                  <w:divsChild>
                    <w:div w:id="164323331">
                      <w:marLeft w:val="0"/>
                      <w:marRight w:val="0"/>
                      <w:marTop w:val="0"/>
                      <w:marBottom w:val="0"/>
                      <w:divBdr>
                        <w:top w:val="none" w:sz="0" w:space="0" w:color="auto"/>
                        <w:left w:val="none" w:sz="0" w:space="0" w:color="auto"/>
                        <w:bottom w:val="none" w:sz="0" w:space="0" w:color="auto"/>
                        <w:right w:val="none" w:sz="0" w:space="0" w:color="auto"/>
                      </w:divBdr>
                    </w:div>
                  </w:divsChild>
                </w:div>
                <w:div w:id="1902515078">
                  <w:marLeft w:val="0"/>
                  <w:marRight w:val="0"/>
                  <w:marTop w:val="0"/>
                  <w:marBottom w:val="0"/>
                  <w:divBdr>
                    <w:top w:val="none" w:sz="0" w:space="0" w:color="auto"/>
                    <w:left w:val="none" w:sz="0" w:space="0" w:color="auto"/>
                    <w:bottom w:val="none" w:sz="0" w:space="0" w:color="auto"/>
                    <w:right w:val="none" w:sz="0" w:space="0" w:color="auto"/>
                  </w:divBdr>
                  <w:divsChild>
                    <w:div w:id="556628923">
                      <w:marLeft w:val="0"/>
                      <w:marRight w:val="0"/>
                      <w:marTop w:val="0"/>
                      <w:marBottom w:val="0"/>
                      <w:divBdr>
                        <w:top w:val="none" w:sz="0" w:space="0" w:color="auto"/>
                        <w:left w:val="none" w:sz="0" w:space="0" w:color="auto"/>
                        <w:bottom w:val="none" w:sz="0" w:space="0" w:color="auto"/>
                        <w:right w:val="none" w:sz="0" w:space="0" w:color="auto"/>
                      </w:divBdr>
                    </w:div>
                  </w:divsChild>
                </w:div>
                <w:div w:id="1905987977">
                  <w:marLeft w:val="0"/>
                  <w:marRight w:val="0"/>
                  <w:marTop w:val="0"/>
                  <w:marBottom w:val="0"/>
                  <w:divBdr>
                    <w:top w:val="none" w:sz="0" w:space="0" w:color="auto"/>
                    <w:left w:val="none" w:sz="0" w:space="0" w:color="auto"/>
                    <w:bottom w:val="none" w:sz="0" w:space="0" w:color="auto"/>
                    <w:right w:val="none" w:sz="0" w:space="0" w:color="auto"/>
                  </w:divBdr>
                  <w:divsChild>
                    <w:div w:id="1857842413">
                      <w:marLeft w:val="0"/>
                      <w:marRight w:val="0"/>
                      <w:marTop w:val="0"/>
                      <w:marBottom w:val="0"/>
                      <w:divBdr>
                        <w:top w:val="none" w:sz="0" w:space="0" w:color="auto"/>
                        <w:left w:val="none" w:sz="0" w:space="0" w:color="auto"/>
                        <w:bottom w:val="none" w:sz="0" w:space="0" w:color="auto"/>
                        <w:right w:val="none" w:sz="0" w:space="0" w:color="auto"/>
                      </w:divBdr>
                    </w:div>
                  </w:divsChild>
                </w:div>
                <w:div w:id="1906257727">
                  <w:marLeft w:val="0"/>
                  <w:marRight w:val="0"/>
                  <w:marTop w:val="0"/>
                  <w:marBottom w:val="0"/>
                  <w:divBdr>
                    <w:top w:val="none" w:sz="0" w:space="0" w:color="auto"/>
                    <w:left w:val="none" w:sz="0" w:space="0" w:color="auto"/>
                    <w:bottom w:val="none" w:sz="0" w:space="0" w:color="auto"/>
                    <w:right w:val="none" w:sz="0" w:space="0" w:color="auto"/>
                  </w:divBdr>
                  <w:divsChild>
                    <w:div w:id="119617486">
                      <w:marLeft w:val="0"/>
                      <w:marRight w:val="0"/>
                      <w:marTop w:val="0"/>
                      <w:marBottom w:val="0"/>
                      <w:divBdr>
                        <w:top w:val="none" w:sz="0" w:space="0" w:color="auto"/>
                        <w:left w:val="none" w:sz="0" w:space="0" w:color="auto"/>
                        <w:bottom w:val="none" w:sz="0" w:space="0" w:color="auto"/>
                        <w:right w:val="none" w:sz="0" w:space="0" w:color="auto"/>
                      </w:divBdr>
                    </w:div>
                  </w:divsChild>
                </w:div>
                <w:div w:id="1934432563">
                  <w:marLeft w:val="0"/>
                  <w:marRight w:val="0"/>
                  <w:marTop w:val="0"/>
                  <w:marBottom w:val="0"/>
                  <w:divBdr>
                    <w:top w:val="none" w:sz="0" w:space="0" w:color="auto"/>
                    <w:left w:val="none" w:sz="0" w:space="0" w:color="auto"/>
                    <w:bottom w:val="none" w:sz="0" w:space="0" w:color="auto"/>
                    <w:right w:val="none" w:sz="0" w:space="0" w:color="auto"/>
                  </w:divBdr>
                  <w:divsChild>
                    <w:div w:id="1596135422">
                      <w:marLeft w:val="0"/>
                      <w:marRight w:val="0"/>
                      <w:marTop w:val="0"/>
                      <w:marBottom w:val="0"/>
                      <w:divBdr>
                        <w:top w:val="none" w:sz="0" w:space="0" w:color="auto"/>
                        <w:left w:val="none" w:sz="0" w:space="0" w:color="auto"/>
                        <w:bottom w:val="none" w:sz="0" w:space="0" w:color="auto"/>
                        <w:right w:val="none" w:sz="0" w:space="0" w:color="auto"/>
                      </w:divBdr>
                    </w:div>
                  </w:divsChild>
                </w:div>
                <w:div w:id="1943757685">
                  <w:marLeft w:val="0"/>
                  <w:marRight w:val="0"/>
                  <w:marTop w:val="0"/>
                  <w:marBottom w:val="0"/>
                  <w:divBdr>
                    <w:top w:val="none" w:sz="0" w:space="0" w:color="auto"/>
                    <w:left w:val="none" w:sz="0" w:space="0" w:color="auto"/>
                    <w:bottom w:val="none" w:sz="0" w:space="0" w:color="auto"/>
                    <w:right w:val="none" w:sz="0" w:space="0" w:color="auto"/>
                  </w:divBdr>
                  <w:divsChild>
                    <w:div w:id="376122748">
                      <w:marLeft w:val="0"/>
                      <w:marRight w:val="0"/>
                      <w:marTop w:val="0"/>
                      <w:marBottom w:val="0"/>
                      <w:divBdr>
                        <w:top w:val="none" w:sz="0" w:space="0" w:color="auto"/>
                        <w:left w:val="none" w:sz="0" w:space="0" w:color="auto"/>
                        <w:bottom w:val="none" w:sz="0" w:space="0" w:color="auto"/>
                        <w:right w:val="none" w:sz="0" w:space="0" w:color="auto"/>
                      </w:divBdr>
                    </w:div>
                  </w:divsChild>
                </w:div>
                <w:div w:id="1954818889">
                  <w:marLeft w:val="0"/>
                  <w:marRight w:val="0"/>
                  <w:marTop w:val="0"/>
                  <w:marBottom w:val="0"/>
                  <w:divBdr>
                    <w:top w:val="none" w:sz="0" w:space="0" w:color="auto"/>
                    <w:left w:val="none" w:sz="0" w:space="0" w:color="auto"/>
                    <w:bottom w:val="none" w:sz="0" w:space="0" w:color="auto"/>
                    <w:right w:val="none" w:sz="0" w:space="0" w:color="auto"/>
                  </w:divBdr>
                  <w:divsChild>
                    <w:div w:id="1746220165">
                      <w:marLeft w:val="0"/>
                      <w:marRight w:val="0"/>
                      <w:marTop w:val="0"/>
                      <w:marBottom w:val="0"/>
                      <w:divBdr>
                        <w:top w:val="none" w:sz="0" w:space="0" w:color="auto"/>
                        <w:left w:val="none" w:sz="0" w:space="0" w:color="auto"/>
                        <w:bottom w:val="none" w:sz="0" w:space="0" w:color="auto"/>
                        <w:right w:val="none" w:sz="0" w:space="0" w:color="auto"/>
                      </w:divBdr>
                    </w:div>
                  </w:divsChild>
                </w:div>
                <w:div w:id="1957133342">
                  <w:marLeft w:val="0"/>
                  <w:marRight w:val="0"/>
                  <w:marTop w:val="0"/>
                  <w:marBottom w:val="0"/>
                  <w:divBdr>
                    <w:top w:val="none" w:sz="0" w:space="0" w:color="auto"/>
                    <w:left w:val="none" w:sz="0" w:space="0" w:color="auto"/>
                    <w:bottom w:val="none" w:sz="0" w:space="0" w:color="auto"/>
                    <w:right w:val="none" w:sz="0" w:space="0" w:color="auto"/>
                  </w:divBdr>
                  <w:divsChild>
                    <w:div w:id="1458912497">
                      <w:marLeft w:val="0"/>
                      <w:marRight w:val="0"/>
                      <w:marTop w:val="0"/>
                      <w:marBottom w:val="0"/>
                      <w:divBdr>
                        <w:top w:val="none" w:sz="0" w:space="0" w:color="auto"/>
                        <w:left w:val="none" w:sz="0" w:space="0" w:color="auto"/>
                        <w:bottom w:val="none" w:sz="0" w:space="0" w:color="auto"/>
                        <w:right w:val="none" w:sz="0" w:space="0" w:color="auto"/>
                      </w:divBdr>
                    </w:div>
                  </w:divsChild>
                </w:div>
                <w:div w:id="1958292142">
                  <w:marLeft w:val="0"/>
                  <w:marRight w:val="0"/>
                  <w:marTop w:val="0"/>
                  <w:marBottom w:val="0"/>
                  <w:divBdr>
                    <w:top w:val="none" w:sz="0" w:space="0" w:color="auto"/>
                    <w:left w:val="none" w:sz="0" w:space="0" w:color="auto"/>
                    <w:bottom w:val="none" w:sz="0" w:space="0" w:color="auto"/>
                    <w:right w:val="none" w:sz="0" w:space="0" w:color="auto"/>
                  </w:divBdr>
                  <w:divsChild>
                    <w:div w:id="149372158">
                      <w:marLeft w:val="0"/>
                      <w:marRight w:val="0"/>
                      <w:marTop w:val="0"/>
                      <w:marBottom w:val="0"/>
                      <w:divBdr>
                        <w:top w:val="none" w:sz="0" w:space="0" w:color="auto"/>
                        <w:left w:val="none" w:sz="0" w:space="0" w:color="auto"/>
                        <w:bottom w:val="none" w:sz="0" w:space="0" w:color="auto"/>
                        <w:right w:val="none" w:sz="0" w:space="0" w:color="auto"/>
                      </w:divBdr>
                    </w:div>
                  </w:divsChild>
                </w:div>
                <w:div w:id="1960647730">
                  <w:marLeft w:val="0"/>
                  <w:marRight w:val="0"/>
                  <w:marTop w:val="0"/>
                  <w:marBottom w:val="0"/>
                  <w:divBdr>
                    <w:top w:val="none" w:sz="0" w:space="0" w:color="auto"/>
                    <w:left w:val="none" w:sz="0" w:space="0" w:color="auto"/>
                    <w:bottom w:val="none" w:sz="0" w:space="0" w:color="auto"/>
                    <w:right w:val="none" w:sz="0" w:space="0" w:color="auto"/>
                  </w:divBdr>
                  <w:divsChild>
                    <w:div w:id="1059862902">
                      <w:marLeft w:val="0"/>
                      <w:marRight w:val="0"/>
                      <w:marTop w:val="0"/>
                      <w:marBottom w:val="0"/>
                      <w:divBdr>
                        <w:top w:val="none" w:sz="0" w:space="0" w:color="auto"/>
                        <w:left w:val="none" w:sz="0" w:space="0" w:color="auto"/>
                        <w:bottom w:val="none" w:sz="0" w:space="0" w:color="auto"/>
                        <w:right w:val="none" w:sz="0" w:space="0" w:color="auto"/>
                      </w:divBdr>
                    </w:div>
                  </w:divsChild>
                </w:div>
                <w:div w:id="1961066274">
                  <w:marLeft w:val="0"/>
                  <w:marRight w:val="0"/>
                  <w:marTop w:val="0"/>
                  <w:marBottom w:val="0"/>
                  <w:divBdr>
                    <w:top w:val="none" w:sz="0" w:space="0" w:color="auto"/>
                    <w:left w:val="none" w:sz="0" w:space="0" w:color="auto"/>
                    <w:bottom w:val="none" w:sz="0" w:space="0" w:color="auto"/>
                    <w:right w:val="none" w:sz="0" w:space="0" w:color="auto"/>
                  </w:divBdr>
                  <w:divsChild>
                    <w:div w:id="1599682370">
                      <w:marLeft w:val="0"/>
                      <w:marRight w:val="0"/>
                      <w:marTop w:val="0"/>
                      <w:marBottom w:val="0"/>
                      <w:divBdr>
                        <w:top w:val="none" w:sz="0" w:space="0" w:color="auto"/>
                        <w:left w:val="none" w:sz="0" w:space="0" w:color="auto"/>
                        <w:bottom w:val="none" w:sz="0" w:space="0" w:color="auto"/>
                        <w:right w:val="none" w:sz="0" w:space="0" w:color="auto"/>
                      </w:divBdr>
                    </w:div>
                  </w:divsChild>
                </w:div>
                <w:div w:id="1964459150">
                  <w:marLeft w:val="0"/>
                  <w:marRight w:val="0"/>
                  <w:marTop w:val="0"/>
                  <w:marBottom w:val="0"/>
                  <w:divBdr>
                    <w:top w:val="none" w:sz="0" w:space="0" w:color="auto"/>
                    <w:left w:val="none" w:sz="0" w:space="0" w:color="auto"/>
                    <w:bottom w:val="none" w:sz="0" w:space="0" w:color="auto"/>
                    <w:right w:val="none" w:sz="0" w:space="0" w:color="auto"/>
                  </w:divBdr>
                  <w:divsChild>
                    <w:div w:id="572354104">
                      <w:marLeft w:val="0"/>
                      <w:marRight w:val="0"/>
                      <w:marTop w:val="0"/>
                      <w:marBottom w:val="0"/>
                      <w:divBdr>
                        <w:top w:val="none" w:sz="0" w:space="0" w:color="auto"/>
                        <w:left w:val="none" w:sz="0" w:space="0" w:color="auto"/>
                        <w:bottom w:val="none" w:sz="0" w:space="0" w:color="auto"/>
                        <w:right w:val="none" w:sz="0" w:space="0" w:color="auto"/>
                      </w:divBdr>
                    </w:div>
                  </w:divsChild>
                </w:div>
                <w:div w:id="1967589622">
                  <w:marLeft w:val="0"/>
                  <w:marRight w:val="0"/>
                  <w:marTop w:val="0"/>
                  <w:marBottom w:val="0"/>
                  <w:divBdr>
                    <w:top w:val="none" w:sz="0" w:space="0" w:color="auto"/>
                    <w:left w:val="none" w:sz="0" w:space="0" w:color="auto"/>
                    <w:bottom w:val="none" w:sz="0" w:space="0" w:color="auto"/>
                    <w:right w:val="none" w:sz="0" w:space="0" w:color="auto"/>
                  </w:divBdr>
                  <w:divsChild>
                    <w:div w:id="1817650041">
                      <w:marLeft w:val="0"/>
                      <w:marRight w:val="0"/>
                      <w:marTop w:val="0"/>
                      <w:marBottom w:val="0"/>
                      <w:divBdr>
                        <w:top w:val="none" w:sz="0" w:space="0" w:color="auto"/>
                        <w:left w:val="none" w:sz="0" w:space="0" w:color="auto"/>
                        <w:bottom w:val="none" w:sz="0" w:space="0" w:color="auto"/>
                        <w:right w:val="none" w:sz="0" w:space="0" w:color="auto"/>
                      </w:divBdr>
                    </w:div>
                  </w:divsChild>
                </w:div>
                <w:div w:id="1969163622">
                  <w:marLeft w:val="0"/>
                  <w:marRight w:val="0"/>
                  <w:marTop w:val="0"/>
                  <w:marBottom w:val="0"/>
                  <w:divBdr>
                    <w:top w:val="none" w:sz="0" w:space="0" w:color="auto"/>
                    <w:left w:val="none" w:sz="0" w:space="0" w:color="auto"/>
                    <w:bottom w:val="none" w:sz="0" w:space="0" w:color="auto"/>
                    <w:right w:val="none" w:sz="0" w:space="0" w:color="auto"/>
                  </w:divBdr>
                  <w:divsChild>
                    <w:div w:id="721294914">
                      <w:marLeft w:val="0"/>
                      <w:marRight w:val="0"/>
                      <w:marTop w:val="0"/>
                      <w:marBottom w:val="0"/>
                      <w:divBdr>
                        <w:top w:val="none" w:sz="0" w:space="0" w:color="auto"/>
                        <w:left w:val="none" w:sz="0" w:space="0" w:color="auto"/>
                        <w:bottom w:val="none" w:sz="0" w:space="0" w:color="auto"/>
                        <w:right w:val="none" w:sz="0" w:space="0" w:color="auto"/>
                      </w:divBdr>
                    </w:div>
                  </w:divsChild>
                </w:div>
                <w:div w:id="1969237042">
                  <w:marLeft w:val="0"/>
                  <w:marRight w:val="0"/>
                  <w:marTop w:val="0"/>
                  <w:marBottom w:val="0"/>
                  <w:divBdr>
                    <w:top w:val="none" w:sz="0" w:space="0" w:color="auto"/>
                    <w:left w:val="none" w:sz="0" w:space="0" w:color="auto"/>
                    <w:bottom w:val="none" w:sz="0" w:space="0" w:color="auto"/>
                    <w:right w:val="none" w:sz="0" w:space="0" w:color="auto"/>
                  </w:divBdr>
                  <w:divsChild>
                    <w:div w:id="1076047651">
                      <w:marLeft w:val="0"/>
                      <w:marRight w:val="0"/>
                      <w:marTop w:val="0"/>
                      <w:marBottom w:val="0"/>
                      <w:divBdr>
                        <w:top w:val="none" w:sz="0" w:space="0" w:color="auto"/>
                        <w:left w:val="none" w:sz="0" w:space="0" w:color="auto"/>
                        <w:bottom w:val="none" w:sz="0" w:space="0" w:color="auto"/>
                        <w:right w:val="none" w:sz="0" w:space="0" w:color="auto"/>
                      </w:divBdr>
                    </w:div>
                  </w:divsChild>
                </w:div>
                <w:div w:id="1993555165">
                  <w:marLeft w:val="0"/>
                  <w:marRight w:val="0"/>
                  <w:marTop w:val="0"/>
                  <w:marBottom w:val="0"/>
                  <w:divBdr>
                    <w:top w:val="none" w:sz="0" w:space="0" w:color="auto"/>
                    <w:left w:val="none" w:sz="0" w:space="0" w:color="auto"/>
                    <w:bottom w:val="none" w:sz="0" w:space="0" w:color="auto"/>
                    <w:right w:val="none" w:sz="0" w:space="0" w:color="auto"/>
                  </w:divBdr>
                  <w:divsChild>
                    <w:div w:id="690496271">
                      <w:marLeft w:val="0"/>
                      <w:marRight w:val="0"/>
                      <w:marTop w:val="0"/>
                      <w:marBottom w:val="0"/>
                      <w:divBdr>
                        <w:top w:val="none" w:sz="0" w:space="0" w:color="auto"/>
                        <w:left w:val="none" w:sz="0" w:space="0" w:color="auto"/>
                        <w:bottom w:val="none" w:sz="0" w:space="0" w:color="auto"/>
                        <w:right w:val="none" w:sz="0" w:space="0" w:color="auto"/>
                      </w:divBdr>
                    </w:div>
                  </w:divsChild>
                </w:div>
                <w:div w:id="2016229475">
                  <w:marLeft w:val="0"/>
                  <w:marRight w:val="0"/>
                  <w:marTop w:val="0"/>
                  <w:marBottom w:val="0"/>
                  <w:divBdr>
                    <w:top w:val="none" w:sz="0" w:space="0" w:color="auto"/>
                    <w:left w:val="none" w:sz="0" w:space="0" w:color="auto"/>
                    <w:bottom w:val="none" w:sz="0" w:space="0" w:color="auto"/>
                    <w:right w:val="none" w:sz="0" w:space="0" w:color="auto"/>
                  </w:divBdr>
                  <w:divsChild>
                    <w:div w:id="1547595807">
                      <w:marLeft w:val="0"/>
                      <w:marRight w:val="0"/>
                      <w:marTop w:val="0"/>
                      <w:marBottom w:val="0"/>
                      <w:divBdr>
                        <w:top w:val="none" w:sz="0" w:space="0" w:color="auto"/>
                        <w:left w:val="none" w:sz="0" w:space="0" w:color="auto"/>
                        <w:bottom w:val="none" w:sz="0" w:space="0" w:color="auto"/>
                        <w:right w:val="none" w:sz="0" w:space="0" w:color="auto"/>
                      </w:divBdr>
                    </w:div>
                  </w:divsChild>
                </w:div>
                <w:div w:id="2033526457">
                  <w:marLeft w:val="0"/>
                  <w:marRight w:val="0"/>
                  <w:marTop w:val="0"/>
                  <w:marBottom w:val="0"/>
                  <w:divBdr>
                    <w:top w:val="none" w:sz="0" w:space="0" w:color="auto"/>
                    <w:left w:val="none" w:sz="0" w:space="0" w:color="auto"/>
                    <w:bottom w:val="none" w:sz="0" w:space="0" w:color="auto"/>
                    <w:right w:val="none" w:sz="0" w:space="0" w:color="auto"/>
                  </w:divBdr>
                  <w:divsChild>
                    <w:div w:id="1250580462">
                      <w:marLeft w:val="0"/>
                      <w:marRight w:val="0"/>
                      <w:marTop w:val="0"/>
                      <w:marBottom w:val="0"/>
                      <w:divBdr>
                        <w:top w:val="none" w:sz="0" w:space="0" w:color="auto"/>
                        <w:left w:val="none" w:sz="0" w:space="0" w:color="auto"/>
                        <w:bottom w:val="none" w:sz="0" w:space="0" w:color="auto"/>
                        <w:right w:val="none" w:sz="0" w:space="0" w:color="auto"/>
                      </w:divBdr>
                    </w:div>
                  </w:divsChild>
                </w:div>
                <w:div w:id="2042896186">
                  <w:marLeft w:val="0"/>
                  <w:marRight w:val="0"/>
                  <w:marTop w:val="0"/>
                  <w:marBottom w:val="0"/>
                  <w:divBdr>
                    <w:top w:val="none" w:sz="0" w:space="0" w:color="auto"/>
                    <w:left w:val="none" w:sz="0" w:space="0" w:color="auto"/>
                    <w:bottom w:val="none" w:sz="0" w:space="0" w:color="auto"/>
                    <w:right w:val="none" w:sz="0" w:space="0" w:color="auto"/>
                  </w:divBdr>
                  <w:divsChild>
                    <w:div w:id="795485223">
                      <w:marLeft w:val="0"/>
                      <w:marRight w:val="0"/>
                      <w:marTop w:val="0"/>
                      <w:marBottom w:val="0"/>
                      <w:divBdr>
                        <w:top w:val="none" w:sz="0" w:space="0" w:color="auto"/>
                        <w:left w:val="none" w:sz="0" w:space="0" w:color="auto"/>
                        <w:bottom w:val="none" w:sz="0" w:space="0" w:color="auto"/>
                        <w:right w:val="none" w:sz="0" w:space="0" w:color="auto"/>
                      </w:divBdr>
                    </w:div>
                  </w:divsChild>
                </w:div>
                <w:div w:id="2056850514">
                  <w:marLeft w:val="0"/>
                  <w:marRight w:val="0"/>
                  <w:marTop w:val="0"/>
                  <w:marBottom w:val="0"/>
                  <w:divBdr>
                    <w:top w:val="none" w:sz="0" w:space="0" w:color="auto"/>
                    <w:left w:val="none" w:sz="0" w:space="0" w:color="auto"/>
                    <w:bottom w:val="none" w:sz="0" w:space="0" w:color="auto"/>
                    <w:right w:val="none" w:sz="0" w:space="0" w:color="auto"/>
                  </w:divBdr>
                  <w:divsChild>
                    <w:div w:id="454911830">
                      <w:marLeft w:val="0"/>
                      <w:marRight w:val="0"/>
                      <w:marTop w:val="0"/>
                      <w:marBottom w:val="0"/>
                      <w:divBdr>
                        <w:top w:val="none" w:sz="0" w:space="0" w:color="auto"/>
                        <w:left w:val="none" w:sz="0" w:space="0" w:color="auto"/>
                        <w:bottom w:val="none" w:sz="0" w:space="0" w:color="auto"/>
                        <w:right w:val="none" w:sz="0" w:space="0" w:color="auto"/>
                      </w:divBdr>
                    </w:div>
                  </w:divsChild>
                </w:div>
                <w:div w:id="2062825406">
                  <w:marLeft w:val="0"/>
                  <w:marRight w:val="0"/>
                  <w:marTop w:val="0"/>
                  <w:marBottom w:val="0"/>
                  <w:divBdr>
                    <w:top w:val="none" w:sz="0" w:space="0" w:color="auto"/>
                    <w:left w:val="none" w:sz="0" w:space="0" w:color="auto"/>
                    <w:bottom w:val="none" w:sz="0" w:space="0" w:color="auto"/>
                    <w:right w:val="none" w:sz="0" w:space="0" w:color="auto"/>
                  </w:divBdr>
                  <w:divsChild>
                    <w:div w:id="1482237884">
                      <w:marLeft w:val="0"/>
                      <w:marRight w:val="0"/>
                      <w:marTop w:val="0"/>
                      <w:marBottom w:val="0"/>
                      <w:divBdr>
                        <w:top w:val="none" w:sz="0" w:space="0" w:color="auto"/>
                        <w:left w:val="none" w:sz="0" w:space="0" w:color="auto"/>
                        <w:bottom w:val="none" w:sz="0" w:space="0" w:color="auto"/>
                        <w:right w:val="none" w:sz="0" w:space="0" w:color="auto"/>
                      </w:divBdr>
                    </w:div>
                  </w:divsChild>
                </w:div>
                <w:div w:id="2067026443">
                  <w:marLeft w:val="0"/>
                  <w:marRight w:val="0"/>
                  <w:marTop w:val="0"/>
                  <w:marBottom w:val="0"/>
                  <w:divBdr>
                    <w:top w:val="none" w:sz="0" w:space="0" w:color="auto"/>
                    <w:left w:val="none" w:sz="0" w:space="0" w:color="auto"/>
                    <w:bottom w:val="none" w:sz="0" w:space="0" w:color="auto"/>
                    <w:right w:val="none" w:sz="0" w:space="0" w:color="auto"/>
                  </w:divBdr>
                  <w:divsChild>
                    <w:div w:id="1791510786">
                      <w:marLeft w:val="0"/>
                      <w:marRight w:val="0"/>
                      <w:marTop w:val="0"/>
                      <w:marBottom w:val="0"/>
                      <w:divBdr>
                        <w:top w:val="none" w:sz="0" w:space="0" w:color="auto"/>
                        <w:left w:val="none" w:sz="0" w:space="0" w:color="auto"/>
                        <w:bottom w:val="none" w:sz="0" w:space="0" w:color="auto"/>
                        <w:right w:val="none" w:sz="0" w:space="0" w:color="auto"/>
                      </w:divBdr>
                    </w:div>
                  </w:divsChild>
                </w:div>
                <w:div w:id="2073310977">
                  <w:marLeft w:val="0"/>
                  <w:marRight w:val="0"/>
                  <w:marTop w:val="0"/>
                  <w:marBottom w:val="0"/>
                  <w:divBdr>
                    <w:top w:val="none" w:sz="0" w:space="0" w:color="auto"/>
                    <w:left w:val="none" w:sz="0" w:space="0" w:color="auto"/>
                    <w:bottom w:val="none" w:sz="0" w:space="0" w:color="auto"/>
                    <w:right w:val="none" w:sz="0" w:space="0" w:color="auto"/>
                  </w:divBdr>
                  <w:divsChild>
                    <w:div w:id="1054087073">
                      <w:marLeft w:val="0"/>
                      <w:marRight w:val="0"/>
                      <w:marTop w:val="0"/>
                      <w:marBottom w:val="0"/>
                      <w:divBdr>
                        <w:top w:val="none" w:sz="0" w:space="0" w:color="auto"/>
                        <w:left w:val="none" w:sz="0" w:space="0" w:color="auto"/>
                        <w:bottom w:val="none" w:sz="0" w:space="0" w:color="auto"/>
                        <w:right w:val="none" w:sz="0" w:space="0" w:color="auto"/>
                      </w:divBdr>
                    </w:div>
                  </w:divsChild>
                </w:div>
                <w:div w:id="2074504176">
                  <w:marLeft w:val="0"/>
                  <w:marRight w:val="0"/>
                  <w:marTop w:val="0"/>
                  <w:marBottom w:val="0"/>
                  <w:divBdr>
                    <w:top w:val="none" w:sz="0" w:space="0" w:color="auto"/>
                    <w:left w:val="none" w:sz="0" w:space="0" w:color="auto"/>
                    <w:bottom w:val="none" w:sz="0" w:space="0" w:color="auto"/>
                    <w:right w:val="none" w:sz="0" w:space="0" w:color="auto"/>
                  </w:divBdr>
                  <w:divsChild>
                    <w:div w:id="388111115">
                      <w:marLeft w:val="0"/>
                      <w:marRight w:val="0"/>
                      <w:marTop w:val="0"/>
                      <w:marBottom w:val="0"/>
                      <w:divBdr>
                        <w:top w:val="none" w:sz="0" w:space="0" w:color="auto"/>
                        <w:left w:val="none" w:sz="0" w:space="0" w:color="auto"/>
                        <w:bottom w:val="none" w:sz="0" w:space="0" w:color="auto"/>
                        <w:right w:val="none" w:sz="0" w:space="0" w:color="auto"/>
                      </w:divBdr>
                    </w:div>
                  </w:divsChild>
                </w:div>
                <w:div w:id="2084333211">
                  <w:marLeft w:val="0"/>
                  <w:marRight w:val="0"/>
                  <w:marTop w:val="0"/>
                  <w:marBottom w:val="0"/>
                  <w:divBdr>
                    <w:top w:val="none" w:sz="0" w:space="0" w:color="auto"/>
                    <w:left w:val="none" w:sz="0" w:space="0" w:color="auto"/>
                    <w:bottom w:val="none" w:sz="0" w:space="0" w:color="auto"/>
                    <w:right w:val="none" w:sz="0" w:space="0" w:color="auto"/>
                  </w:divBdr>
                  <w:divsChild>
                    <w:div w:id="593559648">
                      <w:marLeft w:val="0"/>
                      <w:marRight w:val="0"/>
                      <w:marTop w:val="0"/>
                      <w:marBottom w:val="0"/>
                      <w:divBdr>
                        <w:top w:val="none" w:sz="0" w:space="0" w:color="auto"/>
                        <w:left w:val="none" w:sz="0" w:space="0" w:color="auto"/>
                        <w:bottom w:val="none" w:sz="0" w:space="0" w:color="auto"/>
                        <w:right w:val="none" w:sz="0" w:space="0" w:color="auto"/>
                      </w:divBdr>
                    </w:div>
                  </w:divsChild>
                </w:div>
                <w:div w:id="2085561166">
                  <w:marLeft w:val="0"/>
                  <w:marRight w:val="0"/>
                  <w:marTop w:val="0"/>
                  <w:marBottom w:val="0"/>
                  <w:divBdr>
                    <w:top w:val="none" w:sz="0" w:space="0" w:color="auto"/>
                    <w:left w:val="none" w:sz="0" w:space="0" w:color="auto"/>
                    <w:bottom w:val="none" w:sz="0" w:space="0" w:color="auto"/>
                    <w:right w:val="none" w:sz="0" w:space="0" w:color="auto"/>
                  </w:divBdr>
                  <w:divsChild>
                    <w:div w:id="2143307364">
                      <w:marLeft w:val="0"/>
                      <w:marRight w:val="0"/>
                      <w:marTop w:val="0"/>
                      <w:marBottom w:val="0"/>
                      <w:divBdr>
                        <w:top w:val="none" w:sz="0" w:space="0" w:color="auto"/>
                        <w:left w:val="none" w:sz="0" w:space="0" w:color="auto"/>
                        <w:bottom w:val="none" w:sz="0" w:space="0" w:color="auto"/>
                        <w:right w:val="none" w:sz="0" w:space="0" w:color="auto"/>
                      </w:divBdr>
                    </w:div>
                  </w:divsChild>
                </w:div>
                <w:div w:id="2102097909">
                  <w:marLeft w:val="0"/>
                  <w:marRight w:val="0"/>
                  <w:marTop w:val="0"/>
                  <w:marBottom w:val="0"/>
                  <w:divBdr>
                    <w:top w:val="none" w:sz="0" w:space="0" w:color="auto"/>
                    <w:left w:val="none" w:sz="0" w:space="0" w:color="auto"/>
                    <w:bottom w:val="none" w:sz="0" w:space="0" w:color="auto"/>
                    <w:right w:val="none" w:sz="0" w:space="0" w:color="auto"/>
                  </w:divBdr>
                  <w:divsChild>
                    <w:div w:id="1499536689">
                      <w:marLeft w:val="0"/>
                      <w:marRight w:val="0"/>
                      <w:marTop w:val="0"/>
                      <w:marBottom w:val="0"/>
                      <w:divBdr>
                        <w:top w:val="none" w:sz="0" w:space="0" w:color="auto"/>
                        <w:left w:val="none" w:sz="0" w:space="0" w:color="auto"/>
                        <w:bottom w:val="none" w:sz="0" w:space="0" w:color="auto"/>
                        <w:right w:val="none" w:sz="0" w:space="0" w:color="auto"/>
                      </w:divBdr>
                    </w:div>
                  </w:divsChild>
                </w:div>
                <w:div w:id="2102944752">
                  <w:marLeft w:val="0"/>
                  <w:marRight w:val="0"/>
                  <w:marTop w:val="0"/>
                  <w:marBottom w:val="0"/>
                  <w:divBdr>
                    <w:top w:val="none" w:sz="0" w:space="0" w:color="auto"/>
                    <w:left w:val="none" w:sz="0" w:space="0" w:color="auto"/>
                    <w:bottom w:val="none" w:sz="0" w:space="0" w:color="auto"/>
                    <w:right w:val="none" w:sz="0" w:space="0" w:color="auto"/>
                  </w:divBdr>
                  <w:divsChild>
                    <w:div w:id="1456682731">
                      <w:marLeft w:val="0"/>
                      <w:marRight w:val="0"/>
                      <w:marTop w:val="0"/>
                      <w:marBottom w:val="0"/>
                      <w:divBdr>
                        <w:top w:val="none" w:sz="0" w:space="0" w:color="auto"/>
                        <w:left w:val="none" w:sz="0" w:space="0" w:color="auto"/>
                        <w:bottom w:val="none" w:sz="0" w:space="0" w:color="auto"/>
                        <w:right w:val="none" w:sz="0" w:space="0" w:color="auto"/>
                      </w:divBdr>
                    </w:div>
                  </w:divsChild>
                </w:div>
                <w:div w:id="2108191709">
                  <w:marLeft w:val="0"/>
                  <w:marRight w:val="0"/>
                  <w:marTop w:val="0"/>
                  <w:marBottom w:val="0"/>
                  <w:divBdr>
                    <w:top w:val="none" w:sz="0" w:space="0" w:color="auto"/>
                    <w:left w:val="none" w:sz="0" w:space="0" w:color="auto"/>
                    <w:bottom w:val="none" w:sz="0" w:space="0" w:color="auto"/>
                    <w:right w:val="none" w:sz="0" w:space="0" w:color="auto"/>
                  </w:divBdr>
                  <w:divsChild>
                    <w:div w:id="1563757262">
                      <w:marLeft w:val="0"/>
                      <w:marRight w:val="0"/>
                      <w:marTop w:val="0"/>
                      <w:marBottom w:val="0"/>
                      <w:divBdr>
                        <w:top w:val="none" w:sz="0" w:space="0" w:color="auto"/>
                        <w:left w:val="none" w:sz="0" w:space="0" w:color="auto"/>
                        <w:bottom w:val="none" w:sz="0" w:space="0" w:color="auto"/>
                        <w:right w:val="none" w:sz="0" w:space="0" w:color="auto"/>
                      </w:divBdr>
                    </w:div>
                  </w:divsChild>
                </w:div>
                <w:div w:id="2111318312">
                  <w:marLeft w:val="0"/>
                  <w:marRight w:val="0"/>
                  <w:marTop w:val="0"/>
                  <w:marBottom w:val="0"/>
                  <w:divBdr>
                    <w:top w:val="none" w:sz="0" w:space="0" w:color="auto"/>
                    <w:left w:val="none" w:sz="0" w:space="0" w:color="auto"/>
                    <w:bottom w:val="none" w:sz="0" w:space="0" w:color="auto"/>
                    <w:right w:val="none" w:sz="0" w:space="0" w:color="auto"/>
                  </w:divBdr>
                  <w:divsChild>
                    <w:div w:id="1728872350">
                      <w:marLeft w:val="0"/>
                      <w:marRight w:val="0"/>
                      <w:marTop w:val="0"/>
                      <w:marBottom w:val="0"/>
                      <w:divBdr>
                        <w:top w:val="none" w:sz="0" w:space="0" w:color="auto"/>
                        <w:left w:val="none" w:sz="0" w:space="0" w:color="auto"/>
                        <w:bottom w:val="none" w:sz="0" w:space="0" w:color="auto"/>
                        <w:right w:val="none" w:sz="0" w:space="0" w:color="auto"/>
                      </w:divBdr>
                    </w:div>
                  </w:divsChild>
                </w:div>
                <w:div w:id="2119715013">
                  <w:marLeft w:val="0"/>
                  <w:marRight w:val="0"/>
                  <w:marTop w:val="0"/>
                  <w:marBottom w:val="0"/>
                  <w:divBdr>
                    <w:top w:val="none" w:sz="0" w:space="0" w:color="auto"/>
                    <w:left w:val="none" w:sz="0" w:space="0" w:color="auto"/>
                    <w:bottom w:val="none" w:sz="0" w:space="0" w:color="auto"/>
                    <w:right w:val="none" w:sz="0" w:space="0" w:color="auto"/>
                  </w:divBdr>
                  <w:divsChild>
                    <w:div w:id="785855074">
                      <w:marLeft w:val="0"/>
                      <w:marRight w:val="0"/>
                      <w:marTop w:val="0"/>
                      <w:marBottom w:val="0"/>
                      <w:divBdr>
                        <w:top w:val="none" w:sz="0" w:space="0" w:color="auto"/>
                        <w:left w:val="none" w:sz="0" w:space="0" w:color="auto"/>
                        <w:bottom w:val="none" w:sz="0" w:space="0" w:color="auto"/>
                        <w:right w:val="none" w:sz="0" w:space="0" w:color="auto"/>
                      </w:divBdr>
                    </w:div>
                  </w:divsChild>
                </w:div>
                <w:div w:id="2121027458">
                  <w:marLeft w:val="0"/>
                  <w:marRight w:val="0"/>
                  <w:marTop w:val="0"/>
                  <w:marBottom w:val="0"/>
                  <w:divBdr>
                    <w:top w:val="none" w:sz="0" w:space="0" w:color="auto"/>
                    <w:left w:val="none" w:sz="0" w:space="0" w:color="auto"/>
                    <w:bottom w:val="none" w:sz="0" w:space="0" w:color="auto"/>
                    <w:right w:val="none" w:sz="0" w:space="0" w:color="auto"/>
                  </w:divBdr>
                  <w:divsChild>
                    <w:div w:id="677394165">
                      <w:marLeft w:val="0"/>
                      <w:marRight w:val="0"/>
                      <w:marTop w:val="0"/>
                      <w:marBottom w:val="0"/>
                      <w:divBdr>
                        <w:top w:val="none" w:sz="0" w:space="0" w:color="auto"/>
                        <w:left w:val="none" w:sz="0" w:space="0" w:color="auto"/>
                        <w:bottom w:val="none" w:sz="0" w:space="0" w:color="auto"/>
                        <w:right w:val="none" w:sz="0" w:space="0" w:color="auto"/>
                      </w:divBdr>
                    </w:div>
                  </w:divsChild>
                </w:div>
                <w:div w:id="2123575946">
                  <w:marLeft w:val="0"/>
                  <w:marRight w:val="0"/>
                  <w:marTop w:val="0"/>
                  <w:marBottom w:val="0"/>
                  <w:divBdr>
                    <w:top w:val="none" w:sz="0" w:space="0" w:color="auto"/>
                    <w:left w:val="none" w:sz="0" w:space="0" w:color="auto"/>
                    <w:bottom w:val="none" w:sz="0" w:space="0" w:color="auto"/>
                    <w:right w:val="none" w:sz="0" w:space="0" w:color="auto"/>
                  </w:divBdr>
                  <w:divsChild>
                    <w:div w:id="670259443">
                      <w:marLeft w:val="0"/>
                      <w:marRight w:val="0"/>
                      <w:marTop w:val="0"/>
                      <w:marBottom w:val="0"/>
                      <w:divBdr>
                        <w:top w:val="none" w:sz="0" w:space="0" w:color="auto"/>
                        <w:left w:val="none" w:sz="0" w:space="0" w:color="auto"/>
                        <w:bottom w:val="none" w:sz="0" w:space="0" w:color="auto"/>
                        <w:right w:val="none" w:sz="0" w:space="0" w:color="auto"/>
                      </w:divBdr>
                    </w:div>
                  </w:divsChild>
                </w:div>
                <w:div w:id="2125151987">
                  <w:marLeft w:val="0"/>
                  <w:marRight w:val="0"/>
                  <w:marTop w:val="0"/>
                  <w:marBottom w:val="0"/>
                  <w:divBdr>
                    <w:top w:val="none" w:sz="0" w:space="0" w:color="auto"/>
                    <w:left w:val="none" w:sz="0" w:space="0" w:color="auto"/>
                    <w:bottom w:val="none" w:sz="0" w:space="0" w:color="auto"/>
                    <w:right w:val="none" w:sz="0" w:space="0" w:color="auto"/>
                  </w:divBdr>
                  <w:divsChild>
                    <w:div w:id="194660824">
                      <w:marLeft w:val="0"/>
                      <w:marRight w:val="0"/>
                      <w:marTop w:val="0"/>
                      <w:marBottom w:val="0"/>
                      <w:divBdr>
                        <w:top w:val="none" w:sz="0" w:space="0" w:color="auto"/>
                        <w:left w:val="none" w:sz="0" w:space="0" w:color="auto"/>
                        <w:bottom w:val="none" w:sz="0" w:space="0" w:color="auto"/>
                        <w:right w:val="none" w:sz="0" w:space="0" w:color="auto"/>
                      </w:divBdr>
                    </w:div>
                  </w:divsChild>
                </w:div>
                <w:div w:id="2145347389">
                  <w:marLeft w:val="0"/>
                  <w:marRight w:val="0"/>
                  <w:marTop w:val="0"/>
                  <w:marBottom w:val="0"/>
                  <w:divBdr>
                    <w:top w:val="none" w:sz="0" w:space="0" w:color="auto"/>
                    <w:left w:val="none" w:sz="0" w:space="0" w:color="auto"/>
                    <w:bottom w:val="none" w:sz="0" w:space="0" w:color="auto"/>
                    <w:right w:val="none" w:sz="0" w:space="0" w:color="auto"/>
                  </w:divBdr>
                  <w:divsChild>
                    <w:div w:id="212012513">
                      <w:marLeft w:val="0"/>
                      <w:marRight w:val="0"/>
                      <w:marTop w:val="0"/>
                      <w:marBottom w:val="0"/>
                      <w:divBdr>
                        <w:top w:val="none" w:sz="0" w:space="0" w:color="auto"/>
                        <w:left w:val="none" w:sz="0" w:space="0" w:color="auto"/>
                        <w:bottom w:val="none" w:sz="0" w:space="0" w:color="auto"/>
                        <w:right w:val="none" w:sz="0" w:space="0" w:color="auto"/>
                      </w:divBdr>
                    </w:div>
                  </w:divsChild>
                </w:div>
                <w:div w:id="2145416756">
                  <w:marLeft w:val="0"/>
                  <w:marRight w:val="0"/>
                  <w:marTop w:val="0"/>
                  <w:marBottom w:val="0"/>
                  <w:divBdr>
                    <w:top w:val="none" w:sz="0" w:space="0" w:color="auto"/>
                    <w:left w:val="none" w:sz="0" w:space="0" w:color="auto"/>
                    <w:bottom w:val="none" w:sz="0" w:space="0" w:color="auto"/>
                    <w:right w:val="none" w:sz="0" w:space="0" w:color="auto"/>
                  </w:divBdr>
                  <w:divsChild>
                    <w:div w:id="16320471">
                      <w:marLeft w:val="0"/>
                      <w:marRight w:val="0"/>
                      <w:marTop w:val="0"/>
                      <w:marBottom w:val="0"/>
                      <w:divBdr>
                        <w:top w:val="none" w:sz="0" w:space="0" w:color="auto"/>
                        <w:left w:val="none" w:sz="0" w:space="0" w:color="auto"/>
                        <w:bottom w:val="none" w:sz="0" w:space="0" w:color="auto"/>
                        <w:right w:val="none" w:sz="0" w:space="0" w:color="auto"/>
                      </w:divBdr>
                    </w:div>
                    <w:div w:id="22292922">
                      <w:marLeft w:val="0"/>
                      <w:marRight w:val="0"/>
                      <w:marTop w:val="0"/>
                      <w:marBottom w:val="0"/>
                      <w:divBdr>
                        <w:top w:val="none" w:sz="0" w:space="0" w:color="auto"/>
                        <w:left w:val="none" w:sz="0" w:space="0" w:color="auto"/>
                        <w:bottom w:val="none" w:sz="0" w:space="0" w:color="auto"/>
                        <w:right w:val="none" w:sz="0" w:space="0" w:color="auto"/>
                      </w:divBdr>
                    </w:div>
                    <w:div w:id="171529564">
                      <w:marLeft w:val="0"/>
                      <w:marRight w:val="0"/>
                      <w:marTop w:val="0"/>
                      <w:marBottom w:val="0"/>
                      <w:divBdr>
                        <w:top w:val="none" w:sz="0" w:space="0" w:color="auto"/>
                        <w:left w:val="none" w:sz="0" w:space="0" w:color="auto"/>
                        <w:bottom w:val="none" w:sz="0" w:space="0" w:color="auto"/>
                        <w:right w:val="none" w:sz="0" w:space="0" w:color="auto"/>
                      </w:divBdr>
                    </w:div>
                    <w:div w:id="187571786">
                      <w:marLeft w:val="0"/>
                      <w:marRight w:val="0"/>
                      <w:marTop w:val="0"/>
                      <w:marBottom w:val="0"/>
                      <w:divBdr>
                        <w:top w:val="none" w:sz="0" w:space="0" w:color="auto"/>
                        <w:left w:val="none" w:sz="0" w:space="0" w:color="auto"/>
                        <w:bottom w:val="none" w:sz="0" w:space="0" w:color="auto"/>
                        <w:right w:val="none" w:sz="0" w:space="0" w:color="auto"/>
                      </w:divBdr>
                    </w:div>
                    <w:div w:id="315497856">
                      <w:marLeft w:val="0"/>
                      <w:marRight w:val="0"/>
                      <w:marTop w:val="0"/>
                      <w:marBottom w:val="0"/>
                      <w:divBdr>
                        <w:top w:val="none" w:sz="0" w:space="0" w:color="auto"/>
                        <w:left w:val="none" w:sz="0" w:space="0" w:color="auto"/>
                        <w:bottom w:val="none" w:sz="0" w:space="0" w:color="auto"/>
                        <w:right w:val="none" w:sz="0" w:space="0" w:color="auto"/>
                      </w:divBdr>
                    </w:div>
                    <w:div w:id="562183754">
                      <w:marLeft w:val="0"/>
                      <w:marRight w:val="0"/>
                      <w:marTop w:val="0"/>
                      <w:marBottom w:val="0"/>
                      <w:divBdr>
                        <w:top w:val="none" w:sz="0" w:space="0" w:color="auto"/>
                        <w:left w:val="none" w:sz="0" w:space="0" w:color="auto"/>
                        <w:bottom w:val="none" w:sz="0" w:space="0" w:color="auto"/>
                        <w:right w:val="none" w:sz="0" w:space="0" w:color="auto"/>
                      </w:divBdr>
                    </w:div>
                    <w:div w:id="573781439">
                      <w:marLeft w:val="0"/>
                      <w:marRight w:val="0"/>
                      <w:marTop w:val="0"/>
                      <w:marBottom w:val="0"/>
                      <w:divBdr>
                        <w:top w:val="none" w:sz="0" w:space="0" w:color="auto"/>
                        <w:left w:val="none" w:sz="0" w:space="0" w:color="auto"/>
                        <w:bottom w:val="none" w:sz="0" w:space="0" w:color="auto"/>
                        <w:right w:val="none" w:sz="0" w:space="0" w:color="auto"/>
                      </w:divBdr>
                    </w:div>
                    <w:div w:id="933710280">
                      <w:marLeft w:val="0"/>
                      <w:marRight w:val="0"/>
                      <w:marTop w:val="0"/>
                      <w:marBottom w:val="0"/>
                      <w:divBdr>
                        <w:top w:val="none" w:sz="0" w:space="0" w:color="auto"/>
                        <w:left w:val="none" w:sz="0" w:space="0" w:color="auto"/>
                        <w:bottom w:val="none" w:sz="0" w:space="0" w:color="auto"/>
                        <w:right w:val="none" w:sz="0" w:space="0" w:color="auto"/>
                      </w:divBdr>
                    </w:div>
                    <w:div w:id="1022584869">
                      <w:marLeft w:val="0"/>
                      <w:marRight w:val="0"/>
                      <w:marTop w:val="0"/>
                      <w:marBottom w:val="0"/>
                      <w:divBdr>
                        <w:top w:val="none" w:sz="0" w:space="0" w:color="auto"/>
                        <w:left w:val="none" w:sz="0" w:space="0" w:color="auto"/>
                        <w:bottom w:val="none" w:sz="0" w:space="0" w:color="auto"/>
                        <w:right w:val="none" w:sz="0" w:space="0" w:color="auto"/>
                      </w:divBdr>
                    </w:div>
                    <w:div w:id="1105464335">
                      <w:marLeft w:val="0"/>
                      <w:marRight w:val="0"/>
                      <w:marTop w:val="0"/>
                      <w:marBottom w:val="0"/>
                      <w:divBdr>
                        <w:top w:val="none" w:sz="0" w:space="0" w:color="auto"/>
                        <w:left w:val="none" w:sz="0" w:space="0" w:color="auto"/>
                        <w:bottom w:val="none" w:sz="0" w:space="0" w:color="auto"/>
                        <w:right w:val="none" w:sz="0" w:space="0" w:color="auto"/>
                      </w:divBdr>
                    </w:div>
                    <w:div w:id="1155143191">
                      <w:marLeft w:val="0"/>
                      <w:marRight w:val="0"/>
                      <w:marTop w:val="0"/>
                      <w:marBottom w:val="0"/>
                      <w:divBdr>
                        <w:top w:val="none" w:sz="0" w:space="0" w:color="auto"/>
                        <w:left w:val="none" w:sz="0" w:space="0" w:color="auto"/>
                        <w:bottom w:val="none" w:sz="0" w:space="0" w:color="auto"/>
                        <w:right w:val="none" w:sz="0" w:space="0" w:color="auto"/>
                      </w:divBdr>
                    </w:div>
                    <w:div w:id="1213810439">
                      <w:marLeft w:val="0"/>
                      <w:marRight w:val="0"/>
                      <w:marTop w:val="0"/>
                      <w:marBottom w:val="0"/>
                      <w:divBdr>
                        <w:top w:val="none" w:sz="0" w:space="0" w:color="auto"/>
                        <w:left w:val="none" w:sz="0" w:space="0" w:color="auto"/>
                        <w:bottom w:val="none" w:sz="0" w:space="0" w:color="auto"/>
                        <w:right w:val="none" w:sz="0" w:space="0" w:color="auto"/>
                      </w:divBdr>
                    </w:div>
                    <w:div w:id="1344437442">
                      <w:marLeft w:val="0"/>
                      <w:marRight w:val="0"/>
                      <w:marTop w:val="0"/>
                      <w:marBottom w:val="0"/>
                      <w:divBdr>
                        <w:top w:val="none" w:sz="0" w:space="0" w:color="auto"/>
                        <w:left w:val="none" w:sz="0" w:space="0" w:color="auto"/>
                        <w:bottom w:val="none" w:sz="0" w:space="0" w:color="auto"/>
                        <w:right w:val="none" w:sz="0" w:space="0" w:color="auto"/>
                      </w:divBdr>
                    </w:div>
                    <w:div w:id="1398480909">
                      <w:marLeft w:val="0"/>
                      <w:marRight w:val="0"/>
                      <w:marTop w:val="0"/>
                      <w:marBottom w:val="0"/>
                      <w:divBdr>
                        <w:top w:val="none" w:sz="0" w:space="0" w:color="auto"/>
                        <w:left w:val="none" w:sz="0" w:space="0" w:color="auto"/>
                        <w:bottom w:val="none" w:sz="0" w:space="0" w:color="auto"/>
                        <w:right w:val="none" w:sz="0" w:space="0" w:color="auto"/>
                      </w:divBdr>
                    </w:div>
                    <w:div w:id="1522933676">
                      <w:marLeft w:val="0"/>
                      <w:marRight w:val="0"/>
                      <w:marTop w:val="0"/>
                      <w:marBottom w:val="0"/>
                      <w:divBdr>
                        <w:top w:val="none" w:sz="0" w:space="0" w:color="auto"/>
                        <w:left w:val="none" w:sz="0" w:space="0" w:color="auto"/>
                        <w:bottom w:val="none" w:sz="0" w:space="0" w:color="auto"/>
                        <w:right w:val="none" w:sz="0" w:space="0" w:color="auto"/>
                      </w:divBdr>
                    </w:div>
                  </w:divsChild>
                </w:div>
                <w:div w:id="2146582987">
                  <w:marLeft w:val="0"/>
                  <w:marRight w:val="0"/>
                  <w:marTop w:val="0"/>
                  <w:marBottom w:val="0"/>
                  <w:divBdr>
                    <w:top w:val="none" w:sz="0" w:space="0" w:color="auto"/>
                    <w:left w:val="none" w:sz="0" w:space="0" w:color="auto"/>
                    <w:bottom w:val="none" w:sz="0" w:space="0" w:color="auto"/>
                    <w:right w:val="none" w:sz="0" w:space="0" w:color="auto"/>
                  </w:divBdr>
                  <w:divsChild>
                    <w:div w:id="63768426">
                      <w:marLeft w:val="0"/>
                      <w:marRight w:val="0"/>
                      <w:marTop w:val="0"/>
                      <w:marBottom w:val="0"/>
                      <w:divBdr>
                        <w:top w:val="none" w:sz="0" w:space="0" w:color="auto"/>
                        <w:left w:val="none" w:sz="0" w:space="0" w:color="auto"/>
                        <w:bottom w:val="none" w:sz="0" w:space="0" w:color="auto"/>
                        <w:right w:val="none" w:sz="0" w:space="0" w:color="auto"/>
                      </w:divBdr>
                    </w:div>
                  </w:divsChild>
                </w:div>
                <w:div w:id="2146845265">
                  <w:marLeft w:val="0"/>
                  <w:marRight w:val="0"/>
                  <w:marTop w:val="0"/>
                  <w:marBottom w:val="0"/>
                  <w:divBdr>
                    <w:top w:val="none" w:sz="0" w:space="0" w:color="auto"/>
                    <w:left w:val="none" w:sz="0" w:space="0" w:color="auto"/>
                    <w:bottom w:val="none" w:sz="0" w:space="0" w:color="auto"/>
                    <w:right w:val="none" w:sz="0" w:space="0" w:color="auto"/>
                  </w:divBdr>
                  <w:divsChild>
                    <w:div w:id="1481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74936">
          <w:marLeft w:val="0"/>
          <w:marRight w:val="0"/>
          <w:marTop w:val="0"/>
          <w:marBottom w:val="0"/>
          <w:divBdr>
            <w:top w:val="none" w:sz="0" w:space="0" w:color="auto"/>
            <w:left w:val="none" w:sz="0" w:space="0" w:color="auto"/>
            <w:bottom w:val="none" w:sz="0" w:space="0" w:color="auto"/>
            <w:right w:val="none" w:sz="0" w:space="0" w:color="auto"/>
          </w:divBdr>
        </w:div>
      </w:divsChild>
    </w:div>
    <w:div w:id="1385065350">
      <w:bodyDiv w:val="1"/>
      <w:marLeft w:val="0"/>
      <w:marRight w:val="0"/>
      <w:marTop w:val="0"/>
      <w:marBottom w:val="0"/>
      <w:divBdr>
        <w:top w:val="none" w:sz="0" w:space="0" w:color="auto"/>
        <w:left w:val="none" w:sz="0" w:space="0" w:color="auto"/>
        <w:bottom w:val="none" w:sz="0" w:space="0" w:color="auto"/>
        <w:right w:val="none" w:sz="0" w:space="0" w:color="auto"/>
      </w:divBdr>
      <w:divsChild>
        <w:div w:id="553124236">
          <w:marLeft w:val="0"/>
          <w:marRight w:val="0"/>
          <w:marTop w:val="0"/>
          <w:marBottom w:val="0"/>
          <w:divBdr>
            <w:top w:val="none" w:sz="0" w:space="0" w:color="auto"/>
            <w:left w:val="none" w:sz="0" w:space="0" w:color="auto"/>
            <w:bottom w:val="none" w:sz="0" w:space="0" w:color="auto"/>
            <w:right w:val="none" w:sz="0" w:space="0" w:color="auto"/>
          </w:divBdr>
        </w:div>
        <w:div w:id="721371009">
          <w:marLeft w:val="0"/>
          <w:marRight w:val="0"/>
          <w:marTop w:val="0"/>
          <w:marBottom w:val="0"/>
          <w:divBdr>
            <w:top w:val="none" w:sz="0" w:space="0" w:color="auto"/>
            <w:left w:val="none" w:sz="0" w:space="0" w:color="auto"/>
            <w:bottom w:val="none" w:sz="0" w:space="0" w:color="auto"/>
            <w:right w:val="none" w:sz="0" w:space="0" w:color="auto"/>
          </w:divBdr>
        </w:div>
        <w:div w:id="1229615423">
          <w:marLeft w:val="0"/>
          <w:marRight w:val="0"/>
          <w:marTop w:val="0"/>
          <w:marBottom w:val="0"/>
          <w:divBdr>
            <w:top w:val="none" w:sz="0" w:space="0" w:color="auto"/>
            <w:left w:val="none" w:sz="0" w:space="0" w:color="auto"/>
            <w:bottom w:val="none" w:sz="0" w:space="0" w:color="auto"/>
            <w:right w:val="none" w:sz="0" w:space="0" w:color="auto"/>
          </w:divBdr>
          <w:divsChild>
            <w:div w:id="1576238918">
              <w:marLeft w:val="-75"/>
              <w:marRight w:val="0"/>
              <w:marTop w:val="30"/>
              <w:marBottom w:val="30"/>
              <w:divBdr>
                <w:top w:val="none" w:sz="0" w:space="0" w:color="auto"/>
                <w:left w:val="none" w:sz="0" w:space="0" w:color="auto"/>
                <w:bottom w:val="none" w:sz="0" w:space="0" w:color="auto"/>
                <w:right w:val="none" w:sz="0" w:space="0" w:color="auto"/>
              </w:divBdr>
              <w:divsChild>
                <w:div w:id="6567536">
                  <w:marLeft w:val="0"/>
                  <w:marRight w:val="0"/>
                  <w:marTop w:val="0"/>
                  <w:marBottom w:val="0"/>
                  <w:divBdr>
                    <w:top w:val="none" w:sz="0" w:space="0" w:color="auto"/>
                    <w:left w:val="none" w:sz="0" w:space="0" w:color="auto"/>
                    <w:bottom w:val="none" w:sz="0" w:space="0" w:color="auto"/>
                    <w:right w:val="none" w:sz="0" w:space="0" w:color="auto"/>
                  </w:divBdr>
                  <w:divsChild>
                    <w:div w:id="324482252">
                      <w:marLeft w:val="0"/>
                      <w:marRight w:val="0"/>
                      <w:marTop w:val="0"/>
                      <w:marBottom w:val="0"/>
                      <w:divBdr>
                        <w:top w:val="none" w:sz="0" w:space="0" w:color="auto"/>
                        <w:left w:val="none" w:sz="0" w:space="0" w:color="auto"/>
                        <w:bottom w:val="none" w:sz="0" w:space="0" w:color="auto"/>
                        <w:right w:val="none" w:sz="0" w:space="0" w:color="auto"/>
                      </w:divBdr>
                    </w:div>
                  </w:divsChild>
                </w:div>
                <w:div w:id="13966657">
                  <w:marLeft w:val="0"/>
                  <w:marRight w:val="0"/>
                  <w:marTop w:val="0"/>
                  <w:marBottom w:val="0"/>
                  <w:divBdr>
                    <w:top w:val="none" w:sz="0" w:space="0" w:color="auto"/>
                    <w:left w:val="none" w:sz="0" w:space="0" w:color="auto"/>
                    <w:bottom w:val="none" w:sz="0" w:space="0" w:color="auto"/>
                    <w:right w:val="none" w:sz="0" w:space="0" w:color="auto"/>
                  </w:divBdr>
                  <w:divsChild>
                    <w:div w:id="1521430144">
                      <w:marLeft w:val="0"/>
                      <w:marRight w:val="0"/>
                      <w:marTop w:val="0"/>
                      <w:marBottom w:val="0"/>
                      <w:divBdr>
                        <w:top w:val="none" w:sz="0" w:space="0" w:color="auto"/>
                        <w:left w:val="none" w:sz="0" w:space="0" w:color="auto"/>
                        <w:bottom w:val="none" w:sz="0" w:space="0" w:color="auto"/>
                        <w:right w:val="none" w:sz="0" w:space="0" w:color="auto"/>
                      </w:divBdr>
                    </w:div>
                  </w:divsChild>
                </w:div>
                <w:div w:id="14892947">
                  <w:marLeft w:val="0"/>
                  <w:marRight w:val="0"/>
                  <w:marTop w:val="0"/>
                  <w:marBottom w:val="0"/>
                  <w:divBdr>
                    <w:top w:val="none" w:sz="0" w:space="0" w:color="auto"/>
                    <w:left w:val="none" w:sz="0" w:space="0" w:color="auto"/>
                    <w:bottom w:val="none" w:sz="0" w:space="0" w:color="auto"/>
                    <w:right w:val="none" w:sz="0" w:space="0" w:color="auto"/>
                  </w:divBdr>
                  <w:divsChild>
                    <w:div w:id="698942244">
                      <w:marLeft w:val="0"/>
                      <w:marRight w:val="0"/>
                      <w:marTop w:val="0"/>
                      <w:marBottom w:val="0"/>
                      <w:divBdr>
                        <w:top w:val="none" w:sz="0" w:space="0" w:color="auto"/>
                        <w:left w:val="none" w:sz="0" w:space="0" w:color="auto"/>
                        <w:bottom w:val="none" w:sz="0" w:space="0" w:color="auto"/>
                        <w:right w:val="none" w:sz="0" w:space="0" w:color="auto"/>
                      </w:divBdr>
                    </w:div>
                  </w:divsChild>
                </w:div>
                <w:div w:id="37779278">
                  <w:marLeft w:val="0"/>
                  <w:marRight w:val="0"/>
                  <w:marTop w:val="0"/>
                  <w:marBottom w:val="0"/>
                  <w:divBdr>
                    <w:top w:val="none" w:sz="0" w:space="0" w:color="auto"/>
                    <w:left w:val="none" w:sz="0" w:space="0" w:color="auto"/>
                    <w:bottom w:val="none" w:sz="0" w:space="0" w:color="auto"/>
                    <w:right w:val="none" w:sz="0" w:space="0" w:color="auto"/>
                  </w:divBdr>
                  <w:divsChild>
                    <w:div w:id="912157033">
                      <w:marLeft w:val="0"/>
                      <w:marRight w:val="0"/>
                      <w:marTop w:val="0"/>
                      <w:marBottom w:val="0"/>
                      <w:divBdr>
                        <w:top w:val="none" w:sz="0" w:space="0" w:color="auto"/>
                        <w:left w:val="none" w:sz="0" w:space="0" w:color="auto"/>
                        <w:bottom w:val="none" w:sz="0" w:space="0" w:color="auto"/>
                        <w:right w:val="none" w:sz="0" w:space="0" w:color="auto"/>
                      </w:divBdr>
                    </w:div>
                  </w:divsChild>
                </w:div>
                <w:div w:id="43604162">
                  <w:marLeft w:val="0"/>
                  <w:marRight w:val="0"/>
                  <w:marTop w:val="0"/>
                  <w:marBottom w:val="0"/>
                  <w:divBdr>
                    <w:top w:val="none" w:sz="0" w:space="0" w:color="auto"/>
                    <w:left w:val="none" w:sz="0" w:space="0" w:color="auto"/>
                    <w:bottom w:val="none" w:sz="0" w:space="0" w:color="auto"/>
                    <w:right w:val="none" w:sz="0" w:space="0" w:color="auto"/>
                  </w:divBdr>
                  <w:divsChild>
                    <w:div w:id="128666436">
                      <w:marLeft w:val="0"/>
                      <w:marRight w:val="0"/>
                      <w:marTop w:val="0"/>
                      <w:marBottom w:val="0"/>
                      <w:divBdr>
                        <w:top w:val="none" w:sz="0" w:space="0" w:color="auto"/>
                        <w:left w:val="none" w:sz="0" w:space="0" w:color="auto"/>
                        <w:bottom w:val="none" w:sz="0" w:space="0" w:color="auto"/>
                        <w:right w:val="none" w:sz="0" w:space="0" w:color="auto"/>
                      </w:divBdr>
                    </w:div>
                  </w:divsChild>
                </w:div>
                <w:div w:id="50928534">
                  <w:marLeft w:val="0"/>
                  <w:marRight w:val="0"/>
                  <w:marTop w:val="0"/>
                  <w:marBottom w:val="0"/>
                  <w:divBdr>
                    <w:top w:val="none" w:sz="0" w:space="0" w:color="auto"/>
                    <w:left w:val="none" w:sz="0" w:space="0" w:color="auto"/>
                    <w:bottom w:val="none" w:sz="0" w:space="0" w:color="auto"/>
                    <w:right w:val="none" w:sz="0" w:space="0" w:color="auto"/>
                  </w:divBdr>
                  <w:divsChild>
                    <w:div w:id="1692875780">
                      <w:marLeft w:val="0"/>
                      <w:marRight w:val="0"/>
                      <w:marTop w:val="0"/>
                      <w:marBottom w:val="0"/>
                      <w:divBdr>
                        <w:top w:val="none" w:sz="0" w:space="0" w:color="auto"/>
                        <w:left w:val="none" w:sz="0" w:space="0" w:color="auto"/>
                        <w:bottom w:val="none" w:sz="0" w:space="0" w:color="auto"/>
                        <w:right w:val="none" w:sz="0" w:space="0" w:color="auto"/>
                      </w:divBdr>
                    </w:div>
                  </w:divsChild>
                </w:div>
                <w:div w:id="77799078">
                  <w:marLeft w:val="0"/>
                  <w:marRight w:val="0"/>
                  <w:marTop w:val="0"/>
                  <w:marBottom w:val="0"/>
                  <w:divBdr>
                    <w:top w:val="none" w:sz="0" w:space="0" w:color="auto"/>
                    <w:left w:val="none" w:sz="0" w:space="0" w:color="auto"/>
                    <w:bottom w:val="none" w:sz="0" w:space="0" w:color="auto"/>
                    <w:right w:val="none" w:sz="0" w:space="0" w:color="auto"/>
                  </w:divBdr>
                  <w:divsChild>
                    <w:div w:id="1562326787">
                      <w:marLeft w:val="0"/>
                      <w:marRight w:val="0"/>
                      <w:marTop w:val="0"/>
                      <w:marBottom w:val="0"/>
                      <w:divBdr>
                        <w:top w:val="none" w:sz="0" w:space="0" w:color="auto"/>
                        <w:left w:val="none" w:sz="0" w:space="0" w:color="auto"/>
                        <w:bottom w:val="none" w:sz="0" w:space="0" w:color="auto"/>
                        <w:right w:val="none" w:sz="0" w:space="0" w:color="auto"/>
                      </w:divBdr>
                    </w:div>
                  </w:divsChild>
                </w:div>
                <w:div w:id="78841258">
                  <w:marLeft w:val="0"/>
                  <w:marRight w:val="0"/>
                  <w:marTop w:val="0"/>
                  <w:marBottom w:val="0"/>
                  <w:divBdr>
                    <w:top w:val="none" w:sz="0" w:space="0" w:color="auto"/>
                    <w:left w:val="none" w:sz="0" w:space="0" w:color="auto"/>
                    <w:bottom w:val="none" w:sz="0" w:space="0" w:color="auto"/>
                    <w:right w:val="none" w:sz="0" w:space="0" w:color="auto"/>
                  </w:divBdr>
                  <w:divsChild>
                    <w:div w:id="1839228792">
                      <w:marLeft w:val="0"/>
                      <w:marRight w:val="0"/>
                      <w:marTop w:val="0"/>
                      <w:marBottom w:val="0"/>
                      <w:divBdr>
                        <w:top w:val="none" w:sz="0" w:space="0" w:color="auto"/>
                        <w:left w:val="none" w:sz="0" w:space="0" w:color="auto"/>
                        <w:bottom w:val="none" w:sz="0" w:space="0" w:color="auto"/>
                        <w:right w:val="none" w:sz="0" w:space="0" w:color="auto"/>
                      </w:divBdr>
                    </w:div>
                  </w:divsChild>
                </w:div>
                <w:div w:id="129396883">
                  <w:marLeft w:val="0"/>
                  <w:marRight w:val="0"/>
                  <w:marTop w:val="0"/>
                  <w:marBottom w:val="0"/>
                  <w:divBdr>
                    <w:top w:val="none" w:sz="0" w:space="0" w:color="auto"/>
                    <w:left w:val="none" w:sz="0" w:space="0" w:color="auto"/>
                    <w:bottom w:val="none" w:sz="0" w:space="0" w:color="auto"/>
                    <w:right w:val="none" w:sz="0" w:space="0" w:color="auto"/>
                  </w:divBdr>
                  <w:divsChild>
                    <w:div w:id="545876706">
                      <w:marLeft w:val="0"/>
                      <w:marRight w:val="0"/>
                      <w:marTop w:val="0"/>
                      <w:marBottom w:val="0"/>
                      <w:divBdr>
                        <w:top w:val="none" w:sz="0" w:space="0" w:color="auto"/>
                        <w:left w:val="none" w:sz="0" w:space="0" w:color="auto"/>
                        <w:bottom w:val="none" w:sz="0" w:space="0" w:color="auto"/>
                        <w:right w:val="none" w:sz="0" w:space="0" w:color="auto"/>
                      </w:divBdr>
                    </w:div>
                  </w:divsChild>
                </w:div>
                <w:div w:id="159583652">
                  <w:marLeft w:val="0"/>
                  <w:marRight w:val="0"/>
                  <w:marTop w:val="0"/>
                  <w:marBottom w:val="0"/>
                  <w:divBdr>
                    <w:top w:val="none" w:sz="0" w:space="0" w:color="auto"/>
                    <w:left w:val="none" w:sz="0" w:space="0" w:color="auto"/>
                    <w:bottom w:val="none" w:sz="0" w:space="0" w:color="auto"/>
                    <w:right w:val="none" w:sz="0" w:space="0" w:color="auto"/>
                  </w:divBdr>
                  <w:divsChild>
                    <w:div w:id="954557447">
                      <w:marLeft w:val="0"/>
                      <w:marRight w:val="0"/>
                      <w:marTop w:val="0"/>
                      <w:marBottom w:val="0"/>
                      <w:divBdr>
                        <w:top w:val="none" w:sz="0" w:space="0" w:color="auto"/>
                        <w:left w:val="none" w:sz="0" w:space="0" w:color="auto"/>
                        <w:bottom w:val="none" w:sz="0" w:space="0" w:color="auto"/>
                        <w:right w:val="none" w:sz="0" w:space="0" w:color="auto"/>
                      </w:divBdr>
                    </w:div>
                  </w:divsChild>
                </w:div>
                <w:div w:id="161897148">
                  <w:marLeft w:val="0"/>
                  <w:marRight w:val="0"/>
                  <w:marTop w:val="0"/>
                  <w:marBottom w:val="0"/>
                  <w:divBdr>
                    <w:top w:val="none" w:sz="0" w:space="0" w:color="auto"/>
                    <w:left w:val="none" w:sz="0" w:space="0" w:color="auto"/>
                    <w:bottom w:val="none" w:sz="0" w:space="0" w:color="auto"/>
                    <w:right w:val="none" w:sz="0" w:space="0" w:color="auto"/>
                  </w:divBdr>
                  <w:divsChild>
                    <w:div w:id="270285778">
                      <w:marLeft w:val="0"/>
                      <w:marRight w:val="0"/>
                      <w:marTop w:val="0"/>
                      <w:marBottom w:val="0"/>
                      <w:divBdr>
                        <w:top w:val="none" w:sz="0" w:space="0" w:color="auto"/>
                        <w:left w:val="none" w:sz="0" w:space="0" w:color="auto"/>
                        <w:bottom w:val="none" w:sz="0" w:space="0" w:color="auto"/>
                        <w:right w:val="none" w:sz="0" w:space="0" w:color="auto"/>
                      </w:divBdr>
                    </w:div>
                  </w:divsChild>
                </w:div>
                <w:div w:id="177740364">
                  <w:marLeft w:val="0"/>
                  <w:marRight w:val="0"/>
                  <w:marTop w:val="0"/>
                  <w:marBottom w:val="0"/>
                  <w:divBdr>
                    <w:top w:val="none" w:sz="0" w:space="0" w:color="auto"/>
                    <w:left w:val="none" w:sz="0" w:space="0" w:color="auto"/>
                    <w:bottom w:val="none" w:sz="0" w:space="0" w:color="auto"/>
                    <w:right w:val="none" w:sz="0" w:space="0" w:color="auto"/>
                  </w:divBdr>
                  <w:divsChild>
                    <w:div w:id="1400787687">
                      <w:marLeft w:val="0"/>
                      <w:marRight w:val="0"/>
                      <w:marTop w:val="0"/>
                      <w:marBottom w:val="0"/>
                      <w:divBdr>
                        <w:top w:val="none" w:sz="0" w:space="0" w:color="auto"/>
                        <w:left w:val="none" w:sz="0" w:space="0" w:color="auto"/>
                        <w:bottom w:val="none" w:sz="0" w:space="0" w:color="auto"/>
                        <w:right w:val="none" w:sz="0" w:space="0" w:color="auto"/>
                      </w:divBdr>
                    </w:div>
                  </w:divsChild>
                </w:div>
                <w:div w:id="185339759">
                  <w:marLeft w:val="0"/>
                  <w:marRight w:val="0"/>
                  <w:marTop w:val="0"/>
                  <w:marBottom w:val="0"/>
                  <w:divBdr>
                    <w:top w:val="none" w:sz="0" w:space="0" w:color="auto"/>
                    <w:left w:val="none" w:sz="0" w:space="0" w:color="auto"/>
                    <w:bottom w:val="none" w:sz="0" w:space="0" w:color="auto"/>
                    <w:right w:val="none" w:sz="0" w:space="0" w:color="auto"/>
                  </w:divBdr>
                  <w:divsChild>
                    <w:div w:id="223874119">
                      <w:marLeft w:val="0"/>
                      <w:marRight w:val="0"/>
                      <w:marTop w:val="0"/>
                      <w:marBottom w:val="0"/>
                      <w:divBdr>
                        <w:top w:val="none" w:sz="0" w:space="0" w:color="auto"/>
                        <w:left w:val="none" w:sz="0" w:space="0" w:color="auto"/>
                        <w:bottom w:val="none" w:sz="0" w:space="0" w:color="auto"/>
                        <w:right w:val="none" w:sz="0" w:space="0" w:color="auto"/>
                      </w:divBdr>
                    </w:div>
                  </w:divsChild>
                </w:div>
                <w:div w:id="188643854">
                  <w:marLeft w:val="0"/>
                  <w:marRight w:val="0"/>
                  <w:marTop w:val="0"/>
                  <w:marBottom w:val="0"/>
                  <w:divBdr>
                    <w:top w:val="none" w:sz="0" w:space="0" w:color="auto"/>
                    <w:left w:val="none" w:sz="0" w:space="0" w:color="auto"/>
                    <w:bottom w:val="none" w:sz="0" w:space="0" w:color="auto"/>
                    <w:right w:val="none" w:sz="0" w:space="0" w:color="auto"/>
                  </w:divBdr>
                  <w:divsChild>
                    <w:div w:id="611327604">
                      <w:marLeft w:val="0"/>
                      <w:marRight w:val="0"/>
                      <w:marTop w:val="0"/>
                      <w:marBottom w:val="0"/>
                      <w:divBdr>
                        <w:top w:val="none" w:sz="0" w:space="0" w:color="auto"/>
                        <w:left w:val="none" w:sz="0" w:space="0" w:color="auto"/>
                        <w:bottom w:val="none" w:sz="0" w:space="0" w:color="auto"/>
                        <w:right w:val="none" w:sz="0" w:space="0" w:color="auto"/>
                      </w:divBdr>
                    </w:div>
                    <w:div w:id="913667519">
                      <w:marLeft w:val="0"/>
                      <w:marRight w:val="0"/>
                      <w:marTop w:val="0"/>
                      <w:marBottom w:val="0"/>
                      <w:divBdr>
                        <w:top w:val="none" w:sz="0" w:space="0" w:color="auto"/>
                        <w:left w:val="none" w:sz="0" w:space="0" w:color="auto"/>
                        <w:bottom w:val="none" w:sz="0" w:space="0" w:color="auto"/>
                        <w:right w:val="none" w:sz="0" w:space="0" w:color="auto"/>
                      </w:divBdr>
                    </w:div>
                    <w:div w:id="1227566156">
                      <w:marLeft w:val="0"/>
                      <w:marRight w:val="0"/>
                      <w:marTop w:val="0"/>
                      <w:marBottom w:val="0"/>
                      <w:divBdr>
                        <w:top w:val="none" w:sz="0" w:space="0" w:color="auto"/>
                        <w:left w:val="none" w:sz="0" w:space="0" w:color="auto"/>
                        <w:bottom w:val="none" w:sz="0" w:space="0" w:color="auto"/>
                        <w:right w:val="none" w:sz="0" w:space="0" w:color="auto"/>
                      </w:divBdr>
                    </w:div>
                    <w:div w:id="1285768154">
                      <w:marLeft w:val="0"/>
                      <w:marRight w:val="0"/>
                      <w:marTop w:val="0"/>
                      <w:marBottom w:val="0"/>
                      <w:divBdr>
                        <w:top w:val="none" w:sz="0" w:space="0" w:color="auto"/>
                        <w:left w:val="none" w:sz="0" w:space="0" w:color="auto"/>
                        <w:bottom w:val="none" w:sz="0" w:space="0" w:color="auto"/>
                        <w:right w:val="none" w:sz="0" w:space="0" w:color="auto"/>
                      </w:divBdr>
                    </w:div>
                    <w:div w:id="1301810198">
                      <w:marLeft w:val="0"/>
                      <w:marRight w:val="0"/>
                      <w:marTop w:val="0"/>
                      <w:marBottom w:val="0"/>
                      <w:divBdr>
                        <w:top w:val="none" w:sz="0" w:space="0" w:color="auto"/>
                        <w:left w:val="none" w:sz="0" w:space="0" w:color="auto"/>
                        <w:bottom w:val="none" w:sz="0" w:space="0" w:color="auto"/>
                        <w:right w:val="none" w:sz="0" w:space="0" w:color="auto"/>
                      </w:divBdr>
                    </w:div>
                    <w:div w:id="1404524410">
                      <w:marLeft w:val="0"/>
                      <w:marRight w:val="0"/>
                      <w:marTop w:val="0"/>
                      <w:marBottom w:val="0"/>
                      <w:divBdr>
                        <w:top w:val="none" w:sz="0" w:space="0" w:color="auto"/>
                        <w:left w:val="none" w:sz="0" w:space="0" w:color="auto"/>
                        <w:bottom w:val="none" w:sz="0" w:space="0" w:color="auto"/>
                        <w:right w:val="none" w:sz="0" w:space="0" w:color="auto"/>
                      </w:divBdr>
                    </w:div>
                    <w:div w:id="1974675142">
                      <w:marLeft w:val="0"/>
                      <w:marRight w:val="0"/>
                      <w:marTop w:val="0"/>
                      <w:marBottom w:val="0"/>
                      <w:divBdr>
                        <w:top w:val="none" w:sz="0" w:space="0" w:color="auto"/>
                        <w:left w:val="none" w:sz="0" w:space="0" w:color="auto"/>
                        <w:bottom w:val="none" w:sz="0" w:space="0" w:color="auto"/>
                        <w:right w:val="none" w:sz="0" w:space="0" w:color="auto"/>
                      </w:divBdr>
                    </w:div>
                  </w:divsChild>
                </w:div>
                <w:div w:id="198015523">
                  <w:marLeft w:val="0"/>
                  <w:marRight w:val="0"/>
                  <w:marTop w:val="0"/>
                  <w:marBottom w:val="0"/>
                  <w:divBdr>
                    <w:top w:val="none" w:sz="0" w:space="0" w:color="auto"/>
                    <w:left w:val="none" w:sz="0" w:space="0" w:color="auto"/>
                    <w:bottom w:val="none" w:sz="0" w:space="0" w:color="auto"/>
                    <w:right w:val="none" w:sz="0" w:space="0" w:color="auto"/>
                  </w:divBdr>
                  <w:divsChild>
                    <w:div w:id="263193834">
                      <w:marLeft w:val="0"/>
                      <w:marRight w:val="0"/>
                      <w:marTop w:val="0"/>
                      <w:marBottom w:val="0"/>
                      <w:divBdr>
                        <w:top w:val="none" w:sz="0" w:space="0" w:color="auto"/>
                        <w:left w:val="none" w:sz="0" w:space="0" w:color="auto"/>
                        <w:bottom w:val="none" w:sz="0" w:space="0" w:color="auto"/>
                        <w:right w:val="none" w:sz="0" w:space="0" w:color="auto"/>
                      </w:divBdr>
                    </w:div>
                  </w:divsChild>
                </w:div>
                <w:div w:id="205333342">
                  <w:marLeft w:val="0"/>
                  <w:marRight w:val="0"/>
                  <w:marTop w:val="0"/>
                  <w:marBottom w:val="0"/>
                  <w:divBdr>
                    <w:top w:val="none" w:sz="0" w:space="0" w:color="auto"/>
                    <w:left w:val="none" w:sz="0" w:space="0" w:color="auto"/>
                    <w:bottom w:val="none" w:sz="0" w:space="0" w:color="auto"/>
                    <w:right w:val="none" w:sz="0" w:space="0" w:color="auto"/>
                  </w:divBdr>
                  <w:divsChild>
                    <w:div w:id="503669377">
                      <w:marLeft w:val="0"/>
                      <w:marRight w:val="0"/>
                      <w:marTop w:val="0"/>
                      <w:marBottom w:val="0"/>
                      <w:divBdr>
                        <w:top w:val="none" w:sz="0" w:space="0" w:color="auto"/>
                        <w:left w:val="none" w:sz="0" w:space="0" w:color="auto"/>
                        <w:bottom w:val="none" w:sz="0" w:space="0" w:color="auto"/>
                        <w:right w:val="none" w:sz="0" w:space="0" w:color="auto"/>
                      </w:divBdr>
                    </w:div>
                  </w:divsChild>
                </w:div>
                <w:div w:id="210311495">
                  <w:marLeft w:val="0"/>
                  <w:marRight w:val="0"/>
                  <w:marTop w:val="0"/>
                  <w:marBottom w:val="0"/>
                  <w:divBdr>
                    <w:top w:val="none" w:sz="0" w:space="0" w:color="auto"/>
                    <w:left w:val="none" w:sz="0" w:space="0" w:color="auto"/>
                    <w:bottom w:val="none" w:sz="0" w:space="0" w:color="auto"/>
                    <w:right w:val="none" w:sz="0" w:space="0" w:color="auto"/>
                  </w:divBdr>
                  <w:divsChild>
                    <w:div w:id="1453204760">
                      <w:marLeft w:val="0"/>
                      <w:marRight w:val="0"/>
                      <w:marTop w:val="0"/>
                      <w:marBottom w:val="0"/>
                      <w:divBdr>
                        <w:top w:val="none" w:sz="0" w:space="0" w:color="auto"/>
                        <w:left w:val="none" w:sz="0" w:space="0" w:color="auto"/>
                        <w:bottom w:val="none" w:sz="0" w:space="0" w:color="auto"/>
                        <w:right w:val="none" w:sz="0" w:space="0" w:color="auto"/>
                      </w:divBdr>
                    </w:div>
                  </w:divsChild>
                </w:div>
                <w:div w:id="215246354">
                  <w:marLeft w:val="0"/>
                  <w:marRight w:val="0"/>
                  <w:marTop w:val="0"/>
                  <w:marBottom w:val="0"/>
                  <w:divBdr>
                    <w:top w:val="none" w:sz="0" w:space="0" w:color="auto"/>
                    <w:left w:val="none" w:sz="0" w:space="0" w:color="auto"/>
                    <w:bottom w:val="none" w:sz="0" w:space="0" w:color="auto"/>
                    <w:right w:val="none" w:sz="0" w:space="0" w:color="auto"/>
                  </w:divBdr>
                  <w:divsChild>
                    <w:div w:id="1925065284">
                      <w:marLeft w:val="0"/>
                      <w:marRight w:val="0"/>
                      <w:marTop w:val="0"/>
                      <w:marBottom w:val="0"/>
                      <w:divBdr>
                        <w:top w:val="none" w:sz="0" w:space="0" w:color="auto"/>
                        <w:left w:val="none" w:sz="0" w:space="0" w:color="auto"/>
                        <w:bottom w:val="none" w:sz="0" w:space="0" w:color="auto"/>
                        <w:right w:val="none" w:sz="0" w:space="0" w:color="auto"/>
                      </w:divBdr>
                    </w:div>
                  </w:divsChild>
                </w:div>
                <w:div w:id="240255397">
                  <w:marLeft w:val="0"/>
                  <w:marRight w:val="0"/>
                  <w:marTop w:val="0"/>
                  <w:marBottom w:val="0"/>
                  <w:divBdr>
                    <w:top w:val="none" w:sz="0" w:space="0" w:color="auto"/>
                    <w:left w:val="none" w:sz="0" w:space="0" w:color="auto"/>
                    <w:bottom w:val="none" w:sz="0" w:space="0" w:color="auto"/>
                    <w:right w:val="none" w:sz="0" w:space="0" w:color="auto"/>
                  </w:divBdr>
                  <w:divsChild>
                    <w:div w:id="145630995">
                      <w:marLeft w:val="0"/>
                      <w:marRight w:val="0"/>
                      <w:marTop w:val="0"/>
                      <w:marBottom w:val="0"/>
                      <w:divBdr>
                        <w:top w:val="none" w:sz="0" w:space="0" w:color="auto"/>
                        <w:left w:val="none" w:sz="0" w:space="0" w:color="auto"/>
                        <w:bottom w:val="none" w:sz="0" w:space="0" w:color="auto"/>
                        <w:right w:val="none" w:sz="0" w:space="0" w:color="auto"/>
                      </w:divBdr>
                    </w:div>
                  </w:divsChild>
                </w:div>
                <w:div w:id="244188875">
                  <w:marLeft w:val="0"/>
                  <w:marRight w:val="0"/>
                  <w:marTop w:val="0"/>
                  <w:marBottom w:val="0"/>
                  <w:divBdr>
                    <w:top w:val="none" w:sz="0" w:space="0" w:color="auto"/>
                    <w:left w:val="none" w:sz="0" w:space="0" w:color="auto"/>
                    <w:bottom w:val="none" w:sz="0" w:space="0" w:color="auto"/>
                    <w:right w:val="none" w:sz="0" w:space="0" w:color="auto"/>
                  </w:divBdr>
                  <w:divsChild>
                    <w:div w:id="600837204">
                      <w:marLeft w:val="0"/>
                      <w:marRight w:val="0"/>
                      <w:marTop w:val="0"/>
                      <w:marBottom w:val="0"/>
                      <w:divBdr>
                        <w:top w:val="none" w:sz="0" w:space="0" w:color="auto"/>
                        <w:left w:val="none" w:sz="0" w:space="0" w:color="auto"/>
                        <w:bottom w:val="none" w:sz="0" w:space="0" w:color="auto"/>
                        <w:right w:val="none" w:sz="0" w:space="0" w:color="auto"/>
                      </w:divBdr>
                    </w:div>
                  </w:divsChild>
                </w:div>
                <w:div w:id="258023362">
                  <w:marLeft w:val="0"/>
                  <w:marRight w:val="0"/>
                  <w:marTop w:val="0"/>
                  <w:marBottom w:val="0"/>
                  <w:divBdr>
                    <w:top w:val="none" w:sz="0" w:space="0" w:color="auto"/>
                    <w:left w:val="none" w:sz="0" w:space="0" w:color="auto"/>
                    <w:bottom w:val="none" w:sz="0" w:space="0" w:color="auto"/>
                    <w:right w:val="none" w:sz="0" w:space="0" w:color="auto"/>
                  </w:divBdr>
                  <w:divsChild>
                    <w:div w:id="42676925">
                      <w:marLeft w:val="0"/>
                      <w:marRight w:val="0"/>
                      <w:marTop w:val="0"/>
                      <w:marBottom w:val="0"/>
                      <w:divBdr>
                        <w:top w:val="none" w:sz="0" w:space="0" w:color="auto"/>
                        <w:left w:val="none" w:sz="0" w:space="0" w:color="auto"/>
                        <w:bottom w:val="none" w:sz="0" w:space="0" w:color="auto"/>
                        <w:right w:val="none" w:sz="0" w:space="0" w:color="auto"/>
                      </w:divBdr>
                    </w:div>
                  </w:divsChild>
                </w:div>
                <w:div w:id="298993695">
                  <w:marLeft w:val="0"/>
                  <w:marRight w:val="0"/>
                  <w:marTop w:val="0"/>
                  <w:marBottom w:val="0"/>
                  <w:divBdr>
                    <w:top w:val="none" w:sz="0" w:space="0" w:color="auto"/>
                    <w:left w:val="none" w:sz="0" w:space="0" w:color="auto"/>
                    <w:bottom w:val="none" w:sz="0" w:space="0" w:color="auto"/>
                    <w:right w:val="none" w:sz="0" w:space="0" w:color="auto"/>
                  </w:divBdr>
                  <w:divsChild>
                    <w:div w:id="846795914">
                      <w:marLeft w:val="0"/>
                      <w:marRight w:val="0"/>
                      <w:marTop w:val="0"/>
                      <w:marBottom w:val="0"/>
                      <w:divBdr>
                        <w:top w:val="none" w:sz="0" w:space="0" w:color="auto"/>
                        <w:left w:val="none" w:sz="0" w:space="0" w:color="auto"/>
                        <w:bottom w:val="none" w:sz="0" w:space="0" w:color="auto"/>
                        <w:right w:val="none" w:sz="0" w:space="0" w:color="auto"/>
                      </w:divBdr>
                    </w:div>
                  </w:divsChild>
                </w:div>
                <w:div w:id="301859163">
                  <w:marLeft w:val="0"/>
                  <w:marRight w:val="0"/>
                  <w:marTop w:val="0"/>
                  <w:marBottom w:val="0"/>
                  <w:divBdr>
                    <w:top w:val="none" w:sz="0" w:space="0" w:color="auto"/>
                    <w:left w:val="none" w:sz="0" w:space="0" w:color="auto"/>
                    <w:bottom w:val="none" w:sz="0" w:space="0" w:color="auto"/>
                    <w:right w:val="none" w:sz="0" w:space="0" w:color="auto"/>
                  </w:divBdr>
                  <w:divsChild>
                    <w:div w:id="1477213393">
                      <w:marLeft w:val="0"/>
                      <w:marRight w:val="0"/>
                      <w:marTop w:val="0"/>
                      <w:marBottom w:val="0"/>
                      <w:divBdr>
                        <w:top w:val="none" w:sz="0" w:space="0" w:color="auto"/>
                        <w:left w:val="none" w:sz="0" w:space="0" w:color="auto"/>
                        <w:bottom w:val="none" w:sz="0" w:space="0" w:color="auto"/>
                        <w:right w:val="none" w:sz="0" w:space="0" w:color="auto"/>
                      </w:divBdr>
                    </w:div>
                  </w:divsChild>
                </w:div>
                <w:div w:id="335571840">
                  <w:marLeft w:val="0"/>
                  <w:marRight w:val="0"/>
                  <w:marTop w:val="0"/>
                  <w:marBottom w:val="0"/>
                  <w:divBdr>
                    <w:top w:val="none" w:sz="0" w:space="0" w:color="auto"/>
                    <w:left w:val="none" w:sz="0" w:space="0" w:color="auto"/>
                    <w:bottom w:val="none" w:sz="0" w:space="0" w:color="auto"/>
                    <w:right w:val="none" w:sz="0" w:space="0" w:color="auto"/>
                  </w:divBdr>
                  <w:divsChild>
                    <w:div w:id="2123305248">
                      <w:marLeft w:val="0"/>
                      <w:marRight w:val="0"/>
                      <w:marTop w:val="0"/>
                      <w:marBottom w:val="0"/>
                      <w:divBdr>
                        <w:top w:val="none" w:sz="0" w:space="0" w:color="auto"/>
                        <w:left w:val="none" w:sz="0" w:space="0" w:color="auto"/>
                        <w:bottom w:val="none" w:sz="0" w:space="0" w:color="auto"/>
                        <w:right w:val="none" w:sz="0" w:space="0" w:color="auto"/>
                      </w:divBdr>
                    </w:div>
                  </w:divsChild>
                </w:div>
                <w:div w:id="340206968">
                  <w:marLeft w:val="0"/>
                  <w:marRight w:val="0"/>
                  <w:marTop w:val="0"/>
                  <w:marBottom w:val="0"/>
                  <w:divBdr>
                    <w:top w:val="none" w:sz="0" w:space="0" w:color="auto"/>
                    <w:left w:val="none" w:sz="0" w:space="0" w:color="auto"/>
                    <w:bottom w:val="none" w:sz="0" w:space="0" w:color="auto"/>
                    <w:right w:val="none" w:sz="0" w:space="0" w:color="auto"/>
                  </w:divBdr>
                  <w:divsChild>
                    <w:div w:id="236551774">
                      <w:marLeft w:val="0"/>
                      <w:marRight w:val="0"/>
                      <w:marTop w:val="0"/>
                      <w:marBottom w:val="0"/>
                      <w:divBdr>
                        <w:top w:val="none" w:sz="0" w:space="0" w:color="auto"/>
                        <w:left w:val="none" w:sz="0" w:space="0" w:color="auto"/>
                        <w:bottom w:val="none" w:sz="0" w:space="0" w:color="auto"/>
                        <w:right w:val="none" w:sz="0" w:space="0" w:color="auto"/>
                      </w:divBdr>
                    </w:div>
                  </w:divsChild>
                </w:div>
                <w:div w:id="367072684">
                  <w:marLeft w:val="0"/>
                  <w:marRight w:val="0"/>
                  <w:marTop w:val="0"/>
                  <w:marBottom w:val="0"/>
                  <w:divBdr>
                    <w:top w:val="none" w:sz="0" w:space="0" w:color="auto"/>
                    <w:left w:val="none" w:sz="0" w:space="0" w:color="auto"/>
                    <w:bottom w:val="none" w:sz="0" w:space="0" w:color="auto"/>
                    <w:right w:val="none" w:sz="0" w:space="0" w:color="auto"/>
                  </w:divBdr>
                  <w:divsChild>
                    <w:div w:id="1674646199">
                      <w:marLeft w:val="0"/>
                      <w:marRight w:val="0"/>
                      <w:marTop w:val="0"/>
                      <w:marBottom w:val="0"/>
                      <w:divBdr>
                        <w:top w:val="none" w:sz="0" w:space="0" w:color="auto"/>
                        <w:left w:val="none" w:sz="0" w:space="0" w:color="auto"/>
                        <w:bottom w:val="none" w:sz="0" w:space="0" w:color="auto"/>
                        <w:right w:val="none" w:sz="0" w:space="0" w:color="auto"/>
                      </w:divBdr>
                    </w:div>
                  </w:divsChild>
                </w:div>
                <w:div w:id="370614935">
                  <w:marLeft w:val="0"/>
                  <w:marRight w:val="0"/>
                  <w:marTop w:val="0"/>
                  <w:marBottom w:val="0"/>
                  <w:divBdr>
                    <w:top w:val="none" w:sz="0" w:space="0" w:color="auto"/>
                    <w:left w:val="none" w:sz="0" w:space="0" w:color="auto"/>
                    <w:bottom w:val="none" w:sz="0" w:space="0" w:color="auto"/>
                    <w:right w:val="none" w:sz="0" w:space="0" w:color="auto"/>
                  </w:divBdr>
                  <w:divsChild>
                    <w:div w:id="834805125">
                      <w:marLeft w:val="0"/>
                      <w:marRight w:val="0"/>
                      <w:marTop w:val="0"/>
                      <w:marBottom w:val="0"/>
                      <w:divBdr>
                        <w:top w:val="none" w:sz="0" w:space="0" w:color="auto"/>
                        <w:left w:val="none" w:sz="0" w:space="0" w:color="auto"/>
                        <w:bottom w:val="none" w:sz="0" w:space="0" w:color="auto"/>
                        <w:right w:val="none" w:sz="0" w:space="0" w:color="auto"/>
                      </w:divBdr>
                    </w:div>
                  </w:divsChild>
                </w:div>
                <w:div w:id="382412588">
                  <w:marLeft w:val="0"/>
                  <w:marRight w:val="0"/>
                  <w:marTop w:val="0"/>
                  <w:marBottom w:val="0"/>
                  <w:divBdr>
                    <w:top w:val="none" w:sz="0" w:space="0" w:color="auto"/>
                    <w:left w:val="none" w:sz="0" w:space="0" w:color="auto"/>
                    <w:bottom w:val="none" w:sz="0" w:space="0" w:color="auto"/>
                    <w:right w:val="none" w:sz="0" w:space="0" w:color="auto"/>
                  </w:divBdr>
                  <w:divsChild>
                    <w:div w:id="1970040523">
                      <w:marLeft w:val="0"/>
                      <w:marRight w:val="0"/>
                      <w:marTop w:val="0"/>
                      <w:marBottom w:val="0"/>
                      <w:divBdr>
                        <w:top w:val="none" w:sz="0" w:space="0" w:color="auto"/>
                        <w:left w:val="none" w:sz="0" w:space="0" w:color="auto"/>
                        <w:bottom w:val="none" w:sz="0" w:space="0" w:color="auto"/>
                        <w:right w:val="none" w:sz="0" w:space="0" w:color="auto"/>
                      </w:divBdr>
                    </w:div>
                  </w:divsChild>
                </w:div>
                <w:div w:id="386729235">
                  <w:marLeft w:val="0"/>
                  <w:marRight w:val="0"/>
                  <w:marTop w:val="0"/>
                  <w:marBottom w:val="0"/>
                  <w:divBdr>
                    <w:top w:val="none" w:sz="0" w:space="0" w:color="auto"/>
                    <w:left w:val="none" w:sz="0" w:space="0" w:color="auto"/>
                    <w:bottom w:val="none" w:sz="0" w:space="0" w:color="auto"/>
                    <w:right w:val="none" w:sz="0" w:space="0" w:color="auto"/>
                  </w:divBdr>
                  <w:divsChild>
                    <w:div w:id="500656816">
                      <w:marLeft w:val="0"/>
                      <w:marRight w:val="0"/>
                      <w:marTop w:val="0"/>
                      <w:marBottom w:val="0"/>
                      <w:divBdr>
                        <w:top w:val="none" w:sz="0" w:space="0" w:color="auto"/>
                        <w:left w:val="none" w:sz="0" w:space="0" w:color="auto"/>
                        <w:bottom w:val="none" w:sz="0" w:space="0" w:color="auto"/>
                        <w:right w:val="none" w:sz="0" w:space="0" w:color="auto"/>
                      </w:divBdr>
                    </w:div>
                  </w:divsChild>
                </w:div>
                <w:div w:id="389812573">
                  <w:marLeft w:val="0"/>
                  <w:marRight w:val="0"/>
                  <w:marTop w:val="0"/>
                  <w:marBottom w:val="0"/>
                  <w:divBdr>
                    <w:top w:val="none" w:sz="0" w:space="0" w:color="auto"/>
                    <w:left w:val="none" w:sz="0" w:space="0" w:color="auto"/>
                    <w:bottom w:val="none" w:sz="0" w:space="0" w:color="auto"/>
                    <w:right w:val="none" w:sz="0" w:space="0" w:color="auto"/>
                  </w:divBdr>
                  <w:divsChild>
                    <w:div w:id="1819809030">
                      <w:marLeft w:val="0"/>
                      <w:marRight w:val="0"/>
                      <w:marTop w:val="0"/>
                      <w:marBottom w:val="0"/>
                      <w:divBdr>
                        <w:top w:val="none" w:sz="0" w:space="0" w:color="auto"/>
                        <w:left w:val="none" w:sz="0" w:space="0" w:color="auto"/>
                        <w:bottom w:val="none" w:sz="0" w:space="0" w:color="auto"/>
                        <w:right w:val="none" w:sz="0" w:space="0" w:color="auto"/>
                      </w:divBdr>
                    </w:div>
                  </w:divsChild>
                </w:div>
                <w:div w:id="424346710">
                  <w:marLeft w:val="0"/>
                  <w:marRight w:val="0"/>
                  <w:marTop w:val="0"/>
                  <w:marBottom w:val="0"/>
                  <w:divBdr>
                    <w:top w:val="none" w:sz="0" w:space="0" w:color="auto"/>
                    <w:left w:val="none" w:sz="0" w:space="0" w:color="auto"/>
                    <w:bottom w:val="none" w:sz="0" w:space="0" w:color="auto"/>
                    <w:right w:val="none" w:sz="0" w:space="0" w:color="auto"/>
                  </w:divBdr>
                  <w:divsChild>
                    <w:div w:id="1728450795">
                      <w:marLeft w:val="0"/>
                      <w:marRight w:val="0"/>
                      <w:marTop w:val="0"/>
                      <w:marBottom w:val="0"/>
                      <w:divBdr>
                        <w:top w:val="none" w:sz="0" w:space="0" w:color="auto"/>
                        <w:left w:val="none" w:sz="0" w:space="0" w:color="auto"/>
                        <w:bottom w:val="none" w:sz="0" w:space="0" w:color="auto"/>
                        <w:right w:val="none" w:sz="0" w:space="0" w:color="auto"/>
                      </w:divBdr>
                    </w:div>
                  </w:divsChild>
                </w:div>
                <w:div w:id="431777940">
                  <w:marLeft w:val="0"/>
                  <w:marRight w:val="0"/>
                  <w:marTop w:val="0"/>
                  <w:marBottom w:val="0"/>
                  <w:divBdr>
                    <w:top w:val="none" w:sz="0" w:space="0" w:color="auto"/>
                    <w:left w:val="none" w:sz="0" w:space="0" w:color="auto"/>
                    <w:bottom w:val="none" w:sz="0" w:space="0" w:color="auto"/>
                    <w:right w:val="none" w:sz="0" w:space="0" w:color="auto"/>
                  </w:divBdr>
                  <w:divsChild>
                    <w:div w:id="1092748342">
                      <w:marLeft w:val="0"/>
                      <w:marRight w:val="0"/>
                      <w:marTop w:val="0"/>
                      <w:marBottom w:val="0"/>
                      <w:divBdr>
                        <w:top w:val="none" w:sz="0" w:space="0" w:color="auto"/>
                        <w:left w:val="none" w:sz="0" w:space="0" w:color="auto"/>
                        <w:bottom w:val="none" w:sz="0" w:space="0" w:color="auto"/>
                        <w:right w:val="none" w:sz="0" w:space="0" w:color="auto"/>
                      </w:divBdr>
                    </w:div>
                  </w:divsChild>
                </w:div>
                <w:div w:id="432626148">
                  <w:marLeft w:val="0"/>
                  <w:marRight w:val="0"/>
                  <w:marTop w:val="0"/>
                  <w:marBottom w:val="0"/>
                  <w:divBdr>
                    <w:top w:val="none" w:sz="0" w:space="0" w:color="auto"/>
                    <w:left w:val="none" w:sz="0" w:space="0" w:color="auto"/>
                    <w:bottom w:val="none" w:sz="0" w:space="0" w:color="auto"/>
                    <w:right w:val="none" w:sz="0" w:space="0" w:color="auto"/>
                  </w:divBdr>
                  <w:divsChild>
                    <w:div w:id="619533292">
                      <w:marLeft w:val="0"/>
                      <w:marRight w:val="0"/>
                      <w:marTop w:val="0"/>
                      <w:marBottom w:val="0"/>
                      <w:divBdr>
                        <w:top w:val="none" w:sz="0" w:space="0" w:color="auto"/>
                        <w:left w:val="none" w:sz="0" w:space="0" w:color="auto"/>
                        <w:bottom w:val="none" w:sz="0" w:space="0" w:color="auto"/>
                        <w:right w:val="none" w:sz="0" w:space="0" w:color="auto"/>
                      </w:divBdr>
                    </w:div>
                  </w:divsChild>
                </w:div>
                <w:div w:id="435560469">
                  <w:marLeft w:val="0"/>
                  <w:marRight w:val="0"/>
                  <w:marTop w:val="0"/>
                  <w:marBottom w:val="0"/>
                  <w:divBdr>
                    <w:top w:val="none" w:sz="0" w:space="0" w:color="auto"/>
                    <w:left w:val="none" w:sz="0" w:space="0" w:color="auto"/>
                    <w:bottom w:val="none" w:sz="0" w:space="0" w:color="auto"/>
                    <w:right w:val="none" w:sz="0" w:space="0" w:color="auto"/>
                  </w:divBdr>
                  <w:divsChild>
                    <w:div w:id="1726100911">
                      <w:marLeft w:val="0"/>
                      <w:marRight w:val="0"/>
                      <w:marTop w:val="0"/>
                      <w:marBottom w:val="0"/>
                      <w:divBdr>
                        <w:top w:val="none" w:sz="0" w:space="0" w:color="auto"/>
                        <w:left w:val="none" w:sz="0" w:space="0" w:color="auto"/>
                        <w:bottom w:val="none" w:sz="0" w:space="0" w:color="auto"/>
                        <w:right w:val="none" w:sz="0" w:space="0" w:color="auto"/>
                      </w:divBdr>
                    </w:div>
                  </w:divsChild>
                </w:div>
                <w:div w:id="438456156">
                  <w:marLeft w:val="0"/>
                  <w:marRight w:val="0"/>
                  <w:marTop w:val="0"/>
                  <w:marBottom w:val="0"/>
                  <w:divBdr>
                    <w:top w:val="none" w:sz="0" w:space="0" w:color="auto"/>
                    <w:left w:val="none" w:sz="0" w:space="0" w:color="auto"/>
                    <w:bottom w:val="none" w:sz="0" w:space="0" w:color="auto"/>
                    <w:right w:val="none" w:sz="0" w:space="0" w:color="auto"/>
                  </w:divBdr>
                  <w:divsChild>
                    <w:div w:id="773983630">
                      <w:marLeft w:val="0"/>
                      <w:marRight w:val="0"/>
                      <w:marTop w:val="0"/>
                      <w:marBottom w:val="0"/>
                      <w:divBdr>
                        <w:top w:val="none" w:sz="0" w:space="0" w:color="auto"/>
                        <w:left w:val="none" w:sz="0" w:space="0" w:color="auto"/>
                        <w:bottom w:val="none" w:sz="0" w:space="0" w:color="auto"/>
                        <w:right w:val="none" w:sz="0" w:space="0" w:color="auto"/>
                      </w:divBdr>
                    </w:div>
                  </w:divsChild>
                </w:div>
                <w:div w:id="439104394">
                  <w:marLeft w:val="0"/>
                  <w:marRight w:val="0"/>
                  <w:marTop w:val="0"/>
                  <w:marBottom w:val="0"/>
                  <w:divBdr>
                    <w:top w:val="none" w:sz="0" w:space="0" w:color="auto"/>
                    <w:left w:val="none" w:sz="0" w:space="0" w:color="auto"/>
                    <w:bottom w:val="none" w:sz="0" w:space="0" w:color="auto"/>
                    <w:right w:val="none" w:sz="0" w:space="0" w:color="auto"/>
                  </w:divBdr>
                  <w:divsChild>
                    <w:div w:id="338697639">
                      <w:marLeft w:val="0"/>
                      <w:marRight w:val="0"/>
                      <w:marTop w:val="0"/>
                      <w:marBottom w:val="0"/>
                      <w:divBdr>
                        <w:top w:val="none" w:sz="0" w:space="0" w:color="auto"/>
                        <w:left w:val="none" w:sz="0" w:space="0" w:color="auto"/>
                        <w:bottom w:val="none" w:sz="0" w:space="0" w:color="auto"/>
                        <w:right w:val="none" w:sz="0" w:space="0" w:color="auto"/>
                      </w:divBdr>
                    </w:div>
                  </w:divsChild>
                </w:div>
                <w:div w:id="440154314">
                  <w:marLeft w:val="0"/>
                  <w:marRight w:val="0"/>
                  <w:marTop w:val="0"/>
                  <w:marBottom w:val="0"/>
                  <w:divBdr>
                    <w:top w:val="none" w:sz="0" w:space="0" w:color="auto"/>
                    <w:left w:val="none" w:sz="0" w:space="0" w:color="auto"/>
                    <w:bottom w:val="none" w:sz="0" w:space="0" w:color="auto"/>
                    <w:right w:val="none" w:sz="0" w:space="0" w:color="auto"/>
                  </w:divBdr>
                  <w:divsChild>
                    <w:div w:id="1058167692">
                      <w:marLeft w:val="0"/>
                      <w:marRight w:val="0"/>
                      <w:marTop w:val="0"/>
                      <w:marBottom w:val="0"/>
                      <w:divBdr>
                        <w:top w:val="none" w:sz="0" w:space="0" w:color="auto"/>
                        <w:left w:val="none" w:sz="0" w:space="0" w:color="auto"/>
                        <w:bottom w:val="none" w:sz="0" w:space="0" w:color="auto"/>
                        <w:right w:val="none" w:sz="0" w:space="0" w:color="auto"/>
                      </w:divBdr>
                    </w:div>
                  </w:divsChild>
                </w:div>
                <w:div w:id="445151441">
                  <w:marLeft w:val="0"/>
                  <w:marRight w:val="0"/>
                  <w:marTop w:val="0"/>
                  <w:marBottom w:val="0"/>
                  <w:divBdr>
                    <w:top w:val="none" w:sz="0" w:space="0" w:color="auto"/>
                    <w:left w:val="none" w:sz="0" w:space="0" w:color="auto"/>
                    <w:bottom w:val="none" w:sz="0" w:space="0" w:color="auto"/>
                    <w:right w:val="none" w:sz="0" w:space="0" w:color="auto"/>
                  </w:divBdr>
                  <w:divsChild>
                    <w:div w:id="695354243">
                      <w:marLeft w:val="0"/>
                      <w:marRight w:val="0"/>
                      <w:marTop w:val="0"/>
                      <w:marBottom w:val="0"/>
                      <w:divBdr>
                        <w:top w:val="none" w:sz="0" w:space="0" w:color="auto"/>
                        <w:left w:val="none" w:sz="0" w:space="0" w:color="auto"/>
                        <w:bottom w:val="none" w:sz="0" w:space="0" w:color="auto"/>
                        <w:right w:val="none" w:sz="0" w:space="0" w:color="auto"/>
                      </w:divBdr>
                    </w:div>
                  </w:divsChild>
                </w:div>
                <w:div w:id="455418306">
                  <w:marLeft w:val="0"/>
                  <w:marRight w:val="0"/>
                  <w:marTop w:val="0"/>
                  <w:marBottom w:val="0"/>
                  <w:divBdr>
                    <w:top w:val="none" w:sz="0" w:space="0" w:color="auto"/>
                    <w:left w:val="none" w:sz="0" w:space="0" w:color="auto"/>
                    <w:bottom w:val="none" w:sz="0" w:space="0" w:color="auto"/>
                    <w:right w:val="none" w:sz="0" w:space="0" w:color="auto"/>
                  </w:divBdr>
                  <w:divsChild>
                    <w:div w:id="1245728120">
                      <w:marLeft w:val="0"/>
                      <w:marRight w:val="0"/>
                      <w:marTop w:val="0"/>
                      <w:marBottom w:val="0"/>
                      <w:divBdr>
                        <w:top w:val="none" w:sz="0" w:space="0" w:color="auto"/>
                        <w:left w:val="none" w:sz="0" w:space="0" w:color="auto"/>
                        <w:bottom w:val="none" w:sz="0" w:space="0" w:color="auto"/>
                        <w:right w:val="none" w:sz="0" w:space="0" w:color="auto"/>
                      </w:divBdr>
                    </w:div>
                  </w:divsChild>
                </w:div>
                <w:div w:id="456223926">
                  <w:marLeft w:val="0"/>
                  <w:marRight w:val="0"/>
                  <w:marTop w:val="0"/>
                  <w:marBottom w:val="0"/>
                  <w:divBdr>
                    <w:top w:val="none" w:sz="0" w:space="0" w:color="auto"/>
                    <w:left w:val="none" w:sz="0" w:space="0" w:color="auto"/>
                    <w:bottom w:val="none" w:sz="0" w:space="0" w:color="auto"/>
                    <w:right w:val="none" w:sz="0" w:space="0" w:color="auto"/>
                  </w:divBdr>
                  <w:divsChild>
                    <w:div w:id="658385406">
                      <w:marLeft w:val="0"/>
                      <w:marRight w:val="0"/>
                      <w:marTop w:val="0"/>
                      <w:marBottom w:val="0"/>
                      <w:divBdr>
                        <w:top w:val="none" w:sz="0" w:space="0" w:color="auto"/>
                        <w:left w:val="none" w:sz="0" w:space="0" w:color="auto"/>
                        <w:bottom w:val="none" w:sz="0" w:space="0" w:color="auto"/>
                        <w:right w:val="none" w:sz="0" w:space="0" w:color="auto"/>
                      </w:divBdr>
                    </w:div>
                  </w:divsChild>
                </w:div>
                <w:div w:id="476841553">
                  <w:marLeft w:val="0"/>
                  <w:marRight w:val="0"/>
                  <w:marTop w:val="0"/>
                  <w:marBottom w:val="0"/>
                  <w:divBdr>
                    <w:top w:val="none" w:sz="0" w:space="0" w:color="auto"/>
                    <w:left w:val="none" w:sz="0" w:space="0" w:color="auto"/>
                    <w:bottom w:val="none" w:sz="0" w:space="0" w:color="auto"/>
                    <w:right w:val="none" w:sz="0" w:space="0" w:color="auto"/>
                  </w:divBdr>
                  <w:divsChild>
                    <w:div w:id="1474787093">
                      <w:marLeft w:val="0"/>
                      <w:marRight w:val="0"/>
                      <w:marTop w:val="0"/>
                      <w:marBottom w:val="0"/>
                      <w:divBdr>
                        <w:top w:val="none" w:sz="0" w:space="0" w:color="auto"/>
                        <w:left w:val="none" w:sz="0" w:space="0" w:color="auto"/>
                        <w:bottom w:val="none" w:sz="0" w:space="0" w:color="auto"/>
                        <w:right w:val="none" w:sz="0" w:space="0" w:color="auto"/>
                      </w:divBdr>
                    </w:div>
                  </w:divsChild>
                </w:div>
                <w:div w:id="535044720">
                  <w:marLeft w:val="0"/>
                  <w:marRight w:val="0"/>
                  <w:marTop w:val="0"/>
                  <w:marBottom w:val="0"/>
                  <w:divBdr>
                    <w:top w:val="none" w:sz="0" w:space="0" w:color="auto"/>
                    <w:left w:val="none" w:sz="0" w:space="0" w:color="auto"/>
                    <w:bottom w:val="none" w:sz="0" w:space="0" w:color="auto"/>
                    <w:right w:val="none" w:sz="0" w:space="0" w:color="auto"/>
                  </w:divBdr>
                  <w:divsChild>
                    <w:div w:id="835807907">
                      <w:marLeft w:val="0"/>
                      <w:marRight w:val="0"/>
                      <w:marTop w:val="0"/>
                      <w:marBottom w:val="0"/>
                      <w:divBdr>
                        <w:top w:val="none" w:sz="0" w:space="0" w:color="auto"/>
                        <w:left w:val="none" w:sz="0" w:space="0" w:color="auto"/>
                        <w:bottom w:val="none" w:sz="0" w:space="0" w:color="auto"/>
                        <w:right w:val="none" w:sz="0" w:space="0" w:color="auto"/>
                      </w:divBdr>
                    </w:div>
                  </w:divsChild>
                </w:div>
                <w:div w:id="545721577">
                  <w:marLeft w:val="0"/>
                  <w:marRight w:val="0"/>
                  <w:marTop w:val="0"/>
                  <w:marBottom w:val="0"/>
                  <w:divBdr>
                    <w:top w:val="none" w:sz="0" w:space="0" w:color="auto"/>
                    <w:left w:val="none" w:sz="0" w:space="0" w:color="auto"/>
                    <w:bottom w:val="none" w:sz="0" w:space="0" w:color="auto"/>
                    <w:right w:val="none" w:sz="0" w:space="0" w:color="auto"/>
                  </w:divBdr>
                  <w:divsChild>
                    <w:div w:id="807632065">
                      <w:marLeft w:val="0"/>
                      <w:marRight w:val="0"/>
                      <w:marTop w:val="0"/>
                      <w:marBottom w:val="0"/>
                      <w:divBdr>
                        <w:top w:val="none" w:sz="0" w:space="0" w:color="auto"/>
                        <w:left w:val="none" w:sz="0" w:space="0" w:color="auto"/>
                        <w:bottom w:val="none" w:sz="0" w:space="0" w:color="auto"/>
                        <w:right w:val="none" w:sz="0" w:space="0" w:color="auto"/>
                      </w:divBdr>
                    </w:div>
                  </w:divsChild>
                </w:div>
                <w:div w:id="557282063">
                  <w:marLeft w:val="0"/>
                  <w:marRight w:val="0"/>
                  <w:marTop w:val="0"/>
                  <w:marBottom w:val="0"/>
                  <w:divBdr>
                    <w:top w:val="none" w:sz="0" w:space="0" w:color="auto"/>
                    <w:left w:val="none" w:sz="0" w:space="0" w:color="auto"/>
                    <w:bottom w:val="none" w:sz="0" w:space="0" w:color="auto"/>
                    <w:right w:val="none" w:sz="0" w:space="0" w:color="auto"/>
                  </w:divBdr>
                  <w:divsChild>
                    <w:div w:id="50423146">
                      <w:marLeft w:val="0"/>
                      <w:marRight w:val="0"/>
                      <w:marTop w:val="0"/>
                      <w:marBottom w:val="0"/>
                      <w:divBdr>
                        <w:top w:val="none" w:sz="0" w:space="0" w:color="auto"/>
                        <w:left w:val="none" w:sz="0" w:space="0" w:color="auto"/>
                        <w:bottom w:val="none" w:sz="0" w:space="0" w:color="auto"/>
                        <w:right w:val="none" w:sz="0" w:space="0" w:color="auto"/>
                      </w:divBdr>
                    </w:div>
                    <w:div w:id="565148831">
                      <w:marLeft w:val="0"/>
                      <w:marRight w:val="0"/>
                      <w:marTop w:val="0"/>
                      <w:marBottom w:val="0"/>
                      <w:divBdr>
                        <w:top w:val="none" w:sz="0" w:space="0" w:color="auto"/>
                        <w:left w:val="none" w:sz="0" w:space="0" w:color="auto"/>
                        <w:bottom w:val="none" w:sz="0" w:space="0" w:color="auto"/>
                        <w:right w:val="none" w:sz="0" w:space="0" w:color="auto"/>
                      </w:divBdr>
                    </w:div>
                    <w:div w:id="694960578">
                      <w:marLeft w:val="0"/>
                      <w:marRight w:val="0"/>
                      <w:marTop w:val="0"/>
                      <w:marBottom w:val="0"/>
                      <w:divBdr>
                        <w:top w:val="none" w:sz="0" w:space="0" w:color="auto"/>
                        <w:left w:val="none" w:sz="0" w:space="0" w:color="auto"/>
                        <w:bottom w:val="none" w:sz="0" w:space="0" w:color="auto"/>
                        <w:right w:val="none" w:sz="0" w:space="0" w:color="auto"/>
                      </w:divBdr>
                    </w:div>
                    <w:div w:id="977540091">
                      <w:marLeft w:val="0"/>
                      <w:marRight w:val="0"/>
                      <w:marTop w:val="0"/>
                      <w:marBottom w:val="0"/>
                      <w:divBdr>
                        <w:top w:val="none" w:sz="0" w:space="0" w:color="auto"/>
                        <w:left w:val="none" w:sz="0" w:space="0" w:color="auto"/>
                        <w:bottom w:val="none" w:sz="0" w:space="0" w:color="auto"/>
                        <w:right w:val="none" w:sz="0" w:space="0" w:color="auto"/>
                      </w:divBdr>
                    </w:div>
                    <w:div w:id="1205630460">
                      <w:marLeft w:val="0"/>
                      <w:marRight w:val="0"/>
                      <w:marTop w:val="0"/>
                      <w:marBottom w:val="0"/>
                      <w:divBdr>
                        <w:top w:val="none" w:sz="0" w:space="0" w:color="auto"/>
                        <w:left w:val="none" w:sz="0" w:space="0" w:color="auto"/>
                        <w:bottom w:val="none" w:sz="0" w:space="0" w:color="auto"/>
                        <w:right w:val="none" w:sz="0" w:space="0" w:color="auto"/>
                      </w:divBdr>
                    </w:div>
                    <w:div w:id="2013950899">
                      <w:marLeft w:val="0"/>
                      <w:marRight w:val="0"/>
                      <w:marTop w:val="0"/>
                      <w:marBottom w:val="0"/>
                      <w:divBdr>
                        <w:top w:val="none" w:sz="0" w:space="0" w:color="auto"/>
                        <w:left w:val="none" w:sz="0" w:space="0" w:color="auto"/>
                        <w:bottom w:val="none" w:sz="0" w:space="0" w:color="auto"/>
                        <w:right w:val="none" w:sz="0" w:space="0" w:color="auto"/>
                      </w:divBdr>
                    </w:div>
                    <w:div w:id="2047102999">
                      <w:marLeft w:val="0"/>
                      <w:marRight w:val="0"/>
                      <w:marTop w:val="0"/>
                      <w:marBottom w:val="0"/>
                      <w:divBdr>
                        <w:top w:val="none" w:sz="0" w:space="0" w:color="auto"/>
                        <w:left w:val="none" w:sz="0" w:space="0" w:color="auto"/>
                        <w:bottom w:val="none" w:sz="0" w:space="0" w:color="auto"/>
                        <w:right w:val="none" w:sz="0" w:space="0" w:color="auto"/>
                      </w:divBdr>
                    </w:div>
                  </w:divsChild>
                </w:div>
                <w:div w:id="558245750">
                  <w:marLeft w:val="0"/>
                  <w:marRight w:val="0"/>
                  <w:marTop w:val="0"/>
                  <w:marBottom w:val="0"/>
                  <w:divBdr>
                    <w:top w:val="none" w:sz="0" w:space="0" w:color="auto"/>
                    <w:left w:val="none" w:sz="0" w:space="0" w:color="auto"/>
                    <w:bottom w:val="none" w:sz="0" w:space="0" w:color="auto"/>
                    <w:right w:val="none" w:sz="0" w:space="0" w:color="auto"/>
                  </w:divBdr>
                  <w:divsChild>
                    <w:div w:id="265969268">
                      <w:marLeft w:val="0"/>
                      <w:marRight w:val="0"/>
                      <w:marTop w:val="0"/>
                      <w:marBottom w:val="0"/>
                      <w:divBdr>
                        <w:top w:val="none" w:sz="0" w:space="0" w:color="auto"/>
                        <w:left w:val="none" w:sz="0" w:space="0" w:color="auto"/>
                        <w:bottom w:val="none" w:sz="0" w:space="0" w:color="auto"/>
                        <w:right w:val="none" w:sz="0" w:space="0" w:color="auto"/>
                      </w:divBdr>
                    </w:div>
                  </w:divsChild>
                </w:div>
                <w:div w:id="576208653">
                  <w:marLeft w:val="0"/>
                  <w:marRight w:val="0"/>
                  <w:marTop w:val="0"/>
                  <w:marBottom w:val="0"/>
                  <w:divBdr>
                    <w:top w:val="none" w:sz="0" w:space="0" w:color="auto"/>
                    <w:left w:val="none" w:sz="0" w:space="0" w:color="auto"/>
                    <w:bottom w:val="none" w:sz="0" w:space="0" w:color="auto"/>
                    <w:right w:val="none" w:sz="0" w:space="0" w:color="auto"/>
                  </w:divBdr>
                  <w:divsChild>
                    <w:div w:id="1984430531">
                      <w:marLeft w:val="0"/>
                      <w:marRight w:val="0"/>
                      <w:marTop w:val="0"/>
                      <w:marBottom w:val="0"/>
                      <w:divBdr>
                        <w:top w:val="none" w:sz="0" w:space="0" w:color="auto"/>
                        <w:left w:val="none" w:sz="0" w:space="0" w:color="auto"/>
                        <w:bottom w:val="none" w:sz="0" w:space="0" w:color="auto"/>
                        <w:right w:val="none" w:sz="0" w:space="0" w:color="auto"/>
                      </w:divBdr>
                    </w:div>
                  </w:divsChild>
                </w:div>
                <w:div w:id="576979720">
                  <w:marLeft w:val="0"/>
                  <w:marRight w:val="0"/>
                  <w:marTop w:val="0"/>
                  <w:marBottom w:val="0"/>
                  <w:divBdr>
                    <w:top w:val="none" w:sz="0" w:space="0" w:color="auto"/>
                    <w:left w:val="none" w:sz="0" w:space="0" w:color="auto"/>
                    <w:bottom w:val="none" w:sz="0" w:space="0" w:color="auto"/>
                    <w:right w:val="none" w:sz="0" w:space="0" w:color="auto"/>
                  </w:divBdr>
                  <w:divsChild>
                    <w:div w:id="1656106211">
                      <w:marLeft w:val="0"/>
                      <w:marRight w:val="0"/>
                      <w:marTop w:val="0"/>
                      <w:marBottom w:val="0"/>
                      <w:divBdr>
                        <w:top w:val="none" w:sz="0" w:space="0" w:color="auto"/>
                        <w:left w:val="none" w:sz="0" w:space="0" w:color="auto"/>
                        <w:bottom w:val="none" w:sz="0" w:space="0" w:color="auto"/>
                        <w:right w:val="none" w:sz="0" w:space="0" w:color="auto"/>
                      </w:divBdr>
                    </w:div>
                  </w:divsChild>
                </w:div>
                <w:div w:id="632910887">
                  <w:marLeft w:val="0"/>
                  <w:marRight w:val="0"/>
                  <w:marTop w:val="0"/>
                  <w:marBottom w:val="0"/>
                  <w:divBdr>
                    <w:top w:val="none" w:sz="0" w:space="0" w:color="auto"/>
                    <w:left w:val="none" w:sz="0" w:space="0" w:color="auto"/>
                    <w:bottom w:val="none" w:sz="0" w:space="0" w:color="auto"/>
                    <w:right w:val="none" w:sz="0" w:space="0" w:color="auto"/>
                  </w:divBdr>
                  <w:divsChild>
                    <w:div w:id="416830551">
                      <w:marLeft w:val="0"/>
                      <w:marRight w:val="0"/>
                      <w:marTop w:val="0"/>
                      <w:marBottom w:val="0"/>
                      <w:divBdr>
                        <w:top w:val="none" w:sz="0" w:space="0" w:color="auto"/>
                        <w:left w:val="none" w:sz="0" w:space="0" w:color="auto"/>
                        <w:bottom w:val="none" w:sz="0" w:space="0" w:color="auto"/>
                        <w:right w:val="none" w:sz="0" w:space="0" w:color="auto"/>
                      </w:divBdr>
                    </w:div>
                  </w:divsChild>
                </w:div>
                <w:div w:id="634717308">
                  <w:marLeft w:val="0"/>
                  <w:marRight w:val="0"/>
                  <w:marTop w:val="0"/>
                  <w:marBottom w:val="0"/>
                  <w:divBdr>
                    <w:top w:val="none" w:sz="0" w:space="0" w:color="auto"/>
                    <w:left w:val="none" w:sz="0" w:space="0" w:color="auto"/>
                    <w:bottom w:val="none" w:sz="0" w:space="0" w:color="auto"/>
                    <w:right w:val="none" w:sz="0" w:space="0" w:color="auto"/>
                  </w:divBdr>
                  <w:divsChild>
                    <w:div w:id="1586495933">
                      <w:marLeft w:val="0"/>
                      <w:marRight w:val="0"/>
                      <w:marTop w:val="0"/>
                      <w:marBottom w:val="0"/>
                      <w:divBdr>
                        <w:top w:val="none" w:sz="0" w:space="0" w:color="auto"/>
                        <w:left w:val="none" w:sz="0" w:space="0" w:color="auto"/>
                        <w:bottom w:val="none" w:sz="0" w:space="0" w:color="auto"/>
                        <w:right w:val="none" w:sz="0" w:space="0" w:color="auto"/>
                      </w:divBdr>
                    </w:div>
                  </w:divsChild>
                </w:div>
                <w:div w:id="642395986">
                  <w:marLeft w:val="0"/>
                  <w:marRight w:val="0"/>
                  <w:marTop w:val="0"/>
                  <w:marBottom w:val="0"/>
                  <w:divBdr>
                    <w:top w:val="none" w:sz="0" w:space="0" w:color="auto"/>
                    <w:left w:val="none" w:sz="0" w:space="0" w:color="auto"/>
                    <w:bottom w:val="none" w:sz="0" w:space="0" w:color="auto"/>
                    <w:right w:val="none" w:sz="0" w:space="0" w:color="auto"/>
                  </w:divBdr>
                  <w:divsChild>
                    <w:div w:id="659501320">
                      <w:marLeft w:val="0"/>
                      <w:marRight w:val="0"/>
                      <w:marTop w:val="0"/>
                      <w:marBottom w:val="0"/>
                      <w:divBdr>
                        <w:top w:val="none" w:sz="0" w:space="0" w:color="auto"/>
                        <w:left w:val="none" w:sz="0" w:space="0" w:color="auto"/>
                        <w:bottom w:val="none" w:sz="0" w:space="0" w:color="auto"/>
                        <w:right w:val="none" w:sz="0" w:space="0" w:color="auto"/>
                      </w:divBdr>
                    </w:div>
                  </w:divsChild>
                </w:div>
                <w:div w:id="648486917">
                  <w:marLeft w:val="0"/>
                  <w:marRight w:val="0"/>
                  <w:marTop w:val="0"/>
                  <w:marBottom w:val="0"/>
                  <w:divBdr>
                    <w:top w:val="none" w:sz="0" w:space="0" w:color="auto"/>
                    <w:left w:val="none" w:sz="0" w:space="0" w:color="auto"/>
                    <w:bottom w:val="none" w:sz="0" w:space="0" w:color="auto"/>
                    <w:right w:val="none" w:sz="0" w:space="0" w:color="auto"/>
                  </w:divBdr>
                  <w:divsChild>
                    <w:div w:id="1083600781">
                      <w:marLeft w:val="0"/>
                      <w:marRight w:val="0"/>
                      <w:marTop w:val="0"/>
                      <w:marBottom w:val="0"/>
                      <w:divBdr>
                        <w:top w:val="none" w:sz="0" w:space="0" w:color="auto"/>
                        <w:left w:val="none" w:sz="0" w:space="0" w:color="auto"/>
                        <w:bottom w:val="none" w:sz="0" w:space="0" w:color="auto"/>
                        <w:right w:val="none" w:sz="0" w:space="0" w:color="auto"/>
                      </w:divBdr>
                    </w:div>
                  </w:divsChild>
                </w:div>
                <w:div w:id="654801841">
                  <w:marLeft w:val="0"/>
                  <w:marRight w:val="0"/>
                  <w:marTop w:val="0"/>
                  <w:marBottom w:val="0"/>
                  <w:divBdr>
                    <w:top w:val="none" w:sz="0" w:space="0" w:color="auto"/>
                    <w:left w:val="none" w:sz="0" w:space="0" w:color="auto"/>
                    <w:bottom w:val="none" w:sz="0" w:space="0" w:color="auto"/>
                    <w:right w:val="none" w:sz="0" w:space="0" w:color="auto"/>
                  </w:divBdr>
                  <w:divsChild>
                    <w:div w:id="1581138930">
                      <w:marLeft w:val="0"/>
                      <w:marRight w:val="0"/>
                      <w:marTop w:val="0"/>
                      <w:marBottom w:val="0"/>
                      <w:divBdr>
                        <w:top w:val="none" w:sz="0" w:space="0" w:color="auto"/>
                        <w:left w:val="none" w:sz="0" w:space="0" w:color="auto"/>
                        <w:bottom w:val="none" w:sz="0" w:space="0" w:color="auto"/>
                        <w:right w:val="none" w:sz="0" w:space="0" w:color="auto"/>
                      </w:divBdr>
                    </w:div>
                  </w:divsChild>
                </w:div>
                <w:div w:id="661929342">
                  <w:marLeft w:val="0"/>
                  <w:marRight w:val="0"/>
                  <w:marTop w:val="0"/>
                  <w:marBottom w:val="0"/>
                  <w:divBdr>
                    <w:top w:val="none" w:sz="0" w:space="0" w:color="auto"/>
                    <w:left w:val="none" w:sz="0" w:space="0" w:color="auto"/>
                    <w:bottom w:val="none" w:sz="0" w:space="0" w:color="auto"/>
                    <w:right w:val="none" w:sz="0" w:space="0" w:color="auto"/>
                  </w:divBdr>
                  <w:divsChild>
                    <w:div w:id="1023167024">
                      <w:marLeft w:val="0"/>
                      <w:marRight w:val="0"/>
                      <w:marTop w:val="0"/>
                      <w:marBottom w:val="0"/>
                      <w:divBdr>
                        <w:top w:val="none" w:sz="0" w:space="0" w:color="auto"/>
                        <w:left w:val="none" w:sz="0" w:space="0" w:color="auto"/>
                        <w:bottom w:val="none" w:sz="0" w:space="0" w:color="auto"/>
                        <w:right w:val="none" w:sz="0" w:space="0" w:color="auto"/>
                      </w:divBdr>
                    </w:div>
                  </w:divsChild>
                </w:div>
                <w:div w:id="668293955">
                  <w:marLeft w:val="0"/>
                  <w:marRight w:val="0"/>
                  <w:marTop w:val="0"/>
                  <w:marBottom w:val="0"/>
                  <w:divBdr>
                    <w:top w:val="none" w:sz="0" w:space="0" w:color="auto"/>
                    <w:left w:val="none" w:sz="0" w:space="0" w:color="auto"/>
                    <w:bottom w:val="none" w:sz="0" w:space="0" w:color="auto"/>
                    <w:right w:val="none" w:sz="0" w:space="0" w:color="auto"/>
                  </w:divBdr>
                  <w:divsChild>
                    <w:div w:id="1536309393">
                      <w:marLeft w:val="0"/>
                      <w:marRight w:val="0"/>
                      <w:marTop w:val="0"/>
                      <w:marBottom w:val="0"/>
                      <w:divBdr>
                        <w:top w:val="none" w:sz="0" w:space="0" w:color="auto"/>
                        <w:left w:val="none" w:sz="0" w:space="0" w:color="auto"/>
                        <w:bottom w:val="none" w:sz="0" w:space="0" w:color="auto"/>
                        <w:right w:val="none" w:sz="0" w:space="0" w:color="auto"/>
                      </w:divBdr>
                    </w:div>
                  </w:divsChild>
                </w:div>
                <w:div w:id="672607270">
                  <w:marLeft w:val="0"/>
                  <w:marRight w:val="0"/>
                  <w:marTop w:val="0"/>
                  <w:marBottom w:val="0"/>
                  <w:divBdr>
                    <w:top w:val="none" w:sz="0" w:space="0" w:color="auto"/>
                    <w:left w:val="none" w:sz="0" w:space="0" w:color="auto"/>
                    <w:bottom w:val="none" w:sz="0" w:space="0" w:color="auto"/>
                    <w:right w:val="none" w:sz="0" w:space="0" w:color="auto"/>
                  </w:divBdr>
                  <w:divsChild>
                    <w:div w:id="316307572">
                      <w:marLeft w:val="0"/>
                      <w:marRight w:val="0"/>
                      <w:marTop w:val="0"/>
                      <w:marBottom w:val="0"/>
                      <w:divBdr>
                        <w:top w:val="none" w:sz="0" w:space="0" w:color="auto"/>
                        <w:left w:val="none" w:sz="0" w:space="0" w:color="auto"/>
                        <w:bottom w:val="none" w:sz="0" w:space="0" w:color="auto"/>
                        <w:right w:val="none" w:sz="0" w:space="0" w:color="auto"/>
                      </w:divBdr>
                    </w:div>
                  </w:divsChild>
                </w:div>
                <w:div w:id="682435979">
                  <w:marLeft w:val="0"/>
                  <w:marRight w:val="0"/>
                  <w:marTop w:val="0"/>
                  <w:marBottom w:val="0"/>
                  <w:divBdr>
                    <w:top w:val="none" w:sz="0" w:space="0" w:color="auto"/>
                    <w:left w:val="none" w:sz="0" w:space="0" w:color="auto"/>
                    <w:bottom w:val="none" w:sz="0" w:space="0" w:color="auto"/>
                    <w:right w:val="none" w:sz="0" w:space="0" w:color="auto"/>
                  </w:divBdr>
                  <w:divsChild>
                    <w:div w:id="1730302923">
                      <w:marLeft w:val="0"/>
                      <w:marRight w:val="0"/>
                      <w:marTop w:val="0"/>
                      <w:marBottom w:val="0"/>
                      <w:divBdr>
                        <w:top w:val="none" w:sz="0" w:space="0" w:color="auto"/>
                        <w:left w:val="none" w:sz="0" w:space="0" w:color="auto"/>
                        <w:bottom w:val="none" w:sz="0" w:space="0" w:color="auto"/>
                        <w:right w:val="none" w:sz="0" w:space="0" w:color="auto"/>
                      </w:divBdr>
                    </w:div>
                  </w:divsChild>
                </w:div>
                <w:div w:id="696391119">
                  <w:marLeft w:val="0"/>
                  <w:marRight w:val="0"/>
                  <w:marTop w:val="0"/>
                  <w:marBottom w:val="0"/>
                  <w:divBdr>
                    <w:top w:val="none" w:sz="0" w:space="0" w:color="auto"/>
                    <w:left w:val="none" w:sz="0" w:space="0" w:color="auto"/>
                    <w:bottom w:val="none" w:sz="0" w:space="0" w:color="auto"/>
                    <w:right w:val="none" w:sz="0" w:space="0" w:color="auto"/>
                  </w:divBdr>
                  <w:divsChild>
                    <w:div w:id="1069112948">
                      <w:marLeft w:val="0"/>
                      <w:marRight w:val="0"/>
                      <w:marTop w:val="0"/>
                      <w:marBottom w:val="0"/>
                      <w:divBdr>
                        <w:top w:val="none" w:sz="0" w:space="0" w:color="auto"/>
                        <w:left w:val="none" w:sz="0" w:space="0" w:color="auto"/>
                        <w:bottom w:val="none" w:sz="0" w:space="0" w:color="auto"/>
                        <w:right w:val="none" w:sz="0" w:space="0" w:color="auto"/>
                      </w:divBdr>
                    </w:div>
                  </w:divsChild>
                </w:div>
                <w:div w:id="699286419">
                  <w:marLeft w:val="0"/>
                  <w:marRight w:val="0"/>
                  <w:marTop w:val="0"/>
                  <w:marBottom w:val="0"/>
                  <w:divBdr>
                    <w:top w:val="none" w:sz="0" w:space="0" w:color="auto"/>
                    <w:left w:val="none" w:sz="0" w:space="0" w:color="auto"/>
                    <w:bottom w:val="none" w:sz="0" w:space="0" w:color="auto"/>
                    <w:right w:val="none" w:sz="0" w:space="0" w:color="auto"/>
                  </w:divBdr>
                  <w:divsChild>
                    <w:div w:id="1194461903">
                      <w:marLeft w:val="0"/>
                      <w:marRight w:val="0"/>
                      <w:marTop w:val="0"/>
                      <w:marBottom w:val="0"/>
                      <w:divBdr>
                        <w:top w:val="none" w:sz="0" w:space="0" w:color="auto"/>
                        <w:left w:val="none" w:sz="0" w:space="0" w:color="auto"/>
                        <w:bottom w:val="none" w:sz="0" w:space="0" w:color="auto"/>
                        <w:right w:val="none" w:sz="0" w:space="0" w:color="auto"/>
                      </w:divBdr>
                    </w:div>
                  </w:divsChild>
                </w:div>
                <w:div w:id="700283374">
                  <w:marLeft w:val="0"/>
                  <w:marRight w:val="0"/>
                  <w:marTop w:val="0"/>
                  <w:marBottom w:val="0"/>
                  <w:divBdr>
                    <w:top w:val="none" w:sz="0" w:space="0" w:color="auto"/>
                    <w:left w:val="none" w:sz="0" w:space="0" w:color="auto"/>
                    <w:bottom w:val="none" w:sz="0" w:space="0" w:color="auto"/>
                    <w:right w:val="none" w:sz="0" w:space="0" w:color="auto"/>
                  </w:divBdr>
                  <w:divsChild>
                    <w:div w:id="254943592">
                      <w:marLeft w:val="0"/>
                      <w:marRight w:val="0"/>
                      <w:marTop w:val="0"/>
                      <w:marBottom w:val="0"/>
                      <w:divBdr>
                        <w:top w:val="none" w:sz="0" w:space="0" w:color="auto"/>
                        <w:left w:val="none" w:sz="0" w:space="0" w:color="auto"/>
                        <w:bottom w:val="none" w:sz="0" w:space="0" w:color="auto"/>
                        <w:right w:val="none" w:sz="0" w:space="0" w:color="auto"/>
                      </w:divBdr>
                    </w:div>
                  </w:divsChild>
                </w:div>
                <w:div w:id="704210222">
                  <w:marLeft w:val="0"/>
                  <w:marRight w:val="0"/>
                  <w:marTop w:val="0"/>
                  <w:marBottom w:val="0"/>
                  <w:divBdr>
                    <w:top w:val="none" w:sz="0" w:space="0" w:color="auto"/>
                    <w:left w:val="none" w:sz="0" w:space="0" w:color="auto"/>
                    <w:bottom w:val="none" w:sz="0" w:space="0" w:color="auto"/>
                    <w:right w:val="none" w:sz="0" w:space="0" w:color="auto"/>
                  </w:divBdr>
                  <w:divsChild>
                    <w:div w:id="1445997345">
                      <w:marLeft w:val="0"/>
                      <w:marRight w:val="0"/>
                      <w:marTop w:val="0"/>
                      <w:marBottom w:val="0"/>
                      <w:divBdr>
                        <w:top w:val="none" w:sz="0" w:space="0" w:color="auto"/>
                        <w:left w:val="none" w:sz="0" w:space="0" w:color="auto"/>
                        <w:bottom w:val="none" w:sz="0" w:space="0" w:color="auto"/>
                        <w:right w:val="none" w:sz="0" w:space="0" w:color="auto"/>
                      </w:divBdr>
                    </w:div>
                  </w:divsChild>
                </w:div>
                <w:div w:id="720789906">
                  <w:marLeft w:val="0"/>
                  <w:marRight w:val="0"/>
                  <w:marTop w:val="0"/>
                  <w:marBottom w:val="0"/>
                  <w:divBdr>
                    <w:top w:val="none" w:sz="0" w:space="0" w:color="auto"/>
                    <w:left w:val="none" w:sz="0" w:space="0" w:color="auto"/>
                    <w:bottom w:val="none" w:sz="0" w:space="0" w:color="auto"/>
                    <w:right w:val="none" w:sz="0" w:space="0" w:color="auto"/>
                  </w:divBdr>
                  <w:divsChild>
                    <w:div w:id="426971422">
                      <w:marLeft w:val="0"/>
                      <w:marRight w:val="0"/>
                      <w:marTop w:val="0"/>
                      <w:marBottom w:val="0"/>
                      <w:divBdr>
                        <w:top w:val="none" w:sz="0" w:space="0" w:color="auto"/>
                        <w:left w:val="none" w:sz="0" w:space="0" w:color="auto"/>
                        <w:bottom w:val="none" w:sz="0" w:space="0" w:color="auto"/>
                        <w:right w:val="none" w:sz="0" w:space="0" w:color="auto"/>
                      </w:divBdr>
                    </w:div>
                  </w:divsChild>
                </w:div>
                <w:div w:id="729692213">
                  <w:marLeft w:val="0"/>
                  <w:marRight w:val="0"/>
                  <w:marTop w:val="0"/>
                  <w:marBottom w:val="0"/>
                  <w:divBdr>
                    <w:top w:val="none" w:sz="0" w:space="0" w:color="auto"/>
                    <w:left w:val="none" w:sz="0" w:space="0" w:color="auto"/>
                    <w:bottom w:val="none" w:sz="0" w:space="0" w:color="auto"/>
                    <w:right w:val="none" w:sz="0" w:space="0" w:color="auto"/>
                  </w:divBdr>
                  <w:divsChild>
                    <w:div w:id="342242766">
                      <w:marLeft w:val="0"/>
                      <w:marRight w:val="0"/>
                      <w:marTop w:val="0"/>
                      <w:marBottom w:val="0"/>
                      <w:divBdr>
                        <w:top w:val="none" w:sz="0" w:space="0" w:color="auto"/>
                        <w:left w:val="none" w:sz="0" w:space="0" w:color="auto"/>
                        <w:bottom w:val="none" w:sz="0" w:space="0" w:color="auto"/>
                        <w:right w:val="none" w:sz="0" w:space="0" w:color="auto"/>
                      </w:divBdr>
                    </w:div>
                  </w:divsChild>
                </w:div>
                <w:div w:id="738868716">
                  <w:marLeft w:val="0"/>
                  <w:marRight w:val="0"/>
                  <w:marTop w:val="0"/>
                  <w:marBottom w:val="0"/>
                  <w:divBdr>
                    <w:top w:val="none" w:sz="0" w:space="0" w:color="auto"/>
                    <w:left w:val="none" w:sz="0" w:space="0" w:color="auto"/>
                    <w:bottom w:val="none" w:sz="0" w:space="0" w:color="auto"/>
                    <w:right w:val="none" w:sz="0" w:space="0" w:color="auto"/>
                  </w:divBdr>
                  <w:divsChild>
                    <w:div w:id="1460371272">
                      <w:marLeft w:val="0"/>
                      <w:marRight w:val="0"/>
                      <w:marTop w:val="0"/>
                      <w:marBottom w:val="0"/>
                      <w:divBdr>
                        <w:top w:val="none" w:sz="0" w:space="0" w:color="auto"/>
                        <w:left w:val="none" w:sz="0" w:space="0" w:color="auto"/>
                        <w:bottom w:val="none" w:sz="0" w:space="0" w:color="auto"/>
                        <w:right w:val="none" w:sz="0" w:space="0" w:color="auto"/>
                      </w:divBdr>
                    </w:div>
                  </w:divsChild>
                </w:div>
                <w:div w:id="742340663">
                  <w:marLeft w:val="0"/>
                  <w:marRight w:val="0"/>
                  <w:marTop w:val="0"/>
                  <w:marBottom w:val="0"/>
                  <w:divBdr>
                    <w:top w:val="none" w:sz="0" w:space="0" w:color="auto"/>
                    <w:left w:val="none" w:sz="0" w:space="0" w:color="auto"/>
                    <w:bottom w:val="none" w:sz="0" w:space="0" w:color="auto"/>
                    <w:right w:val="none" w:sz="0" w:space="0" w:color="auto"/>
                  </w:divBdr>
                  <w:divsChild>
                    <w:div w:id="1331056026">
                      <w:marLeft w:val="0"/>
                      <w:marRight w:val="0"/>
                      <w:marTop w:val="0"/>
                      <w:marBottom w:val="0"/>
                      <w:divBdr>
                        <w:top w:val="none" w:sz="0" w:space="0" w:color="auto"/>
                        <w:left w:val="none" w:sz="0" w:space="0" w:color="auto"/>
                        <w:bottom w:val="none" w:sz="0" w:space="0" w:color="auto"/>
                        <w:right w:val="none" w:sz="0" w:space="0" w:color="auto"/>
                      </w:divBdr>
                    </w:div>
                  </w:divsChild>
                </w:div>
                <w:div w:id="751580824">
                  <w:marLeft w:val="0"/>
                  <w:marRight w:val="0"/>
                  <w:marTop w:val="0"/>
                  <w:marBottom w:val="0"/>
                  <w:divBdr>
                    <w:top w:val="none" w:sz="0" w:space="0" w:color="auto"/>
                    <w:left w:val="none" w:sz="0" w:space="0" w:color="auto"/>
                    <w:bottom w:val="none" w:sz="0" w:space="0" w:color="auto"/>
                    <w:right w:val="none" w:sz="0" w:space="0" w:color="auto"/>
                  </w:divBdr>
                  <w:divsChild>
                    <w:div w:id="1329022752">
                      <w:marLeft w:val="0"/>
                      <w:marRight w:val="0"/>
                      <w:marTop w:val="0"/>
                      <w:marBottom w:val="0"/>
                      <w:divBdr>
                        <w:top w:val="none" w:sz="0" w:space="0" w:color="auto"/>
                        <w:left w:val="none" w:sz="0" w:space="0" w:color="auto"/>
                        <w:bottom w:val="none" w:sz="0" w:space="0" w:color="auto"/>
                        <w:right w:val="none" w:sz="0" w:space="0" w:color="auto"/>
                      </w:divBdr>
                    </w:div>
                  </w:divsChild>
                </w:div>
                <w:div w:id="778838321">
                  <w:marLeft w:val="0"/>
                  <w:marRight w:val="0"/>
                  <w:marTop w:val="0"/>
                  <w:marBottom w:val="0"/>
                  <w:divBdr>
                    <w:top w:val="none" w:sz="0" w:space="0" w:color="auto"/>
                    <w:left w:val="none" w:sz="0" w:space="0" w:color="auto"/>
                    <w:bottom w:val="none" w:sz="0" w:space="0" w:color="auto"/>
                    <w:right w:val="none" w:sz="0" w:space="0" w:color="auto"/>
                  </w:divBdr>
                  <w:divsChild>
                    <w:div w:id="1429347982">
                      <w:marLeft w:val="0"/>
                      <w:marRight w:val="0"/>
                      <w:marTop w:val="0"/>
                      <w:marBottom w:val="0"/>
                      <w:divBdr>
                        <w:top w:val="none" w:sz="0" w:space="0" w:color="auto"/>
                        <w:left w:val="none" w:sz="0" w:space="0" w:color="auto"/>
                        <w:bottom w:val="none" w:sz="0" w:space="0" w:color="auto"/>
                        <w:right w:val="none" w:sz="0" w:space="0" w:color="auto"/>
                      </w:divBdr>
                    </w:div>
                  </w:divsChild>
                </w:div>
                <w:div w:id="790396311">
                  <w:marLeft w:val="0"/>
                  <w:marRight w:val="0"/>
                  <w:marTop w:val="0"/>
                  <w:marBottom w:val="0"/>
                  <w:divBdr>
                    <w:top w:val="none" w:sz="0" w:space="0" w:color="auto"/>
                    <w:left w:val="none" w:sz="0" w:space="0" w:color="auto"/>
                    <w:bottom w:val="none" w:sz="0" w:space="0" w:color="auto"/>
                    <w:right w:val="none" w:sz="0" w:space="0" w:color="auto"/>
                  </w:divBdr>
                  <w:divsChild>
                    <w:div w:id="623197263">
                      <w:marLeft w:val="0"/>
                      <w:marRight w:val="0"/>
                      <w:marTop w:val="0"/>
                      <w:marBottom w:val="0"/>
                      <w:divBdr>
                        <w:top w:val="none" w:sz="0" w:space="0" w:color="auto"/>
                        <w:left w:val="none" w:sz="0" w:space="0" w:color="auto"/>
                        <w:bottom w:val="none" w:sz="0" w:space="0" w:color="auto"/>
                        <w:right w:val="none" w:sz="0" w:space="0" w:color="auto"/>
                      </w:divBdr>
                    </w:div>
                  </w:divsChild>
                </w:div>
                <w:div w:id="791944049">
                  <w:marLeft w:val="0"/>
                  <w:marRight w:val="0"/>
                  <w:marTop w:val="0"/>
                  <w:marBottom w:val="0"/>
                  <w:divBdr>
                    <w:top w:val="none" w:sz="0" w:space="0" w:color="auto"/>
                    <w:left w:val="none" w:sz="0" w:space="0" w:color="auto"/>
                    <w:bottom w:val="none" w:sz="0" w:space="0" w:color="auto"/>
                    <w:right w:val="none" w:sz="0" w:space="0" w:color="auto"/>
                  </w:divBdr>
                  <w:divsChild>
                    <w:div w:id="757294118">
                      <w:marLeft w:val="0"/>
                      <w:marRight w:val="0"/>
                      <w:marTop w:val="0"/>
                      <w:marBottom w:val="0"/>
                      <w:divBdr>
                        <w:top w:val="none" w:sz="0" w:space="0" w:color="auto"/>
                        <w:left w:val="none" w:sz="0" w:space="0" w:color="auto"/>
                        <w:bottom w:val="none" w:sz="0" w:space="0" w:color="auto"/>
                        <w:right w:val="none" w:sz="0" w:space="0" w:color="auto"/>
                      </w:divBdr>
                    </w:div>
                  </w:divsChild>
                </w:div>
                <w:div w:id="801464481">
                  <w:marLeft w:val="0"/>
                  <w:marRight w:val="0"/>
                  <w:marTop w:val="0"/>
                  <w:marBottom w:val="0"/>
                  <w:divBdr>
                    <w:top w:val="none" w:sz="0" w:space="0" w:color="auto"/>
                    <w:left w:val="none" w:sz="0" w:space="0" w:color="auto"/>
                    <w:bottom w:val="none" w:sz="0" w:space="0" w:color="auto"/>
                    <w:right w:val="none" w:sz="0" w:space="0" w:color="auto"/>
                  </w:divBdr>
                  <w:divsChild>
                    <w:div w:id="1033725073">
                      <w:marLeft w:val="0"/>
                      <w:marRight w:val="0"/>
                      <w:marTop w:val="0"/>
                      <w:marBottom w:val="0"/>
                      <w:divBdr>
                        <w:top w:val="none" w:sz="0" w:space="0" w:color="auto"/>
                        <w:left w:val="none" w:sz="0" w:space="0" w:color="auto"/>
                        <w:bottom w:val="none" w:sz="0" w:space="0" w:color="auto"/>
                        <w:right w:val="none" w:sz="0" w:space="0" w:color="auto"/>
                      </w:divBdr>
                    </w:div>
                  </w:divsChild>
                </w:div>
                <w:div w:id="803620437">
                  <w:marLeft w:val="0"/>
                  <w:marRight w:val="0"/>
                  <w:marTop w:val="0"/>
                  <w:marBottom w:val="0"/>
                  <w:divBdr>
                    <w:top w:val="none" w:sz="0" w:space="0" w:color="auto"/>
                    <w:left w:val="none" w:sz="0" w:space="0" w:color="auto"/>
                    <w:bottom w:val="none" w:sz="0" w:space="0" w:color="auto"/>
                    <w:right w:val="none" w:sz="0" w:space="0" w:color="auto"/>
                  </w:divBdr>
                  <w:divsChild>
                    <w:div w:id="624459009">
                      <w:marLeft w:val="0"/>
                      <w:marRight w:val="0"/>
                      <w:marTop w:val="0"/>
                      <w:marBottom w:val="0"/>
                      <w:divBdr>
                        <w:top w:val="none" w:sz="0" w:space="0" w:color="auto"/>
                        <w:left w:val="none" w:sz="0" w:space="0" w:color="auto"/>
                        <w:bottom w:val="none" w:sz="0" w:space="0" w:color="auto"/>
                        <w:right w:val="none" w:sz="0" w:space="0" w:color="auto"/>
                      </w:divBdr>
                    </w:div>
                  </w:divsChild>
                </w:div>
                <w:div w:id="808549804">
                  <w:marLeft w:val="0"/>
                  <w:marRight w:val="0"/>
                  <w:marTop w:val="0"/>
                  <w:marBottom w:val="0"/>
                  <w:divBdr>
                    <w:top w:val="none" w:sz="0" w:space="0" w:color="auto"/>
                    <w:left w:val="none" w:sz="0" w:space="0" w:color="auto"/>
                    <w:bottom w:val="none" w:sz="0" w:space="0" w:color="auto"/>
                    <w:right w:val="none" w:sz="0" w:space="0" w:color="auto"/>
                  </w:divBdr>
                  <w:divsChild>
                    <w:div w:id="1558516592">
                      <w:marLeft w:val="0"/>
                      <w:marRight w:val="0"/>
                      <w:marTop w:val="0"/>
                      <w:marBottom w:val="0"/>
                      <w:divBdr>
                        <w:top w:val="none" w:sz="0" w:space="0" w:color="auto"/>
                        <w:left w:val="none" w:sz="0" w:space="0" w:color="auto"/>
                        <w:bottom w:val="none" w:sz="0" w:space="0" w:color="auto"/>
                        <w:right w:val="none" w:sz="0" w:space="0" w:color="auto"/>
                      </w:divBdr>
                    </w:div>
                  </w:divsChild>
                </w:div>
                <w:div w:id="821506740">
                  <w:marLeft w:val="0"/>
                  <w:marRight w:val="0"/>
                  <w:marTop w:val="0"/>
                  <w:marBottom w:val="0"/>
                  <w:divBdr>
                    <w:top w:val="none" w:sz="0" w:space="0" w:color="auto"/>
                    <w:left w:val="none" w:sz="0" w:space="0" w:color="auto"/>
                    <w:bottom w:val="none" w:sz="0" w:space="0" w:color="auto"/>
                    <w:right w:val="none" w:sz="0" w:space="0" w:color="auto"/>
                  </w:divBdr>
                  <w:divsChild>
                    <w:div w:id="1485732440">
                      <w:marLeft w:val="0"/>
                      <w:marRight w:val="0"/>
                      <w:marTop w:val="0"/>
                      <w:marBottom w:val="0"/>
                      <w:divBdr>
                        <w:top w:val="none" w:sz="0" w:space="0" w:color="auto"/>
                        <w:left w:val="none" w:sz="0" w:space="0" w:color="auto"/>
                        <w:bottom w:val="none" w:sz="0" w:space="0" w:color="auto"/>
                        <w:right w:val="none" w:sz="0" w:space="0" w:color="auto"/>
                      </w:divBdr>
                    </w:div>
                  </w:divsChild>
                </w:div>
                <w:div w:id="853346620">
                  <w:marLeft w:val="0"/>
                  <w:marRight w:val="0"/>
                  <w:marTop w:val="0"/>
                  <w:marBottom w:val="0"/>
                  <w:divBdr>
                    <w:top w:val="none" w:sz="0" w:space="0" w:color="auto"/>
                    <w:left w:val="none" w:sz="0" w:space="0" w:color="auto"/>
                    <w:bottom w:val="none" w:sz="0" w:space="0" w:color="auto"/>
                    <w:right w:val="none" w:sz="0" w:space="0" w:color="auto"/>
                  </w:divBdr>
                  <w:divsChild>
                    <w:div w:id="1430814230">
                      <w:marLeft w:val="0"/>
                      <w:marRight w:val="0"/>
                      <w:marTop w:val="0"/>
                      <w:marBottom w:val="0"/>
                      <w:divBdr>
                        <w:top w:val="none" w:sz="0" w:space="0" w:color="auto"/>
                        <w:left w:val="none" w:sz="0" w:space="0" w:color="auto"/>
                        <w:bottom w:val="none" w:sz="0" w:space="0" w:color="auto"/>
                        <w:right w:val="none" w:sz="0" w:space="0" w:color="auto"/>
                      </w:divBdr>
                    </w:div>
                  </w:divsChild>
                </w:div>
                <w:div w:id="874199134">
                  <w:marLeft w:val="0"/>
                  <w:marRight w:val="0"/>
                  <w:marTop w:val="0"/>
                  <w:marBottom w:val="0"/>
                  <w:divBdr>
                    <w:top w:val="none" w:sz="0" w:space="0" w:color="auto"/>
                    <w:left w:val="none" w:sz="0" w:space="0" w:color="auto"/>
                    <w:bottom w:val="none" w:sz="0" w:space="0" w:color="auto"/>
                    <w:right w:val="none" w:sz="0" w:space="0" w:color="auto"/>
                  </w:divBdr>
                  <w:divsChild>
                    <w:div w:id="211384847">
                      <w:marLeft w:val="0"/>
                      <w:marRight w:val="0"/>
                      <w:marTop w:val="0"/>
                      <w:marBottom w:val="0"/>
                      <w:divBdr>
                        <w:top w:val="none" w:sz="0" w:space="0" w:color="auto"/>
                        <w:left w:val="none" w:sz="0" w:space="0" w:color="auto"/>
                        <w:bottom w:val="none" w:sz="0" w:space="0" w:color="auto"/>
                        <w:right w:val="none" w:sz="0" w:space="0" w:color="auto"/>
                      </w:divBdr>
                    </w:div>
                  </w:divsChild>
                </w:div>
                <w:div w:id="898901858">
                  <w:marLeft w:val="0"/>
                  <w:marRight w:val="0"/>
                  <w:marTop w:val="0"/>
                  <w:marBottom w:val="0"/>
                  <w:divBdr>
                    <w:top w:val="none" w:sz="0" w:space="0" w:color="auto"/>
                    <w:left w:val="none" w:sz="0" w:space="0" w:color="auto"/>
                    <w:bottom w:val="none" w:sz="0" w:space="0" w:color="auto"/>
                    <w:right w:val="none" w:sz="0" w:space="0" w:color="auto"/>
                  </w:divBdr>
                  <w:divsChild>
                    <w:div w:id="1762796094">
                      <w:marLeft w:val="0"/>
                      <w:marRight w:val="0"/>
                      <w:marTop w:val="0"/>
                      <w:marBottom w:val="0"/>
                      <w:divBdr>
                        <w:top w:val="none" w:sz="0" w:space="0" w:color="auto"/>
                        <w:left w:val="none" w:sz="0" w:space="0" w:color="auto"/>
                        <w:bottom w:val="none" w:sz="0" w:space="0" w:color="auto"/>
                        <w:right w:val="none" w:sz="0" w:space="0" w:color="auto"/>
                      </w:divBdr>
                    </w:div>
                  </w:divsChild>
                </w:div>
                <w:div w:id="899443229">
                  <w:marLeft w:val="0"/>
                  <w:marRight w:val="0"/>
                  <w:marTop w:val="0"/>
                  <w:marBottom w:val="0"/>
                  <w:divBdr>
                    <w:top w:val="none" w:sz="0" w:space="0" w:color="auto"/>
                    <w:left w:val="none" w:sz="0" w:space="0" w:color="auto"/>
                    <w:bottom w:val="none" w:sz="0" w:space="0" w:color="auto"/>
                    <w:right w:val="none" w:sz="0" w:space="0" w:color="auto"/>
                  </w:divBdr>
                  <w:divsChild>
                    <w:div w:id="1024403984">
                      <w:marLeft w:val="0"/>
                      <w:marRight w:val="0"/>
                      <w:marTop w:val="0"/>
                      <w:marBottom w:val="0"/>
                      <w:divBdr>
                        <w:top w:val="none" w:sz="0" w:space="0" w:color="auto"/>
                        <w:left w:val="none" w:sz="0" w:space="0" w:color="auto"/>
                        <w:bottom w:val="none" w:sz="0" w:space="0" w:color="auto"/>
                        <w:right w:val="none" w:sz="0" w:space="0" w:color="auto"/>
                      </w:divBdr>
                    </w:div>
                  </w:divsChild>
                </w:div>
                <w:div w:id="902644881">
                  <w:marLeft w:val="0"/>
                  <w:marRight w:val="0"/>
                  <w:marTop w:val="0"/>
                  <w:marBottom w:val="0"/>
                  <w:divBdr>
                    <w:top w:val="none" w:sz="0" w:space="0" w:color="auto"/>
                    <w:left w:val="none" w:sz="0" w:space="0" w:color="auto"/>
                    <w:bottom w:val="none" w:sz="0" w:space="0" w:color="auto"/>
                    <w:right w:val="none" w:sz="0" w:space="0" w:color="auto"/>
                  </w:divBdr>
                  <w:divsChild>
                    <w:div w:id="2070224409">
                      <w:marLeft w:val="0"/>
                      <w:marRight w:val="0"/>
                      <w:marTop w:val="0"/>
                      <w:marBottom w:val="0"/>
                      <w:divBdr>
                        <w:top w:val="none" w:sz="0" w:space="0" w:color="auto"/>
                        <w:left w:val="none" w:sz="0" w:space="0" w:color="auto"/>
                        <w:bottom w:val="none" w:sz="0" w:space="0" w:color="auto"/>
                        <w:right w:val="none" w:sz="0" w:space="0" w:color="auto"/>
                      </w:divBdr>
                    </w:div>
                  </w:divsChild>
                </w:div>
                <w:div w:id="931550865">
                  <w:marLeft w:val="0"/>
                  <w:marRight w:val="0"/>
                  <w:marTop w:val="0"/>
                  <w:marBottom w:val="0"/>
                  <w:divBdr>
                    <w:top w:val="none" w:sz="0" w:space="0" w:color="auto"/>
                    <w:left w:val="none" w:sz="0" w:space="0" w:color="auto"/>
                    <w:bottom w:val="none" w:sz="0" w:space="0" w:color="auto"/>
                    <w:right w:val="none" w:sz="0" w:space="0" w:color="auto"/>
                  </w:divBdr>
                  <w:divsChild>
                    <w:div w:id="615067616">
                      <w:marLeft w:val="0"/>
                      <w:marRight w:val="0"/>
                      <w:marTop w:val="0"/>
                      <w:marBottom w:val="0"/>
                      <w:divBdr>
                        <w:top w:val="none" w:sz="0" w:space="0" w:color="auto"/>
                        <w:left w:val="none" w:sz="0" w:space="0" w:color="auto"/>
                        <w:bottom w:val="none" w:sz="0" w:space="0" w:color="auto"/>
                        <w:right w:val="none" w:sz="0" w:space="0" w:color="auto"/>
                      </w:divBdr>
                    </w:div>
                  </w:divsChild>
                </w:div>
                <w:div w:id="935284337">
                  <w:marLeft w:val="0"/>
                  <w:marRight w:val="0"/>
                  <w:marTop w:val="0"/>
                  <w:marBottom w:val="0"/>
                  <w:divBdr>
                    <w:top w:val="none" w:sz="0" w:space="0" w:color="auto"/>
                    <w:left w:val="none" w:sz="0" w:space="0" w:color="auto"/>
                    <w:bottom w:val="none" w:sz="0" w:space="0" w:color="auto"/>
                    <w:right w:val="none" w:sz="0" w:space="0" w:color="auto"/>
                  </w:divBdr>
                  <w:divsChild>
                    <w:div w:id="106431199">
                      <w:marLeft w:val="0"/>
                      <w:marRight w:val="0"/>
                      <w:marTop w:val="0"/>
                      <w:marBottom w:val="0"/>
                      <w:divBdr>
                        <w:top w:val="none" w:sz="0" w:space="0" w:color="auto"/>
                        <w:left w:val="none" w:sz="0" w:space="0" w:color="auto"/>
                        <w:bottom w:val="none" w:sz="0" w:space="0" w:color="auto"/>
                        <w:right w:val="none" w:sz="0" w:space="0" w:color="auto"/>
                      </w:divBdr>
                    </w:div>
                  </w:divsChild>
                </w:div>
                <w:div w:id="937634763">
                  <w:marLeft w:val="0"/>
                  <w:marRight w:val="0"/>
                  <w:marTop w:val="0"/>
                  <w:marBottom w:val="0"/>
                  <w:divBdr>
                    <w:top w:val="none" w:sz="0" w:space="0" w:color="auto"/>
                    <w:left w:val="none" w:sz="0" w:space="0" w:color="auto"/>
                    <w:bottom w:val="none" w:sz="0" w:space="0" w:color="auto"/>
                    <w:right w:val="none" w:sz="0" w:space="0" w:color="auto"/>
                  </w:divBdr>
                  <w:divsChild>
                    <w:div w:id="1324550166">
                      <w:marLeft w:val="0"/>
                      <w:marRight w:val="0"/>
                      <w:marTop w:val="0"/>
                      <w:marBottom w:val="0"/>
                      <w:divBdr>
                        <w:top w:val="none" w:sz="0" w:space="0" w:color="auto"/>
                        <w:left w:val="none" w:sz="0" w:space="0" w:color="auto"/>
                        <w:bottom w:val="none" w:sz="0" w:space="0" w:color="auto"/>
                        <w:right w:val="none" w:sz="0" w:space="0" w:color="auto"/>
                      </w:divBdr>
                    </w:div>
                  </w:divsChild>
                </w:div>
                <w:div w:id="967007643">
                  <w:marLeft w:val="0"/>
                  <w:marRight w:val="0"/>
                  <w:marTop w:val="0"/>
                  <w:marBottom w:val="0"/>
                  <w:divBdr>
                    <w:top w:val="none" w:sz="0" w:space="0" w:color="auto"/>
                    <w:left w:val="none" w:sz="0" w:space="0" w:color="auto"/>
                    <w:bottom w:val="none" w:sz="0" w:space="0" w:color="auto"/>
                    <w:right w:val="none" w:sz="0" w:space="0" w:color="auto"/>
                  </w:divBdr>
                  <w:divsChild>
                    <w:div w:id="231235165">
                      <w:marLeft w:val="0"/>
                      <w:marRight w:val="0"/>
                      <w:marTop w:val="0"/>
                      <w:marBottom w:val="0"/>
                      <w:divBdr>
                        <w:top w:val="none" w:sz="0" w:space="0" w:color="auto"/>
                        <w:left w:val="none" w:sz="0" w:space="0" w:color="auto"/>
                        <w:bottom w:val="none" w:sz="0" w:space="0" w:color="auto"/>
                        <w:right w:val="none" w:sz="0" w:space="0" w:color="auto"/>
                      </w:divBdr>
                    </w:div>
                  </w:divsChild>
                </w:div>
                <w:div w:id="979503681">
                  <w:marLeft w:val="0"/>
                  <w:marRight w:val="0"/>
                  <w:marTop w:val="0"/>
                  <w:marBottom w:val="0"/>
                  <w:divBdr>
                    <w:top w:val="none" w:sz="0" w:space="0" w:color="auto"/>
                    <w:left w:val="none" w:sz="0" w:space="0" w:color="auto"/>
                    <w:bottom w:val="none" w:sz="0" w:space="0" w:color="auto"/>
                    <w:right w:val="none" w:sz="0" w:space="0" w:color="auto"/>
                  </w:divBdr>
                  <w:divsChild>
                    <w:div w:id="2067221771">
                      <w:marLeft w:val="0"/>
                      <w:marRight w:val="0"/>
                      <w:marTop w:val="0"/>
                      <w:marBottom w:val="0"/>
                      <w:divBdr>
                        <w:top w:val="none" w:sz="0" w:space="0" w:color="auto"/>
                        <w:left w:val="none" w:sz="0" w:space="0" w:color="auto"/>
                        <w:bottom w:val="none" w:sz="0" w:space="0" w:color="auto"/>
                        <w:right w:val="none" w:sz="0" w:space="0" w:color="auto"/>
                      </w:divBdr>
                    </w:div>
                  </w:divsChild>
                </w:div>
                <w:div w:id="992102699">
                  <w:marLeft w:val="0"/>
                  <w:marRight w:val="0"/>
                  <w:marTop w:val="0"/>
                  <w:marBottom w:val="0"/>
                  <w:divBdr>
                    <w:top w:val="none" w:sz="0" w:space="0" w:color="auto"/>
                    <w:left w:val="none" w:sz="0" w:space="0" w:color="auto"/>
                    <w:bottom w:val="none" w:sz="0" w:space="0" w:color="auto"/>
                    <w:right w:val="none" w:sz="0" w:space="0" w:color="auto"/>
                  </w:divBdr>
                  <w:divsChild>
                    <w:div w:id="1573930664">
                      <w:marLeft w:val="0"/>
                      <w:marRight w:val="0"/>
                      <w:marTop w:val="0"/>
                      <w:marBottom w:val="0"/>
                      <w:divBdr>
                        <w:top w:val="none" w:sz="0" w:space="0" w:color="auto"/>
                        <w:left w:val="none" w:sz="0" w:space="0" w:color="auto"/>
                        <w:bottom w:val="none" w:sz="0" w:space="0" w:color="auto"/>
                        <w:right w:val="none" w:sz="0" w:space="0" w:color="auto"/>
                      </w:divBdr>
                    </w:div>
                  </w:divsChild>
                </w:div>
                <w:div w:id="995839663">
                  <w:marLeft w:val="0"/>
                  <w:marRight w:val="0"/>
                  <w:marTop w:val="0"/>
                  <w:marBottom w:val="0"/>
                  <w:divBdr>
                    <w:top w:val="none" w:sz="0" w:space="0" w:color="auto"/>
                    <w:left w:val="none" w:sz="0" w:space="0" w:color="auto"/>
                    <w:bottom w:val="none" w:sz="0" w:space="0" w:color="auto"/>
                    <w:right w:val="none" w:sz="0" w:space="0" w:color="auto"/>
                  </w:divBdr>
                  <w:divsChild>
                    <w:div w:id="1594586238">
                      <w:marLeft w:val="0"/>
                      <w:marRight w:val="0"/>
                      <w:marTop w:val="0"/>
                      <w:marBottom w:val="0"/>
                      <w:divBdr>
                        <w:top w:val="none" w:sz="0" w:space="0" w:color="auto"/>
                        <w:left w:val="none" w:sz="0" w:space="0" w:color="auto"/>
                        <w:bottom w:val="none" w:sz="0" w:space="0" w:color="auto"/>
                        <w:right w:val="none" w:sz="0" w:space="0" w:color="auto"/>
                      </w:divBdr>
                    </w:div>
                  </w:divsChild>
                </w:div>
                <w:div w:id="1020161774">
                  <w:marLeft w:val="0"/>
                  <w:marRight w:val="0"/>
                  <w:marTop w:val="0"/>
                  <w:marBottom w:val="0"/>
                  <w:divBdr>
                    <w:top w:val="none" w:sz="0" w:space="0" w:color="auto"/>
                    <w:left w:val="none" w:sz="0" w:space="0" w:color="auto"/>
                    <w:bottom w:val="none" w:sz="0" w:space="0" w:color="auto"/>
                    <w:right w:val="none" w:sz="0" w:space="0" w:color="auto"/>
                  </w:divBdr>
                  <w:divsChild>
                    <w:div w:id="1884442594">
                      <w:marLeft w:val="0"/>
                      <w:marRight w:val="0"/>
                      <w:marTop w:val="0"/>
                      <w:marBottom w:val="0"/>
                      <w:divBdr>
                        <w:top w:val="none" w:sz="0" w:space="0" w:color="auto"/>
                        <w:left w:val="none" w:sz="0" w:space="0" w:color="auto"/>
                        <w:bottom w:val="none" w:sz="0" w:space="0" w:color="auto"/>
                        <w:right w:val="none" w:sz="0" w:space="0" w:color="auto"/>
                      </w:divBdr>
                    </w:div>
                  </w:divsChild>
                </w:div>
                <w:div w:id="1028217716">
                  <w:marLeft w:val="0"/>
                  <w:marRight w:val="0"/>
                  <w:marTop w:val="0"/>
                  <w:marBottom w:val="0"/>
                  <w:divBdr>
                    <w:top w:val="none" w:sz="0" w:space="0" w:color="auto"/>
                    <w:left w:val="none" w:sz="0" w:space="0" w:color="auto"/>
                    <w:bottom w:val="none" w:sz="0" w:space="0" w:color="auto"/>
                    <w:right w:val="none" w:sz="0" w:space="0" w:color="auto"/>
                  </w:divBdr>
                  <w:divsChild>
                    <w:div w:id="788738013">
                      <w:marLeft w:val="0"/>
                      <w:marRight w:val="0"/>
                      <w:marTop w:val="0"/>
                      <w:marBottom w:val="0"/>
                      <w:divBdr>
                        <w:top w:val="none" w:sz="0" w:space="0" w:color="auto"/>
                        <w:left w:val="none" w:sz="0" w:space="0" w:color="auto"/>
                        <w:bottom w:val="none" w:sz="0" w:space="0" w:color="auto"/>
                        <w:right w:val="none" w:sz="0" w:space="0" w:color="auto"/>
                      </w:divBdr>
                    </w:div>
                  </w:divsChild>
                </w:div>
                <w:div w:id="1074666106">
                  <w:marLeft w:val="0"/>
                  <w:marRight w:val="0"/>
                  <w:marTop w:val="0"/>
                  <w:marBottom w:val="0"/>
                  <w:divBdr>
                    <w:top w:val="none" w:sz="0" w:space="0" w:color="auto"/>
                    <w:left w:val="none" w:sz="0" w:space="0" w:color="auto"/>
                    <w:bottom w:val="none" w:sz="0" w:space="0" w:color="auto"/>
                    <w:right w:val="none" w:sz="0" w:space="0" w:color="auto"/>
                  </w:divBdr>
                  <w:divsChild>
                    <w:div w:id="1250165018">
                      <w:marLeft w:val="0"/>
                      <w:marRight w:val="0"/>
                      <w:marTop w:val="0"/>
                      <w:marBottom w:val="0"/>
                      <w:divBdr>
                        <w:top w:val="none" w:sz="0" w:space="0" w:color="auto"/>
                        <w:left w:val="none" w:sz="0" w:space="0" w:color="auto"/>
                        <w:bottom w:val="none" w:sz="0" w:space="0" w:color="auto"/>
                        <w:right w:val="none" w:sz="0" w:space="0" w:color="auto"/>
                      </w:divBdr>
                    </w:div>
                  </w:divsChild>
                </w:div>
                <w:div w:id="1095246872">
                  <w:marLeft w:val="0"/>
                  <w:marRight w:val="0"/>
                  <w:marTop w:val="0"/>
                  <w:marBottom w:val="0"/>
                  <w:divBdr>
                    <w:top w:val="none" w:sz="0" w:space="0" w:color="auto"/>
                    <w:left w:val="none" w:sz="0" w:space="0" w:color="auto"/>
                    <w:bottom w:val="none" w:sz="0" w:space="0" w:color="auto"/>
                    <w:right w:val="none" w:sz="0" w:space="0" w:color="auto"/>
                  </w:divBdr>
                  <w:divsChild>
                    <w:div w:id="2133740000">
                      <w:marLeft w:val="0"/>
                      <w:marRight w:val="0"/>
                      <w:marTop w:val="0"/>
                      <w:marBottom w:val="0"/>
                      <w:divBdr>
                        <w:top w:val="none" w:sz="0" w:space="0" w:color="auto"/>
                        <w:left w:val="none" w:sz="0" w:space="0" w:color="auto"/>
                        <w:bottom w:val="none" w:sz="0" w:space="0" w:color="auto"/>
                        <w:right w:val="none" w:sz="0" w:space="0" w:color="auto"/>
                      </w:divBdr>
                    </w:div>
                  </w:divsChild>
                </w:div>
                <w:div w:id="1114858708">
                  <w:marLeft w:val="0"/>
                  <w:marRight w:val="0"/>
                  <w:marTop w:val="0"/>
                  <w:marBottom w:val="0"/>
                  <w:divBdr>
                    <w:top w:val="none" w:sz="0" w:space="0" w:color="auto"/>
                    <w:left w:val="none" w:sz="0" w:space="0" w:color="auto"/>
                    <w:bottom w:val="none" w:sz="0" w:space="0" w:color="auto"/>
                    <w:right w:val="none" w:sz="0" w:space="0" w:color="auto"/>
                  </w:divBdr>
                  <w:divsChild>
                    <w:div w:id="1110584822">
                      <w:marLeft w:val="0"/>
                      <w:marRight w:val="0"/>
                      <w:marTop w:val="0"/>
                      <w:marBottom w:val="0"/>
                      <w:divBdr>
                        <w:top w:val="none" w:sz="0" w:space="0" w:color="auto"/>
                        <w:left w:val="none" w:sz="0" w:space="0" w:color="auto"/>
                        <w:bottom w:val="none" w:sz="0" w:space="0" w:color="auto"/>
                        <w:right w:val="none" w:sz="0" w:space="0" w:color="auto"/>
                      </w:divBdr>
                    </w:div>
                  </w:divsChild>
                </w:div>
                <w:div w:id="1117917891">
                  <w:marLeft w:val="0"/>
                  <w:marRight w:val="0"/>
                  <w:marTop w:val="0"/>
                  <w:marBottom w:val="0"/>
                  <w:divBdr>
                    <w:top w:val="none" w:sz="0" w:space="0" w:color="auto"/>
                    <w:left w:val="none" w:sz="0" w:space="0" w:color="auto"/>
                    <w:bottom w:val="none" w:sz="0" w:space="0" w:color="auto"/>
                    <w:right w:val="none" w:sz="0" w:space="0" w:color="auto"/>
                  </w:divBdr>
                  <w:divsChild>
                    <w:div w:id="2106923759">
                      <w:marLeft w:val="0"/>
                      <w:marRight w:val="0"/>
                      <w:marTop w:val="0"/>
                      <w:marBottom w:val="0"/>
                      <w:divBdr>
                        <w:top w:val="none" w:sz="0" w:space="0" w:color="auto"/>
                        <w:left w:val="none" w:sz="0" w:space="0" w:color="auto"/>
                        <w:bottom w:val="none" w:sz="0" w:space="0" w:color="auto"/>
                        <w:right w:val="none" w:sz="0" w:space="0" w:color="auto"/>
                      </w:divBdr>
                    </w:div>
                  </w:divsChild>
                </w:div>
                <w:div w:id="1122533014">
                  <w:marLeft w:val="0"/>
                  <w:marRight w:val="0"/>
                  <w:marTop w:val="0"/>
                  <w:marBottom w:val="0"/>
                  <w:divBdr>
                    <w:top w:val="none" w:sz="0" w:space="0" w:color="auto"/>
                    <w:left w:val="none" w:sz="0" w:space="0" w:color="auto"/>
                    <w:bottom w:val="none" w:sz="0" w:space="0" w:color="auto"/>
                    <w:right w:val="none" w:sz="0" w:space="0" w:color="auto"/>
                  </w:divBdr>
                  <w:divsChild>
                    <w:div w:id="1834561271">
                      <w:marLeft w:val="0"/>
                      <w:marRight w:val="0"/>
                      <w:marTop w:val="0"/>
                      <w:marBottom w:val="0"/>
                      <w:divBdr>
                        <w:top w:val="none" w:sz="0" w:space="0" w:color="auto"/>
                        <w:left w:val="none" w:sz="0" w:space="0" w:color="auto"/>
                        <w:bottom w:val="none" w:sz="0" w:space="0" w:color="auto"/>
                        <w:right w:val="none" w:sz="0" w:space="0" w:color="auto"/>
                      </w:divBdr>
                    </w:div>
                  </w:divsChild>
                </w:div>
                <w:div w:id="1125393925">
                  <w:marLeft w:val="0"/>
                  <w:marRight w:val="0"/>
                  <w:marTop w:val="0"/>
                  <w:marBottom w:val="0"/>
                  <w:divBdr>
                    <w:top w:val="none" w:sz="0" w:space="0" w:color="auto"/>
                    <w:left w:val="none" w:sz="0" w:space="0" w:color="auto"/>
                    <w:bottom w:val="none" w:sz="0" w:space="0" w:color="auto"/>
                    <w:right w:val="none" w:sz="0" w:space="0" w:color="auto"/>
                  </w:divBdr>
                  <w:divsChild>
                    <w:div w:id="850147050">
                      <w:marLeft w:val="0"/>
                      <w:marRight w:val="0"/>
                      <w:marTop w:val="0"/>
                      <w:marBottom w:val="0"/>
                      <w:divBdr>
                        <w:top w:val="none" w:sz="0" w:space="0" w:color="auto"/>
                        <w:left w:val="none" w:sz="0" w:space="0" w:color="auto"/>
                        <w:bottom w:val="none" w:sz="0" w:space="0" w:color="auto"/>
                        <w:right w:val="none" w:sz="0" w:space="0" w:color="auto"/>
                      </w:divBdr>
                    </w:div>
                  </w:divsChild>
                </w:div>
                <w:div w:id="1127579060">
                  <w:marLeft w:val="0"/>
                  <w:marRight w:val="0"/>
                  <w:marTop w:val="0"/>
                  <w:marBottom w:val="0"/>
                  <w:divBdr>
                    <w:top w:val="none" w:sz="0" w:space="0" w:color="auto"/>
                    <w:left w:val="none" w:sz="0" w:space="0" w:color="auto"/>
                    <w:bottom w:val="none" w:sz="0" w:space="0" w:color="auto"/>
                    <w:right w:val="none" w:sz="0" w:space="0" w:color="auto"/>
                  </w:divBdr>
                  <w:divsChild>
                    <w:div w:id="870260616">
                      <w:marLeft w:val="0"/>
                      <w:marRight w:val="0"/>
                      <w:marTop w:val="0"/>
                      <w:marBottom w:val="0"/>
                      <w:divBdr>
                        <w:top w:val="none" w:sz="0" w:space="0" w:color="auto"/>
                        <w:left w:val="none" w:sz="0" w:space="0" w:color="auto"/>
                        <w:bottom w:val="none" w:sz="0" w:space="0" w:color="auto"/>
                        <w:right w:val="none" w:sz="0" w:space="0" w:color="auto"/>
                      </w:divBdr>
                    </w:div>
                  </w:divsChild>
                </w:div>
                <w:div w:id="1182821575">
                  <w:marLeft w:val="0"/>
                  <w:marRight w:val="0"/>
                  <w:marTop w:val="0"/>
                  <w:marBottom w:val="0"/>
                  <w:divBdr>
                    <w:top w:val="none" w:sz="0" w:space="0" w:color="auto"/>
                    <w:left w:val="none" w:sz="0" w:space="0" w:color="auto"/>
                    <w:bottom w:val="none" w:sz="0" w:space="0" w:color="auto"/>
                    <w:right w:val="none" w:sz="0" w:space="0" w:color="auto"/>
                  </w:divBdr>
                  <w:divsChild>
                    <w:div w:id="976489631">
                      <w:marLeft w:val="0"/>
                      <w:marRight w:val="0"/>
                      <w:marTop w:val="0"/>
                      <w:marBottom w:val="0"/>
                      <w:divBdr>
                        <w:top w:val="none" w:sz="0" w:space="0" w:color="auto"/>
                        <w:left w:val="none" w:sz="0" w:space="0" w:color="auto"/>
                        <w:bottom w:val="none" w:sz="0" w:space="0" w:color="auto"/>
                        <w:right w:val="none" w:sz="0" w:space="0" w:color="auto"/>
                      </w:divBdr>
                    </w:div>
                  </w:divsChild>
                </w:div>
                <w:div w:id="1217932999">
                  <w:marLeft w:val="0"/>
                  <w:marRight w:val="0"/>
                  <w:marTop w:val="0"/>
                  <w:marBottom w:val="0"/>
                  <w:divBdr>
                    <w:top w:val="none" w:sz="0" w:space="0" w:color="auto"/>
                    <w:left w:val="none" w:sz="0" w:space="0" w:color="auto"/>
                    <w:bottom w:val="none" w:sz="0" w:space="0" w:color="auto"/>
                    <w:right w:val="none" w:sz="0" w:space="0" w:color="auto"/>
                  </w:divBdr>
                  <w:divsChild>
                    <w:div w:id="1908803663">
                      <w:marLeft w:val="0"/>
                      <w:marRight w:val="0"/>
                      <w:marTop w:val="0"/>
                      <w:marBottom w:val="0"/>
                      <w:divBdr>
                        <w:top w:val="none" w:sz="0" w:space="0" w:color="auto"/>
                        <w:left w:val="none" w:sz="0" w:space="0" w:color="auto"/>
                        <w:bottom w:val="none" w:sz="0" w:space="0" w:color="auto"/>
                        <w:right w:val="none" w:sz="0" w:space="0" w:color="auto"/>
                      </w:divBdr>
                    </w:div>
                  </w:divsChild>
                </w:div>
                <w:div w:id="1223563552">
                  <w:marLeft w:val="0"/>
                  <w:marRight w:val="0"/>
                  <w:marTop w:val="0"/>
                  <w:marBottom w:val="0"/>
                  <w:divBdr>
                    <w:top w:val="none" w:sz="0" w:space="0" w:color="auto"/>
                    <w:left w:val="none" w:sz="0" w:space="0" w:color="auto"/>
                    <w:bottom w:val="none" w:sz="0" w:space="0" w:color="auto"/>
                    <w:right w:val="none" w:sz="0" w:space="0" w:color="auto"/>
                  </w:divBdr>
                  <w:divsChild>
                    <w:div w:id="379868527">
                      <w:marLeft w:val="0"/>
                      <w:marRight w:val="0"/>
                      <w:marTop w:val="0"/>
                      <w:marBottom w:val="0"/>
                      <w:divBdr>
                        <w:top w:val="none" w:sz="0" w:space="0" w:color="auto"/>
                        <w:left w:val="none" w:sz="0" w:space="0" w:color="auto"/>
                        <w:bottom w:val="none" w:sz="0" w:space="0" w:color="auto"/>
                        <w:right w:val="none" w:sz="0" w:space="0" w:color="auto"/>
                      </w:divBdr>
                    </w:div>
                    <w:div w:id="418603728">
                      <w:marLeft w:val="0"/>
                      <w:marRight w:val="0"/>
                      <w:marTop w:val="0"/>
                      <w:marBottom w:val="0"/>
                      <w:divBdr>
                        <w:top w:val="none" w:sz="0" w:space="0" w:color="auto"/>
                        <w:left w:val="none" w:sz="0" w:space="0" w:color="auto"/>
                        <w:bottom w:val="none" w:sz="0" w:space="0" w:color="auto"/>
                        <w:right w:val="none" w:sz="0" w:space="0" w:color="auto"/>
                      </w:divBdr>
                    </w:div>
                    <w:div w:id="814835995">
                      <w:marLeft w:val="0"/>
                      <w:marRight w:val="0"/>
                      <w:marTop w:val="0"/>
                      <w:marBottom w:val="0"/>
                      <w:divBdr>
                        <w:top w:val="none" w:sz="0" w:space="0" w:color="auto"/>
                        <w:left w:val="none" w:sz="0" w:space="0" w:color="auto"/>
                        <w:bottom w:val="none" w:sz="0" w:space="0" w:color="auto"/>
                        <w:right w:val="none" w:sz="0" w:space="0" w:color="auto"/>
                      </w:divBdr>
                    </w:div>
                    <w:div w:id="894657397">
                      <w:marLeft w:val="0"/>
                      <w:marRight w:val="0"/>
                      <w:marTop w:val="0"/>
                      <w:marBottom w:val="0"/>
                      <w:divBdr>
                        <w:top w:val="none" w:sz="0" w:space="0" w:color="auto"/>
                        <w:left w:val="none" w:sz="0" w:space="0" w:color="auto"/>
                        <w:bottom w:val="none" w:sz="0" w:space="0" w:color="auto"/>
                        <w:right w:val="none" w:sz="0" w:space="0" w:color="auto"/>
                      </w:divBdr>
                    </w:div>
                    <w:div w:id="951594055">
                      <w:marLeft w:val="0"/>
                      <w:marRight w:val="0"/>
                      <w:marTop w:val="0"/>
                      <w:marBottom w:val="0"/>
                      <w:divBdr>
                        <w:top w:val="none" w:sz="0" w:space="0" w:color="auto"/>
                        <w:left w:val="none" w:sz="0" w:space="0" w:color="auto"/>
                        <w:bottom w:val="none" w:sz="0" w:space="0" w:color="auto"/>
                        <w:right w:val="none" w:sz="0" w:space="0" w:color="auto"/>
                      </w:divBdr>
                    </w:div>
                    <w:div w:id="1311903140">
                      <w:marLeft w:val="0"/>
                      <w:marRight w:val="0"/>
                      <w:marTop w:val="0"/>
                      <w:marBottom w:val="0"/>
                      <w:divBdr>
                        <w:top w:val="none" w:sz="0" w:space="0" w:color="auto"/>
                        <w:left w:val="none" w:sz="0" w:space="0" w:color="auto"/>
                        <w:bottom w:val="none" w:sz="0" w:space="0" w:color="auto"/>
                        <w:right w:val="none" w:sz="0" w:space="0" w:color="auto"/>
                      </w:divBdr>
                    </w:div>
                    <w:div w:id="1433938235">
                      <w:marLeft w:val="0"/>
                      <w:marRight w:val="0"/>
                      <w:marTop w:val="0"/>
                      <w:marBottom w:val="0"/>
                      <w:divBdr>
                        <w:top w:val="none" w:sz="0" w:space="0" w:color="auto"/>
                        <w:left w:val="none" w:sz="0" w:space="0" w:color="auto"/>
                        <w:bottom w:val="none" w:sz="0" w:space="0" w:color="auto"/>
                        <w:right w:val="none" w:sz="0" w:space="0" w:color="auto"/>
                      </w:divBdr>
                    </w:div>
                    <w:div w:id="1561792452">
                      <w:marLeft w:val="0"/>
                      <w:marRight w:val="0"/>
                      <w:marTop w:val="0"/>
                      <w:marBottom w:val="0"/>
                      <w:divBdr>
                        <w:top w:val="none" w:sz="0" w:space="0" w:color="auto"/>
                        <w:left w:val="none" w:sz="0" w:space="0" w:color="auto"/>
                        <w:bottom w:val="none" w:sz="0" w:space="0" w:color="auto"/>
                        <w:right w:val="none" w:sz="0" w:space="0" w:color="auto"/>
                      </w:divBdr>
                    </w:div>
                    <w:div w:id="1607616842">
                      <w:marLeft w:val="0"/>
                      <w:marRight w:val="0"/>
                      <w:marTop w:val="0"/>
                      <w:marBottom w:val="0"/>
                      <w:divBdr>
                        <w:top w:val="none" w:sz="0" w:space="0" w:color="auto"/>
                        <w:left w:val="none" w:sz="0" w:space="0" w:color="auto"/>
                        <w:bottom w:val="none" w:sz="0" w:space="0" w:color="auto"/>
                        <w:right w:val="none" w:sz="0" w:space="0" w:color="auto"/>
                      </w:divBdr>
                    </w:div>
                    <w:div w:id="1641230118">
                      <w:marLeft w:val="0"/>
                      <w:marRight w:val="0"/>
                      <w:marTop w:val="0"/>
                      <w:marBottom w:val="0"/>
                      <w:divBdr>
                        <w:top w:val="none" w:sz="0" w:space="0" w:color="auto"/>
                        <w:left w:val="none" w:sz="0" w:space="0" w:color="auto"/>
                        <w:bottom w:val="none" w:sz="0" w:space="0" w:color="auto"/>
                        <w:right w:val="none" w:sz="0" w:space="0" w:color="auto"/>
                      </w:divBdr>
                    </w:div>
                  </w:divsChild>
                </w:div>
                <w:div w:id="1232235673">
                  <w:marLeft w:val="0"/>
                  <w:marRight w:val="0"/>
                  <w:marTop w:val="0"/>
                  <w:marBottom w:val="0"/>
                  <w:divBdr>
                    <w:top w:val="none" w:sz="0" w:space="0" w:color="auto"/>
                    <w:left w:val="none" w:sz="0" w:space="0" w:color="auto"/>
                    <w:bottom w:val="none" w:sz="0" w:space="0" w:color="auto"/>
                    <w:right w:val="none" w:sz="0" w:space="0" w:color="auto"/>
                  </w:divBdr>
                  <w:divsChild>
                    <w:div w:id="979651197">
                      <w:marLeft w:val="0"/>
                      <w:marRight w:val="0"/>
                      <w:marTop w:val="0"/>
                      <w:marBottom w:val="0"/>
                      <w:divBdr>
                        <w:top w:val="none" w:sz="0" w:space="0" w:color="auto"/>
                        <w:left w:val="none" w:sz="0" w:space="0" w:color="auto"/>
                        <w:bottom w:val="none" w:sz="0" w:space="0" w:color="auto"/>
                        <w:right w:val="none" w:sz="0" w:space="0" w:color="auto"/>
                      </w:divBdr>
                    </w:div>
                  </w:divsChild>
                </w:div>
                <w:div w:id="1241717062">
                  <w:marLeft w:val="0"/>
                  <w:marRight w:val="0"/>
                  <w:marTop w:val="0"/>
                  <w:marBottom w:val="0"/>
                  <w:divBdr>
                    <w:top w:val="none" w:sz="0" w:space="0" w:color="auto"/>
                    <w:left w:val="none" w:sz="0" w:space="0" w:color="auto"/>
                    <w:bottom w:val="none" w:sz="0" w:space="0" w:color="auto"/>
                    <w:right w:val="none" w:sz="0" w:space="0" w:color="auto"/>
                  </w:divBdr>
                  <w:divsChild>
                    <w:div w:id="183566668">
                      <w:marLeft w:val="0"/>
                      <w:marRight w:val="0"/>
                      <w:marTop w:val="0"/>
                      <w:marBottom w:val="0"/>
                      <w:divBdr>
                        <w:top w:val="none" w:sz="0" w:space="0" w:color="auto"/>
                        <w:left w:val="none" w:sz="0" w:space="0" w:color="auto"/>
                        <w:bottom w:val="none" w:sz="0" w:space="0" w:color="auto"/>
                        <w:right w:val="none" w:sz="0" w:space="0" w:color="auto"/>
                      </w:divBdr>
                    </w:div>
                  </w:divsChild>
                </w:div>
                <w:div w:id="1279947207">
                  <w:marLeft w:val="0"/>
                  <w:marRight w:val="0"/>
                  <w:marTop w:val="0"/>
                  <w:marBottom w:val="0"/>
                  <w:divBdr>
                    <w:top w:val="none" w:sz="0" w:space="0" w:color="auto"/>
                    <w:left w:val="none" w:sz="0" w:space="0" w:color="auto"/>
                    <w:bottom w:val="none" w:sz="0" w:space="0" w:color="auto"/>
                    <w:right w:val="none" w:sz="0" w:space="0" w:color="auto"/>
                  </w:divBdr>
                  <w:divsChild>
                    <w:div w:id="1481340938">
                      <w:marLeft w:val="0"/>
                      <w:marRight w:val="0"/>
                      <w:marTop w:val="0"/>
                      <w:marBottom w:val="0"/>
                      <w:divBdr>
                        <w:top w:val="none" w:sz="0" w:space="0" w:color="auto"/>
                        <w:left w:val="none" w:sz="0" w:space="0" w:color="auto"/>
                        <w:bottom w:val="none" w:sz="0" w:space="0" w:color="auto"/>
                        <w:right w:val="none" w:sz="0" w:space="0" w:color="auto"/>
                      </w:divBdr>
                    </w:div>
                  </w:divsChild>
                </w:div>
                <w:div w:id="1283806539">
                  <w:marLeft w:val="0"/>
                  <w:marRight w:val="0"/>
                  <w:marTop w:val="0"/>
                  <w:marBottom w:val="0"/>
                  <w:divBdr>
                    <w:top w:val="none" w:sz="0" w:space="0" w:color="auto"/>
                    <w:left w:val="none" w:sz="0" w:space="0" w:color="auto"/>
                    <w:bottom w:val="none" w:sz="0" w:space="0" w:color="auto"/>
                    <w:right w:val="none" w:sz="0" w:space="0" w:color="auto"/>
                  </w:divBdr>
                  <w:divsChild>
                    <w:div w:id="744106633">
                      <w:marLeft w:val="0"/>
                      <w:marRight w:val="0"/>
                      <w:marTop w:val="0"/>
                      <w:marBottom w:val="0"/>
                      <w:divBdr>
                        <w:top w:val="none" w:sz="0" w:space="0" w:color="auto"/>
                        <w:left w:val="none" w:sz="0" w:space="0" w:color="auto"/>
                        <w:bottom w:val="none" w:sz="0" w:space="0" w:color="auto"/>
                        <w:right w:val="none" w:sz="0" w:space="0" w:color="auto"/>
                      </w:divBdr>
                    </w:div>
                  </w:divsChild>
                </w:div>
                <w:div w:id="1297174915">
                  <w:marLeft w:val="0"/>
                  <w:marRight w:val="0"/>
                  <w:marTop w:val="0"/>
                  <w:marBottom w:val="0"/>
                  <w:divBdr>
                    <w:top w:val="none" w:sz="0" w:space="0" w:color="auto"/>
                    <w:left w:val="none" w:sz="0" w:space="0" w:color="auto"/>
                    <w:bottom w:val="none" w:sz="0" w:space="0" w:color="auto"/>
                    <w:right w:val="none" w:sz="0" w:space="0" w:color="auto"/>
                  </w:divBdr>
                  <w:divsChild>
                    <w:div w:id="726146375">
                      <w:marLeft w:val="0"/>
                      <w:marRight w:val="0"/>
                      <w:marTop w:val="0"/>
                      <w:marBottom w:val="0"/>
                      <w:divBdr>
                        <w:top w:val="none" w:sz="0" w:space="0" w:color="auto"/>
                        <w:left w:val="none" w:sz="0" w:space="0" w:color="auto"/>
                        <w:bottom w:val="none" w:sz="0" w:space="0" w:color="auto"/>
                        <w:right w:val="none" w:sz="0" w:space="0" w:color="auto"/>
                      </w:divBdr>
                    </w:div>
                  </w:divsChild>
                </w:div>
                <w:div w:id="1302075341">
                  <w:marLeft w:val="0"/>
                  <w:marRight w:val="0"/>
                  <w:marTop w:val="0"/>
                  <w:marBottom w:val="0"/>
                  <w:divBdr>
                    <w:top w:val="none" w:sz="0" w:space="0" w:color="auto"/>
                    <w:left w:val="none" w:sz="0" w:space="0" w:color="auto"/>
                    <w:bottom w:val="none" w:sz="0" w:space="0" w:color="auto"/>
                    <w:right w:val="none" w:sz="0" w:space="0" w:color="auto"/>
                  </w:divBdr>
                  <w:divsChild>
                    <w:div w:id="491335782">
                      <w:marLeft w:val="0"/>
                      <w:marRight w:val="0"/>
                      <w:marTop w:val="0"/>
                      <w:marBottom w:val="0"/>
                      <w:divBdr>
                        <w:top w:val="none" w:sz="0" w:space="0" w:color="auto"/>
                        <w:left w:val="none" w:sz="0" w:space="0" w:color="auto"/>
                        <w:bottom w:val="none" w:sz="0" w:space="0" w:color="auto"/>
                        <w:right w:val="none" w:sz="0" w:space="0" w:color="auto"/>
                      </w:divBdr>
                    </w:div>
                  </w:divsChild>
                </w:div>
                <w:div w:id="1325813956">
                  <w:marLeft w:val="0"/>
                  <w:marRight w:val="0"/>
                  <w:marTop w:val="0"/>
                  <w:marBottom w:val="0"/>
                  <w:divBdr>
                    <w:top w:val="none" w:sz="0" w:space="0" w:color="auto"/>
                    <w:left w:val="none" w:sz="0" w:space="0" w:color="auto"/>
                    <w:bottom w:val="none" w:sz="0" w:space="0" w:color="auto"/>
                    <w:right w:val="none" w:sz="0" w:space="0" w:color="auto"/>
                  </w:divBdr>
                  <w:divsChild>
                    <w:div w:id="619841195">
                      <w:marLeft w:val="0"/>
                      <w:marRight w:val="0"/>
                      <w:marTop w:val="0"/>
                      <w:marBottom w:val="0"/>
                      <w:divBdr>
                        <w:top w:val="none" w:sz="0" w:space="0" w:color="auto"/>
                        <w:left w:val="none" w:sz="0" w:space="0" w:color="auto"/>
                        <w:bottom w:val="none" w:sz="0" w:space="0" w:color="auto"/>
                        <w:right w:val="none" w:sz="0" w:space="0" w:color="auto"/>
                      </w:divBdr>
                    </w:div>
                  </w:divsChild>
                </w:div>
                <w:div w:id="1353149709">
                  <w:marLeft w:val="0"/>
                  <w:marRight w:val="0"/>
                  <w:marTop w:val="0"/>
                  <w:marBottom w:val="0"/>
                  <w:divBdr>
                    <w:top w:val="none" w:sz="0" w:space="0" w:color="auto"/>
                    <w:left w:val="none" w:sz="0" w:space="0" w:color="auto"/>
                    <w:bottom w:val="none" w:sz="0" w:space="0" w:color="auto"/>
                    <w:right w:val="none" w:sz="0" w:space="0" w:color="auto"/>
                  </w:divBdr>
                  <w:divsChild>
                    <w:div w:id="858809353">
                      <w:marLeft w:val="0"/>
                      <w:marRight w:val="0"/>
                      <w:marTop w:val="0"/>
                      <w:marBottom w:val="0"/>
                      <w:divBdr>
                        <w:top w:val="none" w:sz="0" w:space="0" w:color="auto"/>
                        <w:left w:val="none" w:sz="0" w:space="0" w:color="auto"/>
                        <w:bottom w:val="none" w:sz="0" w:space="0" w:color="auto"/>
                        <w:right w:val="none" w:sz="0" w:space="0" w:color="auto"/>
                      </w:divBdr>
                    </w:div>
                  </w:divsChild>
                </w:div>
                <w:div w:id="1359158542">
                  <w:marLeft w:val="0"/>
                  <w:marRight w:val="0"/>
                  <w:marTop w:val="0"/>
                  <w:marBottom w:val="0"/>
                  <w:divBdr>
                    <w:top w:val="none" w:sz="0" w:space="0" w:color="auto"/>
                    <w:left w:val="none" w:sz="0" w:space="0" w:color="auto"/>
                    <w:bottom w:val="none" w:sz="0" w:space="0" w:color="auto"/>
                    <w:right w:val="none" w:sz="0" w:space="0" w:color="auto"/>
                  </w:divBdr>
                  <w:divsChild>
                    <w:div w:id="1165320985">
                      <w:marLeft w:val="0"/>
                      <w:marRight w:val="0"/>
                      <w:marTop w:val="0"/>
                      <w:marBottom w:val="0"/>
                      <w:divBdr>
                        <w:top w:val="none" w:sz="0" w:space="0" w:color="auto"/>
                        <w:left w:val="none" w:sz="0" w:space="0" w:color="auto"/>
                        <w:bottom w:val="none" w:sz="0" w:space="0" w:color="auto"/>
                        <w:right w:val="none" w:sz="0" w:space="0" w:color="auto"/>
                      </w:divBdr>
                    </w:div>
                  </w:divsChild>
                </w:div>
                <w:div w:id="1363896191">
                  <w:marLeft w:val="0"/>
                  <w:marRight w:val="0"/>
                  <w:marTop w:val="0"/>
                  <w:marBottom w:val="0"/>
                  <w:divBdr>
                    <w:top w:val="none" w:sz="0" w:space="0" w:color="auto"/>
                    <w:left w:val="none" w:sz="0" w:space="0" w:color="auto"/>
                    <w:bottom w:val="none" w:sz="0" w:space="0" w:color="auto"/>
                    <w:right w:val="none" w:sz="0" w:space="0" w:color="auto"/>
                  </w:divBdr>
                  <w:divsChild>
                    <w:div w:id="499464775">
                      <w:marLeft w:val="0"/>
                      <w:marRight w:val="0"/>
                      <w:marTop w:val="0"/>
                      <w:marBottom w:val="0"/>
                      <w:divBdr>
                        <w:top w:val="none" w:sz="0" w:space="0" w:color="auto"/>
                        <w:left w:val="none" w:sz="0" w:space="0" w:color="auto"/>
                        <w:bottom w:val="none" w:sz="0" w:space="0" w:color="auto"/>
                        <w:right w:val="none" w:sz="0" w:space="0" w:color="auto"/>
                      </w:divBdr>
                    </w:div>
                    <w:div w:id="812218992">
                      <w:marLeft w:val="0"/>
                      <w:marRight w:val="0"/>
                      <w:marTop w:val="0"/>
                      <w:marBottom w:val="0"/>
                      <w:divBdr>
                        <w:top w:val="none" w:sz="0" w:space="0" w:color="auto"/>
                        <w:left w:val="none" w:sz="0" w:space="0" w:color="auto"/>
                        <w:bottom w:val="none" w:sz="0" w:space="0" w:color="auto"/>
                        <w:right w:val="none" w:sz="0" w:space="0" w:color="auto"/>
                      </w:divBdr>
                    </w:div>
                    <w:div w:id="1245186036">
                      <w:marLeft w:val="0"/>
                      <w:marRight w:val="0"/>
                      <w:marTop w:val="0"/>
                      <w:marBottom w:val="0"/>
                      <w:divBdr>
                        <w:top w:val="none" w:sz="0" w:space="0" w:color="auto"/>
                        <w:left w:val="none" w:sz="0" w:space="0" w:color="auto"/>
                        <w:bottom w:val="none" w:sz="0" w:space="0" w:color="auto"/>
                        <w:right w:val="none" w:sz="0" w:space="0" w:color="auto"/>
                      </w:divBdr>
                    </w:div>
                    <w:div w:id="1574048355">
                      <w:marLeft w:val="0"/>
                      <w:marRight w:val="0"/>
                      <w:marTop w:val="0"/>
                      <w:marBottom w:val="0"/>
                      <w:divBdr>
                        <w:top w:val="none" w:sz="0" w:space="0" w:color="auto"/>
                        <w:left w:val="none" w:sz="0" w:space="0" w:color="auto"/>
                        <w:bottom w:val="none" w:sz="0" w:space="0" w:color="auto"/>
                        <w:right w:val="none" w:sz="0" w:space="0" w:color="auto"/>
                      </w:divBdr>
                    </w:div>
                    <w:div w:id="1934973905">
                      <w:marLeft w:val="0"/>
                      <w:marRight w:val="0"/>
                      <w:marTop w:val="0"/>
                      <w:marBottom w:val="0"/>
                      <w:divBdr>
                        <w:top w:val="none" w:sz="0" w:space="0" w:color="auto"/>
                        <w:left w:val="none" w:sz="0" w:space="0" w:color="auto"/>
                        <w:bottom w:val="none" w:sz="0" w:space="0" w:color="auto"/>
                        <w:right w:val="none" w:sz="0" w:space="0" w:color="auto"/>
                      </w:divBdr>
                    </w:div>
                    <w:div w:id="2100059654">
                      <w:marLeft w:val="0"/>
                      <w:marRight w:val="0"/>
                      <w:marTop w:val="0"/>
                      <w:marBottom w:val="0"/>
                      <w:divBdr>
                        <w:top w:val="none" w:sz="0" w:space="0" w:color="auto"/>
                        <w:left w:val="none" w:sz="0" w:space="0" w:color="auto"/>
                        <w:bottom w:val="none" w:sz="0" w:space="0" w:color="auto"/>
                        <w:right w:val="none" w:sz="0" w:space="0" w:color="auto"/>
                      </w:divBdr>
                    </w:div>
                  </w:divsChild>
                </w:div>
                <w:div w:id="1366981739">
                  <w:marLeft w:val="0"/>
                  <w:marRight w:val="0"/>
                  <w:marTop w:val="0"/>
                  <w:marBottom w:val="0"/>
                  <w:divBdr>
                    <w:top w:val="none" w:sz="0" w:space="0" w:color="auto"/>
                    <w:left w:val="none" w:sz="0" w:space="0" w:color="auto"/>
                    <w:bottom w:val="none" w:sz="0" w:space="0" w:color="auto"/>
                    <w:right w:val="none" w:sz="0" w:space="0" w:color="auto"/>
                  </w:divBdr>
                  <w:divsChild>
                    <w:div w:id="576937335">
                      <w:marLeft w:val="0"/>
                      <w:marRight w:val="0"/>
                      <w:marTop w:val="0"/>
                      <w:marBottom w:val="0"/>
                      <w:divBdr>
                        <w:top w:val="none" w:sz="0" w:space="0" w:color="auto"/>
                        <w:left w:val="none" w:sz="0" w:space="0" w:color="auto"/>
                        <w:bottom w:val="none" w:sz="0" w:space="0" w:color="auto"/>
                        <w:right w:val="none" w:sz="0" w:space="0" w:color="auto"/>
                      </w:divBdr>
                    </w:div>
                  </w:divsChild>
                </w:div>
                <w:div w:id="1375883638">
                  <w:marLeft w:val="0"/>
                  <w:marRight w:val="0"/>
                  <w:marTop w:val="0"/>
                  <w:marBottom w:val="0"/>
                  <w:divBdr>
                    <w:top w:val="none" w:sz="0" w:space="0" w:color="auto"/>
                    <w:left w:val="none" w:sz="0" w:space="0" w:color="auto"/>
                    <w:bottom w:val="none" w:sz="0" w:space="0" w:color="auto"/>
                    <w:right w:val="none" w:sz="0" w:space="0" w:color="auto"/>
                  </w:divBdr>
                  <w:divsChild>
                    <w:div w:id="1096169872">
                      <w:marLeft w:val="0"/>
                      <w:marRight w:val="0"/>
                      <w:marTop w:val="0"/>
                      <w:marBottom w:val="0"/>
                      <w:divBdr>
                        <w:top w:val="none" w:sz="0" w:space="0" w:color="auto"/>
                        <w:left w:val="none" w:sz="0" w:space="0" w:color="auto"/>
                        <w:bottom w:val="none" w:sz="0" w:space="0" w:color="auto"/>
                        <w:right w:val="none" w:sz="0" w:space="0" w:color="auto"/>
                      </w:divBdr>
                    </w:div>
                  </w:divsChild>
                </w:div>
                <w:div w:id="1391542222">
                  <w:marLeft w:val="0"/>
                  <w:marRight w:val="0"/>
                  <w:marTop w:val="0"/>
                  <w:marBottom w:val="0"/>
                  <w:divBdr>
                    <w:top w:val="none" w:sz="0" w:space="0" w:color="auto"/>
                    <w:left w:val="none" w:sz="0" w:space="0" w:color="auto"/>
                    <w:bottom w:val="none" w:sz="0" w:space="0" w:color="auto"/>
                    <w:right w:val="none" w:sz="0" w:space="0" w:color="auto"/>
                  </w:divBdr>
                  <w:divsChild>
                    <w:div w:id="833255785">
                      <w:marLeft w:val="0"/>
                      <w:marRight w:val="0"/>
                      <w:marTop w:val="0"/>
                      <w:marBottom w:val="0"/>
                      <w:divBdr>
                        <w:top w:val="none" w:sz="0" w:space="0" w:color="auto"/>
                        <w:left w:val="none" w:sz="0" w:space="0" w:color="auto"/>
                        <w:bottom w:val="none" w:sz="0" w:space="0" w:color="auto"/>
                        <w:right w:val="none" w:sz="0" w:space="0" w:color="auto"/>
                      </w:divBdr>
                    </w:div>
                  </w:divsChild>
                </w:div>
                <w:div w:id="1406607102">
                  <w:marLeft w:val="0"/>
                  <w:marRight w:val="0"/>
                  <w:marTop w:val="0"/>
                  <w:marBottom w:val="0"/>
                  <w:divBdr>
                    <w:top w:val="none" w:sz="0" w:space="0" w:color="auto"/>
                    <w:left w:val="none" w:sz="0" w:space="0" w:color="auto"/>
                    <w:bottom w:val="none" w:sz="0" w:space="0" w:color="auto"/>
                    <w:right w:val="none" w:sz="0" w:space="0" w:color="auto"/>
                  </w:divBdr>
                  <w:divsChild>
                    <w:div w:id="474764363">
                      <w:marLeft w:val="0"/>
                      <w:marRight w:val="0"/>
                      <w:marTop w:val="0"/>
                      <w:marBottom w:val="0"/>
                      <w:divBdr>
                        <w:top w:val="none" w:sz="0" w:space="0" w:color="auto"/>
                        <w:left w:val="none" w:sz="0" w:space="0" w:color="auto"/>
                        <w:bottom w:val="none" w:sz="0" w:space="0" w:color="auto"/>
                        <w:right w:val="none" w:sz="0" w:space="0" w:color="auto"/>
                      </w:divBdr>
                    </w:div>
                  </w:divsChild>
                </w:div>
                <w:div w:id="1407804648">
                  <w:marLeft w:val="0"/>
                  <w:marRight w:val="0"/>
                  <w:marTop w:val="0"/>
                  <w:marBottom w:val="0"/>
                  <w:divBdr>
                    <w:top w:val="none" w:sz="0" w:space="0" w:color="auto"/>
                    <w:left w:val="none" w:sz="0" w:space="0" w:color="auto"/>
                    <w:bottom w:val="none" w:sz="0" w:space="0" w:color="auto"/>
                    <w:right w:val="none" w:sz="0" w:space="0" w:color="auto"/>
                  </w:divBdr>
                  <w:divsChild>
                    <w:div w:id="343098061">
                      <w:marLeft w:val="0"/>
                      <w:marRight w:val="0"/>
                      <w:marTop w:val="0"/>
                      <w:marBottom w:val="0"/>
                      <w:divBdr>
                        <w:top w:val="none" w:sz="0" w:space="0" w:color="auto"/>
                        <w:left w:val="none" w:sz="0" w:space="0" w:color="auto"/>
                        <w:bottom w:val="none" w:sz="0" w:space="0" w:color="auto"/>
                        <w:right w:val="none" w:sz="0" w:space="0" w:color="auto"/>
                      </w:divBdr>
                    </w:div>
                  </w:divsChild>
                </w:div>
                <w:div w:id="1421368503">
                  <w:marLeft w:val="0"/>
                  <w:marRight w:val="0"/>
                  <w:marTop w:val="0"/>
                  <w:marBottom w:val="0"/>
                  <w:divBdr>
                    <w:top w:val="none" w:sz="0" w:space="0" w:color="auto"/>
                    <w:left w:val="none" w:sz="0" w:space="0" w:color="auto"/>
                    <w:bottom w:val="none" w:sz="0" w:space="0" w:color="auto"/>
                    <w:right w:val="none" w:sz="0" w:space="0" w:color="auto"/>
                  </w:divBdr>
                  <w:divsChild>
                    <w:div w:id="1564947455">
                      <w:marLeft w:val="0"/>
                      <w:marRight w:val="0"/>
                      <w:marTop w:val="0"/>
                      <w:marBottom w:val="0"/>
                      <w:divBdr>
                        <w:top w:val="none" w:sz="0" w:space="0" w:color="auto"/>
                        <w:left w:val="none" w:sz="0" w:space="0" w:color="auto"/>
                        <w:bottom w:val="none" w:sz="0" w:space="0" w:color="auto"/>
                        <w:right w:val="none" w:sz="0" w:space="0" w:color="auto"/>
                      </w:divBdr>
                    </w:div>
                  </w:divsChild>
                </w:div>
                <w:div w:id="1437478153">
                  <w:marLeft w:val="0"/>
                  <w:marRight w:val="0"/>
                  <w:marTop w:val="0"/>
                  <w:marBottom w:val="0"/>
                  <w:divBdr>
                    <w:top w:val="none" w:sz="0" w:space="0" w:color="auto"/>
                    <w:left w:val="none" w:sz="0" w:space="0" w:color="auto"/>
                    <w:bottom w:val="none" w:sz="0" w:space="0" w:color="auto"/>
                    <w:right w:val="none" w:sz="0" w:space="0" w:color="auto"/>
                  </w:divBdr>
                  <w:divsChild>
                    <w:div w:id="1222521358">
                      <w:marLeft w:val="0"/>
                      <w:marRight w:val="0"/>
                      <w:marTop w:val="0"/>
                      <w:marBottom w:val="0"/>
                      <w:divBdr>
                        <w:top w:val="none" w:sz="0" w:space="0" w:color="auto"/>
                        <w:left w:val="none" w:sz="0" w:space="0" w:color="auto"/>
                        <w:bottom w:val="none" w:sz="0" w:space="0" w:color="auto"/>
                        <w:right w:val="none" w:sz="0" w:space="0" w:color="auto"/>
                      </w:divBdr>
                    </w:div>
                  </w:divsChild>
                </w:div>
                <w:div w:id="1456489247">
                  <w:marLeft w:val="0"/>
                  <w:marRight w:val="0"/>
                  <w:marTop w:val="0"/>
                  <w:marBottom w:val="0"/>
                  <w:divBdr>
                    <w:top w:val="none" w:sz="0" w:space="0" w:color="auto"/>
                    <w:left w:val="none" w:sz="0" w:space="0" w:color="auto"/>
                    <w:bottom w:val="none" w:sz="0" w:space="0" w:color="auto"/>
                    <w:right w:val="none" w:sz="0" w:space="0" w:color="auto"/>
                  </w:divBdr>
                  <w:divsChild>
                    <w:div w:id="1996451890">
                      <w:marLeft w:val="0"/>
                      <w:marRight w:val="0"/>
                      <w:marTop w:val="0"/>
                      <w:marBottom w:val="0"/>
                      <w:divBdr>
                        <w:top w:val="none" w:sz="0" w:space="0" w:color="auto"/>
                        <w:left w:val="none" w:sz="0" w:space="0" w:color="auto"/>
                        <w:bottom w:val="none" w:sz="0" w:space="0" w:color="auto"/>
                        <w:right w:val="none" w:sz="0" w:space="0" w:color="auto"/>
                      </w:divBdr>
                    </w:div>
                  </w:divsChild>
                </w:div>
                <w:div w:id="1485387142">
                  <w:marLeft w:val="0"/>
                  <w:marRight w:val="0"/>
                  <w:marTop w:val="0"/>
                  <w:marBottom w:val="0"/>
                  <w:divBdr>
                    <w:top w:val="none" w:sz="0" w:space="0" w:color="auto"/>
                    <w:left w:val="none" w:sz="0" w:space="0" w:color="auto"/>
                    <w:bottom w:val="none" w:sz="0" w:space="0" w:color="auto"/>
                    <w:right w:val="none" w:sz="0" w:space="0" w:color="auto"/>
                  </w:divBdr>
                  <w:divsChild>
                    <w:div w:id="1847016391">
                      <w:marLeft w:val="0"/>
                      <w:marRight w:val="0"/>
                      <w:marTop w:val="0"/>
                      <w:marBottom w:val="0"/>
                      <w:divBdr>
                        <w:top w:val="none" w:sz="0" w:space="0" w:color="auto"/>
                        <w:left w:val="none" w:sz="0" w:space="0" w:color="auto"/>
                        <w:bottom w:val="none" w:sz="0" w:space="0" w:color="auto"/>
                        <w:right w:val="none" w:sz="0" w:space="0" w:color="auto"/>
                      </w:divBdr>
                    </w:div>
                  </w:divsChild>
                </w:div>
                <w:div w:id="1491217485">
                  <w:marLeft w:val="0"/>
                  <w:marRight w:val="0"/>
                  <w:marTop w:val="0"/>
                  <w:marBottom w:val="0"/>
                  <w:divBdr>
                    <w:top w:val="none" w:sz="0" w:space="0" w:color="auto"/>
                    <w:left w:val="none" w:sz="0" w:space="0" w:color="auto"/>
                    <w:bottom w:val="none" w:sz="0" w:space="0" w:color="auto"/>
                    <w:right w:val="none" w:sz="0" w:space="0" w:color="auto"/>
                  </w:divBdr>
                  <w:divsChild>
                    <w:div w:id="1369990857">
                      <w:marLeft w:val="0"/>
                      <w:marRight w:val="0"/>
                      <w:marTop w:val="0"/>
                      <w:marBottom w:val="0"/>
                      <w:divBdr>
                        <w:top w:val="none" w:sz="0" w:space="0" w:color="auto"/>
                        <w:left w:val="none" w:sz="0" w:space="0" w:color="auto"/>
                        <w:bottom w:val="none" w:sz="0" w:space="0" w:color="auto"/>
                        <w:right w:val="none" w:sz="0" w:space="0" w:color="auto"/>
                      </w:divBdr>
                    </w:div>
                  </w:divsChild>
                </w:div>
                <w:div w:id="1491679024">
                  <w:marLeft w:val="0"/>
                  <w:marRight w:val="0"/>
                  <w:marTop w:val="0"/>
                  <w:marBottom w:val="0"/>
                  <w:divBdr>
                    <w:top w:val="none" w:sz="0" w:space="0" w:color="auto"/>
                    <w:left w:val="none" w:sz="0" w:space="0" w:color="auto"/>
                    <w:bottom w:val="none" w:sz="0" w:space="0" w:color="auto"/>
                    <w:right w:val="none" w:sz="0" w:space="0" w:color="auto"/>
                  </w:divBdr>
                  <w:divsChild>
                    <w:div w:id="378601531">
                      <w:marLeft w:val="0"/>
                      <w:marRight w:val="0"/>
                      <w:marTop w:val="0"/>
                      <w:marBottom w:val="0"/>
                      <w:divBdr>
                        <w:top w:val="none" w:sz="0" w:space="0" w:color="auto"/>
                        <w:left w:val="none" w:sz="0" w:space="0" w:color="auto"/>
                        <w:bottom w:val="none" w:sz="0" w:space="0" w:color="auto"/>
                        <w:right w:val="none" w:sz="0" w:space="0" w:color="auto"/>
                      </w:divBdr>
                    </w:div>
                  </w:divsChild>
                </w:div>
                <w:div w:id="1510943605">
                  <w:marLeft w:val="0"/>
                  <w:marRight w:val="0"/>
                  <w:marTop w:val="0"/>
                  <w:marBottom w:val="0"/>
                  <w:divBdr>
                    <w:top w:val="none" w:sz="0" w:space="0" w:color="auto"/>
                    <w:left w:val="none" w:sz="0" w:space="0" w:color="auto"/>
                    <w:bottom w:val="none" w:sz="0" w:space="0" w:color="auto"/>
                    <w:right w:val="none" w:sz="0" w:space="0" w:color="auto"/>
                  </w:divBdr>
                  <w:divsChild>
                    <w:div w:id="1228608045">
                      <w:marLeft w:val="0"/>
                      <w:marRight w:val="0"/>
                      <w:marTop w:val="0"/>
                      <w:marBottom w:val="0"/>
                      <w:divBdr>
                        <w:top w:val="none" w:sz="0" w:space="0" w:color="auto"/>
                        <w:left w:val="none" w:sz="0" w:space="0" w:color="auto"/>
                        <w:bottom w:val="none" w:sz="0" w:space="0" w:color="auto"/>
                        <w:right w:val="none" w:sz="0" w:space="0" w:color="auto"/>
                      </w:divBdr>
                    </w:div>
                  </w:divsChild>
                </w:div>
                <w:div w:id="1524317213">
                  <w:marLeft w:val="0"/>
                  <w:marRight w:val="0"/>
                  <w:marTop w:val="0"/>
                  <w:marBottom w:val="0"/>
                  <w:divBdr>
                    <w:top w:val="none" w:sz="0" w:space="0" w:color="auto"/>
                    <w:left w:val="none" w:sz="0" w:space="0" w:color="auto"/>
                    <w:bottom w:val="none" w:sz="0" w:space="0" w:color="auto"/>
                    <w:right w:val="none" w:sz="0" w:space="0" w:color="auto"/>
                  </w:divBdr>
                  <w:divsChild>
                    <w:div w:id="2094625232">
                      <w:marLeft w:val="0"/>
                      <w:marRight w:val="0"/>
                      <w:marTop w:val="0"/>
                      <w:marBottom w:val="0"/>
                      <w:divBdr>
                        <w:top w:val="none" w:sz="0" w:space="0" w:color="auto"/>
                        <w:left w:val="none" w:sz="0" w:space="0" w:color="auto"/>
                        <w:bottom w:val="none" w:sz="0" w:space="0" w:color="auto"/>
                        <w:right w:val="none" w:sz="0" w:space="0" w:color="auto"/>
                      </w:divBdr>
                    </w:div>
                  </w:divsChild>
                </w:div>
                <w:div w:id="1524438873">
                  <w:marLeft w:val="0"/>
                  <w:marRight w:val="0"/>
                  <w:marTop w:val="0"/>
                  <w:marBottom w:val="0"/>
                  <w:divBdr>
                    <w:top w:val="none" w:sz="0" w:space="0" w:color="auto"/>
                    <w:left w:val="none" w:sz="0" w:space="0" w:color="auto"/>
                    <w:bottom w:val="none" w:sz="0" w:space="0" w:color="auto"/>
                    <w:right w:val="none" w:sz="0" w:space="0" w:color="auto"/>
                  </w:divBdr>
                  <w:divsChild>
                    <w:div w:id="696084493">
                      <w:marLeft w:val="0"/>
                      <w:marRight w:val="0"/>
                      <w:marTop w:val="0"/>
                      <w:marBottom w:val="0"/>
                      <w:divBdr>
                        <w:top w:val="none" w:sz="0" w:space="0" w:color="auto"/>
                        <w:left w:val="none" w:sz="0" w:space="0" w:color="auto"/>
                        <w:bottom w:val="none" w:sz="0" w:space="0" w:color="auto"/>
                        <w:right w:val="none" w:sz="0" w:space="0" w:color="auto"/>
                      </w:divBdr>
                    </w:div>
                  </w:divsChild>
                </w:div>
                <w:div w:id="1531603911">
                  <w:marLeft w:val="0"/>
                  <w:marRight w:val="0"/>
                  <w:marTop w:val="0"/>
                  <w:marBottom w:val="0"/>
                  <w:divBdr>
                    <w:top w:val="none" w:sz="0" w:space="0" w:color="auto"/>
                    <w:left w:val="none" w:sz="0" w:space="0" w:color="auto"/>
                    <w:bottom w:val="none" w:sz="0" w:space="0" w:color="auto"/>
                    <w:right w:val="none" w:sz="0" w:space="0" w:color="auto"/>
                  </w:divBdr>
                  <w:divsChild>
                    <w:div w:id="646007592">
                      <w:marLeft w:val="0"/>
                      <w:marRight w:val="0"/>
                      <w:marTop w:val="0"/>
                      <w:marBottom w:val="0"/>
                      <w:divBdr>
                        <w:top w:val="none" w:sz="0" w:space="0" w:color="auto"/>
                        <w:left w:val="none" w:sz="0" w:space="0" w:color="auto"/>
                        <w:bottom w:val="none" w:sz="0" w:space="0" w:color="auto"/>
                        <w:right w:val="none" w:sz="0" w:space="0" w:color="auto"/>
                      </w:divBdr>
                    </w:div>
                  </w:divsChild>
                </w:div>
                <w:div w:id="1533306396">
                  <w:marLeft w:val="0"/>
                  <w:marRight w:val="0"/>
                  <w:marTop w:val="0"/>
                  <w:marBottom w:val="0"/>
                  <w:divBdr>
                    <w:top w:val="none" w:sz="0" w:space="0" w:color="auto"/>
                    <w:left w:val="none" w:sz="0" w:space="0" w:color="auto"/>
                    <w:bottom w:val="none" w:sz="0" w:space="0" w:color="auto"/>
                    <w:right w:val="none" w:sz="0" w:space="0" w:color="auto"/>
                  </w:divBdr>
                  <w:divsChild>
                    <w:div w:id="400759782">
                      <w:marLeft w:val="0"/>
                      <w:marRight w:val="0"/>
                      <w:marTop w:val="0"/>
                      <w:marBottom w:val="0"/>
                      <w:divBdr>
                        <w:top w:val="none" w:sz="0" w:space="0" w:color="auto"/>
                        <w:left w:val="none" w:sz="0" w:space="0" w:color="auto"/>
                        <w:bottom w:val="none" w:sz="0" w:space="0" w:color="auto"/>
                        <w:right w:val="none" w:sz="0" w:space="0" w:color="auto"/>
                      </w:divBdr>
                    </w:div>
                  </w:divsChild>
                </w:div>
                <w:div w:id="1558475329">
                  <w:marLeft w:val="0"/>
                  <w:marRight w:val="0"/>
                  <w:marTop w:val="0"/>
                  <w:marBottom w:val="0"/>
                  <w:divBdr>
                    <w:top w:val="none" w:sz="0" w:space="0" w:color="auto"/>
                    <w:left w:val="none" w:sz="0" w:space="0" w:color="auto"/>
                    <w:bottom w:val="none" w:sz="0" w:space="0" w:color="auto"/>
                    <w:right w:val="none" w:sz="0" w:space="0" w:color="auto"/>
                  </w:divBdr>
                  <w:divsChild>
                    <w:div w:id="844132963">
                      <w:marLeft w:val="0"/>
                      <w:marRight w:val="0"/>
                      <w:marTop w:val="0"/>
                      <w:marBottom w:val="0"/>
                      <w:divBdr>
                        <w:top w:val="none" w:sz="0" w:space="0" w:color="auto"/>
                        <w:left w:val="none" w:sz="0" w:space="0" w:color="auto"/>
                        <w:bottom w:val="none" w:sz="0" w:space="0" w:color="auto"/>
                        <w:right w:val="none" w:sz="0" w:space="0" w:color="auto"/>
                      </w:divBdr>
                    </w:div>
                  </w:divsChild>
                </w:div>
                <w:div w:id="1574316579">
                  <w:marLeft w:val="0"/>
                  <w:marRight w:val="0"/>
                  <w:marTop w:val="0"/>
                  <w:marBottom w:val="0"/>
                  <w:divBdr>
                    <w:top w:val="none" w:sz="0" w:space="0" w:color="auto"/>
                    <w:left w:val="none" w:sz="0" w:space="0" w:color="auto"/>
                    <w:bottom w:val="none" w:sz="0" w:space="0" w:color="auto"/>
                    <w:right w:val="none" w:sz="0" w:space="0" w:color="auto"/>
                  </w:divBdr>
                  <w:divsChild>
                    <w:div w:id="11223387">
                      <w:marLeft w:val="0"/>
                      <w:marRight w:val="0"/>
                      <w:marTop w:val="0"/>
                      <w:marBottom w:val="0"/>
                      <w:divBdr>
                        <w:top w:val="none" w:sz="0" w:space="0" w:color="auto"/>
                        <w:left w:val="none" w:sz="0" w:space="0" w:color="auto"/>
                        <w:bottom w:val="none" w:sz="0" w:space="0" w:color="auto"/>
                        <w:right w:val="none" w:sz="0" w:space="0" w:color="auto"/>
                      </w:divBdr>
                    </w:div>
                  </w:divsChild>
                </w:div>
                <w:div w:id="1576473061">
                  <w:marLeft w:val="0"/>
                  <w:marRight w:val="0"/>
                  <w:marTop w:val="0"/>
                  <w:marBottom w:val="0"/>
                  <w:divBdr>
                    <w:top w:val="none" w:sz="0" w:space="0" w:color="auto"/>
                    <w:left w:val="none" w:sz="0" w:space="0" w:color="auto"/>
                    <w:bottom w:val="none" w:sz="0" w:space="0" w:color="auto"/>
                    <w:right w:val="none" w:sz="0" w:space="0" w:color="auto"/>
                  </w:divBdr>
                  <w:divsChild>
                    <w:div w:id="592980447">
                      <w:marLeft w:val="0"/>
                      <w:marRight w:val="0"/>
                      <w:marTop w:val="0"/>
                      <w:marBottom w:val="0"/>
                      <w:divBdr>
                        <w:top w:val="none" w:sz="0" w:space="0" w:color="auto"/>
                        <w:left w:val="none" w:sz="0" w:space="0" w:color="auto"/>
                        <w:bottom w:val="none" w:sz="0" w:space="0" w:color="auto"/>
                        <w:right w:val="none" w:sz="0" w:space="0" w:color="auto"/>
                      </w:divBdr>
                    </w:div>
                  </w:divsChild>
                </w:div>
                <w:div w:id="1579248008">
                  <w:marLeft w:val="0"/>
                  <w:marRight w:val="0"/>
                  <w:marTop w:val="0"/>
                  <w:marBottom w:val="0"/>
                  <w:divBdr>
                    <w:top w:val="none" w:sz="0" w:space="0" w:color="auto"/>
                    <w:left w:val="none" w:sz="0" w:space="0" w:color="auto"/>
                    <w:bottom w:val="none" w:sz="0" w:space="0" w:color="auto"/>
                    <w:right w:val="none" w:sz="0" w:space="0" w:color="auto"/>
                  </w:divBdr>
                  <w:divsChild>
                    <w:div w:id="255017020">
                      <w:marLeft w:val="0"/>
                      <w:marRight w:val="0"/>
                      <w:marTop w:val="0"/>
                      <w:marBottom w:val="0"/>
                      <w:divBdr>
                        <w:top w:val="none" w:sz="0" w:space="0" w:color="auto"/>
                        <w:left w:val="none" w:sz="0" w:space="0" w:color="auto"/>
                        <w:bottom w:val="none" w:sz="0" w:space="0" w:color="auto"/>
                        <w:right w:val="none" w:sz="0" w:space="0" w:color="auto"/>
                      </w:divBdr>
                    </w:div>
                  </w:divsChild>
                </w:div>
                <w:div w:id="1581327014">
                  <w:marLeft w:val="0"/>
                  <w:marRight w:val="0"/>
                  <w:marTop w:val="0"/>
                  <w:marBottom w:val="0"/>
                  <w:divBdr>
                    <w:top w:val="none" w:sz="0" w:space="0" w:color="auto"/>
                    <w:left w:val="none" w:sz="0" w:space="0" w:color="auto"/>
                    <w:bottom w:val="none" w:sz="0" w:space="0" w:color="auto"/>
                    <w:right w:val="none" w:sz="0" w:space="0" w:color="auto"/>
                  </w:divBdr>
                  <w:divsChild>
                    <w:div w:id="1719283591">
                      <w:marLeft w:val="0"/>
                      <w:marRight w:val="0"/>
                      <w:marTop w:val="0"/>
                      <w:marBottom w:val="0"/>
                      <w:divBdr>
                        <w:top w:val="none" w:sz="0" w:space="0" w:color="auto"/>
                        <w:left w:val="none" w:sz="0" w:space="0" w:color="auto"/>
                        <w:bottom w:val="none" w:sz="0" w:space="0" w:color="auto"/>
                        <w:right w:val="none" w:sz="0" w:space="0" w:color="auto"/>
                      </w:divBdr>
                    </w:div>
                  </w:divsChild>
                </w:div>
                <w:div w:id="1602109602">
                  <w:marLeft w:val="0"/>
                  <w:marRight w:val="0"/>
                  <w:marTop w:val="0"/>
                  <w:marBottom w:val="0"/>
                  <w:divBdr>
                    <w:top w:val="none" w:sz="0" w:space="0" w:color="auto"/>
                    <w:left w:val="none" w:sz="0" w:space="0" w:color="auto"/>
                    <w:bottom w:val="none" w:sz="0" w:space="0" w:color="auto"/>
                    <w:right w:val="none" w:sz="0" w:space="0" w:color="auto"/>
                  </w:divBdr>
                  <w:divsChild>
                    <w:div w:id="1956981428">
                      <w:marLeft w:val="0"/>
                      <w:marRight w:val="0"/>
                      <w:marTop w:val="0"/>
                      <w:marBottom w:val="0"/>
                      <w:divBdr>
                        <w:top w:val="none" w:sz="0" w:space="0" w:color="auto"/>
                        <w:left w:val="none" w:sz="0" w:space="0" w:color="auto"/>
                        <w:bottom w:val="none" w:sz="0" w:space="0" w:color="auto"/>
                        <w:right w:val="none" w:sz="0" w:space="0" w:color="auto"/>
                      </w:divBdr>
                    </w:div>
                  </w:divsChild>
                </w:div>
                <w:div w:id="1614285511">
                  <w:marLeft w:val="0"/>
                  <w:marRight w:val="0"/>
                  <w:marTop w:val="0"/>
                  <w:marBottom w:val="0"/>
                  <w:divBdr>
                    <w:top w:val="none" w:sz="0" w:space="0" w:color="auto"/>
                    <w:left w:val="none" w:sz="0" w:space="0" w:color="auto"/>
                    <w:bottom w:val="none" w:sz="0" w:space="0" w:color="auto"/>
                    <w:right w:val="none" w:sz="0" w:space="0" w:color="auto"/>
                  </w:divBdr>
                  <w:divsChild>
                    <w:div w:id="821892066">
                      <w:marLeft w:val="0"/>
                      <w:marRight w:val="0"/>
                      <w:marTop w:val="0"/>
                      <w:marBottom w:val="0"/>
                      <w:divBdr>
                        <w:top w:val="none" w:sz="0" w:space="0" w:color="auto"/>
                        <w:left w:val="none" w:sz="0" w:space="0" w:color="auto"/>
                        <w:bottom w:val="none" w:sz="0" w:space="0" w:color="auto"/>
                        <w:right w:val="none" w:sz="0" w:space="0" w:color="auto"/>
                      </w:divBdr>
                    </w:div>
                  </w:divsChild>
                </w:div>
                <w:div w:id="1621104713">
                  <w:marLeft w:val="0"/>
                  <w:marRight w:val="0"/>
                  <w:marTop w:val="0"/>
                  <w:marBottom w:val="0"/>
                  <w:divBdr>
                    <w:top w:val="none" w:sz="0" w:space="0" w:color="auto"/>
                    <w:left w:val="none" w:sz="0" w:space="0" w:color="auto"/>
                    <w:bottom w:val="none" w:sz="0" w:space="0" w:color="auto"/>
                    <w:right w:val="none" w:sz="0" w:space="0" w:color="auto"/>
                  </w:divBdr>
                  <w:divsChild>
                    <w:div w:id="20401467">
                      <w:marLeft w:val="0"/>
                      <w:marRight w:val="0"/>
                      <w:marTop w:val="0"/>
                      <w:marBottom w:val="0"/>
                      <w:divBdr>
                        <w:top w:val="none" w:sz="0" w:space="0" w:color="auto"/>
                        <w:left w:val="none" w:sz="0" w:space="0" w:color="auto"/>
                        <w:bottom w:val="none" w:sz="0" w:space="0" w:color="auto"/>
                        <w:right w:val="none" w:sz="0" w:space="0" w:color="auto"/>
                      </w:divBdr>
                    </w:div>
                  </w:divsChild>
                </w:div>
                <w:div w:id="1633826370">
                  <w:marLeft w:val="0"/>
                  <w:marRight w:val="0"/>
                  <w:marTop w:val="0"/>
                  <w:marBottom w:val="0"/>
                  <w:divBdr>
                    <w:top w:val="none" w:sz="0" w:space="0" w:color="auto"/>
                    <w:left w:val="none" w:sz="0" w:space="0" w:color="auto"/>
                    <w:bottom w:val="none" w:sz="0" w:space="0" w:color="auto"/>
                    <w:right w:val="none" w:sz="0" w:space="0" w:color="auto"/>
                  </w:divBdr>
                  <w:divsChild>
                    <w:div w:id="1409614333">
                      <w:marLeft w:val="0"/>
                      <w:marRight w:val="0"/>
                      <w:marTop w:val="0"/>
                      <w:marBottom w:val="0"/>
                      <w:divBdr>
                        <w:top w:val="none" w:sz="0" w:space="0" w:color="auto"/>
                        <w:left w:val="none" w:sz="0" w:space="0" w:color="auto"/>
                        <w:bottom w:val="none" w:sz="0" w:space="0" w:color="auto"/>
                        <w:right w:val="none" w:sz="0" w:space="0" w:color="auto"/>
                      </w:divBdr>
                    </w:div>
                  </w:divsChild>
                </w:div>
                <w:div w:id="1634361397">
                  <w:marLeft w:val="0"/>
                  <w:marRight w:val="0"/>
                  <w:marTop w:val="0"/>
                  <w:marBottom w:val="0"/>
                  <w:divBdr>
                    <w:top w:val="none" w:sz="0" w:space="0" w:color="auto"/>
                    <w:left w:val="none" w:sz="0" w:space="0" w:color="auto"/>
                    <w:bottom w:val="none" w:sz="0" w:space="0" w:color="auto"/>
                    <w:right w:val="none" w:sz="0" w:space="0" w:color="auto"/>
                  </w:divBdr>
                  <w:divsChild>
                    <w:div w:id="1202356145">
                      <w:marLeft w:val="0"/>
                      <w:marRight w:val="0"/>
                      <w:marTop w:val="0"/>
                      <w:marBottom w:val="0"/>
                      <w:divBdr>
                        <w:top w:val="none" w:sz="0" w:space="0" w:color="auto"/>
                        <w:left w:val="none" w:sz="0" w:space="0" w:color="auto"/>
                        <w:bottom w:val="none" w:sz="0" w:space="0" w:color="auto"/>
                        <w:right w:val="none" w:sz="0" w:space="0" w:color="auto"/>
                      </w:divBdr>
                    </w:div>
                  </w:divsChild>
                </w:div>
                <w:div w:id="1641960137">
                  <w:marLeft w:val="0"/>
                  <w:marRight w:val="0"/>
                  <w:marTop w:val="0"/>
                  <w:marBottom w:val="0"/>
                  <w:divBdr>
                    <w:top w:val="none" w:sz="0" w:space="0" w:color="auto"/>
                    <w:left w:val="none" w:sz="0" w:space="0" w:color="auto"/>
                    <w:bottom w:val="none" w:sz="0" w:space="0" w:color="auto"/>
                    <w:right w:val="none" w:sz="0" w:space="0" w:color="auto"/>
                  </w:divBdr>
                  <w:divsChild>
                    <w:div w:id="556861616">
                      <w:marLeft w:val="0"/>
                      <w:marRight w:val="0"/>
                      <w:marTop w:val="0"/>
                      <w:marBottom w:val="0"/>
                      <w:divBdr>
                        <w:top w:val="none" w:sz="0" w:space="0" w:color="auto"/>
                        <w:left w:val="none" w:sz="0" w:space="0" w:color="auto"/>
                        <w:bottom w:val="none" w:sz="0" w:space="0" w:color="auto"/>
                        <w:right w:val="none" w:sz="0" w:space="0" w:color="auto"/>
                      </w:divBdr>
                    </w:div>
                  </w:divsChild>
                </w:div>
                <w:div w:id="1643580960">
                  <w:marLeft w:val="0"/>
                  <w:marRight w:val="0"/>
                  <w:marTop w:val="0"/>
                  <w:marBottom w:val="0"/>
                  <w:divBdr>
                    <w:top w:val="none" w:sz="0" w:space="0" w:color="auto"/>
                    <w:left w:val="none" w:sz="0" w:space="0" w:color="auto"/>
                    <w:bottom w:val="none" w:sz="0" w:space="0" w:color="auto"/>
                    <w:right w:val="none" w:sz="0" w:space="0" w:color="auto"/>
                  </w:divBdr>
                  <w:divsChild>
                    <w:div w:id="222102584">
                      <w:marLeft w:val="0"/>
                      <w:marRight w:val="0"/>
                      <w:marTop w:val="0"/>
                      <w:marBottom w:val="0"/>
                      <w:divBdr>
                        <w:top w:val="none" w:sz="0" w:space="0" w:color="auto"/>
                        <w:left w:val="none" w:sz="0" w:space="0" w:color="auto"/>
                        <w:bottom w:val="none" w:sz="0" w:space="0" w:color="auto"/>
                        <w:right w:val="none" w:sz="0" w:space="0" w:color="auto"/>
                      </w:divBdr>
                    </w:div>
                  </w:divsChild>
                </w:div>
                <w:div w:id="1645814217">
                  <w:marLeft w:val="0"/>
                  <w:marRight w:val="0"/>
                  <w:marTop w:val="0"/>
                  <w:marBottom w:val="0"/>
                  <w:divBdr>
                    <w:top w:val="none" w:sz="0" w:space="0" w:color="auto"/>
                    <w:left w:val="none" w:sz="0" w:space="0" w:color="auto"/>
                    <w:bottom w:val="none" w:sz="0" w:space="0" w:color="auto"/>
                    <w:right w:val="none" w:sz="0" w:space="0" w:color="auto"/>
                  </w:divBdr>
                  <w:divsChild>
                    <w:div w:id="289408413">
                      <w:marLeft w:val="0"/>
                      <w:marRight w:val="0"/>
                      <w:marTop w:val="0"/>
                      <w:marBottom w:val="0"/>
                      <w:divBdr>
                        <w:top w:val="none" w:sz="0" w:space="0" w:color="auto"/>
                        <w:left w:val="none" w:sz="0" w:space="0" w:color="auto"/>
                        <w:bottom w:val="none" w:sz="0" w:space="0" w:color="auto"/>
                        <w:right w:val="none" w:sz="0" w:space="0" w:color="auto"/>
                      </w:divBdr>
                    </w:div>
                  </w:divsChild>
                </w:div>
                <w:div w:id="1681541052">
                  <w:marLeft w:val="0"/>
                  <w:marRight w:val="0"/>
                  <w:marTop w:val="0"/>
                  <w:marBottom w:val="0"/>
                  <w:divBdr>
                    <w:top w:val="none" w:sz="0" w:space="0" w:color="auto"/>
                    <w:left w:val="none" w:sz="0" w:space="0" w:color="auto"/>
                    <w:bottom w:val="none" w:sz="0" w:space="0" w:color="auto"/>
                    <w:right w:val="none" w:sz="0" w:space="0" w:color="auto"/>
                  </w:divBdr>
                  <w:divsChild>
                    <w:div w:id="2049327992">
                      <w:marLeft w:val="0"/>
                      <w:marRight w:val="0"/>
                      <w:marTop w:val="0"/>
                      <w:marBottom w:val="0"/>
                      <w:divBdr>
                        <w:top w:val="none" w:sz="0" w:space="0" w:color="auto"/>
                        <w:left w:val="none" w:sz="0" w:space="0" w:color="auto"/>
                        <w:bottom w:val="none" w:sz="0" w:space="0" w:color="auto"/>
                        <w:right w:val="none" w:sz="0" w:space="0" w:color="auto"/>
                      </w:divBdr>
                    </w:div>
                  </w:divsChild>
                </w:div>
                <w:div w:id="1709254667">
                  <w:marLeft w:val="0"/>
                  <w:marRight w:val="0"/>
                  <w:marTop w:val="0"/>
                  <w:marBottom w:val="0"/>
                  <w:divBdr>
                    <w:top w:val="none" w:sz="0" w:space="0" w:color="auto"/>
                    <w:left w:val="none" w:sz="0" w:space="0" w:color="auto"/>
                    <w:bottom w:val="none" w:sz="0" w:space="0" w:color="auto"/>
                    <w:right w:val="none" w:sz="0" w:space="0" w:color="auto"/>
                  </w:divBdr>
                  <w:divsChild>
                    <w:div w:id="160511726">
                      <w:marLeft w:val="0"/>
                      <w:marRight w:val="0"/>
                      <w:marTop w:val="0"/>
                      <w:marBottom w:val="0"/>
                      <w:divBdr>
                        <w:top w:val="none" w:sz="0" w:space="0" w:color="auto"/>
                        <w:left w:val="none" w:sz="0" w:space="0" w:color="auto"/>
                        <w:bottom w:val="none" w:sz="0" w:space="0" w:color="auto"/>
                        <w:right w:val="none" w:sz="0" w:space="0" w:color="auto"/>
                      </w:divBdr>
                    </w:div>
                  </w:divsChild>
                </w:div>
                <w:div w:id="1711109792">
                  <w:marLeft w:val="0"/>
                  <w:marRight w:val="0"/>
                  <w:marTop w:val="0"/>
                  <w:marBottom w:val="0"/>
                  <w:divBdr>
                    <w:top w:val="none" w:sz="0" w:space="0" w:color="auto"/>
                    <w:left w:val="none" w:sz="0" w:space="0" w:color="auto"/>
                    <w:bottom w:val="none" w:sz="0" w:space="0" w:color="auto"/>
                    <w:right w:val="none" w:sz="0" w:space="0" w:color="auto"/>
                  </w:divBdr>
                  <w:divsChild>
                    <w:div w:id="1159420740">
                      <w:marLeft w:val="0"/>
                      <w:marRight w:val="0"/>
                      <w:marTop w:val="0"/>
                      <w:marBottom w:val="0"/>
                      <w:divBdr>
                        <w:top w:val="none" w:sz="0" w:space="0" w:color="auto"/>
                        <w:left w:val="none" w:sz="0" w:space="0" w:color="auto"/>
                        <w:bottom w:val="none" w:sz="0" w:space="0" w:color="auto"/>
                        <w:right w:val="none" w:sz="0" w:space="0" w:color="auto"/>
                      </w:divBdr>
                    </w:div>
                  </w:divsChild>
                </w:div>
                <w:div w:id="1714960302">
                  <w:marLeft w:val="0"/>
                  <w:marRight w:val="0"/>
                  <w:marTop w:val="0"/>
                  <w:marBottom w:val="0"/>
                  <w:divBdr>
                    <w:top w:val="none" w:sz="0" w:space="0" w:color="auto"/>
                    <w:left w:val="none" w:sz="0" w:space="0" w:color="auto"/>
                    <w:bottom w:val="none" w:sz="0" w:space="0" w:color="auto"/>
                    <w:right w:val="none" w:sz="0" w:space="0" w:color="auto"/>
                  </w:divBdr>
                  <w:divsChild>
                    <w:div w:id="342318746">
                      <w:marLeft w:val="0"/>
                      <w:marRight w:val="0"/>
                      <w:marTop w:val="0"/>
                      <w:marBottom w:val="0"/>
                      <w:divBdr>
                        <w:top w:val="none" w:sz="0" w:space="0" w:color="auto"/>
                        <w:left w:val="none" w:sz="0" w:space="0" w:color="auto"/>
                        <w:bottom w:val="none" w:sz="0" w:space="0" w:color="auto"/>
                        <w:right w:val="none" w:sz="0" w:space="0" w:color="auto"/>
                      </w:divBdr>
                    </w:div>
                  </w:divsChild>
                </w:div>
                <w:div w:id="1722289728">
                  <w:marLeft w:val="0"/>
                  <w:marRight w:val="0"/>
                  <w:marTop w:val="0"/>
                  <w:marBottom w:val="0"/>
                  <w:divBdr>
                    <w:top w:val="none" w:sz="0" w:space="0" w:color="auto"/>
                    <w:left w:val="none" w:sz="0" w:space="0" w:color="auto"/>
                    <w:bottom w:val="none" w:sz="0" w:space="0" w:color="auto"/>
                    <w:right w:val="none" w:sz="0" w:space="0" w:color="auto"/>
                  </w:divBdr>
                  <w:divsChild>
                    <w:div w:id="1282034209">
                      <w:marLeft w:val="0"/>
                      <w:marRight w:val="0"/>
                      <w:marTop w:val="0"/>
                      <w:marBottom w:val="0"/>
                      <w:divBdr>
                        <w:top w:val="none" w:sz="0" w:space="0" w:color="auto"/>
                        <w:left w:val="none" w:sz="0" w:space="0" w:color="auto"/>
                        <w:bottom w:val="none" w:sz="0" w:space="0" w:color="auto"/>
                        <w:right w:val="none" w:sz="0" w:space="0" w:color="auto"/>
                      </w:divBdr>
                    </w:div>
                  </w:divsChild>
                </w:div>
                <w:div w:id="1758404825">
                  <w:marLeft w:val="0"/>
                  <w:marRight w:val="0"/>
                  <w:marTop w:val="0"/>
                  <w:marBottom w:val="0"/>
                  <w:divBdr>
                    <w:top w:val="none" w:sz="0" w:space="0" w:color="auto"/>
                    <w:left w:val="none" w:sz="0" w:space="0" w:color="auto"/>
                    <w:bottom w:val="none" w:sz="0" w:space="0" w:color="auto"/>
                    <w:right w:val="none" w:sz="0" w:space="0" w:color="auto"/>
                  </w:divBdr>
                  <w:divsChild>
                    <w:div w:id="1400715754">
                      <w:marLeft w:val="0"/>
                      <w:marRight w:val="0"/>
                      <w:marTop w:val="0"/>
                      <w:marBottom w:val="0"/>
                      <w:divBdr>
                        <w:top w:val="none" w:sz="0" w:space="0" w:color="auto"/>
                        <w:left w:val="none" w:sz="0" w:space="0" w:color="auto"/>
                        <w:bottom w:val="none" w:sz="0" w:space="0" w:color="auto"/>
                        <w:right w:val="none" w:sz="0" w:space="0" w:color="auto"/>
                      </w:divBdr>
                    </w:div>
                  </w:divsChild>
                </w:div>
                <w:div w:id="1760248475">
                  <w:marLeft w:val="0"/>
                  <w:marRight w:val="0"/>
                  <w:marTop w:val="0"/>
                  <w:marBottom w:val="0"/>
                  <w:divBdr>
                    <w:top w:val="none" w:sz="0" w:space="0" w:color="auto"/>
                    <w:left w:val="none" w:sz="0" w:space="0" w:color="auto"/>
                    <w:bottom w:val="none" w:sz="0" w:space="0" w:color="auto"/>
                    <w:right w:val="none" w:sz="0" w:space="0" w:color="auto"/>
                  </w:divBdr>
                  <w:divsChild>
                    <w:div w:id="1637105377">
                      <w:marLeft w:val="0"/>
                      <w:marRight w:val="0"/>
                      <w:marTop w:val="0"/>
                      <w:marBottom w:val="0"/>
                      <w:divBdr>
                        <w:top w:val="none" w:sz="0" w:space="0" w:color="auto"/>
                        <w:left w:val="none" w:sz="0" w:space="0" w:color="auto"/>
                        <w:bottom w:val="none" w:sz="0" w:space="0" w:color="auto"/>
                        <w:right w:val="none" w:sz="0" w:space="0" w:color="auto"/>
                      </w:divBdr>
                    </w:div>
                  </w:divsChild>
                </w:div>
                <w:div w:id="1765226854">
                  <w:marLeft w:val="0"/>
                  <w:marRight w:val="0"/>
                  <w:marTop w:val="0"/>
                  <w:marBottom w:val="0"/>
                  <w:divBdr>
                    <w:top w:val="none" w:sz="0" w:space="0" w:color="auto"/>
                    <w:left w:val="none" w:sz="0" w:space="0" w:color="auto"/>
                    <w:bottom w:val="none" w:sz="0" w:space="0" w:color="auto"/>
                    <w:right w:val="none" w:sz="0" w:space="0" w:color="auto"/>
                  </w:divBdr>
                  <w:divsChild>
                    <w:div w:id="1684555156">
                      <w:marLeft w:val="0"/>
                      <w:marRight w:val="0"/>
                      <w:marTop w:val="0"/>
                      <w:marBottom w:val="0"/>
                      <w:divBdr>
                        <w:top w:val="none" w:sz="0" w:space="0" w:color="auto"/>
                        <w:left w:val="none" w:sz="0" w:space="0" w:color="auto"/>
                        <w:bottom w:val="none" w:sz="0" w:space="0" w:color="auto"/>
                        <w:right w:val="none" w:sz="0" w:space="0" w:color="auto"/>
                      </w:divBdr>
                    </w:div>
                  </w:divsChild>
                </w:div>
                <w:div w:id="1803841024">
                  <w:marLeft w:val="0"/>
                  <w:marRight w:val="0"/>
                  <w:marTop w:val="0"/>
                  <w:marBottom w:val="0"/>
                  <w:divBdr>
                    <w:top w:val="none" w:sz="0" w:space="0" w:color="auto"/>
                    <w:left w:val="none" w:sz="0" w:space="0" w:color="auto"/>
                    <w:bottom w:val="none" w:sz="0" w:space="0" w:color="auto"/>
                    <w:right w:val="none" w:sz="0" w:space="0" w:color="auto"/>
                  </w:divBdr>
                  <w:divsChild>
                    <w:div w:id="860633902">
                      <w:marLeft w:val="0"/>
                      <w:marRight w:val="0"/>
                      <w:marTop w:val="0"/>
                      <w:marBottom w:val="0"/>
                      <w:divBdr>
                        <w:top w:val="none" w:sz="0" w:space="0" w:color="auto"/>
                        <w:left w:val="none" w:sz="0" w:space="0" w:color="auto"/>
                        <w:bottom w:val="none" w:sz="0" w:space="0" w:color="auto"/>
                        <w:right w:val="none" w:sz="0" w:space="0" w:color="auto"/>
                      </w:divBdr>
                    </w:div>
                  </w:divsChild>
                </w:div>
                <w:div w:id="1816950898">
                  <w:marLeft w:val="0"/>
                  <w:marRight w:val="0"/>
                  <w:marTop w:val="0"/>
                  <w:marBottom w:val="0"/>
                  <w:divBdr>
                    <w:top w:val="none" w:sz="0" w:space="0" w:color="auto"/>
                    <w:left w:val="none" w:sz="0" w:space="0" w:color="auto"/>
                    <w:bottom w:val="none" w:sz="0" w:space="0" w:color="auto"/>
                    <w:right w:val="none" w:sz="0" w:space="0" w:color="auto"/>
                  </w:divBdr>
                  <w:divsChild>
                    <w:div w:id="1404792846">
                      <w:marLeft w:val="0"/>
                      <w:marRight w:val="0"/>
                      <w:marTop w:val="0"/>
                      <w:marBottom w:val="0"/>
                      <w:divBdr>
                        <w:top w:val="none" w:sz="0" w:space="0" w:color="auto"/>
                        <w:left w:val="none" w:sz="0" w:space="0" w:color="auto"/>
                        <w:bottom w:val="none" w:sz="0" w:space="0" w:color="auto"/>
                        <w:right w:val="none" w:sz="0" w:space="0" w:color="auto"/>
                      </w:divBdr>
                    </w:div>
                  </w:divsChild>
                </w:div>
                <w:div w:id="1818064683">
                  <w:marLeft w:val="0"/>
                  <w:marRight w:val="0"/>
                  <w:marTop w:val="0"/>
                  <w:marBottom w:val="0"/>
                  <w:divBdr>
                    <w:top w:val="none" w:sz="0" w:space="0" w:color="auto"/>
                    <w:left w:val="none" w:sz="0" w:space="0" w:color="auto"/>
                    <w:bottom w:val="none" w:sz="0" w:space="0" w:color="auto"/>
                    <w:right w:val="none" w:sz="0" w:space="0" w:color="auto"/>
                  </w:divBdr>
                  <w:divsChild>
                    <w:div w:id="301808283">
                      <w:marLeft w:val="0"/>
                      <w:marRight w:val="0"/>
                      <w:marTop w:val="0"/>
                      <w:marBottom w:val="0"/>
                      <w:divBdr>
                        <w:top w:val="none" w:sz="0" w:space="0" w:color="auto"/>
                        <w:left w:val="none" w:sz="0" w:space="0" w:color="auto"/>
                        <w:bottom w:val="none" w:sz="0" w:space="0" w:color="auto"/>
                        <w:right w:val="none" w:sz="0" w:space="0" w:color="auto"/>
                      </w:divBdr>
                    </w:div>
                  </w:divsChild>
                </w:div>
                <w:div w:id="1823963413">
                  <w:marLeft w:val="0"/>
                  <w:marRight w:val="0"/>
                  <w:marTop w:val="0"/>
                  <w:marBottom w:val="0"/>
                  <w:divBdr>
                    <w:top w:val="none" w:sz="0" w:space="0" w:color="auto"/>
                    <w:left w:val="none" w:sz="0" w:space="0" w:color="auto"/>
                    <w:bottom w:val="none" w:sz="0" w:space="0" w:color="auto"/>
                    <w:right w:val="none" w:sz="0" w:space="0" w:color="auto"/>
                  </w:divBdr>
                  <w:divsChild>
                    <w:div w:id="1568687155">
                      <w:marLeft w:val="0"/>
                      <w:marRight w:val="0"/>
                      <w:marTop w:val="0"/>
                      <w:marBottom w:val="0"/>
                      <w:divBdr>
                        <w:top w:val="none" w:sz="0" w:space="0" w:color="auto"/>
                        <w:left w:val="none" w:sz="0" w:space="0" w:color="auto"/>
                        <w:bottom w:val="none" w:sz="0" w:space="0" w:color="auto"/>
                        <w:right w:val="none" w:sz="0" w:space="0" w:color="auto"/>
                      </w:divBdr>
                    </w:div>
                  </w:divsChild>
                </w:div>
                <w:div w:id="1824664953">
                  <w:marLeft w:val="0"/>
                  <w:marRight w:val="0"/>
                  <w:marTop w:val="0"/>
                  <w:marBottom w:val="0"/>
                  <w:divBdr>
                    <w:top w:val="none" w:sz="0" w:space="0" w:color="auto"/>
                    <w:left w:val="none" w:sz="0" w:space="0" w:color="auto"/>
                    <w:bottom w:val="none" w:sz="0" w:space="0" w:color="auto"/>
                    <w:right w:val="none" w:sz="0" w:space="0" w:color="auto"/>
                  </w:divBdr>
                  <w:divsChild>
                    <w:div w:id="964385174">
                      <w:marLeft w:val="0"/>
                      <w:marRight w:val="0"/>
                      <w:marTop w:val="0"/>
                      <w:marBottom w:val="0"/>
                      <w:divBdr>
                        <w:top w:val="none" w:sz="0" w:space="0" w:color="auto"/>
                        <w:left w:val="none" w:sz="0" w:space="0" w:color="auto"/>
                        <w:bottom w:val="none" w:sz="0" w:space="0" w:color="auto"/>
                        <w:right w:val="none" w:sz="0" w:space="0" w:color="auto"/>
                      </w:divBdr>
                    </w:div>
                  </w:divsChild>
                </w:div>
                <w:div w:id="1844977966">
                  <w:marLeft w:val="0"/>
                  <w:marRight w:val="0"/>
                  <w:marTop w:val="0"/>
                  <w:marBottom w:val="0"/>
                  <w:divBdr>
                    <w:top w:val="none" w:sz="0" w:space="0" w:color="auto"/>
                    <w:left w:val="none" w:sz="0" w:space="0" w:color="auto"/>
                    <w:bottom w:val="none" w:sz="0" w:space="0" w:color="auto"/>
                    <w:right w:val="none" w:sz="0" w:space="0" w:color="auto"/>
                  </w:divBdr>
                  <w:divsChild>
                    <w:div w:id="803933031">
                      <w:marLeft w:val="0"/>
                      <w:marRight w:val="0"/>
                      <w:marTop w:val="0"/>
                      <w:marBottom w:val="0"/>
                      <w:divBdr>
                        <w:top w:val="none" w:sz="0" w:space="0" w:color="auto"/>
                        <w:left w:val="none" w:sz="0" w:space="0" w:color="auto"/>
                        <w:bottom w:val="none" w:sz="0" w:space="0" w:color="auto"/>
                        <w:right w:val="none" w:sz="0" w:space="0" w:color="auto"/>
                      </w:divBdr>
                    </w:div>
                  </w:divsChild>
                </w:div>
                <w:div w:id="1854145275">
                  <w:marLeft w:val="0"/>
                  <w:marRight w:val="0"/>
                  <w:marTop w:val="0"/>
                  <w:marBottom w:val="0"/>
                  <w:divBdr>
                    <w:top w:val="none" w:sz="0" w:space="0" w:color="auto"/>
                    <w:left w:val="none" w:sz="0" w:space="0" w:color="auto"/>
                    <w:bottom w:val="none" w:sz="0" w:space="0" w:color="auto"/>
                    <w:right w:val="none" w:sz="0" w:space="0" w:color="auto"/>
                  </w:divBdr>
                  <w:divsChild>
                    <w:div w:id="1860776446">
                      <w:marLeft w:val="0"/>
                      <w:marRight w:val="0"/>
                      <w:marTop w:val="0"/>
                      <w:marBottom w:val="0"/>
                      <w:divBdr>
                        <w:top w:val="none" w:sz="0" w:space="0" w:color="auto"/>
                        <w:left w:val="none" w:sz="0" w:space="0" w:color="auto"/>
                        <w:bottom w:val="none" w:sz="0" w:space="0" w:color="auto"/>
                        <w:right w:val="none" w:sz="0" w:space="0" w:color="auto"/>
                      </w:divBdr>
                    </w:div>
                  </w:divsChild>
                </w:div>
                <w:div w:id="1855268557">
                  <w:marLeft w:val="0"/>
                  <w:marRight w:val="0"/>
                  <w:marTop w:val="0"/>
                  <w:marBottom w:val="0"/>
                  <w:divBdr>
                    <w:top w:val="none" w:sz="0" w:space="0" w:color="auto"/>
                    <w:left w:val="none" w:sz="0" w:space="0" w:color="auto"/>
                    <w:bottom w:val="none" w:sz="0" w:space="0" w:color="auto"/>
                    <w:right w:val="none" w:sz="0" w:space="0" w:color="auto"/>
                  </w:divBdr>
                  <w:divsChild>
                    <w:div w:id="2128699181">
                      <w:marLeft w:val="0"/>
                      <w:marRight w:val="0"/>
                      <w:marTop w:val="0"/>
                      <w:marBottom w:val="0"/>
                      <w:divBdr>
                        <w:top w:val="none" w:sz="0" w:space="0" w:color="auto"/>
                        <w:left w:val="none" w:sz="0" w:space="0" w:color="auto"/>
                        <w:bottom w:val="none" w:sz="0" w:space="0" w:color="auto"/>
                        <w:right w:val="none" w:sz="0" w:space="0" w:color="auto"/>
                      </w:divBdr>
                    </w:div>
                  </w:divsChild>
                </w:div>
                <w:div w:id="1861121800">
                  <w:marLeft w:val="0"/>
                  <w:marRight w:val="0"/>
                  <w:marTop w:val="0"/>
                  <w:marBottom w:val="0"/>
                  <w:divBdr>
                    <w:top w:val="none" w:sz="0" w:space="0" w:color="auto"/>
                    <w:left w:val="none" w:sz="0" w:space="0" w:color="auto"/>
                    <w:bottom w:val="none" w:sz="0" w:space="0" w:color="auto"/>
                    <w:right w:val="none" w:sz="0" w:space="0" w:color="auto"/>
                  </w:divBdr>
                  <w:divsChild>
                    <w:div w:id="1114713201">
                      <w:marLeft w:val="0"/>
                      <w:marRight w:val="0"/>
                      <w:marTop w:val="0"/>
                      <w:marBottom w:val="0"/>
                      <w:divBdr>
                        <w:top w:val="none" w:sz="0" w:space="0" w:color="auto"/>
                        <w:left w:val="none" w:sz="0" w:space="0" w:color="auto"/>
                        <w:bottom w:val="none" w:sz="0" w:space="0" w:color="auto"/>
                        <w:right w:val="none" w:sz="0" w:space="0" w:color="auto"/>
                      </w:divBdr>
                    </w:div>
                  </w:divsChild>
                </w:div>
                <w:div w:id="1862160207">
                  <w:marLeft w:val="0"/>
                  <w:marRight w:val="0"/>
                  <w:marTop w:val="0"/>
                  <w:marBottom w:val="0"/>
                  <w:divBdr>
                    <w:top w:val="none" w:sz="0" w:space="0" w:color="auto"/>
                    <w:left w:val="none" w:sz="0" w:space="0" w:color="auto"/>
                    <w:bottom w:val="none" w:sz="0" w:space="0" w:color="auto"/>
                    <w:right w:val="none" w:sz="0" w:space="0" w:color="auto"/>
                  </w:divBdr>
                  <w:divsChild>
                    <w:div w:id="125852207">
                      <w:marLeft w:val="0"/>
                      <w:marRight w:val="0"/>
                      <w:marTop w:val="0"/>
                      <w:marBottom w:val="0"/>
                      <w:divBdr>
                        <w:top w:val="none" w:sz="0" w:space="0" w:color="auto"/>
                        <w:left w:val="none" w:sz="0" w:space="0" w:color="auto"/>
                        <w:bottom w:val="none" w:sz="0" w:space="0" w:color="auto"/>
                        <w:right w:val="none" w:sz="0" w:space="0" w:color="auto"/>
                      </w:divBdr>
                    </w:div>
                  </w:divsChild>
                </w:div>
                <w:div w:id="1873566770">
                  <w:marLeft w:val="0"/>
                  <w:marRight w:val="0"/>
                  <w:marTop w:val="0"/>
                  <w:marBottom w:val="0"/>
                  <w:divBdr>
                    <w:top w:val="none" w:sz="0" w:space="0" w:color="auto"/>
                    <w:left w:val="none" w:sz="0" w:space="0" w:color="auto"/>
                    <w:bottom w:val="none" w:sz="0" w:space="0" w:color="auto"/>
                    <w:right w:val="none" w:sz="0" w:space="0" w:color="auto"/>
                  </w:divBdr>
                  <w:divsChild>
                    <w:div w:id="2079549410">
                      <w:marLeft w:val="0"/>
                      <w:marRight w:val="0"/>
                      <w:marTop w:val="0"/>
                      <w:marBottom w:val="0"/>
                      <w:divBdr>
                        <w:top w:val="none" w:sz="0" w:space="0" w:color="auto"/>
                        <w:left w:val="none" w:sz="0" w:space="0" w:color="auto"/>
                        <w:bottom w:val="none" w:sz="0" w:space="0" w:color="auto"/>
                        <w:right w:val="none" w:sz="0" w:space="0" w:color="auto"/>
                      </w:divBdr>
                    </w:div>
                  </w:divsChild>
                </w:div>
                <w:div w:id="1883905888">
                  <w:marLeft w:val="0"/>
                  <w:marRight w:val="0"/>
                  <w:marTop w:val="0"/>
                  <w:marBottom w:val="0"/>
                  <w:divBdr>
                    <w:top w:val="none" w:sz="0" w:space="0" w:color="auto"/>
                    <w:left w:val="none" w:sz="0" w:space="0" w:color="auto"/>
                    <w:bottom w:val="none" w:sz="0" w:space="0" w:color="auto"/>
                    <w:right w:val="none" w:sz="0" w:space="0" w:color="auto"/>
                  </w:divBdr>
                  <w:divsChild>
                    <w:div w:id="1841698797">
                      <w:marLeft w:val="0"/>
                      <w:marRight w:val="0"/>
                      <w:marTop w:val="0"/>
                      <w:marBottom w:val="0"/>
                      <w:divBdr>
                        <w:top w:val="none" w:sz="0" w:space="0" w:color="auto"/>
                        <w:left w:val="none" w:sz="0" w:space="0" w:color="auto"/>
                        <w:bottom w:val="none" w:sz="0" w:space="0" w:color="auto"/>
                        <w:right w:val="none" w:sz="0" w:space="0" w:color="auto"/>
                      </w:divBdr>
                    </w:div>
                  </w:divsChild>
                </w:div>
                <w:div w:id="1884125964">
                  <w:marLeft w:val="0"/>
                  <w:marRight w:val="0"/>
                  <w:marTop w:val="0"/>
                  <w:marBottom w:val="0"/>
                  <w:divBdr>
                    <w:top w:val="none" w:sz="0" w:space="0" w:color="auto"/>
                    <w:left w:val="none" w:sz="0" w:space="0" w:color="auto"/>
                    <w:bottom w:val="none" w:sz="0" w:space="0" w:color="auto"/>
                    <w:right w:val="none" w:sz="0" w:space="0" w:color="auto"/>
                  </w:divBdr>
                  <w:divsChild>
                    <w:div w:id="1565287837">
                      <w:marLeft w:val="0"/>
                      <w:marRight w:val="0"/>
                      <w:marTop w:val="0"/>
                      <w:marBottom w:val="0"/>
                      <w:divBdr>
                        <w:top w:val="none" w:sz="0" w:space="0" w:color="auto"/>
                        <w:left w:val="none" w:sz="0" w:space="0" w:color="auto"/>
                        <w:bottom w:val="none" w:sz="0" w:space="0" w:color="auto"/>
                        <w:right w:val="none" w:sz="0" w:space="0" w:color="auto"/>
                      </w:divBdr>
                    </w:div>
                  </w:divsChild>
                </w:div>
                <w:div w:id="1884443254">
                  <w:marLeft w:val="0"/>
                  <w:marRight w:val="0"/>
                  <w:marTop w:val="0"/>
                  <w:marBottom w:val="0"/>
                  <w:divBdr>
                    <w:top w:val="none" w:sz="0" w:space="0" w:color="auto"/>
                    <w:left w:val="none" w:sz="0" w:space="0" w:color="auto"/>
                    <w:bottom w:val="none" w:sz="0" w:space="0" w:color="auto"/>
                    <w:right w:val="none" w:sz="0" w:space="0" w:color="auto"/>
                  </w:divBdr>
                  <w:divsChild>
                    <w:div w:id="917401250">
                      <w:marLeft w:val="0"/>
                      <w:marRight w:val="0"/>
                      <w:marTop w:val="0"/>
                      <w:marBottom w:val="0"/>
                      <w:divBdr>
                        <w:top w:val="none" w:sz="0" w:space="0" w:color="auto"/>
                        <w:left w:val="none" w:sz="0" w:space="0" w:color="auto"/>
                        <w:bottom w:val="none" w:sz="0" w:space="0" w:color="auto"/>
                        <w:right w:val="none" w:sz="0" w:space="0" w:color="auto"/>
                      </w:divBdr>
                    </w:div>
                  </w:divsChild>
                </w:div>
                <w:div w:id="1892379511">
                  <w:marLeft w:val="0"/>
                  <w:marRight w:val="0"/>
                  <w:marTop w:val="0"/>
                  <w:marBottom w:val="0"/>
                  <w:divBdr>
                    <w:top w:val="none" w:sz="0" w:space="0" w:color="auto"/>
                    <w:left w:val="none" w:sz="0" w:space="0" w:color="auto"/>
                    <w:bottom w:val="none" w:sz="0" w:space="0" w:color="auto"/>
                    <w:right w:val="none" w:sz="0" w:space="0" w:color="auto"/>
                  </w:divBdr>
                  <w:divsChild>
                    <w:div w:id="747970198">
                      <w:marLeft w:val="0"/>
                      <w:marRight w:val="0"/>
                      <w:marTop w:val="0"/>
                      <w:marBottom w:val="0"/>
                      <w:divBdr>
                        <w:top w:val="none" w:sz="0" w:space="0" w:color="auto"/>
                        <w:left w:val="none" w:sz="0" w:space="0" w:color="auto"/>
                        <w:bottom w:val="none" w:sz="0" w:space="0" w:color="auto"/>
                        <w:right w:val="none" w:sz="0" w:space="0" w:color="auto"/>
                      </w:divBdr>
                    </w:div>
                  </w:divsChild>
                </w:div>
                <w:div w:id="1906140692">
                  <w:marLeft w:val="0"/>
                  <w:marRight w:val="0"/>
                  <w:marTop w:val="0"/>
                  <w:marBottom w:val="0"/>
                  <w:divBdr>
                    <w:top w:val="none" w:sz="0" w:space="0" w:color="auto"/>
                    <w:left w:val="none" w:sz="0" w:space="0" w:color="auto"/>
                    <w:bottom w:val="none" w:sz="0" w:space="0" w:color="auto"/>
                    <w:right w:val="none" w:sz="0" w:space="0" w:color="auto"/>
                  </w:divBdr>
                  <w:divsChild>
                    <w:div w:id="1959987961">
                      <w:marLeft w:val="0"/>
                      <w:marRight w:val="0"/>
                      <w:marTop w:val="0"/>
                      <w:marBottom w:val="0"/>
                      <w:divBdr>
                        <w:top w:val="none" w:sz="0" w:space="0" w:color="auto"/>
                        <w:left w:val="none" w:sz="0" w:space="0" w:color="auto"/>
                        <w:bottom w:val="none" w:sz="0" w:space="0" w:color="auto"/>
                        <w:right w:val="none" w:sz="0" w:space="0" w:color="auto"/>
                      </w:divBdr>
                    </w:div>
                  </w:divsChild>
                </w:div>
                <w:div w:id="1932657350">
                  <w:marLeft w:val="0"/>
                  <w:marRight w:val="0"/>
                  <w:marTop w:val="0"/>
                  <w:marBottom w:val="0"/>
                  <w:divBdr>
                    <w:top w:val="none" w:sz="0" w:space="0" w:color="auto"/>
                    <w:left w:val="none" w:sz="0" w:space="0" w:color="auto"/>
                    <w:bottom w:val="none" w:sz="0" w:space="0" w:color="auto"/>
                    <w:right w:val="none" w:sz="0" w:space="0" w:color="auto"/>
                  </w:divBdr>
                  <w:divsChild>
                    <w:div w:id="1210217009">
                      <w:marLeft w:val="0"/>
                      <w:marRight w:val="0"/>
                      <w:marTop w:val="0"/>
                      <w:marBottom w:val="0"/>
                      <w:divBdr>
                        <w:top w:val="none" w:sz="0" w:space="0" w:color="auto"/>
                        <w:left w:val="none" w:sz="0" w:space="0" w:color="auto"/>
                        <w:bottom w:val="none" w:sz="0" w:space="0" w:color="auto"/>
                        <w:right w:val="none" w:sz="0" w:space="0" w:color="auto"/>
                      </w:divBdr>
                    </w:div>
                  </w:divsChild>
                </w:div>
                <w:div w:id="1939022169">
                  <w:marLeft w:val="0"/>
                  <w:marRight w:val="0"/>
                  <w:marTop w:val="0"/>
                  <w:marBottom w:val="0"/>
                  <w:divBdr>
                    <w:top w:val="none" w:sz="0" w:space="0" w:color="auto"/>
                    <w:left w:val="none" w:sz="0" w:space="0" w:color="auto"/>
                    <w:bottom w:val="none" w:sz="0" w:space="0" w:color="auto"/>
                    <w:right w:val="none" w:sz="0" w:space="0" w:color="auto"/>
                  </w:divBdr>
                  <w:divsChild>
                    <w:div w:id="693964182">
                      <w:marLeft w:val="0"/>
                      <w:marRight w:val="0"/>
                      <w:marTop w:val="0"/>
                      <w:marBottom w:val="0"/>
                      <w:divBdr>
                        <w:top w:val="none" w:sz="0" w:space="0" w:color="auto"/>
                        <w:left w:val="none" w:sz="0" w:space="0" w:color="auto"/>
                        <w:bottom w:val="none" w:sz="0" w:space="0" w:color="auto"/>
                        <w:right w:val="none" w:sz="0" w:space="0" w:color="auto"/>
                      </w:divBdr>
                    </w:div>
                    <w:div w:id="874344302">
                      <w:marLeft w:val="0"/>
                      <w:marRight w:val="0"/>
                      <w:marTop w:val="0"/>
                      <w:marBottom w:val="0"/>
                      <w:divBdr>
                        <w:top w:val="none" w:sz="0" w:space="0" w:color="auto"/>
                        <w:left w:val="none" w:sz="0" w:space="0" w:color="auto"/>
                        <w:bottom w:val="none" w:sz="0" w:space="0" w:color="auto"/>
                        <w:right w:val="none" w:sz="0" w:space="0" w:color="auto"/>
                      </w:divBdr>
                    </w:div>
                  </w:divsChild>
                </w:div>
                <w:div w:id="1939606336">
                  <w:marLeft w:val="0"/>
                  <w:marRight w:val="0"/>
                  <w:marTop w:val="0"/>
                  <w:marBottom w:val="0"/>
                  <w:divBdr>
                    <w:top w:val="none" w:sz="0" w:space="0" w:color="auto"/>
                    <w:left w:val="none" w:sz="0" w:space="0" w:color="auto"/>
                    <w:bottom w:val="none" w:sz="0" w:space="0" w:color="auto"/>
                    <w:right w:val="none" w:sz="0" w:space="0" w:color="auto"/>
                  </w:divBdr>
                  <w:divsChild>
                    <w:div w:id="264314905">
                      <w:marLeft w:val="0"/>
                      <w:marRight w:val="0"/>
                      <w:marTop w:val="0"/>
                      <w:marBottom w:val="0"/>
                      <w:divBdr>
                        <w:top w:val="none" w:sz="0" w:space="0" w:color="auto"/>
                        <w:left w:val="none" w:sz="0" w:space="0" w:color="auto"/>
                        <w:bottom w:val="none" w:sz="0" w:space="0" w:color="auto"/>
                        <w:right w:val="none" w:sz="0" w:space="0" w:color="auto"/>
                      </w:divBdr>
                    </w:div>
                  </w:divsChild>
                </w:div>
                <w:div w:id="1957253616">
                  <w:marLeft w:val="0"/>
                  <w:marRight w:val="0"/>
                  <w:marTop w:val="0"/>
                  <w:marBottom w:val="0"/>
                  <w:divBdr>
                    <w:top w:val="none" w:sz="0" w:space="0" w:color="auto"/>
                    <w:left w:val="none" w:sz="0" w:space="0" w:color="auto"/>
                    <w:bottom w:val="none" w:sz="0" w:space="0" w:color="auto"/>
                    <w:right w:val="none" w:sz="0" w:space="0" w:color="auto"/>
                  </w:divBdr>
                  <w:divsChild>
                    <w:div w:id="336813736">
                      <w:marLeft w:val="0"/>
                      <w:marRight w:val="0"/>
                      <w:marTop w:val="0"/>
                      <w:marBottom w:val="0"/>
                      <w:divBdr>
                        <w:top w:val="none" w:sz="0" w:space="0" w:color="auto"/>
                        <w:left w:val="none" w:sz="0" w:space="0" w:color="auto"/>
                        <w:bottom w:val="none" w:sz="0" w:space="0" w:color="auto"/>
                        <w:right w:val="none" w:sz="0" w:space="0" w:color="auto"/>
                      </w:divBdr>
                    </w:div>
                  </w:divsChild>
                </w:div>
                <w:div w:id="1958826175">
                  <w:marLeft w:val="0"/>
                  <w:marRight w:val="0"/>
                  <w:marTop w:val="0"/>
                  <w:marBottom w:val="0"/>
                  <w:divBdr>
                    <w:top w:val="none" w:sz="0" w:space="0" w:color="auto"/>
                    <w:left w:val="none" w:sz="0" w:space="0" w:color="auto"/>
                    <w:bottom w:val="none" w:sz="0" w:space="0" w:color="auto"/>
                    <w:right w:val="none" w:sz="0" w:space="0" w:color="auto"/>
                  </w:divBdr>
                  <w:divsChild>
                    <w:div w:id="1769228096">
                      <w:marLeft w:val="0"/>
                      <w:marRight w:val="0"/>
                      <w:marTop w:val="0"/>
                      <w:marBottom w:val="0"/>
                      <w:divBdr>
                        <w:top w:val="none" w:sz="0" w:space="0" w:color="auto"/>
                        <w:left w:val="none" w:sz="0" w:space="0" w:color="auto"/>
                        <w:bottom w:val="none" w:sz="0" w:space="0" w:color="auto"/>
                        <w:right w:val="none" w:sz="0" w:space="0" w:color="auto"/>
                      </w:divBdr>
                    </w:div>
                  </w:divsChild>
                </w:div>
                <w:div w:id="1978954218">
                  <w:marLeft w:val="0"/>
                  <w:marRight w:val="0"/>
                  <w:marTop w:val="0"/>
                  <w:marBottom w:val="0"/>
                  <w:divBdr>
                    <w:top w:val="none" w:sz="0" w:space="0" w:color="auto"/>
                    <w:left w:val="none" w:sz="0" w:space="0" w:color="auto"/>
                    <w:bottom w:val="none" w:sz="0" w:space="0" w:color="auto"/>
                    <w:right w:val="none" w:sz="0" w:space="0" w:color="auto"/>
                  </w:divBdr>
                  <w:divsChild>
                    <w:div w:id="1602033402">
                      <w:marLeft w:val="0"/>
                      <w:marRight w:val="0"/>
                      <w:marTop w:val="0"/>
                      <w:marBottom w:val="0"/>
                      <w:divBdr>
                        <w:top w:val="none" w:sz="0" w:space="0" w:color="auto"/>
                        <w:left w:val="none" w:sz="0" w:space="0" w:color="auto"/>
                        <w:bottom w:val="none" w:sz="0" w:space="0" w:color="auto"/>
                        <w:right w:val="none" w:sz="0" w:space="0" w:color="auto"/>
                      </w:divBdr>
                    </w:div>
                  </w:divsChild>
                </w:div>
                <w:div w:id="1988168823">
                  <w:marLeft w:val="0"/>
                  <w:marRight w:val="0"/>
                  <w:marTop w:val="0"/>
                  <w:marBottom w:val="0"/>
                  <w:divBdr>
                    <w:top w:val="none" w:sz="0" w:space="0" w:color="auto"/>
                    <w:left w:val="none" w:sz="0" w:space="0" w:color="auto"/>
                    <w:bottom w:val="none" w:sz="0" w:space="0" w:color="auto"/>
                    <w:right w:val="none" w:sz="0" w:space="0" w:color="auto"/>
                  </w:divBdr>
                  <w:divsChild>
                    <w:div w:id="1923024716">
                      <w:marLeft w:val="0"/>
                      <w:marRight w:val="0"/>
                      <w:marTop w:val="0"/>
                      <w:marBottom w:val="0"/>
                      <w:divBdr>
                        <w:top w:val="none" w:sz="0" w:space="0" w:color="auto"/>
                        <w:left w:val="none" w:sz="0" w:space="0" w:color="auto"/>
                        <w:bottom w:val="none" w:sz="0" w:space="0" w:color="auto"/>
                        <w:right w:val="none" w:sz="0" w:space="0" w:color="auto"/>
                      </w:divBdr>
                    </w:div>
                  </w:divsChild>
                </w:div>
                <w:div w:id="1988701247">
                  <w:marLeft w:val="0"/>
                  <w:marRight w:val="0"/>
                  <w:marTop w:val="0"/>
                  <w:marBottom w:val="0"/>
                  <w:divBdr>
                    <w:top w:val="none" w:sz="0" w:space="0" w:color="auto"/>
                    <w:left w:val="none" w:sz="0" w:space="0" w:color="auto"/>
                    <w:bottom w:val="none" w:sz="0" w:space="0" w:color="auto"/>
                    <w:right w:val="none" w:sz="0" w:space="0" w:color="auto"/>
                  </w:divBdr>
                  <w:divsChild>
                    <w:div w:id="1562672136">
                      <w:marLeft w:val="0"/>
                      <w:marRight w:val="0"/>
                      <w:marTop w:val="0"/>
                      <w:marBottom w:val="0"/>
                      <w:divBdr>
                        <w:top w:val="none" w:sz="0" w:space="0" w:color="auto"/>
                        <w:left w:val="none" w:sz="0" w:space="0" w:color="auto"/>
                        <w:bottom w:val="none" w:sz="0" w:space="0" w:color="auto"/>
                        <w:right w:val="none" w:sz="0" w:space="0" w:color="auto"/>
                      </w:divBdr>
                    </w:div>
                  </w:divsChild>
                </w:div>
                <w:div w:id="2004504663">
                  <w:marLeft w:val="0"/>
                  <w:marRight w:val="0"/>
                  <w:marTop w:val="0"/>
                  <w:marBottom w:val="0"/>
                  <w:divBdr>
                    <w:top w:val="none" w:sz="0" w:space="0" w:color="auto"/>
                    <w:left w:val="none" w:sz="0" w:space="0" w:color="auto"/>
                    <w:bottom w:val="none" w:sz="0" w:space="0" w:color="auto"/>
                    <w:right w:val="none" w:sz="0" w:space="0" w:color="auto"/>
                  </w:divBdr>
                  <w:divsChild>
                    <w:div w:id="179590940">
                      <w:marLeft w:val="0"/>
                      <w:marRight w:val="0"/>
                      <w:marTop w:val="0"/>
                      <w:marBottom w:val="0"/>
                      <w:divBdr>
                        <w:top w:val="none" w:sz="0" w:space="0" w:color="auto"/>
                        <w:left w:val="none" w:sz="0" w:space="0" w:color="auto"/>
                        <w:bottom w:val="none" w:sz="0" w:space="0" w:color="auto"/>
                        <w:right w:val="none" w:sz="0" w:space="0" w:color="auto"/>
                      </w:divBdr>
                    </w:div>
                  </w:divsChild>
                </w:div>
                <w:div w:id="2006977416">
                  <w:marLeft w:val="0"/>
                  <w:marRight w:val="0"/>
                  <w:marTop w:val="0"/>
                  <w:marBottom w:val="0"/>
                  <w:divBdr>
                    <w:top w:val="none" w:sz="0" w:space="0" w:color="auto"/>
                    <w:left w:val="none" w:sz="0" w:space="0" w:color="auto"/>
                    <w:bottom w:val="none" w:sz="0" w:space="0" w:color="auto"/>
                    <w:right w:val="none" w:sz="0" w:space="0" w:color="auto"/>
                  </w:divBdr>
                  <w:divsChild>
                    <w:div w:id="1681006707">
                      <w:marLeft w:val="0"/>
                      <w:marRight w:val="0"/>
                      <w:marTop w:val="0"/>
                      <w:marBottom w:val="0"/>
                      <w:divBdr>
                        <w:top w:val="none" w:sz="0" w:space="0" w:color="auto"/>
                        <w:left w:val="none" w:sz="0" w:space="0" w:color="auto"/>
                        <w:bottom w:val="none" w:sz="0" w:space="0" w:color="auto"/>
                        <w:right w:val="none" w:sz="0" w:space="0" w:color="auto"/>
                      </w:divBdr>
                    </w:div>
                  </w:divsChild>
                </w:div>
                <w:div w:id="2041125963">
                  <w:marLeft w:val="0"/>
                  <w:marRight w:val="0"/>
                  <w:marTop w:val="0"/>
                  <w:marBottom w:val="0"/>
                  <w:divBdr>
                    <w:top w:val="none" w:sz="0" w:space="0" w:color="auto"/>
                    <w:left w:val="none" w:sz="0" w:space="0" w:color="auto"/>
                    <w:bottom w:val="none" w:sz="0" w:space="0" w:color="auto"/>
                    <w:right w:val="none" w:sz="0" w:space="0" w:color="auto"/>
                  </w:divBdr>
                  <w:divsChild>
                    <w:div w:id="158160184">
                      <w:marLeft w:val="0"/>
                      <w:marRight w:val="0"/>
                      <w:marTop w:val="0"/>
                      <w:marBottom w:val="0"/>
                      <w:divBdr>
                        <w:top w:val="none" w:sz="0" w:space="0" w:color="auto"/>
                        <w:left w:val="none" w:sz="0" w:space="0" w:color="auto"/>
                        <w:bottom w:val="none" w:sz="0" w:space="0" w:color="auto"/>
                        <w:right w:val="none" w:sz="0" w:space="0" w:color="auto"/>
                      </w:divBdr>
                    </w:div>
                  </w:divsChild>
                </w:div>
                <w:div w:id="2063091589">
                  <w:marLeft w:val="0"/>
                  <w:marRight w:val="0"/>
                  <w:marTop w:val="0"/>
                  <w:marBottom w:val="0"/>
                  <w:divBdr>
                    <w:top w:val="none" w:sz="0" w:space="0" w:color="auto"/>
                    <w:left w:val="none" w:sz="0" w:space="0" w:color="auto"/>
                    <w:bottom w:val="none" w:sz="0" w:space="0" w:color="auto"/>
                    <w:right w:val="none" w:sz="0" w:space="0" w:color="auto"/>
                  </w:divBdr>
                  <w:divsChild>
                    <w:div w:id="929235361">
                      <w:marLeft w:val="0"/>
                      <w:marRight w:val="0"/>
                      <w:marTop w:val="0"/>
                      <w:marBottom w:val="0"/>
                      <w:divBdr>
                        <w:top w:val="none" w:sz="0" w:space="0" w:color="auto"/>
                        <w:left w:val="none" w:sz="0" w:space="0" w:color="auto"/>
                        <w:bottom w:val="none" w:sz="0" w:space="0" w:color="auto"/>
                        <w:right w:val="none" w:sz="0" w:space="0" w:color="auto"/>
                      </w:divBdr>
                    </w:div>
                  </w:divsChild>
                </w:div>
                <w:div w:id="2086220483">
                  <w:marLeft w:val="0"/>
                  <w:marRight w:val="0"/>
                  <w:marTop w:val="0"/>
                  <w:marBottom w:val="0"/>
                  <w:divBdr>
                    <w:top w:val="none" w:sz="0" w:space="0" w:color="auto"/>
                    <w:left w:val="none" w:sz="0" w:space="0" w:color="auto"/>
                    <w:bottom w:val="none" w:sz="0" w:space="0" w:color="auto"/>
                    <w:right w:val="none" w:sz="0" w:space="0" w:color="auto"/>
                  </w:divBdr>
                  <w:divsChild>
                    <w:div w:id="1362245866">
                      <w:marLeft w:val="0"/>
                      <w:marRight w:val="0"/>
                      <w:marTop w:val="0"/>
                      <w:marBottom w:val="0"/>
                      <w:divBdr>
                        <w:top w:val="none" w:sz="0" w:space="0" w:color="auto"/>
                        <w:left w:val="none" w:sz="0" w:space="0" w:color="auto"/>
                        <w:bottom w:val="none" w:sz="0" w:space="0" w:color="auto"/>
                        <w:right w:val="none" w:sz="0" w:space="0" w:color="auto"/>
                      </w:divBdr>
                    </w:div>
                  </w:divsChild>
                </w:div>
                <w:div w:id="2092040723">
                  <w:marLeft w:val="0"/>
                  <w:marRight w:val="0"/>
                  <w:marTop w:val="0"/>
                  <w:marBottom w:val="0"/>
                  <w:divBdr>
                    <w:top w:val="none" w:sz="0" w:space="0" w:color="auto"/>
                    <w:left w:val="none" w:sz="0" w:space="0" w:color="auto"/>
                    <w:bottom w:val="none" w:sz="0" w:space="0" w:color="auto"/>
                    <w:right w:val="none" w:sz="0" w:space="0" w:color="auto"/>
                  </w:divBdr>
                  <w:divsChild>
                    <w:div w:id="1263536075">
                      <w:marLeft w:val="0"/>
                      <w:marRight w:val="0"/>
                      <w:marTop w:val="0"/>
                      <w:marBottom w:val="0"/>
                      <w:divBdr>
                        <w:top w:val="none" w:sz="0" w:space="0" w:color="auto"/>
                        <w:left w:val="none" w:sz="0" w:space="0" w:color="auto"/>
                        <w:bottom w:val="none" w:sz="0" w:space="0" w:color="auto"/>
                        <w:right w:val="none" w:sz="0" w:space="0" w:color="auto"/>
                      </w:divBdr>
                    </w:div>
                  </w:divsChild>
                </w:div>
                <w:div w:id="2096434306">
                  <w:marLeft w:val="0"/>
                  <w:marRight w:val="0"/>
                  <w:marTop w:val="0"/>
                  <w:marBottom w:val="0"/>
                  <w:divBdr>
                    <w:top w:val="none" w:sz="0" w:space="0" w:color="auto"/>
                    <w:left w:val="none" w:sz="0" w:space="0" w:color="auto"/>
                    <w:bottom w:val="none" w:sz="0" w:space="0" w:color="auto"/>
                    <w:right w:val="none" w:sz="0" w:space="0" w:color="auto"/>
                  </w:divBdr>
                  <w:divsChild>
                    <w:div w:id="182520416">
                      <w:marLeft w:val="0"/>
                      <w:marRight w:val="0"/>
                      <w:marTop w:val="0"/>
                      <w:marBottom w:val="0"/>
                      <w:divBdr>
                        <w:top w:val="none" w:sz="0" w:space="0" w:color="auto"/>
                        <w:left w:val="none" w:sz="0" w:space="0" w:color="auto"/>
                        <w:bottom w:val="none" w:sz="0" w:space="0" w:color="auto"/>
                        <w:right w:val="none" w:sz="0" w:space="0" w:color="auto"/>
                      </w:divBdr>
                    </w:div>
                  </w:divsChild>
                </w:div>
                <w:div w:id="2112360749">
                  <w:marLeft w:val="0"/>
                  <w:marRight w:val="0"/>
                  <w:marTop w:val="0"/>
                  <w:marBottom w:val="0"/>
                  <w:divBdr>
                    <w:top w:val="none" w:sz="0" w:space="0" w:color="auto"/>
                    <w:left w:val="none" w:sz="0" w:space="0" w:color="auto"/>
                    <w:bottom w:val="none" w:sz="0" w:space="0" w:color="auto"/>
                    <w:right w:val="none" w:sz="0" w:space="0" w:color="auto"/>
                  </w:divBdr>
                  <w:divsChild>
                    <w:div w:id="792594476">
                      <w:marLeft w:val="0"/>
                      <w:marRight w:val="0"/>
                      <w:marTop w:val="0"/>
                      <w:marBottom w:val="0"/>
                      <w:divBdr>
                        <w:top w:val="none" w:sz="0" w:space="0" w:color="auto"/>
                        <w:left w:val="none" w:sz="0" w:space="0" w:color="auto"/>
                        <w:bottom w:val="none" w:sz="0" w:space="0" w:color="auto"/>
                        <w:right w:val="none" w:sz="0" w:space="0" w:color="auto"/>
                      </w:divBdr>
                    </w:div>
                  </w:divsChild>
                </w:div>
                <w:div w:id="2132939357">
                  <w:marLeft w:val="0"/>
                  <w:marRight w:val="0"/>
                  <w:marTop w:val="0"/>
                  <w:marBottom w:val="0"/>
                  <w:divBdr>
                    <w:top w:val="none" w:sz="0" w:space="0" w:color="auto"/>
                    <w:left w:val="none" w:sz="0" w:space="0" w:color="auto"/>
                    <w:bottom w:val="none" w:sz="0" w:space="0" w:color="auto"/>
                    <w:right w:val="none" w:sz="0" w:space="0" w:color="auto"/>
                  </w:divBdr>
                  <w:divsChild>
                    <w:div w:id="1575897406">
                      <w:marLeft w:val="0"/>
                      <w:marRight w:val="0"/>
                      <w:marTop w:val="0"/>
                      <w:marBottom w:val="0"/>
                      <w:divBdr>
                        <w:top w:val="none" w:sz="0" w:space="0" w:color="auto"/>
                        <w:left w:val="none" w:sz="0" w:space="0" w:color="auto"/>
                        <w:bottom w:val="none" w:sz="0" w:space="0" w:color="auto"/>
                        <w:right w:val="none" w:sz="0" w:space="0" w:color="auto"/>
                      </w:divBdr>
                    </w:div>
                  </w:divsChild>
                </w:div>
                <w:div w:id="2139912997">
                  <w:marLeft w:val="0"/>
                  <w:marRight w:val="0"/>
                  <w:marTop w:val="0"/>
                  <w:marBottom w:val="0"/>
                  <w:divBdr>
                    <w:top w:val="none" w:sz="0" w:space="0" w:color="auto"/>
                    <w:left w:val="none" w:sz="0" w:space="0" w:color="auto"/>
                    <w:bottom w:val="none" w:sz="0" w:space="0" w:color="auto"/>
                    <w:right w:val="none" w:sz="0" w:space="0" w:color="auto"/>
                  </w:divBdr>
                  <w:divsChild>
                    <w:div w:id="89083244">
                      <w:marLeft w:val="0"/>
                      <w:marRight w:val="0"/>
                      <w:marTop w:val="0"/>
                      <w:marBottom w:val="0"/>
                      <w:divBdr>
                        <w:top w:val="none" w:sz="0" w:space="0" w:color="auto"/>
                        <w:left w:val="none" w:sz="0" w:space="0" w:color="auto"/>
                        <w:bottom w:val="none" w:sz="0" w:space="0" w:color="auto"/>
                        <w:right w:val="none" w:sz="0" w:space="0" w:color="auto"/>
                      </w:divBdr>
                    </w:div>
                    <w:div w:id="243805003">
                      <w:marLeft w:val="0"/>
                      <w:marRight w:val="0"/>
                      <w:marTop w:val="0"/>
                      <w:marBottom w:val="0"/>
                      <w:divBdr>
                        <w:top w:val="none" w:sz="0" w:space="0" w:color="auto"/>
                        <w:left w:val="none" w:sz="0" w:space="0" w:color="auto"/>
                        <w:bottom w:val="none" w:sz="0" w:space="0" w:color="auto"/>
                        <w:right w:val="none" w:sz="0" w:space="0" w:color="auto"/>
                      </w:divBdr>
                    </w:div>
                    <w:div w:id="479730258">
                      <w:marLeft w:val="0"/>
                      <w:marRight w:val="0"/>
                      <w:marTop w:val="0"/>
                      <w:marBottom w:val="0"/>
                      <w:divBdr>
                        <w:top w:val="none" w:sz="0" w:space="0" w:color="auto"/>
                        <w:left w:val="none" w:sz="0" w:space="0" w:color="auto"/>
                        <w:bottom w:val="none" w:sz="0" w:space="0" w:color="auto"/>
                        <w:right w:val="none" w:sz="0" w:space="0" w:color="auto"/>
                      </w:divBdr>
                    </w:div>
                    <w:div w:id="1260023215">
                      <w:marLeft w:val="0"/>
                      <w:marRight w:val="0"/>
                      <w:marTop w:val="0"/>
                      <w:marBottom w:val="0"/>
                      <w:divBdr>
                        <w:top w:val="none" w:sz="0" w:space="0" w:color="auto"/>
                        <w:left w:val="none" w:sz="0" w:space="0" w:color="auto"/>
                        <w:bottom w:val="none" w:sz="0" w:space="0" w:color="auto"/>
                        <w:right w:val="none" w:sz="0" w:space="0" w:color="auto"/>
                      </w:divBdr>
                    </w:div>
                    <w:div w:id="1475290651">
                      <w:marLeft w:val="0"/>
                      <w:marRight w:val="0"/>
                      <w:marTop w:val="0"/>
                      <w:marBottom w:val="0"/>
                      <w:divBdr>
                        <w:top w:val="none" w:sz="0" w:space="0" w:color="auto"/>
                        <w:left w:val="none" w:sz="0" w:space="0" w:color="auto"/>
                        <w:bottom w:val="none" w:sz="0" w:space="0" w:color="auto"/>
                        <w:right w:val="none" w:sz="0" w:space="0" w:color="auto"/>
                      </w:divBdr>
                    </w:div>
                    <w:div w:id="1498499683">
                      <w:marLeft w:val="0"/>
                      <w:marRight w:val="0"/>
                      <w:marTop w:val="0"/>
                      <w:marBottom w:val="0"/>
                      <w:divBdr>
                        <w:top w:val="none" w:sz="0" w:space="0" w:color="auto"/>
                        <w:left w:val="none" w:sz="0" w:space="0" w:color="auto"/>
                        <w:bottom w:val="none" w:sz="0" w:space="0" w:color="auto"/>
                        <w:right w:val="none" w:sz="0" w:space="0" w:color="auto"/>
                      </w:divBdr>
                    </w:div>
                    <w:div w:id="1811288789">
                      <w:marLeft w:val="0"/>
                      <w:marRight w:val="0"/>
                      <w:marTop w:val="0"/>
                      <w:marBottom w:val="0"/>
                      <w:divBdr>
                        <w:top w:val="none" w:sz="0" w:space="0" w:color="auto"/>
                        <w:left w:val="none" w:sz="0" w:space="0" w:color="auto"/>
                        <w:bottom w:val="none" w:sz="0" w:space="0" w:color="auto"/>
                        <w:right w:val="none" w:sz="0" w:space="0" w:color="auto"/>
                      </w:divBdr>
                    </w:div>
                    <w:div w:id="1933471365">
                      <w:marLeft w:val="0"/>
                      <w:marRight w:val="0"/>
                      <w:marTop w:val="0"/>
                      <w:marBottom w:val="0"/>
                      <w:divBdr>
                        <w:top w:val="none" w:sz="0" w:space="0" w:color="auto"/>
                        <w:left w:val="none" w:sz="0" w:space="0" w:color="auto"/>
                        <w:bottom w:val="none" w:sz="0" w:space="0" w:color="auto"/>
                        <w:right w:val="none" w:sz="0" w:space="0" w:color="auto"/>
                      </w:divBdr>
                    </w:div>
                  </w:divsChild>
                </w:div>
                <w:div w:id="2146964227">
                  <w:marLeft w:val="0"/>
                  <w:marRight w:val="0"/>
                  <w:marTop w:val="0"/>
                  <w:marBottom w:val="0"/>
                  <w:divBdr>
                    <w:top w:val="none" w:sz="0" w:space="0" w:color="auto"/>
                    <w:left w:val="none" w:sz="0" w:space="0" w:color="auto"/>
                    <w:bottom w:val="none" w:sz="0" w:space="0" w:color="auto"/>
                    <w:right w:val="none" w:sz="0" w:space="0" w:color="auto"/>
                  </w:divBdr>
                  <w:divsChild>
                    <w:div w:id="3184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292066">
      <w:bodyDiv w:val="1"/>
      <w:marLeft w:val="0"/>
      <w:marRight w:val="0"/>
      <w:marTop w:val="0"/>
      <w:marBottom w:val="0"/>
      <w:divBdr>
        <w:top w:val="none" w:sz="0" w:space="0" w:color="auto"/>
        <w:left w:val="none" w:sz="0" w:space="0" w:color="auto"/>
        <w:bottom w:val="none" w:sz="0" w:space="0" w:color="auto"/>
        <w:right w:val="none" w:sz="0" w:space="0" w:color="auto"/>
      </w:divBdr>
    </w:div>
    <w:div w:id="1550725875">
      <w:bodyDiv w:val="1"/>
      <w:marLeft w:val="0"/>
      <w:marRight w:val="0"/>
      <w:marTop w:val="0"/>
      <w:marBottom w:val="0"/>
      <w:divBdr>
        <w:top w:val="none" w:sz="0" w:space="0" w:color="auto"/>
        <w:left w:val="none" w:sz="0" w:space="0" w:color="auto"/>
        <w:bottom w:val="none" w:sz="0" w:space="0" w:color="auto"/>
        <w:right w:val="none" w:sz="0" w:space="0" w:color="auto"/>
      </w:divBdr>
    </w:div>
    <w:div w:id="1660382335">
      <w:bodyDiv w:val="1"/>
      <w:marLeft w:val="0"/>
      <w:marRight w:val="0"/>
      <w:marTop w:val="0"/>
      <w:marBottom w:val="0"/>
      <w:divBdr>
        <w:top w:val="none" w:sz="0" w:space="0" w:color="auto"/>
        <w:left w:val="none" w:sz="0" w:space="0" w:color="auto"/>
        <w:bottom w:val="none" w:sz="0" w:space="0" w:color="auto"/>
        <w:right w:val="none" w:sz="0" w:space="0" w:color="auto"/>
      </w:divBdr>
      <w:divsChild>
        <w:div w:id="695544898">
          <w:marLeft w:val="0"/>
          <w:marRight w:val="0"/>
          <w:marTop w:val="0"/>
          <w:marBottom w:val="0"/>
          <w:divBdr>
            <w:top w:val="none" w:sz="0" w:space="0" w:color="auto"/>
            <w:left w:val="none" w:sz="0" w:space="0" w:color="auto"/>
            <w:bottom w:val="none" w:sz="0" w:space="0" w:color="auto"/>
            <w:right w:val="none" w:sz="0" w:space="0" w:color="auto"/>
          </w:divBdr>
          <w:divsChild>
            <w:div w:id="76445347">
              <w:marLeft w:val="0"/>
              <w:marRight w:val="0"/>
              <w:marTop w:val="0"/>
              <w:marBottom w:val="0"/>
              <w:divBdr>
                <w:top w:val="none" w:sz="0" w:space="0" w:color="auto"/>
                <w:left w:val="none" w:sz="0" w:space="0" w:color="auto"/>
                <w:bottom w:val="none" w:sz="0" w:space="0" w:color="auto"/>
                <w:right w:val="none" w:sz="0" w:space="0" w:color="auto"/>
              </w:divBdr>
            </w:div>
            <w:div w:id="105659549">
              <w:marLeft w:val="0"/>
              <w:marRight w:val="0"/>
              <w:marTop w:val="0"/>
              <w:marBottom w:val="0"/>
              <w:divBdr>
                <w:top w:val="none" w:sz="0" w:space="0" w:color="auto"/>
                <w:left w:val="none" w:sz="0" w:space="0" w:color="auto"/>
                <w:bottom w:val="none" w:sz="0" w:space="0" w:color="auto"/>
                <w:right w:val="none" w:sz="0" w:space="0" w:color="auto"/>
              </w:divBdr>
            </w:div>
            <w:div w:id="152646920">
              <w:marLeft w:val="0"/>
              <w:marRight w:val="0"/>
              <w:marTop w:val="0"/>
              <w:marBottom w:val="0"/>
              <w:divBdr>
                <w:top w:val="none" w:sz="0" w:space="0" w:color="auto"/>
                <w:left w:val="none" w:sz="0" w:space="0" w:color="auto"/>
                <w:bottom w:val="none" w:sz="0" w:space="0" w:color="auto"/>
                <w:right w:val="none" w:sz="0" w:space="0" w:color="auto"/>
              </w:divBdr>
            </w:div>
            <w:div w:id="316308319">
              <w:marLeft w:val="0"/>
              <w:marRight w:val="0"/>
              <w:marTop w:val="0"/>
              <w:marBottom w:val="0"/>
              <w:divBdr>
                <w:top w:val="none" w:sz="0" w:space="0" w:color="auto"/>
                <w:left w:val="none" w:sz="0" w:space="0" w:color="auto"/>
                <w:bottom w:val="none" w:sz="0" w:space="0" w:color="auto"/>
                <w:right w:val="none" w:sz="0" w:space="0" w:color="auto"/>
              </w:divBdr>
            </w:div>
            <w:div w:id="366220341">
              <w:marLeft w:val="0"/>
              <w:marRight w:val="0"/>
              <w:marTop w:val="0"/>
              <w:marBottom w:val="0"/>
              <w:divBdr>
                <w:top w:val="none" w:sz="0" w:space="0" w:color="auto"/>
                <w:left w:val="none" w:sz="0" w:space="0" w:color="auto"/>
                <w:bottom w:val="none" w:sz="0" w:space="0" w:color="auto"/>
                <w:right w:val="none" w:sz="0" w:space="0" w:color="auto"/>
              </w:divBdr>
            </w:div>
            <w:div w:id="556554747">
              <w:marLeft w:val="0"/>
              <w:marRight w:val="0"/>
              <w:marTop w:val="0"/>
              <w:marBottom w:val="0"/>
              <w:divBdr>
                <w:top w:val="none" w:sz="0" w:space="0" w:color="auto"/>
                <w:left w:val="none" w:sz="0" w:space="0" w:color="auto"/>
                <w:bottom w:val="none" w:sz="0" w:space="0" w:color="auto"/>
                <w:right w:val="none" w:sz="0" w:space="0" w:color="auto"/>
              </w:divBdr>
            </w:div>
            <w:div w:id="624121546">
              <w:marLeft w:val="0"/>
              <w:marRight w:val="0"/>
              <w:marTop w:val="0"/>
              <w:marBottom w:val="0"/>
              <w:divBdr>
                <w:top w:val="none" w:sz="0" w:space="0" w:color="auto"/>
                <w:left w:val="none" w:sz="0" w:space="0" w:color="auto"/>
                <w:bottom w:val="none" w:sz="0" w:space="0" w:color="auto"/>
                <w:right w:val="none" w:sz="0" w:space="0" w:color="auto"/>
              </w:divBdr>
            </w:div>
            <w:div w:id="808939465">
              <w:marLeft w:val="0"/>
              <w:marRight w:val="0"/>
              <w:marTop w:val="0"/>
              <w:marBottom w:val="0"/>
              <w:divBdr>
                <w:top w:val="none" w:sz="0" w:space="0" w:color="auto"/>
                <w:left w:val="none" w:sz="0" w:space="0" w:color="auto"/>
                <w:bottom w:val="none" w:sz="0" w:space="0" w:color="auto"/>
                <w:right w:val="none" w:sz="0" w:space="0" w:color="auto"/>
              </w:divBdr>
            </w:div>
            <w:div w:id="828600620">
              <w:marLeft w:val="0"/>
              <w:marRight w:val="0"/>
              <w:marTop w:val="0"/>
              <w:marBottom w:val="0"/>
              <w:divBdr>
                <w:top w:val="none" w:sz="0" w:space="0" w:color="auto"/>
                <w:left w:val="none" w:sz="0" w:space="0" w:color="auto"/>
                <w:bottom w:val="none" w:sz="0" w:space="0" w:color="auto"/>
                <w:right w:val="none" w:sz="0" w:space="0" w:color="auto"/>
              </w:divBdr>
            </w:div>
            <w:div w:id="901451292">
              <w:marLeft w:val="0"/>
              <w:marRight w:val="0"/>
              <w:marTop w:val="0"/>
              <w:marBottom w:val="0"/>
              <w:divBdr>
                <w:top w:val="none" w:sz="0" w:space="0" w:color="auto"/>
                <w:left w:val="none" w:sz="0" w:space="0" w:color="auto"/>
                <w:bottom w:val="none" w:sz="0" w:space="0" w:color="auto"/>
                <w:right w:val="none" w:sz="0" w:space="0" w:color="auto"/>
              </w:divBdr>
            </w:div>
            <w:div w:id="1122383848">
              <w:marLeft w:val="0"/>
              <w:marRight w:val="0"/>
              <w:marTop w:val="0"/>
              <w:marBottom w:val="0"/>
              <w:divBdr>
                <w:top w:val="none" w:sz="0" w:space="0" w:color="auto"/>
                <w:left w:val="none" w:sz="0" w:space="0" w:color="auto"/>
                <w:bottom w:val="none" w:sz="0" w:space="0" w:color="auto"/>
                <w:right w:val="none" w:sz="0" w:space="0" w:color="auto"/>
              </w:divBdr>
            </w:div>
            <w:div w:id="1142114816">
              <w:marLeft w:val="0"/>
              <w:marRight w:val="0"/>
              <w:marTop w:val="0"/>
              <w:marBottom w:val="0"/>
              <w:divBdr>
                <w:top w:val="none" w:sz="0" w:space="0" w:color="auto"/>
                <w:left w:val="none" w:sz="0" w:space="0" w:color="auto"/>
                <w:bottom w:val="none" w:sz="0" w:space="0" w:color="auto"/>
                <w:right w:val="none" w:sz="0" w:space="0" w:color="auto"/>
              </w:divBdr>
            </w:div>
            <w:div w:id="1160774149">
              <w:marLeft w:val="0"/>
              <w:marRight w:val="0"/>
              <w:marTop w:val="0"/>
              <w:marBottom w:val="0"/>
              <w:divBdr>
                <w:top w:val="none" w:sz="0" w:space="0" w:color="auto"/>
                <w:left w:val="none" w:sz="0" w:space="0" w:color="auto"/>
                <w:bottom w:val="none" w:sz="0" w:space="0" w:color="auto"/>
                <w:right w:val="none" w:sz="0" w:space="0" w:color="auto"/>
              </w:divBdr>
            </w:div>
            <w:div w:id="1258640967">
              <w:marLeft w:val="0"/>
              <w:marRight w:val="0"/>
              <w:marTop w:val="0"/>
              <w:marBottom w:val="0"/>
              <w:divBdr>
                <w:top w:val="none" w:sz="0" w:space="0" w:color="auto"/>
                <w:left w:val="none" w:sz="0" w:space="0" w:color="auto"/>
                <w:bottom w:val="none" w:sz="0" w:space="0" w:color="auto"/>
                <w:right w:val="none" w:sz="0" w:space="0" w:color="auto"/>
              </w:divBdr>
            </w:div>
            <w:div w:id="1478230118">
              <w:marLeft w:val="0"/>
              <w:marRight w:val="0"/>
              <w:marTop w:val="0"/>
              <w:marBottom w:val="0"/>
              <w:divBdr>
                <w:top w:val="none" w:sz="0" w:space="0" w:color="auto"/>
                <w:left w:val="none" w:sz="0" w:space="0" w:color="auto"/>
                <w:bottom w:val="none" w:sz="0" w:space="0" w:color="auto"/>
                <w:right w:val="none" w:sz="0" w:space="0" w:color="auto"/>
              </w:divBdr>
            </w:div>
            <w:div w:id="1537739815">
              <w:marLeft w:val="0"/>
              <w:marRight w:val="0"/>
              <w:marTop w:val="0"/>
              <w:marBottom w:val="0"/>
              <w:divBdr>
                <w:top w:val="none" w:sz="0" w:space="0" w:color="auto"/>
                <w:left w:val="none" w:sz="0" w:space="0" w:color="auto"/>
                <w:bottom w:val="none" w:sz="0" w:space="0" w:color="auto"/>
                <w:right w:val="none" w:sz="0" w:space="0" w:color="auto"/>
              </w:divBdr>
            </w:div>
            <w:div w:id="1571036256">
              <w:marLeft w:val="0"/>
              <w:marRight w:val="0"/>
              <w:marTop w:val="0"/>
              <w:marBottom w:val="0"/>
              <w:divBdr>
                <w:top w:val="none" w:sz="0" w:space="0" w:color="auto"/>
                <w:left w:val="none" w:sz="0" w:space="0" w:color="auto"/>
                <w:bottom w:val="none" w:sz="0" w:space="0" w:color="auto"/>
                <w:right w:val="none" w:sz="0" w:space="0" w:color="auto"/>
              </w:divBdr>
            </w:div>
            <w:div w:id="1697272972">
              <w:marLeft w:val="0"/>
              <w:marRight w:val="0"/>
              <w:marTop w:val="0"/>
              <w:marBottom w:val="0"/>
              <w:divBdr>
                <w:top w:val="none" w:sz="0" w:space="0" w:color="auto"/>
                <w:left w:val="none" w:sz="0" w:space="0" w:color="auto"/>
                <w:bottom w:val="none" w:sz="0" w:space="0" w:color="auto"/>
                <w:right w:val="none" w:sz="0" w:space="0" w:color="auto"/>
              </w:divBdr>
            </w:div>
            <w:div w:id="1845391479">
              <w:marLeft w:val="0"/>
              <w:marRight w:val="0"/>
              <w:marTop w:val="0"/>
              <w:marBottom w:val="0"/>
              <w:divBdr>
                <w:top w:val="none" w:sz="0" w:space="0" w:color="auto"/>
                <w:left w:val="none" w:sz="0" w:space="0" w:color="auto"/>
                <w:bottom w:val="none" w:sz="0" w:space="0" w:color="auto"/>
                <w:right w:val="none" w:sz="0" w:space="0" w:color="auto"/>
              </w:divBdr>
            </w:div>
            <w:div w:id="1848907747">
              <w:marLeft w:val="0"/>
              <w:marRight w:val="0"/>
              <w:marTop w:val="0"/>
              <w:marBottom w:val="0"/>
              <w:divBdr>
                <w:top w:val="none" w:sz="0" w:space="0" w:color="auto"/>
                <w:left w:val="none" w:sz="0" w:space="0" w:color="auto"/>
                <w:bottom w:val="none" w:sz="0" w:space="0" w:color="auto"/>
                <w:right w:val="none" w:sz="0" w:space="0" w:color="auto"/>
              </w:divBdr>
            </w:div>
          </w:divsChild>
        </w:div>
        <w:div w:id="1754354579">
          <w:marLeft w:val="0"/>
          <w:marRight w:val="0"/>
          <w:marTop w:val="0"/>
          <w:marBottom w:val="0"/>
          <w:divBdr>
            <w:top w:val="none" w:sz="0" w:space="0" w:color="auto"/>
            <w:left w:val="none" w:sz="0" w:space="0" w:color="auto"/>
            <w:bottom w:val="none" w:sz="0" w:space="0" w:color="auto"/>
            <w:right w:val="none" w:sz="0" w:space="0" w:color="auto"/>
          </w:divBdr>
          <w:divsChild>
            <w:div w:id="219294561">
              <w:marLeft w:val="0"/>
              <w:marRight w:val="0"/>
              <w:marTop w:val="0"/>
              <w:marBottom w:val="0"/>
              <w:divBdr>
                <w:top w:val="none" w:sz="0" w:space="0" w:color="auto"/>
                <w:left w:val="none" w:sz="0" w:space="0" w:color="auto"/>
                <w:bottom w:val="none" w:sz="0" w:space="0" w:color="auto"/>
                <w:right w:val="none" w:sz="0" w:space="0" w:color="auto"/>
              </w:divBdr>
            </w:div>
            <w:div w:id="274143773">
              <w:marLeft w:val="0"/>
              <w:marRight w:val="0"/>
              <w:marTop w:val="0"/>
              <w:marBottom w:val="0"/>
              <w:divBdr>
                <w:top w:val="none" w:sz="0" w:space="0" w:color="auto"/>
                <w:left w:val="none" w:sz="0" w:space="0" w:color="auto"/>
                <w:bottom w:val="none" w:sz="0" w:space="0" w:color="auto"/>
                <w:right w:val="none" w:sz="0" w:space="0" w:color="auto"/>
              </w:divBdr>
            </w:div>
            <w:div w:id="422993514">
              <w:marLeft w:val="0"/>
              <w:marRight w:val="0"/>
              <w:marTop w:val="0"/>
              <w:marBottom w:val="0"/>
              <w:divBdr>
                <w:top w:val="none" w:sz="0" w:space="0" w:color="auto"/>
                <w:left w:val="none" w:sz="0" w:space="0" w:color="auto"/>
                <w:bottom w:val="none" w:sz="0" w:space="0" w:color="auto"/>
                <w:right w:val="none" w:sz="0" w:space="0" w:color="auto"/>
              </w:divBdr>
            </w:div>
            <w:div w:id="539559853">
              <w:marLeft w:val="0"/>
              <w:marRight w:val="0"/>
              <w:marTop w:val="0"/>
              <w:marBottom w:val="0"/>
              <w:divBdr>
                <w:top w:val="none" w:sz="0" w:space="0" w:color="auto"/>
                <w:left w:val="none" w:sz="0" w:space="0" w:color="auto"/>
                <w:bottom w:val="none" w:sz="0" w:space="0" w:color="auto"/>
                <w:right w:val="none" w:sz="0" w:space="0" w:color="auto"/>
              </w:divBdr>
            </w:div>
            <w:div w:id="685792219">
              <w:marLeft w:val="0"/>
              <w:marRight w:val="0"/>
              <w:marTop w:val="0"/>
              <w:marBottom w:val="0"/>
              <w:divBdr>
                <w:top w:val="none" w:sz="0" w:space="0" w:color="auto"/>
                <w:left w:val="none" w:sz="0" w:space="0" w:color="auto"/>
                <w:bottom w:val="none" w:sz="0" w:space="0" w:color="auto"/>
                <w:right w:val="none" w:sz="0" w:space="0" w:color="auto"/>
              </w:divBdr>
            </w:div>
            <w:div w:id="824055412">
              <w:marLeft w:val="0"/>
              <w:marRight w:val="0"/>
              <w:marTop w:val="0"/>
              <w:marBottom w:val="0"/>
              <w:divBdr>
                <w:top w:val="none" w:sz="0" w:space="0" w:color="auto"/>
                <w:left w:val="none" w:sz="0" w:space="0" w:color="auto"/>
                <w:bottom w:val="none" w:sz="0" w:space="0" w:color="auto"/>
                <w:right w:val="none" w:sz="0" w:space="0" w:color="auto"/>
              </w:divBdr>
            </w:div>
            <w:div w:id="992026561">
              <w:marLeft w:val="0"/>
              <w:marRight w:val="0"/>
              <w:marTop w:val="0"/>
              <w:marBottom w:val="0"/>
              <w:divBdr>
                <w:top w:val="none" w:sz="0" w:space="0" w:color="auto"/>
                <w:left w:val="none" w:sz="0" w:space="0" w:color="auto"/>
                <w:bottom w:val="none" w:sz="0" w:space="0" w:color="auto"/>
                <w:right w:val="none" w:sz="0" w:space="0" w:color="auto"/>
              </w:divBdr>
            </w:div>
            <w:div w:id="1315179267">
              <w:marLeft w:val="0"/>
              <w:marRight w:val="0"/>
              <w:marTop w:val="0"/>
              <w:marBottom w:val="0"/>
              <w:divBdr>
                <w:top w:val="none" w:sz="0" w:space="0" w:color="auto"/>
                <w:left w:val="none" w:sz="0" w:space="0" w:color="auto"/>
                <w:bottom w:val="none" w:sz="0" w:space="0" w:color="auto"/>
                <w:right w:val="none" w:sz="0" w:space="0" w:color="auto"/>
              </w:divBdr>
            </w:div>
            <w:div w:id="1374579018">
              <w:marLeft w:val="0"/>
              <w:marRight w:val="0"/>
              <w:marTop w:val="0"/>
              <w:marBottom w:val="0"/>
              <w:divBdr>
                <w:top w:val="none" w:sz="0" w:space="0" w:color="auto"/>
                <w:left w:val="none" w:sz="0" w:space="0" w:color="auto"/>
                <w:bottom w:val="none" w:sz="0" w:space="0" w:color="auto"/>
                <w:right w:val="none" w:sz="0" w:space="0" w:color="auto"/>
              </w:divBdr>
            </w:div>
            <w:div w:id="1429696860">
              <w:marLeft w:val="0"/>
              <w:marRight w:val="0"/>
              <w:marTop w:val="0"/>
              <w:marBottom w:val="0"/>
              <w:divBdr>
                <w:top w:val="none" w:sz="0" w:space="0" w:color="auto"/>
                <w:left w:val="none" w:sz="0" w:space="0" w:color="auto"/>
                <w:bottom w:val="none" w:sz="0" w:space="0" w:color="auto"/>
                <w:right w:val="none" w:sz="0" w:space="0" w:color="auto"/>
              </w:divBdr>
            </w:div>
            <w:div w:id="1451824306">
              <w:marLeft w:val="0"/>
              <w:marRight w:val="0"/>
              <w:marTop w:val="0"/>
              <w:marBottom w:val="0"/>
              <w:divBdr>
                <w:top w:val="none" w:sz="0" w:space="0" w:color="auto"/>
                <w:left w:val="none" w:sz="0" w:space="0" w:color="auto"/>
                <w:bottom w:val="none" w:sz="0" w:space="0" w:color="auto"/>
                <w:right w:val="none" w:sz="0" w:space="0" w:color="auto"/>
              </w:divBdr>
            </w:div>
            <w:div w:id="1536190889">
              <w:marLeft w:val="0"/>
              <w:marRight w:val="0"/>
              <w:marTop w:val="0"/>
              <w:marBottom w:val="0"/>
              <w:divBdr>
                <w:top w:val="none" w:sz="0" w:space="0" w:color="auto"/>
                <w:left w:val="none" w:sz="0" w:space="0" w:color="auto"/>
                <w:bottom w:val="none" w:sz="0" w:space="0" w:color="auto"/>
                <w:right w:val="none" w:sz="0" w:space="0" w:color="auto"/>
              </w:divBdr>
            </w:div>
            <w:div w:id="1753577062">
              <w:marLeft w:val="0"/>
              <w:marRight w:val="0"/>
              <w:marTop w:val="0"/>
              <w:marBottom w:val="0"/>
              <w:divBdr>
                <w:top w:val="none" w:sz="0" w:space="0" w:color="auto"/>
                <w:left w:val="none" w:sz="0" w:space="0" w:color="auto"/>
                <w:bottom w:val="none" w:sz="0" w:space="0" w:color="auto"/>
                <w:right w:val="none" w:sz="0" w:space="0" w:color="auto"/>
              </w:divBdr>
            </w:div>
            <w:div w:id="1768501726">
              <w:marLeft w:val="0"/>
              <w:marRight w:val="0"/>
              <w:marTop w:val="0"/>
              <w:marBottom w:val="0"/>
              <w:divBdr>
                <w:top w:val="none" w:sz="0" w:space="0" w:color="auto"/>
                <w:left w:val="none" w:sz="0" w:space="0" w:color="auto"/>
                <w:bottom w:val="none" w:sz="0" w:space="0" w:color="auto"/>
                <w:right w:val="none" w:sz="0" w:space="0" w:color="auto"/>
              </w:divBdr>
            </w:div>
            <w:div w:id="1947883896">
              <w:marLeft w:val="0"/>
              <w:marRight w:val="0"/>
              <w:marTop w:val="0"/>
              <w:marBottom w:val="0"/>
              <w:divBdr>
                <w:top w:val="none" w:sz="0" w:space="0" w:color="auto"/>
                <w:left w:val="none" w:sz="0" w:space="0" w:color="auto"/>
                <w:bottom w:val="none" w:sz="0" w:space="0" w:color="auto"/>
                <w:right w:val="none" w:sz="0" w:space="0" w:color="auto"/>
              </w:divBdr>
            </w:div>
            <w:div w:id="1973556532">
              <w:marLeft w:val="0"/>
              <w:marRight w:val="0"/>
              <w:marTop w:val="0"/>
              <w:marBottom w:val="0"/>
              <w:divBdr>
                <w:top w:val="none" w:sz="0" w:space="0" w:color="auto"/>
                <w:left w:val="none" w:sz="0" w:space="0" w:color="auto"/>
                <w:bottom w:val="none" w:sz="0" w:space="0" w:color="auto"/>
                <w:right w:val="none" w:sz="0" w:space="0" w:color="auto"/>
              </w:divBdr>
            </w:div>
            <w:div w:id="2031178951">
              <w:marLeft w:val="0"/>
              <w:marRight w:val="0"/>
              <w:marTop w:val="0"/>
              <w:marBottom w:val="0"/>
              <w:divBdr>
                <w:top w:val="none" w:sz="0" w:space="0" w:color="auto"/>
                <w:left w:val="none" w:sz="0" w:space="0" w:color="auto"/>
                <w:bottom w:val="none" w:sz="0" w:space="0" w:color="auto"/>
                <w:right w:val="none" w:sz="0" w:space="0" w:color="auto"/>
              </w:divBdr>
            </w:div>
            <w:div w:id="2066681849">
              <w:marLeft w:val="0"/>
              <w:marRight w:val="0"/>
              <w:marTop w:val="0"/>
              <w:marBottom w:val="0"/>
              <w:divBdr>
                <w:top w:val="none" w:sz="0" w:space="0" w:color="auto"/>
                <w:left w:val="none" w:sz="0" w:space="0" w:color="auto"/>
                <w:bottom w:val="none" w:sz="0" w:space="0" w:color="auto"/>
                <w:right w:val="none" w:sz="0" w:space="0" w:color="auto"/>
              </w:divBdr>
            </w:div>
            <w:div w:id="2079742038">
              <w:marLeft w:val="0"/>
              <w:marRight w:val="0"/>
              <w:marTop w:val="0"/>
              <w:marBottom w:val="0"/>
              <w:divBdr>
                <w:top w:val="none" w:sz="0" w:space="0" w:color="auto"/>
                <w:left w:val="none" w:sz="0" w:space="0" w:color="auto"/>
                <w:bottom w:val="none" w:sz="0" w:space="0" w:color="auto"/>
                <w:right w:val="none" w:sz="0" w:space="0" w:color="auto"/>
              </w:divBdr>
            </w:div>
            <w:div w:id="214264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586161">
      <w:bodyDiv w:val="1"/>
      <w:marLeft w:val="0"/>
      <w:marRight w:val="0"/>
      <w:marTop w:val="0"/>
      <w:marBottom w:val="0"/>
      <w:divBdr>
        <w:top w:val="none" w:sz="0" w:space="0" w:color="auto"/>
        <w:left w:val="none" w:sz="0" w:space="0" w:color="auto"/>
        <w:bottom w:val="none" w:sz="0" w:space="0" w:color="auto"/>
        <w:right w:val="none" w:sz="0" w:space="0" w:color="auto"/>
      </w:divBdr>
      <w:divsChild>
        <w:div w:id="17515623">
          <w:marLeft w:val="0"/>
          <w:marRight w:val="0"/>
          <w:marTop w:val="0"/>
          <w:marBottom w:val="0"/>
          <w:divBdr>
            <w:top w:val="none" w:sz="0" w:space="0" w:color="auto"/>
            <w:left w:val="none" w:sz="0" w:space="0" w:color="auto"/>
            <w:bottom w:val="none" w:sz="0" w:space="0" w:color="auto"/>
            <w:right w:val="none" w:sz="0" w:space="0" w:color="auto"/>
          </w:divBdr>
          <w:divsChild>
            <w:div w:id="1461193752">
              <w:marLeft w:val="-75"/>
              <w:marRight w:val="0"/>
              <w:marTop w:val="30"/>
              <w:marBottom w:val="30"/>
              <w:divBdr>
                <w:top w:val="none" w:sz="0" w:space="0" w:color="auto"/>
                <w:left w:val="none" w:sz="0" w:space="0" w:color="auto"/>
                <w:bottom w:val="none" w:sz="0" w:space="0" w:color="auto"/>
                <w:right w:val="none" w:sz="0" w:space="0" w:color="auto"/>
              </w:divBdr>
              <w:divsChild>
                <w:div w:id="2634335">
                  <w:marLeft w:val="0"/>
                  <w:marRight w:val="0"/>
                  <w:marTop w:val="0"/>
                  <w:marBottom w:val="0"/>
                  <w:divBdr>
                    <w:top w:val="none" w:sz="0" w:space="0" w:color="auto"/>
                    <w:left w:val="none" w:sz="0" w:space="0" w:color="auto"/>
                    <w:bottom w:val="none" w:sz="0" w:space="0" w:color="auto"/>
                    <w:right w:val="none" w:sz="0" w:space="0" w:color="auto"/>
                  </w:divBdr>
                  <w:divsChild>
                    <w:div w:id="1902211290">
                      <w:marLeft w:val="0"/>
                      <w:marRight w:val="0"/>
                      <w:marTop w:val="0"/>
                      <w:marBottom w:val="0"/>
                      <w:divBdr>
                        <w:top w:val="none" w:sz="0" w:space="0" w:color="auto"/>
                        <w:left w:val="none" w:sz="0" w:space="0" w:color="auto"/>
                        <w:bottom w:val="none" w:sz="0" w:space="0" w:color="auto"/>
                        <w:right w:val="none" w:sz="0" w:space="0" w:color="auto"/>
                      </w:divBdr>
                    </w:div>
                  </w:divsChild>
                </w:div>
                <w:div w:id="2972447">
                  <w:marLeft w:val="0"/>
                  <w:marRight w:val="0"/>
                  <w:marTop w:val="0"/>
                  <w:marBottom w:val="0"/>
                  <w:divBdr>
                    <w:top w:val="none" w:sz="0" w:space="0" w:color="auto"/>
                    <w:left w:val="none" w:sz="0" w:space="0" w:color="auto"/>
                    <w:bottom w:val="none" w:sz="0" w:space="0" w:color="auto"/>
                    <w:right w:val="none" w:sz="0" w:space="0" w:color="auto"/>
                  </w:divBdr>
                  <w:divsChild>
                    <w:div w:id="145706510">
                      <w:marLeft w:val="0"/>
                      <w:marRight w:val="0"/>
                      <w:marTop w:val="0"/>
                      <w:marBottom w:val="0"/>
                      <w:divBdr>
                        <w:top w:val="none" w:sz="0" w:space="0" w:color="auto"/>
                        <w:left w:val="none" w:sz="0" w:space="0" w:color="auto"/>
                        <w:bottom w:val="none" w:sz="0" w:space="0" w:color="auto"/>
                        <w:right w:val="none" w:sz="0" w:space="0" w:color="auto"/>
                      </w:divBdr>
                    </w:div>
                  </w:divsChild>
                </w:div>
                <w:div w:id="6173924">
                  <w:marLeft w:val="0"/>
                  <w:marRight w:val="0"/>
                  <w:marTop w:val="0"/>
                  <w:marBottom w:val="0"/>
                  <w:divBdr>
                    <w:top w:val="none" w:sz="0" w:space="0" w:color="auto"/>
                    <w:left w:val="none" w:sz="0" w:space="0" w:color="auto"/>
                    <w:bottom w:val="none" w:sz="0" w:space="0" w:color="auto"/>
                    <w:right w:val="none" w:sz="0" w:space="0" w:color="auto"/>
                  </w:divBdr>
                  <w:divsChild>
                    <w:div w:id="758258063">
                      <w:marLeft w:val="0"/>
                      <w:marRight w:val="0"/>
                      <w:marTop w:val="0"/>
                      <w:marBottom w:val="0"/>
                      <w:divBdr>
                        <w:top w:val="none" w:sz="0" w:space="0" w:color="auto"/>
                        <w:left w:val="none" w:sz="0" w:space="0" w:color="auto"/>
                        <w:bottom w:val="none" w:sz="0" w:space="0" w:color="auto"/>
                        <w:right w:val="none" w:sz="0" w:space="0" w:color="auto"/>
                      </w:divBdr>
                    </w:div>
                  </w:divsChild>
                </w:div>
                <w:div w:id="21253847">
                  <w:marLeft w:val="0"/>
                  <w:marRight w:val="0"/>
                  <w:marTop w:val="0"/>
                  <w:marBottom w:val="0"/>
                  <w:divBdr>
                    <w:top w:val="none" w:sz="0" w:space="0" w:color="auto"/>
                    <w:left w:val="none" w:sz="0" w:space="0" w:color="auto"/>
                    <w:bottom w:val="none" w:sz="0" w:space="0" w:color="auto"/>
                    <w:right w:val="none" w:sz="0" w:space="0" w:color="auto"/>
                  </w:divBdr>
                  <w:divsChild>
                    <w:div w:id="1343046571">
                      <w:marLeft w:val="0"/>
                      <w:marRight w:val="0"/>
                      <w:marTop w:val="0"/>
                      <w:marBottom w:val="0"/>
                      <w:divBdr>
                        <w:top w:val="none" w:sz="0" w:space="0" w:color="auto"/>
                        <w:left w:val="none" w:sz="0" w:space="0" w:color="auto"/>
                        <w:bottom w:val="none" w:sz="0" w:space="0" w:color="auto"/>
                        <w:right w:val="none" w:sz="0" w:space="0" w:color="auto"/>
                      </w:divBdr>
                    </w:div>
                  </w:divsChild>
                </w:div>
                <w:div w:id="26222198">
                  <w:marLeft w:val="0"/>
                  <w:marRight w:val="0"/>
                  <w:marTop w:val="0"/>
                  <w:marBottom w:val="0"/>
                  <w:divBdr>
                    <w:top w:val="none" w:sz="0" w:space="0" w:color="auto"/>
                    <w:left w:val="none" w:sz="0" w:space="0" w:color="auto"/>
                    <w:bottom w:val="none" w:sz="0" w:space="0" w:color="auto"/>
                    <w:right w:val="none" w:sz="0" w:space="0" w:color="auto"/>
                  </w:divBdr>
                  <w:divsChild>
                    <w:div w:id="1511943759">
                      <w:marLeft w:val="0"/>
                      <w:marRight w:val="0"/>
                      <w:marTop w:val="0"/>
                      <w:marBottom w:val="0"/>
                      <w:divBdr>
                        <w:top w:val="none" w:sz="0" w:space="0" w:color="auto"/>
                        <w:left w:val="none" w:sz="0" w:space="0" w:color="auto"/>
                        <w:bottom w:val="none" w:sz="0" w:space="0" w:color="auto"/>
                        <w:right w:val="none" w:sz="0" w:space="0" w:color="auto"/>
                      </w:divBdr>
                    </w:div>
                  </w:divsChild>
                </w:div>
                <w:div w:id="34164460">
                  <w:marLeft w:val="0"/>
                  <w:marRight w:val="0"/>
                  <w:marTop w:val="0"/>
                  <w:marBottom w:val="0"/>
                  <w:divBdr>
                    <w:top w:val="none" w:sz="0" w:space="0" w:color="auto"/>
                    <w:left w:val="none" w:sz="0" w:space="0" w:color="auto"/>
                    <w:bottom w:val="none" w:sz="0" w:space="0" w:color="auto"/>
                    <w:right w:val="none" w:sz="0" w:space="0" w:color="auto"/>
                  </w:divBdr>
                  <w:divsChild>
                    <w:div w:id="1438285613">
                      <w:marLeft w:val="0"/>
                      <w:marRight w:val="0"/>
                      <w:marTop w:val="0"/>
                      <w:marBottom w:val="0"/>
                      <w:divBdr>
                        <w:top w:val="none" w:sz="0" w:space="0" w:color="auto"/>
                        <w:left w:val="none" w:sz="0" w:space="0" w:color="auto"/>
                        <w:bottom w:val="none" w:sz="0" w:space="0" w:color="auto"/>
                        <w:right w:val="none" w:sz="0" w:space="0" w:color="auto"/>
                      </w:divBdr>
                    </w:div>
                  </w:divsChild>
                </w:div>
                <w:div w:id="39718742">
                  <w:marLeft w:val="0"/>
                  <w:marRight w:val="0"/>
                  <w:marTop w:val="0"/>
                  <w:marBottom w:val="0"/>
                  <w:divBdr>
                    <w:top w:val="none" w:sz="0" w:space="0" w:color="auto"/>
                    <w:left w:val="none" w:sz="0" w:space="0" w:color="auto"/>
                    <w:bottom w:val="none" w:sz="0" w:space="0" w:color="auto"/>
                    <w:right w:val="none" w:sz="0" w:space="0" w:color="auto"/>
                  </w:divBdr>
                  <w:divsChild>
                    <w:div w:id="94332682">
                      <w:marLeft w:val="0"/>
                      <w:marRight w:val="0"/>
                      <w:marTop w:val="0"/>
                      <w:marBottom w:val="0"/>
                      <w:divBdr>
                        <w:top w:val="none" w:sz="0" w:space="0" w:color="auto"/>
                        <w:left w:val="none" w:sz="0" w:space="0" w:color="auto"/>
                        <w:bottom w:val="none" w:sz="0" w:space="0" w:color="auto"/>
                        <w:right w:val="none" w:sz="0" w:space="0" w:color="auto"/>
                      </w:divBdr>
                    </w:div>
                  </w:divsChild>
                </w:div>
                <w:div w:id="67116630">
                  <w:marLeft w:val="0"/>
                  <w:marRight w:val="0"/>
                  <w:marTop w:val="0"/>
                  <w:marBottom w:val="0"/>
                  <w:divBdr>
                    <w:top w:val="none" w:sz="0" w:space="0" w:color="auto"/>
                    <w:left w:val="none" w:sz="0" w:space="0" w:color="auto"/>
                    <w:bottom w:val="none" w:sz="0" w:space="0" w:color="auto"/>
                    <w:right w:val="none" w:sz="0" w:space="0" w:color="auto"/>
                  </w:divBdr>
                  <w:divsChild>
                    <w:div w:id="1134565688">
                      <w:marLeft w:val="0"/>
                      <w:marRight w:val="0"/>
                      <w:marTop w:val="0"/>
                      <w:marBottom w:val="0"/>
                      <w:divBdr>
                        <w:top w:val="none" w:sz="0" w:space="0" w:color="auto"/>
                        <w:left w:val="none" w:sz="0" w:space="0" w:color="auto"/>
                        <w:bottom w:val="none" w:sz="0" w:space="0" w:color="auto"/>
                        <w:right w:val="none" w:sz="0" w:space="0" w:color="auto"/>
                      </w:divBdr>
                    </w:div>
                  </w:divsChild>
                </w:div>
                <w:div w:id="69542725">
                  <w:marLeft w:val="0"/>
                  <w:marRight w:val="0"/>
                  <w:marTop w:val="0"/>
                  <w:marBottom w:val="0"/>
                  <w:divBdr>
                    <w:top w:val="none" w:sz="0" w:space="0" w:color="auto"/>
                    <w:left w:val="none" w:sz="0" w:space="0" w:color="auto"/>
                    <w:bottom w:val="none" w:sz="0" w:space="0" w:color="auto"/>
                    <w:right w:val="none" w:sz="0" w:space="0" w:color="auto"/>
                  </w:divBdr>
                  <w:divsChild>
                    <w:div w:id="608895730">
                      <w:marLeft w:val="0"/>
                      <w:marRight w:val="0"/>
                      <w:marTop w:val="0"/>
                      <w:marBottom w:val="0"/>
                      <w:divBdr>
                        <w:top w:val="none" w:sz="0" w:space="0" w:color="auto"/>
                        <w:left w:val="none" w:sz="0" w:space="0" w:color="auto"/>
                        <w:bottom w:val="none" w:sz="0" w:space="0" w:color="auto"/>
                        <w:right w:val="none" w:sz="0" w:space="0" w:color="auto"/>
                      </w:divBdr>
                    </w:div>
                  </w:divsChild>
                </w:div>
                <w:div w:id="94323535">
                  <w:marLeft w:val="0"/>
                  <w:marRight w:val="0"/>
                  <w:marTop w:val="0"/>
                  <w:marBottom w:val="0"/>
                  <w:divBdr>
                    <w:top w:val="none" w:sz="0" w:space="0" w:color="auto"/>
                    <w:left w:val="none" w:sz="0" w:space="0" w:color="auto"/>
                    <w:bottom w:val="none" w:sz="0" w:space="0" w:color="auto"/>
                    <w:right w:val="none" w:sz="0" w:space="0" w:color="auto"/>
                  </w:divBdr>
                  <w:divsChild>
                    <w:div w:id="1000423232">
                      <w:marLeft w:val="0"/>
                      <w:marRight w:val="0"/>
                      <w:marTop w:val="0"/>
                      <w:marBottom w:val="0"/>
                      <w:divBdr>
                        <w:top w:val="none" w:sz="0" w:space="0" w:color="auto"/>
                        <w:left w:val="none" w:sz="0" w:space="0" w:color="auto"/>
                        <w:bottom w:val="none" w:sz="0" w:space="0" w:color="auto"/>
                        <w:right w:val="none" w:sz="0" w:space="0" w:color="auto"/>
                      </w:divBdr>
                    </w:div>
                  </w:divsChild>
                </w:div>
                <w:div w:id="97912713">
                  <w:marLeft w:val="0"/>
                  <w:marRight w:val="0"/>
                  <w:marTop w:val="0"/>
                  <w:marBottom w:val="0"/>
                  <w:divBdr>
                    <w:top w:val="none" w:sz="0" w:space="0" w:color="auto"/>
                    <w:left w:val="none" w:sz="0" w:space="0" w:color="auto"/>
                    <w:bottom w:val="none" w:sz="0" w:space="0" w:color="auto"/>
                    <w:right w:val="none" w:sz="0" w:space="0" w:color="auto"/>
                  </w:divBdr>
                  <w:divsChild>
                    <w:div w:id="775447215">
                      <w:marLeft w:val="0"/>
                      <w:marRight w:val="0"/>
                      <w:marTop w:val="0"/>
                      <w:marBottom w:val="0"/>
                      <w:divBdr>
                        <w:top w:val="none" w:sz="0" w:space="0" w:color="auto"/>
                        <w:left w:val="none" w:sz="0" w:space="0" w:color="auto"/>
                        <w:bottom w:val="none" w:sz="0" w:space="0" w:color="auto"/>
                        <w:right w:val="none" w:sz="0" w:space="0" w:color="auto"/>
                      </w:divBdr>
                    </w:div>
                  </w:divsChild>
                </w:div>
                <w:div w:id="100875894">
                  <w:marLeft w:val="0"/>
                  <w:marRight w:val="0"/>
                  <w:marTop w:val="0"/>
                  <w:marBottom w:val="0"/>
                  <w:divBdr>
                    <w:top w:val="none" w:sz="0" w:space="0" w:color="auto"/>
                    <w:left w:val="none" w:sz="0" w:space="0" w:color="auto"/>
                    <w:bottom w:val="none" w:sz="0" w:space="0" w:color="auto"/>
                    <w:right w:val="none" w:sz="0" w:space="0" w:color="auto"/>
                  </w:divBdr>
                  <w:divsChild>
                    <w:div w:id="2104719128">
                      <w:marLeft w:val="0"/>
                      <w:marRight w:val="0"/>
                      <w:marTop w:val="0"/>
                      <w:marBottom w:val="0"/>
                      <w:divBdr>
                        <w:top w:val="none" w:sz="0" w:space="0" w:color="auto"/>
                        <w:left w:val="none" w:sz="0" w:space="0" w:color="auto"/>
                        <w:bottom w:val="none" w:sz="0" w:space="0" w:color="auto"/>
                        <w:right w:val="none" w:sz="0" w:space="0" w:color="auto"/>
                      </w:divBdr>
                    </w:div>
                  </w:divsChild>
                </w:div>
                <w:div w:id="108160720">
                  <w:marLeft w:val="0"/>
                  <w:marRight w:val="0"/>
                  <w:marTop w:val="0"/>
                  <w:marBottom w:val="0"/>
                  <w:divBdr>
                    <w:top w:val="none" w:sz="0" w:space="0" w:color="auto"/>
                    <w:left w:val="none" w:sz="0" w:space="0" w:color="auto"/>
                    <w:bottom w:val="none" w:sz="0" w:space="0" w:color="auto"/>
                    <w:right w:val="none" w:sz="0" w:space="0" w:color="auto"/>
                  </w:divBdr>
                  <w:divsChild>
                    <w:div w:id="847721723">
                      <w:marLeft w:val="0"/>
                      <w:marRight w:val="0"/>
                      <w:marTop w:val="0"/>
                      <w:marBottom w:val="0"/>
                      <w:divBdr>
                        <w:top w:val="none" w:sz="0" w:space="0" w:color="auto"/>
                        <w:left w:val="none" w:sz="0" w:space="0" w:color="auto"/>
                        <w:bottom w:val="none" w:sz="0" w:space="0" w:color="auto"/>
                        <w:right w:val="none" w:sz="0" w:space="0" w:color="auto"/>
                      </w:divBdr>
                    </w:div>
                  </w:divsChild>
                </w:div>
                <w:div w:id="109471183">
                  <w:marLeft w:val="0"/>
                  <w:marRight w:val="0"/>
                  <w:marTop w:val="0"/>
                  <w:marBottom w:val="0"/>
                  <w:divBdr>
                    <w:top w:val="none" w:sz="0" w:space="0" w:color="auto"/>
                    <w:left w:val="none" w:sz="0" w:space="0" w:color="auto"/>
                    <w:bottom w:val="none" w:sz="0" w:space="0" w:color="auto"/>
                    <w:right w:val="none" w:sz="0" w:space="0" w:color="auto"/>
                  </w:divBdr>
                  <w:divsChild>
                    <w:div w:id="1833830154">
                      <w:marLeft w:val="0"/>
                      <w:marRight w:val="0"/>
                      <w:marTop w:val="0"/>
                      <w:marBottom w:val="0"/>
                      <w:divBdr>
                        <w:top w:val="none" w:sz="0" w:space="0" w:color="auto"/>
                        <w:left w:val="none" w:sz="0" w:space="0" w:color="auto"/>
                        <w:bottom w:val="none" w:sz="0" w:space="0" w:color="auto"/>
                        <w:right w:val="none" w:sz="0" w:space="0" w:color="auto"/>
                      </w:divBdr>
                    </w:div>
                  </w:divsChild>
                </w:div>
                <w:div w:id="128790058">
                  <w:marLeft w:val="0"/>
                  <w:marRight w:val="0"/>
                  <w:marTop w:val="0"/>
                  <w:marBottom w:val="0"/>
                  <w:divBdr>
                    <w:top w:val="none" w:sz="0" w:space="0" w:color="auto"/>
                    <w:left w:val="none" w:sz="0" w:space="0" w:color="auto"/>
                    <w:bottom w:val="none" w:sz="0" w:space="0" w:color="auto"/>
                    <w:right w:val="none" w:sz="0" w:space="0" w:color="auto"/>
                  </w:divBdr>
                  <w:divsChild>
                    <w:div w:id="1939286236">
                      <w:marLeft w:val="0"/>
                      <w:marRight w:val="0"/>
                      <w:marTop w:val="0"/>
                      <w:marBottom w:val="0"/>
                      <w:divBdr>
                        <w:top w:val="none" w:sz="0" w:space="0" w:color="auto"/>
                        <w:left w:val="none" w:sz="0" w:space="0" w:color="auto"/>
                        <w:bottom w:val="none" w:sz="0" w:space="0" w:color="auto"/>
                        <w:right w:val="none" w:sz="0" w:space="0" w:color="auto"/>
                      </w:divBdr>
                    </w:div>
                  </w:divsChild>
                </w:div>
                <w:div w:id="129902514">
                  <w:marLeft w:val="0"/>
                  <w:marRight w:val="0"/>
                  <w:marTop w:val="0"/>
                  <w:marBottom w:val="0"/>
                  <w:divBdr>
                    <w:top w:val="none" w:sz="0" w:space="0" w:color="auto"/>
                    <w:left w:val="none" w:sz="0" w:space="0" w:color="auto"/>
                    <w:bottom w:val="none" w:sz="0" w:space="0" w:color="auto"/>
                    <w:right w:val="none" w:sz="0" w:space="0" w:color="auto"/>
                  </w:divBdr>
                  <w:divsChild>
                    <w:div w:id="1249998613">
                      <w:marLeft w:val="0"/>
                      <w:marRight w:val="0"/>
                      <w:marTop w:val="0"/>
                      <w:marBottom w:val="0"/>
                      <w:divBdr>
                        <w:top w:val="none" w:sz="0" w:space="0" w:color="auto"/>
                        <w:left w:val="none" w:sz="0" w:space="0" w:color="auto"/>
                        <w:bottom w:val="none" w:sz="0" w:space="0" w:color="auto"/>
                        <w:right w:val="none" w:sz="0" w:space="0" w:color="auto"/>
                      </w:divBdr>
                    </w:div>
                  </w:divsChild>
                </w:div>
                <w:div w:id="131214830">
                  <w:marLeft w:val="0"/>
                  <w:marRight w:val="0"/>
                  <w:marTop w:val="0"/>
                  <w:marBottom w:val="0"/>
                  <w:divBdr>
                    <w:top w:val="none" w:sz="0" w:space="0" w:color="auto"/>
                    <w:left w:val="none" w:sz="0" w:space="0" w:color="auto"/>
                    <w:bottom w:val="none" w:sz="0" w:space="0" w:color="auto"/>
                    <w:right w:val="none" w:sz="0" w:space="0" w:color="auto"/>
                  </w:divBdr>
                  <w:divsChild>
                    <w:div w:id="1402020226">
                      <w:marLeft w:val="0"/>
                      <w:marRight w:val="0"/>
                      <w:marTop w:val="0"/>
                      <w:marBottom w:val="0"/>
                      <w:divBdr>
                        <w:top w:val="none" w:sz="0" w:space="0" w:color="auto"/>
                        <w:left w:val="none" w:sz="0" w:space="0" w:color="auto"/>
                        <w:bottom w:val="none" w:sz="0" w:space="0" w:color="auto"/>
                        <w:right w:val="none" w:sz="0" w:space="0" w:color="auto"/>
                      </w:divBdr>
                    </w:div>
                  </w:divsChild>
                </w:div>
                <w:div w:id="145359726">
                  <w:marLeft w:val="0"/>
                  <w:marRight w:val="0"/>
                  <w:marTop w:val="0"/>
                  <w:marBottom w:val="0"/>
                  <w:divBdr>
                    <w:top w:val="none" w:sz="0" w:space="0" w:color="auto"/>
                    <w:left w:val="none" w:sz="0" w:space="0" w:color="auto"/>
                    <w:bottom w:val="none" w:sz="0" w:space="0" w:color="auto"/>
                    <w:right w:val="none" w:sz="0" w:space="0" w:color="auto"/>
                  </w:divBdr>
                  <w:divsChild>
                    <w:div w:id="190995973">
                      <w:marLeft w:val="0"/>
                      <w:marRight w:val="0"/>
                      <w:marTop w:val="0"/>
                      <w:marBottom w:val="0"/>
                      <w:divBdr>
                        <w:top w:val="none" w:sz="0" w:space="0" w:color="auto"/>
                        <w:left w:val="none" w:sz="0" w:space="0" w:color="auto"/>
                        <w:bottom w:val="none" w:sz="0" w:space="0" w:color="auto"/>
                        <w:right w:val="none" w:sz="0" w:space="0" w:color="auto"/>
                      </w:divBdr>
                    </w:div>
                  </w:divsChild>
                </w:div>
                <w:div w:id="146092757">
                  <w:marLeft w:val="0"/>
                  <w:marRight w:val="0"/>
                  <w:marTop w:val="0"/>
                  <w:marBottom w:val="0"/>
                  <w:divBdr>
                    <w:top w:val="none" w:sz="0" w:space="0" w:color="auto"/>
                    <w:left w:val="none" w:sz="0" w:space="0" w:color="auto"/>
                    <w:bottom w:val="none" w:sz="0" w:space="0" w:color="auto"/>
                    <w:right w:val="none" w:sz="0" w:space="0" w:color="auto"/>
                  </w:divBdr>
                  <w:divsChild>
                    <w:div w:id="595987147">
                      <w:marLeft w:val="0"/>
                      <w:marRight w:val="0"/>
                      <w:marTop w:val="0"/>
                      <w:marBottom w:val="0"/>
                      <w:divBdr>
                        <w:top w:val="none" w:sz="0" w:space="0" w:color="auto"/>
                        <w:left w:val="none" w:sz="0" w:space="0" w:color="auto"/>
                        <w:bottom w:val="none" w:sz="0" w:space="0" w:color="auto"/>
                        <w:right w:val="none" w:sz="0" w:space="0" w:color="auto"/>
                      </w:divBdr>
                    </w:div>
                  </w:divsChild>
                </w:div>
                <w:div w:id="159347670">
                  <w:marLeft w:val="0"/>
                  <w:marRight w:val="0"/>
                  <w:marTop w:val="0"/>
                  <w:marBottom w:val="0"/>
                  <w:divBdr>
                    <w:top w:val="none" w:sz="0" w:space="0" w:color="auto"/>
                    <w:left w:val="none" w:sz="0" w:space="0" w:color="auto"/>
                    <w:bottom w:val="none" w:sz="0" w:space="0" w:color="auto"/>
                    <w:right w:val="none" w:sz="0" w:space="0" w:color="auto"/>
                  </w:divBdr>
                  <w:divsChild>
                    <w:div w:id="1633632834">
                      <w:marLeft w:val="0"/>
                      <w:marRight w:val="0"/>
                      <w:marTop w:val="0"/>
                      <w:marBottom w:val="0"/>
                      <w:divBdr>
                        <w:top w:val="none" w:sz="0" w:space="0" w:color="auto"/>
                        <w:left w:val="none" w:sz="0" w:space="0" w:color="auto"/>
                        <w:bottom w:val="none" w:sz="0" w:space="0" w:color="auto"/>
                        <w:right w:val="none" w:sz="0" w:space="0" w:color="auto"/>
                      </w:divBdr>
                    </w:div>
                  </w:divsChild>
                </w:div>
                <w:div w:id="211622607">
                  <w:marLeft w:val="0"/>
                  <w:marRight w:val="0"/>
                  <w:marTop w:val="0"/>
                  <w:marBottom w:val="0"/>
                  <w:divBdr>
                    <w:top w:val="none" w:sz="0" w:space="0" w:color="auto"/>
                    <w:left w:val="none" w:sz="0" w:space="0" w:color="auto"/>
                    <w:bottom w:val="none" w:sz="0" w:space="0" w:color="auto"/>
                    <w:right w:val="none" w:sz="0" w:space="0" w:color="auto"/>
                  </w:divBdr>
                  <w:divsChild>
                    <w:div w:id="807667666">
                      <w:marLeft w:val="0"/>
                      <w:marRight w:val="0"/>
                      <w:marTop w:val="0"/>
                      <w:marBottom w:val="0"/>
                      <w:divBdr>
                        <w:top w:val="none" w:sz="0" w:space="0" w:color="auto"/>
                        <w:left w:val="none" w:sz="0" w:space="0" w:color="auto"/>
                        <w:bottom w:val="none" w:sz="0" w:space="0" w:color="auto"/>
                        <w:right w:val="none" w:sz="0" w:space="0" w:color="auto"/>
                      </w:divBdr>
                    </w:div>
                  </w:divsChild>
                </w:div>
                <w:div w:id="237446397">
                  <w:marLeft w:val="0"/>
                  <w:marRight w:val="0"/>
                  <w:marTop w:val="0"/>
                  <w:marBottom w:val="0"/>
                  <w:divBdr>
                    <w:top w:val="none" w:sz="0" w:space="0" w:color="auto"/>
                    <w:left w:val="none" w:sz="0" w:space="0" w:color="auto"/>
                    <w:bottom w:val="none" w:sz="0" w:space="0" w:color="auto"/>
                    <w:right w:val="none" w:sz="0" w:space="0" w:color="auto"/>
                  </w:divBdr>
                  <w:divsChild>
                    <w:div w:id="1946961675">
                      <w:marLeft w:val="0"/>
                      <w:marRight w:val="0"/>
                      <w:marTop w:val="0"/>
                      <w:marBottom w:val="0"/>
                      <w:divBdr>
                        <w:top w:val="none" w:sz="0" w:space="0" w:color="auto"/>
                        <w:left w:val="none" w:sz="0" w:space="0" w:color="auto"/>
                        <w:bottom w:val="none" w:sz="0" w:space="0" w:color="auto"/>
                        <w:right w:val="none" w:sz="0" w:space="0" w:color="auto"/>
                      </w:divBdr>
                    </w:div>
                  </w:divsChild>
                </w:div>
                <w:div w:id="244269210">
                  <w:marLeft w:val="0"/>
                  <w:marRight w:val="0"/>
                  <w:marTop w:val="0"/>
                  <w:marBottom w:val="0"/>
                  <w:divBdr>
                    <w:top w:val="none" w:sz="0" w:space="0" w:color="auto"/>
                    <w:left w:val="none" w:sz="0" w:space="0" w:color="auto"/>
                    <w:bottom w:val="none" w:sz="0" w:space="0" w:color="auto"/>
                    <w:right w:val="none" w:sz="0" w:space="0" w:color="auto"/>
                  </w:divBdr>
                  <w:divsChild>
                    <w:div w:id="857742505">
                      <w:marLeft w:val="0"/>
                      <w:marRight w:val="0"/>
                      <w:marTop w:val="0"/>
                      <w:marBottom w:val="0"/>
                      <w:divBdr>
                        <w:top w:val="none" w:sz="0" w:space="0" w:color="auto"/>
                        <w:left w:val="none" w:sz="0" w:space="0" w:color="auto"/>
                        <w:bottom w:val="none" w:sz="0" w:space="0" w:color="auto"/>
                        <w:right w:val="none" w:sz="0" w:space="0" w:color="auto"/>
                      </w:divBdr>
                    </w:div>
                  </w:divsChild>
                </w:div>
                <w:div w:id="246889620">
                  <w:marLeft w:val="0"/>
                  <w:marRight w:val="0"/>
                  <w:marTop w:val="0"/>
                  <w:marBottom w:val="0"/>
                  <w:divBdr>
                    <w:top w:val="none" w:sz="0" w:space="0" w:color="auto"/>
                    <w:left w:val="none" w:sz="0" w:space="0" w:color="auto"/>
                    <w:bottom w:val="none" w:sz="0" w:space="0" w:color="auto"/>
                    <w:right w:val="none" w:sz="0" w:space="0" w:color="auto"/>
                  </w:divBdr>
                  <w:divsChild>
                    <w:div w:id="1413087406">
                      <w:marLeft w:val="0"/>
                      <w:marRight w:val="0"/>
                      <w:marTop w:val="0"/>
                      <w:marBottom w:val="0"/>
                      <w:divBdr>
                        <w:top w:val="none" w:sz="0" w:space="0" w:color="auto"/>
                        <w:left w:val="none" w:sz="0" w:space="0" w:color="auto"/>
                        <w:bottom w:val="none" w:sz="0" w:space="0" w:color="auto"/>
                        <w:right w:val="none" w:sz="0" w:space="0" w:color="auto"/>
                      </w:divBdr>
                    </w:div>
                  </w:divsChild>
                </w:div>
                <w:div w:id="288048780">
                  <w:marLeft w:val="0"/>
                  <w:marRight w:val="0"/>
                  <w:marTop w:val="0"/>
                  <w:marBottom w:val="0"/>
                  <w:divBdr>
                    <w:top w:val="none" w:sz="0" w:space="0" w:color="auto"/>
                    <w:left w:val="none" w:sz="0" w:space="0" w:color="auto"/>
                    <w:bottom w:val="none" w:sz="0" w:space="0" w:color="auto"/>
                    <w:right w:val="none" w:sz="0" w:space="0" w:color="auto"/>
                  </w:divBdr>
                  <w:divsChild>
                    <w:div w:id="72897802">
                      <w:marLeft w:val="0"/>
                      <w:marRight w:val="0"/>
                      <w:marTop w:val="0"/>
                      <w:marBottom w:val="0"/>
                      <w:divBdr>
                        <w:top w:val="none" w:sz="0" w:space="0" w:color="auto"/>
                        <w:left w:val="none" w:sz="0" w:space="0" w:color="auto"/>
                        <w:bottom w:val="none" w:sz="0" w:space="0" w:color="auto"/>
                        <w:right w:val="none" w:sz="0" w:space="0" w:color="auto"/>
                      </w:divBdr>
                    </w:div>
                  </w:divsChild>
                </w:div>
                <w:div w:id="288634364">
                  <w:marLeft w:val="0"/>
                  <w:marRight w:val="0"/>
                  <w:marTop w:val="0"/>
                  <w:marBottom w:val="0"/>
                  <w:divBdr>
                    <w:top w:val="none" w:sz="0" w:space="0" w:color="auto"/>
                    <w:left w:val="none" w:sz="0" w:space="0" w:color="auto"/>
                    <w:bottom w:val="none" w:sz="0" w:space="0" w:color="auto"/>
                    <w:right w:val="none" w:sz="0" w:space="0" w:color="auto"/>
                  </w:divBdr>
                  <w:divsChild>
                    <w:div w:id="1222907762">
                      <w:marLeft w:val="0"/>
                      <w:marRight w:val="0"/>
                      <w:marTop w:val="0"/>
                      <w:marBottom w:val="0"/>
                      <w:divBdr>
                        <w:top w:val="none" w:sz="0" w:space="0" w:color="auto"/>
                        <w:left w:val="none" w:sz="0" w:space="0" w:color="auto"/>
                        <w:bottom w:val="none" w:sz="0" w:space="0" w:color="auto"/>
                        <w:right w:val="none" w:sz="0" w:space="0" w:color="auto"/>
                      </w:divBdr>
                    </w:div>
                  </w:divsChild>
                </w:div>
                <w:div w:id="298851716">
                  <w:marLeft w:val="0"/>
                  <w:marRight w:val="0"/>
                  <w:marTop w:val="0"/>
                  <w:marBottom w:val="0"/>
                  <w:divBdr>
                    <w:top w:val="none" w:sz="0" w:space="0" w:color="auto"/>
                    <w:left w:val="none" w:sz="0" w:space="0" w:color="auto"/>
                    <w:bottom w:val="none" w:sz="0" w:space="0" w:color="auto"/>
                    <w:right w:val="none" w:sz="0" w:space="0" w:color="auto"/>
                  </w:divBdr>
                  <w:divsChild>
                    <w:div w:id="175390645">
                      <w:marLeft w:val="0"/>
                      <w:marRight w:val="0"/>
                      <w:marTop w:val="0"/>
                      <w:marBottom w:val="0"/>
                      <w:divBdr>
                        <w:top w:val="none" w:sz="0" w:space="0" w:color="auto"/>
                        <w:left w:val="none" w:sz="0" w:space="0" w:color="auto"/>
                        <w:bottom w:val="none" w:sz="0" w:space="0" w:color="auto"/>
                        <w:right w:val="none" w:sz="0" w:space="0" w:color="auto"/>
                      </w:divBdr>
                    </w:div>
                  </w:divsChild>
                </w:div>
                <w:div w:id="318509682">
                  <w:marLeft w:val="0"/>
                  <w:marRight w:val="0"/>
                  <w:marTop w:val="0"/>
                  <w:marBottom w:val="0"/>
                  <w:divBdr>
                    <w:top w:val="none" w:sz="0" w:space="0" w:color="auto"/>
                    <w:left w:val="none" w:sz="0" w:space="0" w:color="auto"/>
                    <w:bottom w:val="none" w:sz="0" w:space="0" w:color="auto"/>
                    <w:right w:val="none" w:sz="0" w:space="0" w:color="auto"/>
                  </w:divBdr>
                  <w:divsChild>
                    <w:div w:id="1365789735">
                      <w:marLeft w:val="0"/>
                      <w:marRight w:val="0"/>
                      <w:marTop w:val="0"/>
                      <w:marBottom w:val="0"/>
                      <w:divBdr>
                        <w:top w:val="none" w:sz="0" w:space="0" w:color="auto"/>
                        <w:left w:val="none" w:sz="0" w:space="0" w:color="auto"/>
                        <w:bottom w:val="none" w:sz="0" w:space="0" w:color="auto"/>
                        <w:right w:val="none" w:sz="0" w:space="0" w:color="auto"/>
                      </w:divBdr>
                    </w:div>
                  </w:divsChild>
                </w:div>
                <w:div w:id="325593717">
                  <w:marLeft w:val="0"/>
                  <w:marRight w:val="0"/>
                  <w:marTop w:val="0"/>
                  <w:marBottom w:val="0"/>
                  <w:divBdr>
                    <w:top w:val="none" w:sz="0" w:space="0" w:color="auto"/>
                    <w:left w:val="none" w:sz="0" w:space="0" w:color="auto"/>
                    <w:bottom w:val="none" w:sz="0" w:space="0" w:color="auto"/>
                    <w:right w:val="none" w:sz="0" w:space="0" w:color="auto"/>
                  </w:divBdr>
                  <w:divsChild>
                    <w:div w:id="1693915355">
                      <w:marLeft w:val="0"/>
                      <w:marRight w:val="0"/>
                      <w:marTop w:val="0"/>
                      <w:marBottom w:val="0"/>
                      <w:divBdr>
                        <w:top w:val="none" w:sz="0" w:space="0" w:color="auto"/>
                        <w:left w:val="none" w:sz="0" w:space="0" w:color="auto"/>
                        <w:bottom w:val="none" w:sz="0" w:space="0" w:color="auto"/>
                        <w:right w:val="none" w:sz="0" w:space="0" w:color="auto"/>
                      </w:divBdr>
                    </w:div>
                  </w:divsChild>
                </w:div>
                <w:div w:id="335614636">
                  <w:marLeft w:val="0"/>
                  <w:marRight w:val="0"/>
                  <w:marTop w:val="0"/>
                  <w:marBottom w:val="0"/>
                  <w:divBdr>
                    <w:top w:val="none" w:sz="0" w:space="0" w:color="auto"/>
                    <w:left w:val="none" w:sz="0" w:space="0" w:color="auto"/>
                    <w:bottom w:val="none" w:sz="0" w:space="0" w:color="auto"/>
                    <w:right w:val="none" w:sz="0" w:space="0" w:color="auto"/>
                  </w:divBdr>
                  <w:divsChild>
                    <w:div w:id="1282222420">
                      <w:marLeft w:val="0"/>
                      <w:marRight w:val="0"/>
                      <w:marTop w:val="0"/>
                      <w:marBottom w:val="0"/>
                      <w:divBdr>
                        <w:top w:val="none" w:sz="0" w:space="0" w:color="auto"/>
                        <w:left w:val="none" w:sz="0" w:space="0" w:color="auto"/>
                        <w:bottom w:val="none" w:sz="0" w:space="0" w:color="auto"/>
                        <w:right w:val="none" w:sz="0" w:space="0" w:color="auto"/>
                      </w:divBdr>
                    </w:div>
                  </w:divsChild>
                </w:div>
                <w:div w:id="357044206">
                  <w:marLeft w:val="0"/>
                  <w:marRight w:val="0"/>
                  <w:marTop w:val="0"/>
                  <w:marBottom w:val="0"/>
                  <w:divBdr>
                    <w:top w:val="none" w:sz="0" w:space="0" w:color="auto"/>
                    <w:left w:val="none" w:sz="0" w:space="0" w:color="auto"/>
                    <w:bottom w:val="none" w:sz="0" w:space="0" w:color="auto"/>
                    <w:right w:val="none" w:sz="0" w:space="0" w:color="auto"/>
                  </w:divBdr>
                  <w:divsChild>
                    <w:div w:id="401216777">
                      <w:marLeft w:val="0"/>
                      <w:marRight w:val="0"/>
                      <w:marTop w:val="0"/>
                      <w:marBottom w:val="0"/>
                      <w:divBdr>
                        <w:top w:val="none" w:sz="0" w:space="0" w:color="auto"/>
                        <w:left w:val="none" w:sz="0" w:space="0" w:color="auto"/>
                        <w:bottom w:val="none" w:sz="0" w:space="0" w:color="auto"/>
                        <w:right w:val="none" w:sz="0" w:space="0" w:color="auto"/>
                      </w:divBdr>
                    </w:div>
                  </w:divsChild>
                </w:div>
                <w:div w:id="371925025">
                  <w:marLeft w:val="0"/>
                  <w:marRight w:val="0"/>
                  <w:marTop w:val="0"/>
                  <w:marBottom w:val="0"/>
                  <w:divBdr>
                    <w:top w:val="none" w:sz="0" w:space="0" w:color="auto"/>
                    <w:left w:val="none" w:sz="0" w:space="0" w:color="auto"/>
                    <w:bottom w:val="none" w:sz="0" w:space="0" w:color="auto"/>
                    <w:right w:val="none" w:sz="0" w:space="0" w:color="auto"/>
                  </w:divBdr>
                  <w:divsChild>
                    <w:div w:id="925499583">
                      <w:marLeft w:val="0"/>
                      <w:marRight w:val="0"/>
                      <w:marTop w:val="0"/>
                      <w:marBottom w:val="0"/>
                      <w:divBdr>
                        <w:top w:val="none" w:sz="0" w:space="0" w:color="auto"/>
                        <w:left w:val="none" w:sz="0" w:space="0" w:color="auto"/>
                        <w:bottom w:val="none" w:sz="0" w:space="0" w:color="auto"/>
                        <w:right w:val="none" w:sz="0" w:space="0" w:color="auto"/>
                      </w:divBdr>
                    </w:div>
                  </w:divsChild>
                </w:div>
                <w:div w:id="376856231">
                  <w:marLeft w:val="0"/>
                  <w:marRight w:val="0"/>
                  <w:marTop w:val="0"/>
                  <w:marBottom w:val="0"/>
                  <w:divBdr>
                    <w:top w:val="none" w:sz="0" w:space="0" w:color="auto"/>
                    <w:left w:val="none" w:sz="0" w:space="0" w:color="auto"/>
                    <w:bottom w:val="none" w:sz="0" w:space="0" w:color="auto"/>
                    <w:right w:val="none" w:sz="0" w:space="0" w:color="auto"/>
                  </w:divBdr>
                  <w:divsChild>
                    <w:div w:id="97071084">
                      <w:marLeft w:val="0"/>
                      <w:marRight w:val="0"/>
                      <w:marTop w:val="0"/>
                      <w:marBottom w:val="0"/>
                      <w:divBdr>
                        <w:top w:val="none" w:sz="0" w:space="0" w:color="auto"/>
                        <w:left w:val="none" w:sz="0" w:space="0" w:color="auto"/>
                        <w:bottom w:val="none" w:sz="0" w:space="0" w:color="auto"/>
                        <w:right w:val="none" w:sz="0" w:space="0" w:color="auto"/>
                      </w:divBdr>
                    </w:div>
                  </w:divsChild>
                </w:div>
                <w:div w:id="379086706">
                  <w:marLeft w:val="0"/>
                  <w:marRight w:val="0"/>
                  <w:marTop w:val="0"/>
                  <w:marBottom w:val="0"/>
                  <w:divBdr>
                    <w:top w:val="none" w:sz="0" w:space="0" w:color="auto"/>
                    <w:left w:val="none" w:sz="0" w:space="0" w:color="auto"/>
                    <w:bottom w:val="none" w:sz="0" w:space="0" w:color="auto"/>
                    <w:right w:val="none" w:sz="0" w:space="0" w:color="auto"/>
                  </w:divBdr>
                  <w:divsChild>
                    <w:div w:id="1862544421">
                      <w:marLeft w:val="0"/>
                      <w:marRight w:val="0"/>
                      <w:marTop w:val="0"/>
                      <w:marBottom w:val="0"/>
                      <w:divBdr>
                        <w:top w:val="none" w:sz="0" w:space="0" w:color="auto"/>
                        <w:left w:val="none" w:sz="0" w:space="0" w:color="auto"/>
                        <w:bottom w:val="none" w:sz="0" w:space="0" w:color="auto"/>
                        <w:right w:val="none" w:sz="0" w:space="0" w:color="auto"/>
                      </w:divBdr>
                    </w:div>
                  </w:divsChild>
                </w:div>
                <w:div w:id="398284935">
                  <w:marLeft w:val="0"/>
                  <w:marRight w:val="0"/>
                  <w:marTop w:val="0"/>
                  <w:marBottom w:val="0"/>
                  <w:divBdr>
                    <w:top w:val="none" w:sz="0" w:space="0" w:color="auto"/>
                    <w:left w:val="none" w:sz="0" w:space="0" w:color="auto"/>
                    <w:bottom w:val="none" w:sz="0" w:space="0" w:color="auto"/>
                    <w:right w:val="none" w:sz="0" w:space="0" w:color="auto"/>
                  </w:divBdr>
                  <w:divsChild>
                    <w:div w:id="148058249">
                      <w:marLeft w:val="0"/>
                      <w:marRight w:val="0"/>
                      <w:marTop w:val="0"/>
                      <w:marBottom w:val="0"/>
                      <w:divBdr>
                        <w:top w:val="none" w:sz="0" w:space="0" w:color="auto"/>
                        <w:left w:val="none" w:sz="0" w:space="0" w:color="auto"/>
                        <w:bottom w:val="none" w:sz="0" w:space="0" w:color="auto"/>
                        <w:right w:val="none" w:sz="0" w:space="0" w:color="auto"/>
                      </w:divBdr>
                    </w:div>
                  </w:divsChild>
                </w:div>
                <w:div w:id="403337350">
                  <w:marLeft w:val="0"/>
                  <w:marRight w:val="0"/>
                  <w:marTop w:val="0"/>
                  <w:marBottom w:val="0"/>
                  <w:divBdr>
                    <w:top w:val="none" w:sz="0" w:space="0" w:color="auto"/>
                    <w:left w:val="none" w:sz="0" w:space="0" w:color="auto"/>
                    <w:bottom w:val="none" w:sz="0" w:space="0" w:color="auto"/>
                    <w:right w:val="none" w:sz="0" w:space="0" w:color="auto"/>
                  </w:divBdr>
                  <w:divsChild>
                    <w:div w:id="2132089118">
                      <w:marLeft w:val="0"/>
                      <w:marRight w:val="0"/>
                      <w:marTop w:val="0"/>
                      <w:marBottom w:val="0"/>
                      <w:divBdr>
                        <w:top w:val="none" w:sz="0" w:space="0" w:color="auto"/>
                        <w:left w:val="none" w:sz="0" w:space="0" w:color="auto"/>
                        <w:bottom w:val="none" w:sz="0" w:space="0" w:color="auto"/>
                        <w:right w:val="none" w:sz="0" w:space="0" w:color="auto"/>
                      </w:divBdr>
                    </w:div>
                  </w:divsChild>
                </w:div>
                <w:div w:id="417943976">
                  <w:marLeft w:val="0"/>
                  <w:marRight w:val="0"/>
                  <w:marTop w:val="0"/>
                  <w:marBottom w:val="0"/>
                  <w:divBdr>
                    <w:top w:val="none" w:sz="0" w:space="0" w:color="auto"/>
                    <w:left w:val="none" w:sz="0" w:space="0" w:color="auto"/>
                    <w:bottom w:val="none" w:sz="0" w:space="0" w:color="auto"/>
                    <w:right w:val="none" w:sz="0" w:space="0" w:color="auto"/>
                  </w:divBdr>
                  <w:divsChild>
                    <w:div w:id="742341126">
                      <w:marLeft w:val="0"/>
                      <w:marRight w:val="0"/>
                      <w:marTop w:val="0"/>
                      <w:marBottom w:val="0"/>
                      <w:divBdr>
                        <w:top w:val="none" w:sz="0" w:space="0" w:color="auto"/>
                        <w:left w:val="none" w:sz="0" w:space="0" w:color="auto"/>
                        <w:bottom w:val="none" w:sz="0" w:space="0" w:color="auto"/>
                        <w:right w:val="none" w:sz="0" w:space="0" w:color="auto"/>
                      </w:divBdr>
                    </w:div>
                  </w:divsChild>
                </w:div>
                <w:div w:id="440927235">
                  <w:marLeft w:val="0"/>
                  <w:marRight w:val="0"/>
                  <w:marTop w:val="0"/>
                  <w:marBottom w:val="0"/>
                  <w:divBdr>
                    <w:top w:val="none" w:sz="0" w:space="0" w:color="auto"/>
                    <w:left w:val="none" w:sz="0" w:space="0" w:color="auto"/>
                    <w:bottom w:val="none" w:sz="0" w:space="0" w:color="auto"/>
                    <w:right w:val="none" w:sz="0" w:space="0" w:color="auto"/>
                  </w:divBdr>
                  <w:divsChild>
                    <w:div w:id="246883708">
                      <w:marLeft w:val="0"/>
                      <w:marRight w:val="0"/>
                      <w:marTop w:val="0"/>
                      <w:marBottom w:val="0"/>
                      <w:divBdr>
                        <w:top w:val="none" w:sz="0" w:space="0" w:color="auto"/>
                        <w:left w:val="none" w:sz="0" w:space="0" w:color="auto"/>
                        <w:bottom w:val="none" w:sz="0" w:space="0" w:color="auto"/>
                        <w:right w:val="none" w:sz="0" w:space="0" w:color="auto"/>
                      </w:divBdr>
                    </w:div>
                  </w:divsChild>
                </w:div>
                <w:div w:id="454951539">
                  <w:marLeft w:val="0"/>
                  <w:marRight w:val="0"/>
                  <w:marTop w:val="0"/>
                  <w:marBottom w:val="0"/>
                  <w:divBdr>
                    <w:top w:val="none" w:sz="0" w:space="0" w:color="auto"/>
                    <w:left w:val="none" w:sz="0" w:space="0" w:color="auto"/>
                    <w:bottom w:val="none" w:sz="0" w:space="0" w:color="auto"/>
                    <w:right w:val="none" w:sz="0" w:space="0" w:color="auto"/>
                  </w:divBdr>
                  <w:divsChild>
                    <w:div w:id="46533697">
                      <w:marLeft w:val="0"/>
                      <w:marRight w:val="0"/>
                      <w:marTop w:val="0"/>
                      <w:marBottom w:val="0"/>
                      <w:divBdr>
                        <w:top w:val="none" w:sz="0" w:space="0" w:color="auto"/>
                        <w:left w:val="none" w:sz="0" w:space="0" w:color="auto"/>
                        <w:bottom w:val="none" w:sz="0" w:space="0" w:color="auto"/>
                        <w:right w:val="none" w:sz="0" w:space="0" w:color="auto"/>
                      </w:divBdr>
                    </w:div>
                    <w:div w:id="893076428">
                      <w:marLeft w:val="0"/>
                      <w:marRight w:val="0"/>
                      <w:marTop w:val="0"/>
                      <w:marBottom w:val="0"/>
                      <w:divBdr>
                        <w:top w:val="none" w:sz="0" w:space="0" w:color="auto"/>
                        <w:left w:val="none" w:sz="0" w:space="0" w:color="auto"/>
                        <w:bottom w:val="none" w:sz="0" w:space="0" w:color="auto"/>
                        <w:right w:val="none" w:sz="0" w:space="0" w:color="auto"/>
                      </w:divBdr>
                    </w:div>
                  </w:divsChild>
                </w:div>
                <w:div w:id="497580490">
                  <w:marLeft w:val="0"/>
                  <w:marRight w:val="0"/>
                  <w:marTop w:val="0"/>
                  <w:marBottom w:val="0"/>
                  <w:divBdr>
                    <w:top w:val="none" w:sz="0" w:space="0" w:color="auto"/>
                    <w:left w:val="none" w:sz="0" w:space="0" w:color="auto"/>
                    <w:bottom w:val="none" w:sz="0" w:space="0" w:color="auto"/>
                    <w:right w:val="none" w:sz="0" w:space="0" w:color="auto"/>
                  </w:divBdr>
                  <w:divsChild>
                    <w:div w:id="787167143">
                      <w:marLeft w:val="0"/>
                      <w:marRight w:val="0"/>
                      <w:marTop w:val="0"/>
                      <w:marBottom w:val="0"/>
                      <w:divBdr>
                        <w:top w:val="none" w:sz="0" w:space="0" w:color="auto"/>
                        <w:left w:val="none" w:sz="0" w:space="0" w:color="auto"/>
                        <w:bottom w:val="none" w:sz="0" w:space="0" w:color="auto"/>
                        <w:right w:val="none" w:sz="0" w:space="0" w:color="auto"/>
                      </w:divBdr>
                    </w:div>
                  </w:divsChild>
                </w:div>
                <w:div w:id="505638007">
                  <w:marLeft w:val="0"/>
                  <w:marRight w:val="0"/>
                  <w:marTop w:val="0"/>
                  <w:marBottom w:val="0"/>
                  <w:divBdr>
                    <w:top w:val="none" w:sz="0" w:space="0" w:color="auto"/>
                    <w:left w:val="none" w:sz="0" w:space="0" w:color="auto"/>
                    <w:bottom w:val="none" w:sz="0" w:space="0" w:color="auto"/>
                    <w:right w:val="none" w:sz="0" w:space="0" w:color="auto"/>
                  </w:divBdr>
                  <w:divsChild>
                    <w:div w:id="1152677233">
                      <w:marLeft w:val="0"/>
                      <w:marRight w:val="0"/>
                      <w:marTop w:val="0"/>
                      <w:marBottom w:val="0"/>
                      <w:divBdr>
                        <w:top w:val="none" w:sz="0" w:space="0" w:color="auto"/>
                        <w:left w:val="none" w:sz="0" w:space="0" w:color="auto"/>
                        <w:bottom w:val="none" w:sz="0" w:space="0" w:color="auto"/>
                        <w:right w:val="none" w:sz="0" w:space="0" w:color="auto"/>
                      </w:divBdr>
                    </w:div>
                  </w:divsChild>
                </w:div>
                <w:div w:id="521480170">
                  <w:marLeft w:val="0"/>
                  <w:marRight w:val="0"/>
                  <w:marTop w:val="0"/>
                  <w:marBottom w:val="0"/>
                  <w:divBdr>
                    <w:top w:val="none" w:sz="0" w:space="0" w:color="auto"/>
                    <w:left w:val="none" w:sz="0" w:space="0" w:color="auto"/>
                    <w:bottom w:val="none" w:sz="0" w:space="0" w:color="auto"/>
                    <w:right w:val="none" w:sz="0" w:space="0" w:color="auto"/>
                  </w:divBdr>
                  <w:divsChild>
                    <w:div w:id="1662931337">
                      <w:marLeft w:val="0"/>
                      <w:marRight w:val="0"/>
                      <w:marTop w:val="0"/>
                      <w:marBottom w:val="0"/>
                      <w:divBdr>
                        <w:top w:val="none" w:sz="0" w:space="0" w:color="auto"/>
                        <w:left w:val="none" w:sz="0" w:space="0" w:color="auto"/>
                        <w:bottom w:val="none" w:sz="0" w:space="0" w:color="auto"/>
                        <w:right w:val="none" w:sz="0" w:space="0" w:color="auto"/>
                      </w:divBdr>
                    </w:div>
                  </w:divsChild>
                </w:div>
                <w:div w:id="525213002">
                  <w:marLeft w:val="0"/>
                  <w:marRight w:val="0"/>
                  <w:marTop w:val="0"/>
                  <w:marBottom w:val="0"/>
                  <w:divBdr>
                    <w:top w:val="none" w:sz="0" w:space="0" w:color="auto"/>
                    <w:left w:val="none" w:sz="0" w:space="0" w:color="auto"/>
                    <w:bottom w:val="none" w:sz="0" w:space="0" w:color="auto"/>
                    <w:right w:val="none" w:sz="0" w:space="0" w:color="auto"/>
                  </w:divBdr>
                  <w:divsChild>
                    <w:div w:id="1455977854">
                      <w:marLeft w:val="0"/>
                      <w:marRight w:val="0"/>
                      <w:marTop w:val="0"/>
                      <w:marBottom w:val="0"/>
                      <w:divBdr>
                        <w:top w:val="none" w:sz="0" w:space="0" w:color="auto"/>
                        <w:left w:val="none" w:sz="0" w:space="0" w:color="auto"/>
                        <w:bottom w:val="none" w:sz="0" w:space="0" w:color="auto"/>
                        <w:right w:val="none" w:sz="0" w:space="0" w:color="auto"/>
                      </w:divBdr>
                    </w:div>
                  </w:divsChild>
                </w:div>
                <w:div w:id="532690797">
                  <w:marLeft w:val="0"/>
                  <w:marRight w:val="0"/>
                  <w:marTop w:val="0"/>
                  <w:marBottom w:val="0"/>
                  <w:divBdr>
                    <w:top w:val="none" w:sz="0" w:space="0" w:color="auto"/>
                    <w:left w:val="none" w:sz="0" w:space="0" w:color="auto"/>
                    <w:bottom w:val="none" w:sz="0" w:space="0" w:color="auto"/>
                    <w:right w:val="none" w:sz="0" w:space="0" w:color="auto"/>
                  </w:divBdr>
                  <w:divsChild>
                    <w:div w:id="359169093">
                      <w:marLeft w:val="0"/>
                      <w:marRight w:val="0"/>
                      <w:marTop w:val="0"/>
                      <w:marBottom w:val="0"/>
                      <w:divBdr>
                        <w:top w:val="none" w:sz="0" w:space="0" w:color="auto"/>
                        <w:left w:val="none" w:sz="0" w:space="0" w:color="auto"/>
                        <w:bottom w:val="none" w:sz="0" w:space="0" w:color="auto"/>
                        <w:right w:val="none" w:sz="0" w:space="0" w:color="auto"/>
                      </w:divBdr>
                    </w:div>
                  </w:divsChild>
                </w:div>
                <w:div w:id="542597724">
                  <w:marLeft w:val="0"/>
                  <w:marRight w:val="0"/>
                  <w:marTop w:val="0"/>
                  <w:marBottom w:val="0"/>
                  <w:divBdr>
                    <w:top w:val="none" w:sz="0" w:space="0" w:color="auto"/>
                    <w:left w:val="none" w:sz="0" w:space="0" w:color="auto"/>
                    <w:bottom w:val="none" w:sz="0" w:space="0" w:color="auto"/>
                    <w:right w:val="none" w:sz="0" w:space="0" w:color="auto"/>
                  </w:divBdr>
                  <w:divsChild>
                    <w:div w:id="2051343364">
                      <w:marLeft w:val="0"/>
                      <w:marRight w:val="0"/>
                      <w:marTop w:val="0"/>
                      <w:marBottom w:val="0"/>
                      <w:divBdr>
                        <w:top w:val="none" w:sz="0" w:space="0" w:color="auto"/>
                        <w:left w:val="none" w:sz="0" w:space="0" w:color="auto"/>
                        <w:bottom w:val="none" w:sz="0" w:space="0" w:color="auto"/>
                        <w:right w:val="none" w:sz="0" w:space="0" w:color="auto"/>
                      </w:divBdr>
                    </w:div>
                  </w:divsChild>
                </w:div>
                <w:div w:id="543098320">
                  <w:marLeft w:val="0"/>
                  <w:marRight w:val="0"/>
                  <w:marTop w:val="0"/>
                  <w:marBottom w:val="0"/>
                  <w:divBdr>
                    <w:top w:val="none" w:sz="0" w:space="0" w:color="auto"/>
                    <w:left w:val="none" w:sz="0" w:space="0" w:color="auto"/>
                    <w:bottom w:val="none" w:sz="0" w:space="0" w:color="auto"/>
                    <w:right w:val="none" w:sz="0" w:space="0" w:color="auto"/>
                  </w:divBdr>
                  <w:divsChild>
                    <w:div w:id="628051204">
                      <w:marLeft w:val="0"/>
                      <w:marRight w:val="0"/>
                      <w:marTop w:val="0"/>
                      <w:marBottom w:val="0"/>
                      <w:divBdr>
                        <w:top w:val="none" w:sz="0" w:space="0" w:color="auto"/>
                        <w:left w:val="none" w:sz="0" w:space="0" w:color="auto"/>
                        <w:bottom w:val="none" w:sz="0" w:space="0" w:color="auto"/>
                        <w:right w:val="none" w:sz="0" w:space="0" w:color="auto"/>
                      </w:divBdr>
                    </w:div>
                  </w:divsChild>
                </w:div>
                <w:div w:id="552156340">
                  <w:marLeft w:val="0"/>
                  <w:marRight w:val="0"/>
                  <w:marTop w:val="0"/>
                  <w:marBottom w:val="0"/>
                  <w:divBdr>
                    <w:top w:val="none" w:sz="0" w:space="0" w:color="auto"/>
                    <w:left w:val="none" w:sz="0" w:space="0" w:color="auto"/>
                    <w:bottom w:val="none" w:sz="0" w:space="0" w:color="auto"/>
                    <w:right w:val="none" w:sz="0" w:space="0" w:color="auto"/>
                  </w:divBdr>
                  <w:divsChild>
                    <w:div w:id="978000769">
                      <w:marLeft w:val="0"/>
                      <w:marRight w:val="0"/>
                      <w:marTop w:val="0"/>
                      <w:marBottom w:val="0"/>
                      <w:divBdr>
                        <w:top w:val="none" w:sz="0" w:space="0" w:color="auto"/>
                        <w:left w:val="none" w:sz="0" w:space="0" w:color="auto"/>
                        <w:bottom w:val="none" w:sz="0" w:space="0" w:color="auto"/>
                        <w:right w:val="none" w:sz="0" w:space="0" w:color="auto"/>
                      </w:divBdr>
                    </w:div>
                  </w:divsChild>
                </w:div>
                <w:div w:id="562638783">
                  <w:marLeft w:val="0"/>
                  <w:marRight w:val="0"/>
                  <w:marTop w:val="0"/>
                  <w:marBottom w:val="0"/>
                  <w:divBdr>
                    <w:top w:val="none" w:sz="0" w:space="0" w:color="auto"/>
                    <w:left w:val="none" w:sz="0" w:space="0" w:color="auto"/>
                    <w:bottom w:val="none" w:sz="0" w:space="0" w:color="auto"/>
                    <w:right w:val="none" w:sz="0" w:space="0" w:color="auto"/>
                  </w:divBdr>
                  <w:divsChild>
                    <w:div w:id="936907791">
                      <w:marLeft w:val="0"/>
                      <w:marRight w:val="0"/>
                      <w:marTop w:val="0"/>
                      <w:marBottom w:val="0"/>
                      <w:divBdr>
                        <w:top w:val="none" w:sz="0" w:space="0" w:color="auto"/>
                        <w:left w:val="none" w:sz="0" w:space="0" w:color="auto"/>
                        <w:bottom w:val="none" w:sz="0" w:space="0" w:color="auto"/>
                        <w:right w:val="none" w:sz="0" w:space="0" w:color="auto"/>
                      </w:divBdr>
                    </w:div>
                  </w:divsChild>
                </w:div>
                <w:div w:id="568728695">
                  <w:marLeft w:val="0"/>
                  <w:marRight w:val="0"/>
                  <w:marTop w:val="0"/>
                  <w:marBottom w:val="0"/>
                  <w:divBdr>
                    <w:top w:val="none" w:sz="0" w:space="0" w:color="auto"/>
                    <w:left w:val="none" w:sz="0" w:space="0" w:color="auto"/>
                    <w:bottom w:val="none" w:sz="0" w:space="0" w:color="auto"/>
                    <w:right w:val="none" w:sz="0" w:space="0" w:color="auto"/>
                  </w:divBdr>
                  <w:divsChild>
                    <w:div w:id="291399418">
                      <w:marLeft w:val="0"/>
                      <w:marRight w:val="0"/>
                      <w:marTop w:val="0"/>
                      <w:marBottom w:val="0"/>
                      <w:divBdr>
                        <w:top w:val="none" w:sz="0" w:space="0" w:color="auto"/>
                        <w:left w:val="none" w:sz="0" w:space="0" w:color="auto"/>
                        <w:bottom w:val="none" w:sz="0" w:space="0" w:color="auto"/>
                        <w:right w:val="none" w:sz="0" w:space="0" w:color="auto"/>
                      </w:divBdr>
                    </w:div>
                  </w:divsChild>
                </w:div>
                <w:div w:id="591471520">
                  <w:marLeft w:val="0"/>
                  <w:marRight w:val="0"/>
                  <w:marTop w:val="0"/>
                  <w:marBottom w:val="0"/>
                  <w:divBdr>
                    <w:top w:val="none" w:sz="0" w:space="0" w:color="auto"/>
                    <w:left w:val="none" w:sz="0" w:space="0" w:color="auto"/>
                    <w:bottom w:val="none" w:sz="0" w:space="0" w:color="auto"/>
                    <w:right w:val="none" w:sz="0" w:space="0" w:color="auto"/>
                  </w:divBdr>
                  <w:divsChild>
                    <w:div w:id="10567732">
                      <w:marLeft w:val="0"/>
                      <w:marRight w:val="0"/>
                      <w:marTop w:val="0"/>
                      <w:marBottom w:val="0"/>
                      <w:divBdr>
                        <w:top w:val="none" w:sz="0" w:space="0" w:color="auto"/>
                        <w:left w:val="none" w:sz="0" w:space="0" w:color="auto"/>
                        <w:bottom w:val="none" w:sz="0" w:space="0" w:color="auto"/>
                        <w:right w:val="none" w:sz="0" w:space="0" w:color="auto"/>
                      </w:divBdr>
                    </w:div>
                  </w:divsChild>
                </w:div>
                <w:div w:id="594560128">
                  <w:marLeft w:val="0"/>
                  <w:marRight w:val="0"/>
                  <w:marTop w:val="0"/>
                  <w:marBottom w:val="0"/>
                  <w:divBdr>
                    <w:top w:val="none" w:sz="0" w:space="0" w:color="auto"/>
                    <w:left w:val="none" w:sz="0" w:space="0" w:color="auto"/>
                    <w:bottom w:val="none" w:sz="0" w:space="0" w:color="auto"/>
                    <w:right w:val="none" w:sz="0" w:space="0" w:color="auto"/>
                  </w:divBdr>
                  <w:divsChild>
                    <w:div w:id="116260965">
                      <w:marLeft w:val="0"/>
                      <w:marRight w:val="0"/>
                      <w:marTop w:val="0"/>
                      <w:marBottom w:val="0"/>
                      <w:divBdr>
                        <w:top w:val="none" w:sz="0" w:space="0" w:color="auto"/>
                        <w:left w:val="none" w:sz="0" w:space="0" w:color="auto"/>
                        <w:bottom w:val="none" w:sz="0" w:space="0" w:color="auto"/>
                        <w:right w:val="none" w:sz="0" w:space="0" w:color="auto"/>
                      </w:divBdr>
                    </w:div>
                  </w:divsChild>
                </w:div>
                <w:div w:id="620382259">
                  <w:marLeft w:val="0"/>
                  <w:marRight w:val="0"/>
                  <w:marTop w:val="0"/>
                  <w:marBottom w:val="0"/>
                  <w:divBdr>
                    <w:top w:val="none" w:sz="0" w:space="0" w:color="auto"/>
                    <w:left w:val="none" w:sz="0" w:space="0" w:color="auto"/>
                    <w:bottom w:val="none" w:sz="0" w:space="0" w:color="auto"/>
                    <w:right w:val="none" w:sz="0" w:space="0" w:color="auto"/>
                  </w:divBdr>
                  <w:divsChild>
                    <w:div w:id="1070884805">
                      <w:marLeft w:val="0"/>
                      <w:marRight w:val="0"/>
                      <w:marTop w:val="0"/>
                      <w:marBottom w:val="0"/>
                      <w:divBdr>
                        <w:top w:val="none" w:sz="0" w:space="0" w:color="auto"/>
                        <w:left w:val="none" w:sz="0" w:space="0" w:color="auto"/>
                        <w:bottom w:val="none" w:sz="0" w:space="0" w:color="auto"/>
                        <w:right w:val="none" w:sz="0" w:space="0" w:color="auto"/>
                      </w:divBdr>
                    </w:div>
                  </w:divsChild>
                </w:div>
                <w:div w:id="637224191">
                  <w:marLeft w:val="0"/>
                  <w:marRight w:val="0"/>
                  <w:marTop w:val="0"/>
                  <w:marBottom w:val="0"/>
                  <w:divBdr>
                    <w:top w:val="none" w:sz="0" w:space="0" w:color="auto"/>
                    <w:left w:val="none" w:sz="0" w:space="0" w:color="auto"/>
                    <w:bottom w:val="none" w:sz="0" w:space="0" w:color="auto"/>
                    <w:right w:val="none" w:sz="0" w:space="0" w:color="auto"/>
                  </w:divBdr>
                  <w:divsChild>
                    <w:div w:id="669912566">
                      <w:marLeft w:val="0"/>
                      <w:marRight w:val="0"/>
                      <w:marTop w:val="0"/>
                      <w:marBottom w:val="0"/>
                      <w:divBdr>
                        <w:top w:val="none" w:sz="0" w:space="0" w:color="auto"/>
                        <w:left w:val="none" w:sz="0" w:space="0" w:color="auto"/>
                        <w:bottom w:val="none" w:sz="0" w:space="0" w:color="auto"/>
                        <w:right w:val="none" w:sz="0" w:space="0" w:color="auto"/>
                      </w:divBdr>
                    </w:div>
                  </w:divsChild>
                </w:div>
                <w:div w:id="641883035">
                  <w:marLeft w:val="0"/>
                  <w:marRight w:val="0"/>
                  <w:marTop w:val="0"/>
                  <w:marBottom w:val="0"/>
                  <w:divBdr>
                    <w:top w:val="none" w:sz="0" w:space="0" w:color="auto"/>
                    <w:left w:val="none" w:sz="0" w:space="0" w:color="auto"/>
                    <w:bottom w:val="none" w:sz="0" w:space="0" w:color="auto"/>
                    <w:right w:val="none" w:sz="0" w:space="0" w:color="auto"/>
                  </w:divBdr>
                  <w:divsChild>
                    <w:div w:id="1148938455">
                      <w:marLeft w:val="0"/>
                      <w:marRight w:val="0"/>
                      <w:marTop w:val="0"/>
                      <w:marBottom w:val="0"/>
                      <w:divBdr>
                        <w:top w:val="none" w:sz="0" w:space="0" w:color="auto"/>
                        <w:left w:val="none" w:sz="0" w:space="0" w:color="auto"/>
                        <w:bottom w:val="none" w:sz="0" w:space="0" w:color="auto"/>
                        <w:right w:val="none" w:sz="0" w:space="0" w:color="auto"/>
                      </w:divBdr>
                    </w:div>
                  </w:divsChild>
                </w:div>
                <w:div w:id="655496428">
                  <w:marLeft w:val="0"/>
                  <w:marRight w:val="0"/>
                  <w:marTop w:val="0"/>
                  <w:marBottom w:val="0"/>
                  <w:divBdr>
                    <w:top w:val="none" w:sz="0" w:space="0" w:color="auto"/>
                    <w:left w:val="none" w:sz="0" w:space="0" w:color="auto"/>
                    <w:bottom w:val="none" w:sz="0" w:space="0" w:color="auto"/>
                    <w:right w:val="none" w:sz="0" w:space="0" w:color="auto"/>
                  </w:divBdr>
                  <w:divsChild>
                    <w:div w:id="2019185731">
                      <w:marLeft w:val="0"/>
                      <w:marRight w:val="0"/>
                      <w:marTop w:val="0"/>
                      <w:marBottom w:val="0"/>
                      <w:divBdr>
                        <w:top w:val="none" w:sz="0" w:space="0" w:color="auto"/>
                        <w:left w:val="none" w:sz="0" w:space="0" w:color="auto"/>
                        <w:bottom w:val="none" w:sz="0" w:space="0" w:color="auto"/>
                        <w:right w:val="none" w:sz="0" w:space="0" w:color="auto"/>
                      </w:divBdr>
                    </w:div>
                  </w:divsChild>
                </w:div>
                <w:div w:id="658651673">
                  <w:marLeft w:val="0"/>
                  <w:marRight w:val="0"/>
                  <w:marTop w:val="0"/>
                  <w:marBottom w:val="0"/>
                  <w:divBdr>
                    <w:top w:val="none" w:sz="0" w:space="0" w:color="auto"/>
                    <w:left w:val="none" w:sz="0" w:space="0" w:color="auto"/>
                    <w:bottom w:val="none" w:sz="0" w:space="0" w:color="auto"/>
                    <w:right w:val="none" w:sz="0" w:space="0" w:color="auto"/>
                  </w:divBdr>
                  <w:divsChild>
                    <w:div w:id="982546565">
                      <w:marLeft w:val="0"/>
                      <w:marRight w:val="0"/>
                      <w:marTop w:val="0"/>
                      <w:marBottom w:val="0"/>
                      <w:divBdr>
                        <w:top w:val="none" w:sz="0" w:space="0" w:color="auto"/>
                        <w:left w:val="none" w:sz="0" w:space="0" w:color="auto"/>
                        <w:bottom w:val="none" w:sz="0" w:space="0" w:color="auto"/>
                        <w:right w:val="none" w:sz="0" w:space="0" w:color="auto"/>
                      </w:divBdr>
                    </w:div>
                  </w:divsChild>
                </w:div>
                <w:div w:id="687482801">
                  <w:marLeft w:val="0"/>
                  <w:marRight w:val="0"/>
                  <w:marTop w:val="0"/>
                  <w:marBottom w:val="0"/>
                  <w:divBdr>
                    <w:top w:val="none" w:sz="0" w:space="0" w:color="auto"/>
                    <w:left w:val="none" w:sz="0" w:space="0" w:color="auto"/>
                    <w:bottom w:val="none" w:sz="0" w:space="0" w:color="auto"/>
                    <w:right w:val="none" w:sz="0" w:space="0" w:color="auto"/>
                  </w:divBdr>
                  <w:divsChild>
                    <w:div w:id="193887392">
                      <w:marLeft w:val="0"/>
                      <w:marRight w:val="0"/>
                      <w:marTop w:val="0"/>
                      <w:marBottom w:val="0"/>
                      <w:divBdr>
                        <w:top w:val="none" w:sz="0" w:space="0" w:color="auto"/>
                        <w:left w:val="none" w:sz="0" w:space="0" w:color="auto"/>
                        <w:bottom w:val="none" w:sz="0" w:space="0" w:color="auto"/>
                        <w:right w:val="none" w:sz="0" w:space="0" w:color="auto"/>
                      </w:divBdr>
                    </w:div>
                  </w:divsChild>
                </w:div>
                <w:div w:id="687636228">
                  <w:marLeft w:val="0"/>
                  <w:marRight w:val="0"/>
                  <w:marTop w:val="0"/>
                  <w:marBottom w:val="0"/>
                  <w:divBdr>
                    <w:top w:val="none" w:sz="0" w:space="0" w:color="auto"/>
                    <w:left w:val="none" w:sz="0" w:space="0" w:color="auto"/>
                    <w:bottom w:val="none" w:sz="0" w:space="0" w:color="auto"/>
                    <w:right w:val="none" w:sz="0" w:space="0" w:color="auto"/>
                  </w:divBdr>
                  <w:divsChild>
                    <w:div w:id="1724064912">
                      <w:marLeft w:val="0"/>
                      <w:marRight w:val="0"/>
                      <w:marTop w:val="0"/>
                      <w:marBottom w:val="0"/>
                      <w:divBdr>
                        <w:top w:val="none" w:sz="0" w:space="0" w:color="auto"/>
                        <w:left w:val="none" w:sz="0" w:space="0" w:color="auto"/>
                        <w:bottom w:val="none" w:sz="0" w:space="0" w:color="auto"/>
                        <w:right w:val="none" w:sz="0" w:space="0" w:color="auto"/>
                      </w:divBdr>
                    </w:div>
                  </w:divsChild>
                </w:div>
                <w:div w:id="719014060">
                  <w:marLeft w:val="0"/>
                  <w:marRight w:val="0"/>
                  <w:marTop w:val="0"/>
                  <w:marBottom w:val="0"/>
                  <w:divBdr>
                    <w:top w:val="none" w:sz="0" w:space="0" w:color="auto"/>
                    <w:left w:val="none" w:sz="0" w:space="0" w:color="auto"/>
                    <w:bottom w:val="none" w:sz="0" w:space="0" w:color="auto"/>
                    <w:right w:val="none" w:sz="0" w:space="0" w:color="auto"/>
                  </w:divBdr>
                  <w:divsChild>
                    <w:div w:id="636761306">
                      <w:marLeft w:val="0"/>
                      <w:marRight w:val="0"/>
                      <w:marTop w:val="0"/>
                      <w:marBottom w:val="0"/>
                      <w:divBdr>
                        <w:top w:val="none" w:sz="0" w:space="0" w:color="auto"/>
                        <w:left w:val="none" w:sz="0" w:space="0" w:color="auto"/>
                        <w:bottom w:val="none" w:sz="0" w:space="0" w:color="auto"/>
                        <w:right w:val="none" w:sz="0" w:space="0" w:color="auto"/>
                      </w:divBdr>
                    </w:div>
                  </w:divsChild>
                </w:div>
                <w:div w:id="733746320">
                  <w:marLeft w:val="0"/>
                  <w:marRight w:val="0"/>
                  <w:marTop w:val="0"/>
                  <w:marBottom w:val="0"/>
                  <w:divBdr>
                    <w:top w:val="none" w:sz="0" w:space="0" w:color="auto"/>
                    <w:left w:val="none" w:sz="0" w:space="0" w:color="auto"/>
                    <w:bottom w:val="none" w:sz="0" w:space="0" w:color="auto"/>
                    <w:right w:val="none" w:sz="0" w:space="0" w:color="auto"/>
                  </w:divBdr>
                  <w:divsChild>
                    <w:div w:id="1045373945">
                      <w:marLeft w:val="0"/>
                      <w:marRight w:val="0"/>
                      <w:marTop w:val="0"/>
                      <w:marBottom w:val="0"/>
                      <w:divBdr>
                        <w:top w:val="none" w:sz="0" w:space="0" w:color="auto"/>
                        <w:left w:val="none" w:sz="0" w:space="0" w:color="auto"/>
                        <w:bottom w:val="none" w:sz="0" w:space="0" w:color="auto"/>
                        <w:right w:val="none" w:sz="0" w:space="0" w:color="auto"/>
                      </w:divBdr>
                    </w:div>
                  </w:divsChild>
                </w:div>
                <w:div w:id="745803417">
                  <w:marLeft w:val="0"/>
                  <w:marRight w:val="0"/>
                  <w:marTop w:val="0"/>
                  <w:marBottom w:val="0"/>
                  <w:divBdr>
                    <w:top w:val="none" w:sz="0" w:space="0" w:color="auto"/>
                    <w:left w:val="none" w:sz="0" w:space="0" w:color="auto"/>
                    <w:bottom w:val="none" w:sz="0" w:space="0" w:color="auto"/>
                    <w:right w:val="none" w:sz="0" w:space="0" w:color="auto"/>
                  </w:divBdr>
                  <w:divsChild>
                    <w:div w:id="2130779736">
                      <w:marLeft w:val="0"/>
                      <w:marRight w:val="0"/>
                      <w:marTop w:val="0"/>
                      <w:marBottom w:val="0"/>
                      <w:divBdr>
                        <w:top w:val="none" w:sz="0" w:space="0" w:color="auto"/>
                        <w:left w:val="none" w:sz="0" w:space="0" w:color="auto"/>
                        <w:bottom w:val="none" w:sz="0" w:space="0" w:color="auto"/>
                        <w:right w:val="none" w:sz="0" w:space="0" w:color="auto"/>
                      </w:divBdr>
                    </w:div>
                  </w:divsChild>
                </w:div>
                <w:div w:id="745954459">
                  <w:marLeft w:val="0"/>
                  <w:marRight w:val="0"/>
                  <w:marTop w:val="0"/>
                  <w:marBottom w:val="0"/>
                  <w:divBdr>
                    <w:top w:val="none" w:sz="0" w:space="0" w:color="auto"/>
                    <w:left w:val="none" w:sz="0" w:space="0" w:color="auto"/>
                    <w:bottom w:val="none" w:sz="0" w:space="0" w:color="auto"/>
                    <w:right w:val="none" w:sz="0" w:space="0" w:color="auto"/>
                  </w:divBdr>
                  <w:divsChild>
                    <w:div w:id="1030762090">
                      <w:marLeft w:val="0"/>
                      <w:marRight w:val="0"/>
                      <w:marTop w:val="0"/>
                      <w:marBottom w:val="0"/>
                      <w:divBdr>
                        <w:top w:val="none" w:sz="0" w:space="0" w:color="auto"/>
                        <w:left w:val="none" w:sz="0" w:space="0" w:color="auto"/>
                        <w:bottom w:val="none" w:sz="0" w:space="0" w:color="auto"/>
                        <w:right w:val="none" w:sz="0" w:space="0" w:color="auto"/>
                      </w:divBdr>
                    </w:div>
                  </w:divsChild>
                </w:div>
                <w:div w:id="752091781">
                  <w:marLeft w:val="0"/>
                  <w:marRight w:val="0"/>
                  <w:marTop w:val="0"/>
                  <w:marBottom w:val="0"/>
                  <w:divBdr>
                    <w:top w:val="none" w:sz="0" w:space="0" w:color="auto"/>
                    <w:left w:val="none" w:sz="0" w:space="0" w:color="auto"/>
                    <w:bottom w:val="none" w:sz="0" w:space="0" w:color="auto"/>
                    <w:right w:val="none" w:sz="0" w:space="0" w:color="auto"/>
                  </w:divBdr>
                  <w:divsChild>
                    <w:div w:id="1716420077">
                      <w:marLeft w:val="0"/>
                      <w:marRight w:val="0"/>
                      <w:marTop w:val="0"/>
                      <w:marBottom w:val="0"/>
                      <w:divBdr>
                        <w:top w:val="none" w:sz="0" w:space="0" w:color="auto"/>
                        <w:left w:val="none" w:sz="0" w:space="0" w:color="auto"/>
                        <w:bottom w:val="none" w:sz="0" w:space="0" w:color="auto"/>
                        <w:right w:val="none" w:sz="0" w:space="0" w:color="auto"/>
                      </w:divBdr>
                    </w:div>
                  </w:divsChild>
                </w:div>
                <w:div w:id="756636973">
                  <w:marLeft w:val="0"/>
                  <w:marRight w:val="0"/>
                  <w:marTop w:val="0"/>
                  <w:marBottom w:val="0"/>
                  <w:divBdr>
                    <w:top w:val="none" w:sz="0" w:space="0" w:color="auto"/>
                    <w:left w:val="none" w:sz="0" w:space="0" w:color="auto"/>
                    <w:bottom w:val="none" w:sz="0" w:space="0" w:color="auto"/>
                    <w:right w:val="none" w:sz="0" w:space="0" w:color="auto"/>
                  </w:divBdr>
                  <w:divsChild>
                    <w:div w:id="302463104">
                      <w:marLeft w:val="0"/>
                      <w:marRight w:val="0"/>
                      <w:marTop w:val="0"/>
                      <w:marBottom w:val="0"/>
                      <w:divBdr>
                        <w:top w:val="none" w:sz="0" w:space="0" w:color="auto"/>
                        <w:left w:val="none" w:sz="0" w:space="0" w:color="auto"/>
                        <w:bottom w:val="none" w:sz="0" w:space="0" w:color="auto"/>
                        <w:right w:val="none" w:sz="0" w:space="0" w:color="auto"/>
                      </w:divBdr>
                    </w:div>
                  </w:divsChild>
                </w:div>
                <w:div w:id="777141996">
                  <w:marLeft w:val="0"/>
                  <w:marRight w:val="0"/>
                  <w:marTop w:val="0"/>
                  <w:marBottom w:val="0"/>
                  <w:divBdr>
                    <w:top w:val="none" w:sz="0" w:space="0" w:color="auto"/>
                    <w:left w:val="none" w:sz="0" w:space="0" w:color="auto"/>
                    <w:bottom w:val="none" w:sz="0" w:space="0" w:color="auto"/>
                    <w:right w:val="none" w:sz="0" w:space="0" w:color="auto"/>
                  </w:divBdr>
                  <w:divsChild>
                    <w:div w:id="48921857">
                      <w:marLeft w:val="0"/>
                      <w:marRight w:val="0"/>
                      <w:marTop w:val="0"/>
                      <w:marBottom w:val="0"/>
                      <w:divBdr>
                        <w:top w:val="none" w:sz="0" w:space="0" w:color="auto"/>
                        <w:left w:val="none" w:sz="0" w:space="0" w:color="auto"/>
                        <w:bottom w:val="none" w:sz="0" w:space="0" w:color="auto"/>
                        <w:right w:val="none" w:sz="0" w:space="0" w:color="auto"/>
                      </w:divBdr>
                    </w:div>
                  </w:divsChild>
                </w:div>
                <w:div w:id="778834211">
                  <w:marLeft w:val="0"/>
                  <w:marRight w:val="0"/>
                  <w:marTop w:val="0"/>
                  <w:marBottom w:val="0"/>
                  <w:divBdr>
                    <w:top w:val="none" w:sz="0" w:space="0" w:color="auto"/>
                    <w:left w:val="none" w:sz="0" w:space="0" w:color="auto"/>
                    <w:bottom w:val="none" w:sz="0" w:space="0" w:color="auto"/>
                    <w:right w:val="none" w:sz="0" w:space="0" w:color="auto"/>
                  </w:divBdr>
                  <w:divsChild>
                    <w:div w:id="1482850274">
                      <w:marLeft w:val="0"/>
                      <w:marRight w:val="0"/>
                      <w:marTop w:val="0"/>
                      <w:marBottom w:val="0"/>
                      <w:divBdr>
                        <w:top w:val="none" w:sz="0" w:space="0" w:color="auto"/>
                        <w:left w:val="none" w:sz="0" w:space="0" w:color="auto"/>
                        <w:bottom w:val="none" w:sz="0" w:space="0" w:color="auto"/>
                        <w:right w:val="none" w:sz="0" w:space="0" w:color="auto"/>
                      </w:divBdr>
                    </w:div>
                  </w:divsChild>
                </w:div>
                <w:div w:id="785197634">
                  <w:marLeft w:val="0"/>
                  <w:marRight w:val="0"/>
                  <w:marTop w:val="0"/>
                  <w:marBottom w:val="0"/>
                  <w:divBdr>
                    <w:top w:val="none" w:sz="0" w:space="0" w:color="auto"/>
                    <w:left w:val="none" w:sz="0" w:space="0" w:color="auto"/>
                    <w:bottom w:val="none" w:sz="0" w:space="0" w:color="auto"/>
                    <w:right w:val="none" w:sz="0" w:space="0" w:color="auto"/>
                  </w:divBdr>
                  <w:divsChild>
                    <w:div w:id="603733451">
                      <w:marLeft w:val="0"/>
                      <w:marRight w:val="0"/>
                      <w:marTop w:val="0"/>
                      <w:marBottom w:val="0"/>
                      <w:divBdr>
                        <w:top w:val="none" w:sz="0" w:space="0" w:color="auto"/>
                        <w:left w:val="none" w:sz="0" w:space="0" w:color="auto"/>
                        <w:bottom w:val="none" w:sz="0" w:space="0" w:color="auto"/>
                        <w:right w:val="none" w:sz="0" w:space="0" w:color="auto"/>
                      </w:divBdr>
                    </w:div>
                  </w:divsChild>
                </w:div>
                <w:div w:id="832642123">
                  <w:marLeft w:val="0"/>
                  <w:marRight w:val="0"/>
                  <w:marTop w:val="0"/>
                  <w:marBottom w:val="0"/>
                  <w:divBdr>
                    <w:top w:val="none" w:sz="0" w:space="0" w:color="auto"/>
                    <w:left w:val="none" w:sz="0" w:space="0" w:color="auto"/>
                    <w:bottom w:val="none" w:sz="0" w:space="0" w:color="auto"/>
                    <w:right w:val="none" w:sz="0" w:space="0" w:color="auto"/>
                  </w:divBdr>
                  <w:divsChild>
                    <w:div w:id="314144050">
                      <w:marLeft w:val="0"/>
                      <w:marRight w:val="0"/>
                      <w:marTop w:val="0"/>
                      <w:marBottom w:val="0"/>
                      <w:divBdr>
                        <w:top w:val="none" w:sz="0" w:space="0" w:color="auto"/>
                        <w:left w:val="none" w:sz="0" w:space="0" w:color="auto"/>
                        <w:bottom w:val="none" w:sz="0" w:space="0" w:color="auto"/>
                        <w:right w:val="none" w:sz="0" w:space="0" w:color="auto"/>
                      </w:divBdr>
                    </w:div>
                  </w:divsChild>
                </w:div>
                <w:div w:id="833569501">
                  <w:marLeft w:val="0"/>
                  <w:marRight w:val="0"/>
                  <w:marTop w:val="0"/>
                  <w:marBottom w:val="0"/>
                  <w:divBdr>
                    <w:top w:val="none" w:sz="0" w:space="0" w:color="auto"/>
                    <w:left w:val="none" w:sz="0" w:space="0" w:color="auto"/>
                    <w:bottom w:val="none" w:sz="0" w:space="0" w:color="auto"/>
                    <w:right w:val="none" w:sz="0" w:space="0" w:color="auto"/>
                  </w:divBdr>
                  <w:divsChild>
                    <w:div w:id="137114392">
                      <w:marLeft w:val="0"/>
                      <w:marRight w:val="0"/>
                      <w:marTop w:val="0"/>
                      <w:marBottom w:val="0"/>
                      <w:divBdr>
                        <w:top w:val="none" w:sz="0" w:space="0" w:color="auto"/>
                        <w:left w:val="none" w:sz="0" w:space="0" w:color="auto"/>
                        <w:bottom w:val="none" w:sz="0" w:space="0" w:color="auto"/>
                        <w:right w:val="none" w:sz="0" w:space="0" w:color="auto"/>
                      </w:divBdr>
                    </w:div>
                  </w:divsChild>
                </w:div>
                <w:div w:id="865409661">
                  <w:marLeft w:val="0"/>
                  <w:marRight w:val="0"/>
                  <w:marTop w:val="0"/>
                  <w:marBottom w:val="0"/>
                  <w:divBdr>
                    <w:top w:val="none" w:sz="0" w:space="0" w:color="auto"/>
                    <w:left w:val="none" w:sz="0" w:space="0" w:color="auto"/>
                    <w:bottom w:val="none" w:sz="0" w:space="0" w:color="auto"/>
                    <w:right w:val="none" w:sz="0" w:space="0" w:color="auto"/>
                  </w:divBdr>
                  <w:divsChild>
                    <w:div w:id="264659753">
                      <w:marLeft w:val="0"/>
                      <w:marRight w:val="0"/>
                      <w:marTop w:val="0"/>
                      <w:marBottom w:val="0"/>
                      <w:divBdr>
                        <w:top w:val="none" w:sz="0" w:space="0" w:color="auto"/>
                        <w:left w:val="none" w:sz="0" w:space="0" w:color="auto"/>
                        <w:bottom w:val="none" w:sz="0" w:space="0" w:color="auto"/>
                        <w:right w:val="none" w:sz="0" w:space="0" w:color="auto"/>
                      </w:divBdr>
                    </w:div>
                  </w:divsChild>
                </w:div>
                <w:div w:id="883907325">
                  <w:marLeft w:val="0"/>
                  <w:marRight w:val="0"/>
                  <w:marTop w:val="0"/>
                  <w:marBottom w:val="0"/>
                  <w:divBdr>
                    <w:top w:val="none" w:sz="0" w:space="0" w:color="auto"/>
                    <w:left w:val="none" w:sz="0" w:space="0" w:color="auto"/>
                    <w:bottom w:val="none" w:sz="0" w:space="0" w:color="auto"/>
                    <w:right w:val="none" w:sz="0" w:space="0" w:color="auto"/>
                  </w:divBdr>
                  <w:divsChild>
                    <w:div w:id="1959296530">
                      <w:marLeft w:val="0"/>
                      <w:marRight w:val="0"/>
                      <w:marTop w:val="0"/>
                      <w:marBottom w:val="0"/>
                      <w:divBdr>
                        <w:top w:val="none" w:sz="0" w:space="0" w:color="auto"/>
                        <w:left w:val="none" w:sz="0" w:space="0" w:color="auto"/>
                        <w:bottom w:val="none" w:sz="0" w:space="0" w:color="auto"/>
                        <w:right w:val="none" w:sz="0" w:space="0" w:color="auto"/>
                      </w:divBdr>
                    </w:div>
                  </w:divsChild>
                </w:div>
                <w:div w:id="910506190">
                  <w:marLeft w:val="0"/>
                  <w:marRight w:val="0"/>
                  <w:marTop w:val="0"/>
                  <w:marBottom w:val="0"/>
                  <w:divBdr>
                    <w:top w:val="none" w:sz="0" w:space="0" w:color="auto"/>
                    <w:left w:val="none" w:sz="0" w:space="0" w:color="auto"/>
                    <w:bottom w:val="none" w:sz="0" w:space="0" w:color="auto"/>
                    <w:right w:val="none" w:sz="0" w:space="0" w:color="auto"/>
                  </w:divBdr>
                  <w:divsChild>
                    <w:div w:id="2010062848">
                      <w:marLeft w:val="0"/>
                      <w:marRight w:val="0"/>
                      <w:marTop w:val="0"/>
                      <w:marBottom w:val="0"/>
                      <w:divBdr>
                        <w:top w:val="none" w:sz="0" w:space="0" w:color="auto"/>
                        <w:left w:val="none" w:sz="0" w:space="0" w:color="auto"/>
                        <w:bottom w:val="none" w:sz="0" w:space="0" w:color="auto"/>
                        <w:right w:val="none" w:sz="0" w:space="0" w:color="auto"/>
                      </w:divBdr>
                    </w:div>
                  </w:divsChild>
                </w:div>
                <w:div w:id="913390283">
                  <w:marLeft w:val="0"/>
                  <w:marRight w:val="0"/>
                  <w:marTop w:val="0"/>
                  <w:marBottom w:val="0"/>
                  <w:divBdr>
                    <w:top w:val="none" w:sz="0" w:space="0" w:color="auto"/>
                    <w:left w:val="none" w:sz="0" w:space="0" w:color="auto"/>
                    <w:bottom w:val="none" w:sz="0" w:space="0" w:color="auto"/>
                    <w:right w:val="none" w:sz="0" w:space="0" w:color="auto"/>
                  </w:divBdr>
                  <w:divsChild>
                    <w:div w:id="2067800398">
                      <w:marLeft w:val="0"/>
                      <w:marRight w:val="0"/>
                      <w:marTop w:val="0"/>
                      <w:marBottom w:val="0"/>
                      <w:divBdr>
                        <w:top w:val="none" w:sz="0" w:space="0" w:color="auto"/>
                        <w:left w:val="none" w:sz="0" w:space="0" w:color="auto"/>
                        <w:bottom w:val="none" w:sz="0" w:space="0" w:color="auto"/>
                        <w:right w:val="none" w:sz="0" w:space="0" w:color="auto"/>
                      </w:divBdr>
                    </w:div>
                  </w:divsChild>
                </w:div>
                <w:div w:id="934895885">
                  <w:marLeft w:val="0"/>
                  <w:marRight w:val="0"/>
                  <w:marTop w:val="0"/>
                  <w:marBottom w:val="0"/>
                  <w:divBdr>
                    <w:top w:val="none" w:sz="0" w:space="0" w:color="auto"/>
                    <w:left w:val="none" w:sz="0" w:space="0" w:color="auto"/>
                    <w:bottom w:val="none" w:sz="0" w:space="0" w:color="auto"/>
                    <w:right w:val="none" w:sz="0" w:space="0" w:color="auto"/>
                  </w:divBdr>
                  <w:divsChild>
                    <w:div w:id="428046776">
                      <w:marLeft w:val="0"/>
                      <w:marRight w:val="0"/>
                      <w:marTop w:val="0"/>
                      <w:marBottom w:val="0"/>
                      <w:divBdr>
                        <w:top w:val="none" w:sz="0" w:space="0" w:color="auto"/>
                        <w:left w:val="none" w:sz="0" w:space="0" w:color="auto"/>
                        <w:bottom w:val="none" w:sz="0" w:space="0" w:color="auto"/>
                        <w:right w:val="none" w:sz="0" w:space="0" w:color="auto"/>
                      </w:divBdr>
                    </w:div>
                  </w:divsChild>
                </w:div>
                <w:div w:id="944314310">
                  <w:marLeft w:val="0"/>
                  <w:marRight w:val="0"/>
                  <w:marTop w:val="0"/>
                  <w:marBottom w:val="0"/>
                  <w:divBdr>
                    <w:top w:val="none" w:sz="0" w:space="0" w:color="auto"/>
                    <w:left w:val="none" w:sz="0" w:space="0" w:color="auto"/>
                    <w:bottom w:val="none" w:sz="0" w:space="0" w:color="auto"/>
                    <w:right w:val="none" w:sz="0" w:space="0" w:color="auto"/>
                  </w:divBdr>
                  <w:divsChild>
                    <w:div w:id="9455619">
                      <w:marLeft w:val="0"/>
                      <w:marRight w:val="0"/>
                      <w:marTop w:val="0"/>
                      <w:marBottom w:val="0"/>
                      <w:divBdr>
                        <w:top w:val="none" w:sz="0" w:space="0" w:color="auto"/>
                        <w:left w:val="none" w:sz="0" w:space="0" w:color="auto"/>
                        <w:bottom w:val="none" w:sz="0" w:space="0" w:color="auto"/>
                        <w:right w:val="none" w:sz="0" w:space="0" w:color="auto"/>
                      </w:divBdr>
                    </w:div>
                  </w:divsChild>
                </w:div>
                <w:div w:id="944506653">
                  <w:marLeft w:val="0"/>
                  <w:marRight w:val="0"/>
                  <w:marTop w:val="0"/>
                  <w:marBottom w:val="0"/>
                  <w:divBdr>
                    <w:top w:val="none" w:sz="0" w:space="0" w:color="auto"/>
                    <w:left w:val="none" w:sz="0" w:space="0" w:color="auto"/>
                    <w:bottom w:val="none" w:sz="0" w:space="0" w:color="auto"/>
                    <w:right w:val="none" w:sz="0" w:space="0" w:color="auto"/>
                  </w:divBdr>
                  <w:divsChild>
                    <w:div w:id="1017344803">
                      <w:marLeft w:val="0"/>
                      <w:marRight w:val="0"/>
                      <w:marTop w:val="0"/>
                      <w:marBottom w:val="0"/>
                      <w:divBdr>
                        <w:top w:val="none" w:sz="0" w:space="0" w:color="auto"/>
                        <w:left w:val="none" w:sz="0" w:space="0" w:color="auto"/>
                        <w:bottom w:val="none" w:sz="0" w:space="0" w:color="auto"/>
                        <w:right w:val="none" w:sz="0" w:space="0" w:color="auto"/>
                      </w:divBdr>
                    </w:div>
                  </w:divsChild>
                </w:div>
                <w:div w:id="958224707">
                  <w:marLeft w:val="0"/>
                  <w:marRight w:val="0"/>
                  <w:marTop w:val="0"/>
                  <w:marBottom w:val="0"/>
                  <w:divBdr>
                    <w:top w:val="none" w:sz="0" w:space="0" w:color="auto"/>
                    <w:left w:val="none" w:sz="0" w:space="0" w:color="auto"/>
                    <w:bottom w:val="none" w:sz="0" w:space="0" w:color="auto"/>
                    <w:right w:val="none" w:sz="0" w:space="0" w:color="auto"/>
                  </w:divBdr>
                  <w:divsChild>
                    <w:div w:id="1711149159">
                      <w:marLeft w:val="0"/>
                      <w:marRight w:val="0"/>
                      <w:marTop w:val="0"/>
                      <w:marBottom w:val="0"/>
                      <w:divBdr>
                        <w:top w:val="none" w:sz="0" w:space="0" w:color="auto"/>
                        <w:left w:val="none" w:sz="0" w:space="0" w:color="auto"/>
                        <w:bottom w:val="none" w:sz="0" w:space="0" w:color="auto"/>
                        <w:right w:val="none" w:sz="0" w:space="0" w:color="auto"/>
                      </w:divBdr>
                    </w:div>
                  </w:divsChild>
                </w:div>
                <w:div w:id="960570297">
                  <w:marLeft w:val="0"/>
                  <w:marRight w:val="0"/>
                  <w:marTop w:val="0"/>
                  <w:marBottom w:val="0"/>
                  <w:divBdr>
                    <w:top w:val="none" w:sz="0" w:space="0" w:color="auto"/>
                    <w:left w:val="none" w:sz="0" w:space="0" w:color="auto"/>
                    <w:bottom w:val="none" w:sz="0" w:space="0" w:color="auto"/>
                    <w:right w:val="none" w:sz="0" w:space="0" w:color="auto"/>
                  </w:divBdr>
                  <w:divsChild>
                    <w:div w:id="2017492632">
                      <w:marLeft w:val="0"/>
                      <w:marRight w:val="0"/>
                      <w:marTop w:val="0"/>
                      <w:marBottom w:val="0"/>
                      <w:divBdr>
                        <w:top w:val="none" w:sz="0" w:space="0" w:color="auto"/>
                        <w:left w:val="none" w:sz="0" w:space="0" w:color="auto"/>
                        <w:bottom w:val="none" w:sz="0" w:space="0" w:color="auto"/>
                        <w:right w:val="none" w:sz="0" w:space="0" w:color="auto"/>
                      </w:divBdr>
                    </w:div>
                  </w:divsChild>
                </w:div>
                <w:div w:id="967472012">
                  <w:marLeft w:val="0"/>
                  <w:marRight w:val="0"/>
                  <w:marTop w:val="0"/>
                  <w:marBottom w:val="0"/>
                  <w:divBdr>
                    <w:top w:val="none" w:sz="0" w:space="0" w:color="auto"/>
                    <w:left w:val="none" w:sz="0" w:space="0" w:color="auto"/>
                    <w:bottom w:val="none" w:sz="0" w:space="0" w:color="auto"/>
                    <w:right w:val="none" w:sz="0" w:space="0" w:color="auto"/>
                  </w:divBdr>
                  <w:divsChild>
                    <w:div w:id="1522087191">
                      <w:marLeft w:val="0"/>
                      <w:marRight w:val="0"/>
                      <w:marTop w:val="0"/>
                      <w:marBottom w:val="0"/>
                      <w:divBdr>
                        <w:top w:val="none" w:sz="0" w:space="0" w:color="auto"/>
                        <w:left w:val="none" w:sz="0" w:space="0" w:color="auto"/>
                        <w:bottom w:val="none" w:sz="0" w:space="0" w:color="auto"/>
                        <w:right w:val="none" w:sz="0" w:space="0" w:color="auto"/>
                      </w:divBdr>
                    </w:div>
                  </w:divsChild>
                </w:div>
                <w:div w:id="974718964">
                  <w:marLeft w:val="0"/>
                  <w:marRight w:val="0"/>
                  <w:marTop w:val="0"/>
                  <w:marBottom w:val="0"/>
                  <w:divBdr>
                    <w:top w:val="none" w:sz="0" w:space="0" w:color="auto"/>
                    <w:left w:val="none" w:sz="0" w:space="0" w:color="auto"/>
                    <w:bottom w:val="none" w:sz="0" w:space="0" w:color="auto"/>
                    <w:right w:val="none" w:sz="0" w:space="0" w:color="auto"/>
                  </w:divBdr>
                  <w:divsChild>
                    <w:div w:id="1862889995">
                      <w:marLeft w:val="0"/>
                      <w:marRight w:val="0"/>
                      <w:marTop w:val="0"/>
                      <w:marBottom w:val="0"/>
                      <w:divBdr>
                        <w:top w:val="none" w:sz="0" w:space="0" w:color="auto"/>
                        <w:left w:val="none" w:sz="0" w:space="0" w:color="auto"/>
                        <w:bottom w:val="none" w:sz="0" w:space="0" w:color="auto"/>
                        <w:right w:val="none" w:sz="0" w:space="0" w:color="auto"/>
                      </w:divBdr>
                    </w:div>
                  </w:divsChild>
                </w:div>
                <w:div w:id="978725779">
                  <w:marLeft w:val="0"/>
                  <w:marRight w:val="0"/>
                  <w:marTop w:val="0"/>
                  <w:marBottom w:val="0"/>
                  <w:divBdr>
                    <w:top w:val="none" w:sz="0" w:space="0" w:color="auto"/>
                    <w:left w:val="none" w:sz="0" w:space="0" w:color="auto"/>
                    <w:bottom w:val="none" w:sz="0" w:space="0" w:color="auto"/>
                    <w:right w:val="none" w:sz="0" w:space="0" w:color="auto"/>
                  </w:divBdr>
                  <w:divsChild>
                    <w:div w:id="1113944250">
                      <w:marLeft w:val="0"/>
                      <w:marRight w:val="0"/>
                      <w:marTop w:val="0"/>
                      <w:marBottom w:val="0"/>
                      <w:divBdr>
                        <w:top w:val="none" w:sz="0" w:space="0" w:color="auto"/>
                        <w:left w:val="none" w:sz="0" w:space="0" w:color="auto"/>
                        <w:bottom w:val="none" w:sz="0" w:space="0" w:color="auto"/>
                        <w:right w:val="none" w:sz="0" w:space="0" w:color="auto"/>
                      </w:divBdr>
                    </w:div>
                  </w:divsChild>
                </w:div>
                <w:div w:id="988948681">
                  <w:marLeft w:val="0"/>
                  <w:marRight w:val="0"/>
                  <w:marTop w:val="0"/>
                  <w:marBottom w:val="0"/>
                  <w:divBdr>
                    <w:top w:val="none" w:sz="0" w:space="0" w:color="auto"/>
                    <w:left w:val="none" w:sz="0" w:space="0" w:color="auto"/>
                    <w:bottom w:val="none" w:sz="0" w:space="0" w:color="auto"/>
                    <w:right w:val="none" w:sz="0" w:space="0" w:color="auto"/>
                  </w:divBdr>
                  <w:divsChild>
                    <w:div w:id="1275018165">
                      <w:marLeft w:val="0"/>
                      <w:marRight w:val="0"/>
                      <w:marTop w:val="0"/>
                      <w:marBottom w:val="0"/>
                      <w:divBdr>
                        <w:top w:val="none" w:sz="0" w:space="0" w:color="auto"/>
                        <w:left w:val="none" w:sz="0" w:space="0" w:color="auto"/>
                        <w:bottom w:val="none" w:sz="0" w:space="0" w:color="auto"/>
                        <w:right w:val="none" w:sz="0" w:space="0" w:color="auto"/>
                      </w:divBdr>
                    </w:div>
                  </w:divsChild>
                </w:div>
                <w:div w:id="990670583">
                  <w:marLeft w:val="0"/>
                  <w:marRight w:val="0"/>
                  <w:marTop w:val="0"/>
                  <w:marBottom w:val="0"/>
                  <w:divBdr>
                    <w:top w:val="none" w:sz="0" w:space="0" w:color="auto"/>
                    <w:left w:val="none" w:sz="0" w:space="0" w:color="auto"/>
                    <w:bottom w:val="none" w:sz="0" w:space="0" w:color="auto"/>
                    <w:right w:val="none" w:sz="0" w:space="0" w:color="auto"/>
                  </w:divBdr>
                  <w:divsChild>
                    <w:div w:id="1209993191">
                      <w:marLeft w:val="0"/>
                      <w:marRight w:val="0"/>
                      <w:marTop w:val="0"/>
                      <w:marBottom w:val="0"/>
                      <w:divBdr>
                        <w:top w:val="none" w:sz="0" w:space="0" w:color="auto"/>
                        <w:left w:val="none" w:sz="0" w:space="0" w:color="auto"/>
                        <w:bottom w:val="none" w:sz="0" w:space="0" w:color="auto"/>
                        <w:right w:val="none" w:sz="0" w:space="0" w:color="auto"/>
                      </w:divBdr>
                    </w:div>
                  </w:divsChild>
                </w:div>
                <w:div w:id="1007635683">
                  <w:marLeft w:val="0"/>
                  <w:marRight w:val="0"/>
                  <w:marTop w:val="0"/>
                  <w:marBottom w:val="0"/>
                  <w:divBdr>
                    <w:top w:val="none" w:sz="0" w:space="0" w:color="auto"/>
                    <w:left w:val="none" w:sz="0" w:space="0" w:color="auto"/>
                    <w:bottom w:val="none" w:sz="0" w:space="0" w:color="auto"/>
                    <w:right w:val="none" w:sz="0" w:space="0" w:color="auto"/>
                  </w:divBdr>
                  <w:divsChild>
                    <w:div w:id="1035497401">
                      <w:marLeft w:val="0"/>
                      <w:marRight w:val="0"/>
                      <w:marTop w:val="0"/>
                      <w:marBottom w:val="0"/>
                      <w:divBdr>
                        <w:top w:val="none" w:sz="0" w:space="0" w:color="auto"/>
                        <w:left w:val="none" w:sz="0" w:space="0" w:color="auto"/>
                        <w:bottom w:val="none" w:sz="0" w:space="0" w:color="auto"/>
                        <w:right w:val="none" w:sz="0" w:space="0" w:color="auto"/>
                      </w:divBdr>
                    </w:div>
                  </w:divsChild>
                </w:div>
                <w:div w:id="1010185337">
                  <w:marLeft w:val="0"/>
                  <w:marRight w:val="0"/>
                  <w:marTop w:val="0"/>
                  <w:marBottom w:val="0"/>
                  <w:divBdr>
                    <w:top w:val="none" w:sz="0" w:space="0" w:color="auto"/>
                    <w:left w:val="none" w:sz="0" w:space="0" w:color="auto"/>
                    <w:bottom w:val="none" w:sz="0" w:space="0" w:color="auto"/>
                    <w:right w:val="none" w:sz="0" w:space="0" w:color="auto"/>
                  </w:divBdr>
                  <w:divsChild>
                    <w:div w:id="1154833453">
                      <w:marLeft w:val="0"/>
                      <w:marRight w:val="0"/>
                      <w:marTop w:val="0"/>
                      <w:marBottom w:val="0"/>
                      <w:divBdr>
                        <w:top w:val="none" w:sz="0" w:space="0" w:color="auto"/>
                        <w:left w:val="none" w:sz="0" w:space="0" w:color="auto"/>
                        <w:bottom w:val="none" w:sz="0" w:space="0" w:color="auto"/>
                        <w:right w:val="none" w:sz="0" w:space="0" w:color="auto"/>
                      </w:divBdr>
                    </w:div>
                  </w:divsChild>
                </w:div>
                <w:div w:id="1020472766">
                  <w:marLeft w:val="0"/>
                  <w:marRight w:val="0"/>
                  <w:marTop w:val="0"/>
                  <w:marBottom w:val="0"/>
                  <w:divBdr>
                    <w:top w:val="none" w:sz="0" w:space="0" w:color="auto"/>
                    <w:left w:val="none" w:sz="0" w:space="0" w:color="auto"/>
                    <w:bottom w:val="none" w:sz="0" w:space="0" w:color="auto"/>
                    <w:right w:val="none" w:sz="0" w:space="0" w:color="auto"/>
                  </w:divBdr>
                  <w:divsChild>
                    <w:div w:id="611715905">
                      <w:marLeft w:val="0"/>
                      <w:marRight w:val="0"/>
                      <w:marTop w:val="0"/>
                      <w:marBottom w:val="0"/>
                      <w:divBdr>
                        <w:top w:val="none" w:sz="0" w:space="0" w:color="auto"/>
                        <w:left w:val="none" w:sz="0" w:space="0" w:color="auto"/>
                        <w:bottom w:val="none" w:sz="0" w:space="0" w:color="auto"/>
                        <w:right w:val="none" w:sz="0" w:space="0" w:color="auto"/>
                      </w:divBdr>
                    </w:div>
                  </w:divsChild>
                </w:div>
                <w:div w:id="1030960679">
                  <w:marLeft w:val="0"/>
                  <w:marRight w:val="0"/>
                  <w:marTop w:val="0"/>
                  <w:marBottom w:val="0"/>
                  <w:divBdr>
                    <w:top w:val="none" w:sz="0" w:space="0" w:color="auto"/>
                    <w:left w:val="none" w:sz="0" w:space="0" w:color="auto"/>
                    <w:bottom w:val="none" w:sz="0" w:space="0" w:color="auto"/>
                    <w:right w:val="none" w:sz="0" w:space="0" w:color="auto"/>
                  </w:divBdr>
                  <w:divsChild>
                    <w:div w:id="1427921140">
                      <w:marLeft w:val="0"/>
                      <w:marRight w:val="0"/>
                      <w:marTop w:val="0"/>
                      <w:marBottom w:val="0"/>
                      <w:divBdr>
                        <w:top w:val="none" w:sz="0" w:space="0" w:color="auto"/>
                        <w:left w:val="none" w:sz="0" w:space="0" w:color="auto"/>
                        <w:bottom w:val="none" w:sz="0" w:space="0" w:color="auto"/>
                        <w:right w:val="none" w:sz="0" w:space="0" w:color="auto"/>
                      </w:divBdr>
                    </w:div>
                  </w:divsChild>
                </w:div>
                <w:div w:id="1031684504">
                  <w:marLeft w:val="0"/>
                  <w:marRight w:val="0"/>
                  <w:marTop w:val="0"/>
                  <w:marBottom w:val="0"/>
                  <w:divBdr>
                    <w:top w:val="none" w:sz="0" w:space="0" w:color="auto"/>
                    <w:left w:val="none" w:sz="0" w:space="0" w:color="auto"/>
                    <w:bottom w:val="none" w:sz="0" w:space="0" w:color="auto"/>
                    <w:right w:val="none" w:sz="0" w:space="0" w:color="auto"/>
                  </w:divBdr>
                  <w:divsChild>
                    <w:div w:id="144322381">
                      <w:marLeft w:val="0"/>
                      <w:marRight w:val="0"/>
                      <w:marTop w:val="0"/>
                      <w:marBottom w:val="0"/>
                      <w:divBdr>
                        <w:top w:val="none" w:sz="0" w:space="0" w:color="auto"/>
                        <w:left w:val="none" w:sz="0" w:space="0" w:color="auto"/>
                        <w:bottom w:val="none" w:sz="0" w:space="0" w:color="auto"/>
                        <w:right w:val="none" w:sz="0" w:space="0" w:color="auto"/>
                      </w:divBdr>
                    </w:div>
                  </w:divsChild>
                </w:div>
                <w:div w:id="1032805063">
                  <w:marLeft w:val="0"/>
                  <w:marRight w:val="0"/>
                  <w:marTop w:val="0"/>
                  <w:marBottom w:val="0"/>
                  <w:divBdr>
                    <w:top w:val="none" w:sz="0" w:space="0" w:color="auto"/>
                    <w:left w:val="none" w:sz="0" w:space="0" w:color="auto"/>
                    <w:bottom w:val="none" w:sz="0" w:space="0" w:color="auto"/>
                    <w:right w:val="none" w:sz="0" w:space="0" w:color="auto"/>
                  </w:divBdr>
                  <w:divsChild>
                    <w:div w:id="1940020359">
                      <w:marLeft w:val="0"/>
                      <w:marRight w:val="0"/>
                      <w:marTop w:val="0"/>
                      <w:marBottom w:val="0"/>
                      <w:divBdr>
                        <w:top w:val="none" w:sz="0" w:space="0" w:color="auto"/>
                        <w:left w:val="none" w:sz="0" w:space="0" w:color="auto"/>
                        <w:bottom w:val="none" w:sz="0" w:space="0" w:color="auto"/>
                        <w:right w:val="none" w:sz="0" w:space="0" w:color="auto"/>
                      </w:divBdr>
                    </w:div>
                  </w:divsChild>
                </w:div>
                <w:div w:id="1055003866">
                  <w:marLeft w:val="0"/>
                  <w:marRight w:val="0"/>
                  <w:marTop w:val="0"/>
                  <w:marBottom w:val="0"/>
                  <w:divBdr>
                    <w:top w:val="none" w:sz="0" w:space="0" w:color="auto"/>
                    <w:left w:val="none" w:sz="0" w:space="0" w:color="auto"/>
                    <w:bottom w:val="none" w:sz="0" w:space="0" w:color="auto"/>
                    <w:right w:val="none" w:sz="0" w:space="0" w:color="auto"/>
                  </w:divBdr>
                  <w:divsChild>
                    <w:div w:id="284165355">
                      <w:marLeft w:val="0"/>
                      <w:marRight w:val="0"/>
                      <w:marTop w:val="0"/>
                      <w:marBottom w:val="0"/>
                      <w:divBdr>
                        <w:top w:val="none" w:sz="0" w:space="0" w:color="auto"/>
                        <w:left w:val="none" w:sz="0" w:space="0" w:color="auto"/>
                        <w:bottom w:val="none" w:sz="0" w:space="0" w:color="auto"/>
                        <w:right w:val="none" w:sz="0" w:space="0" w:color="auto"/>
                      </w:divBdr>
                    </w:div>
                  </w:divsChild>
                </w:div>
                <w:div w:id="1062216409">
                  <w:marLeft w:val="0"/>
                  <w:marRight w:val="0"/>
                  <w:marTop w:val="0"/>
                  <w:marBottom w:val="0"/>
                  <w:divBdr>
                    <w:top w:val="none" w:sz="0" w:space="0" w:color="auto"/>
                    <w:left w:val="none" w:sz="0" w:space="0" w:color="auto"/>
                    <w:bottom w:val="none" w:sz="0" w:space="0" w:color="auto"/>
                    <w:right w:val="none" w:sz="0" w:space="0" w:color="auto"/>
                  </w:divBdr>
                  <w:divsChild>
                    <w:div w:id="1561093829">
                      <w:marLeft w:val="0"/>
                      <w:marRight w:val="0"/>
                      <w:marTop w:val="0"/>
                      <w:marBottom w:val="0"/>
                      <w:divBdr>
                        <w:top w:val="none" w:sz="0" w:space="0" w:color="auto"/>
                        <w:left w:val="none" w:sz="0" w:space="0" w:color="auto"/>
                        <w:bottom w:val="none" w:sz="0" w:space="0" w:color="auto"/>
                        <w:right w:val="none" w:sz="0" w:space="0" w:color="auto"/>
                      </w:divBdr>
                    </w:div>
                  </w:divsChild>
                </w:div>
                <w:div w:id="1065107329">
                  <w:marLeft w:val="0"/>
                  <w:marRight w:val="0"/>
                  <w:marTop w:val="0"/>
                  <w:marBottom w:val="0"/>
                  <w:divBdr>
                    <w:top w:val="none" w:sz="0" w:space="0" w:color="auto"/>
                    <w:left w:val="none" w:sz="0" w:space="0" w:color="auto"/>
                    <w:bottom w:val="none" w:sz="0" w:space="0" w:color="auto"/>
                    <w:right w:val="none" w:sz="0" w:space="0" w:color="auto"/>
                  </w:divBdr>
                  <w:divsChild>
                    <w:div w:id="1491098268">
                      <w:marLeft w:val="0"/>
                      <w:marRight w:val="0"/>
                      <w:marTop w:val="0"/>
                      <w:marBottom w:val="0"/>
                      <w:divBdr>
                        <w:top w:val="none" w:sz="0" w:space="0" w:color="auto"/>
                        <w:left w:val="none" w:sz="0" w:space="0" w:color="auto"/>
                        <w:bottom w:val="none" w:sz="0" w:space="0" w:color="auto"/>
                        <w:right w:val="none" w:sz="0" w:space="0" w:color="auto"/>
                      </w:divBdr>
                    </w:div>
                  </w:divsChild>
                </w:div>
                <w:div w:id="1065496581">
                  <w:marLeft w:val="0"/>
                  <w:marRight w:val="0"/>
                  <w:marTop w:val="0"/>
                  <w:marBottom w:val="0"/>
                  <w:divBdr>
                    <w:top w:val="none" w:sz="0" w:space="0" w:color="auto"/>
                    <w:left w:val="none" w:sz="0" w:space="0" w:color="auto"/>
                    <w:bottom w:val="none" w:sz="0" w:space="0" w:color="auto"/>
                    <w:right w:val="none" w:sz="0" w:space="0" w:color="auto"/>
                  </w:divBdr>
                  <w:divsChild>
                    <w:div w:id="687218098">
                      <w:marLeft w:val="0"/>
                      <w:marRight w:val="0"/>
                      <w:marTop w:val="0"/>
                      <w:marBottom w:val="0"/>
                      <w:divBdr>
                        <w:top w:val="none" w:sz="0" w:space="0" w:color="auto"/>
                        <w:left w:val="none" w:sz="0" w:space="0" w:color="auto"/>
                        <w:bottom w:val="none" w:sz="0" w:space="0" w:color="auto"/>
                        <w:right w:val="none" w:sz="0" w:space="0" w:color="auto"/>
                      </w:divBdr>
                    </w:div>
                  </w:divsChild>
                </w:div>
                <w:div w:id="1091123867">
                  <w:marLeft w:val="0"/>
                  <w:marRight w:val="0"/>
                  <w:marTop w:val="0"/>
                  <w:marBottom w:val="0"/>
                  <w:divBdr>
                    <w:top w:val="none" w:sz="0" w:space="0" w:color="auto"/>
                    <w:left w:val="none" w:sz="0" w:space="0" w:color="auto"/>
                    <w:bottom w:val="none" w:sz="0" w:space="0" w:color="auto"/>
                    <w:right w:val="none" w:sz="0" w:space="0" w:color="auto"/>
                  </w:divBdr>
                  <w:divsChild>
                    <w:div w:id="504323894">
                      <w:marLeft w:val="0"/>
                      <w:marRight w:val="0"/>
                      <w:marTop w:val="0"/>
                      <w:marBottom w:val="0"/>
                      <w:divBdr>
                        <w:top w:val="none" w:sz="0" w:space="0" w:color="auto"/>
                        <w:left w:val="none" w:sz="0" w:space="0" w:color="auto"/>
                        <w:bottom w:val="none" w:sz="0" w:space="0" w:color="auto"/>
                        <w:right w:val="none" w:sz="0" w:space="0" w:color="auto"/>
                      </w:divBdr>
                    </w:div>
                  </w:divsChild>
                </w:div>
                <w:div w:id="1098719241">
                  <w:marLeft w:val="0"/>
                  <w:marRight w:val="0"/>
                  <w:marTop w:val="0"/>
                  <w:marBottom w:val="0"/>
                  <w:divBdr>
                    <w:top w:val="none" w:sz="0" w:space="0" w:color="auto"/>
                    <w:left w:val="none" w:sz="0" w:space="0" w:color="auto"/>
                    <w:bottom w:val="none" w:sz="0" w:space="0" w:color="auto"/>
                    <w:right w:val="none" w:sz="0" w:space="0" w:color="auto"/>
                  </w:divBdr>
                  <w:divsChild>
                    <w:div w:id="1231968210">
                      <w:marLeft w:val="0"/>
                      <w:marRight w:val="0"/>
                      <w:marTop w:val="0"/>
                      <w:marBottom w:val="0"/>
                      <w:divBdr>
                        <w:top w:val="none" w:sz="0" w:space="0" w:color="auto"/>
                        <w:left w:val="none" w:sz="0" w:space="0" w:color="auto"/>
                        <w:bottom w:val="none" w:sz="0" w:space="0" w:color="auto"/>
                        <w:right w:val="none" w:sz="0" w:space="0" w:color="auto"/>
                      </w:divBdr>
                    </w:div>
                  </w:divsChild>
                </w:div>
                <w:div w:id="1125809336">
                  <w:marLeft w:val="0"/>
                  <w:marRight w:val="0"/>
                  <w:marTop w:val="0"/>
                  <w:marBottom w:val="0"/>
                  <w:divBdr>
                    <w:top w:val="none" w:sz="0" w:space="0" w:color="auto"/>
                    <w:left w:val="none" w:sz="0" w:space="0" w:color="auto"/>
                    <w:bottom w:val="none" w:sz="0" w:space="0" w:color="auto"/>
                    <w:right w:val="none" w:sz="0" w:space="0" w:color="auto"/>
                  </w:divBdr>
                  <w:divsChild>
                    <w:div w:id="67114685">
                      <w:marLeft w:val="0"/>
                      <w:marRight w:val="0"/>
                      <w:marTop w:val="0"/>
                      <w:marBottom w:val="0"/>
                      <w:divBdr>
                        <w:top w:val="none" w:sz="0" w:space="0" w:color="auto"/>
                        <w:left w:val="none" w:sz="0" w:space="0" w:color="auto"/>
                        <w:bottom w:val="none" w:sz="0" w:space="0" w:color="auto"/>
                        <w:right w:val="none" w:sz="0" w:space="0" w:color="auto"/>
                      </w:divBdr>
                    </w:div>
                    <w:div w:id="106773631">
                      <w:marLeft w:val="0"/>
                      <w:marRight w:val="0"/>
                      <w:marTop w:val="0"/>
                      <w:marBottom w:val="0"/>
                      <w:divBdr>
                        <w:top w:val="none" w:sz="0" w:space="0" w:color="auto"/>
                        <w:left w:val="none" w:sz="0" w:space="0" w:color="auto"/>
                        <w:bottom w:val="none" w:sz="0" w:space="0" w:color="auto"/>
                        <w:right w:val="none" w:sz="0" w:space="0" w:color="auto"/>
                      </w:divBdr>
                    </w:div>
                    <w:div w:id="270548951">
                      <w:marLeft w:val="0"/>
                      <w:marRight w:val="0"/>
                      <w:marTop w:val="0"/>
                      <w:marBottom w:val="0"/>
                      <w:divBdr>
                        <w:top w:val="none" w:sz="0" w:space="0" w:color="auto"/>
                        <w:left w:val="none" w:sz="0" w:space="0" w:color="auto"/>
                        <w:bottom w:val="none" w:sz="0" w:space="0" w:color="auto"/>
                        <w:right w:val="none" w:sz="0" w:space="0" w:color="auto"/>
                      </w:divBdr>
                    </w:div>
                    <w:div w:id="911086046">
                      <w:marLeft w:val="0"/>
                      <w:marRight w:val="0"/>
                      <w:marTop w:val="0"/>
                      <w:marBottom w:val="0"/>
                      <w:divBdr>
                        <w:top w:val="none" w:sz="0" w:space="0" w:color="auto"/>
                        <w:left w:val="none" w:sz="0" w:space="0" w:color="auto"/>
                        <w:bottom w:val="none" w:sz="0" w:space="0" w:color="auto"/>
                        <w:right w:val="none" w:sz="0" w:space="0" w:color="auto"/>
                      </w:divBdr>
                    </w:div>
                    <w:div w:id="1732270594">
                      <w:marLeft w:val="0"/>
                      <w:marRight w:val="0"/>
                      <w:marTop w:val="0"/>
                      <w:marBottom w:val="0"/>
                      <w:divBdr>
                        <w:top w:val="none" w:sz="0" w:space="0" w:color="auto"/>
                        <w:left w:val="none" w:sz="0" w:space="0" w:color="auto"/>
                        <w:bottom w:val="none" w:sz="0" w:space="0" w:color="auto"/>
                        <w:right w:val="none" w:sz="0" w:space="0" w:color="auto"/>
                      </w:divBdr>
                    </w:div>
                    <w:div w:id="1755013893">
                      <w:marLeft w:val="0"/>
                      <w:marRight w:val="0"/>
                      <w:marTop w:val="0"/>
                      <w:marBottom w:val="0"/>
                      <w:divBdr>
                        <w:top w:val="none" w:sz="0" w:space="0" w:color="auto"/>
                        <w:left w:val="none" w:sz="0" w:space="0" w:color="auto"/>
                        <w:bottom w:val="none" w:sz="0" w:space="0" w:color="auto"/>
                        <w:right w:val="none" w:sz="0" w:space="0" w:color="auto"/>
                      </w:divBdr>
                    </w:div>
                    <w:div w:id="1821998995">
                      <w:marLeft w:val="0"/>
                      <w:marRight w:val="0"/>
                      <w:marTop w:val="0"/>
                      <w:marBottom w:val="0"/>
                      <w:divBdr>
                        <w:top w:val="none" w:sz="0" w:space="0" w:color="auto"/>
                        <w:left w:val="none" w:sz="0" w:space="0" w:color="auto"/>
                        <w:bottom w:val="none" w:sz="0" w:space="0" w:color="auto"/>
                        <w:right w:val="none" w:sz="0" w:space="0" w:color="auto"/>
                      </w:divBdr>
                    </w:div>
                    <w:div w:id="2080050470">
                      <w:marLeft w:val="0"/>
                      <w:marRight w:val="0"/>
                      <w:marTop w:val="0"/>
                      <w:marBottom w:val="0"/>
                      <w:divBdr>
                        <w:top w:val="none" w:sz="0" w:space="0" w:color="auto"/>
                        <w:left w:val="none" w:sz="0" w:space="0" w:color="auto"/>
                        <w:bottom w:val="none" w:sz="0" w:space="0" w:color="auto"/>
                        <w:right w:val="none" w:sz="0" w:space="0" w:color="auto"/>
                      </w:divBdr>
                    </w:div>
                  </w:divsChild>
                </w:div>
                <w:div w:id="1161584048">
                  <w:marLeft w:val="0"/>
                  <w:marRight w:val="0"/>
                  <w:marTop w:val="0"/>
                  <w:marBottom w:val="0"/>
                  <w:divBdr>
                    <w:top w:val="none" w:sz="0" w:space="0" w:color="auto"/>
                    <w:left w:val="none" w:sz="0" w:space="0" w:color="auto"/>
                    <w:bottom w:val="none" w:sz="0" w:space="0" w:color="auto"/>
                    <w:right w:val="none" w:sz="0" w:space="0" w:color="auto"/>
                  </w:divBdr>
                  <w:divsChild>
                    <w:div w:id="324670287">
                      <w:marLeft w:val="0"/>
                      <w:marRight w:val="0"/>
                      <w:marTop w:val="0"/>
                      <w:marBottom w:val="0"/>
                      <w:divBdr>
                        <w:top w:val="none" w:sz="0" w:space="0" w:color="auto"/>
                        <w:left w:val="none" w:sz="0" w:space="0" w:color="auto"/>
                        <w:bottom w:val="none" w:sz="0" w:space="0" w:color="auto"/>
                        <w:right w:val="none" w:sz="0" w:space="0" w:color="auto"/>
                      </w:divBdr>
                    </w:div>
                  </w:divsChild>
                </w:div>
                <w:div w:id="1168132375">
                  <w:marLeft w:val="0"/>
                  <w:marRight w:val="0"/>
                  <w:marTop w:val="0"/>
                  <w:marBottom w:val="0"/>
                  <w:divBdr>
                    <w:top w:val="none" w:sz="0" w:space="0" w:color="auto"/>
                    <w:left w:val="none" w:sz="0" w:space="0" w:color="auto"/>
                    <w:bottom w:val="none" w:sz="0" w:space="0" w:color="auto"/>
                    <w:right w:val="none" w:sz="0" w:space="0" w:color="auto"/>
                  </w:divBdr>
                  <w:divsChild>
                    <w:div w:id="661158158">
                      <w:marLeft w:val="0"/>
                      <w:marRight w:val="0"/>
                      <w:marTop w:val="0"/>
                      <w:marBottom w:val="0"/>
                      <w:divBdr>
                        <w:top w:val="none" w:sz="0" w:space="0" w:color="auto"/>
                        <w:left w:val="none" w:sz="0" w:space="0" w:color="auto"/>
                        <w:bottom w:val="none" w:sz="0" w:space="0" w:color="auto"/>
                        <w:right w:val="none" w:sz="0" w:space="0" w:color="auto"/>
                      </w:divBdr>
                    </w:div>
                  </w:divsChild>
                </w:div>
                <w:div w:id="1184394407">
                  <w:marLeft w:val="0"/>
                  <w:marRight w:val="0"/>
                  <w:marTop w:val="0"/>
                  <w:marBottom w:val="0"/>
                  <w:divBdr>
                    <w:top w:val="none" w:sz="0" w:space="0" w:color="auto"/>
                    <w:left w:val="none" w:sz="0" w:space="0" w:color="auto"/>
                    <w:bottom w:val="none" w:sz="0" w:space="0" w:color="auto"/>
                    <w:right w:val="none" w:sz="0" w:space="0" w:color="auto"/>
                  </w:divBdr>
                  <w:divsChild>
                    <w:div w:id="251201761">
                      <w:marLeft w:val="0"/>
                      <w:marRight w:val="0"/>
                      <w:marTop w:val="0"/>
                      <w:marBottom w:val="0"/>
                      <w:divBdr>
                        <w:top w:val="none" w:sz="0" w:space="0" w:color="auto"/>
                        <w:left w:val="none" w:sz="0" w:space="0" w:color="auto"/>
                        <w:bottom w:val="none" w:sz="0" w:space="0" w:color="auto"/>
                        <w:right w:val="none" w:sz="0" w:space="0" w:color="auto"/>
                      </w:divBdr>
                    </w:div>
                    <w:div w:id="503982178">
                      <w:marLeft w:val="0"/>
                      <w:marRight w:val="0"/>
                      <w:marTop w:val="0"/>
                      <w:marBottom w:val="0"/>
                      <w:divBdr>
                        <w:top w:val="none" w:sz="0" w:space="0" w:color="auto"/>
                        <w:left w:val="none" w:sz="0" w:space="0" w:color="auto"/>
                        <w:bottom w:val="none" w:sz="0" w:space="0" w:color="auto"/>
                        <w:right w:val="none" w:sz="0" w:space="0" w:color="auto"/>
                      </w:divBdr>
                    </w:div>
                    <w:div w:id="540678987">
                      <w:marLeft w:val="0"/>
                      <w:marRight w:val="0"/>
                      <w:marTop w:val="0"/>
                      <w:marBottom w:val="0"/>
                      <w:divBdr>
                        <w:top w:val="none" w:sz="0" w:space="0" w:color="auto"/>
                        <w:left w:val="none" w:sz="0" w:space="0" w:color="auto"/>
                        <w:bottom w:val="none" w:sz="0" w:space="0" w:color="auto"/>
                        <w:right w:val="none" w:sz="0" w:space="0" w:color="auto"/>
                      </w:divBdr>
                    </w:div>
                    <w:div w:id="1323318249">
                      <w:marLeft w:val="0"/>
                      <w:marRight w:val="0"/>
                      <w:marTop w:val="0"/>
                      <w:marBottom w:val="0"/>
                      <w:divBdr>
                        <w:top w:val="none" w:sz="0" w:space="0" w:color="auto"/>
                        <w:left w:val="none" w:sz="0" w:space="0" w:color="auto"/>
                        <w:bottom w:val="none" w:sz="0" w:space="0" w:color="auto"/>
                        <w:right w:val="none" w:sz="0" w:space="0" w:color="auto"/>
                      </w:divBdr>
                    </w:div>
                    <w:div w:id="1395932267">
                      <w:marLeft w:val="0"/>
                      <w:marRight w:val="0"/>
                      <w:marTop w:val="0"/>
                      <w:marBottom w:val="0"/>
                      <w:divBdr>
                        <w:top w:val="none" w:sz="0" w:space="0" w:color="auto"/>
                        <w:left w:val="none" w:sz="0" w:space="0" w:color="auto"/>
                        <w:bottom w:val="none" w:sz="0" w:space="0" w:color="auto"/>
                        <w:right w:val="none" w:sz="0" w:space="0" w:color="auto"/>
                      </w:divBdr>
                    </w:div>
                    <w:div w:id="2092266371">
                      <w:marLeft w:val="0"/>
                      <w:marRight w:val="0"/>
                      <w:marTop w:val="0"/>
                      <w:marBottom w:val="0"/>
                      <w:divBdr>
                        <w:top w:val="none" w:sz="0" w:space="0" w:color="auto"/>
                        <w:left w:val="none" w:sz="0" w:space="0" w:color="auto"/>
                        <w:bottom w:val="none" w:sz="0" w:space="0" w:color="auto"/>
                        <w:right w:val="none" w:sz="0" w:space="0" w:color="auto"/>
                      </w:divBdr>
                    </w:div>
                    <w:div w:id="2144417995">
                      <w:marLeft w:val="0"/>
                      <w:marRight w:val="0"/>
                      <w:marTop w:val="0"/>
                      <w:marBottom w:val="0"/>
                      <w:divBdr>
                        <w:top w:val="none" w:sz="0" w:space="0" w:color="auto"/>
                        <w:left w:val="none" w:sz="0" w:space="0" w:color="auto"/>
                        <w:bottom w:val="none" w:sz="0" w:space="0" w:color="auto"/>
                        <w:right w:val="none" w:sz="0" w:space="0" w:color="auto"/>
                      </w:divBdr>
                    </w:div>
                  </w:divsChild>
                </w:div>
                <w:div w:id="1192375882">
                  <w:marLeft w:val="0"/>
                  <w:marRight w:val="0"/>
                  <w:marTop w:val="0"/>
                  <w:marBottom w:val="0"/>
                  <w:divBdr>
                    <w:top w:val="none" w:sz="0" w:space="0" w:color="auto"/>
                    <w:left w:val="none" w:sz="0" w:space="0" w:color="auto"/>
                    <w:bottom w:val="none" w:sz="0" w:space="0" w:color="auto"/>
                    <w:right w:val="none" w:sz="0" w:space="0" w:color="auto"/>
                  </w:divBdr>
                  <w:divsChild>
                    <w:div w:id="973830861">
                      <w:marLeft w:val="0"/>
                      <w:marRight w:val="0"/>
                      <w:marTop w:val="0"/>
                      <w:marBottom w:val="0"/>
                      <w:divBdr>
                        <w:top w:val="none" w:sz="0" w:space="0" w:color="auto"/>
                        <w:left w:val="none" w:sz="0" w:space="0" w:color="auto"/>
                        <w:bottom w:val="none" w:sz="0" w:space="0" w:color="auto"/>
                        <w:right w:val="none" w:sz="0" w:space="0" w:color="auto"/>
                      </w:divBdr>
                    </w:div>
                  </w:divsChild>
                </w:div>
                <w:div w:id="1219783763">
                  <w:marLeft w:val="0"/>
                  <w:marRight w:val="0"/>
                  <w:marTop w:val="0"/>
                  <w:marBottom w:val="0"/>
                  <w:divBdr>
                    <w:top w:val="none" w:sz="0" w:space="0" w:color="auto"/>
                    <w:left w:val="none" w:sz="0" w:space="0" w:color="auto"/>
                    <w:bottom w:val="none" w:sz="0" w:space="0" w:color="auto"/>
                    <w:right w:val="none" w:sz="0" w:space="0" w:color="auto"/>
                  </w:divBdr>
                  <w:divsChild>
                    <w:div w:id="244609353">
                      <w:marLeft w:val="0"/>
                      <w:marRight w:val="0"/>
                      <w:marTop w:val="0"/>
                      <w:marBottom w:val="0"/>
                      <w:divBdr>
                        <w:top w:val="none" w:sz="0" w:space="0" w:color="auto"/>
                        <w:left w:val="none" w:sz="0" w:space="0" w:color="auto"/>
                        <w:bottom w:val="none" w:sz="0" w:space="0" w:color="auto"/>
                        <w:right w:val="none" w:sz="0" w:space="0" w:color="auto"/>
                      </w:divBdr>
                    </w:div>
                    <w:div w:id="430704002">
                      <w:marLeft w:val="0"/>
                      <w:marRight w:val="0"/>
                      <w:marTop w:val="0"/>
                      <w:marBottom w:val="0"/>
                      <w:divBdr>
                        <w:top w:val="none" w:sz="0" w:space="0" w:color="auto"/>
                        <w:left w:val="none" w:sz="0" w:space="0" w:color="auto"/>
                        <w:bottom w:val="none" w:sz="0" w:space="0" w:color="auto"/>
                        <w:right w:val="none" w:sz="0" w:space="0" w:color="auto"/>
                      </w:divBdr>
                    </w:div>
                    <w:div w:id="687096139">
                      <w:marLeft w:val="0"/>
                      <w:marRight w:val="0"/>
                      <w:marTop w:val="0"/>
                      <w:marBottom w:val="0"/>
                      <w:divBdr>
                        <w:top w:val="none" w:sz="0" w:space="0" w:color="auto"/>
                        <w:left w:val="none" w:sz="0" w:space="0" w:color="auto"/>
                        <w:bottom w:val="none" w:sz="0" w:space="0" w:color="auto"/>
                        <w:right w:val="none" w:sz="0" w:space="0" w:color="auto"/>
                      </w:divBdr>
                    </w:div>
                    <w:div w:id="729620695">
                      <w:marLeft w:val="0"/>
                      <w:marRight w:val="0"/>
                      <w:marTop w:val="0"/>
                      <w:marBottom w:val="0"/>
                      <w:divBdr>
                        <w:top w:val="none" w:sz="0" w:space="0" w:color="auto"/>
                        <w:left w:val="none" w:sz="0" w:space="0" w:color="auto"/>
                        <w:bottom w:val="none" w:sz="0" w:space="0" w:color="auto"/>
                        <w:right w:val="none" w:sz="0" w:space="0" w:color="auto"/>
                      </w:divBdr>
                    </w:div>
                    <w:div w:id="1103262335">
                      <w:marLeft w:val="0"/>
                      <w:marRight w:val="0"/>
                      <w:marTop w:val="0"/>
                      <w:marBottom w:val="0"/>
                      <w:divBdr>
                        <w:top w:val="none" w:sz="0" w:space="0" w:color="auto"/>
                        <w:left w:val="none" w:sz="0" w:space="0" w:color="auto"/>
                        <w:bottom w:val="none" w:sz="0" w:space="0" w:color="auto"/>
                        <w:right w:val="none" w:sz="0" w:space="0" w:color="auto"/>
                      </w:divBdr>
                    </w:div>
                    <w:div w:id="1717123417">
                      <w:marLeft w:val="0"/>
                      <w:marRight w:val="0"/>
                      <w:marTop w:val="0"/>
                      <w:marBottom w:val="0"/>
                      <w:divBdr>
                        <w:top w:val="none" w:sz="0" w:space="0" w:color="auto"/>
                        <w:left w:val="none" w:sz="0" w:space="0" w:color="auto"/>
                        <w:bottom w:val="none" w:sz="0" w:space="0" w:color="auto"/>
                        <w:right w:val="none" w:sz="0" w:space="0" w:color="auto"/>
                      </w:divBdr>
                    </w:div>
                    <w:div w:id="2049257786">
                      <w:marLeft w:val="0"/>
                      <w:marRight w:val="0"/>
                      <w:marTop w:val="0"/>
                      <w:marBottom w:val="0"/>
                      <w:divBdr>
                        <w:top w:val="none" w:sz="0" w:space="0" w:color="auto"/>
                        <w:left w:val="none" w:sz="0" w:space="0" w:color="auto"/>
                        <w:bottom w:val="none" w:sz="0" w:space="0" w:color="auto"/>
                        <w:right w:val="none" w:sz="0" w:space="0" w:color="auto"/>
                      </w:divBdr>
                    </w:div>
                  </w:divsChild>
                </w:div>
                <w:div w:id="1227960585">
                  <w:marLeft w:val="0"/>
                  <w:marRight w:val="0"/>
                  <w:marTop w:val="0"/>
                  <w:marBottom w:val="0"/>
                  <w:divBdr>
                    <w:top w:val="none" w:sz="0" w:space="0" w:color="auto"/>
                    <w:left w:val="none" w:sz="0" w:space="0" w:color="auto"/>
                    <w:bottom w:val="none" w:sz="0" w:space="0" w:color="auto"/>
                    <w:right w:val="none" w:sz="0" w:space="0" w:color="auto"/>
                  </w:divBdr>
                  <w:divsChild>
                    <w:div w:id="7562482">
                      <w:marLeft w:val="0"/>
                      <w:marRight w:val="0"/>
                      <w:marTop w:val="0"/>
                      <w:marBottom w:val="0"/>
                      <w:divBdr>
                        <w:top w:val="none" w:sz="0" w:space="0" w:color="auto"/>
                        <w:left w:val="none" w:sz="0" w:space="0" w:color="auto"/>
                        <w:bottom w:val="none" w:sz="0" w:space="0" w:color="auto"/>
                        <w:right w:val="none" w:sz="0" w:space="0" w:color="auto"/>
                      </w:divBdr>
                    </w:div>
                  </w:divsChild>
                </w:div>
                <w:div w:id="1242639005">
                  <w:marLeft w:val="0"/>
                  <w:marRight w:val="0"/>
                  <w:marTop w:val="0"/>
                  <w:marBottom w:val="0"/>
                  <w:divBdr>
                    <w:top w:val="none" w:sz="0" w:space="0" w:color="auto"/>
                    <w:left w:val="none" w:sz="0" w:space="0" w:color="auto"/>
                    <w:bottom w:val="none" w:sz="0" w:space="0" w:color="auto"/>
                    <w:right w:val="none" w:sz="0" w:space="0" w:color="auto"/>
                  </w:divBdr>
                  <w:divsChild>
                    <w:div w:id="1275753065">
                      <w:marLeft w:val="0"/>
                      <w:marRight w:val="0"/>
                      <w:marTop w:val="0"/>
                      <w:marBottom w:val="0"/>
                      <w:divBdr>
                        <w:top w:val="none" w:sz="0" w:space="0" w:color="auto"/>
                        <w:left w:val="none" w:sz="0" w:space="0" w:color="auto"/>
                        <w:bottom w:val="none" w:sz="0" w:space="0" w:color="auto"/>
                        <w:right w:val="none" w:sz="0" w:space="0" w:color="auto"/>
                      </w:divBdr>
                    </w:div>
                  </w:divsChild>
                </w:div>
                <w:div w:id="1254047866">
                  <w:marLeft w:val="0"/>
                  <w:marRight w:val="0"/>
                  <w:marTop w:val="0"/>
                  <w:marBottom w:val="0"/>
                  <w:divBdr>
                    <w:top w:val="none" w:sz="0" w:space="0" w:color="auto"/>
                    <w:left w:val="none" w:sz="0" w:space="0" w:color="auto"/>
                    <w:bottom w:val="none" w:sz="0" w:space="0" w:color="auto"/>
                    <w:right w:val="none" w:sz="0" w:space="0" w:color="auto"/>
                  </w:divBdr>
                  <w:divsChild>
                    <w:div w:id="1987398333">
                      <w:marLeft w:val="0"/>
                      <w:marRight w:val="0"/>
                      <w:marTop w:val="0"/>
                      <w:marBottom w:val="0"/>
                      <w:divBdr>
                        <w:top w:val="none" w:sz="0" w:space="0" w:color="auto"/>
                        <w:left w:val="none" w:sz="0" w:space="0" w:color="auto"/>
                        <w:bottom w:val="none" w:sz="0" w:space="0" w:color="auto"/>
                        <w:right w:val="none" w:sz="0" w:space="0" w:color="auto"/>
                      </w:divBdr>
                    </w:div>
                  </w:divsChild>
                </w:div>
                <w:div w:id="1260259978">
                  <w:marLeft w:val="0"/>
                  <w:marRight w:val="0"/>
                  <w:marTop w:val="0"/>
                  <w:marBottom w:val="0"/>
                  <w:divBdr>
                    <w:top w:val="none" w:sz="0" w:space="0" w:color="auto"/>
                    <w:left w:val="none" w:sz="0" w:space="0" w:color="auto"/>
                    <w:bottom w:val="none" w:sz="0" w:space="0" w:color="auto"/>
                    <w:right w:val="none" w:sz="0" w:space="0" w:color="auto"/>
                  </w:divBdr>
                  <w:divsChild>
                    <w:div w:id="1883398586">
                      <w:marLeft w:val="0"/>
                      <w:marRight w:val="0"/>
                      <w:marTop w:val="0"/>
                      <w:marBottom w:val="0"/>
                      <w:divBdr>
                        <w:top w:val="none" w:sz="0" w:space="0" w:color="auto"/>
                        <w:left w:val="none" w:sz="0" w:space="0" w:color="auto"/>
                        <w:bottom w:val="none" w:sz="0" w:space="0" w:color="auto"/>
                        <w:right w:val="none" w:sz="0" w:space="0" w:color="auto"/>
                      </w:divBdr>
                    </w:div>
                  </w:divsChild>
                </w:div>
                <w:div w:id="1263801011">
                  <w:marLeft w:val="0"/>
                  <w:marRight w:val="0"/>
                  <w:marTop w:val="0"/>
                  <w:marBottom w:val="0"/>
                  <w:divBdr>
                    <w:top w:val="none" w:sz="0" w:space="0" w:color="auto"/>
                    <w:left w:val="none" w:sz="0" w:space="0" w:color="auto"/>
                    <w:bottom w:val="none" w:sz="0" w:space="0" w:color="auto"/>
                    <w:right w:val="none" w:sz="0" w:space="0" w:color="auto"/>
                  </w:divBdr>
                  <w:divsChild>
                    <w:div w:id="242953925">
                      <w:marLeft w:val="0"/>
                      <w:marRight w:val="0"/>
                      <w:marTop w:val="0"/>
                      <w:marBottom w:val="0"/>
                      <w:divBdr>
                        <w:top w:val="none" w:sz="0" w:space="0" w:color="auto"/>
                        <w:left w:val="none" w:sz="0" w:space="0" w:color="auto"/>
                        <w:bottom w:val="none" w:sz="0" w:space="0" w:color="auto"/>
                        <w:right w:val="none" w:sz="0" w:space="0" w:color="auto"/>
                      </w:divBdr>
                    </w:div>
                  </w:divsChild>
                </w:div>
                <w:div w:id="1268152943">
                  <w:marLeft w:val="0"/>
                  <w:marRight w:val="0"/>
                  <w:marTop w:val="0"/>
                  <w:marBottom w:val="0"/>
                  <w:divBdr>
                    <w:top w:val="none" w:sz="0" w:space="0" w:color="auto"/>
                    <w:left w:val="none" w:sz="0" w:space="0" w:color="auto"/>
                    <w:bottom w:val="none" w:sz="0" w:space="0" w:color="auto"/>
                    <w:right w:val="none" w:sz="0" w:space="0" w:color="auto"/>
                  </w:divBdr>
                  <w:divsChild>
                    <w:div w:id="46808307">
                      <w:marLeft w:val="0"/>
                      <w:marRight w:val="0"/>
                      <w:marTop w:val="0"/>
                      <w:marBottom w:val="0"/>
                      <w:divBdr>
                        <w:top w:val="none" w:sz="0" w:space="0" w:color="auto"/>
                        <w:left w:val="none" w:sz="0" w:space="0" w:color="auto"/>
                        <w:bottom w:val="none" w:sz="0" w:space="0" w:color="auto"/>
                        <w:right w:val="none" w:sz="0" w:space="0" w:color="auto"/>
                      </w:divBdr>
                    </w:div>
                    <w:div w:id="682244277">
                      <w:marLeft w:val="0"/>
                      <w:marRight w:val="0"/>
                      <w:marTop w:val="0"/>
                      <w:marBottom w:val="0"/>
                      <w:divBdr>
                        <w:top w:val="none" w:sz="0" w:space="0" w:color="auto"/>
                        <w:left w:val="none" w:sz="0" w:space="0" w:color="auto"/>
                        <w:bottom w:val="none" w:sz="0" w:space="0" w:color="auto"/>
                        <w:right w:val="none" w:sz="0" w:space="0" w:color="auto"/>
                      </w:divBdr>
                    </w:div>
                    <w:div w:id="1167788276">
                      <w:marLeft w:val="0"/>
                      <w:marRight w:val="0"/>
                      <w:marTop w:val="0"/>
                      <w:marBottom w:val="0"/>
                      <w:divBdr>
                        <w:top w:val="none" w:sz="0" w:space="0" w:color="auto"/>
                        <w:left w:val="none" w:sz="0" w:space="0" w:color="auto"/>
                        <w:bottom w:val="none" w:sz="0" w:space="0" w:color="auto"/>
                        <w:right w:val="none" w:sz="0" w:space="0" w:color="auto"/>
                      </w:divBdr>
                    </w:div>
                    <w:div w:id="1419519063">
                      <w:marLeft w:val="0"/>
                      <w:marRight w:val="0"/>
                      <w:marTop w:val="0"/>
                      <w:marBottom w:val="0"/>
                      <w:divBdr>
                        <w:top w:val="none" w:sz="0" w:space="0" w:color="auto"/>
                        <w:left w:val="none" w:sz="0" w:space="0" w:color="auto"/>
                        <w:bottom w:val="none" w:sz="0" w:space="0" w:color="auto"/>
                        <w:right w:val="none" w:sz="0" w:space="0" w:color="auto"/>
                      </w:divBdr>
                    </w:div>
                    <w:div w:id="1615867532">
                      <w:marLeft w:val="0"/>
                      <w:marRight w:val="0"/>
                      <w:marTop w:val="0"/>
                      <w:marBottom w:val="0"/>
                      <w:divBdr>
                        <w:top w:val="none" w:sz="0" w:space="0" w:color="auto"/>
                        <w:left w:val="none" w:sz="0" w:space="0" w:color="auto"/>
                        <w:bottom w:val="none" w:sz="0" w:space="0" w:color="auto"/>
                        <w:right w:val="none" w:sz="0" w:space="0" w:color="auto"/>
                      </w:divBdr>
                    </w:div>
                    <w:div w:id="1955207008">
                      <w:marLeft w:val="0"/>
                      <w:marRight w:val="0"/>
                      <w:marTop w:val="0"/>
                      <w:marBottom w:val="0"/>
                      <w:divBdr>
                        <w:top w:val="none" w:sz="0" w:space="0" w:color="auto"/>
                        <w:left w:val="none" w:sz="0" w:space="0" w:color="auto"/>
                        <w:bottom w:val="none" w:sz="0" w:space="0" w:color="auto"/>
                        <w:right w:val="none" w:sz="0" w:space="0" w:color="auto"/>
                      </w:divBdr>
                    </w:div>
                  </w:divsChild>
                </w:div>
                <w:div w:id="1268587157">
                  <w:marLeft w:val="0"/>
                  <w:marRight w:val="0"/>
                  <w:marTop w:val="0"/>
                  <w:marBottom w:val="0"/>
                  <w:divBdr>
                    <w:top w:val="none" w:sz="0" w:space="0" w:color="auto"/>
                    <w:left w:val="none" w:sz="0" w:space="0" w:color="auto"/>
                    <w:bottom w:val="none" w:sz="0" w:space="0" w:color="auto"/>
                    <w:right w:val="none" w:sz="0" w:space="0" w:color="auto"/>
                  </w:divBdr>
                  <w:divsChild>
                    <w:div w:id="1909732664">
                      <w:marLeft w:val="0"/>
                      <w:marRight w:val="0"/>
                      <w:marTop w:val="0"/>
                      <w:marBottom w:val="0"/>
                      <w:divBdr>
                        <w:top w:val="none" w:sz="0" w:space="0" w:color="auto"/>
                        <w:left w:val="none" w:sz="0" w:space="0" w:color="auto"/>
                        <w:bottom w:val="none" w:sz="0" w:space="0" w:color="auto"/>
                        <w:right w:val="none" w:sz="0" w:space="0" w:color="auto"/>
                      </w:divBdr>
                    </w:div>
                  </w:divsChild>
                </w:div>
                <w:div w:id="1272979234">
                  <w:marLeft w:val="0"/>
                  <w:marRight w:val="0"/>
                  <w:marTop w:val="0"/>
                  <w:marBottom w:val="0"/>
                  <w:divBdr>
                    <w:top w:val="none" w:sz="0" w:space="0" w:color="auto"/>
                    <w:left w:val="none" w:sz="0" w:space="0" w:color="auto"/>
                    <w:bottom w:val="none" w:sz="0" w:space="0" w:color="auto"/>
                    <w:right w:val="none" w:sz="0" w:space="0" w:color="auto"/>
                  </w:divBdr>
                  <w:divsChild>
                    <w:div w:id="346953254">
                      <w:marLeft w:val="0"/>
                      <w:marRight w:val="0"/>
                      <w:marTop w:val="0"/>
                      <w:marBottom w:val="0"/>
                      <w:divBdr>
                        <w:top w:val="none" w:sz="0" w:space="0" w:color="auto"/>
                        <w:left w:val="none" w:sz="0" w:space="0" w:color="auto"/>
                        <w:bottom w:val="none" w:sz="0" w:space="0" w:color="auto"/>
                        <w:right w:val="none" w:sz="0" w:space="0" w:color="auto"/>
                      </w:divBdr>
                    </w:div>
                  </w:divsChild>
                </w:div>
                <w:div w:id="1335303120">
                  <w:marLeft w:val="0"/>
                  <w:marRight w:val="0"/>
                  <w:marTop w:val="0"/>
                  <w:marBottom w:val="0"/>
                  <w:divBdr>
                    <w:top w:val="none" w:sz="0" w:space="0" w:color="auto"/>
                    <w:left w:val="none" w:sz="0" w:space="0" w:color="auto"/>
                    <w:bottom w:val="none" w:sz="0" w:space="0" w:color="auto"/>
                    <w:right w:val="none" w:sz="0" w:space="0" w:color="auto"/>
                  </w:divBdr>
                  <w:divsChild>
                    <w:div w:id="301616986">
                      <w:marLeft w:val="0"/>
                      <w:marRight w:val="0"/>
                      <w:marTop w:val="0"/>
                      <w:marBottom w:val="0"/>
                      <w:divBdr>
                        <w:top w:val="none" w:sz="0" w:space="0" w:color="auto"/>
                        <w:left w:val="none" w:sz="0" w:space="0" w:color="auto"/>
                        <w:bottom w:val="none" w:sz="0" w:space="0" w:color="auto"/>
                        <w:right w:val="none" w:sz="0" w:space="0" w:color="auto"/>
                      </w:divBdr>
                    </w:div>
                  </w:divsChild>
                </w:div>
                <w:div w:id="1375159101">
                  <w:marLeft w:val="0"/>
                  <w:marRight w:val="0"/>
                  <w:marTop w:val="0"/>
                  <w:marBottom w:val="0"/>
                  <w:divBdr>
                    <w:top w:val="none" w:sz="0" w:space="0" w:color="auto"/>
                    <w:left w:val="none" w:sz="0" w:space="0" w:color="auto"/>
                    <w:bottom w:val="none" w:sz="0" w:space="0" w:color="auto"/>
                    <w:right w:val="none" w:sz="0" w:space="0" w:color="auto"/>
                  </w:divBdr>
                  <w:divsChild>
                    <w:div w:id="748423414">
                      <w:marLeft w:val="0"/>
                      <w:marRight w:val="0"/>
                      <w:marTop w:val="0"/>
                      <w:marBottom w:val="0"/>
                      <w:divBdr>
                        <w:top w:val="none" w:sz="0" w:space="0" w:color="auto"/>
                        <w:left w:val="none" w:sz="0" w:space="0" w:color="auto"/>
                        <w:bottom w:val="none" w:sz="0" w:space="0" w:color="auto"/>
                        <w:right w:val="none" w:sz="0" w:space="0" w:color="auto"/>
                      </w:divBdr>
                    </w:div>
                  </w:divsChild>
                </w:div>
                <w:div w:id="1385446605">
                  <w:marLeft w:val="0"/>
                  <w:marRight w:val="0"/>
                  <w:marTop w:val="0"/>
                  <w:marBottom w:val="0"/>
                  <w:divBdr>
                    <w:top w:val="none" w:sz="0" w:space="0" w:color="auto"/>
                    <w:left w:val="none" w:sz="0" w:space="0" w:color="auto"/>
                    <w:bottom w:val="none" w:sz="0" w:space="0" w:color="auto"/>
                    <w:right w:val="none" w:sz="0" w:space="0" w:color="auto"/>
                  </w:divBdr>
                  <w:divsChild>
                    <w:div w:id="1274362065">
                      <w:marLeft w:val="0"/>
                      <w:marRight w:val="0"/>
                      <w:marTop w:val="0"/>
                      <w:marBottom w:val="0"/>
                      <w:divBdr>
                        <w:top w:val="none" w:sz="0" w:space="0" w:color="auto"/>
                        <w:left w:val="none" w:sz="0" w:space="0" w:color="auto"/>
                        <w:bottom w:val="none" w:sz="0" w:space="0" w:color="auto"/>
                        <w:right w:val="none" w:sz="0" w:space="0" w:color="auto"/>
                      </w:divBdr>
                    </w:div>
                  </w:divsChild>
                </w:div>
                <w:div w:id="1391998926">
                  <w:marLeft w:val="0"/>
                  <w:marRight w:val="0"/>
                  <w:marTop w:val="0"/>
                  <w:marBottom w:val="0"/>
                  <w:divBdr>
                    <w:top w:val="none" w:sz="0" w:space="0" w:color="auto"/>
                    <w:left w:val="none" w:sz="0" w:space="0" w:color="auto"/>
                    <w:bottom w:val="none" w:sz="0" w:space="0" w:color="auto"/>
                    <w:right w:val="none" w:sz="0" w:space="0" w:color="auto"/>
                  </w:divBdr>
                  <w:divsChild>
                    <w:div w:id="575553946">
                      <w:marLeft w:val="0"/>
                      <w:marRight w:val="0"/>
                      <w:marTop w:val="0"/>
                      <w:marBottom w:val="0"/>
                      <w:divBdr>
                        <w:top w:val="none" w:sz="0" w:space="0" w:color="auto"/>
                        <w:left w:val="none" w:sz="0" w:space="0" w:color="auto"/>
                        <w:bottom w:val="none" w:sz="0" w:space="0" w:color="auto"/>
                        <w:right w:val="none" w:sz="0" w:space="0" w:color="auto"/>
                      </w:divBdr>
                    </w:div>
                  </w:divsChild>
                </w:div>
                <w:div w:id="1392575223">
                  <w:marLeft w:val="0"/>
                  <w:marRight w:val="0"/>
                  <w:marTop w:val="0"/>
                  <w:marBottom w:val="0"/>
                  <w:divBdr>
                    <w:top w:val="none" w:sz="0" w:space="0" w:color="auto"/>
                    <w:left w:val="none" w:sz="0" w:space="0" w:color="auto"/>
                    <w:bottom w:val="none" w:sz="0" w:space="0" w:color="auto"/>
                    <w:right w:val="none" w:sz="0" w:space="0" w:color="auto"/>
                  </w:divBdr>
                  <w:divsChild>
                    <w:div w:id="926039393">
                      <w:marLeft w:val="0"/>
                      <w:marRight w:val="0"/>
                      <w:marTop w:val="0"/>
                      <w:marBottom w:val="0"/>
                      <w:divBdr>
                        <w:top w:val="none" w:sz="0" w:space="0" w:color="auto"/>
                        <w:left w:val="none" w:sz="0" w:space="0" w:color="auto"/>
                        <w:bottom w:val="none" w:sz="0" w:space="0" w:color="auto"/>
                        <w:right w:val="none" w:sz="0" w:space="0" w:color="auto"/>
                      </w:divBdr>
                    </w:div>
                  </w:divsChild>
                </w:div>
                <w:div w:id="1405565889">
                  <w:marLeft w:val="0"/>
                  <w:marRight w:val="0"/>
                  <w:marTop w:val="0"/>
                  <w:marBottom w:val="0"/>
                  <w:divBdr>
                    <w:top w:val="none" w:sz="0" w:space="0" w:color="auto"/>
                    <w:left w:val="none" w:sz="0" w:space="0" w:color="auto"/>
                    <w:bottom w:val="none" w:sz="0" w:space="0" w:color="auto"/>
                    <w:right w:val="none" w:sz="0" w:space="0" w:color="auto"/>
                  </w:divBdr>
                  <w:divsChild>
                    <w:div w:id="1598171371">
                      <w:marLeft w:val="0"/>
                      <w:marRight w:val="0"/>
                      <w:marTop w:val="0"/>
                      <w:marBottom w:val="0"/>
                      <w:divBdr>
                        <w:top w:val="none" w:sz="0" w:space="0" w:color="auto"/>
                        <w:left w:val="none" w:sz="0" w:space="0" w:color="auto"/>
                        <w:bottom w:val="none" w:sz="0" w:space="0" w:color="auto"/>
                        <w:right w:val="none" w:sz="0" w:space="0" w:color="auto"/>
                      </w:divBdr>
                    </w:div>
                  </w:divsChild>
                </w:div>
                <w:div w:id="1407846000">
                  <w:marLeft w:val="0"/>
                  <w:marRight w:val="0"/>
                  <w:marTop w:val="0"/>
                  <w:marBottom w:val="0"/>
                  <w:divBdr>
                    <w:top w:val="none" w:sz="0" w:space="0" w:color="auto"/>
                    <w:left w:val="none" w:sz="0" w:space="0" w:color="auto"/>
                    <w:bottom w:val="none" w:sz="0" w:space="0" w:color="auto"/>
                    <w:right w:val="none" w:sz="0" w:space="0" w:color="auto"/>
                  </w:divBdr>
                  <w:divsChild>
                    <w:div w:id="2048213312">
                      <w:marLeft w:val="0"/>
                      <w:marRight w:val="0"/>
                      <w:marTop w:val="0"/>
                      <w:marBottom w:val="0"/>
                      <w:divBdr>
                        <w:top w:val="none" w:sz="0" w:space="0" w:color="auto"/>
                        <w:left w:val="none" w:sz="0" w:space="0" w:color="auto"/>
                        <w:bottom w:val="none" w:sz="0" w:space="0" w:color="auto"/>
                        <w:right w:val="none" w:sz="0" w:space="0" w:color="auto"/>
                      </w:divBdr>
                    </w:div>
                  </w:divsChild>
                </w:div>
                <w:div w:id="1412698802">
                  <w:marLeft w:val="0"/>
                  <w:marRight w:val="0"/>
                  <w:marTop w:val="0"/>
                  <w:marBottom w:val="0"/>
                  <w:divBdr>
                    <w:top w:val="none" w:sz="0" w:space="0" w:color="auto"/>
                    <w:left w:val="none" w:sz="0" w:space="0" w:color="auto"/>
                    <w:bottom w:val="none" w:sz="0" w:space="0" w:color="auto"/>
                    <w:right w:val="none" w:sz="0" w:space="0" w:color="auto"/>
                  </w:divBdr>
                  <w:divsChild>
                    <w:div w:id="1483427644">
                      <w:marLeft w:val="0"/>
                      <w:marRight w:val="0"/>
                      <w:marTop w:val="0"/>
                      <w:marBottom w:val="0"/>
                      <w:divBdr>
                        <w:top w:val="none" w:sz="0" w:space="0" w:color="auto"/>
                        <w:left w:val="none" w:sz="0" w:space="0" w:color="auto"/>
                        <w:bottom w:val="none" w:sz="0" w:space="0" w:color="auto"/>
                        <w:right w:val="none" w:sz="0" w:space="0" w:color="auto"/>
                      </w:divBdr>
                    </w:div>
                  </w:divsChild>
                </w:div>
                <w:div w:id="1432778116">
                  <w:marLeft w:val="0"/>
                  <w:marRight w:val="0"/>
                  <w:marTop w:val="0"/>
                  <w:marBottom w:val="0"/>
                  <w:divBdr>
                    <w:top w:val="none" w:sz="0" w:space="0" w:color="auto"/>
                    <w:left w:val="none" w:sz="0" w:space="0" w:color="auto"/>
                    <w:bottom w:val="none" w:sz="0" w:space="0" w:color="auto"/>
                    <w:right w:val="none" w:sz="0" w:space="0" w:color="auto"/>
                  </w:divBdr>
                  <w:divsChild>
                    <w:div w:id="2134782251">
                      <w:marLeft w:val="0"/>
                      <w:marRight w:val="0"/>
                      <w:marTop w:val="0"/>
                      <w:marBottom w:val="0"/>
                      <w:divBdr>
                        <w:top w:val="none" w:sz="0" w:space="0" w:color="auto"/>
                        <w:left w:val="none" w:sz="0" w:space="0" w:color="auto"/>
                        <w:bottom w:val="none" w:sz="0" w:space="0" w:color="auto"/>
                        <w:right w:val="none" w:sz="0" w:space="0" w:color="auto"/>
                      </w:divBdr>
                    </w:div>
                  </w:divsChild>
                </w:div>
                <w:div w:id="1433668869">
                  <w:marLeft w:val="0"/>
                  <w:marRight w:val="0"/>
                  <w:marTop w:val="0"/>
                  <w:marBottom w:val="0"/>
                  <w:divBdr>
                    <w:top w:val="none" w:sz="0" w:space="0" w:color="auto"/>
                    <w:left w:val="none" w:sz="0" w:space="0" w:color="auto"/>
                    <w:bottom w:val="none" w:sz="0" w:space="0" w:color="auto"/>
                    <w:right w:val="none" w:sz="0" w:space="0" w:color="auto"/>
                  </w:divBdr>
                  <w:divsChild>
                    <w:div w:id="1299187114">
                      <w:marLeft w:val="0"/>
                      <w:marRight w:val="0"/>
                      <w:marTop w:val="0"/>
                      <w:marBottom w:val="0"/>
                      <w:divBdr>
                        <w:top w:val="none" w:sz="0" w:space="0" w:color="auto"/>
                        <w:left w:val="none" w:sz="0" w:space="0" w:color="auto"/>
                        <w:bottom w:val="none" w:sz="0" w:space="0" w:color="auto"/>
                        <w:right w:val="none" w:sz="0" w:space="0" w:color="auto"/>
                      </w:divBdr>
                    </w:div>
                  </w:divsChild>
                </w:div>
                <w:div w:id="1445730526">
                  <w:marLeft w:val="0"/>
                  <w:marRight w:val="0"/>
                  <w:marTop w:val="0"/>
                  <w:marBottom w:val="0"/>
                  <w:divBdr>
                    <w:top w:val="none" w:sz="0" w:space="0" w:color="auto"/>
                    <w:left w:val="none" w:sz="0" w:space="0" w:color="auto"/>
                    <w:bottom w:val="none" w:sz="0" w:space="0" w:color="auto"/>
                    <w:right w:val="none" w:sz="0" w:space="0" w:color="auto"/>
                  </w:divBdr>
                  <w:divsChild>
                    <w:div w:id="1450666304">
                      <w:marLeft w:val="0"/>
                      <w:marRight w:val="0"/>
                      <w:marTop w:val="0"/>
                      <w:marBottom w:val="0"/>
                      <w:divBdr>
                        <w:top w:val="none" w:sz="0" w:space="0" w:color="auto"/>
                        <w:left w:val="none" w:sz="0" w:space="0" w:color="auto"/>
                        <w:bottom w:val="none" w:sz="0" w:space="0" w:color="auto"/>
                        <w:right w:val="none" w:sz="0" w:space="0" w:color="auto"/>
                      </w:divBdr>
                    </w:div>
                  </w:divsChild>
                </w:div>
                <w:div w:id="1463694006">
                  <w:marLeft w:val="0"/>
                  <w:marRight w:val="0"/>
                  <w:marTop w:val="0"/>
                  <w:marBottom w:val="0"/>
                  <w:divBdr>
                    <w:top w:val="none" w:sz="0" w:space="0" w:color="auto"/>
                    <w:left w:val="none" w:sz="0" w:space="0" w:color="auto"/>
                    <w:bottom w:val="none" w:sz="0" w:space="0" w:color="auto"/>
                    <w:right w:val="none" w:sz="0" w:space="0" w:color="auto"/>
                  </w:divBdr>
                  <w:divsChild>
                    <w:div w:id="384986278">
                      <w:marLeft w:val="0"/>
                      <w:marRight w:val="0"/>
                      <w:marTop w:val="0"/>
                      <w:marBottom w:val="0"/>
                      <w:divBdr>
                        <w:top w:val="none" w:sz="0" w:space="0" w:color="auto"/>
                        <w:left w:val="none" w:sz="0" w:space="0" w:color="auto"/>
                        <w:bottom w:val="none" w:sz="0" w:space="0" w:color="auto"/>
                        <w:right w:val="none" w:sz="0" w:space="0" w:color="auto"/>
                      </w:divBdr>
                    </w:div>
                  </w:divsChild>
                </w:div>
                <w:div w:id="1468746407">
                  <w:marLeft w:val="0"/>
                  <w:marRight w:val="0"/>
                  <w:marTop w:val="0"/>
                  <w:marBottom w:val="0"/>
                  <w:divBdr>
                    <w:top w:val="none" w:sz="0" w:space="0" w:color="auto"/>
                    <w:left w:val="none" w:sz="0" w:space="0" w:color="auto"/>
                    <w:bottom w:val="none" w:sz="0" w:space="0" w:color="auto"/>
                    <w:right w:val="none" w:sz="0" w:space="0" w:color="auto"/>
                  </w:divBdr>
                  <w:divsChild>
                    <w:div w:id="1331252011">
                      <w:marLeft w:val="0"/>
                      <w:marRight w:val="0"/>
                      <w:marTop w:val="0"/>
                      <w:marBottom w:val="0"/>
                      <w:divBdr>
                        <w:top w:val="none" w:sz="0" w:space="0" w:color="auto"/>
                        <w:left w:val="none" w:sz="0" w:space="0" w:color="auto"/>
                        <w:bottom w:val="none" w:sz="0" w:space="0" w:color="auto"/>
                        <w:right w:val="none" w:sz="0" w:space="0" w:color="auto"/>
                      </w:divBdr>
                    </w:div>
                  </w:divsChild>
                </w:div>
                <w:div w:id="1510756815">
                  <w:marLeft w:val="0"/>
                  <w:marRight w:val="0"/>
                  <w:marTop w:val="0"/>
                  <w:marBottom w:val="0"/>
                  <w:divBdr>
                    <w:top w:val="none" w:sz="0" w:space="0" w:color="auto"/>
                    <w:left w:val="none" w:sz="0" w:space="0" w:color="auto"/>
                    <w:bottom w:val="none" w:sz="0" w:space="0" w:color="auto"/>
                    <w:right w:val="none" w:sz="0" w:space="0" w:color="auto"/>
                  </w:divBdr>
                  <w:divsChild>
                    <w:div w:id="1036780863">
                      <w:marLeft w:val="0"/>
                      <w:marRight w:val="0"/>
                      <w:marTop w:val="0"/>
                      <w:marBottom w:val="0"/>
                      <w:divBdr>
                        <w:top w:val="none" w:sz="0" w:space="0" w:color="auto"/>
                        <w:left w:val="none" w:sz="0" w:space="0" w:color="auto"/>
                        <w:bottom w:val="none" w:sz="0" w:space="0" w:color="auto"/>
                        <w:right w:val="none" w:sz="0" w:space="0" w:color="auto"/>
                      </w:divBdr>
                    </w:div>
                  </w:divsChild>
                </w:div>
                <w:div w:id="1535575462">
                  <w:marLeft w:val="0"/>
                  <w:marRight w:val="0"/>
                  <w:marTop w:val="0"/>
                  <w:marBottom w:val="0"/>
                  <w:divBdr>
                    <w:top w:val="none" w:sz="0" w:space="0" w:color="auto"/>
                    <w:left w:val="none" w:sz="0" w:space="0" w:color="auto"/>
                    <w:bottom w:val="none" w:sz="0" w:space="0" w:color="auto"/>
                    <w:right w:val="none" w:sz="0" w:space="0" w:color="auto"/>
                  </w:divBdr>
                  <w:divsChild>
                    <w:div w:id="1672486036">
                      <w:marLeft w:val="0"/>
                      <w:marRight w:val="0"/>
                      <w:marTop w:val="0"/>
                      <w:marBottom w:val="0"/>
                      <w:divBdr>
                        <w:top w:val="none" w:sz="0" w:space="0" w:color="auto"/>
                        <w:left w:val="none" w:sz="0" w:space="0" w:color="auto"/>
                        <w:bottom w:val="none" w:sz="0" w:space="0" w:color="auto"/>
                        <w:right w:val="none" w:sz="0" w:space="0" w:color="auto"/>
                      </w:divBdr>
                    </w:div>
                  </w:divsChild>
                </w:div>
                <w:div w:id="1549414479">
                  <w:marLeft w:val="0"/>
                  <w:marRight w:val="0"/>
                  <w:marTop w:val="0"/>
                  <w:marBottom w:val="0"/>
                  <w:divBdr>
                    <w:top w:val="none" w:sz="0" w:space="0" w:color="auto"/>
                    <w:left w:val="none" w:sz="0" w:space="0" w:color="auto"/>
                    <w:bottom w:val="none" w:sz="0" w:space="0" w:color="auto"/>
                    <w:right w:val="none" w:sz="0" w:space="0" w:color="auto"/>
                  </w:divBdr>
                  <w:divsChild>
                    <w:div w:id="412431613">
                      <w:marLeft w:val="0"/>
                      <w:marRight w:val="0"/>
                      <w:marTop w:val="0"/>
                      <w:marBottom w:val="0"/>
                      <w:divBdr>
                        <w:top w:val="none" w:sz="0" w:space="0" w:color="auto"/>
                        <w:left w:val="none" w:sz="0" w:space="0" w:color="auto"/>
                        <w:bottom w:val="none" w:sz="0" w:space="0" w:color="auto"/>
                        <w:right w:val="none" w:sz="0" w:space="0" w:color="auto"/>
                      </w:divBdr>
                    </w:div>
                  </w:divsChild>
                </w:div>
                <w:div w:id="1549993237">
                  <w:marLeft w:val="0"/>
                  <w:marRight w:val="0"/>
                  <w:marTop w:val="0"/>
                  <w:marBottom w:val="0"/>
                  <w:divBdr>
                    <w:top w:val="none" w:sz="0" w:space="0" w:color="auto"/>
                    <w:left w:val="none" w:sz="0" w:space="0" w:color="auto"/>
                    <w:bottom w:val="none" w:sz="0" w:space="0" w:color="auto"/>
                    <w:right w:val="none" w:sz="0" w:space="0" w:color="auto"/>
                  </w:divBdr>
                  <w:divsChild>
                    <w:div w:id="324941497">
                      <w:marLeft w:val="0"/>
                      <w:marRight w:val="0"/>
                      <w:marTop w:val="0"/>
                      <w:marBottom w:val="0"/>
                      <w:divBdr>
                        <w:top w:val="none" w:sz="0" w:space="0" w:color="auto"/>
                        <w:left w:val="none" w:sz="0" w:space="0" w:color="auto"/>
                        <w:bottom w:val="none" w:sz="0" w:space="0" w:color="auto"/>
                        <w:right w:val="none" w:sz="0" w:space="0" w:color="auto"/>
                      </w:divBdr>
                    </w:div>
                  </w:divsChild>
                </w:div>
                <w:div w:id="1555577859">
                  <w:marLeft w:val="0"/>
                  <w:marRight w:val="0"/>
                  <w:marTop w:val="0"/>
                  <w:marBottom w:val="0"/>
                  <w:divBdr>
                    <w:top w:val="none" w:sz="0" w:space="0" w:color="auto"/>
                    <w:left w:val="none" w:sz="0" w:space="0" w:color="auto"/>
                    <w:bottom w:val="none" w:sz="0" w:space="0" w:color="auto"/>
                    <w:right w:val="none" w:sz="0" w:space="0" w:color="auto"/>
                  </w:divBdr>
                  <w:divsChild>
                    <w:div w:id="423037932">
                      <w:marLeft w:val="0"/>
                      <w:marRight w:val="0"/>
                      <w:marTop w:val="0"/>
                      <w:marBottom w:val="0"/>
                      <w:divBdr>
                        <w:top w:val="none" w:sz="0" w:space="0" w:color="auto"/>
                        <w:left w:val="none" w:sz="0" w:space="0" w:color="auto"/>
                        <w:bottom w:val="none" w:sz="0" w:space="0" w:color="auto"/>
                        <w:right w:val="none" w:sz="0" w:space="0" w:color="auto"/>
                      </w:divBdr>
                    </w:div>
                  </w:divsChild>
                </w:div>
                <w:div w:id="1568149687">
                  <w:marLeft w:val="0"/>
                  <w:marRight w:val="0"/>
                  <w:marTop w:val="0"/>
                  <w:marBottom w:val="0"/>
                  <w:divBdr>
                    <w:top w:val="none" w:sz="0" w:space="0" w:color="auto"/>
                    <w:left w:val="none" w:sz="0" w:space="0" w:color="auto"/>
                    <w:bottom w:val="none" w:sz="0" w:space="0" w:color="auto"/>
                    <w:right w:val="none" w:sz="0" w:space="0" w:color="auto"/>
                  </w:divBdr>
                  <w:divsChild>
                    <w:div w:id="337779373">
                      <w:marLeft w:val="0"/>
                      <w:marRight w:val="0"/>
                      <w:marTop w:val="0"/>
                      <w:marBottom w:val="0"/>
                      <w:divBdr>
                        <w:top w:val="none" w:sz="0" w:space="0" w:color="auto"/>
                        <w:left w:val="none" w:sz="0" w:space="0" w:color="auto"/>
                        <w:bottom w:val="none" w:sz="0" w:space="0" w:color="auto"/>
                        <w:right w:val="none" w:sz="0" w:space="0" w:color="auto"/>
                      </w:divBdr>
                    </w:div>
                  </w:divsChild>
                </w:div>
                <w:div w:id="1599100625">
                  <w:marLeft w:val="0"/>
                  <w:marRight w:val="0"/>
                  <w:marTop w:val="0"/>
                  <w:marBottom w:val="0"/>
                  <w:divBdr>
                    <w:top w:val="none" w:sz="0" w:space="0" w:color="auto"/>
                    <w:left w:val="none" w:sz="0" w:space="0" w:color="auto"/>
                    <w:bottom w:val="none" w:sz="0" w:space="0" w:color="auto"/>
                    <w:right w:val="none" w:sz="0" w:space="0" w:color="auto"/>
                  </w:divBdr>
                  <w:divsChild>
                    <w:div w:id="1916746261">
                      <w:marLeft w:val="0"/>
                      <w:marRight w:val="0"/>
                      <w:marTop w:val="0"/>
                      <w:marBottom w:val="0"/>
                      <w:divBdr>
                        <w:top w:val="none" w:sz="0" w:space="0" w:color="auto"/>
                        <w:left w:val="none" w:sz="0" w:space="0" w:color="auto"/>
                        <w:bottom w:val="none" w:sz="0" w:space="0" w:color="auto"/>
                        <w:right w:val="none" w:sz="0" w:space="0" w:color="auto"/>
                      </w:divBdr>
                    </w:div>
                  </w:divsChild>
                </w:div>
                <w:div w:id="1622034512">
                  <w:marLeft w:val="0"/>
                  <w:marRight w:val="0"/>
                  <w:marTop w:val="0"/>
                  <w:marBottom w:val="0"/>
                  <w:divBdr>
                    <w:top w:val="none" w:sz="0" w:space="0" w:color="auto"/>
                    <w:left w:val="none" w:sz="0" w:space="0" w:color="auto"/>
                    <w:bottom w:val="none" w:sz="0" w:space="0" w:color="auto"/>
                    <w:right w:val="none" w:sz="0" w:space="0" w:color="auto"/>
                  </w:divBdr>
                  <w:divsChild>
                    <w:div w:id="871576909">
                      <w:marLeft w:val="0"/>
                      <w:marRight w:val="0"/>
                      <w:marTop w:val="0"/>
                      <w:marBottom w:val="0"/>
                      <w:divBdr>
                        <w:top w:val="none" w:sz="0" w:space="0" w:color="auto"/>
                        <w:left w:val="none" w:sz="0" w:space="0" w:color="auto"/>
                        <w:bottom w:val="none" w:sz="0" w:space="0" w:color="auto"/>
                        <w:right w:val="none" w:sz="0" w:space="0" w:color="auto"/>
                      </w:divBdr>
                    </w:div>
                  </w:divsChild>
                </w:div>
                <w:div w:id="1632057683">
                  <w:marLeft w:val="0"/>
                  <w:marRight w:val="0"/>
                  <w:marTop w:val="0"/>
                  <w:marBottom w:val="0"/>
                  <w:divBdr>
                    <w:top w:val="none" w:sz="0" w:space="0" w:color="auto"/>
                    <w:left w:val="none" w:sz="0" w:space="0" w:color="auto"/>
                    <w:bottom w:val="none" w:sz="0" w:space="0" w:color="auto"/>
                    <w:right w:val="none" w:sz="0" w:space="0" w:color="auto"/>
                  </w:divBdr>
                  <w:divsChild>
                    <w:div w:id="1677730537">
                      <w:marLeft w:val="0"/>
                      <w:marRight w:val="0"/>
                      <w:marTop w:val="0"/>
                      <w:marBottom w:val="0"/>
                      <w:divBdr>
                        <w:top w:val="none" w:sz="0" w:space="0" w:color="auto"/>
                        <w:left w:val="none" w:sz="0" w:space="0" w:color="auto"/>
                        <w:bottom w:val="none" w:sz="0" w:space="0" w:color="auto"/>
                        <w:right w:val="none" w:sz="0" w:space="0" w:color="auto"/>
                      </w:divBdr>
                    </w:div>
                  </w:divsChild>
                </w:div>
                <w:div w:id="1635865974">
                  <w:marLeft w:val="0"/>
                  <w:marRight w:val="0"/>
                  <w:marTop w:val="0"/>
                  <w:marBottom w:val="0"/>
                  <w:divBdr>
                    <w:top w:val="none" w:sz="0" w:space="0" w:color="auto"/>
                    <w:left w:val="none" w:sz="0" w:space="0" w:color="auto"/>
                    <w:bottom w:val="none" w:sz="0" w:space="0" w:color="auto"/>
                    <w:right w:val="none" w:sz="0" w:space="0" w:color="auto"/>
                  </w:divBdr>
                  <w:divsChild>
                    <w:div w:id="1954168458">
                      <w:marLeft w:val="0"/>
                      <w:marRight w:val="0"/>
                      <w:marTop w:val="0"/>
                      <w:marBottom w:val="0"/>
                      <w:divBdr>
                        <w:top w:val="none" w:sz="0" w:space="0" w:color="auto"/>
                        <w:left w:val="none" w:sz="0" w:space="0" w:color="auto"/>
                        <w:bottom w:val="none" w:sz="0" w:space="0" w:color="auto"/>
                        <w:right w:val="none" w:sz="0" w:space="0" w:color="auto"/>
                      </w:divBdr>
                    </w:div>
                  </w:divsChild>
                </w:div>
                <w:div w:id="1646466768">
                  <w:marLeft w:val="0"/>
                  <w:marRight w:val="0"/>
                  <w:marTop w:val="0"/>
                  <w:marBottom w:val="0"/>
                  <w:divBdr>
                    <w:top w:val="none" w:sz="0" w:space="0" w:color="auto"/>
                    <w:left w:val="none" w:sz="0" w:space="0" w:color="auto"/>
                    <w:bottom w:val="none" w:sz="0" w:space="0" w:color="auto"/>
                    <w:right w:val="none" w:sz="0" w:space="0" w:color="auto"/>
                  </w:divBdr>
                  <w:divsChild>
                    <w:div w:id="99490186">
                      <w:marLeft w:val="0"/>
                      <w:marRight w:val="0"/>
                      <w:marTop w:val="0"/>
                      <w:marBottom w:val="0"/>
                      <w:divBdr>
                        <w:top w:val="none" w:sz="0" w:space="0" w:color="auto"/>
                        <w:left w:val="none" w:sz="0" w:space="0" w:color="auto"/>
                        <w:bottom w:val="none" w:sz="0" w:space="0" w:color="auto"/>
                        <w:right w:val="none" w:sz="0" w:space="0" w:color="auto"/>
                      </w:divBdr>
                    </w:div>
                  </w:divsChild>
                </w:div>
                <w:div w:id="1695375284">
                  <w:marLeft w:val="0"/>
                  <w:marRight w:val="0"/>
                  <w:marTop w:val="0"/>
                  <w:marBottom w:val="0"/>
                  <w:divBdr>
                    <w:top w:val="none" w:sz="0" w:space="0" w:color="auto"/>
                    <w:left w:val="none" w:sz="0" w:space="0" w:color="auto"/>
                    <w:bottom w:val="none" w:sz="0" w:space="0" w:color="auto"/>
                    <w:right w:val="none" w:sz="0" w:space="0" w:color="auto"/>
                  </w:divBdr>
                  <w:divsChild>
                    <w:div w:id="240018862">
                      <w:marLeft w:val="0"/>
                      <w:marRight w:val="0"/>
                      <w:marTop w:val="0"/>
                      <w:marBottom w:val="0"/>
                      <w:divBdr>
                        <w:top w:val="none" w:sz="0" w:space="0" w:color="auto"/>
                        <w:left w:val="none" w:sz="0" w:space="0" w:color="auto"/>
                        <w:bottom w:val="none" w:sz="0" w:space="0" w:color="auto"/>
                        <w:right w:val="none" w:sz="0" w:space="0" w:color="auto"/>
                      </w:divBdr>
                    </w:div>
                  </w:divsChild>
                </w:div>
                <w:div w:id="1698459607">
                  <w:marLeft w:val="0"/>
                  <w:marRight w:val="0"/>
                  <w:marTop w:val="0"/>
                  <w:marBottom w:val="0"/>
                  <w:divBdr>
                    <w:top w:val="none" w:sz="0" w:space="0" w:color="auto"/>
                    <w:left w:val="none" w:sz="0" w:space="0" w:color="auto"/>
                    <w:bottom w:val="none" w:sz="0" w:space="0" w:color="auto"/>
                    <w:right w:val="none" w:sz="0" w:space="0" w:color="auto"/>
                  </w:divBdr>
                  <w:divsChild>
                    <w:div w:id="966205158">
                      <w:marLeft w:val="0"/>
                      <w:marRight w:val="0"/>
                      <w:marTop w:val="0"/>
                      <w:marBottom w:val="0"/>
                      <w:divBdr>
                        <w:top w:val="none" w:sz="0" w:space="0" w:color="auto"/>
                        <w:left w:val="none" w:sz="0" w:space="0" w:color="auto"/>
                        <w:bottom w:val="none" w:sz="0" w:space="0" w:color="auto"/>
                        <w:right w:val="none" w:sz="0" w:space="0" w:color="auto"/>
                      </w:divBdr>
                    </w:div>
                  </w:divsChild>
                </w:div>
                <w:div w:id="1705322794">
                  <w:marLeft w:val="0"/>
                  <w:marRight w:val="0"/>
                  <w:marTop w:val="0"/>
                  <w:marBottom w:val="0"/>
                  <w:divBdr>
                    <w:top w:val="none" w:sz="0" w:space="0" w:color="auto"/>
                    <w:left w:val="none" w:sz="0" w:space="0" w:color="auto"/>
                    <w:bottom w:val="none" w:sz="0" w:space="0" w:color="auto"/>
                    <w:right w:val="none" w:sz="0" w:space="0" w:color="auto"/>
                  </w:divBdr>
                  <w:divsChild>
                    <w:div w:id="1973822556">
                      <w:marLeft w:val="0"/>
                      <w:marRight w:val="0"/>
                      <w:marTop w:val="0"/>
                      <w:marBottom w:val="0"/>
                      <w:divBdr>
                        <w:top w:val="none" w:sz="0" w:space="0" w:color="auto"/>
                        <w:left w:val="none" w:sz="0" w:space="0" w:color="auto"/>
                        <w:bottom w:val="none" w:sz="0" w:space="0" w:color="auto"/>
                        <w:right w:val="none" w:sz="0" w:space="0" w:color="auto"/>
                      </w:divBdr>
                    </w:div>
                  </w:divsChild>
                </w:div>
                <w:div w:id="1714496193">
                  <w:marLeft w:val="0"/>
                  <w:marRight w:val="0"/>
                  <w:marTop w:val="0"/>
                  <w:marBottom w:val="0"/>
                  <w:divBdr>
                    <w:top w:val="none" w:sz="0" w:space="0" w:color="auto"/>
                    <w:left w:val="none" w:sz="0" w:space="0" w:color="auto"/>
                    <w:bottom w:val="none" w:sz="0" w:space="0" w:color="auto"/>
                    <w:right w:val="none" w:sz="0" w:space="0" w:color="auto"/>
                  </w:divBdr>
                  <w:divsChild>
                    <w:div w:id="1146432040">
                      <w:marLeft w:val="0"/>
                      <w:marRight w:val="0"/>
                      <w:marTop w:val="0"/>
                      <w:marBottom w:val="0"/>
                      <w:divBdr>
                        <w:top w:val="none" w:sz="0" w:space="0" w:color="auto"/>
                        <w:left w:val="none" w:sz="0" w:space="0" w:color="auto"/>
                        <w:bottom w:val="none" w:sz="0" w:space="0" w:color="auto"/>
                        <w:right w:val="none" w:sz="0" w:space="0" w:color="auto"/>
                      </w:divBdr>
                    </w:div>
                  </w:divsChild>
                </w:div>
                <w:div w:id="1723597013">
                  <w:marLeft w:val="0"/>
                  <w:marRight w:val="0"/>
                  <w:marTop w:val="0"/>
                  <w:marBottom w:val="0"/>
                  <w:divBdr>
                    <w:top w:val="none" w:sz="0" w:space="0" w:color="auto"/>
                    <w:left w:val="none" w:sz="0" w:space="0" w:color="auto"/>
                    <w:bottom w:val="none" w:sz="0" w:space="0" w:color="auto"/>
                    <w:right w:val="none" w:sz="0" w:space="0" w:color="auto"/>
                  </w:divBdr>
                  <w:divsChild>
                    <w:div w:id="1983080174">
                      <w:marLeft w:val="0"/>
                      <w:marRight w:val="0"/>
                      <w:marTop w:val="0"/>
                      <w:marBottom w:val="0"/>
                      <w:divBdr>
                        <w:top w:val="none" w:sz="0" w:space="0" w:color="auto"/>
                        <w:left w:val="none" w:sz="0" w:space="0" w:color="auto"/>
                        <w:bottom w:val="none" w:sz="0" w:space="0" w:color="auto"/>
                        <w:right w:val="none" w:sz="0" w:space="0" w:color="auto"/>
                      </w:divBdr>
                    </w:div>
                  </w:divsChild>
                </w:div>
                <w:div w:id="1734353553">
                  <w:marLeft w:val="0"/>
                  <w:marRight w:val="0"/>
                  <w:marTop w:val="0"/>
                  <w:marBottom w:val="0"/>
                  <w:divBdr>
                    <w:top w:val="none" w:sz="0" w:space="0" w:color="auto"/>
                    <w:left w:val="none" w:sz="0" w:space="0" w:color="auto"/>
                    <w:bottom w:val="none" w:sz="0" w:space="0" w:color="auto"/>
                    <w:right w:val="none" w:sz="0" w:space="0" w:color="auto"/>
                  </w:divBdr>
                  <w:divsChild>
                    <w:div w:id="1125541604">
                      <w:marLeft w:val="0"/>
                      <w:marRight w:val="0"/>
                      <w:marTop w:val="0"/>
                      <w:marBottom w:val="0"/>
                      <w:divBdr>
                        <w:top w:val="none" w:sz="0" w:space="0" w:color="auto"/>
                        <w:left w:val="none" w:sz="0" w:space="0" w:color="auto"/>
                        <w:bottom w:val="none" w:sz="0" w:space="0" w:color="auto"/>
                        <w:right w:val="none" w:sz="0" w:space="0" w:color="auto"/>
                      </w:divBdr>
                    </w:div>
                  </w:divsChild>
                </w:div>
                <w:div w:id="1736465939">
                  <w:marLeft w:val="0"/>
                  <w:marRight w:val="0"/>
                  <w:marTop w:val="0"/>
                  <w:marBottom w:val="0"/>
                  <w:divBdr>
                    <w:top w:val="none" w:sz="0" w:space="0" w:color="auto"/>
                    <w:left w:val="none" w:sz="0" w:space="0" w:color="auto"/>
                    <w:bottom w:val="none" w:sz="0" w:space="0" w:color="auto"/>
                    <w:right w:val="none" w:sz="0" w:space="0" w:color="auto"/>
                  </w:divBdr>
                  <w:divsChild>
                    <w:div w:id="570770301">
                      <w:marLeft w:val="0"/>
                      <w:marRight w:val="0"/>
                      <w:marTop w:val="0"/>
                      <w:marBottom w:val="0"/>
                      <w:divBdr>
                        <w:top w:val="none" w:sz="0" w:space="0" w:color="auto"/>
                        <w:left w:val="none" w:sz="0" w:space="0" w:color="auto"/>
                        <w:bottom w:val="none" w:sz="0" w:space="0" w:color="auto"/>
                        <w:right w:val="none" w:sz="0" w:space="0" w:color="auto"/>
                      </w:divBdr>
                    </w:div>
                    <w:div w:id="773675970">
                      <w:marLeft w:val="0"/>
                      <w:marRight w:val="0"/>
                      <w:marTop w:val="0"/>
                      <w:marBottom w:val="0"/>
                      <w:divBdr>
                        <w:top w:val="none" w:sz="0" w:space="0" w:color="auto"/>
                        <w:left w:val="none" w:sz="0" w:space="0" w:color="auto"/>
                        <w:bottom w:val="none" w:sz="0" w:space="0" w:color="auto"/>
                        <w:right w:val="none" w:sz="0" w:space="0" w:color="auto"/>
                      </w:divBdr>
                    </w:div>
                    <w:div w:id="853878503">
                      <w:marLeft w:val="0"/>
                      <w:marRight w:val="0"/>
                      <w:marTop w:val="0"/>
                      <w:marBottom w:val="0"/>
                      <w:divBdr>
                        <w:top w:val="none" w:sz="0" w:space="0" w:color="auto"/>
                        <w:left w:val="none" w:sz="0" w:space="0" w:color="auto"/>
                        <w:bottom w:val="none" w:sz="0" w:space="0" w:color="auto"/>
                        <w:right w:val="none" w:sz="0" w:space="0" w:color="auto"/>
                      </w:divBdr>
                    </w:div>
                    <w:div w:id="1249925283">
                      <w:marLeft w:val="0"/>
                      <w:marRight w:val="0"/>
                      <w:marTop w:val="0"/>
                      <w:marBottom w:val="0"/>
                      <w:divBdr>
                        <w:top w:val="none" w:sz="0" w:space="0" w:color="auto"/>
                        <w:left w:val="none" w:sz="0" w:space="0" w:color="auto"/>
                        <w:bottom w:val="none" w:sz="0" w:space="0" w:color="auto"/>
                        <w:right w:val="none" w:sz="0" w:space="0" w:color="auto"/>
                      </w:divBdr>
                    </w:div>
                    <w:div w:id="1282225737">
                      <w:marLeft w:val="0"/>
                      <w:marRight w:val="0"/>
                      <w:marTop w:val="0"/>
                      <w:marBottom w:val="0"/>
                      <w:divBdr>
                        <w:top w:val="none" w:sz="0" w:space="0" w:color="auto"/>
                        <w:left w:val="none" w:sz="0" w:space="0" w:color="auto"/>
                        <w:bottom w:val="none" w:sz="0" w:space="0" w:color="auto"/>
                        <w:right w:val="none" w:sz="0" w:space="0" w:color="auto"/>
                      </w:divBdr>
                    </w:div>
                    <w:div w:id="1395007936">
                      <w:marLeft w:val="0"/>
                      <w:marRight w:val="0"/>
                      <w:marTop w:val="0"/>
                      <w:marBottom w:val="0"/>
                      <w:divBdr>
                        <w:top w:val="none" w:sz="0" w:space="0" w:color="auto"/>
                        <w:left w:val="none" w:sz="0" w:space="0" w:color="auto"/>
                        <w:bottom w:val="none" w:sz="0" w:space="0" w:color="auto"/>
                        <w:right w:val="none" w:sz="0" w:space="0" w:color="auto"/>
                      </w:divBdr>
                    </w:div>
                    <w:div w:id="1646084423">
                      <w:marLeft w:val="0"/>
                      <w:marRight w:val="0"/>
                      <w:marTop w:val="0"/>
                      <w:marBottom w:val="0"/>
                      <w:divBdr>
                        <w:top w:val="none" w:sz="0" w:space="0" w:color="auto"/>
                        <w:left w:val="none" w:sz="0" w:space="0" w:color="auto"/>
                        <w:bottom w:val="none" w:sz="0" w:space="0" w:color="auto"/>
                        <w:right w:val="none" w:sz="0" w:space="0" w:color="auto"/>
                      </w:divBdr>
                    </w:div>
                    <w:div w:id="1684480412">
                      <w:marLeft w:val="0"/>
                      <w:marRight w:val="0"/>
                      <w:marTop w:val="0"/>
                      <w:marBottom w:val="0"/>
                      <w:divBdr>
                        <w:top w:val="none" w:sz="0" w:space="0" w:color="auto"/>
                        <w:left w:val="none" w:sz="0" w:space="0" w:color="auto"/>
                        <w:bottom w:val="none" w:sz="0" w:space="0" w:color="auto"/>
                        <w:right w:val="none" w:sz="0" w:space="0" w:color="auto"/>
                      </w:divBdr>
                    </w:div>
                    <w:div w:id="1958292189">
                      <w:marLeft w:val="0"/>
                      <w:marRight w:val="0"/>
                      <w:marTop w:val="0"/>
                      <w:marBottom w:val="0"/>
                      <w:divBdr>
                        <w:top w:val="none" w:sz="0" w:space="0" w:color="auto"/>
                        <w:left w:val="none" w:sz="0" w:space="0" w:color="auto"/>
                        <w:bottom w:val="none" w:sz="0" w:space="0" w:color="auto"/>
                        <w:right w:val="none" w:sz="0" w:space="0" w:color="auto"/>
                      </w:divBdr>
                    </w:div>
                    <w:div w:id="2047171306">
                      <w:marLeft w:val="0"/>
                      <w:marRight w:val="0"/>
                      <w:marTop w:val="0"/>
                      <w:marBottom w:val="0"/>
                      <w:divBdr>
                        <w:top w:val="none" w:sz="0" w:space="0" w:color="auto"/>
                        <w:left w:val="none" w:sz="0" w:space="0" w:color="auto"/>
                        <w:bottom w:val="none" w:sz="0" w:space="0" w:color="auto"/>
                        <w:right w:val="none" w:sz="0" w:space="0" w:color="auto"/>
                      </w:divBdr>
                    </w:div>
                  </w:divsChild>
                </w:div>
                <w:div w:id="1756785864">
                  <w:marLeft w:val="0"/>
                  <w:marRight w:val="0"/>
                  <w:marTop w:val="0"/>
                  <w:marBottom w:val="0"/>
                  <w:divBdr>
                    <w:top w:val="none" w:sz="0" w:space="0" w:color="auto"/>
                    <w:left w:val="none" w:sz="0" w:space="0" w:color="auto"/>
                    <w:bottom w:val="none" w:sz="0" w:space="0" w:color="auto"/>
                    <w:right w:val="none" w:sz="0" w:space="0" w:color="auto"/>
                  </w:divBdr>
                  <w:divsChild>
                    <w:div w:id="1330865919">
                      <w:marLeft w:val="0"/>
                      <w:marRight w:val="0"/>
                      <w:marTop w:val="0"/>
                      <w:marBottom w:val="0"/>
                      <w:divBdr>
                        <w:top w:val="none" w:sz="0" w:space="0" w:color="auto"/>
                        <w:left w:val="none" w:sz="0" w:space="0" w:color="auto"/>
                        <w:bottom w:val="none" w:sz="0" w:space="0" w:color="auto"/>
                        <w:right w:val="none" w:sz="0" w:space="0" w:color="auto"/>
                      </w:divBdr>
                    </w:div>
                  </w:divsChild>
                </w:div>
                <w:div w:id="1768649323">
                  <w:marLeft w:val="0"/>
                  <w:marRight w:val="0"/>
                  <w:marTop w:val="0"/>
                  <w:marBottom w:val="0"/>
                  <w:divBdr>
                    <w:top w:val="none" w:sz="0" w:space="0" w:color="auto"/>
                    <w:left w:val="none" w:sz="0" w:space="0" w:color="auto"/>
                    <w:bottom w:val="none" w:sz="0" w:space="0" w:color="auto"/>
                    <w:right w:val="none" w:sz="0" w:space="0" w:color="auto"/>
                  </w:divBdr>
                  <w:divsChild>
                    <w:div w:id="2067143661">
                      <w:marLeft w:val="0"/>
                      <w:marRight w:val="0"/>
                      <w:marTop w:val="0"/>
                      <w:marBottom w:val="0"/>
                      <w:divBdr>
                        <w:top w:val="none" w:sz="0" w:space="0" w:color="auto"/>
                        <w:left w:val="none" w:sz="0" w:space="0" w:color="auto"/>
                        <w:bottom w:val="none" w:sz="0" w:space="0" w:color="auto"/>
                        <w:right w:val="none" w:sz="0" w:space="0" w:color="auto"/>
                      </w:divBdr>
                    </w:div>
                  </w:divsChild>
                </w:div>
                <w:div w:id="1774980127">
                  <w:marLeft w:val="0"/>
                  <w:marRight w:val="0"/>
                  <w:marTop w:val="0"/>
                  <w:marBottom w:val="0"/>
                  <w:divBdr>
                    <w:top w:val="none" w:sz="0" w:space="0" w:color="auto"/>
                    <w:left w:val="none" w:sz="0" w:space="0" w:color="auto"/>
                    <w:bottom w:val="none" w:sz="0" w:space="0" w:color="auto"/>
                    <w:right w:val="none" w:sz="0" w:space="0" w:color="auto"/>
                  </w:divBdr>
                  <w:divsChild>
                    <w:div w:id="1569849847">
                      <w:marLeft w:val="0"/>
                      <w:marRight w:val="0"/>
                      <w:marTop w:val="0"/>
                      <w:marBottom w:val="0"/>
                      <w:divBdr>
                        <w:top w:val="none" w:sz="0" w:space="0" w:color="auto"/>
                        <w:left w:val="none" w:sz="0" w:space="0" w:color="auto"/>
                        <w:bottom w:val="none" w:sz="0" w:space="0" w:color="auto"/>
                        <w:right w:val="none" w:sz="0" w:space="0" w:color="auto"/>
                      </w:divBdr>
                    </w:div>
                  </w:divsChild>
                </w:div>
                <w:div w:id="1779370623">
                  <w:marLeft w:val="0"/>
                  <w:marRight w:val="0"/>
                  <w:marTop w:val="0"/>
                  <w:marBottom w:val="0"/>
                  <w:divBdr>
                    <w:top w:val="none" w:sz="0" w:space="0" w:color="auto"/>
                    <w:left w:val="none" w:sz="0" w:space="0" w:color="auto"/>
                    <w:bottom w:val="none" w:sz="0" w:space="0" w:color="auto"/>
                    <w:right w:val="none" w:sz="0" w:space="0" w:color="auto"/>
                  </w:divBdr>
                  <w:divsChild>
                    <w:div w:id="1201893697">
                      <w:marLeft w:val="0"/>
                      <w:marRight w:val="0"/>
                      <w:marTop w:val="0"/>
                      <w:marBottom w:val="0"/>
                      <w:divBdr>
                        <w:top w:val="none" w:sz="0" w:space="0" w:color="auto"/>
                        <w:left w:val="none" w:sz="0" w:space="0" w:color="auto"/>
                        <w:bottom w:val="none" w:sz="0" w:space="0" w:color="auto"/>
                        <w:right w:val="none" w:sz="0" w:space="0" w:color="auto"/>
                      </w:divBdr>
                    </w:div>
                  </w:divsChild>
                </w:div>
                <w:div w:id="1799492375">
                  <w:marLeft w:val="0"/>
                  <w:marRight w:val="0"/>
                  <w:marTop w:val="0"/>
                  <w:marBottom w:val="0"/>
                  <w:divBdr>
                    <w:top w:val="none" w:sz="0" w:space="0" w:color="auto"/>
                    <w:left w:val="none" w:sz="0" w:space="0" w:color="auto"/>
                    <w:bottom w:val="none" w:sz="0" w:space="0" w:color="auto"/>
                    <w:right w:val="none" w:sz="0" w:space="0" w:color="auto"/>
                  </w:divBdr>
                  <w:divsChild>
                    <w:div w:id="1316030694">
                      <w:marLeft w:val="0"/>
                      <w:marRight w:val="0"/>
                      <w:marTop w:val="0"/>
                      <w:marBottom w:val="0"/>
                      <w:divBdr>
                        <w:top w:val="none" w:sz="0" w:space="0" w:color="auto"/>
                        <w:left w:val="none" w:sz="0" w:space="0" w:color="auto"/>
                        <w:bottom w:val="none" w:sz="0" w:space="0" w:color="auto"/>
                        <w:right w:val="none" w:sz="0" w:space="0" w:color="auto"/>
                      </w:divBdr>
                    </w:div>
                  </w:divsChild>
                </w:div>
                <w:div w:id="1801221964">
                  <w:marLeft w:val="0"/>
                  <w:marRight w:val="0"/>
                  <w:marTop w:val="0"/>
                  <w:marBottom w:val="0"/>
                  <w:divBdr>
                    <w:top w:val="none" w:sz="0" w:space="0" w:color="auto"/>
                    <w:left w:val="none" w:sz="0" w:space="0" w:color="auto"/>
                    <w:bottom w:val="none" w:sz="0" w:space="0" w:color="auto"/>
                    <w:right w:val="none" w:sz="0" w:space="0" w:color="auto"/>
                  </w:divBdr>
                  <w:divsChild>
                    <w:div w:id="752118918">
                      <w:marLeft w:val="0"/>
                      <w:marRight w:val="0"/>
                      <w:marTop w:val="0"/>
                      <w:marBottom w:val="0"/>
                      <w:divBdr>
                        <w:top w:val="none" w:sz="0" w:space="0" w:color="auto"/>
                        <w:left w:val="none" w:sz="0" w:space="0" w:color="auto"/>
                        <w:bottom w:val="none" w:sz="0" w:space="0" w:color="auto"/>
                        <w:right w:val="none" w:sz="0" w:space="0" w:color="auto"/>
                      </w:divBdr>
                    </w:div>
                  </w:divsChild>
                </w:div>
                <w:div w:id="1825005259">
                  <w:marLeft w:val="0"/>
                  <w:marRight w:val="0"/>
                  <w:marTop w:val="0"/>
                  <w:marBottom w:val="0"/>
                  <w:divBdr>
                    <w:top w:val="none" w:sz="0" w:space="0" w:color="auto"/>
                    <w:left w:val="none" w:sz="0" w:space="0" w:color="auto"/>
                    <w:bottom w:val="none" w:sz="0" w:space="0" w:color="auto"/>
                    <w:right w:val="none" w:sz="0" w:space="0" w:color="auto"/>
                  </w:divBdr>
                  <w:divsChild>
                    <w:div w:id="1371110615">
                      <w:marLeft w:val="0"/>
                      <w:marRight w:val="0"/>
                      <w:marTop w:val="0"/>
                      <w:marBottom w:val="0"/>
                      <w:divBdr>
                        <w:top w:val="none" w:sz="0" w:space="0" w:color="auto"/>
                        <w:left w:val="none" w:sz="0" w:space="0" w:color="auto"/>
                        <w:bottom w:val="none" w:sz="0" w:space="0" w:color="auto"/>
                        <w:right w:val="none" w:sz="0" w:space="0" w:color="auto"/>
                      </w:divBdr>
                    </w:div>
                  </w:divsChild>
                </w:div>
                <w:div w:id="1827546873">
                  <w:marLeft w:val="0"/>
                  <w:marRight w:val="0"/>
                  <w:marTop w:val="0"/>
                  <w:marBottom w:val="0"/>
                  <w:divBdr>
                    <w:top w:val="none" w:sz="0" w:space="0" w:color="auto"/>
                    <w:left w:val="none" w:sz="0" w:space="0" w:color="auto"/>
                    <w:bottom w:val="none" w:sz="0" w:space="0" w:color="auto"/>
                    <w:right w:val="none" w:sz="0" w:space="0" w:color="auto"/>
                  </w:divBdr>
                  <w:divsChild>
                    <w:div w:id="1633363533">
                      <w:marLeft w:val="0"/>
                      <w:marRight w:val="0"/>
                      <w:marTop w:val="0"/>
                      <w:marBottom w:val="0"/>
                      <w:divBdr>
                        <w:top w:val="none" w:sz="0" w:space="0" w:color="auto"/>
                        <w:left w:val="none" w:sz="0" w:space="0" w:color="auto"/>
                        <w:bottom w:val="none" w:sz="0" w:space="0" w:color="auto"/>
                        <w:right w:val="none" w:sz="0" w:space="0" w:color="auto"/>
                      </w:divBdr>
                    </w:div>
                  </w:divsChild>
                </w:div>
                <w:div w:id="1831218324">
                  <w:marLeft w:val="0"/>
                  <w:marRight w:val="0"/>
                  <w:marTop w:val="0"/>
                  <w:marBottom w:val="0"/>
                  <w:divBdr>
                    <w:top w:val="none" w:sz="0" w:space="0" w:color="auto"/>
                    <w:left w:val="none" w:sz="0" w:space="0" w:color="auto"/>
                    <w:bottom w:val="none" w:sz="0" w:space="0" w:color="auto"/>
                    <w:right w:val="none" w:sz="0" w:space="0" w:color="auto"/>
                  </w:divBdr>
                  <w:divsChild>
                    <w:div w:id="1511525196">
                      <w:marLeft w:val="0"/>
                      <w:marRight w:val="0"/>
                      <w:marTop w:val="0"/>
                      <w:marBottom w:val="0"/>
                      <w:divBdr>
                        <w:top w:val="none" w:sz="0" w:space="0" w:color="auto"/>
                        <w:left w:val="none" w:sz="0" w:space="0" w:color="auto"/>
                        <w:bottom w:val="none" w:sz="0" w:space="0" w:color="auto"/>
                        <w:right w:val="none" w:sz="0" w:space="0" w:color="auto"/>
                      </w:divBdr>
                    </w:div>
                  </w:divsChild>
                </w:div>
                <w:div w:id="1833175943">
                  <w:marLeft w:val="0"/>
                  <w:marRight w:val="0"/>
                  <w:marTop w:val="0"/>
                  <w:marBottom w:val="0"/>
                  <w:divBdr>
                    <w:top w:val="none" w:sz="0" w:space="0" w:color="auto"/>
                    <w:left w:val="none" w:sz="0" w:space="0" w:color="auto"/>
                    <w:bottom w:val="none" w:sz="0" w:space="0" w:color="auto"/>
                    <w:right w:val="none" w:sz="0" w:space="0" w:color="auto"/>
                  </w:divBdr>
                  <w:divsChild>
                    <w:div w:id="1816992129">
                      <w:marLeft w:val="0"/>
                      <w:marRight w:val="0"/>
                      <w:marTop w:val="0"/>
                      <w:marBottom w:val="0"/>
                      <w:divBdr>
                        <w:top w:val="none" w:sz="0" w:space="0" w:color="auto"/>
                        <w:left w:val="none" w:sz="0" w:space="0" w:color="auto"/>
                        <w:bottom w:val="none" w:sz="0" w:space="0" w:color="auto"/>
                        <w:right w:val="none" w:sz="0" w:space="0" w:color="auto"/>
                      </w:divBdr>
                    </w:div>
                  </w:divsChild>
                </w:div>
                <w:div w:id="1839728137">
                  <w:marLeft w:val="0"/>
                  <w:marRight w:val="0"/>
                  <w:marTop w:val="0"/>
                  <w:marBottom w:val="0"/>
                  <w:divBdr>
                    <w:top w:val="none" w:sz="0" w:space="0" w:color="auto"/>
                    <w:left w:val="none" w:sz="0" w:space="0" w:color="auto"/>
                    <w:bottom w:val="none" w:sz="0" w:space="0" w:color="auto"/>
                    <w:right w:val="none" w:sz="0" w:space="0" w:color="auto"/>
                  </w:divBdr>
                  <w:divsChild>
                    <w:div w:id="1587569507">
                      <w:marLeft w:val="0"/>
                      <w:marRight w:val="0"/>
                      <w:marTop w:val="0"/>
                      <w:marBottom w:val="0"/>
                      <w:divBdr>
                        <w:top w:val="none" w:sz="0" w:space="0" w:color="auto"/>
                        <w:left w:val="none" w:sz="0" w:space="0" w:color="auto"/>
                        <w:bottom w:val="none" w:sz="0" w:space="0" w:color="auto"/>
                        <w:right w:val="none" w:sz="0" w:space="0" w:color="auto"/>
                      </w:divBdr>
                    </w:div>
                  </w:divsChild>
                </w:div>
                <w:div w:id="1841122506">
                  <w:marLeft w:val="0"/>
                  <w:marRight w:val="0"/>
                  <w:marTop w:val="0"/>
                  <w:marBottom w:val="0"/>
                  <w:divBdr>
                    <w:top w:val="none" w:sz="0" w:space="0" w:color="auto"/>
                    <w:left w:val="none" w:sz="0" w:space="0" w:color="auto"/>
                    <w:bottom w:val="none" w:sz="0" w:space="0" w:color="auto"/>
                    <w:right w:val="none" w:sz="0" w:space="0" w:color="auto"/>
                  </w:divBdr>
                  <w:divsChild>
                    <w:div w:id="431898394">
                      <w:marLeft w:val="0"/>
                      <w:marRight w:val="0"/>
                      <w:marTop w:val="0"/>
                      <w:marBottom w:val="0"/>
                      <w:divBdr>
                        <w:top w:val="none" w:sz="0" w:space="0" w:color="auto"/>
                        <w:left w:val="none" w:sz="0" w:space="0" w:color="auto"/>
                        <w:bottom w:val="none" w:sz="0" w:space="0" w:color="auto"/>
                        <w:right w:val="none" w:sz="0" w:space="0" w:color="auto"/>
                      </w:divBdr>
                    </w:div>
                  </w:divsChild>
                </w:div>
                <w:div w:id="1860850736">
                  <w:marLeft w:val="0"/>
                  <w:marRight w:val="0"/>
                  <w:marTop w:val="0"/>
                  <w:marBottom w:val="0"/>
                  <w:divBdr>
                    <w:top w:val="none" w:sz="0" w:space="0" w:color="auto"/>
                    <w:left w:val="none" w:sz="0" w:space="0" w:color="auto"/>
                    <w:bottom w:val="none" w:sz="0" w:space="0" w:color="auto"/>
                    <w:right w:val="none" w:sz="0" w:space="0" w:color="auto"/>
                  </w:divBdr>
                  <w:divsChild>
                    <w:div w:id="1719083503">
                      <w:marLeft w:val="0"/>
                      <w:marRight w:val="0"/>
                      <w:marTop w:val="0"/>
                      <w:marBottom w:val="0"/>
                      <w:divBdr>
                        <w:top w:val="none" w:sz="0" w:space="0" w:color="auto"/>
                        <w:left w:val="none" w:sz="0" w:space="0" w:color="auto"/>
                        <w:bottom w:val="none" w:sz="0" w:space="0" w:color="auto"/>
                        <w:right w:val="none" w:sz="0" w:space="0" w:color="auto"/>
                      </w:divBdr>
                    </w:div>
                  </w:divsChild>
                </w:div>
                <w:div w:id="1871993948">
                  <w:marLeft w:val="0"/>
                  <w:marRight w:val="0"/>
                  <w:marTop w:val="0"/>
                  <w:marBottom w:val="0"/>
                  <w:divBdr>
                    <w:top w:val="none" w:sz="0" w:space="0" w:color="auto"/>
                    <w:left w:val="none" w:sz="0" w:space="0" w:color="auto"/>
                    <w:bottom w:val="none" w:sz="0" w:space="0" w:color="auto"/>
                    <w:right w:val="none" w:sz="0" w:space="0" w:color="auto"/>
                  </w:divBdr>
                  <w:divsChild>
                    <w:div w:id="1969585384">
                      <w:marLeft w:val="0"/>
                      <w:marRight w:val="0"/>
                      <w:marTop w:val="0"/>
                      <w:marBottom w:val="0"/>
                      <w:divBdr>
                        <w:top w:val="none" w:sz="0" w:space="0" w:color="auto"/>
                        <w:left w:val="none" w:sz="0" w:space="0" w:color="auto"/>
                        <w:bottom w:val="none" w:sz="0" w:space="0" w:color="auto"/>
                        <w:right w:val="none" w:sz="0" w:space="0" w:color="auto"/>
                      </w:divBdr>
                    </w:div>
                  </w:divsChild>
                </w:div>
                <w:div w:id="1879968165">
                  <w:marLeft w:val="0"/>
                  <w:marRight w:val="0"/>
                  <w:marTop w:val="0"/>
                  <w:marBottom w:val="0"/>
                  <w:divBdr>
                    <w:top w:val="none" w:sz="0" w:space="0" w:color="auto"/>
                    <w:left w:val="none" w:sz="0" w:space="0" w:color="auto"/>
                    <w:bottom w:val="none" w:sz="0" w:space="0" w:color="auto"/>
                    <w:right w:val="none" w:sz="0" w:space="0" w:color="auto"/>
                  </w:divBdr>
                  <w:divsChild>
                    <w:div w:id="640886990">
                      <w:marLeft w:val="0"/>
                      <w:marRight w:val="0"/>
                      <w:marTop w:val="0"/>
                      <w:marBottom w:val="0"/>
                      <w:divBdr>
                        <w:top w:val="none" w:sz="0" w:space="0" w:color="auto"/>
                        <w:left w:val="none" w:sz="0" w:space="0" w:color="auto"/>
                        <w:bottom w:val="none" w:sz="0" w:space="0" w:color="auto"/>
                        <w:right w:val="none" w:sz="0" w:space="0" w:color="auto"/>
                      </w:divBdr>
                    </w:div>
                  </w:divsChild>
                </w:div>
                <w:div w:id="1898734357">
                  <w:marLeft w:val="0"/>
                  <w:marRight w:val="0"/>
                  <w:marTop w:val="0"/>
                  <w:marBottom w:val="0"/>
                  <w:divBdr>
                    <w:top w:val="none" w:sz="0" w:space="0" w:color="auto"/>
                    <w:left w:val="none" w:sz="0" w:space="0" w:color="auto"/>
                    <w:bottom w:val="none" w:sz="0" w:space="0" w:color="auto"/>
                    <w:right w:val="none" w:sz="0" w:space="0" w:color="auto"/>
                  </w:divBdr>
                  <w:divsChild>
                    <w:div w:id="597103854">
                      <w:marLeft w:val="0"/>
                      <w:marRight w:val="0"/>
                      <w:marTop w:val="0"/>
                      <w:marBottom w:val="0"/>
                      <w:divBdr>
                        <w:top w:val="none" w:sz="0" w:space="0" w:color="auto"/>
                        <w:left w:val="none" w:sz="0" w:space="0" w:color="auto"/>
                        <w:bottom w:val="none" w:sz="0" w:space="0" w:color="auto"/>
                        <w:right w:val="none" w:sz="0" w:space="0" w:color="auto"/>
                      </w:divBdr>
                    </w:div>
                  </w:divsChild>
                </w:div>
                <w:div w:id="1905144567">
                  <w:marLeft w:val="0"/>
                  <w:marRight w:val="0"/>
                  <w:marTop w:val="0"/>
                  <w:marBottom w:val="0"/>
                  <w:divBdr>
                    <w:top w:val="none" w:sz="0" w:space="0" w:color="auto"/>
                    <w:left w:val="none" w:sz="0" w:space="0" w:color="auto"/>
                    <w:bottom w:val="none" w:sz="0" w:space="0" w:color="auto"/>
                    <w:right w:val="none" w:sz="0" w:space="0" w:color="auto"/>
                  </w:divBdr>
                  <w:divsChild>
                    <w:div w:id="1214540940">
                      <w:marLeft w:val="0"/>
                      <w:marRight w:val="0"/>
                      <w:marTop w:val="0"/>
                      <w:marBottom w:val="0"/>
                      <w:divBdr>
                        <w:top w:val="none" w:sz="0" w:space="0" w:color="auto"/>
                        <w:left w:val="none" w:sz="0" w:space="0" w:color="auto"/>
                        <w:bottom w:val="none" w:sz="0" w:space="0" w:color="auto"/>
                        <w:right w:val="none" w:sz="0" w:space="0" w:color="auto"/>
                      </w:divBdr>
                    </w:div>
                  </w:divsChild>
                </w:div>
                <w:div w:id="1919704835">
                  <w:marLeft w:val="0"/>
                  <w:marRight w:val="0"/>
                  <w:marTop w:val="0"/>
                  <w:marBottom w:val="0"/>
                  <w:divBdr>
                    <w:top w:val="none" w:sz="0" w:space="0" w:color="auto"/>
                    <w:left w:val="none" w:sz="0" w:space="0" w:color="auto"/>
                    <w:bottom w:val="none" w:sz="0" w:space="0" w:color="auto"/>
                    <w:right w:val="none" w:sz="0" w:space="0" w:color="auto"/>
                  </w:divBdr>
                  <w:divsChild>
                    <w:div w:id="939801500">
                      <w:marLeft w:val="0"/>
                      <w:marRight w:val="0"/>
                      <w:marTop w:val="0"/>
                      <w:marBottom w:val="0"/>
                      <w:divBdr>
                        <w:top w:val="none" w:sz="0" w:space="0" w:color="auto"/>
                        <w:left w:val="none" w:sz="0" w:space="0" w:color="auto"/>
                        <w:bottom w:val="none" w:sz="0" w:space="0" w:color="auto"/>
                        <w:right w:val="none" w:sz="0" w:space="0" w:color="auto"/>
                      </w:divBdr>
                    </w:div>
                  </w:divsChild>
                </w:div>
                <w:div w:id="1931158249">
                  <w:marLeft w:val="0"/>
                  <w:marRight w:val="0"/>
                  <w:marTop w:val="0"/>
                  <w:marBottom w:val="0"/>
                  <w:divBdr>
                    <w:top w:val="none" w:sz="0" w:space="0" w:color="auto"/>
                    <w:left w:val="none" w:sz="0" w:space="0" w:color="auto"/>
                    <w:bottom w:val="none" w:sz="0" w:space="0" w:color="auto"/>
                    <w:right w:val="none" w:sz="0" w:space="0" w:color="auto"/>
                  </w:divBdr>
                  <w:divsChild>
                    <w:div w:id="809059953">
                      <w:marLeft w:val="0"/>
                      <w:marRight w:val="0"/>
                      <w:marTop w:val="0"/>
                      <w:marBottom w:val="0"/>
                      <w:divBdr>
                        <w:top w:val="none" w:sz="0" w:space="0" w:color="auto"/>
                        <w:left w:val="none" w:sz="0" w:space="0" w:color="auto"/>
                        <w:bottom w:val="none" w:sz="0" w:space="0" w:color="auto"/>
                        <w:right w:val="none" w:sz="0" w:space="0" w:color="auto"/>
                      </w:divBdr>
                    </w:div>
                  </w:divsChild>
                </w:div>
                <w:div w:id="1931884936">
                  <w:marLeft w:val="0"/>
                  <w:marRight w:val="0"/>
                  <w:marTop w:val="0"/>
                  <w:marBottom w:val="0"/>
                  <w:divBdr>
                    <w:top w:val="none" w:sz="0" w:space="0" w:color="auto"/>
                    <w:left w:val="none" w:sz="0" w:space="0" w:color="auto"/>
                    <w:bottom w:val="none" w:sz="0" w:space="0" w:color="auto"/>
                    <w:right w:val="none" w:sz="0" w:space="0" w:color="auto"/>
                  </w:divBdr>
                  <w:divsChild>
                    <w:div w:id="1094207983">
                      <w:marLeft w:val="0"/>
                      <w:marRight w:val="0"/>
                      <w:marTop w:val="0"/>
                      <w:marBottom w:val="0"/>
                      <w:divBdr>
                        <w:top w:val="none" w:sz="0" w:space="0" w:color="auto"/>
                        <w:left w:val="none" w:sz="0" w:space="0" w:color="auto"/>
                        <w:bottom w:val="none" w:sz="0" w:space="0" w:color="auto"/>
                        <w:right w:val="none" w:sz="0" w:space="0" w:color="auto"/>
                      </w:divBdr>
                    </w:div>
                  </w:divsChild>
                </w:div>
                <w:div w:id="1935478895">
                  <w:marLeft w:val="0"/>
                  <w:marRight w:val="0"/>
                  <w:marTop w:val="0"/>
                  <w:marBottom w:val="0"/>
                  <w:divBdr>
                    <w:top w:val="none" w:sz="0" w:space="0" w:color="auto"/>
                    <w:left w:val="none" w:sz="0" w:space="0" w:color="auto"/>
                    <w:bottom w:val="none" w:sz="0" w:space="0" w:color="auto"/>
                    <w:right w:val="none" w:sz="0" w:space="0" w:color="auto"/>
                  </w:divBdr>
                  <w:divsChild>
                    <w:div w:id="1008289813">
                      <w:marLeft w:val="0"/>
                      <w:marRight w:val="0"/>
                      <w:marTop w:val="0"/>
                      <w:marBottom w:val="0"/>
                      <w:divBdr>
                        <w:top w:val="none" w:sz="0" w:space="0" w:color="auto"/>
                        <w:left w:val="none" w:sz="0" w:space="0" w:color="auto"/>
                        <w:bottom w:val="none" w:sz="0" w:space="0" w:color="auto"/>
                        <w:right w:val="none" w:sz="0" w:space="0" w:color="auto"/>
                      </w:divBdr>
                    </w:div>
                  </w:divsChild>
                </w:div>
                <w:div w:id="1944217415">
                  <w:marLeft w:val="0"/>
                  <w:marRight w:val="0"/>
                  <w:marTop w:val="0"/>
                  <w:marBottom w:val="0"/>
                  <w:divBdr>
                    <w:top w:val="none" w:sz="0" w:space="0" w:color="auto"/>
                    <w:left w:val="none" w:sz="0" w:space="0" w:color="auto"/>
                    <w:bottom w:val="none" w:sz="0" w:space="0" w:color="auto"/>
                    <w:right w:val="none" w:sz="0" w:space="0" w:color="auto"/>
                  </w:divBdr>
                  <w:divsChild>
                    <w:div w:id="880090621">
                      <w:marLeft w:val="0"/>
                      <w:marRight w:val="0"/>
                      <w:marTop w:val="0"/>
                      <w:marBottom w:val="0"/>
                      <w:divBdr>
                        <w:top w:val="none" w:sz="0" w:space="0" w:color="auto"/>
                        <w:left w:val="none" w:sz="0" w:space="0" w:color="auto"/>
                        <w:bottom w:val="none" w:sz="0" w:space="0" w:color="auto"/>
                        <w:right w:val="none" w:sz="0" w:space="0" w:color="auto"/>
                      </w:divBdr>
                    </w:div>
                  </w:divsChild>
                </w:div>
                <w:div w:id="1974827150">
                  <w:marLeft w:val="0"/>
                  <w:marRight w:val="0"/>
                  <w:marTop w:val="0"/>
                  <w:marBottom w:val="0"/>
                  <w:divBdr>
                    <w:top w:val="none" w:sz="0" w:space="0" w:color="auto"/>
                    <w:left w:val="none" w:sz="0" w:space="0" w:color="auto"/>
                    <w:bottom w:val="none" w:sz="0" w:space="0" w:color="auto"/>
                    <w:right w:val="none" w:sz="0" w:space="0" w:color="auto"/>
                  </w:divBdr>
                  <w:divsChild>
                    <w:div w:id="1789543425">
                      <w:marLeft w:val="0"/>
                      <w:marRight w:val="0"/>
                      <w:marTop w:val="0"/>
                      <w:marBottom w:val="0"/>
                      <w:divBdr>
                        <w:top w:val="none" w:sz="0" w:space="0" w:color="auto"/>
                        <w:left w:val="none" w:sz="0" w:space="0" w:color="auto"/>
                        <w:bottom w:val="none" w:sz="0" w:space="0" w:color="auto"/>
                        <w:right w:val="none" w:sz="0" w:space="0" w:color="auto"/>
                      </w:divBdr>
                    </w:div>
                  </w:divsChild>
                </w:div>
                <w:div w:id="1975521348">
                  <w:marLeft w:val="0"/>
                  <w:marRight w:val="0"/>
                  <w:marTop w:val="0"/>
                  <w:marBottom w:val="0"/>
                  <w:divBdr>
                    <w:top w:val="none" w:sz="0" w:space="0" w:color="auto"/>
                    <w:left w:val="none" w:sz="0" w:space="0" w:color="auto"/>
                    <w:bottom w:val="none" w:sz="0" w:space="0" w:color="auto"/>
                    <w:right w:val="none" w:sz="0" w:space="0" w:color="auto"/>
                  </w:divBdr>
                  <w:divsChild>
                    <w:div w:id="1448312100">
                      <w:marLeft w:val="0"/>
                      <w:marRight w:val="0"/>
                      <w:marTop w:val="0"/>
                      <w:marBottom w:val="0"/>
                      <w:divBdr>
                        <w:top w:val="none" w:sz="0" w:space="0" w:color="auto"/>
                        <w:left w:val="none" w:sz="0" w:space="0" w:color="auto"/>
                        <w:bottom w:val="none" w:sz="0" w:space="0" w:color="auto"/>
                        <w:right w:val="none" w:sz="0" w:space="0" w:color="auto"/>
                      </w:divBdr>
                    </w:div>
                  </w:divsChild>
                </w:div>
                <w:div w:id="1977681628">
                  <w:marLeft w:val="0"/>
                  <w:marRight w:val="0"/>
                  <w:marTop w:val="0"/>
                  <w:marBottom w:val="0"/>
                  <w:divBdr>
                    <w:top w:val="none" w:sz="0" w:space="0" w:color="auto"/>
                    <w:left w:val="none" w:sz="0" w:space="0" w:color="auto"/>
                    <w:bottom w:val="none" w:sz="0" w:space="0" w:color="auto"/>
                    <w:right w:val="none" w:sz="0" w:space="0" w:color="auto"/>
                  </w:divBdr>
                  <w:divsChild>
                    <w:div w:id="1448549921">
                      <w:marLeft w:val="0"/>
                      <w:marRight w:val="0"/>
                      <w:marTop w:val="0"/>
                      <w:marBottom w:val="0"/>
                      <w:divBdr>
                        <w:top w:val="none" w:sz="0" w:space="0" w:color="auto"/>
                        <w:left w:val="none" w:sz="0" w:space="0" w:color="auto"/>
                        <w:bottom w:val="none" w:sz="0" w:space="0" w:color="auto"/>
                        <w:right w:val="none" w:sz="0" w:space="0" w:color="auto"/>
                      </w:divBdr>
                    </w:div>
                  </w:divsChild>
                </w:div>
                <w:div w:id="1988851792">
                  <w:marLeft w:val="0"/>
                  <w:marRight w:val="0"/>
                  <w:marTop w:val="0"/>
                  <w:marBottom w:val="0"/>
                  <w:divBdr>
                    <w:top w:val="none" w:sz="0" w:space="0" w:color="auto"/>
                    <w:left w:val="none" w:sz="0" w:space="0" w:color="auto"/>
                    <w:bottom w:val="none" w:sz="0" w:space="0" w:color="auto"/>
                    <w:right w:val="none" w:sz="0" w:space="0" w:color="auto"/>
                  </w:divBdr>
                  <w:divsChild>
                    <w:div w:id="1235627164">
                      <w:marLeft w:val="0"/>
                      <w:marRight w:val="0"/>
                      <w:marTop w:val="0"/>
                      <w:marBottom w:val="0"/>
                      <w:divBdr>
                        <w:top w:val="none" w:sz="0" w:space="0" w:color="auto"/>
                        <w:left w:val="none" w:sz="0" w:space="0" w:color="auto"/>
                        <w:bottom w:val="none" w:sz="0" w:space="0" w:color="auto"/>
                        <w:right w:val="none" w:sz="0" w:space="0" w:color="auto"/>
                      </w:divBdr>
                    </w:div>
                  </w:divsChild>
                </w:div>
                <w:div w:id="2001688613">
                  <w:marLeft w:val="0"/>
                  <w:marRight w:val="0"/>
                  <w:marTop w:val="0"/>
                  <w:marBottom w:val="0"/>
                  <w:divBdr>
                    <w:top w:val="none" w:sz="0" w:space="0" w:color="auto"/>
                    <w:left w:val="none" w:sz="0" w:space="0" w:color="auto"/>
                    <w:bottom w:val="none" w:sz="0" w:space="0" w:color="auto"/>
                    <w:right w:val="none" w:sz="0" w:space="0" w:color="auto"/>
                  </w:divBdr>
                  <w:divsChild>
                    <w:div w:id="1019431664">
                      <w:marLeft w:val="0"/>
                      <w:marRight w:val="0"/>
                      <w:marTop w:val="0"/>
                      <w:marBottom w:val="0"/>
                      <w:divBdr>
                        <w:top w:val="none" w:sz="0" w:space="0" w:color="auto"/>
                        <w:left w:val="none" w:sz="0" w:space="0" w:color="auto"/>
                        <w:bottom w:val="none" w:sz="0" w:space="0" w:color="auto"/>
                        <w:right w:val="none" w:sz="0" w:space="0" w:color="auto"/>
                      </w:divBdr>
                    </w:div>
                  </w:divsChild>
                </w:div>
                <w:div w:id="2005862012">
                  <w:marLeft w:val="0"/>
                  <w:marRight w:val="0"/>
                  <w:marTop w:val="0"/>
                  <w:marBottom w:val="0"/>
                  <w:divBdr>
                    <w:top w:val="none" w:sz="0" w:space="0" w:color="auto"/>
                    <w:left w:val="none" w:sz="0" w:space="0" w:color="auto"/>
                    <w:bottom w:val="none" w:sz="0" w:space="0" w:color="auto"/>
                    <w:right w:val="none" w:sz="0" w:space="0" w:color="auto"/>
                  </w:divBdr>
                  <w:divsChild>
                    <w:div w:id="1538735488">
                      <w:marLeft w:val="0"/>
                      <w:marRight w:val="0"/>
                      <w:marTop w:val="0"/>
                      <w:marBottom w:val="0"/>
                      <w:divBdr>
                        <w:top w:val="none" w:sz="0" w:space="0" w:color="auto"/>
                        <w:left w:val="none" w:sz="0" w:space="0" w:color="auto"/>
                        <w:bottom w:val="none" w:sz="0" w:space="0" w:color="auto"/>
                        <w:right w:val="none" w:sz="0" w:space="0" w:color="auto"/>
                      </w:divBdr>
                    </w:div>
                  </w:divsChild>
                </w:div>
                <w:div w:id="2032218861">
                  <w:marLeft w:val="0"/>
                  <w:marRight w:val="0"/>
                  <w:marTop w:val="0"/>
                  <w:marBottom w:val="0"/>
                  <w:divBdr>
                    <w:top w:val="none" w:sz="0" w:space="0" w:color="auto"/>
                    <w:left w:val="none" w:sz="0" w:space="0" w:color="auto"/>
                    <w:bottom w:val="none" w:sz="0" w:space="0" w:color="auto"/>
                    <w:right w:val="none" w:sz="0" w:space="0" w:color="auto"/>
                  </w:divBdr>
                  <w:divsChild>
                    <w:div w:id="950816723">
                      <w:marLeft w:val="0"/>
                      <w:marRight w:val="0"/>
                      <w:marTop w:val="0"/>
                      <w:marBottom w:val="0"/>
                      <w:divBdr>
                        <w:top w:val="none" w:sz="0" w:space="0" w:color="auto"/>
                        <w:left w:val="none" w:sz="0" w:space="0" w:color="auto"/>
                        <w:bottom w:val="none" w:sz="0" w:space="0" w:color="auto"/>
                        <w:right w:val="none" w:sz="0" w:space="0" w:color="auto"/>
                      </w:divBdr>
                    </w:div>
                  </w:divsChild>
                </w:div>
                <w:div w:id="2032955829">
                  <w:marLeft w:val="0"/>
                  <w:marRight w:val="0"/>
                  <w:marTop w:val="0"/>
                  <w:marBottom w:val="0"/>
                  <w:divBdr>
                    <w:top w:val="none" w:sz="0" w:space="0" w:color="auto"/>
                    <w:left w:val="none" w:sz="0" w:space="0" w:color="auto"/>
                    <w:bottom w:val="none" w:sz="0" w:space="0" w:color="auto"/>
                    <w:right w:val="none" w:sz="0" w:space="0" w:color="auto"/>
                  </w:divBdr>
                  <w:divsChild>
                    <w:div w:id="85467652">
                      <w:marLeft w:val="0"/>
                      <w:marRight w:val="0"/>
                      <w:marTop w:val="0"/>
                      <w:marBottom w:val="0"/>
                      <w:divBdr>
                        <w:top w:val="none" w:sz="0" w:space="0" w:color="auto"/>
                        <w:left w:val="none" w:sz="0" w:space="0" w:color="auto"/>
                        <w:bottom w:val="none" w:sz="0" w:space="0" w:color="auto"/>
                        <w:right w:val="none" w:sz="0" w:space="0" w:color="auto"/>
                      </w:divBdr>
                    </w:div>
                  </w:divsChild>
                </w:div>
                <w:div w:id="2055738644">
                  <w:marLeft w:val="0"/>
                  <w:marRight w:val="0"/>
                  <w:marTop w:val="0"/>
                  <w:marBottom w:val="0"/>
                  <w:divBdr>
                    <w:top w:val="none" w:sz="0" w:space="0" w:color="auto"/>
                    <w:left w:val="none" w:sz="0" w:space="0" w:color="auto"/>
                    <w:bottom w:val="none" w:sz="0" w:space="0" w:color="auto"/>
                    <w:right w:val="none" w:sz="0" w:space="0" w:color="auto"/>
                  </w:divBdr>
                  <w:divsChild>
                    <w:div w:id="194928229">
                      <w:marLeft w:val="0"/>
                      <w:marRight w:val="0"/>
                      <w:marTop w:val="0"/>
                      <w:marBottom w:val="0"/>
                      <w:divBdr>
                        <w:top w:val="none" w:sz="0" w:space="0" w:color="auto"/>
                        <w:left w:val="none" w:sz="0" w:space="0" w:color="auto"/>
                        <w:bottom w:val="none" w:sz="0" w:space="0" w:color="auto"/>
                        <w:right w:val="none" w:sz="0" w:space="0" w:color="auto"/>
                      </w:divBdr>
                    </w:div>
                  </w:divsChild>
                </w:div>
                <w:div w:id="2091656579">
                  <w:marLeft w:val="0"/>
                  <w:marRight w:val="0"/>
                  <w:marTop w:val="0"/>
                  <w:marBottom w:val="0"/>
                  <w:divBdr>
                    <w:top w:val="none" w:sz="0" w:space="0" w:color="auto"/>
                    <w:left w:val="none" w:sz="0" w:space="0" w:color="auto"/>
                    <w:bottom w:val="none" w:sz="0" w:space="0" w:color="auto"/>
                    <w:right w:val="none" w:sz="0" w:space="0" w:color="auto"/>
                  </w:divBdr>
                  <w:divsChild>
                    <w:div w:id="1333877589">
                      <w:marLeft w:val="0"/>
                      <w:marRight w:val="0"/>
                      <w:marTop w:val="0"/>
                      <w:marBottom w:val="0"/>
                      <w:divBdr>
                        <w:top w:val="none" w:sz="0" w:space="0" w:color="auto"/>
                        <w:left w:val="none" w:sz="0" w:space="0" w:color="auto"/>
                        <w:bottom w:val="none" w:sz="0" w:space="0" w:color="auto"/>
                        <w:right w:val="none" w:sz="0" w:space="0" w:color="auto"/>
                      </w:divBdr>
                    </w:div>
                  </w:divsChild>
                </w:div>
                <w:div w:id="2095977009">
                  <w:marLeft w:val="0"/>
                  <w:marRight w:val="0"/>
                  <w:marTop w:val="0"/>
                  <w:marBottom w:val="0"/>
                  <w:divBdr>
                    <w:top w:val="none" w:sz="0" w:space="0" w:color="auto"/>
                    <w:left w:val="none" w:sz="0" w:space="0" w:color="auto"/>
                    <w:bottom w:val="none" w:sz="0" w:space="0" w:color="auto"/>
                    <w:right w:val="none" w:sz="0" w:space="0" w:color="auto"/>
                  </w:divBdr>
                  <w:divsChild>
                    <w:div w:id="1178080567">
                      <w:marLeft w:val="0"/>
                      <w:marRight w:val="0"/>
                      <w:marTop w:val="0"/>
                      <w:marBottom w:val="0"/>
                      <w:divBdr>
                        <w:top w:val="none" w:sz="0" w:space="0" w:color="auto"/>
                        <w:left w:val="none" w:sz="0" w:space="0" w:color="auto"/>
                        <w:bottom w:val="none" w:sz="0" w:space="0" w:color="auto"/>
                        <w:right w:val="none" w:sz="0" w:space="0" w:color="auto"/>
                      </w:divBdr>
                    </w:div>
                  </w:divsChild>
                </w:div>
                <w:div w:id="2099787102">
                  <w:marLeft w:val="0"/>
                  <w:marRight w:val="0"/>
                  <w:marTop w:val="0"/>
                  <w:marBottom w:val="0"/>
                  <w:divBdr>
                    <w:top w:val="none" w:sz="0" w:space="0" w:color="auto"/>
                    <w:left w:val="none" w:sz="0" w:space="0" w:color="auto"/>
                    <w:bottom w:val="none" w:sz="0" w:space="0" w:color="auto"/>
                    <w:right w:val="none" w:sz="0" w:space="0" w:color="auto"/>
                  </w:divBdr>
                  <w:divsChild>
                    <w:div w:id="43062016">
                      <w:marLeft w:val="0"/>
                      <w:marRight w:val="0"/>
                      <w:marTop w:val="0"/>
                      <w:marBottom w:val="0"/>
                      <w:divBdr>
                        <w:top w:val="none" w:sz="0" w:space="0" w:color="auto"/>
                        <w:left w:val="none" w:sz="0" w:space="0" w:color="auto"/>
                        <w:bottom w:val="none" w:sz="0" w:space="0" w:color="auto"/>
                        <w:right w:val="none" w:sz="0" w:space="0" w:color="auto"/>
                      </w:divBdr>
                    </w:div>
                  </w:divsChild>
                </w:div>
                <w:div w:id="2105300392">
                  <w:marLeft w:val="0"/>
                  <w:marRight w:val="0"/>
                  <w:marTop w:val="0"/>
                  <w:marBottom w:val="0"/>
                  <w:divBdr>
                    <w:top w:val="none" w:sz="0" w:space="0" w:color="auto"/>
                    <w:left w:val="none" w:sz="0" w:space="0" w:color="auto"/>
                    <w:bottom w:val="none" w:sz="0" w:space="0" w:color="auto"/>
                    <w:right w:val="none" w:sz="0" w:space="0" w:color="auto"/>
                  </w:divBdr>
                  <w:divsChild>
                    <w:div w:id="579369789">
                      <w:marLeft w:val="0"/>
                      <w:marRight w:val="0"/>
                      <w:marTop w:val="0"/>
                      <w:marBottom w:val="0"/>
                      <w:divBdr>
                        <w:top w:val="none" w:sz="0" w:space="0" w:color="auto"/>
                        <w:left w:val="none" w:sz="0" w:space="0" w:color="auto"/>
                        <w:bottom w:val="none" w:sz="0" w:space="0" w:color="auto"/>
                        <w:right w:val="none" w:sz="0" w:space="0" w:color="auto"/>
                      </w:divBdr>
                    </w:div>
                  </w:divsChild>
                </w:div>
                <w:div w:id="2118215891">
                  <w:marLeft w:val="0"/>
                  <w:marRight w:val="0"/>
                  <w:marTop w:val="0"/>
                  <w:marBottom w:val="0"/>
                  <w:divBdr>
                    <w:top w:val="none" w:sz="0" w:space="0" w:color="auto"/>
                    <w:left w:val="none" w:sz="0" w:space="0" w:color="auto"/>
                    <w:bottom w:val="none" w:sz="0" w:space="0" w:color="auto"/>
                    <w:right w:val="none" w:sz="0" w:space="0" w:color="auto"/>
                  </w:divBdr>
                  <w:divsChild>
                    <w:div w:id="690571382">
                      <w:marLeft w:val="0"/>
                      <w:marRight w:val="0"/>
                      <w:marTop w:val="0"/>
                      <w:marBottom w:val="0"/>
                      <w:divBdr>
                        <w:top w:val="none" w:sz="0" w:space="0" w:color="auto"/>
                        <w:left w:val="none" w:sz="0" w:space="0" w:color="auto"/>
                        <w:bottom w:val="none" w:sz="0" w:space="0" w:color="auto"/>
                        <w:right w:val="none" w:sz="0" w:space="0" w:color="auto"/>
                      </w:divBdr>
                    </w:div>
                  </w:divsChild>
                </w:div>
                <w:div w:id="2128573375">
                  <w:marLeft w:val="0"/>
                  <w:marRight w:val="0"/>
                  <w:marTop w:val="0"/>
                  <w:marBottom w:val="0"/>
                  <w:divBdr>
                    <w:top w:val="none" w:sz="0" w:space="0" w:color="auto"/>
                    <w:left w:val="none" w:sz="0" w:space="0" w:color="auto"/>
                    <w:bottom w:val="none" w:sz="0" w:space="0" w:color="auto"/>
                    <w:right w:val="none" w:sz="0" w:space="0" w:color="auto"/>
                  </w:divBdr>
                  <w:divsChild>
                    <w:div w:id="416290624">
                      <w:marLeft w:val="0"/>
                      <w:marRight w:val="0"/>
                      <w:marTop w:val="0"/>
                      <w:marBottom w:val="0"/>
                      <w:divBdr>
                        <w:top w:val="none" w:sz="0" w:space="0" w:color="auto"/>
                        <w:left w:val="none" w:sz="0" w:space="0" w:color="auto"/>
                        <w:bottom w:val="none" w:sz="0" w:space="0" w:color="auto"/>
                        <w:right w:val="none" w:sz="0" w:space="0" w:color="auto"/>
                      </w:divBdr>
                    </w:div>
                  </w:divsChild>
                </w:div>
                <w:div w:id="2131052838">
                  <w:marLeft w:val="0"/>
                  <w:marRight w:val="0"/>
                  <w:marTop w:val="0"/>
                  <w:marBottom w:val="0"/>
                  <w:divBdr>
                    <w:top w:val="none" w:sz="0" w:space="0" w:color="auto"/>
                    <w:left w:val="none" w:sz="0" w:space="0" w:color="auto"/>
                    <w:bottom w:val="none" w:sz="0" w:space="0" w:color="auto"/>
                    <w:right w:val="none" w:sz="0" w:space="0" w:color="auto"/>
                  </w:divBdr>
                  <w:divsChild>
                    <w:div w:id="203240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37352">
          <w:marLeft w:val="0"/>
          <w:marRight w:val="0"/>
          <w:marTop w:val="0"/>
          <w:marBottom w:val="0"/>
          <w:divBdr>
            <w:top w:val="none" w:sz="0" w:space="0" w:color="auto"/>
            <w:left w:val="none" w:sz="0" w:space="0" w:color="auto"/>
            <w:bottom w:val="none" w:sz="0" w:space="0" w:color="auto"/>
            <w:right w:val="none" w:sz="0" w:space="0" w:color="auto"/>
          </w:divBdr>
        </w:div>
        <w:div w:id="1277055258">
          <w:marLeft w:val="0"/>
          <w:marRight w:val="0"/>
          <w:marTop w:val="0"/>
          <w:marBottom w:val="0"/>
          <w:divBdr>
            <w:top w:val="none" w:sz="0" w:space="0" w:color="auto"/>
            <w:left w:val="none" w:sz="0" w:space="0" w:color="auto"/>
            <w:bottom w:val="none" w:sz="0" w:space="0" w:color="auto"/>
            <w:right w:val="none" w:sz="0" w:space="0" w:color="auto"/>
          </w:divBdr>
        </w:div>
      </w:divsChild>
    </w:div>
    <w:div w:id="1724328371">
      <w:bodyDiv w:val="1"/>
      <w:marLeft w:val="0"/>
      <w:marRight w:val="0"/>
      <w:marTop w:val="0"/>
      <w:marBottom w:val="0"/>
      <w:divBdr>
        <w:top w:val="none" w:sz="0" w:space="0" w:color="auto"/>
        <w:left w:val="none" w:sz="0" w:space="0" w:color="auto"/>
        <w:bottom w:val="none" w:sz="0" w:space="0" w:color="auto"/>
        <w:right w:val="none" w:sz="0" w:space="0" w:color="auto"/>
      </w:divBdr>
    </w:div>
    <w:div w:id="1730106582">
      <w:bodyDiv w:val="1"/>
      <w:marLeft w:val="0"/>
      <w:marRight w:val="0"/>
      <w:marTop w:val="0"/>
      <w:marBottom w:val="0"/>
      <w:divBdr>
        <w:top w:val="none" w:sz="0" w:space="0" w:color="auto"/>
        <w:left w:val="none" w:sz="0" w:space="0" w:color="auto"/>
        <w:bottom w:val="none" w:sz="0" w:space="0" w:color="auto"/>
        <w:right w:val="none" w:sz="0" w:space="0" w:color="auto"/>
      </w:divBdr>
    </w:div>
    <w:div w:id="1735738969">
      <w:bodyDiv w:val="1"/>
      <w:marLeft w:val="0"/>
      <w:marRight w:val="0"/>
      <w:marTop w:val="0"/>
      <w:marBottom w:val="0"/>
      <w:divBdr>
        <w:top w:val="none" w:sz="0" w:space="0" w:color="auto"/>
        <w:left w:val="none" w:sz="0" w:space="0" w:color="auto"/>
        <w:bottom w:val="none" w:sz="0" w:space="0" w:color="auto"/>
        <w:right w:val="none" w:sz="0" w:space="0" w:color="auto"/>
      </w:divBdr>
    </w:div>
    <w:div w:id="1783575861">
      <w:bodyDiv w:val="1"/>
      <w:marLeft w:val="0"/>
      <w:marRight w:val="0"/>
      <w:marTop w:val="0"/>
      <w:marBottom w:val="0"/>
      <w:divBdr>
        <w:top w:val="none" w:sz="0" w:space="0" w:color="auto"/>
        <w:left w:val="none" w:sz="0" w:space="0" w:color="auto"/>
        <w:bottom w:val="none" w:sz="0" w:space="0" w:color="auto"/>
        <w:right w:val="none" w:sz="0" w:space="0" w:color="auto"/>
      </w:divBdr>
      <w:divsChild>
        <w:div w:id="99111591">
          <w:marLeft w:val="0"/>
          <w:marRight w:val="0"/>
          <w:marTop w:val="0"/>
          <w:marBottom w:val="0"/>
          <w:divBdr>
            <w:top w:val="none" w:sz="0" w:space="0" w:color="auto"/>
            <w:left w:val="none" w:sz="0" w:space="0" w:color="auto"/>
            <w:bottom w:val="none" w:sz="0" w:space="0" w:color="auto"/>
            <w:right w:val="none" w:sz="0" w:space="0" w:color="auto"/>
          </w:divBdr>
        </w:div>
        <w:div w:id="512770297">
          <w:marLeft w:val="0"/>
          <w:marRight w:val="0"/>
          <w:marTop w:val="0"/>
          <w:marBottom w:val="0"/>
          <w:divBdr>
            <w:top w:val="none" w:sz="0" w:space="0" w:color="auto"/>
            <w:left w:val="none" w:sz="0" w:space="0" w:color="auto"/>
            <w:bottom w:val="none" w:sz="0" w:space="0" w:color="auto"/>
            <w:right w:val="none" w:sz="0" w:space="0" w:color="auto"/>
          </w:divBdr>
        </w:div>
        <w:div w:id="866912635">
          <w:marLeft w:val="0"/>
          <w:marRight w:val="0"/>
          <w:marTop w:val="0"/>
          <w:marBottom w:val="0"/>
          <w:divBdr>
            <w:top w:val="none" w:sz="0" w:space="0" w:color="auto"/>
            <w:left w:val="none" w:sz="0" w:space="0" w:color="auto"/>
            <w:bottom w:val="none" w:sz="0" w:space="0" w:color="auto"/>
            <w:right w:val="none" w:sz="0" w:space="0" w:color="auto"/>
          </w:divBdr>
        </w:div>
        <w:div w:id="966281167">
          <w:marLeft w:val="0"/>
          <w:marRight w:val="0"/>
          <w:marTop w:val="0"/>
          <w:marBottom w:val="0"/>
          <w:divBdr>
            <w:top w:val="none" w:sz="0" w:space="0" w:color="auto"/>
            <w:left w:val="none" w:sz="0" w:space="0" w:color="auto"/>
            <w:bottom w:val="none" w:sz="0" w:space="0" w:color="auto"/>
            <w:right w:val="none" w:sz="0" w:space="0" w:color="auto"/>
          </w:divBdr>
        </w:div>
        <w:div w:id="1031609101">
          <w:marLeft w:val="0"/>
          <w:marRight w:val="0"/>
          <w:marTop w:val="0"/>
          <w:marBottom w:val="0"/>
          <w:divBdr>
            <w:top w:val="none" w:sz="0" w:space="0" w:color="auto"/>
            <w:left w:val="none" w:sz="0" w:space="0" w:color="auto"/>
            <w:bottom w:val="none" w:sz="0" w:space="0" w:color="auto"/>
            <w:right w:val="none" w:sz="0" w:space="0" w:color="auto"/>
          </w:divBdr>
        </w:div>
        <w:div w:id="1647120819">
          <w:marLeft w:val="0"/>
          <w:marRight w:val="0"/>
          <w:marTop w:val="0"/>
          <w:marBottom w:val="0"/>
          <w:divBdr>
            <w:top w:val="none" w:sz="0" w:space="0" w:color="auto"/>
            <w:left w:val="none" w:sz="0" w:space="0" w:color="auto"/>
            <w:bottom w:val="none" w:sz="0" w:space="0" w:color="auto"/>
            <w:right w:val="none" w:sz="0" w:space="0" w:color="auto"/>
          </w:divBdr>
        </w:div>
        <w:div w:id="2011372494">
          <w:marLeft w:val="0"/>
          <w:marRight w:val="0"/>
          <w:marTop w:val="0"/>
          <w:marBottom w:val="0"/>
          <w:divBdr>
            <w:top w:val="none" w:sz="0" w:space="0" w:color="auto"/>
            <w:left w:val="none" w:sz="0" w:space="0" w:color="auto"/>
            <w:bottom w:val="none" w:sz="0" w:space="0" w:color="auto"/>
            <w:right w:val="none" w:sz="0" w:space="0" w:color="auto"/>
          </w:divBdr>
        </w:div>
        <w:div w:id="2089374947">
          <w:marLeft w:val="0"/>
          <w:marRight w:val="0"/>
          <w:marTop w:val="0"/>
          <w:marBottom w:val="0"/>
          <w:divBdr>
            <w:top w:val="none" w:sz="0" w:space="0" w:color="auto"/>
            <w:left w:val="none" w:sz="0" w:space="0" w:color="auto"/>
            <w:bottom w:val="none" w:sz="0" w:space="0" w:color="auto"/>
            <w:right w:val="none" w:sz="0" w:space="0" w:color="auto"/>
          </w:divBdr>
        </w:div>
      </w:divsChild>
    </w:div>
    <w:div w:id="1931087161">
      <w:bodyDiv w:val="1"/>
      <w:marLeft w:val="0"/>
      <w:marRight w:val="0"/>
      <w:marTop w:val="0"/>
      <w:marBottom w:val="0"/>
      <w:divBdr>
        <w:top w:val="none" w:sz="0" w:space="0" w:color="auto"/>
        <w:left w:val="none" w:sz="0" w:space="0" w:color="auto"/>
        <w:bottom w:val="none" w:sz="0" w:space="0" w:color="auto"/>
        <w:right w:val="none" w:sz="0" w:space="0" w:color="auto"/>
      </w:divBdr>
    </w:div>
    <w:div w:id="2128740849">
      <w:bodyDiv w:val="1"/>
      <w:marLeft w:val="0"/>
      <w:marRight w:val="0"/>
      <w:marTop w:val="0"/>
      <w:marBottom w:val="0"/>
      <w:divBdr>
        <w:top w:val="none" w:sz="0" w:space="0" w:color="auto"/>
        <w:left w:val="none" w:sz="0" w:space="0" w:color="auto"/>
        <w:bottom w:val="none" w:sz="0" w:space="0" w:color="auto"/>
        <w:right w:val="none" w:sz="0" w:space="0" w:color="auto"/>
      </w:divBdr>
      <w:divsChild>
        <w:div w:id="600603620">
          <w:marLeft w:val="0"/>
          <w:marRight w:val="0"/>
          <w:marTop w:val="0"/>
          <w:marBottom w:val="0"/>
          <w:divBdr>
            <w:top w:val="none" w:sz="0" w:space="0" w:color="auto"/>
            <w:left w:val="none" w:sz="0" w:space="0" w:color="auto"/>
            <w:bottom w:val="none" w:sz="0" w:space="0" w:color="auto"/>
            <w:right w:val="none" w:sz="0" w:space="0" w:color="auto"/>
          </w:divBdr>
          <w:divsChild>
            <w:div w:id="35858935">
              <w:marLeft w:val="0"/>
              <w:marRight w:val="0"/>
              <w:marTop w:val="0"/>
              <w:marBottom w:val="0"/>
              <w:divBdr>
                <w:top w:val="none" w:sz="0" w:space="0" w:color="auto"/>
                <w:left w:val="none" w:sz="0" w:space="0" w:color="auto"/>
                <w:bottom w:val="none" w:sz="0" w:space="0" w:color="auto"/>
                <w:right w:val="none" w:sz="0" w:space="0" w:color="auto"/>
              </w:divBdr>
            </w:div>
            <w:div w:id="108207862">
              <w:marLeft w:val="0"/>
              <w:marRight w:val="0"/>
              <w:marTop w:val="0"/>
              <w:marBottom w:val="0"/>
              <w:divBdr>
                <w:top w:val="none" w:sz="0" w:space="0" w:color="auto"/>
                <w:left w:val="none" w:sz="0" w:space="0" w:color="auto"/>
                <w:bottom w:val="none" w:sz="0" w:space="0" w:color="auto"/>
                <w:right w:val="none" w:sz="0" w:space="0" w:color="auto"/>
              </w:divBdr>
            </w:div>
            <w:div w:id="145439990">
              <w:marLeft w:val="0"/>
              <w:marRight w:val="0"/>
              <w:marTop w:val="0"/>
              <w:marBottom w:val="0"/>
              <w:divBdr>
                <w:top w:val="none" w:sz="0" w:space="0" w:color="auto"/>
                <w:left w:val="none" w:sz="0" w:space="0" w:color="auto"/>
                <w:bottom w:val="none" w:sz="0" w:space="0" w:color="auto"/>
                <w:right w:val="none" w:sz="0" w:space="0" w:color="auto"/>
              </w:divBdr>
            </w:div>
            <w:div w:id="296111683">
              <w:marLeft w:val="0"/>
              <w:marRight w:val="0"/>
              <w:marTop w:val="0"/>
              <w:marBottom w:val="0"/>
              <w:divBdr>
                <w:top w:val="none" w:sz="0" w:space="0" w:color="auto"/>
                <w:left w:val="none" w:sz="0" w:space="0" w:color="auto"/>
                <w:bottom w:val="none" w:sz="0" w:space="0" w:color="auto"/>
                <w:right w:val="none" w:sz="0" w:space="0" w:color="auto"/>
              </w:divBdr>
            </w:div>
            <w:div w:id="473838609">
              <w:marLeft w:val="0"/>
              <w:marRight w:val="0"/>
              <w:marTop w:val="0"/>
              <w:marBottom w:val="0"/>
              <w:divBdr>
                <w:top w:val="none" w:sz="0" w:space="0" w:color="auto"/>
                <w:left w:val="none" w:sz="0" w:space="0" w:color="auto"/>
                <w:bottom w:val="none" w:sz="0" w:space="0" w:color="auto"/>
                <w:right w:val="none" w:sz="0" w:space="0" w:color="auto"/>
              </w:divBdr>
            </w:div>
            <w:div w:id="479466992">
              <w:marLeft w:val="0"/>
              <w:marRight w:val="0"/>
              <w:marTop w:val="0"/>
              <w:marBottom w:val="0"/>
              <w:divBdr>
                <w:top w:val="none" w:sz="0" w:space="0" w:color="auto"/>
                <w:left w:val="none" w:sz="0" w:space="0" w:color="auto"/>
                <w:bottom w:val="none" w:sz="0" w:space="0" w:color="auto"/>
                <w:right w:val="none" w:sz="0" w:space="0" w:color="auto"/>
              </w:divBdr>
            </w:div>
            <w:div w:id="602225345">
              <w:marLeft w:val="0"/>
              <w:marRight w:val="0"/>
              <w:marTop w:val="0"/>
              <w:marBottom w:val="0"/>
              <w:divBdr>
                <w:top w:val="none" w:sz="0" w:space="0" w:color="auto"/>
                <w:left w:val="none" w:sz="0" w:space="0" w:color="auto"/>
                <w:bottom w:val="none" w:sz="0" w:space="0" w:color="auto"/>
                <w:right w:val="none" w:sz="0" w:space="0" w:color="auto"/>
              </w:divBdr>
            </w:div>
            <w:div w:id="683477464">
              <w:marLeft w:val="0"/>
              <w:marRight w:val="0"/>
              <w:marTop w:val="0"/>
              <w:marBottom w:val="0"/>
              <w:divBdr>
                <w:top w:val="none" w:sz="0" w:space="0" w:color="auto"/>
                <w:left w:val="none" w:sz="0" w:space="0" w:color="auto"/>
                <w:bottom w:val="none" w:sz="0" w:space="0" w:color="auto"/>
                <w:right w:val="none" w:sz="0" w:space="0" w:color="auto"/>
              </w:divBdr>
            </w:div>
            <w:div w:id="722558736">
              <w:marLeft w:val="0"/>
              <w:marRight w:val="0"/>
              <w:marTop w:val="0"/>
              <w:marBottom w:val="0"/>
              <w:divBdr>
                <w:top w:val="none" w:sz="0" w:space="0" w:color="auto"/>
                <w:left w:val="none" w:sz="0" w:space="0" w:color="auto"/>
                <w:bottom w:val="none" w:sz="0" w:space="0" w:color="auto"/>
                <w:right w:val="none" w:sz="0" w:space="0" w:color="auto"/>
              </w:divBdr>
            </w:div>
            <w:div w:id="761997565">
              <w:marLeft w:val="0"/>
              <w:marRight w:val="0"/>
              <w:marTop w:val="0"/>
              <w:marBottom w:val="0"/>
              <w:divBdr>
                <w:top w:val="none" w:sz="0" w:space="0" w:color="auto"/>
                <w:left w:val="none" w:sz="0" w:space="0" w:color="auto"/>
                <w:bottom w:val="none" w:sz="0" w:space="0" w:color="auto"/>
                <w:right w:val="none" w:sz="0" w:space="0" w:color="auto"/>
              </w:divBdr>
            </w:div>
            <w:div w:id="1033388227">
              <w:marLeft w:val="0"/>
              <w:marRight w:val="0"/>
              <w:marTop w:val="0"/>
              <w:marBottom w:val="0"/>
              <w:divBdr>
                <w:top w:val="none" w:sz="0" w:space="0" w:color="auto"/>
                <w:left w:val="none" w:sz="0" w:space="0" w:color="auto"/>
                <w:bottom w:val="none" w:sz="0" w:space="0" w:color="auto"/>
                <w:right w:val="none" w:sz="0" w:space="0" w:color="auto"/>
              </w:divBdr>
            </w:div>
            <w:div w:id="1060245857">
              <w:marLeft w:val="0"/>
              <w:marRight w:val="0"/>
              <w:marTop w:val="0"/>
              <w:marBottom w:val="0"/>
              <w:divBdr>
                <w:top w:val="none" w:sz="0" w:space="0" w:color="auto"/>
                <w:left w:val="none" w:sz="0" w:space="0" w:color="auto"/>
                <w:bottom w:val="none" w:sz="0" w:space="0" w:color="auto"/>
                <w:right w:val="none" w:sz="0" w:space="0" w:color="auto"/>
              </w:divBdr>
            </w:div>
            <w:div w:id="1291059977">
              <w:marLeft w:val="0"/>
              <w:marRight w:val="0"/>
              <w:marTop w:val="0"/>
              <w:marBottom w:val="0"/>
              <w:divBdr>
                <w:top w:val="none" w:sz="0" w:space="0" w:color="auto"/>
                <w:left w:val="none" w:sz="0" w:space="0" w:color="auto"/>
                <w:bottom w:val="none" w:sz="0" w:space="0" w:color="auto"/>
                <w:right w:val="none" w:sz="0" w:space="0" w:color="auto"/>
              </w:divBdr>
            </w:div>
            <w:div w:id="1425762161">
              <w:marLeft w:val="0"/>
              <w:marRight w:val="0"/>
              <w:marTop w:val="0"/>
              <w:marBottom w:val="0"/>
              <w:divBdr>
                <w:top w:val="none" w:sz="0" w:space="0" w:color="auto"/>
                <w:left w:val="none" w:sz="0" w:space="0" w:color="auto"/>
                <w:bottom w:val="none" w:sz="0" w:space="0" w:color="auto"/>
                <w:right w:val="none" w:sz="0" w:space="0" w:color="auto"/>
              </w:divBdr>
            </w:div>
            <w:div w:id="1524250444">
              <w:marLeft w:val="0"/>
              <w:marRight w:val="0"/>
              <w:marTop w:val="0"/>
              <w:marBottom w:val="0"/>
              <w:divBdr>
                <w:top w:val="none" w:sz="0" w:space="0" w:color="auto"/>
                <w:left w:val="none" w:sz="0" w:space="0" w:color="auto"/>
                <w:bottom w:val="none" w:sz="0" w:space="0" w:color="auto"/>
                <w:right w:val="none" w:sz="0" w:space="0" w:color="auto"/>
              </w:divBdr>
            </w:div>
            <w:div w:id="1618902942">
              <w:marLeft w:val="0"/>
              <w:marRight w:val="0"/>
              <w:marTop w:val="0"/>
              <w:marBottom w:val="0"/>
              <w:divBdr>
                <w:top w:val="none" w:sz="0" w:space="0" w:color="auto"/>
                <w:left w:val="none" w:sz="0" w:space="0" w:color="auto"/>
                <w:bottom w:val="none" w:sz="0" w:space="0" w:color="auto"/>
                <w:right w:val="none" w:sz="0" w:space="0" w:color="auto"/>
              </w:divBdr>
            </w:div>
            <w:div w:id="1699769191">
              <w:marLeft w:val="0"/>
              <w:marRight w:val="0"/>
              <w:marTop w:val="0"/>
              <w:marBottom w:val="0"/>
              <w:divBdr>
                <w:top w:val="none" w:sz="0" w:space="0" w:color="auto"/>
                <w:left w:val="none" w:sz="0" w:space="0" w:color="auto"/>
                <w:bottom w:val="none" w:sz="0" w:space="0" w:color="auto"/>
                <w:right w:val="none" w:sz="0" w:space="0" w:color="auto"/>
              </w:divBdr>
            </w:div>
            <w:div w:id="1724673215">
              <w:marLeft w:val="0"/>
              <w:marRight w:val="0"/>
              <w:marTop w:val="0"/>
              <w:marBottom w:val="0"/>
              <w:divBdr>
                <w:top w:val="none" w:sz="0" w:space="0" w:color="auto"/>
                <w:left w:val="none" w:sz="0" w:space="0" w:color="auto"/>
                <w:bottom w:val="none" w:sz="0" w:space="0" w:color="auto"/>
                <w:right w:val="none" w:sz="0" w:space="0" w:color="auto"/>
              </w:divBdr>
            </w:div>
            <w:div w:id="2055108230">
              <w:marLeft w:val="0"/>
              <w:marRight w:val="0"/>
              <w:marTop w:val="0"/>
              <w:marBottom w:val="0"/>
              <w:divBdr>
                <w:top w:val="none" w:sz="0" w:space="0" w:color="auto"/>
                <w:left w:val="none" w:sz="0" w:space="0" w:color="auto"/>
                <w:bottom w:val="none" w:sz="0" w:space="0" w:color="auto"/>
                <w:right w:val="none" w:sz="0" w:space="0" w:color="auto"/>
              </w:divBdr>
            </w:div>
            <w:div w:id="2135370155">
              <w:marLeft w:val="0"/>
              <w:marRight w:val="0"/>
              <w:marTop w:val="0"/>
              <w:marBottom w:val="0"/>
              <w:divBdr>
                <w:top w:val="none" w:sz="0" w:space="0" w:color="auto"/>
                <w:left w:val="none" w:sz="0" w:space="0" w:color="auto"/>
                <w:bottom w:val="none" w:sz="0" w:space="0" w:color="auto"/>
                <w:right w:val="none" w:sz="0" w:space="0" w:color="auto"/>
              </w:divBdr>
            </w:div>
          </w:divsChild>
        </w:div>
        <w:div w:id="1259948548">
          <w:marLeft w:val="0"/>
          <w:marRight w:val="0"/>
          <w:marTop w:val="0"/>
          <w:marBottom w:val="0"/>
          <w:divBdr>
            <w:top w:val="none" w:sz="0" w:space="0" w:color="auto"/>
            <w:left w:val="none" w:sz="0" w:space="0" w:color="auto"/>
            <w:bottom w:val="none" w:sz="0" w:space="0" w:color="auto"/>
            <w:right w:val="none" w:sz="0" w:space="0" w:color="auto"/>
          </w:divBdr>
          <w:divsChild>
            <w:div w:id="111872318">
              <w:marLeft w:val="0"/>
              <w:marRight w:val="0"/>
              <w:marTop w:val="0"/>
              <w:marBottom w:val="0"/>
              <w:divBdr>
                <w:top w:val="none" w:sz="0" w:space="0" w:color="auto"/>
                <w:left w:val="none" w:sz="0" w:space="0" w:color="auto"/>
                <w:bottom w:val="none" w:sz="0" w:space="0" w:color="auto"/>
                <w:right w:val="none" w:sz="0" w:space="0" w:color="auto"/>
              </w:divBdr>
            </w:div>
            <w:div w:id="167333516">
              <w:marLeft w:val="0"/>
              <w:marRight w:val="0"/>
              <w:marTop w:val="0"/>
              <w:marBottom w:val="0"/>
              <w:divBdr>
                <w:top w:val="none" w:sz="0" w:space="0" w:color="auto"/>
                <w:left w:val="none" w:sz="0" w:space="0" w:color="auto"/>
                <w:bottom w:val="none" w:sz="0" w:space="0" w:color="auto"/>
                <w:right w:val="none" w:sz="0" w:space="0" w:color="auto"/>
              </w:divBdr>
            </w:div>
            <w:div w:id="228812613">
              <w:marLeft w:val="0"/>
              <w:marRight w:val="0"/>
              <w:marTop w:val="0"/>
              <w:marBottom w:val="0"/>
              <w:divBdr>
                <w:top w:val="none" w:sz="0" w:space="0" w:color="auto"/>
                <w:left w:val="none" w:sz="0" w:space="0" w:color="auto"/>
                <w:bottom w:val="none" w:sz="0" w:space="0" w:color="auto"/>
                <w:right w:val="none" w:sz="0" w:space="0" w:color="auto"/>
              </w:divBdr>
            </w:div>
            <w:div w:id="251595400">
              <w:marLeft w:val="0"/>
              <w:marRight w:val="0"/>
              <w:marTop w:val="0"/>
              <w:marBottom w:val="0"/>
              <w:divBdr>
                <w:top w:val="none" w:sz="0" w:space="0" w:color="auto"/>
                <w:left w:val="none" w:sz="0" w:space="0" w:color="auto"/>
                <w:bottom w:val="none" w:sz="0" w:space="0" w:color="auto"/>
                <w:right w:val="none" w:sz="0" w:space="0" w:color="auto"/>
              </w:divBdr>
            </w:div>
            <w:div w:id="466241591">
              <w:marLeft w:val="0"/>
              <w:marRight w:val="0"/>
              <w:marTop w:val="0"/>
              <w:marBottom w:val="0"/>
              <w:divBdr>
                <w:top w:val="none" w:sz="0" w:space="0" w:color="auto"/>
                <w:left w:val="none" w:sz="0" w:space="0" w:color="auto"/>
                <w:bottom w:val="none" w:sz="0" w:space="0" w:color="auto"/>
                <w:right w:val="none" w:sz="0" w:space="0" w:color="auto"/>
              </w:divBdr>
            </w:div>
            <w:div w:id="515274201">
              <w:marLeft w:val="0"/>
              <w:marRight w:val="0"/>
              <w:marTop w:val="0"/>
              <w:marBottom w:val="0"/>
              <w:divBdr>
                <w:top w:val="none" w:sz="0" w:space="0" w:color="auto"/>
                <w:left w:val="none" w:sz="0" w:space="0" w:color="auto"/>
                <w:bottom w:val="none" w:sz="0" w:space="0" w:color="auto"/>
                <w:right w:val="none" w:sz="0" w:space="0" w:color="auto"/>
              </w:divBdr>
            </w:div>
            <w:div w:id="542521147">
              <w:marLeft w:val="0"/>
              <w:marRight w:val="0"/>
              <w:marTop w:val="0"/>
              <w:marBottom w:val="0"/>
              <w:divBdr>
                <w:top w:val="none" w:sz="0" w:space="0" w:color="auto"/>
                <w:left w:val="none" w:sz="0" w:space="0" w:color="auto"/>
                <w:bottom w:val="none" w:sz="0" w:space="0" w:color="auto"/>
                <w:right w:val="none" w:sz="0" w:space="0" w:color="auto"/>
              </w:divBdr>
            </w:div>
            <w:div w:id="717096702">
              <w:marLeft w:val="0"/>
              <w:marRight w:val="0"/>
              <w:marTop w:val="0"/>
              <w:marBottom w:val="0"/>
              <w:divBdr>
                <w:top w:val="none" w:sz="0" w:space="0" w:color="auto"/>
                <w:left w:val="none" w:sz="0" w:space="0" w:color="auto"/>
                <w:bottom w:val="none" w:sz="0" w:space="0" w:color="auto"/>
                <w:right w:val="none" w:sz="0" w:space="0" w:color="auto"/>
              </w:divBdr>
            </w:div>
            <w:div w:id="757294640">
              <w:marLeft w:val="0"/>
              <w:marRight w:val="0"/>
              <w:marTop w:val="0"/>
              <w:marBottom w:val="0"/>
              <w:divBdr>
                <w:top w:val="none" w:sz="0" w:space="0" w:color="auto"/>
                <w:left w:val="none" w:sz="0" w:space="0" w:color="auto"/>
                <w:bottom w:val="none" w:sz="0" w:space="0" w:color="auto"/>
                <w:right w:val="none" w:sz="0" w:space="0" w:color="auto"/>
              </w:divBdr>
            </w:div>
            <w:div w:id="788162927">
              <w:marLeft w:val="0"/>
              <w:marRight w:val="0"/>
              <w:marTop w:val="0"/>
              <w:marBottom w:val="0"/>
              <w:divBdr>
                <w:top w:val="none" w:sz="0" w:space="0" w:color="auto"/>
                <w:left w:val="none" w:sz="0" w:space="0" w:color="auto"/>
                <w:bottom w:val="none" w:sz="0" w:space="0" w:color="auto"/>
                <w:right w:val="none" w:sz="0" w:space="0" w:color="auto"/>
              </w:divBdr>
            </w:div>
            <w:div w:id="1096318261">
              <w:marLeft w:val="0"/>
              <w:marRight w:val="0"/>
              <w:marTop w:val="0"/>
              <w:marBottom w:val="0"/>
              <w:divBdr>
                <w:top w:val="none" w:sz="0" w:space="0" w:color="auto"/>
                <w:left w:val="none" w:sz="0" w:space="0" w:color="auto"/>
                <w:bottom w:val="none" w:sz="0" w:space="0" w:color="auto"/>
                <w:right w:val="none" w:sz="0" w:space="0" w:color="auto"/>
              </w:divBdr>
            </w:div>
            <w:div w:id="1279723462">
              <w:marLeft w:val="0"/>
              <w:marRight w:val="0"/>
              <w:marTop w:val="0"/>
              <w:marBottom w:val="0"/>
              <w:divBdr>
                <w:top w:val="none" w:sz="0" w:space="0" w:color="auto"/>
                <w:left w:val="none" w:sz="0" w:space="0" w:color="auto"/>
                <w:bottom w:val="none" w:sz="0" w:space="0" w:color="auto"/>
                <w:right w:val="none" w:sz="0" w:space="0" w:color="auto"/>
              </w:divBdr>
            </w:div>
            <w:div w:id="1430665454">
              <w:marLeft w:val="0"/>
              <w:marRight w:val="0"/>
              <w:marTop w:val="0"/>
              <w:marBottom w:val="0"/>
              <w:divBdr>
                <w:top w:val="none" w:sz="0" w:space="0" w:color="auto"/>
                <w:left w:val="none" w:sz="0" w:space="0" w:color="auto"/>
                <w:bottom w:val="none" w:sz="0" w:space="0" w:color="auto"/>
                <w:right w:val="none" w:sz="0" w:space="0" w:color="auto"/>
              </w:divBdr>
            </w:div>
            <w:div w:id="1488128922">
              <w:marLeft w:val="0"/>
              <w:marRight w:val="0"/>
              <w:marTop w:val="0"/>
              <w:marBottom w:val="0"/>
              <w:divBdr>
                <w:top w:val="none" w:sz="0" w:space="0" w:color="auto"/>
                <w:left w:val="none" w:sz="0" w:space="0" w:color="auto"/>
                <w:bottom w:val="none" w:sz="0" w:space="0" w:color="auto"/>
                <w:right w:val="none" w:sz="0" w:space="0" w:color="auto"/>
              </w:divBdr>
            </w:div>
            <w:div w:id="1596937596">
              <w:marLeft w:val="0"/>
              <w:marRight w:val="0"/>
              <w:marTop w:val="0"/>
              <w:marBottom w:val="0"/>
              <w:divBdr>
                <w:top w:val="none" w:sz="0" w:space="0" w:color="auto"/>
                <w:left w:val="none" w:sz="0" w:space="0" w:color="auto"/>
                <w:bottom w:val="none" w:sz="0" w:space="0" w:color="auto"/>
                <w:right w:val="none" w:sz="0" w:space="0" w:color="auto"/>
              </w:divBdr>
            </w:div>
            <w:div w:id="1603879083">
              <w:marLeft w:val="0"/>
              <w:marRight w:val="0"/>
              <w:marTop w:val="0"/>
              <w:marBottom w:val="0"/>
              <w:divBdr>
                <w:top w:val="none" w:sz="0" w:space="0" w:color="auto"/>
                <w:left w:val="none" w:sz="0" w:space="0" w:color="auto"/>
                <w:bottom w:val="none" w:sz="0" w:space="0" w:color="auto"/>
                <w:right w:val="none" w:sz="0" w:space="0" w:color="auto"/>
              </w:divBdr>
            </w:div>
            <w:div w:id="1728071029">
              <w:marLeft w:val="0"/>
              <w:marRight w:val="0"/>
              <w:marTop w:val="0"/>
              <w:marBottom w:val="0"/>
              <w:divBdr>
                <w:top w:val="none" w:sz="0" w:space="0" w:color="auto"/>
                <w:left w:val="none" w:sz="0" w:space="0" w:color="auto"/>
                <w:bottom w:val="none" w:sz="0" w:space="0" w:color="auto"/>
                <w:right w:val="none" w:sz="0" w:space="0" w:color="auto"/>
              </w:divBdr>
            </w:div>
            <w:div w:id="1736512872">
              <w:marLeft w:val="0"/>
              <w:marRight w:val="0"/>
              <w:marTop w:val="0"/>
              <w:marBottom w:val="0"/>
              <w:divBdr>
                <w:top w:val="none" w:sz="0" w:space="0" w:color="auto"/>
                <w:left w:val="none" w:sz="0" w:space="0" w:color="auto"/>
                <w:bottom w:val="none" w:sz="0" w:space="0" w:color="auto"/>
                <w:right w:val="none" w:sz="0" w:space="0" w:color="auto"/>
              </w:divBdr>
            </w:div>
            <w:div w:id="1780224706">
              <w:marLeft w:val="0"/>
              <w:marRight w:val="0"/>
              <w:marTop w:val="0"/>
              <w:marBottom w:val="0"/>
              <w:divBdr>
                <w:top w:val="none" w:sz="0" w:space="0" w:color="auto"/>
                <w:left w:val="none" w:sz="0" w:space="0" w:color="auto"/>
                <w:bottom w:val="none" w:sz="0" w:space="0" w:color="auto"/>
                <w:right w:val="none" w:sz="0" w:space="0" w:color="auto"/>
              </w:divBdr>
            </w:div>
            <w:div w:id="191512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footer" Target="footer52.xml"/><Relationship Id="rId299" Type="http://schemas.openxmlformats.org/officeDocument/2006/relationships/header" Target="header144.xml"/><Relationship Id="rId303" Type="http://schemas.openxmlformats.org/officeDocument/2006/relationships/footer" Target="footer145.xml"/><Relationship Id="rId21" Type="http://schemas.openxmlformats.org/officeDocument/2006/relationships/footer" Target="footer5.xml"/><Relationship Id="rId42" Type="http://schemas.openxmlformats.org/officeDocument/2006/relationships/header" Target="header15.xml"/><Relationship Id="rId63" Type="http://schemas.openxmlformats.org/officeDocument/2006/relationships/footer" Target="footer25.xml"/><Relationship Id="rId84" Type="http://schemas.openxmlformats.org/officeDocument/2006/relationships/header" Target="header36.xml"/><Relationship Id="rId138" Type="http://schemas.openxmlformats.org/officeDocument/2006/relationships/header" Target="header63.xml"/><Relationship Id="rId159" Type="http://schemas.openxmlformats.org/officeDocument/2006/relationships/header" Target="header74.xml"/><Relationship Id="rId324" Type="http://schemas.openxmlformats.org/officeDocument/2006/relationships/header" Target="header156.xml"/><Relationship Id="rId170" Type="http://schemas.openxmlformats.org/officeDocument/2006/relationships/header" Target="header79.xml"/><Relationship Id="rId191" Type="http://schemas.openxmlformats.org/officeDocument/2006/relationships/header" Target="header90.xml"/><Relationship Id="rId205" Type="http://schemas.openxmlformats.org/officeDocument/2006/relationships/header" Target="header97.xml"/><Relationship Id="rId226" Type="http://schemas.openxmlformats.org/officeDocument/2006/relationships/footer" Target="footer106.xml"/><Relationship Id="rId247" Type="http://schemas.openxmlformats.org/officeDocument/2006/relationships/footer" Target="footer117.xml"/><Relationship Id="rId107" Type="http://schemas.openxmlformats.org/officeDocument/2006/relationships/footer" Target="footer47.xml"/><Relationship Id="rId268" Type="http://schemas.openxmlformats.org/officeDocument/2006/relationships/footer" Target="footer127.xml"/><Relationship Id="rId289" Type="http://schemas.openxmlformats.org/officeDocument/2006/relationships/footer" Target="footer138.xml"/><Relationship Id="rId11" Type="http://schemas.openxmlformats.org/officeDocument/2006/relationships/image" Target="media/image1.emf"/><Relationship Id="rId32" Type="http://schemas.openxmlformats.org/officeDocument/2006/relationships/footer" Target="footer10.xml"/><Relationship Id="rId53" Type="http://schemas.openxmlformats.org/officeDocument/2006/relationships/footer" Target="footer20.xml"/><Relationship Id="rId74" Type="http://schemas.openxmlformats.org/officeDocument/2006/relationships/header" Target="header31.xml"/><Relationship Id="rId128" Type="http://schemas.openxmlformats.org/officeDocument/2006/relationships/header" Target="header58.xml"/><Relationship Id="rId149" Type="http://schemas.openxmlformats.org/officeDocument/2006/relationships/footer" Target="footer68.xml"/><Relationship Id="rId314" Type="http://schemas.openxmlformats.org/officeDocument/2006/relationships/header" Target="header151.xml"/><Relationship Id="rId335" Type="http://schemas.openxmlformats.org/officeDocument/2006/relationships/theme" Target="theme/theme1.xml"/><Relationship Id="rId5" Type="http://schemas.openxmlformats.org/officeDocument/2006/relationships/numbering" Target="numbering.xml"/><Relationship Id="rId95" Type="http://schemas.openxmlformats.org/officeDocument/2006/relationships/footer" Target="footer41.xml"/><Relationship Id="rId160" Type="http://schemas.openxmlformats.org/officeDocument/2006/relationships/footer" Target="footer73.xml"/><Relationship Id="rId181" Type="http://schemas.openxmlformats.org/officeDocument/2006/relationships/footer" Target="footer84.xml"/><Relationship Id="rId216" Type="http://schemas.openxmlformats.org/officeDocument/2006/relationships/header" Target="header102.xml"/><Relationship Id="rId237" Type="http://schemas.openxmlformats.org/officeDocument/2006/relationships/header" Target="header113.xml"/><Relationship Id="rId258" Type="http://schemas.openxmlformats.org/officeDocument/2006/relationships/header" Target="header123.xml"/><Relationship Id="rId279" Type="http://schemas.openxmlformats.org/officeDocument/2006/relationships/footer" Target="footer133.xml"/><Relationship Id="rId22" Type="http://schemas.openxmlformats.org/officeDocument/2006/relationships/header" Target="header6.xml"/><Relationship Id="rId43" Type="http://schemas.openxmlformats.org/officeDocument/2006/relationships/header" Target="header16.xml"/><Relationship Id="rId64" Type="http://schemas.openxmlformats.org/officeDocument/2006/relationships/header" Target="header26.xml"/><Relationship Id="rId118" Type="http://schemas.openxmlformats.org/officeDocument/2006/relationships/header" Target="header53.xml"/><Relationship Id="rId139" Type="http://schemas.openxmlformats.org/officeDocument/2006/relationships/footer" Target="footer63.xml"/><Relationship Id="rId290" Type="http://schemas.openxmlformats.org/officeDocument/2006/relationships/header" Target="header139.xml"/><Relationship Id="rId304" Type="http://schemas.openxmlformats.org/officeDocument/2006/relationships/header" Target="header146.xml"/><Relationship Id="rId325" Type="http://schemas.openxmlformats.org/officeDocument/2006/relationships/header" Target="header157.xml"/><Relationship Id="rId85" Type="http://schemas.openxmlformats.org/officeDocument/2006/relationships/footer" Target="footer36.xml"/><Relationship Id="rId150" Type="http://schemas.openxmlformats.org/officeDocument/2006/relationships/header" Target="header69.xml"/><Relationship Id="rId171" Type="http://schemas.openxmlformats.org/officeDocument/2006/relationships/header" Target="header80.xml"/><Relationship Id="rId192" Type="http://schemas.openxmlformats.org/officeDocument/2006/relationships/footer" Target="footer89.xml"/><Relationship Id="rId206" Type="http://schemas.openxmlformats.org/officeDocument/2006/relationships/footer" Target="footer96.xml"/><Relationship Id="rId227" Type="http://schemas.openxmlformats.org/officeDocument/2006/relationships/footer" Target="footer107.xml"/><Relationship Id="rId248" Type="http://schemas.openxmlformats.org/officeDocument/2006/relationships/header" Target="header118.xml"/><Relationship Id="rId269" Type="http://schemas.openxmlformats.org/officeDocument/2006/relationships/footer" Target="footer128.xml"/><Relationship Id="rId12" Type="http://schemas.openxmlformats.org/officeDocument/2006/relationships/header" Target="header1.xml"/><Relationship Id="rId33" Type="http://schemas.openxmlformats.org/officeDocument/2006/relationships/footer" Target="footer11.xml"/><Relationship Id="rId108" Type="http://schemas.openxmlformats.org/officeDocument/2006/relationships/header" Target="header48.xml"/><Relationship Id="rId129" Type="http://schemas.openxmlformats.org/officeDocument/2006/relationships/header" Target="header59.xml"/><Relationship Id="rId280" Type="http://schemas.openxmlformats.org/officeDocument/2006/relationships/header" Target="header134.xml"/><Relationship Id="rId315" Type="http://schemas.openxmlformats.org/officeDocument/2006/relationships/footer" Target="footer151.xml"/><Relationship Id="rId54" Type="http://schemas.openxmlformats.org/officeDocument/2006/relationships/header" Target="header21.xml"/><Relationship Id="rId75" Type="http://schemas.openxmlformats.org/officeDocument/2006/relationships/footer" Target="footer31.xml"/><Relationship Id="rId96" Type="http://schemas.openxmlformats.org/officeDocument/2006/relationships/header" Target="header42.xml"/><Relationship Id="rId140" Type="http://schemas.openxmlformats.org/officeDocument/2006/relationships/header" Target="header64.xml"/><Relationship Id="rId161" Type="http://schemas.openxmlformats.org/officeDocument/2006/relationships/footer" Target="footer74.xml"/><Relationship Id="rId182" Type="http://schemas.openxmlformats.org/officeDocument/2006/relationships/header" Target="header85.xml"/><Relationship Id="rId217" Type="http://schemas.openxmlformats.org/officeDocument/2006/relationships/footer" Target="footer102.xml"/><Relationship Id="rId6" Type="http://schemas.openxmlformats.org/officeDocument/2006/relationships/styles" Target="styles.xml"/><Relationship Id="rId238" Type="http://schemas.openxmlformats.org/officeDocument/2006/relationships/footer" Target="footer112.xml"/><Relationship Id="rId259" Type="http://schemas.openxmlformats.org/officeDocument/2006/relationships/footer" Target="footer123.xml"/><Relationship Id="rId23" Type="http://schemas.openxmlformats.org/officeDocument/2006/relationships/footer" Target="footer6.xml"/><Relationship Id="rId119" Type="http://schemas.openxmlformats.org/officeDocument/2006/relationships/footer" Target="footer53.xml"/><Relationship Id="rId270" Type="http://schemas.openxmlformats.org/officeDocument/2006/relationships/header" Target="header129.xml"/><Relationship Id="rId291" Type="http://schemas.openxmlformats.org/officeDocument/2006/relationships/footer" Target="footer139.xml"/><Relationship Id="rId305" Type="http://schemas.openxmlformats.org/officeDocument/2006/relationships/header" Target="header147.xml"/><Relationship Id="rId326" Type="http://schemas.openxmlformats.org/officeDocument/2006/relationships/footer" Target="footer156.xml"/><Relationship Id="rId44" Type="http://schemas.openxmlformats.org/officeDocument/2006/relationships/footer" Target="footer15.xml"/><Relationship Id="rId65" Type="http://schemas.openxmlformats.org/officeDocument/2006/relationships/header" Target="header27.xml"/><Relationship Id="rId86" Type="http://schemas.openxmlformats.org/officeDocument/2006/relationships/header" Target="header37.xml"/><Relationship Id="rId130" Type="http://schemas.openxmlformats.org/officeDocument/2006/relationships/footer" Target="footer58.xml"/><Relationship Id="rId151" Type="http://schemas.openxmlformats.org/officeDocument/2006/relationships/footer" Target="footer69.xml"/><Relationship Id="rId172" Type="http://schemas.openxmlformats.org/officeDocument/2006/relationships/footer" Target="footer79.xml"/><Relationship Id="rId193" Type="http://schemas.openxmlformats.org/officeDocument/2006/relationships/footer" Target="footer90.xml"/><Relationship Id="rId207" Type="http://schemas.openxmlformats.org/officeDocument/2006/relationships/footer" Target="footer97.xml"/><Relationship Id="rId228" Type="http://schemas.openxmlformats.org/officeDocument/2006/relationships/header" Target="header108.xml"/><Relationship Id="rId249" Type="http://schemas.openxmlformats.org/officeDocument/2006/relationships/header" Target="header119.xml"/><Relationship Id="rId13" Type="http://schemas.openxmlformats.org/officeDocument/2006/relationships/header" Target="header2.xml"/><Relationship Id="rId109" Type="http://schemas.openxmlformats.org/officeDocument/2006/relationships/header" Target="header49.xml"/><Relationship Id="rId260" Type="http://schemas.openxmlformats.org/officeDocument/2006/relationships/header" Target="header124.xml"/><Relationship Id="rId281" Type="http://schemas.openxmlformats.org/officeDocument/2006/relationships/header" Target="header135.xml"/><Relationship Id="rId316" Type="http://schemas.openxmlformats.org/officeDocument/2006/relationships/header" Target="header152.xml"/><Relationship Id="rId34" Type="http://schemas.openxmlformats.org/officeDocument/2006/relationships/header" Target="header12.xml"/><Relationship Id="rId55" Type="http://schemas.openxmlformats.org/officeDocument/2006/relationships/header" Target="header22.xml"/><Relationship Id="rId76" Type="http://schemas.openxmlformats.org/officeDocument/2006/relationships/header" Target="header32.xml"/><Relationship Id="rId97" Type="http://schemas.openxmlformats.org/officeDocument/2006/relationships/footer" Target="footer42.xml"/><Relationship Id="rId120" Type="http://schemas.openxmlformats.org/officeDocument/2006/relationships/header" Target="header54.xml"/><Relationship Id="rId141" Type="http://schemas.openxmlformats.org/officeDocument/2006/relationships/header" Target="header65.xml"/><Relationship Id="rId7" Type="http://schemas.openxmlformats.org/officeDocument/2006/relationships/settings" Target="settings.xml"/><Relationship Id="rId162" Type="http://schemas.openxmlformats.org/officeDocument/2006/relationships/header" Target="header75.xml"/><Relationship Id="rId183" Type="http://schemas.openxmlformats.org/officeDocument/2006/relationships/footer" Target="footer85.xml"/><Relationship Id="rId218" Type="http://schemas.openxmlformats.org/officeDocument/2006/relationships/header" Target="header103.xml"/><Relationship Id="rId239" Type="http://schemas.openxmlformats.org/officeDocument/2006/relationships/footer" Target="footer113.xml"/><Relationship Id="rId250" Type="http://schemas.openxmlformats.org/officeDocument/2006/relationships/footer" Target="footer118.xml"/><Relationship Id="rId271" Type="http://schemas.openxmlformats.org/officeDocument/2006/relationships/footer" Target="footer129.xml"/><Relationship Id="rId292" Type="http://schemas.openxmlformats.org/officeDocument/2006/relationships/header" Target="header140.xml"/><Relationship Id="rId306" Type="http://schemas.openxmlformats.org/officeDocument/2006/relationships/footer" Target="footer146.xml"/><Relationship Id="rId24" Type="http://schemas.openxmlformats.org/officeDocument/2006/relationships/header" Target="header7.xml"/><Relationship Id="rId45" Type="http://schemas.openxmlformats.org/officeDocument/2006/relationships/footer" Target="footer16.xml"/><Relationship Id="rId66" Type="http://schemas.openxmlformats.org/officeDocument/2006/relationships/footer" Target="footer26.xml"/><Relationship Id="rId87" Type="http://schemas.openxmlformats.org/officeDocument/2006/relationships/header" Target="header38.xml"/><Relationship Id="rId110" Type="http://schemas.openxmlformats.org/officeDocument/2006/relationships/footer" Target="footer48.xml"/><Relationship Id="rId131" Type="http://schemas.openxmlformats.org/officeDocument/2006/relationships/footer" Target="footer59.xml"/><Relationship Id="rId327" Type="http://schemas.openxmlformats.org/officeDocument/2006/relationships/footer" Target="footer157.xml"/><Relationship Id="rId152" Type="http://schemas.openxmlformats.org/officeDocument/2006/relationships/header" Target="header70.xml"/><Relationship Id="rId173" Type="http://schemas.openxmlformats.org/officeDocument/2006/relationships/footer" Target="footer80.xml"/><Relationship Id="rId194" Type="http://schemas.openxmlformats.org/officeDocument/2006/relationships/header" Target="header91.xml"/><Relationship Id="rId208" Type="http://schemas.openxmlformats.org/officeDocument/2006/relationships/header" Target="header98.xml"/><Relationship Id="rId229" Type="http://schemas.openxmlformats.org/officeDocument/2006/relationships/footer" Target="footer108.xml"/><Relationship Id="rId240" Type="http://schemas.openxmlformats.org/officeDocument/2006/relationships/header" Target="header114.xml"/><Relationship Id="rId261" Type="http://schemas.openxmlformats.org/officeDocument/2006/relationships/header" Target="header125.xml"/><Relationship Id="rId14" Type="http://schemas.openxmlformats.org/officeDocument/2006/relationships/footer" Target="footer1.xml"/><Relationship Id="rId35" Type="http://schemas.openxmlformats.org/officeDocument/2006/relationships/footer" Target="footer12.xml"/><Relationship Id="rId56" Type="http://schemas.openxmlformats.org/officeDocument/2006/relationships/footer" Target="footer21.xml"/><Relationship Id="rId77" Type="http://schemas.openxmlformats.org/officeDocument/2006/relationships/footer" Target="footer32.xml"/><Relationship Id="rId100" Type="http://schemas.openxmlformats.org/officeDocument/2006/relationships/header" Target="header44.xml"/><Relationship Id="rId282" Type="http://schemas.openxmlformats.org/officeDocument/2006/relationships/footer" Target="footer134.xml"/><Relationship Id="rId317" Type="http://schemas.openxmlformats.org/officeDocument/2006/relationships/header" Target="header153.xml"/><Relationship Id="rId8" Type="http://schemas.openxmlformats.org/officeDocument/2006/relationships/webSettings" Target="webSettings.xml"/><Relationship Id="rId51" Type="http://schemas.openxmlformats.org/officeDocument/2006/relationships/footer" Target="footer19.xml"/><Relationship Id="rId72" Type="http://schemas.openxmlformats.org/officeDocument/2006/relationships/footer" Target="footer29.xml"/><Relationship Id="rId93" Type="http://schemas.openxmlformats.org/officeDocument/2006/relationships/header" Target="header41.xml"/><Relationship Id="rId98" Type="http://schemas.openxmlformats.org/officeDocument/2006/relationships/header" Target="header43.xml"/><Relationship Id="rId121" Type="http://schemas.openxmlformats.org/officeDocument/2006/relationships/footer" Target="footer54.xml"/><Relationship Id="rId142" Type="http://schemas.openxmlformats.org/officeDocument/2006/relationships/footer" Target="footer64.xml"/><Relationship Id="rId163" Type="http://schemas.openxmlformats.org/officeDocument/2006/relationships/footer" Target="footer75.xml"/><Relationship Id="rId184" Type="http://schemas.openxmlformats.org/officeDocument/2006/relationships/header" Target="header86.xml"/><Relationship Id="rId189" Type="http://schemas.openxmlformats.org/officeDocument/2006/relationships/footer" Target="footer88.xml"/><Relationship Id="rId219" Type="http://schemas.openxmlformats.org/officeDocument/2006/relationships/header" Target="header104.xml"/><Relationship Id="rId3" Type="http://schemas.openxmlformats.org/officeDocument/2006/relationships/customXml" Target="../customXml/item3.xml"/><Relationship Id="rId214" Type="http://schemas.openxmlformats.org/officeDocument/2006/relationships/footer" Target="footer100.xml"/><Relationship Id="rId230" Type="http://schemas.openxmlformats.org/officeDocument/2006/relationships/header" Target="header109.xml"/><Relationship Id="rId235" Type="http://schemas.openxmlformats.org/officeDocument/2006/relationships/footer" Target="footer111.xml"/><Relationship Id="rId251" Type="http://schemas.openxmlformats.org/officeDocument/2006/relationships/footer" Target="footer119.xml"/><Relationship Id="rId256" Type="http://schemas.openxmlformats.org/officeDocument/2006/relationships/footer" Target="footer121.xml"/><Relationship Id="rId277" Type="http://schemas.openxmlformats.org/officeDocument/2006/relationships/footer" Target="footer132.xml"/><Relationship Id="rId298" Type="http://schemas.openxmlformats.org/officeDocument/2006/relationships/header" Target="header143.xml"/><Relationship Id="rId25" Type="http://schemas.openxmlformats.org/officeDocument/2006/relationships/header" Target="header8.xml"/><Relationship Id="rId46" Type="http://schemas.openxmlformats.org/officeDocument/2006/relationships/header" Target="header17.xml"/><Relationship Id="rId67" Type="http://schemas.openxmlformats.org/officeDocument/2006/relationships/footer" Target="footer27.xml"/><Relationship Id="rId116" Type="http://schemas.openxmlformats.org/officeDocument/2006/relationships/footer" Target="footer51.xml"/><Relationship Id="rId137" Type="http://schemas.openxmlformats.org/officeDocument/2006/relationships/footer" Target="footer62.xml"/><Relationship Id="rId158" Type="http://schemas.openxmlformats.org/officeDocument/2006/relationships/header" Target="header73.xml"/><Relationship Id="rId272" Type="http://schemas.openxmlformats.org/officeDocument/2006/relationships/header" Target="header130.xml"/><Relationship Id="rId293" Type="http://schemas.openxmlformats.org/officeDocument/2006/relationships/header" Target="header141.xml"/><Relationship Id="rId302" Type="http://schemas.openxmlformats.org/officeDocument/2006/relationships/header" Target="header145.xml"/><Relationship Id="rId307" Type="http://schemas.openxmlformats.org/officeDocument/2006/relationships/footer" Target="footer147.xml"/><Relationship Id="rId323" Type="http://schemas.openxmlformats.org/officeDocument/2006/relationships/footer" Target="footer155.xml"/><Relationship Id="rId328" Type="http://schemas.openxmlformats.org/officeDocument/2006/relationships/header" Target="header158.xml"/><Relationship Id="rId20" Type="http://schemas.openxmlformats.org/officeDocument/2006/relationships/footer" Target="footer4.xml"/><Relationship Id="rId41" Type="http://schemas.openxmlformats.org/officeDocument/2006/relationships/footer" Target="footer14.xml"/><Relationship Id="rId62" Type="http://schemas.openxmlformats.org/officeDocument/2006/relationships/header" Target="header25.xml"/><Relationship Id="rId83" Type="http://schemas.openxmlformats.org/officeDocument/2006/relationships/footer" Target="footer35.xml"/><Relationship Id="rId88" Type="http://schemas.openxmlformats.org/officeDocument/2006/relationships/footer" Target="footer37.xml"/><Relationship Id="rId111" Type="http://schemas.openxmlformats.org/officeDocument/2006/relationships/footer" Target="footer49.xml"/><Relationship Id="rId132" Type="http://schemas.openxmlformats.org/officeDocument/2006/relationships/header" Target="header60.xml"/><Relationship Id="rId153" Type="http://schemas.openxmlformats.org/officeDocument/2006/relationships/header" Target="header71.xml"/><Relationship Id="rId174" Type="http://schemas.openxmlformats.org/officeDocument/2006/relationships/header" Target="header81.xml"/><Relationship Id="rId179" Type="http://schemas.openxmlformats.org/officeDocument/2006/relationships/header" Target="header84.xml"/><Relationship Id="rId195" Type="http://schemas.openxmlformats.org/officeDocument/2006/relationships/footer" Target="footer91.xml"/><Relationship Id="rId209" Type="http://schemas.openxmlformats.org/officeDocument/2006/relationships/footer" Target="footer98.xml"/><Relationship Id="rId190" Type="http://schemas.openxmlformats.org/officeDocument/2006/relationships/header" Target="header89.xml"/><Relationship Id="rId204" Type="http://schemas.openxmlformats.org/officeDocument/2006/relationships/header" Target="header96.xml"/><Relationship Id="rId220" Type="http://schemas.openxmlformats.org/officeDocument/2006/relationships/footer" Target="footer103.xml"/><Relationship Id="rId225" Type="http://schemas.openxmlformats.org/officeDocument/2006/relationships/header" Target="header107.xml"/><Relationship Id="rId241" Type="http://schemas.openxmlformats.org/officeDocument/2006/relationships/footer" Target="footer114.xml"/><Relationship Id="rId246" Type="http://schemas.openxmlformats.org/officeDocument/2006/relationships/header" Target="header117.xml"/><Relationship Id="rId267" Type="http://schemas.openxmlformats.org/officeDocument/2006/relationships/header" Target="header128.xml"/><Relationship Id="rId288" Type="http://schemas.openxmlformats.org/officeDocument/2006/relationships/footer" Target="footer137.xml"/><Relationship Id="rId15" Type="http://schemas.openxmlformats.org/officeDocument/2006/relationships/footer" Target="footer2.xml"/><Relationship Id="rId36" Type="http://schemas.openxmlformats.org/officeDocument/2006/relationships/hyperlink" Target="https://www.inps.it/" TargetMode="External"/><Relationship Id="rId57" Type="http://schemas.openxmlformats.org/officeDocument/2006/relationships/footer" Target="footer22.xml"/><Relationship Id="rId106" Type="http://schemas.openxmlformats.org/officeDocument/2006/relationships/header" Target="header47.xml"/><Relationship Id="rId127" Type="http://schemas.openxmlformats.org/officeDocument/2006/relationships/footer" Target="footer57.xml"/><Relationship Id="rId262" Type="http://schemas.openxmlformats.org/officeDocument/2006/relationships/footer" Target="footer124.xml"/><Relationship Id="rId283" Type="http://schemas.openxmlformats.org/officeDocument/2006/relationships/footer" Target="footer135.xml"/><Relationship Id="rId313" Type="http://schemas.openxmlformats.org/officeDocument/2006/relationships/footer" Target="footer150.xml"/><Relationship Id="rId318" Type="http://schemas.openxmlformats.org/officeDocument/2006/relationships/footer" Target="footer152.xml"/><Relationship Id="rId10" Type="http://schemas.openxmlformats.org/officeDocument/2006/relationships/endnotes" Target="endnotes.xml"/><Relationship Id="rId31" Type="http://schemas.openxmlformats.org/officeDocument/2006/relationships/header" Target="header11.xml"/><Relationship Id="rId52" Type="http://schemas.openxmlformats.org/officeDocument/2006/relationships/header" Target="header20.xml"/><Relationship Id="rId73" Type="http://schemas.openxmlformats.org/officeDocument/2006/relationships/footer" Target="footer30.xml"/><Relationship Id="rId78" Type="http://schemas.openxmlformats.org/officeDocument/2006/relationships/header" Target="header33.xml"/><Relationship Id="rId94" Type="http://schemas.openxmlformats.org/officeDocument/2006/relationships/footer" Target="footer40.xml"/><Relationship Id="rId99" Type="http://schemas.openxmlformats.org/officeDocument/2006/relationships/footer" Target="footer43.xml"/><Relationship Id="rId101" Type="http://schemas.openxmlformats.org/officeDocument/2006/relationships/footer" Target="footer44.xml"/><Relationship Id="rId122" Type="http://schemas.openxmlformats.org/officeDocument/2006/relationships/header" Target="header55.xml"/><Relationship Id="rId143" Type="http://schemas.openxmlformats.org/officeDocument/2006/relationships/footer" Target="footer65.xml"/><Relationship Id="rId148" Type="http://schemas.openxmlformats.org/officeDocument/2006/relationships/footer" Target="footer67.xml"/><Relationship Id="rId164" Type="http://schemas.openxmlformats.org/officeDocument/2006/relationships/header" Target="header76.xml"/><Relationship Id="rId169" Type="http://schemas.openxmlformats.org/officeDocument/2006/relationships/footer" Target="footer78.xml"/><Relationship Id="rId185" Type="http://schemas.openxmlformats.org/officeDocument/2006/relationships/header" Target="header87.xml"/><Relationship Id="rId33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footer" Target="footer83.xml"/><Relationship Id="rId210" Type="http://schemas.openxmlformats.org/officeDocument/2006/relationships/header" Target="header99.xml"/><Relationship Id="rId215" Type="http://schemas.openxmlformats.org/officeDocument/2006/relationships/footer" Target="footer101.xml"/><Relationship Id="rId236" Type="http://schemas.openxmlformats.org/officeDocument/2006/relationships/header" Target="header112.xml"/><Relationship Id="rId257" Type="http://schemas.openxmlformats.org/officeDocument/2006/relationships/footer" Target="footer122.xml"/><Relationship Id="rId278" Type="http://schemas.openxmlformats.org/officeDocument/2006/relationships/header" Target="header133.xml"/><Relationship Id="rId26" Type="http://schemas.openxmlformats.org/officeDocument/2006/relationships/footer" Target="footer7.xml"/><Relationship Id="rId231" Type="http://schemas.openxmlformats.org/officeDocument/2006/relationships/header" Target="header110.xml"/><Relationship Id="rId252" Type="http://schemas.openxmlformats.org/officeDocument/2006/relationships/header" Target="header120.xml"/><Relationship Id="rId273" Type="http://schemas.openxmlformats.org/officeDocument/2006/relationships/header" Target="header131.xml"/><Relationship Id="rId294" Type="http://schemas.openxmlformats.org/officeDocument/2006/relationships/footer" Target="footer140.xml"/><Relationship Id="rId308" Type="http://schemas.openxmlformats.org/officeDocument/2006/relationships/header" Target="header148.xml"/><Relationship Id="rId329" Type="http://schemas.openxmlformats.org/officeDocument/2006/relationships/footer" Target="footer158.xml"/><Relationship Id="rId47" Type="http://schemas.openxmlformats.org/officeDocument/2006/relationships/footer" Target="footer17.xml"/><Relationship Id="rId68" Type="http://schemas.openxmlformats.org/officeDocument/2006/relationships/header" Target="header28.xml"/><Relationship Id="rId89" Type="http://schemas.openxmlformats.org/officeDocument/2006/relationships/footer" Target="footer38.xml"/><Relationship Id="rId112" Type="http://schemas.openxmlformats.org/officeDocument/2006/relationships/header" Target="header50.xml"/><Relationship Id="rId133" Type="http://schemas.openxmlformats.org/officeDocument/2006/relationships/footer" Target="footer60.xml"/><Relationship Id="rId154" Type="http://schemas.openxmlformats.org/officeDocument/2006/relationships/footer" Target="footer70.xml"/><Relationship Id="rId175" Type="http://schemas.openxmlformats.org/officeDocument/2006/relationships/footer" Target="footer81.xml"/><Relationship Id="rId196" Type="http://schemas.openxmlformats.org/officeDocument/2006/relationships/header" Target="header92.xml"/><Relationship Id="rId200" Type="http://schemas.openxmlformats.org/officeDocument/2006/relationships/header" Target="header94.xml"/><Relationship Id="rId16" Type="http://schemas.openxmlformats.org/officeDocument/2006/relationships/header" Target="header3.xml"/><Relationship Id="rId221" Type="http://schemas.openxmlformats.org/officeDocument/2006/relationships/footer" Target="footer104.xml"/><Relationship Id="rId242" Type="http://schemas.openxmlformats.org/officeDocument/2006/relationships/header" Target="header115.xml"/><Relationship Id="rId263" Type="http://schemas.openxmlformats.org/officeDocument/2006/relationships/footer" Target="footer125.xml"/><Relationship Id="rId284" Type="http://schemas.openxmlformats.org/officeDocument/2006/relationships/header" Target="header136.xml"/><Relationship Id="rId319" Type="http://schemas.openxmlformats.org/officeDocument/2006/relationships/footer" Target="footer153.xml"/><Relationship Id="rId37" Type="http://schemas.openxmlformats.org/officeDocument/2006/relationships/hyperlink" Target="https://www.inps.it/" TargetMode="External"/><Relationship Id="rId58" Type="http://schemas.openxmlformats.org/officeDocument/2006/relationships/header" Target="header23.xml"/><Relationship Id="rId79" Type="http://schemas.openxmlformats.org/officeDocument/2006/relationships/footer" Target="footer33.xml"/><Relationship Id="rId102" Type="http://schemas.openxmlformats.org/officeDocument/2006/relationships/header" Target="header45.xml"/><Relationship Id="rId123" Type="http://schemas.openxmlformats.org/officeDocument/2006/relationships/header" Target="header56.xml"/><Relationship Id="rId144" Type="http://schemas.openxmlformats.org/officeDocument/2006/relationships/header" Target="header66.xml"/><Relationship Id="rId330" Type="http://schemas.openxmlformats.org/officeDocument/2006/relationships/header" Target="header159.xml"/><Relationship Id="rId90" Type="http://schemas.openxmlformats.org/officeDocument/2006/relationships/header" Target="header39.xml"/><Relationship Id="rId165" Type="http://schemas.openxmlformats.org/officeDocument/2006/relationships/header" Target="header77.xml"/><Relationship Id="rId186" Type="http://schemas.openxmlformats.org/officeDocument/2006/relationships/footer" Target="footer86.xml"/><Relationship Id="rId211" Type="http://schemas.openxmlformats.org/officeDocument/2006/relationships/footer" Target="footer99.xml"/><Relationship Id="rId232" Type="http://schemas.openxmlformats.org/officeDocument/2006/relationships/footer" Target="footer109.xml"/><Relationship Id="rId253" Type="http://schemas.openxmlformats.org/officeDocument/2006/relationships/footer" Target="footer120.xml"/><Relationship Id="rId274" Type="http://schemas.openxmlformats.org/officeDocument/2006/relationships/footer" Target="footer130.xml"/><Relationship Id="rId295" Type="http://schemas.openxmlformats.org/officeDocument/2006/relationships/footer" Target="footer141.xml"/><Relationship Id="rId309" Type="http://schemas.openxmlformats.org/officeDocument/2006/relationships/footer" Target="footer148.xml"/><Relationship Id="rId27" Type="http://schemas.openxmlformats.org/officeDocument/2006/relationships/footer" Target="footer8.xml"/><Relationship Id="rId48" Type="http://schemas.openxmlformats.org/officeDocument/2006/relationships/header" Target="header18.xml"/><Relationship Id="rId69" Type="http://schemas.openxmlformats.org/officeDocument/2006/relationships/footer" Target="footer28.xml"/><Relationship Id="rId113" Type="http://schemas.openxmlformats.org/officeDocument/2006/relationships/footer" Target="footer50.xml"/><Relationship Id="rId134" Type="http://schemas.openxmlformats.org/officeDocument/2006/relationships/header" Target="header61.xml"/><Relationship Id="rId320" Type="http://schemas.openxmlformats.org/officeDocument/2006/relationships/header" Target="header154.xml"/><Relationship Id="rId80" Type="http://schemas.openxmlformats.org/officeDocument/2006/relationships/header" Target="header34.xml"/><Relationship Id="rId155" Type="http://schemas.openxmlformats.org/officeDocument/2006/relationships/footer" Target="footer71.xml"/><Relationship Id="rId176" Type="http://schemas.openxmlformats.org/officeDocument/2006/relationships/header" Target="header82.xml"/><Relationship Id="rId197" Type="http://schemas.openxmlformats.org/officeDocument/2006/relationships/header" Target="header93.xml"/><Relationship Id="rId201" Type="http://schemas.openxmlformats.org/officeDocument/2006/relationships/footer" Target="footer94.xml"/><Relationship Id="rId222" Type="http://schemas.openxmlformats.org/officeDocument/2006/relationships/header" Target="header105.xml"/><Relationship Id="rId243" Type="http://schemas.openxmlformats.org/officeDocument/2006/relationships/header" Target="header116.xml"/><Relationship Id="rId264" Type="http://schemas.openxmlformats.org/officeDocument/2006/relationships/header" Target="header126.xml"/><Relationship Id="rId285" Type="http://schemas.openxmlformats.org/officeDocument/2006/relationships/footer" Target="footer136.xml"/><Relationship Id="rId17" Type="http://schemas.openxmlformats.org/officeDocument/2006/relationships/footer" Target="footer3.xml"/><Relationship Id="rId38" Type="http://schemas.openxmlformats.org/officeDocument/2006/relationships/header" Target="header13.xml"/><Relationship Id="rId59" Type="http://schemas.openxmlformats.org/officeDocument/2006/relationships/footer" Target="footer23.xml"/><Relationship Id="rId103" Type="http://schemas.openxmlformats.org/officeDocument/2006/relationships/header" Target="header46.xml"/><Relationship Id="rId124" Type="http://schemas.openxmlformats.org/officeDocument/2006/relationships/footer" Target="footer55.xml"/><Relationship Id="rId310" Type="http://schemas.openxmlformats.org/officeDocument/2006/relationships/header" Target="header149.xml"/><Relationship Id="rId70" Type="http://schemas.openxmlformats.org/officeDocument/2006/relationships/header" Target="header29.xml"/><Relationship Id="rId91" Type="http://schemas.openxmlformats.org/officeDocument/2006/relationships/footer" Target="footer39.xml"/><Relationship Id="rId145" Type="http://schemas.openxmlformats.org/officeDocument/2006/relationships/footer" Target="footer66.xml"/><Relationship Id="rId166" Type="http://schemas.openxmlformats.org/officeDocument/2006/relationships/footer" Target="footer76.xml"/><Relationship Id="rId187" Type="http://schemas.openxmlformats.org/officeDocument/2006/relationships/footer" Target="footer87.xml"/><Relationship Id="rId331" Type="http://schemas.openxmlformats.org/officeDocument/2006/relationships/footer" Target="footer159.xml"/><Relationship Id="rId1" Type="http://schemas.openxmlformats.org/officeDocument/2006/relationships/customXml" Target="../customXml/item1.xml"/><Relationship Id="rId212" Type="http://schemas.openxmlformats.org/officeDocument/2006/relationships/header" Target="header100.xml"/><Relationship Id="rId233" Type="http://schemas.openxmlformats.org/officeDocument/2006/relationships/footer" Target="footer110.xml"/><Relationship Id="rId254" Type="http://schemas.openxmlformats.org/officeDocument/2006/relationships/header" Target="header121.xml"/><Relationship Id="rId28" Type="http://schemas.openxmlformats.org/officeDocument/2006/relationships/header" Target="header9.xml"/><Relationship Id="rId49" Type="http://schemas.openxmlformats.org/officeDocument/2006/relationships/header" Target="header19.xml"/><Relationship Id="rId114" Type="http://schemas.openxmlformats.org/officeDocument/2006/relationships/header" Target="header51.xml"/><Relationship Id="rId275" Type="http://schemas.openxmlformats.org/officeDocument/2006/relationships/footer" Target="footer131.xml"/><Relationship Id="rId296" Type="http://schemas.openxmlformats.org/officeDocument/2006/relationships/header" Target="header142.xml"/><Relationship Id="rId300" Type="http://schemas.openxmlformats.org/officeDocument/2006/relationships/footer" Target="footer143.xml"/><Relationship Id="rId60" Type="http://schemas.openxmlformats.org/officeDocument/2006/relationships/header" Target="header24.xml"/><Relationship Id="rId81" Type="http://schemas.openxmlformats.org/officeDocument/2006/relationships/footer" Target="footer34.xml"/><Relationship Id="rId135" Type="http://schemas.openxmlformats.org/officeDocument/2006/relationships/header" Target="header62.xml"/><Relationship Id="rId156" Type="http://schemas.openxmlformats.org/officeDocument/2006/relationships/header" Target="header72.xml"/><Relationship Id="rId177" Type="http://schemas.openxmlformats.org/officeDocument/2006/relationships/footer" Target="footer82.xml"/><Relationship Id="rId198" Type="http://schemas.openxmlformats.org/officeDocument/2006/relationships/footer" Target="footer92.xml"/><Relationship Id="rId321" Type="http://schemas.openxmlformats.org/officeDocument/2006/relationships/footer" Target="footer154.xml"/><Relationship Id="rId202" Type="http://schemas.openxmlformats.org/officeDocument/2006/relationships/header" Target="header95.xml"/><Relationship Id="rId223" Type="http://schemas.openxmlformats.org/officeDocument/2006/relationships/footer" Target="footer105.xml"/><Relationship Id="rId244" Type="http://schemas.openxmlformats.org/officeDocument/2006/relationships/footer" Target="footer115.xml"/><Relationship Id="rId18" Type="http://schemas.openxmlformats.org/officeDocument/2006/relationships/header" Target="header4.xml"/><Relationship Id="rId39" Type="http://schemas.openxmlformats.org/officeDocument/2006/relationships/footer" Target="footer13.xml"/><Relationship Id="rId265" Type="http://schemas.openxmlformats.org/officeDocument/2006/relationships/footer" Target="footer126.xml"/><Relationship Id="rId286" Type="http://schemas.openxmlformats.org/officeDocument/2006/relationships/header" Target="header137.xml"/><Relationship Id="rId50" Type="http://schemas.openxmlformats.org/officeDocument/2006/relationships/footer" Target="footer18.xml"/><Relationship Id="rId104" Type="http://schemas.openxmlformats.org/officeDocument/2006/relationships/footer" Target="footer45.xml"/><Relationship Id="rId125" Type="http://schemas.openxmlformats.org/officeDocument/2006/relationships/footer" Target="footer56.xml"/><Relationship Id="rId146" Type="http://schemas.openxmlformats.org/officeDocument/2006/relationships/header" Target="header67.xml"/><Relationship Id="rId167" Type="http://schemas.openxmlformats.org/officeDocument/2006/relationships/footer" Target="footer77.xml"/><Relationship Id="rId188" Type="http://schemas.openxmlformats.org/officeDocument/2006/relationships/header" Target="header88.xml"/><Relationship Id="rId311" Type="http://schemas.openxmlformats.org/officeDocument/2006/relationships/header" Target="header150.xml"/><Relationship Id="rId332" Type="http://schemas.openxmlformats.org/officeDocument/2006/relationships/header" Target="header160.xml"/><Relationship Id="rId71" Type="http://schemas.openxmlformats.org/officeDocument/2006/relationships/header" Target="header30.xml"/><Relationship Id="rId92" Type="http://schemas.openxmlformats.org/officeDocument/2006/relationships/header" Target="header40.xml"/><Relationship Id="rId213" Type="http://schemas.openxmlformats.org/officeDocument/2006/relationships/header" Target="header101.xml"/><Relationship Id="rId234" Type="http://schemas.openxmlformats.org/officeDocument/2006/relationships/header" Target="header111.xml"/><Relationship Id="rId2" Type="http://schemas.openxmlformats.org/officeDocument/2006/relationships/customXml" Target="../customXml/item2.xml"/><Relationship Id="rId29" Type="http://schemas.openxmlformats.org/officeDocument/2006/relationships/footer" Target="footer9.xml"/><Relationship Id="rId255" Type="http://schemas.openxmlformats.org/officeDocument/2006/relationships/header" Target="header122.xml"/><Relationship Id="rId276" Type="http://schemas.openxmlformats.org/officeDocument/2006/relationships/header" Target="header132.xml"/><Relationship Id="rId297" Type="http://schemas.openxmlformats.org/officeDocument/2006/relationships/footer" Target="footer142.xml"/><Relationship Id="rId40" Type="http://schemas.openxmlformats.org/officeDocument/2006/relationships/header" Target="header14.xml"/><Relationship Id="rId115" Type="http://schemas.openxmlformats.org/officeDocument/2006/relationships/header" Target="header52.xml"/><Relationship Id="rId136" Type="http://schemas.openxmlformats.org/officeDocument/2006/relationships/footer" Target="footer61.xml"/><Relationship Id="rId157" Type="http://schemas.openxmlformats.org/officeDocument/2006/relationships/footer" Target="footer72.xml"/><Relationship Id="rId178" Type="http://schemas.openxmlformats.org/officeDocument/2006/relationships/header" Target="header83.xml"/><Relationship Id="rId301" Type="http://schemas.openxmlformats.org/officeDocument/2006/relationships/footer" Target="footer144.xml"/><Relationship Id="rId322" Type="http://schemas.openxmlformats.org/officeDocument/2006/relationships/header" Target="header155.xml"/><Relationship Id="rId61" Type="http://schemas.openxmlformats.org/officeDocument/2006/relationships/footer" Target="footer24.xml"/><Relationship Id="rId82" Type="http://schemas.openxmlformats.org/officeDocument/2006/relationships/header" Target="header35.xml"/><Relationship Id="rId199" Type="http://schemas.openxmlformats.org/officeDocument/2006/relationships/footer" Target="footer93.xml"/><Relationship Id="rId203" Type="http://schemas.openxmlformats.org/officeDocument/2006/relationships/footer" Target="footer95.xml"/><Relationship Id="rId19" Type="http://schemas.openxmlformats.org/officeDocument/2006/relationships/header" Target="header5.xml"/><Relationship Id="rId224" Type="http://schemas.openxmlformats.org/officeDocument/2006/relationships/header" Target="header106.xml"/><Relationship Id="rId245" Type="http://schemas.openxmlformats.org/officeDocument/2006/relationships/footer" Target="footer116.xml"/><Relationship Id="rId266" Type="http://schemas.openxmlformats.org/officeDocument/2006/relationships/header" Target="header127.xml"/><Relationship Id="rId287" Type="http://schemas.openxmlformats.org/officeDocument/2006/relationships/header" Target="header138.xml"/><Relationship Id="rId30" Type="http://schemas.openxmlformats.org/officeDocument/2006/relationships/header" Target="header10.xml"/><Relationship Id="rId105" Type="http://schemas.openxmlformats.org/officeDocument/2006/relationships/footer" Target="footer46.xml"/><Relationship Id="rId126" Type="http://schemas.openxmlformats.org/officeDocument/2006/relationships/header" Target="header57.xml"/><Relationship Id="rId147" Type="http://schemas.openxmlformats.org/officeDocument/2006/relationships/header" Target="header68.xml"/><Relationship Id="rId168" Type="http://schemas.openxmlformats.org/officeDocument/2006/relationships/header" Target="header78.xml"/><Relationship Id="rId312" Type="http://schemas.openxmlformats.org/officeDocument/2006/relationships/footer" Target="footer149.xml"/><Relationship Id="rId333" Type="http://schemas.openxmlformats.org/officeDocument/2006/relationships/footer" Target="footer16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resnumber xmlns="1700ab43-7395-48ff-866c-657c86ba7f4e" xsi:nil="true"/>
    <_ip_UnifiedCompliancePolicyUIAction xmlns="http://schemas.microsoft.com/sharepoint/v3" xsi:nil="true"/>
    <ISCreferencenumber xmlns="1700ab43-7395-48ff-866c-657c86ba7f4e" xsi:nil="true"/>
    <Status xmlns="1700ab43-7395-48ff-866c-657c86ba7f4e" xsi:nil="true"/>
    <Whoneedstoanswer xmlns="1700ab43-7395-48ff-866c-657c86ba7f4e" xsi:nil="true"/>
    <TaxCatchAll xmlns="e6c3bc29-9e11-4027-900b-c73633d7928a" xsi:nil="true"/>
    <Stage xmlns="1700ab43-7395-48ff-866c-657c86ba7f4e" xsi:nil="true"/>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_ip_UnifiedCompliancePolicyProperties xmlns="http://schemas.microsoft.com/sharepoint/v3" xsi:nil="true"/>
    <Level xmlns="1700ab43-7395-48ff-866c-657c86ba7f4e" xsi:nil="true"/>
    <Deadline xmlns="1700ab43-7395-48ff-866c-657c86ba7f4e" xsi:nil="true"/>
    <Answersent xmlns="1700ab43-7395-48ff-866c-657c86ba7f4e">false</Answersent>
    <Scope xmlns="1700ab43-7395-48ff-866c-657c86ba7f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29" ma:contentTypeDescription="Create a new document." ma:contentTypeScope="" ma:versionID="9db2e4c9d20f3bfed58be960cea45ab1">
  <xsd:schema xmlns:xsd="http://www.w3.org/2001/XMLSchema" xmlns:xs="http://www.w3.org/2001/XMLSchema" xmlns:p="http://schemas.microsoft.com/office/2006/metadata/properties" xmlns:ns1="http://schemas.microsoft.com/sharepoint/v3" xmlns:ns2="1700ab43-7395-48ff-866c-657c86ba7f4e" xmlns:ns3="e6c3bc29-9e11-4027-900b-c73633d7928a" targetNamespace="http://schemas.microsoft.com/office/2006/metadata/properties" ma:root="true" ma:fieldsID="148b552bb32bac13736f38ad3d6cdb2a" ns1:_="" ns2:_="" ns3:_="">
    <xsd:import namespace="http://schemas.microsoft.com/sharepoint/v3"/>
    <xsd:import namespace="1700ab43-7395-48ff-866c-657c86ba7f4e"/>
    <xsd:import namespace="e6c3bc29-9e11-4027-900b-c73633d7928a"/>
    <xsd:element name="properties">
      <xsd:complexType>
        <xsd:sequence>
          <xsd:element name="documentManagement">
            <xsd:complexType>
              <xsd:all>
                <xsd:element ref="ns2:Status" minOccurs="0"/>
                <xsd:element ref="ns2:Deadline" minOccurs="0"/>
                <xsd:element ref="ns2:ISCreferencenumber" minOccurs="0"/>
                <xsd:element ref="ns2:Answersent" minOccurs="0"/>
                <xsd:element ref="ns2:Whoneedstoanswer" minOccurs="0"/>
                <xsd:element ref="ns2:Stage" minOccurs="0"/>
                <xsd:element ref="ns2:Level" minOccurs="0"/>
                <xsd:element ref="ns2:Scope" minOccurs="0"/>
                <xsd:element ref="ns2:Aresnumber" minOccurs="0"/>
                <xsd:element ref="ns3:SharedWithUsers" minOccurs="0"/>
                <xsd:element ref="ns3:SharedWithDetails" minOccurs="0"/>
                <xsd:element ref="ns2:MediaServiceMetadata" minOccurs="0"/>
                <xsd:element ref="ns2:MediaServiceFastMetadata" minOccurs="0"/>
                <xsd:element ref="ns2:MediaServiceAutoKeyPoints" minOccurs="0"/>
                <xsd:element ref="ns1:_ip_UnifiedCompliancePolicyProperties" minOccurs="0"/>
                <xsd:element ref="ns1:_ip_UnifiedCompliancePolicyUIAction"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ma:readOnly="false">
      <xsd:simpleType>
        <xsd:restriction base="dms:Note"/>
      </xsd:simpleType>
    </xsd:element>
    <xsd:element name="_ip_UnifiedCompliancePolicyUIAction" ma:index="24"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Status" ma:index="2" nillable="true" ma:displayName="Status" ma:format="Dropdown" ma:internalName="Status" ma:readOnly="false">
      <xsd:simpleType>
        <xsd:restriction base="dms:Choice">
          <xsd:enumeration value="Ongoing"/>
          <xsd:enumeration value="Closed"/>
        </xsd:restriction>
      </xsd:simpleType>
    </xsd:element>
    <xsd:element name="Deadline" ma:index="3" nillable="true" ma:displayName="Deadline" ma:format="DateOnly" ma:internalName="Deadline" ma:readOnly="false">
      <xsd:simpleType>
        <xsd:restriction base="dms:DateTime"/>
      </xsd:simpleType>
    </xsd:element>
    <xsd:element name="ISCreferencenumber" ma:index="4" nillable="true" ma:displayName="ISC reference number" ma:format="Dropdown" ma:internalName="ISCreferencenumber" ma:readOnly="false">
      <xsd:simpleType>
        <xsd:restriction base="dms:Text">
          <xsd:maxLength value="255"/>
        </xsd:restriction>
      </xsd:simpleType>
    </xsd:element>
    <xsd:element name="Answersent" ma:index="5" nillable="true" ma:displayName="Answer sent" ma:default="0" ma:format="Dropdown" ma:internalName="Answersent" ma:readOnly="false">
      <xsd:simpleType>
        <xsd:restriction base="dms:Boolean"/>
      </xsd:simpleType>
    </xsd:element>
    <xsd:element name="Whoneedstoanswer" ma:index="6" nillable="true" ma:displayName="Who needs to answer" ma:description="please indicate who received the ISC" ma:format="Dropdown" ma:internalName="Whoneedstoanswer" ma:readOnly="false">
      <xsd:simpleType>
        <xsd:restriction base="dms:Choice">
          <xsd:enumeration value="ECFIN"/>
          <xsd:enumeration value="SG RECOVER"/>
          <xsd:enumeration value="Both"/>
        </xsd:restriction>
      </xsd:simpleType>
    </xsd:element>
    <xsd:element name="Stage" ma:index="7" nillable="true" ma:displayName="Phase" ma:format="Dropdown" ma:internalName="Stage">
      <xsd:complexType>
        <xsd:complexContent>
          <xsd:extension base="dms:MultiChoice">
            <xsd:sequence>
              <xsd:element name="Value" maxOccurs="unbounded" minOccurs="0" nillable="true">
                <xsd:simpleType>
                  <xsd:restriction base="dms:Choice">
                    <xsd:enumeration value="Preparation"/>
                    <xsd:enumeration value="1st payment request"/>
                    <xsd:enumeration value="3rd Payment request"/>
                    <xsd:enumeration value="4th Payment request"/>
                    <xsd:enumeration value="5th Payment request"/>
                    <xsd:enumeration value="6th Payment request"/>
                    <xsd:enumeration value="2nd payment request"/>
                    <xsd:enumeration value="7th Payment request"/>
                    <xsd:enumeration value="8th Payment request"/>
                  </xsd:restriction>
                </xsd:simpleType>
              </xsd:element>
            </xsd:sequence>
          </xsd:extension>
        </xsd:complexContent>
      </xsd:complexType>
    </xsd:element>
    <xsd:element name="Level" ma:index="8" nillable="true" ma:displayName="Level" ma:description="depending if E&amp;D attended" ma:format="Dropdown" ma:internalName="Level" ma:readOnly="false">
      <xsd:simpleType>
        <xsd:restriction base="dms:Choice">
          <xsd:enumeration value="Principals"/>
          <xsd:enumeration value="Technical"/>
        </xsd:restriction>
      </xsd:simpleType>
    </xsd:element>
    <xsd:element name="Scope" ma:index="9" nillable="true" ma:displayName="Scope" ma:format="Dropdown" ma:internalName="Scope" ma:readOnly="false">
      <xsd:simpleType>
        <xsd:restriction base="dms:Choice">
          <xsd:enumeration value="General"/>
          <xsd:enumeration value="Thematic"/>
        </xsd:restriction>
      </xsd:simpleType>
    </xsd:element>
    <xsd:element name="Aresnumber" ma:index="10" nillable="true" ma:displayName="Ares number" ma:format="Dropdown" ma:internalName="Aresnumber" ma:readOnly="false">
      <xsd:simpleType>
        <xsd:restriction base="dms:Text">
          <xsd:maxLength value="255"/>
        </xsd:restrictio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OCR" ma:index="32" nillable="true" ma:displayName="Extracted Text" ma:hidden="true" ma:internalName="MediaServiceOCR" ma:readOnly="true">
      <xsd:simpleType>
        <xsd:restriction base="dms:Note"/>
      </xsd:simpleType>
    </xsd:element>
    <xsd:element name="MediaServiceLocation" ma:index="33" nillable="true" ma:displayName="Location" ma:hidden="true" ma:indexed="true" ma:internalName="MediaServiceLocation"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element name="MediaServiceSearchProperties" ma:index="3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bda955a7-c319-4d68-acea-690316db2eb1}" ma:internalName="TaxCatchAll" ma:readOnly="false"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54A22-D7DC-4B95-88DF-C581E82E9925}">
  <ds:schemaRefs>
    <ds:schemaRef ds:uri="http://schemas.microsoft.com/sharepoint/v3/contenttype/forms"/>
  </ds:schemaRefs>
</ds:datastoreItem>
</file>

<file path=customXml/itemProps2.xml><?xml version="1.0" encoding="utf-8"?>
<ds:datastoreItem xmlns:ds="http://schemas.openxmlformats.org/officeDocument/2006/customXml" ds:itemID="{5AFCE501-1649-4A9D-8234-D4B586F9AF03}">
  <ds:schemaRefs>
    <ds:schemaRef ds:uri="http://schemas.microsoft.com/office/2006/metadata/properties"/>
    <ds:schemaRef ds:uri="http://schemas.microsoft.com/office/infopath/2007/PartnerControls"/>
    <ds:schemaRef ds:uri="1700ab43-7395-48ff-866c-657c86ba7f4e"/>
    <ds:schemaRef ds:uri="http://schemas.microsoft.com/sharepoint/v3"/>
    <ds:schemaRef ds:uri="e6c3bc29-9e11-4027-900b-c73633d7928a"/>
  </ds:schemaRefs>
</ds:datastoreItem>
</file>

<file path=customXml/itemProps3.xml><?xml version="1.0" encoding="utf-8"?>
<ds:datastoreItem xmlns:ds="http://schemas.openxmlformats.org/officeDocument/2006/customXml" ds:itemID="{6910E60D-D881-4077-B369-EC2426ECD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306777-D91D-4877-BE87-49E935582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118723</Words>
  <Characters>676723</Characters>
  <Application>Microsoft Office Word</Application>
  <DocSecurity>0</DocSecurity>
  <Lines>5639</Lines>
  <Paragraphs>1587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793859</CharactersWithSpaces>
  <SharedDoc>false</SharedDoc>
  <HLinks>
    <vt:vector size="60" baseType="variant">
      <vt:variant>
        <vt:i4>1245187</vt:i4>
      </vt:variant>
      <vt:variant>
        <vt:i4>3</vt:i4>
      </vt:variant>
      <vt:variant>
        <vt:i4>0</vt:i4>
      </vt:variant>
      <vt:variant>
        <vt:i4>5</vt:i4>
      </vt:variant>
      <vt:variant>
        <vt:lpwstr>https://www.inps.it/</vt:lpwstr>
      </vt:variant>
      <vt:variant>
        <vt:lpwstr/>
      </vt:variant>
      <vt:variant>
        <vt:i4>1245187</vt:i4>
      </vt:variant>
      <vt:variant>
        <vt:i4>0</vt:i4>
      </vt:variant>
      <vt:variant>
        <vt:i4>0</vt:i4>
      </vt:variant>
      <vt:variant>
        <vt:i4>5</vt:i4>
      </vt:variant>
      <vt:variant>
        <vt:lpwstr>https://www.inps.it/</vt:lpwstr>
      </vt:variant>
      <vt:variant>
        <vt:lpwstr/>
      </vt:variant>
      <vt:variant>
        <vt:i4>5308451</vt:i4>
      </vt:variant>
      <vt:variant>
        <vt:i4>21</vt:i4>
      </vt:variant>
      <vt:variant>
        <vt:i4>0</vt:i4>
      </vt:variant>
      <vt:variant>
        <vt:i4>5</vt:i4>
      </vt:variant>
      <vt:variant>
        <vt:lpwstr>mailto:Maria-Chiara.MORANDINI@ec.europa.eu</vt:lpwstr>
      </vt:variant>
      <vt:variant>
        <vt:lpwstr/>
      </vt:variant>
      <vt:variant>
        <vt:i4>4980840</vt:i4>
      </vt:variant>
      <vt:variant>
        <vt:i4>18</vt:i4>
      </vt:variant>
      <vt:variant>
        <vt:i4>0</vt:i4>
      </vt:variant>
      <vt:variant>
        <vt:i4>5</vt:i4>
      </vt:variant>
      <vt:variant>
        <vt:lpwstr>mailto:Valentina.RUSCONI@ec.europa.eu</vt:lpwstr>
      </vt:variant>
      <vt:variant>
        <vt:lpwstr/>
      </vt:variant>
      <vt:variant>
        <vt:i4>5308451</vt:i4>
      </vt:variant>
      <vt:variant>
        <vt:i4>15</vt:i4>
      </vt:variant>
      <vt:variant>
        <vt:i4>0</vt:i4>
      </vt:variant>
      <vt:variant>
        <vt:i4>5</vt:i4>
      </vt:variant>
      <vt:variant>
        <vt:lpwstr>mailto:Maria-Chiara.MORANDINI@ec.europa.eu</vt:lpwstr>
      </vt:variant>
      <vt:variant>
        <vt:lpwstr/>
      </vt:variant>
      <vt:variant>
        <vt:i4>4980840</vt:i4>
      </vt:variant>
      <vt:variant>
        <vt:i4>12</vt:i4>
      </vt:variant>
      <vt:variant>
        <vt:i4>0</vt:i4>
      </vt:variant>
      <vt:variant>
        <vt:i4>5</vt:i4>
      </vt:variant>
      <vt:variant>
        <vt:lpwstr>mailto:Valentina.RUSCONI@ec.europa.eu</vt:lpwstr>
      </vt:variant>
      <vt:variant>
        <vt:lpwstr/>
      </vt:variant>
      <vt:variant>
        <vt:i4>5308451</vt:i4>
      </vt:variant>
      <vt:variant>
        <vt:i4>9</vt:i4>
      </vt:variant>
      <vt:variant>
        <vt:i4>0</vt:i4>
      </vt:variant>
      <vt:variant>
        <vt:i4>5</vt:i4>
      </vt:variant>
      <vt:variant>
        <vt:lpwstr>mailto:Maria-Chiara.MORANDINI@ec.europa.eu</vt:lpwstr>
      </vt:variant>
      <vt:variant>
        <vt:lpwstr/>
      </vt:variant>
      <vt:variant>
        <vt:i4>4980840</vt:i4>
      </vt:variant>
      <vt:variant>
        <vt:i4>6</vt:i4>
      </vt:variant>
      <vt:variant>
        <vt:i4>0</vt:i4>
      </vt:variant>
      <vt:variant>
        <vt:i4>5</vt:i4>
      </vt:variant>
      <vt:variant>
        <vt:lpwstr>mailto:Valentina.RUSCONI@ec.europa.eu</vt:lpwstr>
      </vt:variant>
      <vt:variant>
        <vt:lpwstr/>
      </vt:variant>
      <vt:variant>
        <vt:i4>5308451</vt:i4>
      </vt:variant>
      <vt:variant>
        <vt:i4>3</vt:i4>
      </vt:variant>
      <vt:variant>
        <vt:i4>0</vt:i4>
      </vt:variant>
      <vt:variant>
        <vt:i4>5</vt:i4>
      </vt:variant>
      <vt:variant>
        <vt:lpwstr>mailto:Maria-Chiara.MORANDINI@ec.europa.eu</vt:lpwstr>
      </vt:variant>
      <vt:variant>
        <vt:lpwstr/>
      </vt:variant>
      <vt:variant>
        <vt:i4>4980840</vt:i4>
      </vt:variant>
      <vt:variant>
        <vt:i4>0</vt:i4>
      </vt:variant>
      <vt:variant>
        <vt:i4>0</vt:i4>
      </vt:variant>
      <vt:variant>
        <vt:i4>5</vt:i4>
      </vt:variant>
      <vt:variant>
        <vt:lpwstr>mailto:Valentina.RUSCONI@ec.europa.eu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cp:lastPrinted>2025-10-28T07:47:00Z</cp:lastPrinted>
  <dcterms:created xsi:type="dcterms:W3CDTF">2025-11-10T13:26:00Z</dcterms:created>
  <dcterms:modified xsi:type="dcterms:W3CDTF">2025-11-11T18:07:00Z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2025-10-23T06:16:24Z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fd7a458d-847f-48cd-a977-57b575bcde44</vt:lpwstr>
  </property>
  <property fmtid="{D5CDD505-2E9C-101B-9397-08002B2CF9AE}" pid="8" name="MSIP_Label_6bd9ddd1-4d20-43f6-abfa-fc3c07406f94_ContentBits">
    <vt:lpwstr>0</vt:lpwstr>
  </property>
  <property fmtid="{D5CDD505-2E9C-101B-9397-08002B2CF9AE}" pid="9" name="MSIP_Label_6bd9ddd1-4d20-43f6-abfa-fc3c07406f94_Tag">
    <vt:lpwstr>10, 3, 0, 1</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DocStatus">
    <vt:lpwstr>Green</vt:lpwstr>
  </property>
  <property fmtid="{D5CDD505-2E9C-101B-9397-08002B2CF9AE}" pid="17" name="CPTemplateID">
    <vt:lpwstr>CP-036</vt:lpwstr>
  </property>
  <property fmtid="{D5CDD505-2E9C-101B-9397-08002B2CF9AE}" pid="18" name="Last edited using">
    <vt:lpwstr>LW 9.2, Build 20250828</vt:lpwstr>
  </property>
  <property fmtid="{D5CDD505-2E9C-101B-9397-08002B2CF9AE}" pid="19" name="Created using">
    <vt:lpwstr>LW 9.1, Build 20240808</vt:lpwstr>
  </property>
  <property fmtid="{D5CDD505-2E9C-101B-9397-08002B2CF9AE}" pid="20" name="ContentTypeId">
    <vt:lpwstr>0x01010062094E9F29D6C04F85860C631ABC812A</vt:lpwstr>
  </property>
  <property fmtid="{D5CDD505-2E9C-101B-9397-08002B2CF9AE}" pid="21" name="MediaServiceImageTags">
    <vt:lpwstr/>
  </property>
</Properties>
</file>